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B77B5F" w:rsidRDefault="00B77B5F"/>
    <w:p w:rsidR="00B77B5F" w:rsidRDefault="00B77B5F"/>
    <w:p w:rsidR="00B77B5F" w:rsidRDefault="00000000">
      <w:pPr>
        <w:spacing w:before="60" w:after="60"/>
        <w:jc w:val="center"/>
      </w:pPr>
      <w:r>
        <w:rPr>
          <w:b/>
          <w:bCs/>
          <w:color w:val="1F3864"/>
          <w:sz w:val="36"/>
          <w:szCs w:val="36"/>
          <w:lang w:val="ar-SA"/>
        </w:rPr>
        <w:t>جامعة ميدأوشن</w:t>
      </w:r>
    </w:p>
    <w:p w:rsidR="00B77B5F" w:rsidRDefault="00000000">
      <w:pPr>
        <w:spacing w:before="60" w:after="60"/>
        <w:jc w:val="center"/>
      </w:pPr>
      <w:r>
        <w:rPr>
          <w:b/>
          <w:bCs/>
          <w:sz w:val="32"/>
          <w:szCs w:val="32"/>
          <w:lang w:val="ar-SA"/>
        </w:rPr>
        <w:t>كلية الإدارة</w:t>
      </w:r>
    </w:p>
    <w:p w:rsidR="00B77B5F" w:rsidRDefault="00000000">
      <w:pPr>
        <w:spacing w:before="60" w:after="60"/>
        <w:jc w:val="center"/>
      </w:pPr>
      <w:r>
        <w:rPr>
          <w:lang w:val="ar-SA"/>
        </w:rPr>
        <w:t xml:space="preserve">تخصص: </w:t>
      </w:r>
      <w:r>
        <w:rPr>
          <w:rFonts w:hint="cs"/>
        </w:rPr>
        <w:t xml:space="preserve">ماجستير </w:t>
      </w:r>
      <w:r>
        <w:rPr>
          <w:lang w:val="ar-SA"/>
        </w:rPr>
        <w:t>إدارة المشاريع</w:t>
      </w:r>
    </w:p>
    <w:p w:rsidR="00B77B5F" w:rsidRDefault="00B77B5F"/>
    <w:p w:rsidR="00B77B5F" w:rsidRDefault="00B77B5F"/>
    <w:p w:rsidR="00B77B5F" w:rsidRDefault="00000000">
      <w:pPr>
        <w:spacing w:before="60" w:after="60"/>
        <w:jc w:val="center"/>
      </w:pPr>
      <w:r>
        <w:rPr>
          <w:b/>
          <w:bCs/>
          <w:color w:val="1F3864"/>
          <w:sz w:val="32"/>
          <w:szCs w:val="32"/>
          <w:lang w:val="ar-SA"/>
        </w:rPr>
        <w:t>أثر تطبيق منهجيات إدارة المشاريع الرشيقة Agile</w:t>
      </w:r>
    </w:p>
    <w:p w:rsidR="00B77B5F" w:rsidRDefault="00000000">
      <w:pPr>
        <w:spacing w:before="60" w:after="60"/>
        <w:jc w:val="center"/>
      </w:pPr>
      <w:r>
        <w:rPr>
          <w:b/>
          <w:bCs/>
          <w:color w:val="1F3864"/>
          <w:sz w:val="32"/>
          <w:szCs w:val="32"/>
          <w:lang w:val="ar-SA"/>
        </w:rPr>
        <w:t>على نجاح المشاريع في المؤسسات الحكومية</w:t>
      </w:r>
    </w:p>
    <w:p w:rsidR="00B77B5F" w:rsidRDefault="00000000">
      <w:pPr>
        <w:spacing w:before="60" w:after="60"/>
        <w:jc w:val="center"/>
      </w:pPr>
      <w:r>
        <w:rPr>
          <w:b/>
          <w:bCs/>
          <w:color w:val="1F3864"/>
          <w:sz w:val="32"/>
          <w:szCs w:val="32"/>
          <w:lang w:val="ar-SA"/>
        </w:rPr>
        <w:t>في المملكة العربية السعودية</w:t>
      </w:r>
    </w:p>
    <w:p w:rsidR="00B77B5F" w:rsidRDefault="00B77B5F"/>
    <w:p w:rsidR="00B77B5F" w:rsidRDefault="00B77B5F"/>
    <w:p w:rsidR="00B77B5F" w:rsidRDefault="00B77B5F"/>
    <w:p w:rsidR="00B77B5F" w:rsidRDefault="00000000">
      <w:pPr>
        <w:spacing w:before="60" w:after="60"/>
        <w:jc w:val="center"/>
      </w:pPr>
      <w:r>
        <w:rPr>
          <w:b/>
          <w:bCs/>
          <w:lang w:val="ar-SA"/>
        </w:rPr>
        <w:t>إعداد الطالب/</w:t>
      </w:r>
    </w:p>
    <w:p w:rsidR="00B77B5F" w:rsidRDefault="00000000">
      <w:pPr>
        <w:spacing w:before="60" w:after="60"/>
        <w:jc w:val="center"/>
      </w:pPr>
      <w:r>
        <w:rPr>
          <w:b/>
          <w:bCs/>
          <w:lang w:val="ar-SA"/>
        </w:rPr>
        <w:t>خالد عيد الحربي</w:t>
      </w:r>
    </w:p>
    <w:p w:rsidR="00B77B5F" w:rsidRDefault="00000000">
      <w:pPr>
        <w:spacing w:before="60" w:after="60"/>
        <w:jc w:val="center"/>
      </w:pPr>
      <w:r>
        <w:rPr>
          <w:sz w:val="26"/>
          <w:szCs w:val="26"/>
          <w:lang w:val="ar-SA"/>
        </w:rPr>
        <w:t xml:space="preserve">الرقم الأكاديمي/ </w:t>
      </w:r>
      <w:r>
        <w:rPr>
          <w:rFonts w:ascii="Times New Roman" w:eastAsia="Times New Roman" w:hAnsi="Times New Roman" w:cs="Times New Roman"/>
          <w:sz w:val="24"/>
          <w:szCs w:val="24"/>
          <w:rtl w:val="0"/>
        </w:rPr>
        <w:t>253002418</w:t>
      </w:r>
    </w:p>
    <w:p w:rsidR="00B77B5F" w:rsidRDefault="00B77B5F"/>
    <w:p w:rsidR="00B77B5F" w:rsidRDefault="00B77B5F"/>
    <w:p w:rsidR="00B77B5F" w:rsidRDefault="00000000">
      <w:pPr>
        <w:spacing w:before="60" w:after="60"/>
        <w:jc w:val="center"/>
      </w:pPr>
      <w:r>
        <w:rPr>
          <w:b/>
          <w:bCs/>
          <w:lang w:val="ar-SA"/>
        </w:rPr>
        <w:t>إشراف/</w:t>
      </w:r>
    </w:p>
    <w:p w:rsidR="00B77B5F" w:rsidRDefault="00000000">
      <w:pPr>
        <w:spacing w:before="60" w:after="60"/>
        <w:jc w:val="center"/>
        <w:rPr>
          <w:rtl w:val="0"/>
        </w:rPr>
      </w:pPr>
      <w:r>
        <w:rPr>
          <w:sz w:val="26"/>
          <w:szCs w:val="26"/>
          <w:lang w:val="ar-SA"/>
        </w:rPr>
        <w:t>د. الفيصل عبد الحميد محمد</w:t>
      </w:r>
    </w:p>
    <w:p w:rsidR="00FA02EA" w:rsidRDefault="00FA02EA" w:rsidP="00FA02EA">
      <w:pPr>
        <w:spacing w:before="60" w:after="60"/>
        <w:jc w:val="center"/>
      </w:pPr>
      <w:r>
        <w:rPr>
          <w:sz w:val="26"/>
          <w:szCs w:val="26"/>
          <w:lang w:val="ar-SA"/>
        </w:rPr>
        <w:t>د. فايز علي جراد</w:t>
      </w:r>
    </w:p>
    <w:p w:rsidR="00FA02EA" w:rsidRDefault="00FA02EA">
      <w:pPr>
        <w:spacing w:before="60" w:after="60"/>
        <w:jc w:val="center"/>
      </w:pPr>
    </w:p>
    <w:p w:rsidR="00B77B5F" w:rsidRDefault="00B77B5F"/>
    <w:p w:rsidR="00B77B5F" w:rsidRDefault="00B77B5F"/>
    <w:p w:rsidR="00B77B5F" w:rsidRDefault="00000000">
      <w:pPr>
        <w:spacing w:before="60" w:after="60"/>
        <w:jc w:val="center"/>
      </w:pPr>
      <w:r>
        <w:rPr>
          <w:b/>
          <w:bCs/>
          <w:sz w:val="26"/>
          <w:szCs w:val="26"/>
          <w:lang w:val="ar-SA"/>
        </w:rPr>
        <w:t>العام الدراسي:</w:t>
      </w:r>
    </w:p>
    <w:p w:rsidR="00B77B5F" w:rsidRDefault="00000000">
      <w:pPr>
        <w:spacing w:before="60" w:after="60"/>
        <w:jc w:val="center"/>
      </w:pPr>
      <w:r>
        <w:rPr>
          <w:sz w:val="26"/>
          <w:szCs w:val="26"/>
          <w:lang w:val="ar-SA"/>
        </w:rPr>
        <w:t>2026م</w:t>
      </w:r>
    </w:p>
    <w:p w:rsidR="00B77B5F" w:rsidRDefault="00000000">
      <w:pPr>
        <w:pageBreakBefore/>
        <w:spacing w:before="600" w:after="200"/>
        <w:jc w:val="center"/>
      </w:pPr>
      <w:r>
        <w:rPr>
          <w:b/>
          <w:bCs/>
          <w:color w:val="1F3864"/>
          <w:sz w:val="40"/>
          <w:szCs w:val="40"/>
          <w:lang w:val="ar-SA"/>
        </w:rPr>
        <w:lastRenderedPageBreak/>
        <w:t>الفصل الأول: الإطار العام للدراسة</w:t>
      </w:r>
    </w:p>
    <w:p w:rsidR="00B77B5F" w:rsidRDefault="00B77B5F">
      <w:pPr>
        <w:pBdr>
          <w:bottom w:val="double" w:sz="18" w:space="6" w:color="1F3864"/>
        </w:pBdr>
        <w:spacing w:before="100" w:after="400"/>
        <w:jc w:val="center"/>
      </w:pPr>
    </w:p>
    <w:p w:rsidR="00B77B5F" w:rsidRDefault="00000000" w:rsidP="00ED7087">
      <w:pPr>
        <w:pStyle w:val="1"/>
        <w:keepNext/>
        <w:jc w:val="left"/>
      </w:pPr>
      <w:bookmarkStart w:id="0" w:name="_Toc233617736"/>
      <w:r>
        <w:rPr>
          <w:lang w:val="ar-SA"/>
        </w:rPr>
        <w:t>1.1 مقدمة:</w:t>
      </w:r>
      <w:bookmarkEnd w:id="0"/>
    </w:p>
    <w:p w:rsidR="00B77B5F" w:rsidRDefault="00000000">
      <w:pPr>
        <w:keepLines/>
        <w:spacing w:after="120"/>
        <w:ind w:firstLine="284"/>
        <w:jc w:val="both"/>
      </w:pPr>
      <w:r>
        <w:rPr>
          <w:lang w:val="ar-SA"/>
        </w:rPr>
        <w:t>يشهد العالم في العقود الأخيرة تسارعًا غير مسبوقٍ في وتيرة التغيير، وزيادةً في التعقيد التنظيمي والاقتصادي والتكنولوجي، مما جعل المؤسسات في مختلف القطاعات تواجه تحدياتٍ غير معهودة في إدارة مشاريعها بنجاح. وقد أدَّى ذلك إلى ظهور حاجةٍ ملحَّةٍ إلى منهجياتٍ لإدارة المشاريع أكثر مرونةً وقدرةً على التكيُّف مع المتغيِّرات السريعة، بعيدًا عن المنهجيات التقليدية التي كثيرًا ما تعجز عن التعامل مع البيئات الديناميكية المعاصرة. وقد أثبتت التجارب العملية أن نسبةً كبيرةً من المشاريع التي تعتمد على المنهجيات التقليدية الجامدة تواجه صعوباتٍ في تحقيق أهدافها، خاصةً في ظل المتطلبات المتغيرة لأصحاب المصلحة.</w:t>
      </w:r>
    </w:p>
    <w:p w:rsidR="00B77B5F" w:rsidRDefault="00000000">
      <w:pPr>
        <w:keepLines/>
        <w:spacing w:after="120"/>
        <w:ind w:firstLine="284"/>
        <w:jc w:val="both"/>
      </w:pPr>
      <w:r>
        <w:rPr>
          <w:lang w:val="ar-SA"/>
        </w:rPr>
        <w:t>وفي هذا السياق، برزت منهجيات إدارة المشاريع الرشيقة (Agile) استجابةً مبتكَرةً لهذه التحديات، إذ ظهرت أصلًا في مجال تطوير البرمجيات في بداية الألفية الثالثة، ثم انتشرت تدريجيًّا لتشمل قطاعاتٍ متعددةً كالتعليم والصحة والخدمات الحكومية والصناعة. وتقوم هذه المنهجيات على مبادئَ أساسيةٍ تتمحور حول التكرار والمرونة والتعاون والتسليم المستمر للقيمة، مما يُمكِّن المؤسسات من الاستجابة السريعة للمتغيِّرات وتحقيق رضا أصحاب المصلحة (Beck et al., 2001). وقد أشار تقرير State of Agile السابع عشر إلى أن أكثر من 86% من المؤسسات حول العالم تطبق منهجيات Agile بشكلٍ أو بآخر (Digital.ai, 2023)، مما يعكس تحوُّلًا جذريًّا في فلسفة إدارة المشاريع المعاصرة.</w:t>
      </w:r>
    </w:p>
    <w:p w:rsidR="00B77B5F" w:rsidRDefault="00000000">
      <w:pPr>
        <w:keepLines/>
        <w:spacing w:after="120"/>
        <w:ind w:firstLine="284"/>
        <w:jc w:val="both"/>
      </w:pPr>
      <w:r>
        <w:rPr>
          <w:lang w:val="ar-SA"/>
        </w:rPr>
        <w:t>وتُمثِّل منهجيات Agile نقلةً نوعيةً في فلسفة إدارة المشاريع، إذ تنقلها من نموذج الشلال التتابعي (Waterfall Model) الذي يعتمد على تخطيطٍ شاملٍ ومسبقٍ وتنفيذٍ مرحليٍ متتالٍ، إلى نموذجٍ تكراريٍ تدريجيٍ يُقسِّم المشروع إلى دوراتٍ قصيرةٍ تُسمَّى Sprints. وفي كل دورةٍ يتم تطوير جزءٍ من المنتج وتسليمه للعميل وأخذ ملاحظاته، ثم البدء في الدورة التالية بناءً على هذه الملاحظات. هذا النهج يُمكِّن المؤسسات من تقليل المخاطر وتحسين جودة المخرجات وزيادة رضا أصحاب المصلحة (Schwaber &amp; Sutherland, 2020).</w:t>
      </w:r>
    </w:p>
    <w:p w:rsidR="00B77B5F" w:rsidRDefault="00000000">
      <w:pPr>
        <w:keepLines/>
        <w:spacing w:after="120"/>
        <w:ind w:firstLine="284"/>
        <w:jc w:val="both"/>
      </w:pPr>
      <w:r>
        <w:rPr>
          <w:lang w:val="ar-SA"/>
        </w:rPr>
        <w:lastRenderedPageBreak/>
        <w:t>وعلى الصعيد المحلي، تشهد المملكة العربية السعودية مرحلة تحوُّلٍ تاريخيةٍ تحت مظلَّة رؤية المملكة 2030، التي أطلقت حزمةً واسعةً من المشاريع التنموية الكبرى في قطاعاتٍ متعددةٍ كالاقتصاد والترفيه والسياحة والصحة والتعليم والإسكان. وتسعى المؤسسات الحكومية السعودية إلى تنفيذ هذه المشاريع بكفاءةٍ عالية، الأمر الذي يستلزم تبنِّي منهجياتٍ إداريةٍ حديثةٍ تتناسب مع طبيعة هذه المشاريع وتعقيداتها. ومن أبرز هذه المنهجيات التي بدأت تجد طريقها إلى البيئة الحكومية السعودية منهجيات Agile، حيث تبنَّتها عددٌ من الجهات كهيئة الحكومة الرقمية وهيئة كفاءة الإنفاق والمشاريع الحكومية ووزارة الموارد البشرية والتنمية الاجتماعية وغيرها.</w:t>
      </w:r>
    </w:p>
    <w:p w:rsidR="00B77B5F" w:rsidRDefault="00000000">
      <w:pPr>
        <w:keepLines/>
        <w:spacing w:after="120"/>
        <w:ind w:firstLine="284"/>
        <w:jc w:val="both"/>
      </w:pPr>
      <w:r>
        <w:rPr>
          <w:lang w:val="ar-SA"/>
        </w:rPr>
        <w:t>وتُؤكِّد رؤية المملكة 2030 على أهمية كفاءة الإنفاق الحكومي وتطوير الأداء المؤسسي، حيث تستهدف رفع كفاءة المشاريع الحكومية ضمن البرامج التنفيذية للرؤية. وفي ضوء هذا التوجُّه الاستراتيجي، تصبح منهجيات Agile -بما توفِّره من مرونةٍ وكفاءةٍ في الاستجابة للمتغيرات- خيارًا استراتيجيًّا للمؤسسات الحكومية السعودية، خاصةً في المشاريع المعقدة والمشاريع الرقمية التي تتطلب تكيُّفًا مستمرًا مع متطلبات أصحاب المصلحة.</w:t>
      </w:r>
    </w:p>
    <w:p w:rsidR="00B77B5F" w:rsidRDefault="00000000">
      <w:pPr>
        <w:keepLines/>
        <w:spacing w:after="120"/>
        <w:ind w:firstLine="284"/>
        <w:jc w:val="both"/>
      </w:pPr>
      <w:r>
        <w:rPr>
          <w:lang w:val="ar-SA"/>
        </w:rPr>
        <w:t>ورغم الإقبال المتزايد على تطبيق هذه المنهجيات، تبقى هناك ضرورةٌ علميةٌ لدراسة أثر تطبيق منهجيات إدارة المشاريع الرشيقة على نجاح المشاريع في البيئة الحكومية السعودية بشكلٍ تفصيلي، وفهم كيف تنعكس هذه المنهجيات على أبعاد نجاح المشروع المختلفة: الوقت والتكلفة والجودة ورضا أصحاب المصلحة والأهداف الاستراتيجية. وعلى هذا الأساس، تأتي هذه الدراسة لاستكشاف هذا الأثر ومحاولة تقديم إجاباتٍ علميةٍ واضحةٍ تُعزِّز فهم العلاقة بين تطبيق Agile ونجاح المشاريع الحكومية.</w:t>
      </w:r>
    </w:p>
    <w:p w:rsidR="00B77B5F" w:rsidRDefault="00000000">
      <w:pPr>
        <w:keepLines/>
        <w:spacing w:after="120"/>
        <w:ind w:firstLine="284"/>
        <w:jc w:val="both"/>
      </w:pPr>
      <w:r>
        <w:rPr>
          <w:lang w:val="ar-SA"/>
        </w:rPr>
        <w:t>وقد أكَّدت دراسة (Serrador &amp; Pinto, 2015) أن تطبيق منهجيات Agile يُسهم في تحسين أداء المشاريع بنسبةٍ تتجاوز 30% في كثيرٍ من الحالات، وذلك من خلال تحليلٍ شاملٍ لأكثر من ألف مشروعٍ في 65 دولة. كما أشارت دراسة (Mergel et al., 2018) إلى أن الحكومات حول العالم بدأت تتبنَّى مفهوم "الحكومة الرشيقة" (Agile Government) بشكلٍ متزايد، رغم وجود تحدياتٍ تتعلق بطبيعة العمل الحكومي والإجراءات البيروقراطية. وفي ضوء ذلك، يأمل الباحث أن تُسهم هذه الدراسة في إثراء المعرفة العلمية حول تطبيق Agile في القطاع الحكومي السعودي، وتوفير قاعدةٍ معرفيةٍ لصنَّاع القرار في وضع السياسات والاستراتيجيات المتعلقة بإدارة المشاريع.</w:t>
      </w:r>
    </w:p>
    <w:p w:rsidR="00B77B5F" w:rsidRDefault="00000000" w:rsidP="00ED7087">
      <w:pPr>
        <w:pStyle w:val="1"/>
        <w:keepNext/>
        <w:jc w:val="left"/>
      </w:pPr>
      <w:bookmarkStart w:id="1" w:name="_Toc233617737"/>
      <w:r>
        <w:rPr>
          <w:lang w:val="ar-SA"/>
        </w:rPr>
        <w:lastRenderedPageBreak/>
        <w:t>2.1 مشكلة الدراسة:</w:t>
      </w:r>
      <w:bookmarkEnd w:id="1"/>
    </w:p>
    <w:p w:rsidR="00B77B5F" w:rsidRDefault="00000000">
      <w:pPr>
        <w:keepLines/>
        <w:spacing w:after="120"/>
        <w:ind w:firstLine="284"/>
        <w:jc w:val="both"/>
      </w:pPr>
      <w:r>
        <w:rPr>
          <w:lang w:val="ar-SA"/>
        </w:rPr>
        <w:t>على الرغم من النجاحات اللافتة التي حققتها المملكة العربية السعودية في تنفيذ المشاريع الكبرى ضمن رؤية 2030، إلا أن دراساتٍ وتقاريرَ متعددةً تشير إلى أن نسبةً كبيرةً من المشاريع في المؤسسات الحكومية حول العالم تواجه تحدياتٍ في تحقيق أهدافها المخطَّطة، سواء من حيث الوقت أو التكلفة أو الجودة. فقد أشار تقرير Pulse of the Profession الصادر عن معهد إدارة المشاريع إلى أن 12% فقط من المؤسسات تُعدُّ ناضجةً في إدارة المشاريع، وأن 11.4% من كل دولارٍ يُستثمر يُهدر بسبب ضعف أداء المشاريع (Project Management Institute, 2021). وهذه الأرقام تُمثِّل تحديًا حقيقيًّا للمؤسسات، خاصةً في القطاع الحكومي الذي يعتمد على المال العام.</w:t>
      </w:r>
    </w:p>
    <w:p w:rsidR="00B77B5F" w:rsidRDefault="00000000">
      <w:pPr>
        <w:keepLines/>
        <w:spacing w:after="120"/>
        <w:ind w:firstLine="284"/>
        <w:jc w:val="both"/>
      </w:pPr>
      <w:r>
        <w:rPr>
          <w:lang w:val="ar-SA"/>
        </w:rPr>
        <w:t>وفي البيئة الحكومية السعودية تحديدًا، يُلاحَظ أن كثيرًا من المشاريع تواجه تحدياتٍ تتعلق بطول دورة التخطيط، وصلابة الإجراءات البيروقراطية، وضعف التكيُّف مع المتغيِّرات، وضعف إشراك أصحاب المصلحة في مراحل التنفيذ. وتُمثِّل هذه التحديات مدخلًا لتساؤلٍ علميٍ مهم: هل يُمكن أن يُسهم تطبيق منهجيات إدارة المشاريع الرشيقة في تجاوز هذه التحديات وتعزيز نجاح المشاريع الحكومية السعودية؟ وما هي الأبعاد التي يتأثر بها نجاح المشاريع أكثر من غيرها عند تطبيق Agile؟ وما هي العوامل التي تُمكِّن من الاستفادة المثلى من هذه المنهجيات في السياق الحكومي السعودي؟</w:t>
      </w:r>
    </w:p>
    <w:p w:rsidR="00B77B5F" w:rsidRDefault="00000000">
      <w:pPr>
        <w:keepLines/>
        <w:spacing w:after="120"/>
        <w:ind w:firstLine="284"/>
        <w:jc w:val="both"/>
      </w:pPr>
      <w:r>
        <w:rPr>
          <w:lang w:val="ar-SA"/>
        </w:rPr>
        <w:t>ومن خلال مراجعة الأدبيات والممارسات الحالية، تبيَّن للباحث أن المؤسسات الحكومية السعودية تتفاوت في درجة تطبيقها لمنهجيات Agile، حيث تطبِّقها بعض المؤسسات بشكلٍ كاملٍ ومتقدِّم، في حين تطبِّقها مؤسساتٌ أخرى بشكلٍ جزئيٍ أو هجين، وما زالت مؤسساتٌ أخرى تعتمد على المنهجيات التقليدية بشكلٍ كامل. كما تتباين النتائج التي تحققها هذه المؤسسات من تطبيق Agile، مما يطرح تساؤلًا مهمًا حول العوامل التي تؤثر في هذا التفاوت.</w:t>
      </w:r>
    </w:p>
    <w:p w:rsidR="00B77B5F" w:rsidRDefault="00000000">
      <w:pPr>
        <w:keepLines/>
        <w:spacing w:after="120"/>
        <w:ind w:firstLine="284"/>
        <w:jc w:val="both"/>
      </w:pPr>
      <w:r>
        <w:rPr>
          <w:lang w:val="ar-SA"/>
        </w:rPr>
        <w:t>ورغم تعدُّد الدراسات التي تناولت منهجيات Agile وأثرها على نجاح المشاريع في القطاعات المختلفة، إلا أن الدراسات التي تناولت أثر هذه المنهجيات في البيئة الحكومية السعودية بشكلٍ خاصٍّ تبقى محدودة. فمعظم الدراسات السابقة تناولت إما القطاع الخاص، أو قطاع تطوير البرمجيات، أو بيئاتٍ أجنبيةٍ تختلف في خصائصها عن البيئة الحكومية السعودية. وهذه فجوةٌ بحثيةٌ واضحةٌ تستحق التناول العلمي الجاد، خاصةً في ظل التحوُّلات الكبرى التي تشهدها المملكة في إطار رؤية 2030.</w:t>
      </w:r>
    </w:p>
    <w:p w:rsidR="00B77B5F" w:rsidRDefault="00000000">
      <w:pPr>
        <w:keepLines/>
        <w:spacing w:after="120"/>
        <w:ind w:firstLine="284"/>
        <w:jc w:val="both"/>
      </w:pPr>
      <w:r>
        <w:rPr>
          <w:lang w:val="ar-SA"/>
        </w:rPr>
        <w:t>ومن هنا، تتبلور مشكلة البحث في الحاجة إلى دراسةٍ علميةٍ موضوعيةٍ تقيس أثر تطبيق منهجيات إدارة المشاريع الرشيقة على نجاح المشاريع في المؤسسات الحكومية في المملكة العربية السعودية، وتُحدِّد أبعاد هذا الأثر، ومدى ارتباطه بكل بُعدٍ من أبعاد نجاح المشروع. ويُمكن صياغة مشكلة الدراسة في السؤال الرئيس التالي:</w:t>
      </w:r>
    </w:p>
    <w:p w:rsidR="00B77B5F" w:rsidRDefault="00000000">
      <w:pPr>
        <w:keepLines/>
        <w:spacing w:after="120"/>
        <w:jc w:val="both"/>
      </w:pPr>
      <w:r>
        <w:rPr>
          <w:lang w:val="ar-SA"/>
        </w:rPr>
        <w:lastRenderedPageBreak/>
        <w:t>"ما أثر تطبيق منهجيات إدارة المشاريع الرشيقة (Agile) على نجاح المشاريع في المؤسسات الحكومية في المملكة العربية السعودية؟"</w:t>
      </w:r>
    </w:p>
    <w:p w:rsidR="00B77B5F" w:rsidRDefault="00000000" w:rsidP="00ED7087">
      <w:pPr>
        <w:pStyle w:val="1"/>
        <w:keepNext/>
        <w:jc w:val="left"/>
      </w:pPr>
      <w:bookmarkStart w:id="2" w:name="_Toc233617738"/>
      <w:r>
        <w:rPr>
          <w:lang w:val="ar-SA"/>
        </w:rPr>
        <w:t>3.1 أهمية الدراسة:</w:t>
      </w:r>
      <w:bookmarkEnd w:id="2"/>
    </w:p>
    <w:p w:rsidR="00B77B5F" w:rsidRDefault="00000000">
      <w:pPr>
        <w:keepLines/>
        <w:spacing w:after="120"/>
        <w:ind w:firstLine="284"/>
        <w:jc w:val="both"/>
      </w:pPr>
      <w:r>
        <w:rPr>
          <w:lang w:val="ar-SA"/>
        </w:rPr>
        <w:t>تنبثق أهمية هذه الدراسة من جانبَين رئيسَين: جانبٌ علميٌ نظري، وجانبٌ تطبيقيٌ عملي، وفيما يلي تفصيلٌ لهذين الجانبين:</w:t>
      </w:r>
    </w:p>
    <w:p w:rsidR="00B77B5F" w:rsidRDefault="00000000" w:rsidP="00ED7087">
      <w:pPr>
        <w:pStyle w:val="2"/>
        <w:keepNext/>
        <w:jc w:val="left"/>
      </w:pPr>
      <w:bookmarkStart w:id="3" w:name="_Toc233617739"/>
      <w:r>
        <w:rPr>
          <w:lang w:val="ar-SA"/>
        </w:rPr>
        <w:t>أولًا: الأهمية النظرية</w:t>
      </w:r>
      <w:bookmarkEnd w:id="3"/>
    </w:p>
    <w:p w:rsidR="00B77B5F" w:rsidRDefault="00000000">
      <w:pPr>
        <w:keepLines/>
        <w:spacing w:after="120"/>
        <w:ind w:firstLine="284"/>
        <w:jc w:val="both"/>
      </w:pPr>
      <w:r>
        <w:rPr>
          <w:lang w:val="ar-SA"/>
        </w:rPr>
        <w:t>تكتسب الدراسة الحالية أهميتها النظرية من خلال عدة جوانب:</w:t>
      </w:r>
    </w:p>
    <w:p w:rsidR="00B77B5F" w:rsidRDefault="00000000" w:rsidP="00ED7087">
      <w:pPr>
        <w:spacing w:after="80"/>
        <w:ind w:right="568"/>
      </w:pPr>
      <w:r>
        <w:rPr>
          <w:lang w:val="ar-SA"/>
        </w:rPr>
        <w:t>• تُسهم هذه الدراسة في إثراء المكتبة العربية بدراسةٍ علميةٍ متخصِّصةٍ في مجال إدارة المشاريع الرشيقة وأثرها على نجاح المشاريع، وذلك في سياق المؤسسات الحكومية السعودية تحديدًا، وهو موضوعٌ لم يحظَ بالقدر الكافي من البحث العلمي في الأدبيات العربية.</w:t>
      </w:r>
    </w:p>
    <w:p w:rsidR="00B77B5F" w:rsidRDefault="00000000" w:rsidP="00ED7087">
      <w:pPr>
        <w:spacing w:after="80"/>
        <w:ind w:right="568"/>
      </w:pPr>
      <w:r>
        <w:rPr>
          <w:lang w:val="ar-SA"/>
        </w:rPr>
        <w:t>• تُقدِّم إطارًا نظريًّا متكاملًا يجمع بين مفاهيم Agile الحديثة ومفاهيم نجاح المشاريع التقليدية والمعاصرة، مما يُسهم في تطوير المعرفة النظرية في هذا المجال.</w:t>
      </w:r>
    </w:p>
    <w:p w:rsidR="00B77B5F" w:rsidRDefault="00000000" w:rsidP="00ED7087">
      <w:pPr>
        <w:spacing w:after="80"/>
        <w:ind w:right="568"/>
      </w:pPr>
      <w:r>
        <w:rPr>
          <w:lang w:val="ar-SA"/>
        </w:rPr>
        <w:t>• تسدُّ فجوةً بحثيةً ملحوظةً في الأدبيات العربية المتعلقة بتطبيق Agile في القطاع الحكومي، حيث إن معظم الدراسات السابقة ركَّزت على القطاع الخاص أو على بيئاتٍ أجنبية ذات خصوصياتٍ مختلفة.</w:t>
      </w:r>
    </w:p>
    <w:p w:rsidR="00B77B5F" w:rsidRDefault="00000000" w:rsidP="00ED7087">
      <w:pPr>
        <w:spacing w:after="80"/>
        <w:ind w:right="568"/>
      </w:pPr>
      <w:r>
        <w:rPr>
          <w:lang w:val="ar-SA"/>
        </w:rPr>
        <w:t>• تفتح المجال لمزيدٍ من الدراسات المستقبلية حول علاقة المنهجيات الإدارية الحديثة بأداء المؤسسات الحكومية في المنطقة العربية، مما يُساعد على بناء قاعدةٍ معرفيةٍ متينةٍ في هذا المجال.</w:t>
      </w:r>
    </w:p>
    <w:p w:rsidR="00B77B5F" w:rsidRDefault="00000000" w:rsidP="00ED7087">
      <w:pPr>
        <w:spacing w:after="80"/>
        <w:ind w:right="568"/>
      </w:pPr>
      <w:r>
        <w:rPr>
          <w:lang w:val="ar-SA"/>
        </w:rPr>
        <w:t>• تُمثِّل دراسةً حديثةً في سياقٍ زمنيٍ مهمٍ (عام 2026)، حيث تشهد المملكة تحوُّلًا جوهريًّا في إدارة مشاريعها ضمن رؤية 2030، مما يجعل نتائجها ذات قيمةٍ علميةٍ واستراتيجيةٍ عالية.</w:t>
      </w:r>
    </w:p>
    <w:p w:rsidR="00B77B5F" w:rsidRDefault="00000000" w:rsidP="00ED7087">
      <w:pPr>
        <w:pStyle w:val="2"/>
        <w:keepNext/>
        <w:jc w:val="left"/>
      </w:pPr>
      <w:bookmarkStart w:id="4" w:name="_Toc233617740"/>
      <w:r>
        <w:rPr>
          <w:lang w:val="ar-SA"/>
        </w:rPr>
        <w:t>ثانيًا: الأهمية التطبيقية</w:t>
      </w:r>
      <w:bookmarkEnd w:id="4"/>
    </w:p>
    <w:p w:rsidR="00B77B5F" w:rsidRDefault="00000000">
      <w:pPr>
        <w:keepLines/>
        <w:spacing w:after="120"/>
        <w:ind w:firstLine="284"/>
        <w:jc w:val="both"/>
      </w:pPr>
      <w:r>
        <w:rPr>
          <w:lang w:val="ar-SA"/>
        </w:rPr>
        <w:t>تكتسب الدراسة الحالية أهميتها التطبيقية من خلال عدة جوانب:</w:t>
      </w:r>
    </w:p>
    <w:p w:rsidR="00B77B5F" w:rsidRDefault="00000000" w:rsidP="00ED7087">
      <w:pPr>
        <w:spacing w:after="80"/>
        <w:ind w:right="568"/>
      </w:pPr>
      <w:r>
        <w:rPr>
          <w:lang w:val="ar-SA"/>
        </w:rPr>
        <w:t>• تُمكِّن صنَّاع القرار في المؤسسات الحكومية السعودية من فهم العلاقة بين تطبيق منهجيات Agile وتحقيق نجاح المشاريع، مما يُساعدهم على اتخاذ قراراتٍ تنظيميةٍ أكثر فاعلية.</w:t>
      </w:r>
    </w:p>
    <w:p w:rsidR="00B77B5F" w:rsidRDefault="00000000" w:rsidP="00ED7087">
      <w:pPr>
        <w:spacing w:after="80"/>
        <w:ind w:right="568"/>
      </w:pPr>
      <w:r>
        <w:rPr>
          <w:lang w:val="ar-SA"/>
        </w:rPr>
        <w:t>• تُقدِّم توصياتٍ عمليةً للمؤسسات الحكومية حول كيفية تعزيز تطبيق منهجيات Agile لتحسين أداء مشاريعها، خاصةً في الأبعاد التي تحتاج إلى تطوير.</w:t>
      </w:r>
    </w:p>
    <w:p w:rsidR="00B77B5F" w:rsidRDefault="00000000" w:rsidP="00ED7087">
      <w:pPr>
        <w:spacing w:after="80"/>
        <w:ind w:right="568"/>
      </w:pPr>
      <w:r>
        <w:rPr>
          <w:lang w:val="ar-SA"/>
        </w:rPr>
        <w:lastRenderedPageBreak/>
        <w:t>• تُسهم في دعم تحقيق أهداف رؤية المملكة 2030 المتعلقة بكفاءة الإنفاق الحكومي وتطوير الأداء المؤسسي، من خلال تعزيز ثقافة الرشاقة في القطاع الحكومي.</w:t>
      </w:r>
    </w:p>
    <w:p w:rsidR="00B77B5F" w:rsidRDefault="00000000" w:rsidP="00ED7087">
      <w:pPr>
        <w:spacing w:after="80"/>
        <w:ind w:right="568"/>
      </w:pPr>
      <w:r>
        <w:rPr>
          <w:lang w:val="ar-SA"/>
        </w:rPr>
        <w:t>• تُفيد مديري المشاريع والممارسين في القطاع الحكومي بتقديم معلوماتٍ مبنيةٍ على بياناتٍ ميدانيةٍ حول واقع تطبيق Agile وأثره، مما يُسهم في تطوير ممارساتهم المهنية.</w:t>
      </w:r>
    </w:p>
    <w:p w:rsidR="00B77B5F" w:rsidRDefault="00000000" w:rsidP="00ED7087">
      <w:pPr>
        <w:spacing w:after="80"/>
        <w:ind w:right="568"/>
      </w:pPr>
      <w:r>
        <w:rPr>
          <w:lang w:val="ar-SA"/>
        </w:rPr>
        <w:t>• تُعطي مؤشِّراتٍ لجهات التدريب والتطوير حول الجوانب التي تحتاج إلى تركيزٍ أكبر في برامج تأهيل مديري المشاريع الحكوميين، خاصةً فيما يتعلق بالأدوات والتقنيات الرشيقة.</w:t>
      </w:r>
    </w:p>
    <w:p w:rsidR="00B77B5F" w:rsidRDefault="00000000" w:rsidP="00ED7087">
      <w:pPr>
        <w:spacing w:after="80"/>
        <w:ind w:right="568"/>
      </w:pPr>
      <w:r>
        <w:rPr>
          <w:lang w:val="ar-SA"/>
        </w:rPr>
        <w:t>• تُساعد الباحثين والأكاديميين في الجامعات السعودية على تطوير برامج تعليميةٍ وبحثيةٍ في مجال إدارة المشاريع الرشيقة، مما يُسهم في إعداد كوادرَ مؤهَّلةٍ لخدمة سوق العمل.</w:t>
      </w:r>
    </w:p>
    <w:p w:rsidR="00B77B5F" w:rsidRDefault="00000000" w:rsidP="00ED7087">
      <w:pPr>
        <w:pStyle w:val="1"/>
        <w:keepNext/>
        <w:jc w:val="left"/>
      </w:pPr>
      <w:bookmarkStart w:id="5" w:name="_Toc233617741"/>
      <w:r>
        <w:rPr>
          <w:lang w:val="ar-SA"/>
        </w:rPr>
        <w:t>4.1 أهداف الدراسة:</w:t>
      </w:r>
      <w:bookmarkEnd w:id="5"/>
    </w:p>
    <w:p w:rsidR="00B77B5F" w:rsidRDefault="00000000">
      <w:pPr>
        <w:keepLines/>
        <w:spacing w:after="120"/>
        <w:ind w:firstLine="284"/>
        <w:jc w:val="both"/>
      </w:pPr>
      <w:r>
        <w:rPr>
          <w:lang w:val="ar-SA"/>
        </w:rPr>
        <w:t>تسعى هذه الدراسة إلى تحقيق مجموعةٍ من الأهداف العلمية والتطبيقية، يمكن تلخيصها فيما يلي:</w:t>
      </w:r>
    </w:p>
    <w:p w:rsidR="00B77B5F" w:rsidRDefault="00000000" w:rsidP="00ED7087">
      <w:pPr>
        <w:spacing w:after="80"/>
        <w:ind w:right="568"/>
      </w:pPr>
      <w:r>
        <w:rPr>
          <w:lang w:val="ar-SA"/>
        </w:rPr>
        <w:t>• التعرُّف على أثر تطبيق منهجيات إدارة المشاريع الرشيقة (Agile) على نجاح المشاريع في المؤسسات الحكومية في المملكة العربية السعودية بشكلٍ عام.</w:t>
      </w:r>
    </w:p>
    <w:p w:rsidR="00B77B5F" w:rsidRDefault="00000000" w:rsidP="00ED7087">
      <w:pPr>
        <w:spacing w:after="80"/>
        <w:ind w:right="568"/>
      </w:pPr>
      <w:r>
        <w:rPr>
          <w:lang w:val="ar-SA"/>
        </w:rPr>
        <w:t>• التعرُّف على أثر تطبيق منهجيات Agile على الالتزام بالوقت في المشاريع الحكومية.</w:t>
      </w:r>
    </w:p>
    <w:p w:rsidR="00B77B5F" w:rsidRDefault="00000000" w:rsidP="00ED7087">
      <w:pPr>
        <w:spacing w:after="80"/>
        <w:ind w:right="568"/>
      </w:pPr>
      <w:r>
        <w:rPr>
          <w:lang w:val="ar-SA"/>
        </w:rPr>
        <w:t>• التعرُّف على أثر تطبيق منهجيات Agile على الالتزام بالميزانية في المشاريع الحكومية.</w:t>
      </w:r>
    </w:p>
    <w:p w:rsidR="00B77B5F" w:rsidRDefault="00000000" w:rsidP="00ED7087">
      <w:pPr>
        <w:spacing w:after="80"/>
        <w:ind w:right="568"/>
      </w:pPr>
      <w:r>
        <w:rPr>
          <w:lang w:val="ar-SA"/>
        </w:rPr>
        <w:t>• التعرُّف على أثر تطبيق منهجيات Agile على جودة مخرجات المشاريع الحكومية.</w:t>
      </w:r>
    </w:p>
    <w:p w:rsidR="00B77B5F" w:rsidRDefault="00000000" w:rsidP="00ED7087">
      <w:pPr>
        <w:spacing w:after="80"/>
        <w:ind w:right="568"/>
      </w:pPr>
      <w:r>
        <w:rPr>
          <w:lang w:val="ar-SA"/>
        </w:rPr>
        <w:t>• التعرُّف على أثر تطبيق منهجيات Agile على رضا أصحاب المصلحة في المشاريع الحكومية.</w:t>
      </w:r>
    </w:p>
    <w:p w:rsidR="00B77B5F" w:rsidRDefault="00000000" w:rsidP="00ED7087">
      <w:pPr>
        <w:spacing w:after="80"/>
        <w:ind w:right="568"/>
      </w:pPr>
      <w:r>
        <w:rPr>
          <w:lang w:val="ar-SA"/>
        </w:rPr>
        <w:t>• التعرُّف على أثر تطبيق منهجيات Agile على تحقيق الأهداف الاستراتيجية للمشاريع الحكومية.</w:t>
      </w:r>
    </w:p>
    <w:p w:rsidR="00B77B5F" w:rsidRDefault="00000000" w:rsidP="00ED7087">
      <w:pPr>
        <w:spacing w:after="80"/>
        <w:ind w:right="568"/>
      </w:pPr>
      <w:r>
        <w:rPr>
          <w:lang w:val="ar-SA"/>
        </w:rPr>
        <w:t>• تحديد مستوى تطبيق منهجيات Agile في المؤسسات الحكومية السعودية من حيث الأبعاد الأربعة المعتمدة في الدراسة.</w:t>
      </w:r>
    </w:p>
    <w:p w:rsidR="00B77B5F" w:rsidRDefault="00000000" w:rsidP="00ED7087">
      <w:pPr>
        <w:spacing w:after="80"/>
        <w:ind w:right="568"/>
      </w:pPr>
      <w:r>
        <w:rPr>
          <w:lang w:val="ar-SA"/>
        </w:rPr>
        <w:t>• تحديد مستوى نجاح المشاريع في المؤسسات الحكومية السعودية من حيث الأبعاد الخمسة المعتمدة في الدراسة.</w:t>
      </w:r>
    </w:p>
    <w:p w:rsidR="00B77B5F" w:rsidRDefault="00000000" w:rsidP="00ED7087">
      <w:pPr>
        <w:spacing w:after="80"/>
        <w:ind w:right="568"/>
      </w:pPr>
      <w:r>
        <w:rPr>
          <w:lang w:val="ar-SA"/>
        </w:rPr>
        <w:t>• تقديم توصياتٍ عمليةٍ للمؤسسات الحكومية السعودية لتعزيز تطبيق منهجيات Agile بشكلٍ فاعل ودعم نجاح مشاريعها.</w:t>
      </w:r>
    </w:p>
    <w:p w:rsidR="00B77B5F" w:rsidRDefault="00000000" w:rsidP="00C86245">
      <w:pPr>
        <w:pStyle w:val="1"/>
        <w:keepNext/>
        <w:jc w:val="left"/>
      </w:pPr>
      <w:bookmarkStart w:id="6" w:name="_Toc233617742"/>
      <w:r>
        <w:rPr>
          <w:lang w:val="ar-SA"/>
        </w:rPr>
        <w:lastRenderedPageBreak/>
        <w:t>5.1 تساؤلات الدراسة:</w:t>
      </w:r>
      <w:bookmarkEnd w:id="6"/>
    </w:p>
    <w:p w:rsidR="00B77B5F" w:rsidRDefault="00000000" w:rsidP="00C86245">
      <w:pPr>
        <w:pStyle w:val="2"/>
        <w:keepNext/>
        <w:jc w:val="left"/>
      </w:pPr>
      <w:bookmarkStart w:id="7" w:name="_Toc233617743"/>
      <w:r>
        <w:rPr>
          <w:lang w:val="ar-SA"/>
        </w:rPr>
        <w:t>التساؤل الرئيس:</w:t>
      </w:r>
      <w:bookmarkEnd w:id="7"/>
    </w:p>
    <w:p w:rsidR="00B77B5F" w:rsidRDefault="00000000">
      <w:pPr>
        <w:keepLines/>
        <w:spacing w:after="120"/>
        <w:jc w:val="both"/>
      </w:pPr>
      <w:r>
        <w:rPr>
          <w:lang w:val="ar-SA"/>
        </w:rPr>
        <w:t>ما أثر تطبيق منهجيات إدارة المشاريع الرشيقة (Agile) على نجاح المشاريع في المؤسسات الحكومية في المملكة العربية السعودية؟</w:t>
      </w:r>
    </w:p>
    <w:p w:rsidR="00B77B5F" w:rsidRDefault="00000000" w:rsidP="00C86245">
      <w:pPr>
        <w:pStyle w:val="2"/>
        <w:keepNext/>
        <w:jc w:val="left"/>
      </w:pPr>
      <w:bookmarkStart w:id="8" w:name="_Toc233617744"/>
      <w:r>
        <w:rPr>
          <w:lang w:val="ar-SA"/>
        </w:rPr>
        <w:t>التساؤلات الفرعية:</w:t>
      </w:r>
      <w:bookmarkEnd w:id="8"/>
    </w:p>
    <w:p w:rsidR="00B77B5F" w:rsidRDefault="00000000">
      <w:pPr>
        <w:keepLines/>
        <w:spacing w:after="120"/>
        <w:ind w:firstLine="284"/>
        <w:jc w:val="both"/>
      </w:pPr>
      <w:r>
        <w:rPr>
          <w:lang w:val="ar-SA"/>
        </w:rPr>
        <w:t>ينبثق عن التساؤل الرئيس خمسة تساؤلاتٍ فرعية، هي:</w:t>
      </w:r>
    </w:p>
    <w:p w:rsidR="00B77B5F" w:rsidRDefault="00000000" w:rsidP="00E73C8E">
      <w:pPr>
        <w:spacing w:after="80"/>
        <w:ind w:right="568"/>
      </w:pPr>
      <w:r>
        <w:rPr>
          <w:lang w:val="ar-SA"/>
        </w:rPr>
        <w:t>• ما أثر تطبيق منهجيات Agile على الالتزام بالوقت في المشاريع الحكومية السعودية؟</w:t>
      </w:r>
    </w:p>
    <w:p w:rsidR="00B77B5F" w:rsidRDefault="00000000" w:rsidP="00E73C8E">
      <w:pPr>
        <w:spacing w:after="80"/>
        <w:ind w:right="568"/>
      </w:pPr>
      <w:r>
        <w:rPr>
          <w:lang w:val="ar-SA"/>
        </w:rPr>
        <w:t>• ما أثر تطبيق منهجيات Agile على الالتزام بالميزانية في المشاريع الحكومية السعودية؟</w:t>
      </w:r>
    </w:p>
    <w:p w:rsidR="00B77B5F" w:rsidRDefault="00000000" w:rsidP="00E73C8E">
      <w:pPr>
        <w:spacing w:after="80"/>
        <w:ind w:right="568"/>
      </w:pPr>
      <w:r>
        <w:rPr>
          <w:lang w:val="ar-SA"/>
        </w:rPr>
        <w:t>• ما أثر تطبيق منهجيات Agile على جودة مخرجات المشاريع الحكومية السعودية؟</w:t>
      </w:r>
    </w:p>
    <w:p w:rsidR="00B77B5F" w:rsidRDefault="00000000" w:rsidP="00E73C8E">
      <w:pPr>
        <w:spacing w:after="80"/>
        <w:ind w:right="568"/>
      </w:pPr>
      <w:r>
        <w:rPr>
          <w:lang w:val="ar-SA"/>
        </w:rPr>
        <w:t>• ما أثر تطبيق منهجيات Agile على رضا أصحاب المصلحة في المشاريع الحكومية السعودية؟</w:t>
      </w:r>
    </w:p>
    <w:p w:rsidR="00B77B5F" w:rsidRDefault="00000000" w:rsidP="00E73C8E">
      <w:pPr>
        <w:spacing w:after="80"/>
        <w:ind w:right="568"/>
      </w:pPr>
      <w:r>
        <w:rPr>
          <w:lang w:val="ar-SA"/>
        </w:rPr>
        <w:t>• ما أثر تطبيق منهجيات Agile على تحقيق الأهداف الاستراتيجية للمشاريع الحكومية السعودية؟</w:t>
      </w:r>
    </w:p>
    <w:p w:rsidR="00B77B5F" w:rsidRDefault="00000000" w:rsidP="00E73C8E">
      <w:pPr>
        <w:pStyle w:val="1"/>
        <w:keepNext/>
        <w:jc w:val="left"/>
      </w:pPr>
      <w:bookmarkStart w:id="9" w:name="_Toc233617745"/>
      <w:r>
        <w:rPr>
          <w:lang w:val="ar-SA"/>
        </w:rPr>
        <w:t>6.1 فروض الدراسة:</w:t>
      </w:r>
      <w:bookmarkEnd w:id="9"/>
    </w:p>
    <w:p w:rsidR="00B77B5F" w:rsidRDefault="00000000">
      <w:pPr>
        <w:keepLines/>
        <w:spacing w:after="120"/>
        <w:ind w:firstLine="284"/>
        <w:jc w:val="both"/>
      </w:pPr>
      <w:r>
        <w:rPr>
          <w:lang w:val="ar-SA"/>
        </w:rPr>
        <w:t>استنادًا إلى مشكلة البحث وتساؤلاته وأهدافه ومراجعة الأدبيات السابقة، صاغ الباحث الفروض التالية:</w:t>
      </w:r>
    </w:p>
    <w:p w:rsidR="00B77B5F" w:rsidRDefault="00000000" w:rsidP="00E73C8E">
      <w:pPr>
        <w:pStyle w:val="2"/>
        <w:keepNext/>
        <w:jc w:val="left"/>
      </w:pPr>
      <w:bookmarkStart w:id="10" w:name="_Toc233617746"/>
      <w:r>
        <w:rPr>
          <w:lang w:val="ar-SA"/>
        </w:rPr>
        <w:t>الفرض الرئيس:</w:t>
      </w:r>
      <w:bookmarkEnd w:id="10"/>
    </w:p>
    <w:p w:rsidR="00B77B5F" w:rsidRDefault="00000000">
      <w:pPr>
        <w:keepLines/>
        <w:spacing w:after="120"/>
        <w:jc w:val="both"/>
      </w:pPr>
      <w:r>
        <w:rPr>
          <w:lang w:val="ar-SA"/>
        </w:rPr>
        <w:t>توجد علاقةٌ ذات دلالةٍ إحصائيةٍ عند مستوى دلالة (α ≤ 0.05) بين تطبيق منهجيات إدارة المشاريع الرشيقة (Agile) ونجاح المشاريع في المؤسسات الحكومية في المملكة العربية السعودية.</w:t>
      </w:r>
    </w:p>
    <w:p w:rsidR="00B77B5F" w:rsidRDefault="00000000" w:rsidP="00BE6BB4">
      <w:pPr>
        <w:pStyle w:val="2"/>
        <w:keepNext/>
        <w:jc w:val="left"/>
      </w:pPr>
      <w:bookmarkStart w:id="11" w:name="_Toc233617747"/>
      <w:r>
        <w:rPr>
          <w:lang w:val="ar-SA"/>
        </w:rPr>
        <w:t>الفروض الفرعية:</w:t>
      </w:r>
      <w:bookmarkEnd w:id="11"/>
    </w:p>
    <w:p w:rsidR="00B77B5F" w:rsidRDefault="00000000">
      <w:pPr>
        <w:keepLines/>
        <w:spacing w:after="120"/>
        <w:ind w:firstLine="284"/>
        <w:jc w:val="both"/>
      </w:pPr>
      <w:r>
        <w:rPr>
          <w:lang w:val="ar-SA"/>
        </w:rPr>
        <w:t>ينبثق عن الفرض الرئيس خمسة فروضٍ فرعية:</w:t>
      </w:r>
    </w:p>
    <w:p w:rsidR="00B77B5F" w:rsidRDefault="00000000" w:rsidP="00BE6BB4">
      <w:pPr>
        <w:spacing w:after="80"/>
        <w:ind w:right="568"/>
      </w:pPr>
      <w:r>
        <w:rPr>
          <w:lang w:val="ar-SA"/>
        </w:rPr>
        <w:t>• الفرض الفرعي الأول: توجد علاقةٌ ذات دلالةٍ إحصائيةٍ بين تطبيق منهجيات Agile والالتزام بالوقت في المشاريع الحكومية السعودية.</w:t>
      </w:r>
    </w:p>
    <w:p w:rsidR="00B77B5F" w:rsidRDefault="00000000" w:rsidP="00BE6BB4">
      <w:pPr>
        <w:spacing w:after="80"/>
        <w:ind w:right="568"/>
      </w:pPr>
      <w:r>
        <w:rPr>
          <w:lang w:val="ar-SA"/>
        </w:rPr>
        <w:t>• الفرض الفرعي الثاني: توجد علاقةٌ ذات دلالةٍ إحصائيةٍ بين تطبيق منهجيات Agile والالتزام بالميزانية في المشاريع الحكومية السعودية.</w:t>
      </w:r>
    </w:p>
    <w:p w:rsidR="00B77B5F" w:rsidRDefault="00000000" w:rsidP="00BE6BB4">
      <w:pPr>
        <w:spacing w:after="80"/>
        <w:ind w:right="568"/>
      </w:pPr>
      <w:r>
        <w:rPr>
          <w:lang w:val="ar-SA"/>
        </w:rPr>
        <w:t>• الفرض الفرعي الثالث: توجد علاقةٌ ذات دلالةٍ إحصائيةٍ بين تطبيق منهجيات Agile وجودة مخرجات المشاريع الحكومية السعودية.</w:t>
      </w:r>
    </w:p>
    <w:p w:rsidR="00B77B5F" w:rsidRDefault="00000000" w:rsidP="00FB2DDA">
      <w:pPr>
        <w:spacing w:after="80"/>
        <w:ind w:right="568"/>
      </w:pPr>
      <w:r>
        <w:rPr>
          <w:lang w:val="ar-SA"/>
        </w:rPr>
        <w:lastRenderedPageBreak/>
        <w:t>• الفرض الفرعي الرابع: توجد علاقةٌ ذات دلالةٍ إحصائيةٍ بين تطبيق منهجيات Agile ورضا أصحاب المصلحة في المشاريع الحكومية السعودية.</w:t>
      </w:r>
    </w:p>
    <w:p w:rsidR="00B77B5F" w:rsidRDefault="00000000" w:rsidP="00FB2DDA">
      <w:pPr>
        <w:spacing w:after="80"/>
        <w:ind w:right="568"/>
      </w:pPr>
      <w:r>
        <w:rPr>
          <w:lang w:val="ar-SA"/>
        </w:rPr>
        <w:t>• الفرض الفرعي الخامس: توجد علاقةٌ ذات دلالةٍ إحصائيةٍ بين تطبيق منهجيات Agile وتحقيق الأهداف الاستراتيجية للمشاريع الحكومية السعودية.</w:t>
      </w:r>
    </w:p>
    <w:p w:rsidR="00B77B5F" w:rsidRDefault="00000000" w:rsidP="00FB2DDA">
      <w:pPr>
        <w:pStyle w:val="1"/>
        <w:keepNext/>
        <w:jc w:val="left"/>
      </w:pPr>
      <w:bookmarkStart w:id="12" w:name="_Toc233617748"/>
      <w:r>
        <w:rPr>
          <w:lang w:val="ar-SA"/>
        </w:rPr>
        <w:t>7.1 نموذج الدراسة:</w:t>
      </w:r>
      <w:bookmarkEnd w:id="12"/>
    </w:p>
    <w:p w:rsidR="00B77B5F" w:rsidRDefault="00000000">
      <w:pPr>
        <w:keepLines/>
        <w:spacing w:after="120"/>
        <w:ind w:firstLine="284"/>
        <w:jc w:val="both"/>
      </w:pPr>
      <w:r>
        <w:rPr>
          <w:lang w:val="ar-SA"/>
        </w:rPr>
        <w:t>يقوم نموذج الدراسة على متغيرَين رئيسَين: المتغير المستقل (تطبيق منهجيات Agile) بأربعة أبعاد، والمتغير التابع (نجاح المشاريع) بخمسة أبعاد. وقد جرى اختيار هذه الأبعاد بعد مراجعةٍ مستفيضةٍ للأدبيات السابقة، وبما يضمن تغطيةً شاملةً للجوانب المختلفة لكلا المتغيرين. ويوضِّح الجدول (1-1) متغيرات الدراسة وأبعادها وأرقام الفقرات المتعلقة بها في الاستبانة:</w:t>
      </w:r>
    </w:p>
    <w:p w:rsidR="00B77B5F" w:rsidRDefault="00000000">
      <w:pPr>
        <w:keepNext/>
        <w:spacing w:before="200" w:after="60"/>
        <w:jc w:val="center"/>
      </w:pPr>
      <w:r>
        <w:rPr>
          <w:b/>
          <w:bCs/>
          <w:color w:val="333333"/>
          <w:sz w:val="24"/>
          <w:szCs w:val="24"/>
          <w:lang w:val="ar-SA"/>
        </w:rPr>
        <w:t>جدول (1-1): نموذج البحث ومتغيراته</w:t>
      </w:r>
    </w:p>
    <w:tbl>
      <w:tblPr>
        <w:bidiVisual/>
        <w:tblW w:w="90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070"/>
        <w:gridCol w:w="3596"/>
        <w:gridCol w:w="1334"/>
      </w:tblGrid>
      <w:tr w:rsidR="00B77B5F">
        <w:trPr>
          <w:jc w:val="center"/>
        </w:trPr>
        <w:tc>
          <w:tcPr>
            <w:tcW w:w="0" w:type="auto"/>
            <w:tcBorders>
              <w:top w:val="single" w:sz="4" w:space="0" w:color="777777"/>
              <w:left w:val="single" w:sz="4" w:space="0" w:color="777777"/>
              <w:bottom w:val="single" w:sz="4" w:space="0" w:color="777777"/>
              <w:right w:val="single" w:sz="4" w:space="0" w:color="777777"/>
            </w:tcBorders>
            <w:shd w:val="clear" w:color="auto" w:fill="1F3864"/>
            <w:tcMar>
              <w:top w:w="60" w:type="dxa"/>
              <w:left w:w="80" w:type="dxa"/>
              <w:bottom w:w="60" w:type="dxa"/>
              <w:right w:w="80" w:type="dxa"/>
            </w:tcMar>
            <w:vAlign w:val="center"/>
          </w:tcPr>
          <w:p w:rsidR="00B77B5F" w:rsidRDefault="00000000">
            <w:pPr>
              <w:jc w:val="center"/>
            </w:pPr>
            <w:r>
              <w:rPr>
                <w:b/>
                <w:bCs/>
                <w:color w:val="FFFFFF"/>
                <w:sz w:val="24"/>
                <w:szCs w:val="24"/>
                <w:lang w:val="ar-SA"/>
              </w:rPr>
              <w:t>المتغير</w:t>
            </w:r>
          </w:p>
        </w:tc>
        <w:tc>
          <w:tcPr>
            <w:tcW w:w="0" w:type="auto"/>
            <w:tcBorders>
              <w:top w:val="single" w:sz="4" w:space="0" w:color="777777"/>
              <w:left w:val="single" w:sz="4" w:space="0" w:color="777777"/>
              <w:bottom w:val="single" w:sz="4" w:space="0" w:color="777777"/>
              <w:right w:val="single" w:sz="4" w:space="0" w:color="777777"/>
            </w:tcBorders>
            <w:shd w:val="clear" w:color="auto" w:fill="1F3864"/>
            <w:tcMar>
              <w:top w:w="60" w:type="dxa"/>
              <w:left w:w="80" w:type="dxa"/>
              <w:bottom w:w="60" w:type="dxa"/>
              <w:right w:w="80" w:type="dxa"/>
            </w:tcMar>
            <w:vAlign w:val="center"/>
          </w:tcPr>
          <w:p w:rsidR="00B77B5F" w:rsidRDefault="00000000">
            <w:pPr>
              <w:jc w:val="center"/>
            </w:pPr>
            <w:r>
              <w:rPr>
                <w:b/>
                <w:bCs/>
                <w:color w:val="FFFFFF"/>
                <w:sz w:val="24"/>
                <w:szCs w:val="24"/>
                <w:lang w:val="ar-SA"/>
              </w:rPr>
              <w:t>الأبعاد</w:t>
            </w:r>
          </w:p>
        </w:tc>
        <w:tc>
          <w:tcPr>
            <w:tcW w:w="0" w:type="auto"/>
            <w:tcBorders>
              <w:top w:val="single" w:sz="4" w:space="0" w:color="777777"/>
              <w:left w:val="single" w:sz="4" w:space="0" w:color="777777"/>
              <w:bottom w:val="single" w:sz="4" w:space="0" w:color="777777"/>
              <w:right w:val="single" w:sz="4" w:space="0" w:color="777777"/>
            </w:tcBorders>
            <w:shd w:val="clear" w:color="auto" w:fill="1F3864"/>
            <w:tcMar>
              <w:top w:w="60" w:type="dxa"/>
              <w:left w:w="80" w:type="dxa"/>
              <w:bottom w:w="60" w:type="dxa"/>
              <w:right w:w="80" w:type="dxa"/>
            </w:tcMar>
            <w:vAlign w:val="center"/>
          </w:tcPr>
          <w:p w:rsidR="00B77B5F" w:rsidRDefault="00000000">
            <w:pPr>
              <w:jc w:val="center"/>
            </w:pPr>
            <w:r>
              <w:rPr>
                <w:b/>
                <w:bCs/>
                <w:color w:val="FFFFFF"/>
                <w:sz w:val="24"/>
                <w:szCs w:val="24"/>
                <w:lang w:val="ar-SA"/>
              </w:rPr>
              <w:t>أرقام الفقرات</w:t>
            </w:r>
          </w:p>
        </w:tc>
      </w:tr>
      <w:tr w:rsidR="00B77B5F">
        <w:trPr>
          <w:jc w:val="center"/>
        </w:trPr>
        <w:tc>
          <w:tcPr>
            <w:tcW w:w="0" w:type="auto"/>
            <w:tcBorders>
              <w:top w:val="single" w:sz="4" w:space="0" w:color="777777"/>
              <w:left w:val="single" w:sz="4" w:space="0" w:color="777777"/>
              <w:bottom w:val="single" w:sz="4" w:space="0" w:color="777777"/>
              <w:right w:val="single" w:sz="4" w:space="0" w:color="777777"/>
            </w:tcBorders>
            <w:tcMar>
              <w:top w:w="60" w:type="dxa"/>
              <w:left w:w="80" w:type="dxa"/>
              <w:bottom w:w="60" w:type="dxa"/>
              <w:right w:w="80" w:type="dxa"/>
            </w:tcMar>
            <w:vAlign w:val="center"/>
          </w:tcPr>
          <w:p w:rsidR="00B77B5F" w:rsidRDefault="00000000">
            <w:pPr>
              <w:jc w:val="center"/>
            </w:pPr>
            <w:r>
              <w:rPr>
                <w:b/>
                <w:bCs/>
                <w:color w:val="000000"/>
                <w:sz w:val="24"/>
                <w:szCs w:val="24"/>
                <w:lang w:val="ar-SA"/>
              </w:rPr>
              <w:t>المتغير المستقل: تطبيق منهجيات Agile</w:t>
            </w:r>
          </w:p>
        </w:tc>
        <w:tc>
          <w:tcPr>
            <w:tcW w:w="0" w:type="auto"/>
            <w:tcBorders>
              <w:top w:val="single" w:sz="4" w:space="0" w:color="777777"/>
              <w:left w:val="single" w:sz="4" w:space="0" w:color="777777"/>
              <w:bottom w:val="single" w:sz="4" w:space="0" w:color="777777"/>
              <w:right w:val="single" w:sz="4" w:space="0" w:color="777777"/>
            </w:tcBorders>
            <w:tcMar>
              <w:top w:w="60" w:type="dxa"/>
              <w:left w:w="80" w:type="dxa"/>
              <w:bottom w:w="60" w:type="dxa"/>
              <w:right w:w="80" w:type="dxa"/>
            </w:tcMar>
            <w:vAlign w:val="center"/>
          </w:tcPr>
          <w:p w:rsidR="00B77B5F" w:rsidRDefault="00000000">
            <w:pPr>
              <w:jc w:val="center"/>
            </w:pPr>
            <w:r>
              <w:rPr>
                <w:color w:val="000000"/>
                <w:sz w:val="24"/>
                <w:szCs w:val="24"/>
                <w:lang w:val="ar-SA"/>
              </w:rPr>
              <w:t>1. التخطيط التكيُّفي والمرونة</w:t>
            </w:r>
          </w:p>
        </w:tc>
        <w:tc>
          <w:tcPr>
            <w:tcW w:w="0" w:type="auto"/>
            <w:tcBorders>
              <w:top w:val="single" w:sz="4" w:space="0" w:color="777777"/>
              <w:left w:val="single" w:sz="4" w:space="0" w:color="777777"/>
              <w:bottom w:val="single" w:sz="4" w:space="0" w:color="777777"/>
              <w:right w:val="single" w:sz="4" w:space="0" w:color="777777"/>
            </w:tcBorders>
            <w:tcMar>
              <w:top w:w="60" w:type="dxa"/>
              <w:left w:w="80" w:type="dxa"/>
              <w:bottom w:w="60" w:type="dxa"/>
              <w:right w:w="80" w:type="dxa"/>
            </w:tcMar>
            <w:vAlign w:val="center"/>
          </w:tcPr>
          <w:p w:rsidR="00B77B5F" w:rsidRDefault="00000000">
            <w:pPr>
              <w:jc w:val="center"/>
            </w:pPr>
            <w:r>
              <w:rPr>
                <w:color w:val="000000"/>
                <w:sz w:val="24"/>
                <w:szCs w:val="24"/>
                <w:lang w:val="ar-SA"/>
              </w:rPr>
              <w:t>1-4</w:t>
            </w:r>
          </w:p>
        </w:tc>
      </w:tr>
      <w:tr w:rsidR="00B77B5F">
        <w:trPr>
          <w:jc w:val="center"/>
        </w:trPr>
        <w:tc>
          <w:tcPr>
            <w:tcW w:w="0" w:type="auto"/>
            <w:tcBorders>
              <w:top w:val="single" w:sz="4" w:space="0" w:color="777777"/>
              <w:left w:val="single" w:sz="4" w:space="0" w:color="777777"/>
              <w:bottom w:val="single" w:sz="4" w:space="0" w:color="777777"/>
              <w:right w:val="single" w:sz="4" w:space="0" w:color="777777"/>
            </w:tcBorders>
            <w:shd w:val="clear" w:color="auto" w:fill="F5F8FF"/>
            <w:tcMar>
              <w:top w:w="60" w:type="dxa"/>
              <w:left w:w="80" w:type="dxa"/>
              <w:bottom w:w="60" w:type="dxa"/>
              <w:right w:w="80" w:type="dxa"/>
            </w:tcMar>
            <w:vAlign w:val="center"/>
          </w:tcPr>
          <w:p w:rsidR="00B77B5F" w:rsidRDefault="00B77B5F">
            <w:pPr>
              <w:jc w:val="center"/>
            </w:pPr>
          </w:p>
        </w:tc>
        <w:tc>
          <w:tcPr>
            <w:tcW w:w="0" w:type="auto"/>
            <w:tcBorders>
              <w:top w:val="single" w:sz="4" w:space="0" w:color="777777"/>
              <w:left w:val="single" w:sz="4" w:space="0" w:color="777777"/>
              <w:bottom w:val="single" w:sz="4" w:space="0" w:color="777777"/>
              <w:right w:val="single" w:sz="4" w:space="0" w:color="777777"/>
            </w:tcBorders>
            <w:shd w:val="clear" w:color="auto" w:fill="F5F8FF"/>
            <w:tcMar>
              <w:top w:w="60" w:type="dxa"/>
              <w:left w:w="80" w:type="dxa"/>
              <w:bottom w:w="60" w:type="dxa"/>
              <w:right w:w="80" w:type="dxa"/>
            </w:tcMar>
            <w:vAlign w:val="center"/>
          </w:tcPr>
          <w:p w:rsidR="00B77B5F" w:rsidRDefault="00000000">
            <w:pPr>
              <w:jc w:val="center"/>
            </w:pPr>
            <w:r>
              <w:rPr>
                <w:color w:val="000000"/>
                <w:sz w:val="24"/>
                <w:szCs w:val="24"/>
                <w:lang w:val="ar-SA"/>
              </w:rPr>
              <w:t>2. التعاون وإشراك أصحاب المصلحة</w:t>
            </w:r>
          </w:p>
        </w:tc>
        <w:tc>
          <w:tcPr>
            <w:tcW w:w="0" w:type="auto"/>
            <w:tcBorders>
              <w:top w:val="single" w:sz="4" w:space="0" w:color="777777"/>
              <w:left w:val="single" w:sz="4" w:space="0" w:color="777777"/>
              <w:bottom w:val="single" w:sz="4" w:space="0" w:color="777777"/>
              <w:right w:val="single" w:sz="4" w:space="0" w:color="777777"/>
            </w:tcBorders>
            <w:shd w:val="clear" w:color="auto" w:fill="F5F8FF"/>
            <w:tcMar>
              <w:top w:w="60" w:type="dxa"/>
              <w:left w:w="80" w:type="dxa"/>
              <w:bottom w:w="60" w:type="dxa"/>
              <w:right w:w="80" w:type="dxa"/>
            </w:tcMar>
            <w:vAlign w:val="center"/>
          </w:tcPr>
          <w:p w:rsidR="00B77B5F" w:rsidRDefault="00000000">
            <w:pPr>
              <w:jc w:val="center"/>
            </w:pPr>
            <w:r>
              <w:rPr>
                <w:color w:val="000000"/>
                <w:sz w:val="24"/>
                <w:szCs w:val="24"/>
                <w:lang w:val="ar-SA"/>
              </w:rPr>
              <w:t>5-8</w:t>
            </w:r>
          </w:p>
        </w:tc>
      </w:tr>
      <w:tr w:rsidR="00B77B5F">
        <w:trPr>
          <w:jc w:val="center"/>
        </w:trPr>
        <w:tc>
          <w:tcPr>
            <w:tcW w:w="0" w:type="auto"/>
            <w:tcBorders>
              <w:top w:val="single" w:sz="4" w:space="0" w:color="777777"/>
              <w:left w:val="single" w:sz="4" w:space="0" w:color="777777"/>
              <w:bottom w:val="single" w:sz="4" w:space="0" w:color="777777"/>
              <w:right w:val="single" w:sz="4" w:space="0" w:color="777777"/>
            </w:tcBorders>
            <w:tcMar>
              <w:top w:w="60" w:type="dxa"/>
              <w:left w:w="80" w:type="dxa"/>
              <w:bottom w:w="60" w:type="dxa"/>
              <w:right w:w="80" w:type="dxa"/>
            </w:tcMar>
            <w:vAlign w:val="center"/>
          </w:tcPr>
          <w:p w:rsidR="00B77B5F" w:rsidRDefault="00B77B5F">
            <w:pPr>
              <w:jc w:val="center"/>
            </w:pPr>
          </w:p>
        </w:tc>
        <w:tc>
          <w:tcPr>
            <w:tcW w:w="0" w:type="auto"/>
            <w:tcBorders>
              <w:top w:val="single" w:sz="4" w:space="0" w:color="777777"/>
              <w:left w:val="single" w:sz="4" w:space="0" w:color="777777"/>
              <w:bottom w:val="single" w:sz="4" w:space="0" w:color="777777"/>
              <w:right w:val="single" w:sz="4" w:space="0" w:color="777777"/>
            </w:tcBorders>
            <w:tcMar>
              <w:top w:w="60" w:type="dxa"/>
              <w:left w:w="80" w:type="dxa"/>
              <w:bottom w:w="60" w:type="dxa"/>
              <w:right w:w="80" w:type="dxa"/>
            </w:tcMar>
            <w:vAlign w:val="center"/>
          </w:tcPr>
          <w:p w:rsidR="00B77B5F" w:rsidRDefault="00000000">
            <w:pPr>
              <w:jc w:val="center"/>
            </w:pPr>
            <w:r>
              <w:rPr>
                <w:color w:val="000000"/>
                <w:sz w:val="24"/>
                <w:szCs w:val="24"/>
                <w:lang w:val="ar-SA"/>
              </w:rPr>
              <w:t>3. التسليم المتكرر وضمان الجودة</w:t>
            </w:r>
          </w:p>
        </w:tc>
        <w:tc>
          <w:tcPr>
            <w:tcW w:w="0" w:type="auto"/>
            <w:tcBorders>
              <w:top w:val="single" w:sz="4" w:space="0" w:color="777777"/>
              <w:left w:val="single" w:sz="4" w:space="0" w:color="777777"/>
              <w:bottom w:val="single" w:sz="4" w:space="0" w:color="777777"/>
              <w:right w:val="single" w:sz="4" w:space="0" w:color="777777"/>
            </w:tcBorders>
            <w:tcMar>
              <w:top w:w="60" w:type="dxa"/>
              <w:left w:w="80" w:type="dxa"/>
              <w:bottom w:w="60" w:type="dxa"/>
              <w:right w:w="80" w:type="dxa"/>
            </w:tcMar>
            <w:vAlign w:val="center"/>
          </w:tcPr>
          <w:p w:rsidR="00B77B5F" w:rsidRDefault="00000000">
            <w:pPr>
              <w:jc w:val="center"/>
            </w:pPr>
            <w:r>
              <w:rPr>
                <w:color w:val="000000"/>
                <w:sz w:val="24"/>
                <w:szCs w:val="24"/>
                <w:lang w:val="ar-SA"/>
              </w:rPr>
              <w:t>9-12</w:t>
            </w:r>
          </w:p>
        </w:tc>
      </w:tr>
      <w:tr w:rsidR="00B77B5F">
        <w:trPr>
          <w:jc w:val="center"/>
        </w:trPr>
        <w:tc>
          <w:tcPr>
            <w:tcW w:w="0" w:type="auto"/>
            <w:tcBorders>
              <w:top w:val="single" w:sz="4" w:space="0" w:color="777777"/>
              <w:left w:val="single" w:sz="4" w:space="0" w:color="777777"/>
              <w:bottom w:val="single" w:sz="4" w:space="0" w:color="777777"/>
              <w:right w:val="single" w:sz="4" w:space="0" w:color="777777"/>
            </w:tcBorders>
            <w:shd w:val="clear" w:color="auto" w:fill="F5F8FF"/>
            <w:tcMar>
              <w:top w:w="60" w:type="dxa"/>
              <w:left w:w="80" w:type="dxa"/>
              <w:bottom w:w="60" w:type="dxa"/>
              <w:right w:w="80" w:type="dxa"/>
            </w:tcMar>
            <w:vAlign w:val="center"/>
          </w:tcPr>
          <w:p w:rsidR="00B77B5F" w:rsidRDefault="00B77B5F">
            <w:pPr>
              <w:jc w:val="center"/>
            </w:pPr>
          </w:p>
        </w:tc>
        <w:tc>
          <w:tcPr>
            <w:tcW w:w="0" w:type="auto"/>
            <w:tcBorders>
              <w:top w:val="single" w:sz="4" w:space="0" w:color="777777"/>
              <w:left w:val="single" w:sz="4" w:space="0" w:color="777777"/>
              <w:bottom w:val="single" w:sz="4" w:space="0" w:color="777777"/>
              <w:right w:val="single" w:sz="4" w:space="0" w:color="777777"/>
            </w:tcBorders>
            <w:shd w:val="clear" w:color="auto" w:fill="F5F8FF"/>
            <w:tcMar>
              <w:top w:w="60" w:type="dxa"/>
              <w:left w:w="80" w:type="dxa"/>
              <w:bottom w:w="60" w:type="dxa"/>
              <w:right w:w="80" w:type="dxa"/>
            </w:tcMar>
            <w:vAlign w:val="center"/>
          </w:tcPr>
          <w:p w:rsidR="00B77B5F" w:rsidRDefault="00000000">
            <w:pPr>
              <w:jc w:val="center"/>
            </w:pPr>
            <w:r>
              <w:rPr>
                <w:color w:val="000000"/>
                <w:sz w:val="24"/>
                <w:szCs w:val="24"/>
                <w:lang w:val="ar-SA"/>
              </w:rPr>
              <w:t>4. استخدام الأدوات والتقنيات الرشيقة</w:t>
            </w:r>
          </w:p>
        </w:tc>
        <w:tc>
          <w:tcPr>
            <w:tcW w:w="0" w:type="auto"/>
            <w:tcBorders>
              <w:top w:val="single" w:sz="4" w:space="0" w:color="777777"/>
              <w:left w:val="single" w:sz="4" w:space="0" w:color="777777"/>
              <w:bottom w:val="single" w:sz="4" w:space="0" w:color="777777"/>
              <w:right w:val="single" w:sz="4" w:space="0" w:color="777777"/>
            </w:tcBorders>
            <w:shd w:val="clear" w:color="auto" w:fill="F5F8FF"/>
            <w:tcMar>
              <w:top w:w="60" w:type="dxa"/>
              <w:left w:w="80" w:type="dxa"/>
              <w:bottom w:w="60" w:type="dxa"/>
              <w:right w:w="80" w:type="dxa"/>
            </w:tcMar>
            <w:vAlign w:val="center"/>
          </w:tcPr>
          <w:p w:rsidR="00B77B5F" w:rsidRDefault="00000000">
            <w:pPr>
              <w:jc w:val="center"/>
            </w:pPr>
            <w:r>
              <w:rPr>
                <w:color w:val="000000"/>
                <w:sz w:val="24"/>
                <w:szCs w:val="24"/>
                <w:lang w:val="ar-SA"/>
              </w:rPr>
              <w:t>13-15</w:t>
            </w:r>
          </w:p>
        </w:tc>
      </w:tr>
      <w:tr w:rsidR="00B77B5F">
        <w:trPr>
          <w:jc w:val="center"/>
        </w:trPr>
        <w:tc>
          <w:tcPr>
            <w:tcW w:w="0" w:type="auto"/>
            <w:tcBorders>
              <w:top w:val="single" w:sz="4" w:space="0" w:color="777777"/>
              <w:left w:val="single" w:sz="4" w:space="0" w:color="777777"/>
              <w:bottom w:val="single" w:sz="4" w:space="0" w:color="777777"/>
              <w:right w:val="single" w:sz="4" w:space="0" w:color="777777"/>
            </w:tcBorders>
            <w:tcMar>
              <w:top w:w="60" w:type="dxa"/>
              <w:left w:w="80" w:type="dxa"/>
              <w:bottom w:w="60" w:type="dxa"/>
              <w:right w:w="80" w:type="dxa"/>
            </w:tcMar>
            <w:vAlign w:val="center"/>
          </w:tcPr>
          <w:p w:rsidR="00B77B5F" w:rsidRDefault="00000000">
            <w:pPr>
              <w:jc w:val="center"/>
            </w:pPr>
            <w:r>
              <w:rPr>
                <w:b/>
                <w:bCs/>
                <w:color w:val="000000"/>
                <w:sz w:val="24"/>
                <w:szCs w:val="24"/>
                <w:lang w:val="ar-SA"/>
              </w:rPr>
              <w:t>المتغير التابع: نجاح المشاريع</w:t>
            </w:r>
          </w:p>
        </w:tc>
        <w:tc>
          <w:tcPr>
            <w:tcW w:w="0" w:type="auto"/>
            <w:tcBorders>
              <w:top w:val="single" w:sz="4" w:space="0" w:color="777777"/>
              <w:left w:val="single" w:sz="4" w:space="0" w:color="777777"/>
              <w:bottom w:val="single" w:sz="4" w:space="0" w:color="777777"/>
              <w:right w:val="single" w:sz="4" w:space="0" w:color="777777"/>
            </w:tcBorders>
            <w:tcMar>
              <w:top w:w="60" w:type="dxa"/>
              <w:left w:w="80" w:type="dxa"/>
              <w:bottom w:w="60" w:type="dxa"/>
              <w:right w:w="80" w:type="dxa"/>
            </w:tcMar>
            <w:vAlign w:val="center"/>
          </w:tcPr>
          <w:p w:rsidR="00B77B5F" w:rsidRDefault="00000000">
            <w:pPr>
              <w:jc w:val="center"/>
            </w:pPr>
            <w:r>
              <w:rPr>
                <w:color w:val="000000"/>
                <w:sz w:val="24"/>
                <w:szCs w:val="24"/>
                <w:lang w:val="ar-SA"/>
              </w:rPr>
              <w:t>1. الالتزام بالوقت</w:t>
            </w:r>
          </w:p>
        </w:tc>
        <w:tc>
          <w:tcPr>
            <w:tcW w:w="0" w:type="auto"/>
            <w:tcBorders>
              <w:top w:val="single" w:sz="4" w:space="0" w:color="777777"/>
              <w:left w:val="single" w:sz="4" w:space="0" w:color="777777"/>
              <w:bottom w:val="single" w:sz="4" w:space="0" w:color="777777"/>
              <w:right w:val="single" w:sz="4" w:space="0" w:color="777777"/>
            </w:tcBorders>
            <w:tcMar>
              <w:top w:w="60" w:type="dxa"/>
              <w:left w:w="80" w:type="dxa"/>
              <w:bottom w:w="60" w:type="dxa"/>
              <w:right w:w="80" w:type="dxa"/>
            </w:tcMar>
            <w:vAlign w:val="center"/>
          </w:tcPr>
          <w:p w:rsidR="00B77B5F" w:rsidRDefault="00000000">
            <w:pPr>
              <w:jc w:val="center"/>
            </w:pPr>
            <w:r>
              <w:rPr>
                <w:color w:val="000000"/>
                <w:sz w:val="24"/>
                <w:szCs w:val="24"/>
                <w:lang w:val="ar-SA"/>
              </w:rPr>
              <w:t>16-19</w:t>
            </w:r>
          </w:p>
        </w:tc>
      </w:tr>
      <w:tr w:rsidR="00B77B5F">
        <w:trPr>
          <w:jc w:val="center"/>
        </w:trPr>
        <w:tc>
          <w:tcPr>
            <w:tcW w:w="0" w:type="auto"/>
            <w:tcBorders>
              <w:top w:val="single" w:sz="4" w:space="0" w:color="777777"/>
              <w:left w:val="single" w:sz="4" w:space="0" w:color="777777"/>
              <w:bottom w:val="single" w:sz="4" w:space="0" w:color="777777"/>
              <w:right w:val="single" w:sz="4" w:space="0" w:color="777777"/>
            </w:tcBorders>
            <w:shd w:val="clear" w:color="auto" w:fill="F5F8FF"/>
            <w:tcMar>
              <w:top w:w="60" w:type="dxa"/>
              <w:left w:w="80" w:type="dxa"/>
              <w:bottom w:w="60" w:type="dxa"/>
              <w:right w:w="80" w:type="dxa"/>
            </w:tcMar>
            <w:vAlign w:val="center"/>
          </w:tcPr>
          <w:p w:rsidR="00B77B5F" w:rsidRDefault="00B77B5F">
            <w:pPr>
              <w:jc w:val="center"/>
            </w:pPr>
          </w:p>
        </w:tc>
        <w:tc>
          <w:tcPr>
            <w:tcW w:w="0" w:type="auto"/>
            <w:tcBorders>
              <w:top w:val="single" w:sz="4" w:space="0" w:color="777777"/>
              <w:left w:val="single" w:sz="4" w:space="0" w:color="777777"/>
              <w:bottom w:val="single" w:sz="4" w:space="0" w:color="777777"/>
              <w:right w:val="single" w:sz="4" w:space="0" w:color="777777"/>
            </w:tcBorders>
            <w:shd w:val="clear" w:color="auto" w:fill="F5F8FF"/>
            <w:tcMar>
              <w:top w:w="60" w:type="dxa"/>
              <w:left w:w="80" w:type="dxa"/>
              <w:bottom w:w="60" w:type="dxa"/>
              <w:right w:w="80" w:type="dxa"/>
            </w:tcMar>
            <w:vAlign w:val="center"/>
          </w:tcPr>
          <w:p w:rsidR="00B77B5F" w:rsidRDefault="00000000">
            <w:pPr>
              <w:jc w:val="center"/>
            </w:pPr>
            <w:r>
              <w:rPr>
                <w:color w:val="000000"/>
                <w:sz w:val="24"/>
                <w:szCs w:val="24"/>
                <w:lang w:val="ar-SA"/>
              </w:rPr>
              <w:t>2. الالتزام بالميزانية</w:t>
            </w:r>
          </w:p>
        </w:tc>
        <w:tc>
          <w:tcPr>
            <w:tcW w:w="0" w:type="auto"/>
            <w:tcBorders>
              <w:top w:val="single" w:sz="4" w:space="0" w:color="777777"/>
              <w:left w:val="single" w:sz="4" w:space="0" w:color="777777"/>
              <w:bottom w:val="single" w:sz="4" w:space="0" w:color="777777"/>
              <w:right w:val="single" w:sz="4" w:space="0" w:color="777777"/>
            </w:tcBorders>
            <w:shd w:val="clear" w:color="auto" w:fill="F5F8FF"/>
            <w:tcMar>
              <w:top w:w="60" w:type="dxa"/>
              <w:left w:w="80" w:type="dxa"/>
              <w:bottom w:w="60" w:type="dxa"/>
              <w:right w:w="80" w:type="dxa"/>
            </w:tcMar>
            <w:vAlign w:val="center"/>
          </w:tcPr>
          <w:p w:rsidR="00B77B5F" w:rsidRDefault="00000000">
            <w:pPr>
              <w:jc w:val="center"/>
            </w:pPr>
            <w:r>
              <w:rPr>
                <w:color w:val="000000"/>
                <w:sz w:val="24"/>
                <w:szCs w:val="24"/>
                <w:lang w:val="ar-SA"/>
              </w:rPr>
              <w:t>20-23</w:t>
            </w:r>
          </w:p>
        </w:tc>
      </w:tr>
      <w:tr w:rsidR="00B77B5F">
        <w:trPr>
          <w:jc w:val="center"/>
        </w:trPr>
        <w:tc>
          <w:tcPr>
            <w:tcW w:w="0" w:type="auto"/>
            <w:tcBorders>
              <w:top w:val="single" w:sz="4" w:space="0" w:color="777777"/>
              <w:left w:val="single" w:sz="4" w:space="0" w:color="777777"/>
              <w:bottom w:val="single" w:sz="4" w:space="0" w:color="777777"/>
              <w:right w:val="single" w:sz="4" w:space="0" w:color="777777"/>
            </w:tcBorders>
            <w:tcMar>
              <w:top w:w="60" w:type="dxa"/>
              <w:left w:w="80" w:type="dxa"/>
              <w:bottom w:w="60" w:type="dxa"/>
              <w:right w:w="80" w:type="dxa"/>
            </w:tcMar>
            <w:vAlign w:val="center"/>
          </w:tcPr>
          <w:p w:rsidR="00B77B5F" w:rsidRDefault="00B77B5F">
            <w:pPr>
              <w:jc w:val="center"/>
            </w:pPr>
          </w:p>
        </w:tc>
        <w:tc>
          <w:tcPr>
            <w:tcW w:w="0" w:type="auto"/>
            <w:tcBorders>
              <w:top w:val="single" w:sz="4" w:space="0" w:color="777777"/>
              <w:left w:val="single" w:sz="4" w:space="0" w:color="777777"/>
              <w:bottom w:val="single" w:sz="4" w:space="0" w:color="777777"/>
              <w:right w:val="single" w:sz="4" w:space="0" w:color="777777"/>
            </w:tcBorders>
            <w:tcMar>
              <w:top w:w="60" w:type="dxa"/>
              <w:left w:w="80" w:type="dxa"/>
              <w:bottom w:w="60" w:type="dxa"/>
              <w:right w:w="80" w:type="dxa"/>
            </w:tcMar>
            <w:vAlign w:val="center"/>
          </w:tcPr>
          <w:p w:rsidR="00B77B5F" w:rsidRDefault="00000000">
            <w:pPr>
              <w:jc w:val="center"/>
            </w:pPr>
            <w:r>
              <w:rPr>
                <w:color w:val="000000"/>
                <w:sz w:val="24"/>
                <w:szCs w:val="24"/>
                <w:lang w:val="ar-SA"/>
              </w:rPr>
              <w:t>3. جودة المخرجات</w:t>
            </w:r>
          </w:p>
        </w:tc>
        <w:tc>
          <w:tcPr>
            <w:tcW w:w="0" w:type="auto"/>
            <w:tcBorders>
              <w:top w:val="single" w:sz="4" w:space="0" w:color="777777"/>
              <w:left w:val="single" w:sz="4" w:space="0" w:color="777777"/>
              <w:bottom w:val="single" w:sz="4" w:space="0" w:color="777777"/>
              <w:right w:val="single" w:sz="4" w:space="0" w:color="777777"/>
            </w:tcBorders>
            <w:tcMar>
              <w:top w:w="60" w:type="dxa"/>
              <w:left w:w="80" w:type="dxa"/>
              <w:bottom w:w="60" w:type="dxa"/>
              <w:right w:w="80" w:type="dxa"/>
            </w:tcMar>
            <w:vAlign w:val="center"/>
          </w:tcPr>
          <w:p w:rsidR="00B77B5F" w:rsidRDefault="00000000">
            <w:pPr>
              <w:jc w:val="center"/>
            </w:pPr>
            <w:r>
              <w:rPr>
                <w:color w:val="000000"/>
                <w:sz w:val="24"/>
                <w:szCs w:val="24"/>
                <w:lang w:val="ar-SA"/>
              </w:rPr>
              <w:t>24-27</w:t>
            </w:r>
          </w:p>
        </w:tc>
      </w:tr>
      <w:tr w:rsidR="00B77B5F">
        <w:trPr>
          <w:jc w:val="center"/>
        </w:trPr>
        <w:tc>
          <w:tcPr>
            <w:tcW w:w="0" w:type="auto"/>
            <w:tcBorders>
              <w:top w:val="single" w:sz="4" w:space="0" w:color="777777"/>
              <w:left w:val="single" w:sz="4" w:space="0" w:color="777777"/>
              <w:bottom w:val="single" w:sz="4" w:space="0" w:color="777777"/>
              <w:right w:val="single" w:sz="4" w:space="0" w:color="777777"/>
            </w:tcBorders>
            <w:shd w:val="clear" w:color="auto" w:fill="F5F8FF"/>
            <w:tcMar>
              <w:top w:w="60" w:type="dxa"/>
              <w:left w:w="80" w:type="dxa"/>
              <w:bottom w:w="60" w:type="dxa"/>
              <w:right w:w="80" w:type="dxa"/>
            </w:tcMar>
            <w:vAlign w:val="center"/>
          </w:tcPr>
          <w:p w:rsidR="00B77B5F" w:rsidRDefault="00B77B5F">
            <w:pPr>
              <w:jc w:val="center"/>
            </w:pPr>
          </w:p>
        </w:tc>
        <w:tc>
          <w:tcPr>
            <w:tcW w:w="0" w:type="auto"/>
            <w:tcBorders>
              <w:top w:val="single" w:sz="4" w:space="0" w:color="777777"/>
              <w:left w:val="single" w:sz="4" w:space="0" w:color="777777"/>
              <w:bottom w:val="single" w:sz="4" w:space="0" w:color="777777"/>
              <w:right w:val="single" w:sz="4" w:space="0" w:color="777777"/>
            </w:tcBorders>
            <w:shd w:val="clear" w:color="auto" w:fill="F5F8FF"/>
            <w:tcMar>
              <w:top w:w="60" w:type="dxa"/>
              <w:left w:w="80" w:type="dxa"/>
              <w:bottom w:w="60" w:type="dxa"/>
              <w:right w:w="80" w:type="dxa"/>
            </w:tcMar>
            <w:vAlign w:val="center"/>
          </w:tcPr>
          <w:p w:rsidR="00B77B5F" w:rsidRDefault="00000000">
            <w:pPr>
              <w:jc w:val="center"/>
            </w:pPr>
            <w:r>
              <w:rPr>
                <w:color w:val="000000"/>
                <w:sz w:val="24"/>
                <w:szCs w:val="24"/>
                <w:lang w:val="ar-SA"/>
              </w:rPr>
              <w:t>4. رضا أصحاب المصلحة</w:t>
            </w:r>
          </w:p>
        </w:tc>
        <w:tc>
          <w:tcPr>
            <w:tcW w:w="0" w:type="auto"/>
            <w:tcBorders>
              <w:top w:val="single" w:sz="4" w:space="0" w:color="777777"/>
              <w:left w:val="single" w:sz="4" w:space="0" w:color="777777"/>
              <w:bottom w:val="single" w:sz="4" w:space="0" w:color="777777"/>
              <w:right w:val="single" w:sz="4" w:space="0" w:color="777777"/>
            </w:tcBorders>
            <w:shd w:val="clear" w:color="auto" w:fill="F5F8FF"/>
            <w:tcMar>
              <w:top w:w="60" w:type="dxa"/>
              <w:left w:w="80" w:type="dxa"/>
              <w:bottom w:w="60" w:type="dxa"/>
              <w:right w:w="80" w:type="dxa"/>
            </w:tcMar>
            <w:vAlign w:val="center"/>
          </w:tcPr>
          <w:p w:rsidR="00B77B5F" w:rsidRDefault="00000000">
            <w:pPr>
              <w:jc w:val="center"/>
            </w:pPr>
            <w:r>
              <w:rPr>
                <w:color w:val="000000"/>
                <w:sz w:val="24"/>
                <w:szCs w:val="24"/>
                <w:lang w:val="ar-SA"/>
              </w:rPr>
              <w:t>28-31</w:t>
            </w:r>
          </w:p>
        </w:tc>
      </w:tr>
      <w:tr w:rsidR="00B77B5F">
        <w:trPr>
          <w:jc w:val="center"/>
        </w:trPr>
        <w:tc>
          <w:tcPr>
            <w:tcW w:w="0" w:type="auto"/>
            <w:tcBorders>
              <w:top w:val="single" w:sz="4" w:space="0" w:color="777777"/>
              <w:left w:val="single" w:sz="4" w:space="0" w:color="777777"/>
              <w:bottom w:val="single" w:sz="4" w:space="0" w:color="777777"/>
              <w:right w:val="single" w:sz="4" w:space="0" w:color="777777"/>
            </w:tcBorders>
            <w:tcMar>
              <w:top w:w="60" w:type="dxa"/>
              <w:left w:w="80" w:type="dxa"/>
              <w:bottom w:w="60" w:type="dxa"/>
              <w:right w:w="80" w:type="dxa"/>
            </w:tcMar>
            <w:vAlign w:val="center"/>
          </w:tcPr>
          <w:p w:rsidR="00B77B5F" w:rsidRDefault="00B77B5F">
            <w:pPr>
              <w:jc w:val="center"/>
            </w:pPr>
          </w:p>
        </w:tc>
        <w:tc>
          <w:tcPr>
            <w:tcW w:w="0" w:type="auto"/>
            <w:tcBorders>
              <w:top w:val="single" w:sz="4" w:space="0" w:color="777777"/>
              <w:left w:val="single" w:sz="4" w:space="0" w:color="777777"/>
              <w:bottom w:val="single" w:sz="4" w:space="0" w:color="777777"/>
              <w:right w:val="single" w:sz="4" w:space="0" w:color="777777"/>
            </w:tcBorders>
            <w:tcMar>
              <w:top w:w="60" w:type="dxa"/>
              <w:left w:w="80" w:type="dxa"/>
              <w:bottom w:w="60" w:type="dxa"/>
              <w:right w:w="80" w:type="dxa"/>
            </w:tcMar>
            <w:vAlign w:val="center"/>
          </w:tcPr>
          <w:p w:rsidR="00B77B5F" w:rsidRDefault="00000000">
            <w:pPr>
              <w:jc w:val="center"/>
            </w:pPr>
            <w:r>
              <w:rPr>
                <w:color w:val="000000"/>
                <w:sz w:val="24"/>
                <w:szCs w:val="24"/>
                <w:lang w:val="ar-SA"/>
              </w:rPr>
              <w:t>5. تحقيق الأهداف الاستراتيجية</w:t>
            </w:r>
          </w:p>
        </w:tc>
        <w:tc>
          <w:tcPr>
            <w:tcW w:w="0" w:type="auto"/>
            <w:tcBorders>
              <w:top w:val="single" w:sz="4" w:space="0" w:color="777777"/>
              <w:left w:val="single" w:sz="4" w:space="0" w:color="777777"/>
              <w:bottom w:val="single" w:sz="4" w:space="0" w:color="777777"/>
              <w:right w:val="single" w:sz="4" w:space="0" w:color="777777"/>
            </w:tcBorders>
            <w:tcMar>
              <w:top w:w="60" w:type="dxa"/>
              <w:left w:w="80" w:type="dxa"/>
              <w:bottom w:w="60" w:type="dxa"/>
              <w:right w:w="80" w:type="dxa"/>
            </w:tcMar>
            <w:vAlign w:val="center"/>
          </w:tcPr>
          <w:p w:rsidR="00B77B5F" w:rsidRDefault="00000000">
            <w:pPr>
              <w:jc w:val="center"/>
            </w:pPr>
            <w:r>
              <w:rPr>
                <w:color w:val="000000"/>
                <w:sz w:val="24"/>
                <w:szCs w:val="24"/>
                <w:lang w:val="ar-SA"/>
              </w:rPr>
              <w:t>32-35</w:t>
            </w:r>
          </w:p>
        </w:tc>
      </w:tr>
    </w:tbl>
    <w:p w:rsidR="00B77B5F" w:rsidRDefault="00000000">
      <w:pPr>
        <w:keepLines/>
        <w:spacing w:after="120"/>
        <w:ind w:firstLine="284"/>
        <w:jc w:val="both"/>
      </w:pPr>
      <w:r>
        <w:rPr>
          <w:lang w:val="ar-SA"/>
        </w:rPr>
        <w:t>وتفترض الدراسة وجود علاقةٍ إيجابيةٍ بين المتغير المستقل وأبعاده، والمتغير التابع وأبعاده، أي أن زيادة تطبيق منهجيات Agile ترتبط بزيادة نجاح المشاريع في كافة الأبعاد. وهذا ما سيتم اختباره إحصائيًّا في الفصول اللاحقة.</w:t>
      </w:r>
    </w:p>
    <w:p w:rsidR="00B77B5F" w:rsidRDefault="00000000" w:rsidP="00FB2DDA">
      <w:pPr>
        <w:pStyle w:val="1"/>
        <w:keepNext/>
        <w:jc w:val="left"/>
      </w:pPr>
      <w:bookmarkStart w:id="13" w:name="_Toc233617749"/>
      <w:r>
        <w:rPr>
          <w:lang w:val="ar-SA"/>
        </w:rPr>
        <w:lastRenderedPageBreak/>
        <w:t>8.1 الدراسات السابقة:</w:t>
      </w:r>
      <w:bookmarkEnd w:id="13"/>
    </w:p>
    <w:p w:rsidR="00B77B5F" w:rsidRDefault="00000000">
      <w:pPr>
        <w:keepLines/>
        <w:spacing w:after="120"/>
        <w:ind w:firstLine="284"/>
        <w:jc w:val="both"/>
      </w:pPr>
      <w:r>
        <w:rPr>
          <w:lang w:val="ar-SA"/>
        </w:rPr>
        <w:t>تستعرض هذه الفقرة مجموعةً من الدراسات السابقة التي تناولت موضوع إدارة المشاريع الرشيقة (Agile) ونجاح المشاريع، مرتَّبةً من الأقدم إلى الأحدث ضمن كل قسم (الدراسات العربية أولًا، ثم الدراسات الأجنبية)، مع التركيز على هدف كل دراسة ومنهجها وأداتها ومجتمع وعيِّنة الدراسة وأبرز نتائجها وتوصياتها. وتم اختيار هذه الدراسات بناءً على ارتباطها المباشر بموضوع الدراسة الحالية، وحداثة نشرها، وموثوقية المصادر التي صدرت فيها. ثم تنتهي الفقرة بتحليلٍ مقارنٍ شاملٍ بين الدراسات وبيان أوجه التشابه والاختلاف، وإبراز الفجوة البحثية، وما يميِّز الدراسة الحالية عن الدراسات السابقة.</w:t>
      </w:r>
    </w:p>
    <w:p w:rsidR="00B77B5F" w:rsidRDefault="00000000" w:rsidP="00FB2DDA">
      <w:pPr>
        <w:pStyle w:val="2"/>
        <w:keepNext/>
        <w:jc w:val="left"/>
      </w:pPr>
      <w:bookmarkStart w:id="14" w:name="_Toc233617750"/>
      <w:r>
        <w:rPr>
          <w:lang w:val="ar-SA"/>
        </w:rPr>
        <w:t xml:space="preserve">أولًا: الدراسات العربية (مرتَّبةً من الأحدث إلى الأقدم)</w:t>
      </w:r>
      <w:bookmarkEnd w:id="14"/>
    </w:p>
    <w:p w:rsidR="00B77B5F" w:rsidRDefault="00000000" w:rsidP="00FB2DDA">
      <w:pPr>
        <w:pStyle w:val="3"/>
        <w:keepNext/>
        <w:jc w:val="left"/>
      </w:pPr>
      <w:bookmarkStart w:id="15" w:name="_Toc233617751"/>
      <w:r>
        <w:rPr>
          <w:color w:val="333333"/>
          <w:lang w:val="ar-SA"/>
        </w:rPr>
        <w:t>1. دراسة (الشريف، 2025):</w:t>
      </w:r>
      <w:bookmarkEnd w:id="15"/>
    </w:p>
    <w:p w:rsidR="00B77B5F" w:rsidRDefault="00000000">
      <w:pPr>
        <w:keepLines/>
        <w:spacing w:after="120"/>
        <w:ind w:firstLine="284"/>
        <w:jc w:val="both"/>
      </w:pPr>
      <w:r>
        <w:rPr>
          <w:lang w:val="ar-SA"/>
        </w:rPr>
        <w:t>بعنوان: "دور منهجيات إدارة المشروعات في نجاح المشروعات (دراسة تطبيقية على شركات المقاولات في منطقة الرياض)"، المنشورة في المجلة المصرية للدراسات التجارية، المجلد 49، العدد 1. هدفت إلى التعرُّف على دور منهجيات إدارة المشروعات في نجاحها، من خلال تحديد مستوى تطبيق هذه المنهجيات ومستوى اختيار نوعها، والتعرُّف على مستوى نجاح المشروع بأبعاده (الكفاءة، رضا أصحاب المصلحة، الجدوى، الفائدة التنظيمية). اعتمدت الدراسة على المنهج الوصفي التحليلي من خلال مقابلاتٍ مقنَّنةٍ بعيِّنةٍ قصديةٍ مكوَّنةٍ من 18 من مديري المشاريع بشركات المقاولات في الرياض. أظهرت النتائج أن دور تطبيق منهجيات إدارة المشاريع في نجاح المشروع كان مرتفعًا جدًا، وأن دور اختيار نوع المنهجية المناسبة يُسهم بدوره في تحقيق هذا النجاح.</w:t>
      </w:r>
    </w:p>
    <w:p w:rsidR="00B77B5F" w:rsidRDefault="00000000" w:rsidP="00D956B1">
      <w:pPr>
        <w:pStyle w:val="3"/>
        <w:keepNext/>
        <w:jc w:val="left"/>
      </w:pPr>
      <w:bookmarkStart w:id="16" w:name="_Toc233617752"/>
      <w:r>
        <w:rPr>
          <w:color w:val="333333"/>
          <w:lang w:val="ar-SA"/>
        </w:rPr>
        <w:t>2. دراسة (الحربي، 2024):</w:t>
      </w:r>
      <w:bookmarkEnd w:id="16"/>
    </w:p>
    <w:p w:rsidR="00B77B5F" w:rsidRDefault="00000000">
      <w:pPr>
        <w:keepLines/>
        <w:spacing w:after="120"/>
        <w:ind w:firstLine="284"/>
        <w:jc w:val="both"/>
      </w:pPr>
      <w:r>
        <w:rPr>
          <w:lang w:val="ar-SA"/>
        </w:rPr>
        <w:t>بعنوان: "أثر التقنية في تحسين كفاءات إدارة المشاريع: دراسة تطبيقية على الشركات التقنية في المملكة العربية السعودية"، المنشورة في المجلة الدولية للبحوث العلمية (DOI: 10.59992/IJSR.2024.v3n8p29). هدفت إلى استكشاف تأثير التقنيات الحديثة، كالذكاء الاصطناعي والحوسبة السحابية وتحليلات البيانات الضخمة، على كفاءات إدارة المشاريع في الشركات التقنية السعودية، وتحديد الفوائد التي تحققها هذه الشركات من اعتماد هذه التقنيات في عمليات التخطيط والتنفيذ وإدارة المخاطر. كما استكشفت الدراسة التحديات والمعوقات التي تواجه الشركات التقنية السعودية عند تبنِّي التقنيات الحديثة في إدارة مشاريعها، بما في ذلك التكاليف والاحتياجات التدريبية. أوصت الدراسة بضرورة تطوير برامج تدريبيةٍ متخصِّصة لتعزيز استخدام هذه التقنيات في تحسين كفاءات إدارة المشاريع.</w:t>
      </w:r>
    </w:p>
    <w:p w:rsidR="00B77B5F" w:rsidRDefault="00000000" w:rsidP="00D956B1">
      <w:pPr>
        <w:pStyle w:val="3"/>
        <w:keepNext/>
        <w:jc w:val="left"/>
      </w:pPr>
      <w:bookmarkStart w:id="17" w:name="_Toc233617753"/>
      <w:r>
        <w:rPr>
          <w:color w:val="333333"/>
          <w:lang w:val="ar-SA"/>
        </w:rPr>
        <w:lastRenderedPageBreak/>
        <w:t>3. دراسة (سقاط، 2024):</w:t>
      </w:r>
      <w:bookmarkEnd w:id="17"/>
    </w:p>
    <w:p w:rsidR="00B77B5F" w:rsidRDefault="00000000">
      <w:pPr>
        <w:keepLines/>
        <w:spacing w:after="120"/>
        <w:ind w:firstLine="284"/>
        <w:jc w:val="both"/>
      </w:pPr>
      <w:r>
        <w:rPr>
          <w:lang w:val="ar-SA"/>
        </w:rPr>
        <w:t>بعنوان: "التحوُّل الرقمي في المنظمات العامة: دراسة تطبيقية على وزارة الصحة بالمملكة العربية السعودية"، المنشورة في مجلة العلوم الاقتصادية والإدارية والقانونية (DOI: 10.26389/AJSRP.Q040623). هدفت إلى معرفة واقع التحوُّل الرقمي في المنظمات العامة السعودية، وطُبِّقت الدراسة على وزارة الصحة. اعتمدت الدراسة على المنهج الوصفي التحليلي، وبلغت عيِّنة الدراسة 52 موظفًا في وزارة الصحة، باستخدام الاستبانة أداةً لجمع البيانات. توصَّل الباحث إلى أن الإدارة العليا بالوزارة توفِّر دعمًا كافيًا نحو التحوُّل الرقمي، وأن لدى الوزارة توجُّهاتٍ استراتيجيةً ملائمةً للتحوُّل الرقمي تُمكِّنها من تحويل التهديدات إلى فرصٍ تُستثمر مستقبلًا في هذه العملية. أوصت الدراسة بتعزيز دعم الإدارة العليا للتحوُّل الرقمي من خلال تخصيص موازنةٍ لتطوير جودة الخدمات الإلكترونية.</w:t>
      </w:r>
    </w:p>
    <w:p w:rsidR="00B77B5F" w:rsidRDefault="00000000" w:rsidP="00BD74DF">
      <w:pPr>
        <w:pStyle w:val="3"/>
        <w:keepNext/>
        <w:jc w:val="left"/>
      </w:pPr>
      <w:bookmarkStart w:id="18" w:name="_Toc233617754"/>
      <w:r>
        <w:rPr>
          <w:color w:val="333333"/>
          <w:lang w:val="ar-SA"/>
        </w:rPr>
        <w:t>4. دراسة (العتيبي، 2024):</w:t>
      </w:r>
      <w:bookmarkEnd w:id="18"/>
    </w:p>
    <w:p w:rsidR="00B77B5F" w:rsidRDefault="00000000">
      <w:pPr>
        <w:keepLines/>
        <w:spacing w:after="120"/>
        <w:ind w:firstLine="284"/>
        <w:jc w:val="both"/>
      </w:pPr>
      <w:r>
        <w:rPr>
          <w:lang w:val="ar-SA"/>
        </w:rPr>
        <w:t>بعنوان: "دور الإدارة الرشيقة في رفع الأداء الوظيفي: دراسة تطبيقية على وزارة الصحة في المملكة العربية السعودية"، المنشورة في مجلة العلوم الاقتصادية والإدارية والقانونية (DOI: 10.26389/AJSRP.N210523). هدفت إلى التعرُّف على دور الإدارة الرشيقة في رفع الأداء الوظيفي في وزارة الصحة بالمملكة العربية السعودية. اتَّبعت الدراسة المنهج الوصفي التحليلي، واعتمدت على الاستبانة أداةً لجمع البيانات من عيِّنةٍ عشوائيةٍ بسيطةٍ بلغ حجمها 514 فردًا. خلصت النتائج إلى أن مستوى ممارسة الإدارة الرشيقة ومستوى الأداء الوظيفي في وزارة الصحة جاءا بدرجةٍ مرتفعة، وأن الإدارة الرشيقة بأبعادها (التحسين المستمر، تنظيم العمل، العمل القياسي، الحيود السداسي) تؤثِّر تأثيرًا إيجابيًّا في رفع الأداء الوظيفي، إذ بلغت نسبة التأثير 79.6%. أوصت الدراسة بضرورة الاهتمام بأدوات الإدارة الرشيقة والتوسُّع في تطبيقها لما لها من أثرٍ في إيجاد حلولٍ جذريةٍ تقلِّل نسبة الهدر في المؤسسة.</w:t>
      </w:r>
    </w:p>
    <w:p w:rsidR="00B77B5F" w:rsidRDefault="00000000" w:rsidP="00D956B1">
      <w:pPr>
        <w:pStyle w:val="3"/>
        <w:keepNext/>
        <w:jc w:val="left"/>
      </w:pPr>
      <w:bookmarkStart w:id="19" w:name="_Toc233617755"/>
      <w:r>
        <w:rPr>
          <w:color w:val="333333"/>
          <w:lang w:val="ar-SA"/>
        </w:rPr>
        <w:t>5. دراسة (الناشري والشريف، 2022):</w:t>
      </w:r>
      <w:bookmarkEnd w:id="19"/>
    </w:p>
    <w:p w:rsidR="00B77B5F" w:rsidRDefault="00000000">
      <w:pPr>
        <w:keepLines/>
        <w:spacing w:after="120"/>
        <w:ind w:firstLine="284"/>
        <w:jc w:val="both"/>
      </w:pPr>
      <w:r>
        <w:rPr>
          <w:lang w:val="ar-SA"/>
        </w:rPr>
        <w:t>بعنوان: "دور إدارة الجودة الشاملة في تحسين أداء المنظمة في ظل رؤية المملكة 2030: دراسة تطبيقية على بلدية حلي"، المنشورة في مجلة العلوم الاقتصادية والإدارية والقانونية (DOI: 10.26389/AJSRP.N190921). هدفت إلى التعرُّف على دور إدارة الجودة الشاملة في تحسين أداء المنظمة في ظل رؤية المملكة 2030، من خلال دراسةٍ تطبيقيةٍ على بلدية حلي التابعة لأمانة جدة. اعتمد البحث المنهج الوصفي التحليلي، واستُخدمت الاستبانة في جمع البيانات من عيِّنةٍ بلغت 20 موظفًا، وحُلِّلت البيانات باستخدام برنامج SPSS. توصَّلت الدراسة إلى وجود نسبة موافقةٍ كبيرةٍ لدى أفراد العيِّنة تجاه درجة توافر متطلبات تطبيق إدارة الجودة الشاملة بوزنٍ نسبيٍ بلغ 75.2%، كما وُجدت معوِّقاتٌ بدرجةٍ متوسطةٍ تواجه هذا التطبيق بوزنٍ نسبيٍ بلغ 59.4%. أوصت الدراسة بضرورة إشراك العاملين في عملية اتخاذ القرار، والاهتمام بوجود هيكلٍ تنظيميٍ واضحٍ لتطبيق منهجيات تحسين الأداء.</w:t>
      </w:r>
    </w:p>
    <w:p w:rsidR="00B77B5F" w:rsidRDefault="00000000" w:rsidP="00D956B1">
      <w:pPr>
        <w:pStyle w:val="2"/>
        <w:keepNext/>
        <w:jc w:val="left"/>
      </w:pPr>
      <w:bookmarkStart w:id="20" w:name="_Toc233617756"/>
      <w:r>
        <w:rPr>
          <w:lang w:val="ar-SA"/>
        </w:rPr>
        <w:lastRenderedPageBreak/>
        <w:t>ثانيًا: الدراسات الأجنبية (مرتَّبةً من الأقدم إلى الأحدث)</w:t>
      </w:r>
      <w:bookmarkEnd w:id="20"/>
    </w:p>
    <w:p w:rsidR="00B77B5F" w:rsidRDefault="00000000" w:rsidP="00D956B1">
      <w:pPr>
        <w:pStyle w:val="3"/>
        <w:keepNext/>
        <w:jc w:val="left"/>
      </w:pPr>
      <w:bookmarkStart w:id="21" w:name="_Toc233617757"/>
      <w:r>
        <w:rPr>
          <w:color w:val="333333"/>
          <w:lang w:val="ar-SA"/>
        </w:rPr>
        <w:t>1. دراسة Serrador &amp; Pinto (2015):</w:t>
      </w:r>
      <w:bookmarkEnd w:id="21"/>
    </w:p>
    <w:p w:rsidR="00B77B5F" w:rsidRDefault="00000000">
      <w:pPr>
        <w:keepLines/>
        <w:spacing w:after="120"/>
        <w:ind w:firstLine="284"/>
        <w:jc w:val="both"/>
      </w:pPr>
      <w:r>
        <w:rPr>
          <w:lang w:val="ar-SA"/>
        </w:rPr>
        <w:t>بعنوان "Does Agile Work? – A Quantitative Analysis of Agile Project Success". هدفت إلى تقييم العلاقة بين تطبيق Agile ونجاح المشاريع بشكلٍ كمِّي. اعتمدت على بيانات 1,002 مشروعٍ من قطاعاتٍ متنوعةٍ في 65 دولة. أظهرت النتائج وجود علاقةٍ إيجابيةٍ ذات دلالةٍ بين تطبيق Agile والنجاح في أبعادٍ متعددة، خصوصًا جودة المخرجات وكفاءة الفريق، حيث ارتفعت كفاءة الفريق بمتوسط 22% في المشاريع التي طبَّقت Agile. وأوصت الدراسة بأن تطبيق Agile يجب أن يأخذ في الاعتبار طبيعة المشروع وحجم المؤسسة، وأن المشاريع الكبيرة المعقدة قد تستفيد أكثر من الإطارات الموسَّعة (Scaled Agile).</w:t>
      </w:r>
    </w:p>
    <w:p w:rsidR="00B77B5F" w:rsidRDefault="00000000" w:rsidP="006D5106">
      <w:pPr>
        <w:pStyle w:val="3"/>
        <w:keepNext/>
        <w:jc w:val="left"/>
      </w:pPr>
      <w:bookmarkStart w:id="22" w:name="_Toc233617758"/>
      <w:r>
        <w:rPr>
          <w:color w:val="333333"/>
          <w:lang w:val="ar-SA"/>
        </w:rPr>
        <w:t>2. دراسة Conforto et al. (2016):</w:t>
      </w:r>
      <w:bookmarkEnd w:id="22"/>
    </w:p>
    <w:p w:rsidR="00B77B5F" w:rsidRDefault="00000000">
      <w:pPr>
        <w:keepLines/>
        <w:spacing w:after="120"/>
        <w:ind w:firstLine="284"/>
        <w:jc w:val="both"/>
      </w:pPr>
      <w:r>
        <w:rPr>
          <w:lang w:val="ar-SA"/>
        </w:rPr>
        <w:t>بعنوان "The Agility Construct on Project Management Theory". هدفت إلى تطوير إطارٍ نظريٍ شاملٍ لمفهوم الرشاقة في إدارة المشاريع. استخدمت الدراسة منهج المراجعة المنهجية لـ 41 دراسة، إضافةً إلى دراسة حالةٍ في 19 مؤسسة. خلصت الدراسة إلى أن الرشاقة (Agility) في المشاريع تتمحور حول قدرة فريق المشروع على الاستجابة السريعة والتكيُّفية للتغيُّرات، مع التركيز على القيمة. وقدَّمت الدراسة نموذجًا نظريًا متكاملًا للرشاقة. أوصت بمزيدٍ من البحوث الكمية لقياس أثر الرشاقة على نجاح المشاريع في القطاعات المختلفة.</w:t>
      </w:r>
    </w:p>
    <w:p w:rsidR="00B77B5F" w:rsidRDefault="00000000" w:rsidP="006D5106">
      <w:pPr>
        <w:pStyle w:val="3"/>
        <w:keepNext/>
        <w:jc w:val="left"/>
      </w:pPr>
      <w:bookmarkStart w:id="23" w:name="_Toc233617759"/>
      <w:r>
        <w:rPr>
          <w:color w:val="333333"/>
          <w:lang w:val="ar-SA"/>
        </w:rPr>
        <w:t>3. دراسة Mergel et al. (2018):</w:t>
      </w:r>
      <w:bookmarkEnd w:id="23"/>
    </w:p>
    <w:p w:rsidR="00B77B5F" w:rsidRDefault="00000000">
      <w:pPr>
        <w:keepLines/>
        <w:spacing w:after="120"/>
        <w:ind w:firstLine="284"/>
        <w:jc w:val="both"/>
      </w:pPr>
      <w:r>
        <w:rPr>
          <w:lang w:val="ar-SA"/>
        </w:rPr>
        <w:t>بعنوان "Agile Government: Systematic Literature Review and Future Research". هدفت إلى مراجعة الأدبيات حول تطبيق Agile في الحكومات. شملت المراجعة 86 دراسةً منشورة. أظهرت النتائج أن تطبيق Agile في الحكومات لا يزال محدودًا مقارنةً بالقطاع الخاص، وأن أبرز التحديات هي: ثقافة البيروقراطية (تكرار 78%)، وقيود الميزانية الحكومية (65%)، وضعف المرونة التنظيمية (61%). كما حدَّدت الدراسة خمسة مستوياتٍ لتبني Agile في الحكومات تتراوح من "الاستكشاف" إلى "التحوُّل الكامل". أوصت الدراسة بإعادة هندسة الإجراءات الحكومية لاستيعاب Agile، وإنشاء وحداتٍ تجريبيةٍ (Agile Labs) داخل الحكومات.</w:t>
      </w:r>
    </w:p>
    <w:p w:rsidR="00B77B5F" w:rsidRDefault="00000000" w:rsidP="006D5106">
      <w:pPr>
        <w:pStyle w:val="3"/>
        <w:keepNext/>
        <w:jc w:val="left"/>
      </w:pPr>
      <w:bookmarkStart w:id="24" w:name="_Toc233617760"/>
      <w:r>
        <w:rPr>
          <w:color w:val="333333"/>
          <w:lang w:val="ar-SA"/>
        </w:rPr>
        <w:lastRenderedPageBreak/>
        <w:t>4. دراسة Vaidya (2020):</w:t>
      </w:r>
      <w:bookmarkEnd w:id="24"/>
    </w:p>
    <w:p w:rsidR="00B77B5F" w:rsidRDefault="00000000">
      <w:pPr>
        <w:keepLines/>
        <w:spacing w:after="120"/>
        <w:ind w:firstLine="284"/>
        <w:jc w:val="both"/>
      </w:pPr>
      <w:r>
        <w:rPr>
          <w:lang w:val="ar-SA"/>
        </w:rPr>
        <w:t>بعنوان "Critical Success Factors for Agile Adoption in Public Sector". هدفت إلى تحديد عوامل النجاح الحرجة لتبنِّي Agile في القطاع العام. شملت دراسة 12 وكالةً حكوميةً في الولايات المتحدة وأستراليا والمملكة المتحدة. أظهرت النتائج أن أهم عوامل النجاح هي: دعم الإدارة العليا (97%)، والتدريب المستمر (89%)، وثقافة الانفتاح على التغيير (85%)، وإشراك أصحاب المصلحة (82%). كما أظهرت الدراسة أن المؤسسات الحكومية التي طبَّقت Agile حقَّقت توفيرًا في التكاليف بمتوسط 18%. أوصت الدراسة بأن تبنِّي Agile يحتاج إلى تحوُّلٍ ثقافيٍ مؤسسيٍ أعمق من مجرد تطبيق أدوات.</w:t>
      </w:r>
    </w:p>
    <w:p w:rsidR="00B77B5F" w:rsidRDefault="00000000" w:rsidP="006D5106">
      <w:pPr>
        <w:pStyle w:val="3"/>
        <w:keepNext/>
        <w:jc w:val="left"/>
      </w:pPr>
      <w:bookmarkStart w:id="25" w:name="_Toc233617761"/>
      <w:r>
        <w:rPr>
          <w:color w:val="333333"/>
          <w:lang w:val="ar-SA"/>
        </w:rPr>
        <w:t>5. دراسة Edison et al. (2022):</w:t>
      </w:r>
      <w:bookmarkEnd w:id="25"/>
    </w:p>
    <w:p w:rsidR="00B77B5F" w:rsidRDefault="00000000">
      <w:pPr>
        <w:keepLines/>
        <w:spacing w:after="120"/>
        <w:ind w:firstLine="284"/>
        <w:jc w:val="both"/>
      </w:pPr>
      <w:r>
        <w:rPr>
          <w:lang w:val="ar-SA"/>
        </w:rPr>
        <w:t>بعنوان "Comparing Methodologies for the Transition to Agile in Government Projects". هدفت إلى مقارنة المنهجيات المختلفة للانتقال إلى Agile في المشاريع الحكومية. اعتمدت على دراسة حالةٍ في ثماني وكالاتٍ حكوميةٍ في أوروبا. أظهرت النتائج أن الانتقال التدريجي (Hybrid Approach) أكثر فاعليةً من الانتقال الكامل دفعةً واحدة، إذ نجح في 75% من الحالات مقارنةً بـ 38% فقط للانتقال الكامل. كما أبرزت الدراسة أهمية وجود "بطل تغيير" (Change Champion) داخل المؤسسة الحكومية. أوصت الدراسة باعتماد نهجٍ هجينٍ يجمع بين Agile والمنهجية التقليدية في المراحل الانتقالية، وبتدريب مديري الإدارات الوسطى على Agile كأولوية.</w:t>
      </w:r>
    </w:p>
    <w:p w:rsidR="00B77B5F" w:rsidRDefault="00000000" w:rsidP="006D5106">
      <w:pPr>
        <w:pStyle w:val="3"/>
        <w:keepNext/>
        <w:jc w:val="left"/>
      </w:pPr>
      <w:bookmarkStart w:id="26" w:name="_Toc232665701"/>
      <w:bookmarkStart w:id="27" w:name="_Toc233617762"/>
      <w:r>
        <w:rPr>
          <w:color w:val="333333"/>
          <w:lang w:val="ar-SA"/>
        </w:rPr>
        <w:t>6. دراسة Baxter et al. (2023):</w:t>
      </w:r>
      <w:bookmarkEnd w:id="26"/>
      <w:bookmarkEnd w:id="27"/>
    </w:p>
    <w:p w:rsidR="00B77B5F" w:rsidRDefault="00000000">
      <w:pPr>
        <w:keepLines/>
        <w:spacing w:after="120"/>
        <w:ind w:firstLine="284"/>
        <w:jc w:val="both"/>
      </w:pPr>
      <w:r>
        <w:rPr>
          <w:lang w:val="ar-SA"/>
        </w:rPr>
        <w:t>بعنوان "Institutional Challenges in Agile Adoption: Evidence from a Public Sector IT Project". هدفت إلى فهم ديناميكيات تطبيق منهجيات Agile وتحدياتها في القطاع العام. اعتمدت على المنهج النوعي من خلال دراسة حالةٍ لبرنامجٍ تقنيٍّ واسعٍ في قطاع الدفاع البريطاني تبنَّى Agile، مستخدمةً عدسة "المنطق المؤسسي" (Institutional Logics) إطارًا نظريًّا. أظهرت النتائج أن تطبيق Agile يغيِّر البيئة المؤسسية لمشاريع تقنية المعلومات الحكومية، حيث ينقل ثقافة العمل إلى "ثقافة الفريق الواحد"، ويعيد توجيه فرق المشاريع نحو "التعاون الموجَّه بالمهمة". كما بيَّنت أن أبرز عائقٍ أمام انتشاره هو عدم التوافق بين ممارسات Agile والأساليب التقليدية لتمويل المشاريع الحكومية وحوكمتها وإدارتها. أوصت الدراسة بإعادة مواءمة أطر الحوكمة والتمويل في المؤسسات الحكومية لتستوعب طبيعة Agile.</w:t>
      </w:r>
    </w:p>
    <w:p w:rsidR="00B77B5F" w:rsidRDefault="00000000" w:rsidP="006D5106">
      <w:pPr>
        <w:pStyle w:val="3"/>
        <w:keepNext/>
        <w:jc w:val="left"/>
      </w:pPr>
      <w:bookmarkStart w:id="28" w:name="_Toc232665702"/>
      <w:bookmarkStart w:id="29" w:name="_Toc233617763"/>
      <w:r>
        <w:rPr>
          <w:color w:val="333333"/>
          <w:lang w:val="ar-SA"/>
        </w:rPr>
        <w:lastRenderedPageBreak/>
        <w:t>7. دراسة Hegele &amp; Stoll (2024):</w:t>
      </w:r>
      <w:bookmarkEnd w:id="28"/>
      <w:bookmarkEnd w:id="29"/>
    </w:p>
    <w:p w:rsidR="00B77B5F" w:rsidRDefault="00000000">
      <w:pPr>
        <w:keepLines/>
        <w:spacing w:after="120"/>
        <w:ind w:firstLine="284"/>
        <w:jc w:val="both"/>
      </w:pPr>
      <w:r>
        <w:rPr>
          <w:lang w:val="ar-SA"/>
        </w:rPr>
        <w:t>بعنوان "What Drives the Adoption of Agile Government? Insights from Austria, Germany, and Switzerland". هدفت إلى الكشف عن العوامل الدافعة لتبنِّي أساليب العمل الرشيقة في القطاع الحكومي. اعتمدت على المنهج المقارن عبر ثلاث دولٍ هي النمسا وألمانيا وسويسرا، لتحليل ما يحرِّك تبنِّي Agile في الإدارات العامة. خلصت الدراسة إلى أن دوافع التبنِّي تتجاوز الأدوات والممارسات التقنية لتشمل عواملَ تنظيميةً وثقافيةً وقيادية. أوصت بأن نجاح تبنِّي Agile في الجهات الحكومية يتطلَّب فهم السياق المؤسسي الخاص بكل جهة، وعدم استنساخ تجارب القطاع الخاص حرفيًّا.</w:t>
      </w:r>
    </w:p>
    <w:p w:rsidR="00B77B5F" w:rsidRDefault="00000000" w:rsidP="006D5106">
      <w:pPr>
        <w:pStyle w:val="3"/>
        <w:keepNext/>
        <w:jc w:val="left"/>
      </w:pPr>
      <w:bookmarkStart w:id="30" w:name="_Toc232665703"/>
      <w:bookmarkStart w:id="31" w:name="_Toc233617764"/>
      <w:r>
        <w:rPr>
          <w:color w:val="333333"/>
          <w:lang w:val="ar-SA"/>
        </w:rPr>
        <w:t>8. دراسة Tai &amp; Awasthi (2025):</w:t>
      </w:r>
      <w:bookmarkEnd w:id="30"/>
      <w:bookmarkEnd w:id="31"/>
    </w:p>
    <w:p w:rsidR="00B77B5F" w:rsidRDefault="00000000">
      <w:pPr>
        <w:keepLines/>
        <w:spacing w:after="120"/>
        <w:ind w:firstLine="284"/>
        <w:jc w:val="both"/>
      </w:pPr>
      <w:r>
        <w:rPr>
          <w:lang w:val="ar-SA"/>
        </w:rPr>
        <w:t>بعنوان "An Exploration of Agile Government in the Public Sector: A Systematic Literature Review at Macro, Meso, and Micro Levels of Analysis". اعتمدت على منهجية المراجعة المنهجية للأدبيات وفق بروتوكول PRISMA، وهدفت إلى معالجة أسئلةٍ جوهريةٍ حول مفهوم الحكومة الرشيقة وتطبيقها وآثارها. صنَّفت الدراسة تطبيق Agile في القطاع الحكومي إلى ثلاثة مستويات: المستوى الجزئي (إدارة المشاريع)، والمستوى المتوسط (الإدارة التنظيمية)، والمستوى الكلِّي (هيكل الحوكمة). كشف التحليل عن تباينٍ جوهريٍّ في ممارسات Agile عبر هذه المستويات، يعكس استراتيجيةً متعمَّدةً للمواءمة مع الأنظمة البيروقراطية القائمة. قدَّمت الدراسة تطبيقاتٍ سياساتيةً وحدَّدت آفاقًا بحثيةً مستقبلية، وتُعَدُّ من أحدث المراجعات المنهجية في هذا المجال.</w:t>
      </w:r>
    </w:p>
    <w:p w:rsidR="00B77B5F" w:rsidRDefault="00000000" w:rsidP="006D5106">
      <w:pPr>
        <w:pStyle w:val="2"/>
        <w:keepNext/>
        <w:jc w:val="left"/>
      </w:pPr>
      <w:bookmarkStart w:id="32" w:name="_Toc233617765"/>
      <w:r>
        <w:rPr>
          <w:lang w:val="ar-SA"/>
        </w:rPr>
        <w:t>ثالثًا: التحليل المقارن للدراسات السابقة</w:t>
      </w:r>
      <w:bookmarkEnd w:id="32"/>
    </w:p>
    <w:p w:rsidR="00B77B5F" w:rsidRDefault="00000000">
      <w:pPr>
        <w:keepLines/>
        <w:spacing w:after="120"/>
        <w:ind w:firstLine="284"/>
        <w:jc w:val="both"/>
      </w:pPr>
      <w:r>
        <w:rPr>
          <w:lang w:val="ar-SA"/>
        </w:rPr>
        <w:t>بمراجعة الدراسات السابقة العربية والأجنبية، يُمكن استخلاص النقاط التالية التي تُبيِّن أوجه التشابه والاختلاف بينها، وتُبرز الفجوة البحثية التي تسعى الدراسة الحالية إلى سدِّها:</w:t>
      </w:r>
    </w:p>
    <w:p w:rsidR="00B77B5F" w:rsidRDefault="00000000" w:rsidP="006D5106">
      <w:pPr>
        <w:pStyle w:val="3"/>
        <w:keepNext/>
        <w:jc w:val="left"/>
      </w:pPr>
      <w:bookmarkStart w:id="33" w:name="_Toc233617766"/>
      <w:r>
        <w:rPr>
          <w:color w:val="333333"/>
          <w:lang w:val="ar-SA"/>
        </w:rPr>
        <w:t>1. أوجه التشابه بين الدراسات:</w:t>
      </w:r>
      <w:bookmarkEnd w:id="33"/>
    </w:p>
    <w:p w:rsidR="00B77B5F" w:rsidRDefault="00000000" w:rsidP="0045784C">
      <w:pPr>
        <w:spacing w:after="80"/>
        <w:ind w:right="568"/>
      </w:pPr>
      <w:r>
        <w:rPr>
          <w:lang w:val="ar-SA"/>
        </w:rPr>
        <w:t>• اتَّفقت معظم الدراسات على وجود علاقةٍ إيجابيةٍ ذات دلالةٍ إحصائيةٍ بين تطبيق منهجيات Agile ونجاح المشاريع، على اختلاف القطاعات والبيئات.</w:t>
      </w:r>
    </w:p>
    <w:p w:rsidR="00B77B5F" w:rsidRDefault="00000000" w:rsidP="0045784C">
      <w:pPr>
        <w:spacing w:after="80"/>
        <w:ind w:right="568"/>
      </w:pPr>
      <w:r>
        <w:rPr>
          <w:lang w:val="ar-SA"/>
        </w:rPr>
        <w:t>• اعتمدت غالبية الدراسات على المنهج الوصفي التحليلي، واستخدمت الاستبانة أداةً رئيسةً لجمع البيانات.</w:t>
      </w:r>
    </w:p>
    <w:p w:rsidR="00B77B5F" w:rsidRDefault="00000000" w:rsidP="0045784C">
      <w:pPr>
        <w:spacing w:after="80"/>
        <w:ind w:right="568"/>
      </w:pPr>
      <w:r>
        <w:rPr>
          <w:lang w:val="ar-SA"/>
        </w:rPr>
        <w:t>• تشترك الدراسات في تأكيد أهمية عوامل مثل دعم الإدارة العليا، والتدريب، وإشراك أصحاب المصلحة في نجاح تبنِّي Agile.</w:t>
      </w:r>
    </w:p>
    <w:p w:rsidR="00B77B5F" w:rsidRDefault="00000000" w:rsidP="0045784C">
      <w:pPr>
        <w:spacing w:after="80"/>
        <w:ind w:right="568"/>
      </w:pPr>
      <w:r>
        <w:rPr>
          <w:lang w:val="ar-SA"/>
        </w:rPr>
        <w:t>• تُبرز الدراسات أن العلاقة بين Agile وجودة المخرجات ورضا أصحاب المصلحة هي الأقوى مقارنةً ببقية الأبعاد.</w:t>
      </w:r>
    </w:p>
    <w:p w:rsidR="00B77B5F" w:rsidRDefault="00000000" w:rsidP="0045784C">
      <w:pPr>
        <w:spacing w:after="80"/>
        <w:ind w:right="568"/>
      </w:pPr>
      <w:r>
        <w:rPr>
          <w:lang w:val="ar-SA"/>
        </w:rPr>
        <w:lastRenderedPageBreak/>
        <w:t>• تتفق الدراسات الحديثة (2022–2025) على ضرورة تطوير نماذج نضجٍ خاصةٍ بالقطاع الحكومي، ومواءمة أطر الحوكمة والتمويل مع طبيعة Agile.</w:t>
      </w:r>
    </w:p>
    <w:p w:rsidR="00B77B5F" w:rsidRDefault="00000000" w:rsidP="0045784C">
      <w:pPr>
        <w:pStyle w:val="3"/>
        <w:keepNext/>
        <w:jc w:val="left"/>
      </w:pPr>
      <w:bookmarkStart w:id="34" w:name="_Toc233617767"/>
      <w:r>
        <w:rPr>
          <w:color w:val="333333"/>
          <w:lang w:val="ar-SA"/>
        </w:rPr>
        <w:t>2. أوجه الاختلاف بين الدراسات:</w:t>
      </w:r>
      <w:bookmarkEnd w:id="34"/>
    </w:p>
    <w:p w:rsidR="00B77B5F" w:rsidRDefault="00000000" w:rsidP="0045784C">
      <w:pPr>
        <w:spacing w:after="80"/>
        <w:ind w:right="568"/>
      </w:pPr>
      <w:r>
        <w:rPr>
          <w:lang w:val="ar-SA"/>
        </w:rPr>
        <w:t>• تتباين الدراسات في تحديد أبعاد تطبيق Agile وأبعاد نجاح المشاريع؛ فبعضها يقتصر على بُعدَين أو ثلاثة، فيما يتناول البعض الآخر أبعادًا أكثر شمولًا.</w:t>
      </w:r>
    </w:p>
    <w:p w:rsidR="00B77B5F" w:rsidRDefault="00000000" w:rsidP="0045784C">
      <w:pPr>
        <w:spacing w:after="80"/>
        <w:ind w:right="568"/>
      </w:pPr>
      <w:r>
        <w:rPr>
          <w:lang w:val="ar-SA"/>
        </w:rPr>
        <w:t>• تختلف بيئات الدراسة بشكلٍ كبير، فمنها ما طُبِّق في القطاع الخاص (الشريف 2025)، ومنها ما طُبِّق في القطاع الحكومي (Mergel 2018، Vaidya 2020، سقاط 2024).</w:t>
      </w:r>
    </w:p>
    <w:p w:rsidR="00B77B5F" w:rsidRDefault="00000000" w:rsidP="0045784C">
      <w:pPr>
        <w:spacing w:after="80"/>
        <w:ind w:right="568"/>
      </w:pPr>
      <w:r>
        <w:rPr>
          <w:lang w:val="ar-SA"/>
        </w:rPr>
        <w:t>• تتباين أحجام العيِّنات تباينًا واضحًا، من 86 دراسةً في المراجعات المنهجية إلى 1,002 مشروعٍ في الدراسات الكمية الكبرى.</w:t>
      </w:r>
    </w:p>
    <w:p w:rsidR="00B77B5F" w:rsidRDefault="00000000" w:rsidP="0045784C">
      <w:pPr>
        <w:spacing w:after="80"/>
        <w:ind w:right="568"/>
      </w:pPr>
      <w:r>
        <w:rPr>
          <w:lang w:val="ar-SA"/>
        </w:rPr>
        <w:t>• تختلف الدراسات في القطاع الحكومي المستهدف؛ فبعضها يركِّز على القطاع الصحي أو التعليمي، وبعضها على القطاع الإداري العام.</w:t>
      </w:r>
    </w:p>
    <w:p w:rsidR="00B77B5F" w:rsidRDefault="00000000" w:rsidP="0045784C">
      <w:pPr>
        <w:spacing w:after="80"/>
        <w:ind w:right="568"/>
      </w:pPr>
      <w:r>
        <w:rPr>
          <w:lang w:val="ar-SA"/>
        </w:rPr>
        <w:t>• تتباين الدراسات في المنهجية الإحصائية المستخدمة، من تحليل الانحدار البسيط إلى نمذجة المعادلات الهيكلية.</w:t>
      </w:r>
    </w:p>
    <w:p w:rsidR="00B77B5F" w:rsidRDefault="00000000" w:rsidP="004238D4">
      <w:pPr>
        <w:pStyle w:val="3"/>
        <w:keepNext/>
        <w:jc w:val="left"/>
      </w:pPr>
      <w:bookmarkStart w:id="35" w:name="_Toc233617768"/>
      <w:r>
        <w:rPr>
          <w:color w:val="333333"/>
          <w:lang w:val="ar-SA"/>
        </w:rPr>
        <w:t>3. أوجه الاستفادة من الدراسات السابقة:</w:t>
      </w:r>
      <w:bookmarkEnd w:id="35"/>
    </w:p>
    <w:p w:rsidR="00B77B5F" w:rsidRDefault="00000000">
      <w:pPr>
        <w:keepLines/>
        <w:spacing w:after="120"/>
        <w:ind w:firstLine="284"/>
        <w:jc w:val="both"/>
      </w:pPr>
      <w:r>
        <w:rPr>
          <w:lang w:val="ar-SA"/>
        </w:rPr>
        <w:t>استفاد الباحث من الدراسات السابقة في عدة جوانب جوهرية:</w:t>
      </w:r>
    </w:p>
    <w:p w:rsidR="00B77B5F" w:rsidRDefault="00000000" w:rsidP="004238D4">
      <w:pPr>
        <w:spacing w:after="80"/>
        <w:ind w:right="568"/>
      </w:pPr>
      <w:r>
        <w:rPr>
          <w:lang w:val="ar-SA"/>
        </w:rPr>
        <w:t>• بناء الإطار النظري للدراسة من خلال الاستفادة من المفاهيم والتعريفات والأبعاد التي قدَّمتها الدراسات السابقة لإدارة المشاريع الرشيقة ونجاح المشاريع.</w:t>
      </w:r>
    </w:p>
    <w:p w:rsidR="00B77B5F" w:rsidRDefault="00000000" w:rsidP="004238D4">
      <w:pPr>
        <w:spacing w:after="80"/>
        <w:ind w:right="568"/>
      </w:pPr>
      <w:r>
        <w:rPr>
          <w:lang w:val="ar-SA"/>
        </w:rPr>
        <w:t>• صياغة فقرات الاستبانة، حيث استرشد الباحث بالعبارات المستخدمة في الدراسات السابقة وأعاد صياغتها لتتناسب مع البيئة الحكومية السعودية.</w:t>
      </w:r>
    </w:p>
    <w:p w:rsidR="00B77B5F" w:rsidRDefault="00000000" w:rsidP="004238D4">
      <w:pPr>
        <w:spacing w:after="80"/>
        <w:ind w:right="568"/>
      </w:pPr>
      <w:r>
        <w:rPr>
          <w:lang w:val="ar-SA"/>
        </w:rPr>
        <w:t>• تحديد المنهجية المناسبة، حيث اعتمد معظم الباحثين على المنهج الوصفي التحليلي والاستبانة أداةً لجمع البيانات.</w:t>
      </w:r>
    </w:p>
    <w:p w:rsidR="00B77B5F" w:rsidRDefault="00000000" w:rsidP="004238D4">
      <w:pPr>
        <w:spacing w:after="80"/>
        <w:ind w:right="568"/>
      </w:pPr>
      <w:r>
        <w:rPr>
          <w:lang w:val="ar-SA"/>
        </w:rPr>
        <w:t>• اختيار الأساليب الإحصائية المناسبة لتحليل البيانات، كمعامل ألفا كرونباخ، ومعامل ارتباط بيرسون، وتحليل الانحدار الخطي.</w:t>
      </w:r>
    </w:p>
    <w:p w:rsidR="00B77B5F" w:rsidRDefault="00000000" w:rsidP="004238D4">
      <w:pPr>
        <w:spacing w:after="80"/>
        <w:ind w:right="568"/>
      </w:pPr>
      <w:r>
        <w:rPr>
          <w:lang w:val="ar-SA"/>
        </w:rPr>
        <w:t>• صياغة الفرضيات وتحديد المتغيرات وأبعادها بناءً على ما رشدت إليه الأدبيات.</w:t>
      </w:r>
    </w:p>
    <w:p w:rsidR="00B77B5F" w:rsidRDefault="00000000" w:rsidP="004238D4">
      <w:pPr>
        <w:spacing w:after="80"/>
        <w:ind w:right="568"/>
      </w:pPr>
      <w:r>
        <w:rPr>
          <w:lang w:val="ar-SA"/>
        </w:rPr>
        <w:t>• مناقشة النتائج، حيث استفاد الباحث من نتائج الدراسات السابقة لمقارنتها بنتائج الدراسة الحالية وتفسير الاتفاقات والاختلافات.</w:t>
      </w:r>
    </w:p>
    <w:p w:rsidR="00B77B5F" w:rsidRDefault="00000000" w:rsidP="004238D4">
      <w:pPr>
        <w:spacing w:after="80"/>
        <w:ind w:right="568"/>
      </w:pPr>
      <w:r>
        <w:rPr>
          <w:lang w:val="ar-SA"/>
        </w:rPr>
        <w:t>• تجنُّب الأخطاء المنهجية والإجرائية التي وقعت فيها بعض الدراسات السابقة.</w:t>
      </w:r>
    </w:p>
    <w:p w:rsidR="00B77B5F" w:rsidRDefault="00000000" w:rsidP="003B5AD3">
      <w:pPr>
        <w:pStyle w:val="3"/>
        <w:keepNext/>
        <w:jc w:val="left"/>
      </w:pPr>
      <w:bookmarkStart w:id="36" w:name="_Toc233617769"/>
      <w:r>
        <w:rPr>
          <w:color w:val="333333"/>
          <w:lang w:val="ar-SA"/>
        </w:rPr>
        <w:lastRenderedPageBreak/>
        <w:t>4. ما يميِّز الدراسة الحالية (الفجوة البحثية):</w:t>
      </w:r>
      <w:bookmarkEnd w:id="36"/>
    </w:p>
    <w:p w:rsidR="00B77B5F" w:rsidRDefault="00000000">
      <w:pPr>
        <w:keepLines/>
        <w:spacing w:after="120"/>
        <w:ind w:firstLine="284"/>
        <w:jc w:val="both"/>
      </w:pPr>
      <w:r>
        <w:rPr>
          <w:lang w:val="ar-SA"/>
        </w:rPr>
        <w:t>على الرغم من تنوُّع وثراء الدراسات السابقة، تتميَّز الدراسة الحالية في عدة جوانب تُمثِّل فجوةً بحثيةً تسعى إلى سدِّها:</w:t>
      </w:r>
    </w:p>
    <w:p w:rsidR="00B77B5F" w:rsidRDefault="00000000">
      <w:pPr>
        <w:keepLines/>
        <w:spacing w:after="120"/>
        <w:ind w:firstLine="284"/>
        <w:jc w:val="both"/>
      </w:pPr>
      <w:r>
        <w:rPr>
          <w:b/>
          <w:bCs/>
          <w:lang w:val="ar-SA"/>
        </w:rPr>
        <w:t xml:space="preserve">أولًا: البيئة الجغرافية والمؤسسية. </w:t>
      </w:r>
      <w:r>
        <w:rPr>
          <w:lang w:val="ar-SA"/>
        </w:rPr>
        <w:t>ركَّزت معظم الدراسات السابقة على بيئاتٍ أجنبيةٍ أو على بيئاتٍ عربيةٍ متعددة. بينما تركِّز الدراسة الحالية بشكلٍ خاصٍّ على المؤسسات الحكومية في المملكة العربية السعودية، التي تشهد تحوُّلًا غير مسبوقٍ في إطار رؤية 2030.</w:t>
      </w:r>
    </w:p>
    <w:p w:rsidR="00B77B5F" w:rsidRDefault="00000000">
      <w:pPr>
        <w:keepLines/>
        <w:spacing w:after="120"/>
        <w:ind w:firstLine="284"/>
        <w:jc w:val="both"/>
      </w:pPr>
      <w:r>
        <w:rPr>
          <w:b/>
          <w:bCs/>
          <w:lang w:val="ar-SA"/>
        </w:rPr>
        <w:t xml:space="preserve">ثانيًا: الجمع بين المتغيرَين بأبعادٍ متكاملة. </w:t>
      </w:r>
      <w:r>
        <w:rPr>
          <w:lang w:val="ar-SA"/>
        </w:rPr>
        <w:t>تناولت كثير من الدراسات السابقة جانبًا واحدًا فقط. في حين تجمع الدراسة الحالية بين متغيرَين بأبعادهما الشاملة: المتغير المستقل بأربعة أبعاد، والمتغير التابع بخمسة أبعاد، مما يُقدِّم تحليلًا أكثر تفصيلًا للعلاقة.</w:t>
      </w:r>
    </w:p>
    <w:p w:rsidR="00B77B5F" w:rsidRDefault="00000000">
      <w:pPr>
        <w:keepLines/>
        <w:spacing w:after="120"/>
        <w:ind w:firstLine="284"/>
        <w:jc w:val="both"/>
      </w:pPr>
      <w:r>
        <w:rPr>
          <w:b/>
          <w:bCs/>
          <w:lang w:val="ar-SA"/>
        </w:rPr>
        <w:t xml:space="preserve">ثالثًا: التركيز على القطاع الحكومي بتنوُّعه. </w:t>
      </w:r>
      <w:r>
        <w:rPr>
          <w:lang w:val="ar-SA"/>
        </w:rPr>
        <w:t>تستهدف الدراسة الحالية عيِّنةً متنوعةً من العاملين في مختلف القطاعات الحكومية (الوزارات والبلديات والجهات الصحية والتعليمية)، بدلًا من التركيز على قطاعٍ حكوميٍ واحد، مما يوفِّر منظورًا أوسع.</w:t>
      </w:r>
    </w:p>
    <w:p w:rsidR="00B77B5F" w:rsidRDefault="00000000">
      <w:pPr>
        <w:keepLines/>
        <w:spacing w:after="120"/>
        <w:ind w:firstLine="284"/>
        <w:jc w:val="both"/>
      </w:pPr>
      <w:r>
        <w:rPr>
          <w:b/>
          <w:bCs/>
          <w:lang w:val="ar-SA"/>
        </w:rPr>
        <w:t xml:space="preserve">رابعًا: حداثة الموضوع والسياق. </w:t>
      </w:r>
      <w:r>
        <w:rPr>
          <w:lang w:val="ar-SA"/>
        </w:rPr>
        <w:t>تأتي الدراسة الحالية في مرحلةٍ حرجةٍ من تطبيق رؤية 2030 (عام 2026)، حيث ازدادت الحاجة إلى منهجياتٍ إداريةٍ مرنة، وعدد الدراسات الحديثة التي ربطت بين Agile ورؤية 2030 محدودٌ جدًّا.</w:t>
      </w:r>
    </w:p>
    <w:p w:rsidR="00B77B5F" w:rsidRDefault="00000000">
      <w:pPr>
        <w:keepLines/>
        <w:spacing w:after="120"/>
        <w:ind w:firstLine="284"/>
        <w:jc w:val="both"/>
      </w:pPr>
      <w:r>
        <w:rPr>
          <w:b/>
          <w:bCs/>
          <w:lang w:val="ar-SA"/>
        </w:rPr>
        <w:t xml:space="preserve">خامسًا: زيادة الدراسات الحديثة. </w:t>
      </w:r>
      <w:r>
        <w:rPr>
          <w:lang w:val="ar-SA"/>
        </w:rPr>
        <w:t>تضمَّنت الدراسة الحالية سبع دراساتٍ حديثةٍ صدرت في الفترة 2022–2025 ضمن الدراسات السابقة، أحدثها مراجعةٌ منهجيةٌ نُشرت عام 2025، بما يتوافق مع توصيات لجنة المناقشة بزيادة الدراسات الحديثة.</w:t>
      </w:r>
    </w:p>
    <w:p w:rsidR="00B77B5F" w:rsidRDefault="00000000" w:rsidP="003B5AD3">
      <w:pPr>
        <w:pStyle w:val="1"/>
        <w:keepNext/>
        <w:jc w:val="left"/>
      </w:pPr>
      <w:bookmarkStart w:id="37" w:name="_Toc233617770"/>
      <w:r>
        <w:rPr>
          <w:lang w:val="ar-SA"/>
        </w:rPr>
        <w:t>9.1 المنطلقات النظرية للدراسة:</w:t>
      </w:r>
      <w:bookmarkEnd w:id="37"/>
    </w:p>
    <w:p w:rsidR="00B77B5F" w:rsidRDefault="00000000">
      <w:pPr>
        <w:keepLines/>
        <w:spacing w:after="120"/>
        <w:ind w:firstLine="284"/>
        <w:jc w:val="both"/>
      </w:pPr>
      <w:r>
        <w:rPr>
          <w:lang w:val="ar-SA"/>
        </w:rPr>
        <w:t>ينطلق الباحث في هذه الدراسة من مجموعةٍ من المنطلقات النظرية التي تُشكِّل الأساس المفاهيمي للبحث، وتُمكِّن من فهم العلاقة بين المتغيرات المدروسة:</w:t>
      </w:r>
    </w:p>
    <w:p w:rsidR="00B77B5F" w:rsidRDefault="00000000">
      <w:pPr>
        <w:keepLines/>
        <w:spacing w:after="120"/>
        <w:ind w:firstLine="284"/>
        <w:jc w:val="both"/>
      </w:pPr>
      <w:r>
        <w:rPr>
          <w:lang w:val="ar-SA"/>
        </w:rPr>
        <w:t>أولًا: نظرية الإدارة الرشيقة (Agile Management Theory) التي وُضِعت أُسسها في بيان أجايل (Agile Manifesto) عام 2001 على يد مجموعةٍ من خبراء تطوير البرمجيات (Beck et al., 2001). وتقوم هذه النظرية على أربع قيمٍ جوهريةٍ هي: تفضيل الأفراد والتفاعلات على العمليات والأدوات، وتفضيل المنتج العامل على التوثيق الشامل، وتفضيل التعاون مع العميل على التفاوض التعاقدي، والاستجابة للتغيير على اتباع الخطة الموضوعة. كما تستند إلى اثني عشر مبدأً تفصيليًا تُحدِّد الممارسات العملية للرشاقة.</w:t>
      </w:r>
    </w:p>
    <w:p w:rsidR="00B77B5F" w:rsidRDefault="00000000">
      <w:pPr>
        <w:keepLines/>
        <w:spacing w:after="120"/>
        <w:ind w:firstLine="284"/>
        <w:jc w:val="both"/>
      </w:pPr>
      <w:r>
        <w:rPr>
          <w:lang w:val="ar-SA"/>
        </w:rPr>
        <w:lastRenderedPageBreak/>
        <w:t>ثانيًا: نظرية نجاح المشروع التي طوَّرها (Pinto &amp; Slevin, 1988)، والتي تتجاوز النظرة التقليدية الضيقة المعتمدة على "المثلث الذهبي" (الوقت والتكلفة والنطاق) إلى نظرةٍ أشملَ تتضمَّن أبعادًا إضافيةً مثل رضا أصحاب المصلحة وتحقيق القيمة الاستراتيجية. وقد طوَّر معهد إدارة المشاريع (PMI) هذه النظرة بشكلٍ أكبر في الإصدار السابع من دليل PMBOK (Project Management Institute, 2021)، الذي أكَّد على ضرورة التركيز على القيمة المُسلَّمة لأصحاب المصلحة كمعيارٍ رئيسٍ للنجاح.</w:t>
      </w:r>
    </w:p>
    <w:p w:rsidR="00B77B5F" w:rsidRDefault="00000000">
      <w:pPr>
        <w:keepLines/>
        <w:spacing w:after="120"/>
        <w:ind w:firstLine="284"/>
        <w:jc w:val="both"/>
      </w:pPr>
      <w:r>
        <w:rPr>
          <w:lang w:val="ar-SA"/>
        </w:rPr>
        <w:t>ثالثًا: الإطار النظري للحكومة الرشيقة (Agile Government) الذي طرحه (Mergel et al., 2018)، والذي يُقدِّم رؤيةً متكاملةً لكيفية تطبيق مبادئ Agile في القطاع الحكومي مع مراعاة خصوصياته من بيروقراطيةٍ وقيودٍ تنظيمية. ويُحدِّد هذا الإطار خمسة مستوياتٍ لتبني Agile في الحكومات، تتراوح من "الاستكشاف" إلى "التحوُّل الكامل".</w:t>
      </w:r>
    </w:p>
    <w:p w:rsidR="00B77B5F" w:rsidRDefault="00000000">
      <w:pPr>
        <w:keepLines/>
        <w:spacing w:after="120"/>
        <w:ind w:firstLine="284"/>
        <w:jc w:val="both"/>
      </w:pPr>
      <w:r>
        <w:rPr>
          <w:lang w:val="ar-SA"/>
        </w:rPr>
        <w:t>رابعًا: نظرية التغيير التنظيمي (Organizational Change Theory)، التي تُساعد على فهم كيفية انتقال المؤسسات من المنهجيات التقليدية إلى Agile. وتُشير هذه النظرية إلى أن التحوُّل الناجح يتطلب توافر عدة عناصر: الرؤية الواضحة، والقيادة الفاعلة، والثقافة الداعمة، والتواصل المستمر.</w:t>
      </w:r>
    </w:p>
    <w:p w:rsidR="00B77B5F" w:rsidRDefault="00000000" w:rsidP="003B5AD3">
      <w:pPr>
        <w:pStyle w:val="1"/>
        <w:keepNext/>
        <w:jc w:val="left"/>
      </w:pPr>
      <w:bookmarkStart w:id="38" w:name="_Toc233617771"/>
      <w:r>
        <w:rPr>
          <w:lang w:val="ar-SA"/>
        </w:rPr>
        <w:t>10.1 منهجية البحث:</w:t>
      </w:r>
      <w:bookmarkEnd w:id="38"/>
    </w:p>
    <w:p w:rsidR="00B77B5F" w:rsidRDefault="00000000">
      <w:pPr>
        <w:keepLines/>
        <w:spacing w:after="120"/>
        <w:ind w:firstLine="284"/>
        <w:jc w:val="both"/>
      </w:pPr>
      <w:r>
        <w:rPr>
          <w:lang w:val="ar-SA"/>
        </w:rPr>
        <w:t>اعتمد الباحث المنهج الوصفي التحليلي (Descriptive Analytical Method)، باعتباره الأنسب لطبيعة الدراسة وأهدافها، حيث تسعى الدراسة إلى وصف واقع تطبيق منهجيات Agile ونجاح المشاريع في المؤسسات الحكومية السعودية، وتحليل العلاقة بينهما. ويتميَّز هذا المنهج بأنه يُمكِّن الباحث من جمع بياناتٍ كميةٍ يُمكن قياسها وتحليلها إحصائيًّا، مما يُساعد على اختبار الفرضيات بطريقةٍ موضوعية. وسيتم تفصيل المنهجية بشكلٍ أوسعَ في الفصل الثالث.</w:t>
      </w:r>
    </w:p>
    <w:p w:rsidR="00B77B5F" w:rsidRDefault="00000000" w:rsidP="00767BCE">
      <w:pPr>
        <w:pStyle w:val="1"/>
        <w:keepNext/>
        <w:jc w:val="left"/>
      </w:pPr>
      <w:bookmarkStart w:id="39" w:name="_Toc233617772"/>
      <w:r>
        <w:rPr>
          <w:lang w:val="ar-SA"/>
        </w:rPr>
        <w:t>11.1 مصادر البيانات:</w:t>
      </w:r>
      <w:bookmarkEnd w:id="39"/>
    </w:p>
    <w:p w:rsidR="00B77B5F" w:rsidRDefault="00000000">
      <w:pPr>
        <w:keepLines/>
        <w:spacing w:after="120"/>
        <w:ind w:firstLine="284"/>
        <w:jc w:val="both"/>
      </w:pPr>
      <w:r>
        <w:rPr>
          <w:b/>
          <w:bCs/>
          <w:lang w:val="ar-SA"/>
        </w:rPr>
        <w:t xml:space="preserve">❖ المصادر الأولية: </w:t>
      </w:r>
      <w:r>
        <w:rPr>
          <w:lang w:val="ar-SA"/>
        </w:rPr>
        <w:t xml:space="preserve">اعتمد الباحث على الاستبانة الإلكترونية التي صمَّمها وفقًا لمحاور الدراسة وأبعادها، وقد وُزِّعت عبر منصة Google Forms على عيِّنةٍ عشوائيةٍ من العاملين في المؤسسات الحكومية السعودية في الفترة من </w:t>
      </w:r>
      <w:r>
        <w:rPr>
          <w:rFonts w:hint="cs"/>
          <w:lang w:val="ar-SA"/>
        </w:rPr>
        <w:t>ابريل</w:t>
      </w:r>
      <w:r>
        <w:rPr>
          <w:lang w:val="ar-SA"/>
        </w:rPr>
        <w:t xml:space="preserve"> إلى يونيو 2026م، وتم الحصول على (88) استجابة صالحة للتحليل الإحصائي.</w:t>
      </w:r>
    </w:p>
    <w:p w:rsidR="00B77B5F" w:rsidRDefault="00000000">
      <w:pPr>
        <w:keepLines/>
        <w:spacing w:after="120"/>
        <w:ind w:firstLine="284"/>
        <w:jc w:val="both"/>
      </w:pPr>
      <w:r>
        <w:rPr>
          <w:b/>
          <w:bCs/>
          <w:lang w:val="ar-SA"/>
        </w:rPr>
        <w:t xml:space="preserve">❖ المصادر الثانوية: </w:t>
      </w:r>
      <w:r>
        <w:rPr>
          <w:lang w:val="ar-SA"/>
        </w:rPr>
        <w:t>قام الباحث بالرجوع إلى الكتب والمراجع العربية والأجنبية ذات العلاقة، والدوريات العلمية المحكَّمة، والرسائل الجامعية المتخصِّصة، والتقارير الرسمية الصادرة عن الجهات الحكومية والمنظمات الدولية المتخصِّصة في إدارة المشاريع كمعهد إدارة المشاريع (PMI)، والمواقع الإلكترونية الموثوقة.</w:t>
      </w:r>
    </w:p>
    <w:p w:rsidR="00B77B5F" w:rsidRDefault="00000000" w:rsidP="00767BCE">
      <w:pPr>
        <w:pStyle w:val="1"/>
        <w:keepNext/>
        <w:jc w:val="left"/>
      </w:pPr>
      <w:bookmarkStart w:id="40" w:name="_Toc233617773"/>
      <w:r>
        <w:rPr>
          <w:lang w:val="ar-SA"/>
        </w:rPr>
        <w:lastRenderedPageBreak/>
        <w:t>12.1 أدوات الدراسة:</w:t>
      </w:r>
      <w:bookmarkEnd w:id="40"/>
    </w:p>
    <w:p w:rsidR="00B77B5F" w:rsidRDefault="00000000">
      <w:pPr>
        <w:keepLines/>
        <w:spacing w:after="120"/>
        <w:ind w:firstLine="284"/>
        <w:jc w:val="both"/>
      </w:pPr>
      <w:r>
        <w:rPr>
          <w:lang w:val="ar-SA"/>
        </w:rPr>
        <w:t>استخدم الباحث الاستبانة الإلكترونية أداةً رئيسةً لجمع البيانات الأولية، وقد صُمِّمت بحيث تتضمَّن قسمَين رئيسَين: القسم الأول يتعلق بالبيانات الديموغرافية لأفراد العيِّنة (الجنس، والمؤهل العلمي، وسنوات الخبرة، والمسمَّى الوظيفي، والقطاع الحكومي)، والقسم الثاني يتضمَّن (35) فقرةً موزَّعةً على محورَين رئيسَين. واعتُمد مقياس ليكرت الخماسي للإجابة، حيث تتدرَّج الإجابات من "غير موافق بشدة" (1 درجة) إلى "موافق بشدة" (5 درجات). وسيتم تفصيل أداة الدراسة بشكلٍ أوسع في الفصل الثالث.</w:t>
      </w:r>
    </w:p>
    <w:p w:rsidR="00B77B5F" w:rsidRDefault="00000000" w:rsidP="00767BCE">
      <w:pPr>
        <w:pStyle w:val="1"/>
        <w:keepNext/>
        <w:jc w:val="left"/>
      </w:pPr>
      <w:bookmarkStart w:id="41" w:name="_Toc233617774"/>
      <w:r>
        <w:rPr>
          <w:lang w:val="ar-SA"/>
        </w:rPr>
        <w:t>13.1 حدود الدراسة:</w:t>
      </w:r>
      <w:bookmarkEnd w:id="41"/>
    </w:p>
    <w:p w:rsidR="00B77B5F" w:rsidRDefault="00000000">
      <w:pPr>
        <w:keepLines/>
        <w:spacing w:after="120"/>
        <w:ind w:firstLine="284"/>
        <w:jc w:val="both"/>
      </w:pPr>
      <w:r>
        <w:rPr>
          <w:lang w:val="ar-SA"/>
        </w:rPr>
        <w:t>اقتصرت هذه الدراسة على الحدود التالية:</w:t>
      </w:r>
    </w:p>
    <w:p w:rsidR="00B77B5F" w:rsidRDefault="00000000">
      <w:pPr>
        <w:keepLines/>
        <w:spacing w:after="120"/>
        <w:ind w:firstLine="284"/>
        <w:jc w:val="both"/>
      </w:pPr>
      <w:r>
        <w:rPr>
          <w:b/>
          <w:bCs/>
          <w:lang w:val="ar-SA"/>
        </w:rPr>
        <w:t xml:space="preserve">الحدود الموضوعية: </w:t>
      </w:r>
      <w:r>
        <w:rPr>
          <w:lang w:val="ar-SA"/>
        </w:rPr>
        <w:t>تقتصر الدراسة على بحث أثر تطبيق منهجيات إدارة المشاريع الرشيقة (Agile) -بأبعادها الأربعة- على نجاح المشاريع -بأبعاده الخمسة- في المؤسسات الحكومية في المملكة العربية السعودية.</w:t>
      </w:r>
    </w:p>
    <w:p w:rsidR="00B77B5F" w:rsidRDefault="00000000">
      <w:pPr>
        <w:keepLines/>
        <w:spacing w:after="120"/>
        <w:ind w:firstLine="284"/>
        <w:jc w:val="both"/>
      </w:pPr>
      <w:r>
        <w:rPr>
          <w:b/>
          <w:bCs/>
          <w:lang w:val="ar-SA"/>
        </w:rPr>
        <w:t xml:space="preserve">الحدود المكانية: </w:t>
      </w:r>
      <w:r>
        <w:rPr>
          <w:lang w:val="ar-SA"/>
        </w:rPr>
        <w:t>تقتصر الدراسة على المؤسسات الحكومية في المملكة العربية السعودية، بما في ذلك الوزارات والهيئات والبلديات والجهات التعليمية والصحية وغيرها من الجهات الحكومية.</w:t>
      </w:r>
    </w:p>
    <w:p w:rsidR="00B77B5F" w:rsidRDefault="00000000">
      <w:pPr>
        <w:keepLines/>
        <w:spacing w:after="120"/>
        <w:ind w:firstLine="284"/>
        <w:jc w:val="both"/>
      </w:pPr>
      <w:r>
        <w:rPr>
          <w:b/>
          <w:bCs/>
          <w:lang w:val="ar-SA"/>
        </w:rPr>
        <w:t xml:space="preserve">الحدود البشرية: </w:t>
      </w:r>
      <w:r>
        <w:rPr>
          <w:lang w:val="ar-SA"/>
        </w:rPr>
        <w:t>تقتصر الدراسة على العاملين في المؤسسات الحكومية السعودية في مجال إدارة المشاريع، سواءٌ كانوا مديري مشاريع، أو أعضاء فرق مشاريع، أو مشرفين ورؤساء أقسام.</w:t>
      </w:r>
    </w:p>
    <w:p w:rsidR="00B77B5F" w:rsidRDefault="00000000">
      <w:pPr>
        <w:keepLines/>
        <w:spacing w:after="120"/>
        <w:ind w:firstLine="284"/>
        <w:jc w:val="both"/>
      </w:pPr>
      <w:r>
        <w:rPr>
          <w:b/>
          <w:bCs/>
          <w:lang w:val="ar-SA"/>
        </w:rPr>
        <w:t xml:space="preserve">الحدود الزمنية: </w:t>
      </w:r>
      <w:r>
        <w:rPr>
          <w:lang w:val="ar-SA"/>
        </w:rPr>
        <w:t xml:space="preserve">أُجريت الدراسة الميدانية لجمع البيانات خلال الفترة من شهر </w:t>
      </w:r>
      <w:r>
        <w:rPr>
          <w:rFonts w:hint="cs"/>
          <w:lang w:val="ar-SA"/>
        </w:rPr>
        <w:t>ابريل</w:t>
      </w:r>
      <w:r>
        <w:rPr>
          <w:lang w:val="ar-SA"/>
        </w:rPr>
        <w:t xml:space="preserve"> 2026م إلى شهر يونيو 2026م.</w:t>
      </w:r>
    </w:p>
    <w:p w:rsidR="00B77B5F" w:rsidRDefault="00000000">
      <w:pPr>
        <w:pageBreakBefore/>
        <w:spacing w:before="600" w:after="200"/>
        <w:jc w:val="center"/>
      </w:pPr>
      <w:r>
        <w:rPr>
          <w:b/>
          <w:bCs/>
          <w:color w:val="1F3864"/>
          <w:sz w:val="40"/>
          <w:szCs w:val="40"/>
          <w:lang w:val="ar-SA"/>
        </w:rPr>
        <w:lastRenderedPageBreak/>
        <w:t>الفصل الثاني: الإطار النظري</w:t>
      </w:r>
    </w:p>
    <w:p w:rsidR="00B77B5F" w:rsidRDefault="00B77B5F">
      <w:pPr>
        <w:pBdr>
          <w:bottom w:val="double" w:sz="18" w:space="6" w:color="1F3864"/>
        </w:pBdr>
        <w:spacing w:before="100" w:after="400"/>
        <w:jc w:val="center"/>
      </w:pPr>
    </w:p>
    <w:p w:rsidR="00B77B5F" w:rsidRDefault="00000000" w:rsidP="00767BCE">
      <w:pPr>
        <w:pStyle w:val="1"/>
        <w:keepNext/>
        <w:jc w:val="left"/>
      </w:pPr>
      <w:bookmarkStart w:id="42" w:name="_Toc233617775"/>
      <w:r>
        <w:rPr>
          <w:lang w:val="ar-SA"/>
        </w:rPr>
        <w:t>المبحث الأول: إدارة المشاريع الرشيقة (Agile)</w:t>
      </w:r>
      <w:bookmarkEnd w:id="42"/>
    </w:p>
    <w:p w:rsidR="00B77B5F" w:rsidRDefault="00000000" w:rsidP="00767BCE">
      <w:pPr>
        <w:pStyle w:val="2"/>
        <w:keepNext/>
        <w:jc w:val="left"/>
      </w:pPr>
      <w:bookmarkStart w:id="43" w:name="_Toc233617776"/>
      <w:r>
        <w:rPr>
          <w:lang w:val="ar-SA"/>
        </w:rPr>
        <w:t>1.1.2 مقدمة:</w:t>
      </w:r>
      <w:bookmarkEnd w:id="43"/>
    </w:p>
    <w:p w:rsidR="00B77B5F" w:rsidRDefault="00000000">
      <w:pPr>
        <w:keepLines/>
        <w:spacing w:after="120"/>
        <w:ind w:firstLine="284"/>
        <w:jc w:val="both"/>
      </w:pPr>
      <w:r>
        <w:rPr>
          <w:lang w:val="ar-SA"/>
        </w:rPr>
        <w:t>تُمثِّل إدارة المشاريع الرشيقة (Agile) واحدةً من أبرز التطورات الإدارية الحديثة في مجال إدارة المشاريع، إذ تُقدِّم بديلًا منهجيًا عن الطرق التقليدية الجامدة، وتستجيب لمتطلبات بيئة الأعمال المعاصرة سريعة التغيُّر. ويتناول هذا المبحث الإطار النظري الكامل لمنهجيات Agile، بدءًا من مفهومها ونشأتها، مرورًا بقيمها ومبادئها الأساسية ومنهجياتها المختلفة، وانتهاءً بتحديات تطبيقها في القطاع الحكومي وعوامل نجاحها.</w:t>
      </w:r>
    </w:p>
    <w:p w:rsidR="00B77B5F" w:rsidRDefault="00000000" w:rsidP="00767BCE">
      <w:pPr>
        <w:pStyle w:val="2"/>
        <w:keepNext/>
        <w:jc w:val="left"/>
      </w:pPr>
      <w:bookmarkStart w:id="44" w:name="_Toc233617777"/>
      <w:r>
        <w:rPr>
          <w:lang w:val="ar-SA"/>
        </w:rPr>
        <w:t>2.1.2 مفهوم إدارة المشاريع الرشيقة:</w:t>
      </w:r>
      <w:bookmarkEnd w:id="44"/>
    </w:p>
    <w:p w:rsidR="00B77B5F" w:rsidRDefault="00000000">
      <w:pPr>
        <w:keepLines/>
        <w:spacing w:after="120"/>
        <w:ind w:firstLine="284"/>
        <w:jc w:val="both"/>
      </w:pPr>
      <w:r>
        <w:rPr>
          <w:lang w:val="ar-SA"/>
        </w:rPr>
        <w:t>تُعرَّف إدارة المشاريع الرشيقة بأنها منهجيةٌ حديثةٌ لإدارة المشاريع تقوم على التطوير التكراري والتدريجي، حيث تُنفَّذ أعمال المشروع في دوراتٍ قصيرةٍ تُسمَّى Sprints، تتراوح عادةً بين أسبوعٍ وأربعة أسابيع، وتُسلَّم في نهاية كل دورةٍ مخرجاتٌ قابلةٌ للاستخدام والمراجعة (Schwaber &amp; Sutherland, 2020).</w:t>
      </w:r>
    </w:p>
    <w:p w:rsidR="00B77B5F" w:rsidRDefault="00000000">
      <w:pPr>
        <w:keepLines/>
        <w:spacing w:after="120"/>
        <w:ind w:firstLine="284"/>
        <w:jc w:val="both"/>
      </w:pPr>
      <w:r>
        <w:rPr>
          <w:lang w:val="ar-SA"/>
        </w:rPr>
        <w:t>ويُعرِّفها معهد إدارة المشاريع الأمريكي بأنها "أسلوبٌ لإدارة المشاريع يستجيب للتغيير ويتميَّز بالقدرة على التكيُّف، ويعتمد على دوراتٍ تطويرٍ قصيرةٍ ومتكررة، وتعاونٍ مستمرٍ مع أصحاب المصلحة" (Project Management Institute, 2021). ويختلف هذا الأسلوب جوهريًا عن المنهجية التقليدية المعروفة بـ Waterfall التي تعتمد على التخطيط المسبق التفصيلي وتنفيذ المراحل بالترتيب دون الرجوع للمراحل السابقة.</w:t>
      </w:r>
    </w:p>
    <w:p w:rsidR="00B77B5F" w:rsidRDefault="00000000">
      <w:pPr>
        <w:keepLines/>
        <w:spacing w:after="120"/>
        <w:ind w:firstLine="284"/>
        <w:jc w:val="both"/>
      </w:pPr>
      <w:r>
        <w:rPr>
          <w:lang w:val="ar-SA"/>
        </w:rPr>
        <w:t>ويُعرِّفها (Highsmith, 2010) بأنها "القدرة على إنشاء قيمةٍ والاستجابة للتغيُّر من خلال توازنٍ بين المرونة والاستقرار". ويُضيف أن Agile ليست مجرد منهجيةٍ تقنية، بل هي فلسفةٌ إداريةٌ شاملةٌ تُغيِّر طريقة تفكير المؤسسات في كيفية إنجاز العمل وتسليم القيمة لأصحاب المصلحة.</w:t>
      </w:r>
    </w:p>
    <w:p w:rsidR="00B77B5F" w:rsidRDefault="00000000">
      <w:pPr>
        <w:keepLines/>
        <w:spacing w:after="120"/>
        <w:ind w:firstLine="284"/>
        <w:jc w:val="both"/>
      </w:pPr>
      <w:r>
        <w:rPr>
          <w:lang w:val="ar-SA"/>
        </w:rPr>
        <w:t>ومن خلال هذه التعريفات، يُمكن استخلاص خمس خصائصٍ جوهريةٍ لإدارة المشاريع الرشيقة: المرونة في الاستجابة للتغيير، والتطوير التكراري، والتسليم المستمر للقيمة، والتعاون المكثَّف مع أصحاب المصلحة، والتحسين المستمر للعمليات والممارسات.</w:t>
      </w:r>
    </w:p>
    <w:p w:rsidR="00B77B5F" w:rsidRDefault="00000000" w:rsidP="00767BCE">
      <w:pPr>
        <w:pStyle w:val="2"/>
        <w:keepNext/>
        <w:jc w:val="left"/>
      </w:pPr>
      <w:bookmarkStart w:id="45" w:name="_Toc233617778"/>
      <w:r>
        <w:rPr>
          <w:lang w:val="ar-SA"/>
        </w:rPr>
        <w:lastRenderedPageBreak/>
        <w:t>3.1.2 نشأة منهجيات Agile وتطورها:</w:t>
      </w:r>
      <w:bookmarkEnd w:id="45"/>
    </w:p>
    <w:p w:rsidR="00B77B5F" w:rsidRDefault="00000000">
      <w:pPr>
        <w:keepLines/>
        <w:spacing w:after="120"/>
        <w:ind w:firstLine="284"/>
        <w:jc w:val="both"/>
      </w:pPr>
      <w:r>
        <w:rPr>
          <w:lang w:val="ar-SA"/>
        </w:rPr>
        <w:t>ظهرت جذور منهجيات Agile في ستينيات وسبعينيات القرن الماضي من خلال مفاهيم مثل التطوير التكراري (Iterative Development) في صناعات الفضاء واليابانية، وتحديدًا في نظام الإنتاج الياباني الذي طوَّرته شركة تويوتا. كما ظهرت في الثمانينيات والتسعينيات منهجياتٌ مبكرةٌ مثل Rapid Application Development (RAD) و Scrum و Extreme Programming، التي مهَّدت الطريق لظهور بيان أجايل.</w:t>
      </w:r>
    </w:p>
    <w:p w:rsidR="00B77B5F" w:rsidRDefault="00000000">
      <w:pPr>
        <w:keepLines/>
        <w:spacing w:after="120"/>
        <w:ind w:firstLine="284"/>
        <w:jc w:val="both"/>
      </w:pPr>
      <w:r>
        <w:rPr>
          <w:lang w:val="ar-SA"/>
        </w:rPr>
        <w:t>وكان الميلاد الرسمي للمنهجية الرشيقة في فبراير 2001، عندما اجتمع 17 خبيرًا في مجال تطوير البرمجيات في ولاية يوتا الأمريكية، وأصدروا ما عُرف بـ "بيان أجايل" (Agile Manifesto)، الذي وضع المبادئ الأساسية للمنهجية (Beck et al., 2001). وقد كان هذا الاجتماع نقطة تحوُّلٍ تاريخيةٍ في فلسفة إدارة المشاريع.</w:t>
      </w:r>
    </w:p>
    <w:p w:rsidR="00B77B5F" w:rsidRDefault="00000000">
      <w:pPr>
        <w:keepLines/>
        <w:spacing w:after="120"/>
        <w:ind w:firstLine="284"/>
        <w:jc w:val="both"/>
      </w:pPr>
      <w:r>
        <w:rPr>
          <w:lang w:val="ar-SA"/>
        </w:rPr>
        <w:t>وقد انطلقت Agile في البداية من مجال تطوير البرمجيات، لكنها سرعان ما انتشرت لتشمل قطاعاتٍ متعددةً كالتسويق والتعليم والصحة وإدارة المنتجات وحتى المشاريع الحكومية. وفي العقد الأخير، ازداد تبنِّي هذه المنهجيات بشكلٍ لافتٍ في المؤسسات الكبرى حول العالم، حيث أشار تقرير State of Agile السنوي إلى أن أكثر من 86% من المؤسسات تطبق منهجيات Agile بشكلٍ أو بآخر (Digital.ai, 2023).</w:t>
      </w:r>
    </w:p>
    <w:p w:rsidR="00B77B5F" w:rsidRDefault="00000000">
      <w:pPr>
        <w:keepLines/>
        <w:spacing w:after="120"/>
        <w:ind w:firstLine="284"/>
        <w:jc w:val="both"/>
      </w:pPr>
      <w:r>
        <w:rPr>
          <w:lang w:val="ar-SA"/>
        </w:rPr>
        <w:t>ويُمكن تقسيم تطور منهجيات Agile إلى أربع مراحل رئيسة: المرحلة الأولى (1960-1990) وهي مرحلة الجذور التاريخية، والمرحلة الثانية (1990-2001) وهي مرحلة المنهجيات المبكرة، والمرحلة الثالثة (2001-2010) وهي مرحلة الانتشار في مجال البرمجيات، والمرحلة الرابعة (2010-حتى الآن) وهي مرحلة التوسع إلى القطاعات الأخرى بما فيها القطاع الحكومي.</w:t>
      </w:r>
    </w:p>
    <w:p w:rsidR="00B77B5F" w:rsidRDefault="00000000" w:rsidP="00767BCE">
      <w:pPr>
        <w:pStyle w:val="2"/>
        <w:keepNext/>
        <w:jc w:val="left"/>
      </w:pPr>
      <w:bookmarkStart w:id="46" w:name="_Toc233617779"/>
      <w:r>
        <w:rPr>
          <w:lang w:val="ar-SA"/>
        </w:rPr>
        <w:t>4.1.2 القيم الأساسية في بيان Agile:</w:t>
      </w:r>
      <w:bookmarkEnd w:id="46"/>
    </w:p>
    <w:p w:rsidR="00B77B5F" w:rsidRDefault="00000000">
      <w:pPr>
        <w:keepLines/>
        <w:spacing w:after="120"/>
        <w:ind w:firstLine="284"/>
        <w:jc w:val="both"/>
      </w:pPr>
      <w:r>
        <w:rPr>
          <w:lang w:val="ar-SA"/>
        </w:rPr>
        <w:t>يقوم بيان Agile على أربع قيمٍ جوهرية، هي:</w:t>
      </w:r>
    </w:p>
    <w:p w:rsidR="00B77B5F" w:rsidRDefault="00000000" w:rsidP="00767BCE">
      <w:pPr>
        <w:spacing w:after="80"/>
        <w:ind w:right="568"/>
      </w:pPr>
      <w:r>
        <w:rPr>
          <w:lang w:val="ar-SA"/>
        </w:rPr>
        <w:t>• الأفراد والتفاعلات أهم من العمليات والأدوات: يُؤكِّد هذا المبدأ على أن العنصر البشري هو جوهر نجاح أي مشروع، وأن التواصل المباشر بين الأفراد أكثر فاعليةً من الاعتماد على الأدوات والإجراءات الجامدة.</w:t>
      </w:r>
    </w:p>
    <w:p w:rsidR="00B77B5F" w:rsidRDefault="00000000" w:rsidP="00767BCE">
      <w:pPr>
        <w:spacing w:after="80"/>
        <w:ind w:right="568"/>
      </w:pPr>
      <w:r>
        <w:rPr>
          <w:lang w:val="ar-SA"/>
        </w:rPr>
        <w:t>• البرامج العاملة أهم من التوثيق الشامل: يُشدِّد على أن المنتج العامل أو المخرج الفعلي أهم من التوثيق المفرط، دون إهمال التوثيق الضروري.</w:t>
      </w:r>
    </w:p>
    <w:p w:rsidR="00B77B5F" w:rsidRDefault="00000000" w:rsidP="00767BCE">
      <w:pPr>
        <w:spacing w:after="80"/>
        <w:ind w:right="568"/>
      </w:pPr>
      <w:r>
        <w:rPr>
          <w:lang w:val="ar-SA"/>
        </w:rPr>
        <w:t>• التعاون مع العميل أهم من التفاوض على العقود: يُعزِّز قيمة العلاقة التشاركية مع أصحاب المصلحة بدلًا من العلاقة التعاقدية الجامدة.</w:t>
      </w:r>
    </w:p>
    <w:p w:rsidR="00B77B5F" w:rsidRDefault="00000000" w:rsidP="00542A6B">
      <w:pPr>
        <w:spacing w:after="80"/>
        <w:ind w:right="568"/>
      </w:pPr>
      <w:r>
        <w:rPr>
          <w:lang w:val="ar-SA"/>
        </w:rPr>
        <w:lastRenderedPageBreak/>
        <w:t>• الاستجابة للتغيير أهم من اتباع الخطة الموضوعة: يُؤكِّد على أن المرونة والتكيُّف مع المتغيرات هما المفتاح للنجاح في البيئات الديناميكية.</w:t>
      </w:r>
    </w:p>
    <w:p w:rsidR="00B77B5F" w:rsidRDefault="00000000" w:rsidP="00542A6B">
      <w:pPr>
        <w:keepLines/>
        <w:spacing w:after="120"/>
        <w:ind w:firstLine="284"/>
      </w:pPr>
      <w:r>
        <w:rPr>
          <w:lang w:val="ar-SA"/>
        </w:rPr>
        <w:t>وتجدر الإشارة إلى أن هذه القيم لا تعني إلغاء العناصر الموجودة على اليمين (مثل العمليات والتوثيق والعقود والخطط)، بل تعني إعطاء أولويةٍ أكبر للعناصر الموجودة على اليسار. فبيان Agile لا يدعو إلى الفوضى أو إلى التخلِّي عن التخطيط، بل إلى تخطيطٍ مرنٍ يتكيَّف مع المستجدات.</w:t>
      </w:r>
    </w:p>
    <w:p w:rsidR="00B77B5F" w:rsidRDefault="00000000" w:rsidP="00542A6B">
      <w:pPr>
        <w:pStyle w:val="2"/>
        <w:keepNext/>
        <w:jc w:val="left"/>
      </w:pPr>
      <w:bookmarkStart w:id="47" w:name="_Toc233617780"/>
      <w:r>
        <w:rPr>
          <w:lang w:val="ar-SA"/>
        </w:rPr>
        <w:t>5.1.2 المبادئ الاثنا عشر لمنهجية Agile:</w:t>
      </w:r>
      <w:bookmarkEnd w:id="47"/>
    </w:p>
    <w:p w:rsidR="00B77B5F" w:rsidRDefault="00000000">
      <w:pPr>
        <w:keepLines/>
        <w:spacing w:after="120"/>
        <w:ind w:firstLine="284"/>
        <w:jc w:val="both"/>
      </w:pPr>
      <w:r>
        <w:rPr>
          <w:lang w:val="ar-SA"/>
        </w:rPr>
        <w:t>يستند بيان Agile إلى اثني عشر مبدأً تفصيليًا، تُحدِّد الممارسات العملية للرشاقة:</w:t>
      </w:r>
    </w:p>
    <w:p w:rsidR="00B77B5F" w:rsidRDefault="00000000" w:rsidP="00542A6B">
      <w:pPr>
        <w:spacing w:after="80"/>
        <w:ind w:right="568"/>
      </w:pPr>
      <w:r>
        <w:rPr>
          <w:lang w:val="ar-SA"/>
        </w:rPr>
        <w:t>• أعلى أولوية هي إرضاء العميل من خلال التسليم المبكر والمستمر للمخرجات.</w:t>
      </w:r>
    </w:p>
    <w:p w:rsidR="00B77B5F" w:rsidRDefault="00000000" w:rsidP="00542A6B">
      <w:pPr>
        <w:spacing w:after="80"/>
        <w:ind w:right="568"/>
      </w:pPr>
      <w:r>
        <w:rPr>
          <w:lang w:val="ar-SA"/>
        </w:rPr>
        <w:t>• الترحيب بالتغيير في المتطلبات حتى في المراحل المتأخرة من المشروع، لمصلحة العميل التنافسية.</w:t>
      </w:r>
    </w:p>
    <w:p w:rsidR="00B77B5F" w:rsidRDefault="00000000" w:rsidP="00542A6B">
      <w:pPr>
        <w:spacing w:after="80"/>
        <w:ind w:right="568"/>
      </w:pPr>
      <w:r>
        <w:rPr>
          <w:lang w:val="ar-SA"/>
        </w:rPr>
        <w:t>• تسليم المخرجات بصفةٍ منتظمة، وكلما كانت الفترات أقصر كان أفضل، من أسابيع إلى أشهر.</w:t>
      </w:r>
    </w:p>
    <w:p w:rsidR="00B77B5F" w:rsidRDefault="00000000" w:rsidP="00542A6B">
      <w:pPr>
        <w:spacing w:after="80"/>
        <w:ind w:right="568"/>
      </w:pPr>
      <w:r>
        <w:rPr>
          <w:lang w:val="ar-SA"/>
        </w:rPr>
        <w:t>• العمل المشترك يوميًا بين المختصين وأصحاب الأعمال طوال فترة المشروع.</w:t>
      </w:r>
    </w:p>
    <w:p w:rsidR="00B77B5F" w:rsidRDefault="00000000" w:rsidP="00542A6B">
      <w:pPr>
        <w:spacing w:after="80"/>
        <w:ind w:right="568"/>
      </w:pPr>
      <w:r>
        <w:rPr>
          <w:lang w:val="ar-SA"/>
        </w:rPr>
        <w:t>• بناء المشاريع حول أفرادٍ محفَّزين، وتوفير البيئة والدعم اللازمين لهم، والثقة بهم لإنجاز المهمة.</w:t>
      </w:r>
    </w:p>
    <w:p w:rsidR="00B77B5F" w:rsidRDefault="00000000" w:rsidP="00542A6B">
      <w:pPr>
        <w:spacing w:after="80"/>
        <w:ind w:right="568"/>
      </w:pPr>
      <w:r>
        <w:rPr>
          <w:lang w:val="ar-SA"/>
        </w:rPr>
        <w:t>• النقاش المباشر وجهًا لوجه هو أكثر الطرق فاعليةً لنقل المعلومات داخل الفريق.</w:t>
      </w:r>
    </w:p>
    <w:p w:rsidR="00B77B5F" w:rsidRDefault="00000000" w:rsidP="00542A6B">
      <w:pPr>
        <w:spacing w:after="80"/>
        <w:ind w:right="568"/>
      </w:pPr>
      <w:r>
        <w:rPr>
          <w:lang w:val="ar-SA"/>
        </w:rPr>
        <w:t>• البرامج العاملة هي المقياس الرئيس للتقدم.</w:t>
      </w:r>
    </w:p>
    <w:p w:rsidR="00B77B5F" w:rsidRDefault="00000000" w:rsidP="00542A6B">
      <w:pPr>
        <w:spacing w:after="80"/>
        <w:ind w:right="568"/>
      </w:pPr>
      <w:r>
        <w:rPr>
          <w:lang w:val="ar-SA"/>
        </w:rPr>
        <w:t>• تشجيع التطوير المستدام، وقدرة الفريق على الحفاظ على وتيرةٍ ثابتةٍ إلى أجلٍ غير مسمى.</w:t>
      </w:r>
    </w:p>
    <w:p w:rsidR="00B77B5F" w:rsidRDefault="00000000" w:rsidP="00542A6B">
      <w:pPr>
        <w:spacing w:after="80"/>
        <w:ind w:right="568"/>
      </w:pPr>
      <w:r>
        <w:rPr>
          <w:lang w:val="ar-SA"/>
        </w:rPr>
        <w:t>• الاهتمام المستمر بالتميز التقني والتصميم الجيد يُعزِّز الرشاقة.</w:t>
      </w:r>
    </w:p>
    <w:p w:rsidR="00B77B5F" w:rsidRDefault="00000000" w:rsidP="00542A6B">
      <w:pPr>
        <w:spacing w:after="80"/>
        <w:ind w:right="568"/>
      </w:pPr>
      <w:r>
        <w:rPr>
          <w:lang w:val="ar-SA"/>
        </w:rPr>
        <w:t>• البساطة جوهرية، أي إنجاز أكبر قدرٍ من العمل بأقل جهد.</w:t>
      </w:r>
    </w:p>
    <w:p w:rsidR="00B77B5F" w:rsidRDefault="00000000" w:rsidP="00542A6B">
      <w:pPr>
        <w:spacing w:after="80"/>
        <w:ind w:right="568"/>
      </w:pPr>
      <w:r>
        <w:rPr>
          <w:lang w:val="ar-SA"/>
        </w:rPr>
        <w:t>• أفضل البنى والمتطلبات والتصاميم تظهر من الفرق ذاتية التنظيم.</w:t>
      </w:r>
    </w:p>
    <w:p w:rsidR="00B77B5F" w:rsidRDefault="00000000" w:rsidP="00542A6B">
      <w:pPr>
        <w:spacing w:after="80"/>
        <w:ind w:right="568"/>
      </w:pPr>
      <w:r>
        <w:rPr>
          <w:lang w:val="ar-SA"/>
        </w:rPr>
        <w:t>• مراجعة الفريق دوريًا لكيفية تحسين أدائه وتعديل سلوكه وفقًا لذلك.</w:t>
      </w:r>
    </w:p>
    <w:p w:rsidR="00B77B5F" w:rsidRDefault="00000000" w:rsidP="00542A6B">
      <w:pPr>
        <w:pStyle w:val="2"/>
        <w:keepNext/>
        <w:jc w:val="left"/>
      </w:pPr>
      <w:bookmarkStart w:id="48" w:name="_Toc233617781"/>
      <w:r>
        <w:rPr>
          <w:lang w:val="ar-SA"/>
        </w:rPr>
        <w:t>6.1.2 المقارنة بين منهجية Waterfall ومنهجية Agile:</w:t>
      </w:r>
      <w:bookmarkEnd w:id="48"/>
    </w:p>
    <w:p w:rsidR="00B77B5F" w:rsidRDefault="00000000">
      <w:pPr>
        <w:keepLines/>
        <w:spacing w:after="120"/>
        <w:ind w:firstLine="284"/>
        <w:jc w:val="both"/>
        <w:rPr>
          <w:rtl w:val="0"/>
        </w:rPr>
      </w:pPr>
      <w:r>
        <w:rPr>
          <w:lang w:val="ar-SA"/>
        </w:rPr>
        <w:t>تتمايز منهجية Agile عن منهجية Waterfall التقليدية في عدة جوانب جوهرية. ولفهم خصوصية كل منهجية، يُقدِّم الجدول (2-1) مقارنةً تفصيليةً بينهما:</w:t>
      </w:r>
    </w:p>
    <w:p w:rsidR="00542A6B" w:rsidRDefault="00542A6B">
      <w:pPr>
        <w:keepLines/>
        <w:spacing w:after="120"/>
        <w:ind w:firstLine="284"/>
        <w:jc w:val="both"/>
        <w:rPr>
          <w:rtl w:val="0"/>
        </w:rPr>
      </w:pPr>
    </w:p>
    <w:p w:rsidR="00542A6B" w:rsidRDefault="00542A6B">
      <w:pPr>
        <w:keepLines/>
        <w:spacing w:after="120"/>
        <w:ind w:firstLine="284"/>
        <w:jc w:val="both"/>
      </w:pPr>
    </w:p>
    <w:p w:rsidR="00B77B5F" w:rsidRDefault="00000000">
      <w:pPr>
        <w:keepNext/>
        <w:spacing w:before="200" w:after="60"/>
        <w:jc w:val="center"/>
      </w:pPr>
      <w:r>
        <w:rPr>
          <w:b/>
          <w:bCs/>
          <w:color w:val="333333"/>
          <w:sz w:val="24"/>
          <w:szCs w:val="24"/>
          <w:lang w:val="ar-SA"/>
        </w:rPr>
        <w:lastRenderedPageBreak/>
        <w:t>جدول (2-1): مقارنة بين منهجية Waterfall ومنهجية Agile</w:t>
      </w:r>
    </w:p>
    <w:tbl>
      <w:tblPr>
        <w:bidiVisual/>
        <w:tblW w:w="90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125"/>
        <w:gridCol w:w="3990"/>
        <w:gridCol w:w="2885"/>
      </w:tblGrid>
      <w:tr w:rsidR="00B77B5F">
        <w:trPr>
          <w:jc w:val="center"/>
        </w:trPr>
        <w:tc>
          <w:tcPr>
            <w:tcW w:w="0" w:type="auto"/>
            <w:tcBorders>
              <w:top w:val="single" w:sz="4" w:space="0" w:color="777777"/>
              <w:left w:val="single" w:sz="4" w:space="0" w:color="777777"/>
              <w:bottom w:val="single" w:sz="4" w:space="0" w:color="777777"/>
              <w:right w:val="single" w:sz="4" w:space="0" w:color="777777"/>
            </w:tcBorders>
            <w:shd w:val="clear" w:color="auto" w:fill="1F3864"/>
            <w:tcMar>
              <w:top w:w="60" w:type="dxa"/>
              <w:left w:w="80" w:type="dxa"/>
              <w:bottom w:w="60" w:type="dxa"/>
              <w:right w:w="80" w:type="dxa"/>
            </w:tcMar>
            <w:vAlign w:val="center"/>
          </w:tcPr>
          <w:p w:rsidR="00B77B5F" w:rsidRDefault="00000000">
            <w:pPr>
              <w:jc w:val="center"/>
            </w:pPr>
            <w:r>
              <w:rPr>
                <w:b/>
                <w:bCs/>
                <w:color w:val="FFFFFF"/>
                <w:sz w:val="24"/>
                <w:szCs w:val="24"/>
                <w:lang w:val="ar-SA"/>
              </w:rPr>
              <w:t>وجه المقارنة</w:t>
            </w:r>
          </w:p>
        </w:tc>
        <w:tc>
          <w:tcPr>
            <w:tcW w:w="0" w:type="auto"/>
            <w:tcBorders>
              <w:top w:val="single" w:sz="4" w:space="0" w:color="777777"/>
              <w:left w:val="single" w:sz="4" w:space="0" w:color="777777"/>
              <w:bottom w:val="single" w:sz="4" w:space="0" w:color="777777"/>
              <w:right w:val="single" w:sz="4" w:space="0" w:color="777777"/>
            </w:tcBorders>
            <w:shd w:val="clear" w:color="auto" w:fill="1F3864"/>
            <w:tcMar>
              <w:top w:w="60" w:type="dxa"/>
              <w:left w:w="80" w:type="dxa"/>
              <w:bottom w:w="60" w:type="dxa"/>
              <w:right w:w="80" w:type="dxa"/>
            </w:tcMar>
            <w:vAlign w:val="center"/>
          </w:tcPr>
          <w:p w:rsidR="00B77B5F" w:rsidRDefault="00000000">
            <w:pPr>
              <w:jc w:val="center"/>
            </w:pPr>
            <w:r>
              <w:rPr>
                <w:b/>
                <w:bCs/>
                <w:color w:val="FFFFFF"/>
                <w:sz w:val="24"/>
                <w:szCs w:val="24"/>
                <w:lang w:val="ar-SA"/>
              </w:rPr>
              <w:t>Waterfall</w:t>
            </w:r>
          </w:p>
        </w:tc>
        <w:tc>
          <w:tcPr>
            <w:tcW w:w="0" w:type="auto"/>
            <w:tcBorders>
              <w:top w:val="single" w:sz="4" w:space="0" w:color="777777"/>
              <w:left w:val="single" w:sz="4" w:space="0" w:color="777777"/>
              <w:bottom w:val="single" w:sz="4" w:space="0" w:color="777777"/>
              <w:right w:val="single" w:sz="4" w:space="0" w:color="777777"/>
            </w:tcBorders>
            <w:shd w:val="clear" w:color="auto" w:fill="1F3864"/>
            <w:tcMar>
              <w:top w:w="60" w:type="dxa"/>
              <w:left w:w="80" w:type="dxa"/>
              <w:bottom w:w="60" w:type="dxa"/>
              <w:right w:w="80" w:type="dxa"/>
            </w:tcMar>
            <w:vAlign w:val="center"/>
          </w:tcPr>
          <w:p w:rsidR="00B77B5F" w:rsidRDefault="00000000">
            <w:pPr>
              <w:jc w:val="center"/>
            </w:pPr>
            <w:r>
              <w:rPr>
                <w:b/>
                <w:bCs/>
                <w:color w:val="FFFFFF"/>
                <w:sz w:val="24"/>
                <w:szCs w:val="24"/>
                <w:lang w:val="ar-SA"/>
              </w:rPr>
              <w:t>Agile</w:t>
            </w:r>
          </w:p>
        </w:tc>
      </w:tr>
      <w:tr w:rsidR="00B77B5F">
        <w:trPr>
          <w:jc w:val="center"/>
        </w:trPr>
        <w:tc>
          <w:tcPr>
            <w:tcW w:w="0" w:type="auto"/>
            <w:tcBorders>
              <w:top w:val="single" w:sz="4" w:space="0" w:color="777777"/>
              <w:left w:val="single" w:sz="4" w:space="0" w:color="777777"/>
              <w:bottom w:val="single" w:sz="4" w:space="0" w:color="777777"/>
              <w:right w:val="single" w:sz="4" w:space="0" w:color="777777"/>
            </w:tcBorders>
            <w:tcMar>
              <w:top w:w="60" w:type="dxa"/>
              <w:left w:w="80" w:type="dxa"/>
              <w:bottom w:w="60" w:type="dxa"/>
              <w:right w:w="80" w:type="dxa"/>
            </w:tcMar>
            <w:vAlign w:val="center"/>
          </w:tcPr>
          <w:p w:rsidR="00B77B5F" w:rsidRDefault="00000000">
            <w:pPr>
              <w:jc w:val="center"/>
            </w:pPr>
            <w:r>
              <w:rPr>
                <w:color w:val="000000"/>
                <w:sz w:val="24"/>
                <w:szCs w:val="24"/>
                <w:lang w:val="ar-SA"/>
              </w:rPr>
              <w:t>الفلسفة</w:t>
            </w:r>
          </w:p>
        </w:tc>
        <w:tc>
          <w:tcPr>
            <w:tcW w:w="0" w:type="auto"/>
            <w:tcBorders>
              <w:top w:val="single" w:sz="4" w:space="0" w:color="777777"/>
              <w:left w:val="single" w:sz="4" w:space="0" w:color="777777"/>
              <w:bottom w:val="single" w:sz="4" w:space="0" w:color="777777"/>
              <w:right w:val="single" w:sz="4" w:space="0" w:color="777777"/>
            </w:tcBorders>
            <w:tcMar>
              <w:top w:w="60" w:type="dxa"/>
              <w:left w:w="80" w:type="dxa"/>
              <w:bottom w:w="60" w:type="dxa"/>
              <w:right w:w="80" w:type="dxa"/>
            </w:tcMar>
            <w:vAlign w:val="center"/>
          </w:tcPr>
          <w:p w:rsidR="00B77B5F" w:rsidRDefault="00000000">
            <w:pPr>
              <w:jc w:val="center"/>
            </w:pPr>
            <w:r>
              <w:rPr>
                <w:color w:val="000000"/>
                <w:sz w:val="24"/>
                <w:szCs w:val="24"/>
                <w:lang w:val="ar-SA"/>
              </w:rPr>
              <w:t>تتابعية مرحلية</w:t>
            </w:r>
          </w:p>
        </w:tc>
        <w:tc>
          <w:tcPr>
            <w:tcW w:w="0" w:type="auto"/>
            <w:tcBorders>
              <w:top w:val="single" w:sz="4" w:space="0" w:color="777777"/>
              <w:left w:val="single" w:sz="4" w:space="0" w:color="777777"/>
              <w:bottom w:val="single" w:sz="4" w:space="0" w:color="777777"/>
              <w:right w:val="single" w:sz="4" w:space="0" w:color="777777"/>
            </w:tcBorders>
            <w:tcMar>
              <w:top w:w="60" w:type="dxa"/>
              <w:left w:w="80" w:type="dxa"/>
              <w:bottom w:w="60" w:type="dxa"/>
              <w:right w:w="80" w:type="dxa"/>
            </w:tcMar>
            <w:vAlign w:val="center"/>
          </w:tcPr>
          <w:p w:rsidR="00B77B5F" w:rsidRDefault="00000000">
            <w:pPr>
              <w:jc w:val="center"/>
            </w:pPr>
            <w:r>
              <w:rPr>
                <w:color w:val="000000"/>
                <w:sz w:val="24"/>
                <w:szCs w:val="24"/>
                <w:lang w:val="ar-SA"/>
              </w:rPr>
              <w:t>تكرارية تدريجية</w:t>
            </w:r>
          </w:p>
        </w:tc>
      </w:tr>
      <w:tr w:rsidR="00B77B5F">
        <w:trPr>
          <w:jc w:val="center"/>
        </w:trPr>
        <w:tc>
          <w:tcPr>
            <w:tcW w:w="0" w:type="auto"/>
            <w:tcBorders>
              <w:top w:val="single" w:sz="4" w:space="0" w:color="777777"/>
              <w:left w:val="single" w:sz="4" w:space="0" w:color="777777"/>
              <w:bottom w:val="single" w:sz="4" w:space="0" w:color="777777"/>
              <w:right w:val="single" w:sz="4" w:space="0" w:color="777777"/>
            </w:tcBorders>
            <w:shd w:val="clear" w:color="auto" w:fill="F5F8FF"/>
            <w:tcMar>
              <w:top w:w="60" w:type="dxa"/>
              <w:left w:w="80" w:type="dxa"/>
              <w:bottom w:w="60" w:type="dxa"/>
              <w:right w:w="80" w:type="dxa"/>
            </w:tcMar>
            <w:vAlign w:val="center"/>
          </w:tcPr>
          <w:p w:rsidR="00B77B5F" w:rsidRDefault="00000000">
            <w:pPr>
              <w:jc w:val="center"/>
            </w:pPr>
            <w:r>
              <w:rPr>
                <w:color w:val="000000"/>
                <w:sz w:val="24"/>
                <w:szCs w:val="24"/>
                <w:lang w:val="ar-SA"/>
              </w:rPr>
              <w:t>التخطيط</w:t>
            </w:r>
          </w:p>
        </w:tc>
        <w:tc>
          <w:tcPr>
            <w:tcW w:w="0" w:type="auto"/>
            <w:tcBorders>
              <w:top w:val="single" w:sz="4" w:space="0" w:color="777777"/>
              <w:left w:val="single" w:sz="4" w:space="0" w:color="777777"/>
              <w:bottom w:val="single" w:sz="4" w:space="0" w:color="777777"/>
              <w:right w:val="single" w:sz="4" w:space="0" w:color="777777"/>
            </w:tcBorders>
            <w:shd w:val="clear" w:color="auto" w:fill="F5F8FF"/>
            <w:tcMar>
              <w:top w:w="60" w:type="dxa"/>
              <w:left w:w="80" w:type="dxa"/>
              <w:bottom w:w="60" w:type="dxa"/>
              <w:right w:w="80" w:type="dxa"/>
            </w:tcMar>
            <w:vAlign w:val="center"/>
          </w:tcPr>
          <w:p w:rsidR="00B77B5F" w:rsidRDefault="00000000">
            <w:pPr>
              <w:jc w:val="center"/>
            </w:pPr>
            <w:r>
              <w:rPr>
                <w:color w:val="000000"/>
                <w:sz w:val="24"/>
                <w:szCs w:val="24"/>
                <w:lang w:val="ar-SA"/>
              </w:rPr>
              <w:t>شامل ومفصَّل مسبقًا</w:t>
            </w:r>
          </w:p>
        </w:tc>
        <w:tc>
          <w:tcPr>
            <w:tcW w:w="0" w:type="auto"/>
            <w:tcBorders>
              <w:top w:val="single" w:sz="4" w:space="0" w:color="777777"/>
              <w:left w:val="single" w:sz="4" w:space="0" w:color="777777"/>
              <w:bottom w:val="single" w:sz="4" w:space="0" w:color="777777"/>
              <w:right w:val="single" w:sz="4" w:space="0" w:color="777777"/>
            </w:tcBorders>
            <w:shd w:val="clear" w:color="auto" w:fill="F5F8FF"/>
            <w:tcMar>
              <w:top w:w="60" w:type="dxa"/>
              <w:left w:w="80" w:type="dxa"/>
              <w:bottom w:w="60" w:type="dxa"/>
              <w:right w:w="80" w:type="dxa"/>
            </w:tcMar>
            <w:vAlign w:val="center"/>
          </w:tcPr>
          <w:p w:rsidR="00B77B5F" w:rsidRDefault="00000000">
            <w:pPr>
              <w:jc w:val="center"/>
            </w:pPr>
            <w:r>
              <w:rPr>
                <w:color w:val="000000"/>
                <w:sz w:val="24"/>
                <w:szCs w:val="24"/>
                <w:lang w:val="ar-SA"/>
              </w:rPr>
              <w:t>تدريجي ومتكيف</w:t>
            </w:r>
          </w:p>
        </w:tc>
      </w:tr>
      <w:tr w:rsidR="00B77B5F">
        <w:trPr>
          <w:jc w:val="center"/>
        </w:trPr>
        <w:tc>
          <w:tcPr>
            <w:tcW w:w="0" w:type="auto"/>
            <w:tcBorders>
              <w:top w:val="single" w:sz="4" w:space="0" w:color="777777"/>
              <w:left w:val="single" w:sz="4" w:space="0" w:color="777777"/>
              <w:bottom w:val="single" w:sz="4" w:space="0" w:color="777777"/>
              <w:right w:val="single" w:sz="4" w:space="0" w:color="777777"/>
            </w:tcBorders>
            <w:tcMar>
              <w:top w:w="60" w:type="dxa"/>
              <w:left w:w="80" w:type="dxa"/>
              <w:bottom w:w="60" w:type="dxa"/>
              <w:right w:w="80" w:type="dxa"/>
            </w:tcMar>
            <w:vAlign w:val="center"/>
          </w:tcPr>
          <w:p w:rsidR="00B77B5F" w:rsidRDefault="00000000">
            <w:pPr>
              <w:jc w:val="center"/>
            </w:pPr>
            <w:r>
              <w:rPr>
                <w:color w:val="000000"/>
                <w:sz w:val="24"/>
                <w:szCs w:val="24"/>
                <w:lang w:val="ar-SA"/>
              </w:rPr>
              <w:t>الاستجابة للتغيير</w:t>
            </w:r>
          </w:p>
        </w:tc>
        <w:tc>
          <w:tcPr>
            <w:tcW w:w="0" w:type="auto"/>
            <w:tcBorders>
              <w:top w:val="single" w:sz="4" w:space="0" w:color="777777"/>
              <w:left w:val="single" w:sz="4" w:space="0" w:color="777777"/>
              <w:bottom w:val="single" w:sz="4" w:space="0" w:color="777777"/>
              <w:right w:val="single" w:sz="4" w:space="0" w:color="777777"/>
            </w:tcBorders>
            <w:tcMar>
              <w:top w:w="60" w:type="dxa"/>
              <w:left w:w="80" w:type="dxa"/>
              <w:bottom w:w="60" w:type="dxa"/>
              <w:right w:w="80" w:type="dxa"/>
            </w:tcMar>
            <w:vAlign w:val="center"/>
          </w:tcPr>
          <w:p w:rsidR="00B77B5F" w:rsidRDefault="00000000">
            <w:pPr>
              <w:jc w:val="center"/>
            </w:pPr>
            <w:r>
              <w:rPr>
                <w:color w:val="000000"/>
                <w:sz w:val="24"/>
                <w:szCs w:val="24"/>
                <w:lang w:val="ar-SA"/>
              </w:rPr>
              <w:t>صعبة ومكلفة</w:t>
            </w:r>
          </w:p>
        </w:tc>
        <w:tc>
          <w:tcPr>
            <w:tcW w:w="0" w:type="auto"/>
            <w:tcBorders>
              <w:top w:val="single" w:sz="4" w:space="0" w:color="777777"/>
              <w:left w:val="single" w:sz="4" w:space="0" w:color="777777"/>
              <w:bottom w:val="single" w:sz="4" w:space="0" w:color="777777"/>
              <w:right w:val="single" w:sz="4" w:space="0" w:color="777777"/>
            </w:tcBorders>
            <w:tcMar>
              <w:top w:w="60" w:type="dxa"/>
              <w:left w:w="80" w:type="dxa"/>
              <w:bottom w:w="60" w:type="dxa"/>
              <w:right w:w="80" w:type="dxa"/>
            </w:tcMar>
            <w:vAlign w:val="center"/>
          </w:tcPr>
          <w:p w:rsidR="00B77B5F" w:rsidRDefault="00000000">
            <w:pPr>
              <w:jc w:val="center"/>
            </w:pPr>
            <w:r>
              <w:rPr>
                <w:color w:val="000000"/>
                <w:sz w:val="24"/>
                <w:szCs w:val="24"/>
                <w:lang w:val="ar-SA"/>
              </w:rPr>
              <w:t>مرنة ومتوقعة</w:t>
            </w:r>
          </w:p>
        </w:tc>
      </w:tr>
      <w:tr w:rsidR="00B77B5F">
        <w:trPr>
          <w:jc w:val="center"/>
        </w:trPr>
        <w:tc>
          <w:tcPr>
            <w:tcW w:w="0" w:type="auto"/>
            <w:tcBorders>
              <w:top w:val="single" w:sz="4" w:space="0" w:color="777777"/>
              <w:left w:val="single" w:sz="4" w:space="0" w:color="777777"/>
              <w:bottom w:val="single" w:sz="4" w:space="0" w:color="777777"/>
              <w:right w:val="single" w:sz="4" w:space="0" w:color="777777"/>
            </w:tcBorders>
            <w:shd w:val="clear" w:color="auto" w:fill="F5F8FF"/>
            <w:tcMar>
              <w:top w:w="60" w:type="dxa"/>
              <w:left w:w="80" w:type="dxa"/>
              <w:bottom w:w="60" w:type="dxa"/>
              <w:right w:w="80" w:type="dxa"/>
            </w:tcMar>
            <w:vAlign w:val="center"/>
          </w:tcPr>
          <w:p w:rsidR="00B77B5F" w:rsidRDefault="00000000">
            <w:pPr>
              <w:jc w:val="center"/>
            </w:pPr>
            <w:r>
              <w:rPr>
                <w:color w:val="000000"/>
                <w:sz w:val="24"/>
                <w:szCs w:val="24"/>
                <w:lang w:val="ar-SA"/>
              </w:rPr>
              <w:t>تسليم المخرجات</w:t>
            </w:r>
          </w:p>
        </w:tc>
        <w:tc>
          <w:tcPr>
            <w:tcW w:w="0" w:type="auto"/>
            <w:tcBorders>
              <w:top w:val="single" w:sz="4" w:space="0" w:color="777777"/>
              <w:left w:val="single" w:sz="4" w:space="0" w:color="777777"/>
              <w:bottom w:val="single" w:sz="4" w:space="0" w:color="777777"/>
              <w:right w:val="single" w:sz="4" w:space="0" w:color="777777"/>
            </w:tcBorders>
            <w:shd w:val="clear" w:color="auto" w:fill="F5F8FF"/>
            <w:tcMar>
              <w:top w:w="60" w:type="dxa"/>
              <w:left w:w="80" w:type="dxa"/>
              <w:bottom w:w="60" w:type="dxa"/>
              <w:right w:w="80" w:type="dxa"/>
            </w:tcMar>
            <w:vAlign w:val="center"/>
          </w:tcPr>
          <w:p w:rsidR="00B77B5F" w:rsidRDefault="00000000">
            <w:pPr>
              <w:jc w:val="center"/>
            </w:pPr>
            <w:r>
              <w:rPr>
                <w:color w:val="000000"/>
                <w:sz w:val="24"/>
                <w:szCs w:val="24"/>
                <w:lang w:val="ar-SA"/>
              </w:rPr>
              <w:t>في نهاية المشروع</w:t>
            </w:r>
          </w:p>
        </w:tc>
        <w:tc>
          <w:tcPr>
            <w:tcW w:w="0" w:type="auto"/>
            <w:tcBorders>
              <w:top w:val="single" w:sz="4" w:space="0" w:color="777777"/>
              <w:left w:val="single" w:sz="4" w:space="0" w:color="777777"/>
              <w:bottom w:val="single" w:sz="4" w:space="0" w:color="777777"/>
              <w:right w:val="single" w:sz="4" w:space="0" w:color="777777"/>
            </w:tcBorders>
            <w:shd w:val="clear" w:color="auto" w:fill="F5F8FF"/>
            <w:tcMar>
              <w:top w:w="60" w:type="dxa"/>
              <w:left w:w="80" w:type="dxa"/>
              <w:bottom w:w="60" w:type="dxa"/>
              <w:right w:w="80" w:type="dxa"/>
            </w:tcMar>
            <w:vAlign w:val="center"/>
          </w:tcPr>
          <w:p w:rsidR="00B77B5F" w:rsidRDefault="00000000">
            <w:pPr>
              <w:jc w:val="center"/>
            </w:pPr>
            <w:r>
              <w:rPr>
                <w:color w:val="000000"/>
                <w:sz w:val="24"/>
                <w:szCs w:val="24"/>
                <w:lang w:val="ar-SA"/>
              </w:rPr>
              <w:t>في كل دورة (Sprint)</w:t>
            </w:r>
          </w:p>
        </w:tc>
      </w:tr>
      <w:tr w:rsidR="00B77B5F">
        <w:trPr>
          <w:jc w:val="center"/>
        </w:trPr>
        <w:tc>
          <w:tcPr>
            <w:tcW w:w="0" w:type="auto"/>
            <w:tcBorders>
              <w:top w:val="single" w:sz="4" w:space="0" w:color="777777"/>
              <w:left w:val="single" w:sz="4" w:space="0" w:color="777777"/>
              <w:bottom w:val="single" w:sz="4" w:space="0" w:color="777777"/>
              <w:right w:val="single" w:sz="4" w:space="0" w:color="777777"/>
            </w:tcBorders>
            <w:tcMar>
              <w:top w:w="60" w:type="dxa"/>
              <w:left w:w="80" w:type="dxa"/>
              <w:bottom w:w="60" w:type="dxa"/>
              <w:right w:w="80" w:type="dxa"/>
            </w:tcMar>
            <w:vAlign w:val="center"/>
          </w:tcPr>
          <w:p w:rsidR="00B77B5F" w:rsidRDefault="00000000">
            <w:pPr>
              <w:jc w:val="center"/>
            </w:pPr>
            <w:r>
              <w:rPr>
                <w:color w:val="000000"/>
                <w:sz w:val="24"/>
                <w:szCs w:val="24"/>
                <w:lang w:val="ar-SA"/>
              </w:rPr>
              <w:t>مشاركة العميل</w:t>
            </w:r>
          </w:p>
        </w:tc>
        <w:tc>
          <w:tcPr>
            <w:tcW w:w="0" w:type="auto"/>
            <w:tcBorders>
              <w:top w:val="single" w:sz="4" w:space="0" w:color="777777"/>
              <w:left w:val="single" w:sz="4" w:space="0" w:color="777777"/>
              <w:bottom w:val="single" w:sz="4" w:space="0" w:color="777777"/>
              <w:right w:val="single" w:sz="4" w:space="0" w:color="777777"/>
            </w:tcBorders>
            <w:tcMar>
              <w:top w:w="60" w:type="dxa"/>
              <w:left w:w="80" w:type="dxa"/>
              <w:bottom w:w="60" w:type="dxa"/>
              <w:right w:w="80" w:type="dxa"/>
            </w:tcMar>
            <w:vAlign w:val="center"/>
          </w:tcPr>
          <w:p w:rsidR="00B77B5F" w:rsidRDefault="00000000">
            <w:pPr>
              <w:jc w:val="center"/>
            </w:pPr>
            <w:r>
              <w:rPr>
                <w:color w:val="000000"/>
                <w:sz w:val="24"/>
                <w:szCs w:val="24"/>
                <w:lang w:val="ar-SA"/>
              </w:rPr>
              <w:t>محدودة (البداية والنهاية)</w:t>
            </w:r>
          </w:p>
        </w:tc>
        <w:tc>
          <w:tcPr>
            <w:tcW w:w="0" w:type="auto"/>
            <w:tcBorders>
              <w:top w:val="single" w:sz="4" w:space="0" w:color="777777"/>
              <w:left w:val="single" w:sz="4" w:space="0" w:color="777777"/>
              <w:bottom w:val="single" w:sz="4" w:space="0" w:color="777777"/>
              <w:right w:val="single" w:sz="4" w:space="0" w:color="777777"/>
            </w:tcBorders>
            <w:tcMar>
              <w:top w:w="60" w:type="dxa"/>
              <w:left w:w="80" w:type="dxa"/>
              <w:bottom w:w="60" w:type="dxa"/>
              <w:right w:w="80" w:type="dxa"/>
            </w:tcMar>
            <w:vAlign w:val="center"/>
          </w:tcPr>
          <w:p w:rsidR="00B77B5F" w:rsidRDefault="00000000">
            <w:pPr>
              <w:jc w:val="center"/>
            </w:pPr>
            <w:r>
              <w:rPr>
                <w:color w:val="000000"/>
                <w:sz w:val="24"/>
                <w:szCs w:val="24"/>
                <w:lang w:val="ar-SA"/>
              </w:rPr>
              <w:t>مستمرة طوال المشروع</w:t>
            </w:r>
          </w:p>
        </w:tc>
      </w:tr>
      <w:tr w:rsidR="00B77B5F">
        <w:trPr>
          <w:jc w:val="center"/>
        </w:trPr>
        <w:tc>
          <w:tcPr>
            <w:tcW w:w="0" w:type="auto"/>
            <w:tcBorders>
              <w:top w:val="single" w:sz="4" w:space="0" w:color="777777"/>
              <w:left w:val="single" w:sz="4" w:space="0" w:color="777777"/>
              <w:bottom w:val="single" w:sz="4" w:space="0" w:color="777777"/>
              <w:right w:val="single" w:sz="4" w:space="0" w:color="777777"/>
            </w:tcBorders>
            <w:shd w:val="clear" w:color="auto" w:fill="F5F8FF"/>
            <w:tcMar>
              <w:top w:w="60" w:type="dxa"/>
              <w:left w:w="80" w:type="dxa"/>
              <w:bottom w:w="60" w:type="dxa"/>
              <w:right w:w="80" w:type="dxa"/>
            </w:tcMar>
            <w:vAlign w:val="center"/>
          </w:tcPr>
          <w:p w:rsidR="00B77B5F" w:rsidRDefault="00000000">
            <w:pPr>
              <w:jc w:val="center"/>
            </w:pPr>
            <w:r>
              <w:rPr>
                <w:color w:val="000000"/>
                <w:sz w:val="24"/>
                <w:szCs w:val="24"/>
                <w:lang w:val="ar-SA"/>
              </w:rPr>
              <w:t>التوثيق</w:t>
            </w:r>
          </w:p>
        </w:tc>
        <w:tc>
          <w:tcPr>
            <w:tcW w:w="0" w:type="auto"/>
            <w:tcBorders>
              <w:top w:val="single" w:sz="4" w:space="0" w:color="777777"/>
              <w:left w:val="single" w:sz="4" w:space="0" w:color="777777"/>
              <w:bottom w:val="single" w:sz="4" w:space="0" w:color="777777"/>
              <w:right w:val="single" w:sz="4" w:space="0" w:color="777777"/>
            </w:tcBorders>
            <w:shd w:val="clear" w:color="auto" w:fill="F5F8FF"/>
            <w:tcMar>
              <w:top w:w="60" w:type="dxa"/>
              <w:left w:w="80" w:type="dxa"/>
              <w:bottom w:w="60" w:type="dxa"/>
              <w:right w:w="80" w:type="dxa"/>
            </w:tcMar>
            <w:vAlign w:val="center"/>
          </w:tcPr>
          <w:p w:rsidR="00B77B5F" w:rsidRDefault="00000000">
            <w:pPr>
              <w:jc w:val="center"/>
            </w:pPr>
            <w:r>
              <w:rPr>
                <w:color w:val="000000"/>
                <w:sz w:val="24"/>
                <w:szCs w:val="24"/>
                <w:lang w:val="ar-SA"/>
              </w:rPr>
              <w:t>موسَّع ومفصَّل</w:t>
            </w:r>
          </w:p>
        </w:tc>
        <w:tc>
          <w:tcPr>
            <w:tcW w:w="0" w:type="auto"/>
            <w:tcBorders>
              <w:top w:val="single" w:sz="4" w:space="0" w:color="777777"/>
              <w:left w:val="single" w:sz="4" w:space="0" w:color="777777"/>
              <w:bottom w:val="single" w:sz="4" w:space="0" w:color="777777"/>
              <w:right w:val="single" w:sz="4" w:space="0" w:color="777777"/>
            </w:tcBorders>
            <w:shd w:val="clear" w:color="auto" w:fill="F5F8FF"/>
            <w:tcMar>
              <w:top w:w="60" w:type="dxa"/>
              <w:left w:w="80" w:type="dxa"/>
              <w:bottom w:w="60" w:type="dxa"/>
              <w:right w:w="80" w:type="dxa"/>
            </w:tcMar>
            <w:vAlign w:val="center"/>
          </w:tcPr>
          <w:p w:rsidR="00B77B5F" w:rsidRDefault="00000000">
            <w:pPr>
              <w:jc w:val="center"/>
            </w:pPr>
            <w:r>
              <w:rPr>
                <w:color w:val="000000"/>
                <w:sz w:val="24"/>
                <w:szCs w:val="24"/>
                <w:lang w:val="ar-SA"/>
              </w:rPr>
              <w:t>مقتصر على الضروري</w:t>
            </w:r>
          </w:p>
        </w:tc>
      </w:tr>
      <w:tr w:rsidR="00B77B5F">
        <w:trPr>
          <w:jc w:val="center"/>
        </w:trPr>
        <w:tc>
          <w:tcPr>
            <w:tcW w:w="0" w:type="auto"/>
            <w:tcBorders>
              <w:top w:val="single" w:sz="4" w:space="0" w:color="777777"/>
              <w:left w:val="single" w:sz="4" w:space="0" w:color="777777"/>
              <w:bottom w:val="single" w:sz="4" w:space="0" w:color="777777"/>
              <w:right w:val="single" w:sz="4" w:space="0" w:color="777777"/>
            </w:tcBorders>
            <w:tcMar>
              <w:top w:w="60" w:type="dxa"/>
              <w:left w:w="80" w:type="dxa"/>
              <w:bottom w:w="60" w:type="dxa"/>
              <w:right w:w="80" w:type="dxa"/>
            </w:tcMar>
            <w:vAlign w:val="center"/>
          </w:tcPr>
          <w:p w:rsidR="00B77B5F" w:rsidRDefault="00000000">
            <w:pPr>
              <w:jc w:val="center"/>
            </w:pPr>
            <w:r>
              <w:rPr>
                <w:color w:val="000000"/>
                <w:sz w:val="24"/>
                <w:szCs w:val="24"/>
                <w:lang w:val="ar-SA"/>
              </w:rPr>
              <w:t>إدارة المخاطر</w:t>
            </w:r>
          </w:p>
        </w:tc>
        <w:tc>
          <w:tcPr>
            <w:tcW w:w="0" w:type="auto"/>
            <w:tcBorders>
              <w:top w:val="single" w:sz="4" w:space="0" w:color="777777"/>
              <w:left w:val="single" w:sz="4" w:space="0" w:color="777777"/>
              <w:bottom w:val="single" w:sz="4" w:space="0" w:color="777777"/>
              <w:right w:val="single" w:sz="4" w:space="0" w:color="777777"/>
            </w:tcBorders>
            <w:tcMar>
              <w:top w:w="60" w:type="dxa"/>
              <w:left w:w="80" w:type="dxa"/>
              <w:bottom w:w="60" w:type="dxa"/>
              <w:right w:w="80" w:type="dxa"/>
            </w:tcMar>
            <w:vAlign w:val="center"/>
          </w:tcPr>
          <w:p w:rsidR="00B77B5F" w:rsidRDefault="00000000">
            <w:pPr>
              <w:jc w:val="center"/>
            </w:pPr>
            <w:r>
              <w:rPr>
                <w:color w:val="000000"/>
                <w:sz w:val="24"/>
                <w:szCs w:val="24"/>
                <w:lang w:val="ar-SA"/>
              </w:rPr>
              <w:t>تُحدَّد بدايةً</w:t>
            </w:r>
          </w:p>
        </w:tc>
        <w:tc>
          <w:tcPr>
            <w:tcW w:w="0" w:type="auto"/>
            <w:tcBorders>
              <w:top w:val="single" w:sz="4" w:space="0" w:color="777777"/>
              <w:left w:val="single" w:sz="4" w:space="0" w:color="777777"/>
              <w:bottom w:val="single" w:sz="4" w:space="0" w:color="777777"/>
              <w:right w:val="single" w:sz="4" w:space="0" w:color="777777"/>
            </w:tcBorders>
            <w:tcMar>
              <w:top w:w="60" w:type="dxa"/>
              <w:left w:w="80" w:type="dxa"/>
              <w:bottom w:w="60" w:type="dxa"/>
              <w:right w:w="80" w:type="dxa"/>
            </w:tcMar>
            <w:vAlign w:val="center"/>
          </w:tcPr>
          <w:p w:rsidR="00B77B5F" w:rsidRDefault="00000000">
            <w:pPr>
              <w:jc w:val="center"/>
            </w:pPr>
            <w:r>
              <w:rPr>
                <w:color w:val="000000"/>
                <w:sz w:val="24"/>
                <w:szCs w:val="24"/>
                <w:lang w:val="ar-SA"/>
              </w:rPr>
              <w:t>تُدار باستمرار</w:t>
            </w:r>
          </w:p>
        </w:tc>
      </w:tr>
      <w:tr w:rsidR="00B77B5F">
        <w:trPr>
          <w:jc w:val="center"/>
        </w:trPr>
        <w:tc>
          <w:tcPr>
            <w:tcW w:w="0" w:type="auto"/>
            <w:tcBorders>
              <w:top w:val="single" w:sz="4" w:space="0" w:color="777777"/>
              <w:left w:val="single" w:sz="4" w:space="0" w:color="777777"/>
              <w:bottom w:val="single" w:sz="4" w:space="0" w:color="777777"/>
              <w:right w:val="single" w:sz="4" w:space="0" w:color="777777"/>
            </w:tcBorders>
            <w:shd w:val="clear" w:color="auto" w:fill="F5F8FF"/>
            <w:tcMar>
              <w:top w:w="60" w:type="dxa"/>
              <w:left w:w="80" w:type="dxa"/>
              <w:bottom w:w="60" w:type="dxa"/>
              <w:right w:w="80" w:type="dxa"/>
            </w:tcMar>
            <w:vAlign w:val="center"/>
          </w:tcPr>
          <w:p w:rsidR="00B77B5F" w:rsidRDefault="00000000">
            <w:pPr>
              <w:jc w:val="center"/>
            </w:pPr>
            <w:r>
              <w:rPr>
                <w:color w:val="000000"/>
                <w:sz w:val="24"/>
                <w:szCs w:val="24"/>
                <w:lang w:val="ar-SA"/>
              </w:rPr>
              <w:t>دور الفريق</w:t>
            </w:r>
          </w:p>
        </w:tc>
        <w:tc>
          <w:tcPr>
            <w:tcW w:w="0" w:type="auto"/>
            <w:tcBorders>
              <w:top w:val="single" w:sz="4" w:space="0" w:color="777777"/>
              <w:left w:val="single" w:sz="4" w:space="0" w:color="777777"/>
              <w:bottom w:val="single" w:sz="4" w:space="0" w:color="777777"/>
              <w:right w:val="single" w:sz="4" w:space="0" w:color="777777"/>
            </w:tcBorders>
            <w:shd w:val="clear" w:color="auto" w:fill="F5F8FF"/>
            <w:tcMar>
              <w:top w:w="60" w:type="dxa"/>
              <w:left w:w="80" w:type="dxa"/>
              <w:bottom w:w="60" w:type="dxa"/>
              <w:right w:w="80" w:type="dxa"/>
            </w:tcMar>
            <w:vAlign w:val="center"/>
          </w:tcPr>
          <w:p w:rsidR="00B77B5F" w:rsidRDefault="00000000">
            <w:pPr>
              <w:jc w:val="center"/>
            </w:pPr>
            <w:r>
              <w:rPr>
                <w:color w:val="000000"/>
                <w:sz w:val="24"/>
                <w:szCs w:val="24"/>
                <w:lang w:val="ar-SA"/>
              </w:rPr>
              <w:t>تنفيذي محدد المهام</w:t>
            </w:r>
          </w:p>
        </w:tc>
        <w:tc>
          <w:tcPr>
            <w:tcW w:w="0" w:type="auto"/>
            <w:tcBorders>
              <w:top w:val="single" w:sz="4" w:space="0" w:color="777777"/>
              <w:left w:val="single" w:sz="4" w:space="0" w:color="777777"/>
              <w:bottom w:val="single" w:sz="4" w:space="0" w:color="777777"/>
              <w:right w:val="single" w:sz="4" w:space="0" w:color="777777"/>
            </w:tcBorders>
            <w:shd w:val="clear" w:color="auto" w:fill="F5F8FF"/>
            <w:tcMar>
              <w:top w:w="60" w:type="dxa"/>
              <w:left w:w="80" w:type="dxa"/>
              <w:bottom w:w="60" w:type="dxa"/>
              <w:right w:w="80" w:type="dxa"/>
            </w:tcMar>
            <w:vAlign w:val="center"/>
          </w:tcPr>
          <w:p w:rsidR="00B77B5F" w:rsidRDefault="00000000">
            <w:pPr>
              <w:jc w:val="center"/>
            </w:pPr>
            <w:r>
              <w:rPr>
                <w:color w:val="000000"/>
                <w:sz w:val="24"/>
                <w:szCs w:val="24"/>
                <w:lang w:val="ar-SA"/>
              </w:rPr>
              <w:t>ذاتي التنظيم</w:t>
            </w:r>
          </w:p>
        </w:tc>
      </w:tr>
      <w:tr w:rsidR="00B77B5F">
        <w:trPr>
          <w:jc w:val="center"/>
        </w:trPr>
        <w:tc>
          <w:tcPr>
            <w:tcW w:w="0" w:type="auto"/>
            <w:tcBorders>
              <w:top w:val="single" w:sz="4" w:space="0" w:color="777777"/>
              <w:left w:val="single" w:sz="4" w:space="0" w:color="777777"/>
              <w:bottom w:val="single" w:sz="4" w:space="0" w:color="777777"/>
              <w:right w:val="single" w:sz="4" w:space="0" w:color="777777"/>
            </w:tcBorders>
            <w:tcMar>
              <w:top w:w="60" w:type="dxa"/>
              <w:left w:w="80" w:type="dxa"/>
              <w:bottom w:w="60" w:type="dxa"/>
              <w:right w:w="80" w:type="dxa"/>
            </w:tcMar>
            <w:vAlign w:val="center"/>
          </w:tcPr>
          <w:p w:rsidR="00B77B5F" w:rsidRDefault="00000000">
            <w:pPr>
              <w:jc w:val="center"/>
            </w:pPr>
            <w:r>
              <w:rPr>
                <w:color w:val="000000"/>
                <w:sz w:val="24"/>
                <w:szCs w:val="24"/>
                <w:lang w:val="ar-SA"/>
              </w:rPr>
              <w:t>المناسبة</w:t>
            </w:r>
          </w:p>
        </w:tc>
        <w:tc>
          <w:tcPr>
            <w:tcW w:w="0" w:type="auto"/>
            <w:tcBorders>
              <w:top w:val="single" w:sz="4" w:space="0" w:color="777777"/>
              <w:left w:val="single" w:sz="4" w:space="0" w:color="777777"/>
              <w:bottom w:val="single" w:sz="4" w:space="0" w:color="777777"/>
              <w:right w:val="single" w:sz="4" w:space="0" w:color="777777"/>
            </w:tcBorders>
            <w:tcMar>
              <w:top w:w="60" w:type="dxa"/>
              <w:left w:w="80" w:type="dxa"/>
              <w:bottom w:w="60" w:type="dxa"/>
              <w:right w:w="80" w:type="dxa"/>
            </w:tcMar>
            <w:vAlign w:val="center"/>
          </w:tcPr>
          <w:p w:rsidR="00B77B5F" w:rsidRDefault="00000000">
            <w:pPr>
              <w:jc w:val="center"/>
            </w:pPr>
            <w:r>
              <w:rPr>
                <w:color w:val="000000"/>
                <w:sz w:val="24"/>
                <w:szCs w:val="24"/>
                <w:lang w:val="ar-SA"/>
              </w:rPr>
              <w:t>مشاريع متطلباتها واضحة ومستقرة</w:t>
            </w:r>
          </w:p>
        </w:tc>
        <w:tc>
          <w:tcPr>
            <w:tcW w:w="0" w:type="auto"/>
            <w:tcBorders>
              <w:top w:val="single" w:sz="4" w:space="0" w:color="777777"/>
              <w:left w:val="single" w:sz="4" w:space="0" w:color="777777"/>
              <w:bottom w:val="single" w:sz="4" w:space="0" w:color="777777"/>
              <w:right w:val="single" w:sz="4" w:space="0" w:color="777777"/>
            </w:tcBorders>
            <w:tcMar>
              <w:top w:w="60" w:type="dxa"/>
              <w:left w:w="80" w:type="dxa"/>
              <w:bottom w:w="60" w:type="dxa"/>
              <w:right w:w="80" w:type="dxa"/>
            </w:tcMar>
            <w:vAlign w:val="center"/>
          </w:tcPr>
          <w:p w:rsidR="00B77B5F" w:rsidRDefault="00000000">
            <w:pPr>
              <w:jc w:val="center"/>
            </w:pPr>
            <w:r>
              <w:rPr>
                <w:color w:val="000000"/>
                <w:sz w:val="24"/>
                <w:szCs w:val="24"/>
                <w:lang w:val="ar-SA"/>
              </w:rPr>
              <w:t>مشاريع متطلباتها متغيرة</w:t>
            </w:r>
          </w:p>
        </w:tc>
      </w:tr>
      <w:tr w:rsidR="00B77B5F">
        <w:trPr>
          <w:jc w:val="center"/>
        </w:trPr>
        <w:tc>
          <w:tcPr>
            <w:tcW w:w="0" w:type="auto"/>
            <w:tcBorders>
              <w:top w:val="single" w:sz="4" w:space="0" w:color="777777"/>
              <w:left w:val="single" w:sz="4" w:space="0" w:color="777777"/>
              <w:bottom w:val="single" w:sz="4" w:space="0" w:color="777777"/>
              <w:right w:val="single" w:sz="4" w:space="0" w:color="777777"/>
            </w:tcBorders>
            <w:shd w:val="clear" w:color="auto" w:fill="F5F8FF"/>
            <w:tcMar>
              <w:top w:w="60" w:type="dxa"/>
              <w:left w:w="80" w:type="dxa"/>
              <w:bottom w:w="60" w:type="dxa"/>
              <w:right w:w="80" w:type="dxa"/>
            </w:tcMar>
            <w:vAlign w:val="center"/>
          </w:tcPr>
          <w:p w:rsidR="00B77B5F" w:rsidRDefault="00000000">
            <w:pPr>
              <w:jc w:val="center"/>
            </w:pPr>
            <w:r>
              <w:rPr>
                <w:color w:val="000000"/>
                <w:sz w:val="24"/>
                <w:szCs w:val="24"/>
                <w:lang w:val="ar-SA"/>
              </w:rPr>
              <w:t>مقياس النجاح</w:t>
            </w:r>
          </w:p>
        </w:tc>
        <w:tc>
          <w:tcPr>
            <w:tcW w:w="0" w:type="auto"/>
            <w:tcBorders>
              <w:top w:val="single" w:sz="4" w:space="0" w:color="777777"/>
              <w:left w:val="single" w:sz="4" w:space="0" w:color="777777"/>
              <w:bottom w:val="single" w:sz="4" w:space="0" w:color="777777"/>
              <w:right w:val="single" w:sz="4" w:space="0" w:color="777777"/>
            </w:tcBorders>
            <w:shd w:val="clear" w:color="auto" w:fill="F5F8FF"/>
            <w:tcMar>
              <w:top w:w="60" w:type="dxa"/>
              <w:left w:w="80" w:type="dxa"/>
              <w:bottom w:w="60" w:type="dxa"/>
              <w:right w:w="80" w:type="dxa"/>
            </w:tcMar>
            <w:vAlign w:val="center"/>
          </w:tcPr>
          <w:p w:rsidR="00B77B5F" w:rsidRDefault="00000000">
            <w:pPr>
              <w:jc w:val="center"/>
            </w:pPr>
            <w:r>
              <w:rPr>
                <w:color w:val="000000"/>
                <w:sz w:val="24"/>
                <w:szCs w:val="24"/>
                <w:lang w:val="ar-SA"/>
              </w:rPr>
              <w:t>الالتزام بالخطة</w:t>
            </w:r>
          </w:p>
        </w:tc>
        <w:tc>
          <w:tcPr>
            <w:tcW w:w="0" w:type="auto"/>
            <w:tcBorders>
              <w:top w:val="single" w:sz="4" w:space="0" w:color="777777"/>
              <w:left w:val="single" w:sz="4" w:space="0" w:color="777777"/>
              <w:bottom w:val="single" w:sz="4" w:space="0" w:color="777777"/>
              <w:right w:val="single" w:sz="4" w:space="0" w:color="777777"/>
            </w:tcBorders>
            <w:shd w:val="clear" w:color="auto" w:fill="F5F8FF"/>
            <w:tcMar>
              <w:top w:w="60" w:type="dxa"/>
              <w:left w:w="80" w:type="dxa"/>
              <w:bottom w:w="60" w:type="dxa"/>
              <w:right w:w="80" w:type="dxa"/>
            </w:tcMar>
            <w:vAlign w:val="center"/>
          </w:tcPr>
          <w:p w:rsidR="00B77B5F" w:rsidRDefault="00000000">
            <w:pPr>
              <w:jc w:val="center"/>
            </w:pPr>
            <w:r>
              <w:rPr>
                <w:color w:val="000000"/>
                <w:sz w:val="24"/>
                <w:szCs w:val="24"/>
                <w:lang w:val="ar-SA"/>
              </w:rPr>
              <w:t>تسليم القيمة للعميل</w:t>
            </w:r>
          </w:p>
        </w:tc>
      </w:tr>
    </w:tbl>
    <w:p w:rsidR="00B77B5F" w:rsidRDefault="00000000">
      <w:pPr>
        <w:keepLines/>
        <w:spacing w:after="120"/>
        <w:ind w:firstLine="284"/>
        <w:jc w:val="both"/>
      </w:pPr>
      <w:r>
        <w:rPr>
          <w:lang w:val="ar-SA"/>
        </w:rPr>
        <w:t>يتضح من الجدول (2-1) أن منهجية Agile توفِّر مرونةً أكبر وقدرةً على التكيُّف، بينما توفِّر Waterfall انضباطًا أكبر في التخطيط والتوثيق. ولذلك، يُوصى بمنهجية Agile للمشاريع التي تتسم بعدم اليقين والمتطلبات المتغيِّرة، فيما تبقى Waterfall مناسبةً للمشاريع ذات المتطلبات المستقرة والواضحة، مثل مشاريع البناء التقليدية.</w:t>
      </w:r>
    </w:p>
    <w:p w:rsidR="00B77B5F" w:rsidRDefault="00000000" w:rsidP="00542A6B">
      <w:pPr>
        <w:pStyle w:val="2"/>
        <w:keepNext/>
        <w:jc w:val="left"/>
      </w:pPr>
      <w:bookmarkStart w:id="49" w:name="_Toc233617782"/>
      <w:r>
        <w:rPr>
          <w:lang w:val="ar-SA"/>
        </w:rPr>
        <w:t>7.1.2 أبرز منهجيات وإطارات Agile:</w:t>
      </w:r>
      <w:bookmarkEnd w:id="49"/>
    </w:p>
    <w:p w:rsidR="00B77B5F" w:rsidRDefault="00000000" w:rsidP="00542A6B">
      <w:pPr>
        <w:pStyle w:val="3"/>
        <w:keepNext/>
        <w:jc w:val="left"/>
      </w:pPr>
      <w:bookmarkStart w:id="50" w:name="_Toc233617783"/>
      <w:r>
        <w:rPr>
          <w:color w:val="333333"/>
          <w:lang w:val="ar-SA"/>
        </w:rPr>
        <w:t>أ. منهجية Scrum:</w:t>
      </w:r>
      <w:bookmarkEnd w:id="50"/>
    </w:p>
    <w:p w:rsidR="00B77B5F" w:rsidRDefault="00000000">
      <w:pPr>
        <w:keepLines/>
        <w:spacing w:after="120"/>
        <w:ind w:firstLine="284"/>
        <w:jc w:val="both"/>
      </w:pPr>
      <w:r>
        <w:rPr>
          <w:lang w:val="ar-SA"/>
        </w:rPr>
        <w:t>تُعدُّ منهجية Scrum من أكثر منهجيات Agile انتشارًا في العالم، حيث طوَّرها كلٌّ من Ken Schwaber و Jeff Sutherland في أوائل التسعينيات. تُقسِّم Scrum المشروع إلى دوراتٍ قصيرةٍ تُسمَّى Sprints مدتها من أسبوعٍ إلى أربعة أسابيع (Schwaber &amp; Sutherland, 2020).</w:t>
      </w:r>
    </w:p>
    <w:p w:rsidR="00B77B5F" w:rsidRDefault="00000000">
      <w:pPr>
        <w:keepLines/>
        <w:spacing w:after="120"/>
        <w:ind w:firstLine="284"/>
        <w:jc w:val="both"/>
      </w:pPr>
      <w:r>
        <w:rPr>
          <w:lang w:val="ar-SA"/>
        </w:rPr>
        <w:t>وتتضمَّن Scrum ثلاثة أدوارٍ رئيسة:</w:t>
      </w:r>
    </w:p>
    <w:p w:rsidR="00B77B5F" w:rsidRDefault="00000000" w:rsidP="00542A6B">
      <w:pPr>
        <w:spacing w:after="80"/>
        <w:ind w:right="568"/>
      </w:pPr>
      <w:r>
        <w:rPr>
          <w:lang w:val="ar-SA"/>
        </w:rPr>
        <w:t>• مالك المنتج (Product Owner): مسؤول عن تحديد متطلبات المنتج وأولوياته، ويُمثِّل أصحاب المصلحة.</w:t>
      </w:r>
    </w:p>
    <w:p w:rsidR="00B77B5F" w:rsidRDefault="00000000" w:rsidP="00542A6B">
      <w:pPr>
        <w:spacing w:after="80"/>
        <w:ind w:right="568"/>
      </w:pPr>
      <w:r>
        <w:rPr>
          <w:lang w:val="ar-SA"/>
        </w:rPr>
        <w:t>• قائد Scrum (Scrum Master): مسؤول عن إزالة العوائق وتسهيل عمل الفريق، وضمان تطبيق ممارسات Scrum.</w:t>
      </w:r>
    </w:p>
    <w:p w:rsidR="00B77B5F" w:rsidRDefault="00000000" w:rsidP="00924A16">
      <w:pPr>
        <w:spacing w:after="80"/>
        <w:ind w:right="568"/>
      </w:pPr>
      <w:r>
        <w:rPr>
          <w:lang w:val="ar-SA"/>
        </w:rPr>
        <w:lastRenderedPageBreak/>
        <w:t>• الفريق (Team): مسؤول عن تنفيذ العمل، ويتكون عادةً من 3-9 أعضاءٍ متخصِّصين متعدِّدي المهارات.</w:t>
      </w:r>
    </w:p>
    <w:p w:rsidR="00B77B5F" w:rsidRDefault="00000000" w:rsidP="00924A16">
      <w:pPr>
        <w:keepLines/>
        <w:spacing w:after="120"/>
        <w:ind w:firstLine="284"/>
      </w:pPr>
      <w:r>
        <w:rPr>
          <w:lang w:val="ar-SA"/>
        </w:rPr>
        <w:t>وتتضمَّن Scrum خمس فعالياتٍ منتظمة:</w:t>
      </w:r>
    </w:p>
    <w:p w:rsidR="00B77B5F" w:rsidRDefault="00000000" w:rsidP="00924A16">
      <w:pPr>
        <w:spacing w:after="80"/>
        <w:ind w:right="568"/>
      </w:pPr>
      <w:r>
        <w:rPr>
          <w:lang w:val="ar-SA"/>
        </w:rPr>
        <w:t>• اجتماع التخطيط (Sprint Planning): في بداية كل Sprint لتحديد ما سيُنجَز.</w:t>
      </w:r>
    </w:p>
    <w:p w:rsidR="00B77B5F" w:rsidRDefault="00000000" w:rsidP="00924A16">
      <w:pPr>
        <w:spacing w:after="80"/>
        <w:ind w:right="568"/>
      </w:pPr>
      <w:r>
        <w:rPr>
          <w:lang w:val="ar-SA"/>
        </w:rPr>
        <w:t>• الاجتماع اليومي القصير (Daily Stand-up): اجتماع 15 دقيقة يوميًا لمراجعة التقدم.</w:t>
      </w:r>
    </w:p>
    <w:p w:rsidR="00B77B5F" w:rsidRDefault="00000000" w:rsidP="00924A16">
      <w:pPr>
        <w:spacing w:after="80"/>
        <w:ind w:right="568"/>
      </w:pPr>
      <w:r>
        <w:rPr>
          <w:lang w:val="ar-SA"/>
        </w:rPr>
        <w:t>• مراجعة Sprint (Sprint Review): في نهاية Sprint لعرض المخرجات على أصحاب المصلحة.</w:t>
      </w:r>
    </w:p>
    <w:p w:rsidR="00B77B5F" w:rsidRDefault="00000000" w:rsidP="00924A16">
      <w:pPr>
        <w:spacing w:after="80"/>
        <w:ind w:right="568"/>
      </w:pPr>
      <w:r>
        <w:rPr>
          <w:lang w:val="ar-SA"/>
        </w:rPr>
        <w:t>• اجتماع الاسترجاع (Sprint Retrospective): لمراجعة أداء الفريق وتحسينه.</w:t>
      </w:r>
    </w:p>
    <w:p w:rsidR="00B77B5F" w:rsidRDefault="00000000" w:rsidP="00924A16">
      <w:pPr>
        <w:spacing w:after="80"/>
        <w:ind w:right="568"/>
      </w:pPr>
      <w:r>
        <w:rPr>
          <w:lang w:val="ar-SA"/>
        </w:rPr>
        <w:t>• تنقيح قائمة المنتج (Product Backlog Refinement): لتحديث ومراجعة المتطلبات.</w:t>
      </w:r>
    </w:p>
    <w:p w:rsidR="00B77B5F" w:rsidRDefault="00000000" w:rsidP="00924A16">
      <w:pPr>
        <w:pStyle w:val="3"/>
        <w:keepNext/>
        <w:jc w:val="left"/>
      </w:pPr>
      <w:bookmarkStart w:id="51" w:name="_Toc233617784"/>
      <w:r>
        <w:rPr>
          <w:color w:val="333333"/>
          <w:lang w:val="ar-SA"/>
        </w:rPr>
        <w:t>ب. منهجية Kanban:</w:t>
      </w:r>
      <w:bookmarkEnd w:id="51"/>
    </w:p>
    <w:p w:rsidR="00B77B5F" w:rsidRDefault="00000000">
      <w:pPr>
        <w:keepLines/>
        <w:spacing w:after="120"/>
        <w:ind w:firstLine="284"/>
        <w:jc w:val="both"/>
      </w:pPr>
      <w:r>
        <w:rPr>
          <w:lang w:val="ar-SA"/>
        </w:rPr>
        <w:t>هي منهجيةٌ بصريةٌ لإدارة سير العمل، نشأت في الأصل في مصانع تويوتا اليابانية في الخمسينيات، ثم تم تطويعها للاستخدام في إدارة المشاريع في عام 2007 على يد David Anderson. تعتمد Kanban على لوحةٍ مرئيةٍ تُقسَّم إلى أعمدةٍ تمثِّل مراحل العمل (To Do، In Progress، Done)، ويتم تحريك بطاقات المهام بينها لتمثيل تقدُّمها.</w:t>
      </w:r>
    </w:p>
    <w:p w:rsidR="00B77B5F" w:rsidRDefault="00000000">
      <w:pPr>
        <w:keepLines/>
        <w:spacing w:after="120"/>
        <w:ind w:firstLine="284"/>
        <w:jc w:val="both"/>
      </w:pPr>
      <w:r>
        <w:rPr>
          <w:lang w:val="ar-SA"/>
        </w:rPr>
        <w:t>وتقوم Kanban على ستة مبادئ أساسية:</w:t>
      </w:r>
    </w:p>
    <w:p w:rsidR="00B77B5F" w:rsidRDefault="00000000" w:rsidP="00924A16">
      <w:pPr>
        <w:spacing w:after="80"/>
        <w:ind w:right="568"/>
      </w:pPr>
      <w:r>
        <w:rPr>
          <w:lang w:val="ar-SA"/>
        </w:rPr>
        <w:t>• تصوير سير العمل بصريًّا عبر لوحة Kanban.</w:t>
      </w:r>
    </w:p>
    <w:p w:rsidR="00B77B5F" w:rsidRDefault="00000000" w:rsidP="00924A16">
      <w:pPr>
        <w:spacing w:after="80"/>
        <w:ind w:right="568"/>
      </w:pPr>
      <w:r>
        <w:rPr>
          <w:lang w:val="ar-SA"/>
        </w:rPr>
        <w:t>• تحديد حد للعمل قيد التنفيذ (WIP Limit) لمنع تراكم العمل.</w:t>
      </w:r>
    </w:p>
    <w:p w:rsidR="00B77B5F" w:rsidRDefault="00000000" w:rsidP="00924A16">
      <w:pPr>
        <w:spacing w:after="80"/>
        <w:ind w:right="568"/>
      </w:pPr>
      <w:r>
        <w:rPr>
          <w:lang w:val="ar-SA"/>
        </w:rPr>
        <w:t>• إدارة التدفق وتحسينه باستمرار.</w:t>
      </w:r>
    </w:p>
    <w:p w:rsidR="00B77B5F" w:rsidRDefault="00000000" w:rsidP="00924A16">
      <w:pPr>
        <w:spacing w:after="80"/>
        <w:ind w:right="568"/>
      </w:pPr>
      <w:r>
        <w:rPr>
          <w:lang w:val="ar-SA"/>
        </w:rPr>
        <w:t>• جعل السياسات واضحة وصريحة.</w:t>
      </w:r>
    </w:p>
    <w:p w:rsidR="00B77B5F" w:rsidRDefault="00000000" w:rsidP="00924A16">
      <w:pPr>
        <w:spacing w:after="80"/>
        <w:ind w:right="568"/>
      </w:pPr>
      <w:r>
        <w:rPr>
          <w:lang w:val="ar-SA"/>
        </w:rPr>
        <w:t>• تطبيق دورات تغذية راجعة منتظمة.</w:t>
      </w:r>
    </w:p>
    <w:p w:rsidR="00B77B5F" w:rsidRDefault="00000000" w:rsidP="00924A16">
      <w:pPr>
        <w:spacing w:after="80"/>
        <w:ind w:right="568"/>
      </w:pPr>
      <w:r>
        <w:rPr>
          <w:lang w:val="ar-SA"/>
        </w:rPr>
        <w:t>• التحسين المستمر بشكل تشاركي وتطوُّري.</w:t>
      </w:r>
    </w:p>
    <w:p w:rsidR="00B77B5F" w:rsidRDefault="00000000" w:rsidP="00924A16">
      <w:pPr>
        <w:pStyle w:val="3"/>
        <w:keepNext/>
        <w:jc w:val="left"/>
      </w:pPr>
      <w:bookmarkStart w:id="52" w:name="_Toc233617785"/>
      <w:r>
        <w:rPr>
          <w:color w:val="333333"/>
          <w:lang w:val="ar-SA"/>
        </w:rPr>
        <w:t>ج. Extreme Programming (XP):</w:t>
      </w:r>
      <w:bookmarkEnd w:id="52"/>
    </w:p>
    <w:p w:rsidR="00B77B5F" w:rsidRDefault="00000000">
      <w:pPr>
        <w:keepLines/>
        <w:spacing w:after="120"/>
        <w:ind w:firstLine="284"/>
        <w:jc w:val="both"/>
      </w:pPr>
      <w:r>
        <w:rPr>
          <w:lang w:val="ar-SA"/>
        </w:rPr>
        <w:t>منهجيةٌ طوَّرها Kent Beck في أواخر التسعينيات، تركِّز على تحسين جودة البرمجيات والاستجابة السريعة للتغيُّرات في المتطلبات. تشمل ممارساتٍ تقنيةً متقدِّمةً مثل: البرمجة الثنائية (Pair Programming) حيث يعمل مطوران معًا على نفس الكود، والاختبار المستمر (Test-Driven Development)، والتكامل المستمر (Continuous Integration)، وإعادة هيكلة الكود (Refactoring). وتُعدُّ من أكثر منهجيات Agile تطلُّبًا من حيث الانضباط الهندسي.</w:t>
      </w:r>
    </w:p>
    <w:p w:rsidR="00B77B5F" w:rsidRDefault="00000000" w:rsidP="00924A16">
      <w:pPr>
        <w:pStyle w:val="3"/>
        <w:keepNext/>
        <w:jc w:val="left"/>
      </w:pPr>
      <w:bookmarkStart w:id="53" w:name="_Toc233617786"/>
      <w:r>
        <w:rPr>
          <w:color w:val="333333"/>
          <w:lang w:val="ar-SA"/>
        </w:rPr>
        <w:lastRenderedPageBreak/>
        <w:t>د. منهجية Lean:</w:t>
      </w:r>
      <w:bookmarkEnd w:id="53"/>
    </w:p>
    <w:p w:rsidR="00B77B5F" w:rsidRDefault="00000000">
      <w:pPr>
        <w:keepLines/>
        <w:spacing w:after="120"/>
        <w:ind w:firstLine="284"/>
        <w:jc w:val="both"/>
      </w:pPr>
      <w:r>
        <w:rPr>
          <w:lang w:val="ar-SA"/>
        </w:rPr>
        <w:t>تركِّز منهجية Lean على إزالة الهدر (Waste) وتحقيق أقصى قيمةٍ بأقل الموارد. وتُعدُّ امتدادًا لفلسفة الإنتاج الياباني (Toyota Production System) التي طوَّرها Taiichi Ohno في الخمسينيات. وقد تم تطويرها للتطبيق في مجال تطوير البرمجيات والخدمات على يد Mary وTom Poppendieck في كتابهما "Lean Software Development".</w:t>
      </w:r>
    </w:p>
    <w:p w:rsidR="00B77B5F" w:rsidRDefault="00000000">
      <w:pPr>
        <w:keepLines/>
        <w:spacing w:after="120"/>
        <w:ind w:firstLine="284"/>
        <w:jc w:val="both"/>
      </w:pPr>
      <w:r>
        <w:rPr>
          <w:lang w:val="ar-SA"/>
        </w:rPr>
        <w:t>وتقوم Lean على سبعة مبادئ أساسية: القضاء على الهدر، وتعزيز التعلم، وتأخير القرار حتى آخر لحظة مسؤولة، والتسليم بأسرع وقتٍ ممكن، وتمكين الفريق، وبناء الجودة، ورؤية الكل.</w:t>
      </w:r>
    </w:p>
    <w:p w:rsidR="00B77B5F" w:rsidRDefault="00000000" w:rsidP="00924A16">
      <w:pPr>
        <w:pStyle w:val="3"/>
        <w:keepNext/>
        <w:jc w:val="left"/>
      </w:pPr>
      <w:bookmarkStart w:id="54" w:name="_Toc233617787"/>
      <w:r>
        <w:rPr>
          <w:color w:val="333333"/>
          <w:lang w:val="ar-SA"/>
        </w:rPr>
        <w:t>هـ. إطار SAFe (Scaled Agile Framework):</w:t>
      </w:r>
      <w:bookmarkEnd w:id="54"/>
    </w:p>
    <w:p w:rsidR="00B77B5F" w:rsidRDefault="00000000">
      <w:pPr>
        <w:keepLines/>
        <w:spacing w:after="120"/>
        <w:ind w:firstLine="284"/>
        <w:jc w:val="both"/>
      </w:pPr>
      <w:r>
        <w:rPr>
          <w:lang w:val="ar-SA"/>
        </w:rPr>
        <w:t>إطار عملٍ صُمِّم لتطبيق Agile على نطاقٍ واسعٍ في المؤسسات الكبيرة التي تضم فرقًا متعددةً تعمل على منتجاتٍ معقدة. طوَّره Dean Leffingwell في عام 2011، ويُوفِّر هيكلًا ينظِّم العمل بين الفرق ويربطه بالأهداف الاستراتيجية للمؤسسة (Almeida &amp; Espinheira, 2021).</w:t>
      </w:r>
    </w:p>
    <w:p w:rsidR="00B77B5F" w:rsidRDefault="00000000">
      <w:pPr>
        <w:keepLines/>
        <w:spacing w:after="120"/>
        <w:ind w:firstLine="284"/>
        <w:jc w:val="both"/>
      </w:pPr>
      <w:r>
        <w:rPr>
          <w:lang w:val="ar-SA"/>
        </w:rPr>
        <w:t>يتكون SAFe من أربعة مستوياتٍ: مستوى الفريق (Team Level)، ومستوى البرنامج (Program Level)، ومستوى الحلول الكبيرة (Large Solution Level)، ومستوى المحفظة (Portfolio Level). ويُعدُّ من أكثر الإطارات الموسَّعة تبنِّيًا في العالم، حيث يستخدمه ما يزيد عن 52% من المؤسسات الكبيرة التي تطبق Agile (Digital.ai, 2023).</w:t>
      </w:r>
    </w:p>
    <w:p w:rsidR="00B77B5F" w:rsidRDefault="00000000" w:rsidP="00924A16">
      <w:pPr>
        <w:pStyle w:val="3"/>
        <w:keepNext/>
        <w:jc w:val="left"/>
      </w:pPr>
      <w:bookmarkStart w:id="55" w:name="_Toc233617788"/>
      <w:r>
        <w:rPr>
          <w:color w:val="333333"/>
          <w:lang w:val="ar-SA"/>
        </w:rPr>
        <w:t>و. ملخَّص لإطارات Agile الأبرز:</w:t>
      </w:r>
      <w:bookmarkEnd w:id="55"/>
    </w:p>
    <w:p w:rsidR="00B77B5F" w:rsidRDefault="00000000">
      <w:pPr>
        <w:keepNext/>
        <w:spacing w:before="200" w:after="60"/>
        <w:jc w:val="center"/>
      </w:pPr>
      <w:r>
        <w:rPr>
          <w:b/>
          <w:bCs/>
          <w:color w:val="333333"/>
          <w:sz w:val="24"/>
          <w:szCs w:val="24"/>
          <w:lang w:val="ar-SA"/>
        </w:rPr>
        <w:t>جدول (2-2): أبرز إطارات Agile وخصائصها</w:t>
      </w:r>
    </w:p>
    <w:tbl>
      <w:tblPr>
        <w:bidiVisual/>
        <w:tblW w:w="90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192"/>
        <w:gridCol w:w="4745"/>
        <w:gridCol w:w="3063"/>
      </w:tblGrid>
      <w:tr w:rsidR="00B77B5F">
        <w:trPr>
          <w:jc w:val="center"/>
        </w:trPr>
        <w:tc>
          <w:tcPr>
            <w:tcW w:w="0" w:type="auto"/>
            <w:tcBorders>
              <w:top w:val="single" w:sz="4" w:space="0" w:color="777777"/>
              <w:left w:val="single" w:sz="4" w:space="0" w:color="777777"/>
              <w:bottom w:val="single" w:sz="4" w:space="0" w:color="777777"/>
              <w:right w:val="single" w:sz="4" w:space="0" w:color="777777"/>
            </w:tcBorders>
            <w:shd w:val="clear" w:color="auto" w:fill="1F3864"/>
            <w:tcMar>
              <w:top w:w="60" w:type="dxa"/>
              <w:left w:w="80" w:type="dxa"/>
              <w:bottom w:w="60" w:type="dxa"/>
              <w:right w:w="80" w:type="dxa"/>
            </w:tcMar>
            <w:vAlign w:val="center"/>
          </w:tcPr>
          <w:p w:rsidR="00B77B5F" w:rsidRDefault="00000000">
            <w:pPr>
              <w:jc w:val="center"/>
            </w:pPr>
            <w:r>
              <w:rPr>
                <w:b/>
                <w:bCs/>
                <w:color w:val="FFFFFF"/>
                <w:sz w:val="24"/>
                <w:szCs w:val="24"/>
                <w:lang w:val="ar-SA"/>
              </w:rPr>
              <w:t>الإطار</w:t>
            </w:r>
          </w:p>
        </w:tc>
        <w:tc>
          <w:tcPr>
            <w:tcW w:w="0" w:type="auto"/>
            <w:tcBorders>
              <w:top w:val="single" w:sz="4" w:space="0" w:color="777777"/>
              <w:left w:val="single" w:sz="4" w:space="0" w:color="777777"/>
              <w:bottom w:val="single" w:sz="4" w:space="0" w:color="777777"/>
              <w:right w:val="single" w:sz="4" w:space="0" w:color="777777"/>
            </w:tcBorders>
            <w:shd w:val="clear" w:color="auto" w:fill="1F3864"/>
            <w:tcMar>
              <w:top w:w="60" w:type="dxa"/>
              <w:left w:w="80" w:type="dxa"/>
              <w:bottom w:w="60" w:type="dxa"/>
              <w:right w:w="80" w:type="dxa"/>
            </w:tcMar>
            <w:vAlign w:val="center"/>
          </w:tcPr>
          <w:p w:rsidR="00B77B5F" w:rsidRDefault="00000000">
            <w:pPr>
              <w:jc w:val="center"/>
            </w:pPr>
            <w:r>
              <w:rPr>
                <w:b/>
                <w:bCs/>
                <w:color w:val="FFFFFF"/>
                <w:sz w:val="24"/>
                <w:szCs w:val="24"/>
                <w:lang w:val="ar-SA"/>
              </w:rPr>
              <w:t>الخصائص الرئيسة</w:t>
            </w:r>
          </w:p>
        </w:tc>
        <w:tc>
          <w:tcPr>
            <w:tcW w:w="0" w:type="auto"/>
            <w:tcBorders>
              <w:top w:val="single" w:sz="4" w:space="0" w:color="777777"/>
              <w:left w:val="single" w:sz="4" w:space="0" w:color="777777"/>
              <w:bottom w:val="single" w:sz="4" w:space="0" w:color="777777"/>
              <w:right w:val="single" w:sz="4" w:space="0" w:color="777777"/>
            </w:tcBorders>
            <w:shd w:val="clear" w:color="auto" w:fill="1F3864"/>
            <w:tcMar>
              <w:top w:w="60" w:type="dxa"/>
              <w:left w:w="80" w:type="dxa"/>
              <w:bottom w:w="60" w:type="dxa"/>
              <w:right w:w="80" w:type="dxa"/>
            </w:tcMar>
            <w:vAlign w:val="center"/>
          </w:tcPr>
          <w:p w:rsidR="00B77B5F" w:rsidRDefault="00000000">
            <w:pPr>
              <w:jc w:val="center"/>
            </w:pPr>
            <w:r>
              <w:rPr>
                <w:b/>
                <w:bCs/>
                <w:color w:val="FFFFFF"/>
                <w:sz w:val="24"/>
                <w:szCs w:val="24"/>
                <w:lang w:val="ar-SA"/>
              </w:rPr>
              <w:t>المناسبة</w:t>
            </w:r>
          </w:p>
        </w:tc>
      </w:tr>
      <w:tr w:rsidR="00B77B5F">
        <w:trPr>
          <w:jc w:val="center"/>
        </w:trPr>
        <w:tc>
          <w:tcPr>
            <w:tcW w:w="0" w:type="auto"/>
            <w:tcBorders>
              <w:top w:val="single" w:sz="4" w:space="0" w:color="777777"/>
              <w:left w:val="single" w:sz="4" w:space="0" w:color="777777"/>
              <w:bottom w:val="single" w:sz="4" w:space="0" w:color="777777"/>
              <w:right w:val="single" w:sz="4" w:space="0" w:color="777777"/>
            </w:tcBorders>
            <w:tcMar>
              <w:top w:w="60" w:type="dxa"/>
              <w:left w:w="80" w:type="dxa"/>
              <w:bottom w:w="60" w:type="dxa"/>
              <w:right w:w="80" w:type="dxa"/>
            </w:tcMar>
            <w:vAlign w:val="center"/>
          </w:tcPr>
          <w:p w:rsidR="00B77B5F" w:rsidRDefault="00000000">
            <w:pPr>
              <w:jc w:val="center"/>
            </w:pPr>
            <w:r>
              <w:rPr>
                <w:color w:val="000000"/>
                <w:sz w:val="24"/>
                <w:szCs w:val="24"/>
                <w:lang w:val="ar-SA"/>
              </w:rPr>
              <w:t>Scrum</w:t>
            </w:r>
          </w:p>
        </w:tc>
        <w:tc>
          <w:tcPr>
            <w:tcW w:w="0" w:type="auto"/>
            <w:tcBorders>
              <w:top w:val="single" w:sz="4" w:space="0" w:color="777777"/>
              <w:left w:val="single" w:sz="4" w:space="0" w:color="777777"/>
              <w:bottom w:val="single" w:sz="4" w:space="0" w:color="777777"/>
              <w:right w:val="single" w:sz="4" w:space="0" w:color="777777"/>
            </w:tcBorders>
            <w:tcMar>
              <w:top w:w="60" w:type="dxa"/>
              <w:left w:w="80" w:type="dxa"/>
              <w:bottom w:w="60" w:type="dxa"/>
              <w:right w:w="80" w:type="dxa"/>
            </w:tcMar>
            <w:vAlign w:val="center"/>
          </w:tcPr>
          <w:p w:rsidR="00B77B5F" w:rsidRDefault="00000000">
            <w:pPr>
              <w:jc w:val="center"/>
            </w:pPr>
            <w:r>
              <w:rPr>
                <w:color w:val="000000"/>
                <w:sz w:val="24"/>
                <w:szCs w:val="24"/>
                <w:lang w:val="ar-SA"/>
              </w:rPr>
              <w:t>دورات Sprint، أدوار محددة، فعاليات منتظمة</w:t>
            </w:r>
          </w:p>
        </w:tc>
        <w:tc>
          <w:tcPr>
            <w:tcW w:w="0" w:type="auto"/>
            <w:tcBorders>
              <w:top w:val="single" w:sz="4" w:space="0" w:color="777777"/>
              <w:left w:val="single" w:sz="4" w:space="0" w:color="777777"/>
              <w:bottom w:val="single" w:sz="4" w:space="0" w:color="777777"/>
              <w:right w:val="single" w:sz="4" w:space="0" w:color="777777"/>
            </w:tcBorders>
            <w:tcMar>
              <w:top w:w="60" w:type="dxa"/>
              <w:left w:w="80" w:type="dxa"/>
              <w:bottom w:w="60" w:type="dxa"/>
              <w:right w:w="80" w:type="dxa"/>
            </w:tcMar>
            <w:vAlign w:val="center"/>
          </w:tcPr>
          <w:p w:rsidR="00B77B5F" w:rsidRDefault="00000000">
            <w:pPr>
              <w:jc w:val="center"/>
            </w:pPr>
            <w:r>
              <w:rPr>
                <w:color w:val="000000"/>
                <w:sz w:val="24"/>
                <w:szCs w:val="24"/>
                <w:lang w:val="ar-SA"/>
              </w:rPr>
              <w:t>مشاريع متوسطة الحجم</w:t>
            </w:r>
          </w:p>
        </w:tc>
      </w:tr>
      <w:tr w:rsidR="00B77B5F">
        <w:trPr>
          <w:jc w:val="center"/>
        </w:trPr>
        <w:tc>
          <w:tcPr>
            <w:tcW w:w="0" w:type="auto"/>
            <w:tcBorders>
              <w:top w:val="single" w:sz="4" w:space="0" w:color="777777"/>
              <w:left w:val="single" w:sz="4" w:space="0" w:color="777777"/>
              <w:bottom w:val="single" w:sz="4" w:space="0" w:color="777777"/>
              <w:right w:val="single" w:sz="4" w:space="0" w:color="777777"/>
            </w:tcBorders>
            <w:shd w:val="clear" w:color="auto" w:fill="F5F8FF"/>
            <w:tcMar>
              <w:top w:w="60" w:type="dxa"/>
              <w:left w:w="80" w:type="dxa"/>
              <w:bottom w:w="60" w:type="dxa"/>
              <w:right w:w="80" w:type="dxa"/>
            </w:tcMar>
            <w:vAlign w:val="center"/>
          </w:tcPr>
          <w:p w:rsidR="00B77B5F" w:rsidRDefault="00000000">
            <w:pPr>
              <w:jc w:val="center"/>
            </w:pPr>
            <w:r>
              <w:rPr>
                <w:color w:val="000000"/>
                <w:sz w:val="24"/>
                <w:szCs w:val="24"/>
                <w:lang w:val="ar-SA"/>
              </w:rPr>
              <w:t>Kanban</w:t>
            </w:r>
          </w:p>
        </w:tc>
        <w:tc>
          <w:tcPr>
            <w:tcW w:w="0" w:type="auto"/>
            <w:tcBorders>
              <w:top w:val="single" w:sz="4" w:space="0" w:color="777777"/>
              <w:left w:val="single" w:sz="4" w:space="0" w:color="777777"/>
              <w:bottom w:val="single" w:sz="4" w:space="0" w:color="777777"/>
              <w:right w:val="single" w:sz="4" w:space="0" w:color="777777"/>
            </w:tcBorders>
            <w:shd w:val="clear" w:color="auto" w:fill="F5F8FF"/>
            <w:tcMar>
              <w:top w:w="60" w:type="dxa"/>
              <w:left w:w="80" w:type="dxa"/>
              <w:bottom w:w="60" w:type="dxa"/>
              <w:right w:w="80" w:type="dxa"/>
            </w:tcMar>
            <w:vAlign w:val="center"/>
          </w:tcPr>
          <w:p w:rsidR="00B77B5F" w:rsidRDefault="00000000">
            <w:pPr>
              <w:jc w:val="center"/>
            </w:pPr>
            <w:r>
              <w:rPr>
                <w:color w:val="000000"/>
                <w:sz w:val="24"/>
                <w:szCs w:val="24"/>
                <w:lang w:val="ar-SA"/>
              </w:rPr>
              <w:t>تدفق مستمر، لوحة بصرية، حد WIP</w:t>
            </w:r>
          </w:p>
        </w:tc>
        <w:tc>
          <w:tcPr>
            <w:tcW w:w="0" w:type="auto"/>
            <w:tcBorders>
              <w:top w:val="single" w:sz="4" w:space="0" w:color="777777"/>
              <w:left w:val="single" w:sz="4" w:space="0" w:color="777777"/>
              <w:bottom w:val="single" w:sz="4" w:space="0" w:color="777777"/>
              <w:right w:val="single" w:sz="4" w:space="0" w:color="777777"/>
            </w:tcBorders>
            <w:shd w:val="clear" w:color="auto" w:fill="F5F8FF"/>
            <w:tcMar>
              <w:top w:w="60" w:type="dxa"/>
              <w:left w:w="80" w:type="dxa"/>
              <w:bottom w:w="60" w:type="dxa"/>
              <w:right w:w="80" w:type="dxa"/>
            </w:tcMar>
            <w:vAlign w:val="center"/>
          </w:tcPr>
          <w:p w:rsidR="00B77B5F" w:rsidRDefault="00000000">
            <w:pPr>
              <w:jc w:val="center"/>
            </w:pPr>
            <w:r>
              <w:rPr>
                <w:color w:val="000000"/>
                <w:sz w:val="24"/>
                <w:szCs w:val="24"/>
                <w:lang w:val="ar-SA"/>
              </w:rPr>
              <w:t>العمل التشغيلي والصيانة</w:t>
            </w:r>
          </w:p>
        </w:tc>
      </w:tr>
      <w:tr w:rsidR="00B77B5F">
        <w:trPr>
          <w:jc w:val="center"/>
        </w:trPr>
        <w:tc>
          <w:tcPr>
            <w:tcW w:w="0" w:type="auto"/>
            <w:tcBorders>
              <w:top w:val="single" w:sz="4" w:space="0" w:color="777777"/>
              <w:left w:val="single" w:sz="4" w:space="0" w:color="777777"/>
              <w:bottom w:val="single" w:sz="4" w:space="0" w:color="777777"/>
              <w:right w:val="single" w:sz="4" w:space="0" w:color="777777"/>
            </w:tcBorders>
            <w:tcMar>
              <w:top w:w="60" w:type="dxa"/>
              <w:left w:w="80" w:type="dxa"/>
              <w:bottom w:w="60" w:type="dxa"/>
              <w:right w:w="80" w:type="dxa"/>
            </w:tcMar>
            <w:vAlign w:val="center"/>
          </w:tcPr>
          <w:p w:rsidR="00B77B5F" w:rsidRDefault="00000000">
            <w:pPr>
              <w:jc w:val="center"/>
            </w:pPr>
            <w:r>
              <w:rPr>
                <w:color w:val="000000"/>
                <w:sz w:val="24"/>
                <w:szCs w:val="24"/>
                <w:lang w:val="ar-SA"/>
              </w:rPr>
              <w:t>XP</w:t>
            </w:r>
          </w:p>
        </w:tc>
        <w:tc>
          <w:tcPr>
            <w:tcW w:w="0" w:type="auto"/>
            <w:tcBorders>
              <w:top w:val="single" w:sz="4" w:space="0" w:color="777777"/>
              <w:left w:val="single" w:sz="4" w:space="0" w:color="777777"/>
              <w:bottom w:val="single" w:sz="4" w:space="0" w:color="777777"/>
              <w:right w:val="single" w:sz="4" w:space="0" w:color="777777"/>
            </w:tcBorders>
            <w:tcMar>
              <w:top w:w="60" w:type="dxa"/>
              <w:left w:w="80" w:type="dxa"/>
              <w:bottom w:w="60" w:type="dxa"/>
              <w:right w:w="80" w:type="dxa"/>
            </w:tcMar>
            <w:vAlign w:val="center"/>
          </w:tcPr>
          <w:p w:rsidR="00B77B5F" w:rsidRDefault="00000000">
            <w:pPr>
              <w:jc w:val="center"/>
            </w:pPr>
            <w:r>
              <w:rPr>
                <w:color w:val="000000"/>
                <w:sz w:val="24"/>
                <w:szCs w:val="24"/>
                <w:lang w:val="ar-SA"/>
              </w:rPr>
              <w:t>ممارسات تقنية، اختبارات مستمرة</w:t>
            </w:r>
          </w:p>
        </w:tc>
        <w:tc>
          <w:tcPr>
            <w:tcW w:w="0" w:type="auto"/>
            <w:tcBorders>
              <w:top w:val="single" w:sz="4" w:space="0" w:color="777777"/>
              <w:left w:val="single" w:sz="4" w:space="0" w:color="777777"/>
              <w:bottom w:val="single" w:sz="4" w:space="0" w:color="777777"/>
              <w:right w:val="single" w:sz="4" w:space="0" w:color="777777"/>
            </w:tcBorders>
            <w:tcMar>
              <w:top w:w="60" w:type="dxa"/>
              <w:left w:w="80" w:type="dxa"/>
              <w:bottom w:w="60" w:type="dxa"/>
              <w:right w:w="80" w:type="dxa"/>
            </w:tcMar>
            <w:vAlign w:val="center"/>
          </w:tcPr>
          <w:p w:rsidR="00B77B5F" w:rsidRDefault="00000000">
            <w:pPr>
              <w:jc w:val="center"/>
            </w:pPr>
            <w:r>
              <w:rPr>
                <w:color w:val="000000"/>
                <w:sz w:val="24"/>
                <w:szCs w:val="24"/>
                <w:lang w:val="ar-SA"/>
              </w:rPr>
              <w:t>تطوير برمجيات عالي الجودة</w:t>
            </w:r>
          </w:p>
        </w:tc>
      </w:tr>
      <w:tr w:rsidR="00B77B5F">
        <w:trPr>
          <w:jc w:val="center"/>
        </w:trPr>
        <w:tc>
          <w:tcPr>
            <w:tcW w:w="0" w:type="auto"/>
            <w:tcBorders>
              <w:top w:val="single" w:sz="4" w:space="0" w:color="777777"/>
              <w:left w:val="single" w:sz="4" w:space="0" w:color="777777"/>
              <w:bottom w:val="single" w:sz="4" w:space="0" w:color="777777"/>
              <w:right w:val="single" w:sz="4" w:space="0" w:color="777777"/>
            </w:tcBorders>
            <w:shd w:val="clear" w:color="auto" w:fill="F5F8FF"/>
            <w:tcMar>
              <w:top w:w="60" w:type="dxa"/>
              <w:left w:w="80" w:type="dxa"/>
              <w:bottom w:w="60" w:type="dxa"/>
              <w:right w:w="80" w:type="dxa"/>
            </w:tcMar>
            <w:vAlign w:val="center"/>
          </w:tcPr>
          <w:p w:rsidR="00B77B5F" w:rsidRDefault="00000000">
            <w:pPr>
              <w:jc w:val="center"/>
            </w:pPr>
            <w:r>
              <w:rPr>
                <w:color w:val="000000"/>
                <w:sz w:val="24"/>
                <w:szCs w:val="24"/>
                <w:lang w:val="ar-SA"/>
              </w:rPr>
              <w:t>Lean</w:t>
            </w:r>
          </w:p>
        </w:tc>
        <w:tc>
          <w:tcPr>
            <w:tcW w:w="0" w:type="auto"/>
            <w:tcBorders>
              <w:top w:val="single" w:sz="4" w:space="0" w:color="777777"/>
              <w:left w:val="single" w:sz="4" w:space="0" w:color="777777"/>
              <w:bottom w:val="single" w:sz="4" w:space="0" w:color="777777"/>
              <w:right w:val="single" w:sz="4" w:space="0" w:color="777777"/>
            </w:tcBorders>
            <w:shd w:val="clear" w:color="auto" w:fill="F5F8FF"/>
            <w:tcMar>
              <w:top w:w="60" w:type="dxa"/>
              <w:left w:w="80" w:type="dxa"/>
              <w:bottom w:w="60" w:type="dxa"/>
              <w:right w:w="80" w:type="dxa"/>
            </w:tcMar>
            <w:vAlign w:val="center"/>
          </w:tcPr>
          <w:p w:rsidR="00B77B5F" w:rsidRDefault="00000000">
            <w:pPr>
              <w:jc w:val="center"/>
            </w:pPr>
            <w:r>
              <w:rPr>
                <w:color w:val="000000"/>
                <w:sz w:val="24"/>
                <w:szCs w:val="24"/>
                <w:lang w:val="ar-SA"/>
              </w:rPr>
              <w:t>إزالة الهدر، تعزيز القيمة</w:t>
            </w:r>
          </w:p>
        </w:tc>
        <w:tc>
          <w:tcPr>
            <w:tcW w:w="0" w:type="auto"/>
            <w:tcBorders>
              <w:top w:val="single" w:sz="4" w:space="0" w:color="777777"/>
              <w:left w:val="single" w:sz="4" w:space="0" w:color="777777"/>
              <w:bottom w:val="single" w:sz="4" w:space="0" w:color="777777"/>
              <w:right w:val="single" w:sz="4" w:space="0" w:color="777777"/>
            </w:tcBorders>
            <w:shd w:val="clear" w:color="auto" w:fill="F5F8FF"/>
            <w:tcMar>
              <w:top w:w="60" w:type="dxa"/>
              <w:left w:w="80" w:type="dxa"/>
              <w:bottom w:w="60" w:type="dxa"/>
              <w:right w:w="80" w:type="dxa"/>
            </w:tcMar>
            <w:vAlign w:val="center"/>
          </w:tcPr>
          <w:p w:rsidR="00B77B5F" w:rsidRDefault="00000000">
            <w:pPr>
              <w:jc w:val="center"/>
            </w:pPr>
            <w:r>
              <w:rPr>
                <w:color w:val="000000"/>
                <w:sz w:val="24"/>
                <w:szCs w:val="24"/>
                <w:lang w:val="ar-SA"/>
              </w:rPr>
              <w:t>تحسين العمليات</w:t>
            </w:r>
          </w:p>
        </w:tc>
      </w:tr>
      <w:tr w:rsidR="00B77B5F">
        <w:trPr>
          <w:jc w:val="center"/>
        </w:trPr>
        <w:tc>
          <w:tcPr>
            <w:tcW w:w="0" w:type="auto"/>
            <w:tcBorders>
              <w:top w:val="single" w:sz="4" w:space="0" w:color="777777"/>
              <w:left w:val="single" w:sz="4" w:space="0" w:color="777777"/>
              <w:bottom w:val="single" w:sz="4" w:space="0" w:color="777777"/>
              <w:right w:val="single" w:sz="4" w:space="0" w:color="777777"/>
            </w:tcBorders>
            <w:tcMar>
              <w:top w:w="60" w:type="dxa"/>
              <w:left w:w="80" w:type="dxa"/>
              <w:bottom w:w="60" w:type="dxa"/>
              <w:right w:w="80" w:type="dxa"/>
            </w:tcMar>
            <w:vAlign w:val="center"/>
          </w:tcPr>
          <w:p w:rsidR="00B77B5F" w:rsidRDefault="00000000">
            <w:pPr>
              <w:jc w:val="center"/>
            </w:pPr>
            <w:r>
              <w:rPr>
                <w:color w:val="000000"/>
                <w:sz w:val="24"/>
                <w:szCs w:val="24"/>
                <w:lang w:val="ar-SA"/>
              </w:rPr>
              <w:t>SAFe</w:t>
            </w:r>
          </w:p>
        </w:tc>
        <w:tc>
          <w:tcPr>
            <w:tcW w:w="0" w:type="auto"/>
            <w:tcBorders>
              <w:top w:val="single" w:sz="4" w:space="0" w:color="777777"/>
              <w:left w:val="single" w:sz="4" w:space="0" w:color="777777"/>
              <w:bottom w:val="single" w:sz="4" w:space="0" w:color="777777"/>
              <w:right w:val="single" w:sz="4" w:space="0" w:color="777777"/>
            </w:tcBorders>
            <w:tcMar>
              <w:top w:w="60" w:type="dxa"/>
              <w:left w:w="80" w:type="dxa"/>
              <w:bottom w:w="60" w:type="dxa"/>
              <w:right w:w="80" w:type="dxa"/>
            </w:tcMar>
            <w:vAlign w:val="center"/>
          </w:tcPr>
          <w:p w:rsidR="00B77B5F" w:rsidRDefault="00000000">
            <w:pPr>
              <w:jc w:val="center"/>
            </w:pPr>
            <w:r>
              <w:rPr>
                <w:color w:val="000000"/>
                <w:sz w:val="24"/>
                <w:szCs w:val="24"/>
                <w:lang w:val="ar-SA"/>
              </w:rPr>
              <w:t>تطبيق موسَّع متعدد المستويات</w:t>
            </w:r>
          </w:p>
        </w:tc>
        <w:tc>
          <w:tcPr>
            <w:tcW w:w="0" w:type="auto"/>
            <w:tcBorders>
              <w:top w:val="single" w:sz="4" w:space="0" w:color="777777"/>
              <w:left w:val="single" w:sz="4" w:space="0" w:color="777777"/>
              <w:bottom w:val="single" w:sz="4" w:space="0" w:color="777777"/>
              <w:right w:val="single" w:sz="4" w:space="0" w:color="777777"/>
            </w:tcBorders>
            <w:tcMar>
              <w:top w:w="60" w:type="dxa"/>
              <w:left w:w="80" w:type="dxa"/>
              <w:bottom w:w="60" w:type="dxa"/>
              <w:right w:w="80" w:type="dxa"/>
            </w:tcMar>
            <w:vAlign w:val="center"/>
          </w:tcPr>
          <w:p w:rsidR="00B77B5F" w:rsidRDefault="00000000">
            <w:pPr>
              <w:jc w:val="center"/>
            </w:pPr>
            <w:r>
              <w:rPr>
                <w:color w:val="000000"/>
                <w:sz w:val="24"/>
                <w:szCs w:val="24"/>
                <w:lang w:val="ar-SA"/>
              </w:rPr>
              <w:t>المؤسسات الكبيرة</w:t>
            </w:r>
          </w:p>
        </w:tc>
      </w:tr>
    </w:tbl>
    <w:p w:rsidR="00B77B5F" w:rsidRDefault="00000000" w:rsidP="00924A16">
      <w:pPr>
        <w:pStyle w:val="2"/>
        <w:keepNext/>
        <w:jc w:val="left"/>
      </w:pPr>
      <w:bookmarkStart w:id="56" w:name="_Toc233617789"/>
      <w:r>
        <w:rPr>
          <w:lang w:val="ar-SA"/>
        </w:rPr>
        <w:t>8.1.2 تحديات تطبيق Agile في القطاع الحكومي:</w:t>
      </w:r>
      <w:bookmarkEnd w:id="56"/>
    </w:p>
    <w:p w:rsidR="00B77B5F" w:rsidRDefault="00000000">
      <w:pPr>
        <w:keepLines/>
        <w:spacing w:after="120"/>
        <w:ind w:firstLine="284"/>
        <w:jc w:val="both"/>
      </w:pPr>
      <w:r>
        <w:rPr>
          <w:lang w:val="ar-SA"/>
        </w:rPr>
        <w:t>على الرغم من المزايا الواضحة لتطبيق Agile في القطاع الحكومي، إلا أن هذا التطبيق يواجه عددًا من التحديات التي تحدُّ من فاعليته. وقد حدَّدت دراسة (Mergel et al., 2018) أبرز هذه التحديات في القطاع الحكومي:</w:t>
      </w:r>
    </w:p>
    <w:p w:rsidR="00B77B5F" w:rsidRDefault="00000000">
      <w:pPr>
        <w:keepLines/>
        <w:spacing w:after="120"/>
        <w:ind w:firstLine="284"/>
        <w:jc w:val="both"/>
      </w:pPr>
      <w:r>
        <w:rPr>
          <w:b/>
          <w:bCs/>
          <w:lang w:val="ar-SA"/>
        </w:rPr>
        <w:lastRenderedPageBreak/>
        <w:t xml:space="preserve">1. الثقافة البيروقراطية: </w:t>
      </w:r>
      <w:r>
        <w:rPr>
          <w:lang w:val="ar-SA"/>
        </w:rPr>
        <w:t>تتسم المؤسسات الحكومية بثقافةٍ بيروقراطيةٍ تقليديةٍ قائمةٍ على الإجراءات والصلاحيات الهرمية، وهي ثقافةٌ تتعارض مع فلسفة Agile القائمة على التفويض والمرونة.</w:t>
      </w:r>
    </w:p>
    <w:p w:rsidR="00B77B5F" w:rsidRDefault="00000000">
      <w:pPr>
        <w:keepLines/>
        <w:spacing w:after="120"/>
        <w:ind w:firstLine="284"/>
        <w:jc w:val="both"/>
      </w:pPr>
      <w:r>
        <w:rPr>
          <w:b/>
          <w:bCs/>
          <w:lang w:val="ar-SA"/>
        </w:rPr>
        <w:t xml:space="preserve">2. صلابة الإجراءات التنظيمية: </w:t>
      </w:r>
      <w:r>
        <w:rPr>
          <w:lang w:val="ar-SA"/>
        </w:rPr>
        <w:t>تُلزِم اللوائح والأنظمة الحكومية بإجراءاتٍ محدَّدةٍ في إدارة المشاريع، خاصةً فيما يتعلق بالمشتريات والميزانيات، مما يُصعِّب تطبيق نهج Agile المرن.</w:t>
      </w:r>
    </w:p>
    <w:p w:rsidR="00B77B5F" w:rsidRDefault="00000000">
      <w:pPr>
        <w:keepLines/>
        <w:spacing w:after="120"/>
        <w:ind w:firstLine="284"/>
        <w:jc w:val="both"/>
      </w:pPr>
      <w:r>
        <w:rPr>
          <w:b/>
          <w:bCs/>
          <w:lang w:val="ar-SA"/>
        </w:rPr>
        <w:t xml:space="preserve">3. قيود الميزانية الحكومية: </w:t>
      </w:r>
      <w:r>
        <w:rPr>
          <w:lang w:val="ar-SA"/>
        </w:rPr>
        <w:t>تعتمد الميزانيات الحكومية على دورةٍ ماليةٍ سنويةٍ ثابتة، مما يتعارض مع نهج Agile الذي يتطلب مرونةً في تخصيص الموارد.</w:t>
      </w:r>
    </w:p>
    <w:p w:rsidR="00B77B5F" w:rsidRDefault="00000000">
      <w:pPr>
        <w:keepLines/>
        <w:spacing w:after="120"/>
        <w:ind w:firstLine="284"/>
        <w:jc w:val="both"/>
      </w:pPr>
      <w:r>
        <w:rPr>
          <w:b/>
          <w:bCs/>
          <w:lang w:val="ar-SA"/>
        </w:rPr>
        <w:t xml:space="preserve">4. ضعف ثقافة المرونة التنظيمية: </w:t>
      </w:r>
      <w:r>
        <w:rPr>
          <w:lang w:val="ar-SA"/>
        </w:rPr>
        <w:t>تحتاج المؤسسات الحكومية إلى تحوُّلٍ ثقافيٍ شاملٍ نحو الانفتاح على التغيير، وهو تحوُّل يتطلب وقتًا وجهدًا كبيرًا.</w:t>
      </w:r>
    </w:p>
    <w:p w:rsidR="00B77B5F" w:rsidRDefault="00000000">
      <w:pPr>
        <w:keepLines/>
        <w:spacing w:after="120"/>
        <w:ind w:firstLine="284"/>
        <w:jc w:val="both"/>
      </w:pPr>
      <w:r>
        <w:rPr>
          <w:b/>
          <w:bCs/>
          <w:lang w:val="ar-SA"/>
        </w:rPr>
        <w:t xml:space="preserve">5. محدودية التدريب المتخصص: </w:t>
      </w:r>
      <w:r>
        <w:rPr>
          <w:lang w:val="ar-SA"/>
        </w:rPr>
        <w:t>يفتقر كثير من العاملين في القطاع الحكومي إلى التدريب المتخصص في منهجيات Agile، خاصةً مديري المشاريع والإدارات العليا.</w:t>
      </w:r>
    </w:p>
    <w:p w:rsidR="00B77B5F" w:rsidRDefault="00000000">
      <w:pPr>
        <w:keepLines/>
        <w:spacing w:after="120"/>
        <w:ind w:firstLine="284"/>
        <w:jc w:val="both"/>
      </w:pPr>
      <w:r>
        <w:rPr>
          <w:b/>
          <w:bCs/>
          <w:lang w:val="ar-SA"/>
        </w:rPr>
        <w:t xml:space="preserve">6. ضعف البنية التحتية الرقمية: </w:t>
      </w:r>
      <w:r>
        <w:rPr>
          <w:lang w:val="ar-SA"/>
        </w:rPr>
        <w:t>في بعض المؤسسات الحكومية، لا تتوفر الأدوات الرقمية المتخصصة في إدارة المشاريع الرشيقة (مثل Jira وAzure DevOps)، مما يُقيِّد التطبيق الفعلي.</w:t>
      </w:r>
    </w:p>
    <w:p w:rsidR="00B77B5F" w:rsidRDefault="00000000">
      <w:pPr>
        <w:keepLines/>
        <w:spacing w:after="120"/>
        <w:ind w:firstLine="284"/>
        <w:jc w:val="both"/>
      </w:pPr>
      <w:r>
        <w:rPr>
          <w:b/>
          <w:bCs/>
          <w:lang w:val="ar-SA"/>
        </w:rPr>
        <w:t xml:space="preserve">7. متطلبات الشفافية والمساءلة: </w:t>
      </w:r>
      <w:r>
        <w:rPr>
          <w:lang w:val="ar-SA"/>
        </w:rPr>
        <w:t>تخضع المؤسسات الحكومية لمتطلباتٍ صارمةٍ من الشفافية والمساءلة، مما يستلزم توثيقًا تفصيليًا قد يتعارض أحيانًا مع نهج Agile البسيط.</w:t>
      </w:r>
    </w:p>
    <w:p w:rsidR="00B77B5F" w:rsidRDefault="00000000" w:rsidP="00924A16">
      <w:pPr>
        <w:pStyle w:val="2"/>
        <w:keepNext/>
        <w:jc w:val="left"/>
      </w:pPr>
      <w:bookmarkStart w:id="57" w:name="_Toc233617790"/>
      <w:r>
        <w:rPr>
          <w:lang w:val="ar-SA"/>
        </w:rPr>
        <w:t>9.1.2 عوامل نجاح تطبيق Agile في المؤسسات الحكومية:</w:t>
      </w:r>
      <w:bookmarkEnd w:id="57"/>
    </w:p>
    <w:p w:rsidR="00B77B5F" w:rsidRDefault="00000000">
      <w:pPr>
        <w:keepLines/>
        <w:spacing w:after="120"/>
        <w:ind w:firstLine="284"/>
        <w:jc w:val="both"/>
      </w:pPr>
      <w:r>
        <w:rPr>
          <w:lang w:val="ar-SA"/>
        </w:rPr>
        <w:t>في المقابل، حدَّدت دراسة (Vaidya, 2020) عدة عوامل رئيسة لنجاح تطبيق Agile في القطاع الحكومي:</w:t>
      </w:r>
    </w:p>
    <w:p w:rsidR="00B77B5F" w:rsidRDefault="00000000">
      <w:pPr>
        <w:keepLines/>
        <w:spacing w:after="120"/>
        <w:ind w:firstLine="284"/>
        <w:jc w:val="both"/>
      </w:pPr>
      <w:r>
        <w:rPr>
          <w:b/>
          <w:bCs/>
          <w:lang w:val="ar-SA"/>
        </w:rPr>
        <w:t xml:space="preserve">1. دعم الإدارة العليا: </w:t>
      </w:r>
      <w:r>
        <w:rPr>
          <w:lang w:val="ar-SA"/>
        </w:rPr>
        <w:t>يُعدُّ التزام الإدارة العليا ودعمها المتواصل أهم عوامل النجاح، حيث ظهر هذا العامل في 97% من حالات النجاح المدروسة. والإدارة العليا هي التي تُمرِّر السياسات وتُؤمِّن الموارد وتُمكِّن الفرق.</w:t>
      </w:r>
    </w:p>
    <w:p w:rsidR="00B77B5F" w:rsidRDefault="00000000">
      <w:pPr>
        <w:keepLines/>
        <w:spacing w:after="120"/>
        <w:ind w:firstLine="284"/>
        <w:jc w:val="both"/>
      </w:pPr>
      <w:r>
        <w:rPr>
          <w:b/>
          <w:bCs/>
          <w:lang w:val="ar-SA"/>
        </w:rPr>
        <w:t xml:space="preserve">2. التدريب المستمر: </w:t>
      </w:r>
      <w:r>
        <w:rPr>
          <w:lang w:val="ar-SA"/>
        </w:rPr>
        <w:t>ضرورة توفير برامج تدريبٍ متخصِّصةٍ ومستمرةٍ لجميع المستويات الإدارية والتنفيذية، شمل 89% من حالات النجاح. والتدريب يجب أن يكون عمليًا وليس نظريًا فقط.</w:t>
      </w:r>
    </w:p>
    <w:p w:rsidR="00B77B5F" w:rsidRDefault="00000000">
      <w:pPr>
        <w:keepLines/>
        <w:spacing w:after="120"/>
        <w:ind w:firstLine="284"/>
        <w:jc w:val="both"/>
      </w:pPr>
      <w:r>
        <w:rPr>
          <w:b/>
          <w:bCs/>
          <w:lang w:val="ar-SA"/>
        </w:rPr>
        <w:t xml:space="preserve">3. ثقافة الانفتاح على التغيير: </w:t>
      </w:r>
      <w:r>
        <w:rPr>
          <w:lang w:val="ar-SA"/>
        </w:rPr>
        <w:t>بناء ثقافةٍ تنظيميةٍ تُرحِّب بالتغيير وتعتبره فرصةً للتحسين بدلًا من النظر إليه كتهديد، شمل 85% من حالات النجاح.</w:t>
      </w:r>
    </w:p>
    <w:p w:rsidR="00B77B5F" w:rsidRDefault="00000000">
      <w:pPr>
        <w:keepLines/>
        <w:spacing w:after="120"/>
        <w:ind w:firstLine="284"/>
        <w:jc w:val="both"/>
      </w:pPr>
      <w:r>
        <w:rPr>
          <w:b/>
          <w:bCs/>
          <w:lang w:val="ar-SA"/>
        </w:rPr>
        <w:t xml:space="preserve">4. إشراك أصحاب المصلحة: </w:t>
      </w:r>
      <w:r>
        <w:rPr>
          <w:lang w:val="ar-SA"/>
        </w:rPr>
        <w:t>تفعيل دور أصحاب المصلحة في جميع مراحل المشروع، شمل 82% من حالات النجاح. والإشراك المبكر يضمن أن المخرجات تلبِّي التوقعات.</w:t>
      </w:r>
    </w:p>
    <w:p w:rsidR="00B77B5F" w:rsidRDefault="00000000">
      <w:pPr>
        <w:keepLines/>
        <w:spacing w:after="120"/>
        <w:ind w:firstLine="284"/>
        <w:jc w:val="both"/>
      </w:pPr>
      <w:r>
        <w:rPr>
          <w:b/>
          <w:bCs/>
          <w:lang w:val="ar-SA"/>
        </w:rPr>
        <w:lastRenderedPageBreak/>
        <w:t xml:space="preserve">5. توفير الأدوات والتقنيات الرقمية: </w:t>
      </w:r>
      <w:r>
        <w:rPr>
          <w:lang w:val="ar-SA"/>
        </w:rPr>
        <w:t>ضرورة الاستثمار في الأدوات الرقمية المتخصِّصة، شمل 78% من حالات النجاح. هذه الأدوات تُمكِّن من الشفافية وتتبع التقدم بكفاءة.</w:t>
      </w:r>
    </w:p>
    <w:p w:rsidR="00B77B5F" w:rsidRDefault="00000000">
      <w:pPr>
        <w:keepLines/>
        <w:spacing w:after="120"/>
        <w:ind w:firstLine="284"/>
        <w:jc w:val="both"/>
      </w:pPr>
      <w:r>
        <w:rPr>
          <w:b/>
          <w:bCs/>
          <w:lang w:val="ar-SA"/>
        </w:rPr>
        <w:t xml:space="preserve">6. تطبيق نهج تدريجي وهجين: </w:t>
      </w:r>
      <w:r>
        <w:rPr>
          <w:lang w:val="ar-SA"/>
        </w:rPr>
        <w:t>اعتماد نهجٍ تدريجيٍ في الانتقال إلى Agile، يجمع بين Agile والمنهجية التقليدية حسب طبيعة المشروع، أكثر فاعليةً من الانتقال الكامل دفعةً واحدةً (Edison et al., 2022).</w:t>
      </w:r>
    </w:p>
    <w:p w:rsidR="00B77B5F" w:rsidRDefault="00000000" w:rsidP="00924A16">
      <w:pPr>
        <w:pStyle w:val="1"/>
        <w:keepNext/>
        <w:pageBreakBefore/>
        <w:jc w:val="left"/>
      </w:pPr>
      <w:bookmarkStart w:id="58" w:name="_Toc233617791"/>
      <w:r>
        <w:rPr>
          <w:lang w:val="ar-SA"/>
        </w:rPr>
        <w:lastRenderedPageBreak/>
        <w:t>المبحث الثاني: نجاح المشاريع</w:t>
      </w:r>
      <w:bookmarkEnd w:id="58"/>
    </w:p>
    <w:p w:rsidR="00B77B5F" w:rsidRDefault="00000000" w:rsidP="00924A16">
      <w:pPr>
        <w:pStyle w:val="2"/>
        <w:keepNext/>
        <w:jc w:val="left"/>
      </w:pPr>
      <w:bookmarkStart w:id="59" w:name="_Toc233617792"/>
      <w:r>
        <w:rPr>
          <w:lang w:val="ar-SA"/>
        </w:rPr>
        <w:t>1.2.2 مقدمة:</w:t>
      </w:r>
      <w:bookmarkEnd w:id="59"/>
    </w:p>
    <w:p w:rsidR="00B77B5F" w:rsidRDefault="00000000">
      <w:pPr>
        <w:keepLines/>
        <w:spacing w:after="120"/>
        <w:ind w:firstLine="284"/>
        <w:jc w:val="both"/>
      </w:pPr>
      <w:r>
        <w:rPr>
          <w:lang w:val="ar-SA"/>
        </w:rPr>
        <w:t>يُعدُّ مفهوم نجاح المشروع من المفاهيم المحورية في أدبيات إدارة المشاريع، إذ يُمثِّل المعيار الذي تُقاس به فاعلية ممارسات إدارة المشروع. وقد تطوَّر هذا المفهوم عبر العقود الماضية من نظرةٍ ضيقةٍ مركزةٍ على المثلث الذهبي (الوقت والتكلفة والجودة) إلى نظرةٍ شاملةٍ تأخذ في الاعتبار أبعادًا متعددةً تشمل رضا أصحاب المصلحة وتحقيق الأهداف الاستراتيجية وغيرها.</w:t>
      </w:r>
    </w:p>
    <w:p w:rsidR="00B77B5F" w:rsidRDefault="00000000" w:rsidP="00924A16">
      <w:pPr>
        <w:pStyle w:val="2"/>
        <w:keepNext/>
        <w:jc w:val="left"/>
      </w:pPr>
      <w:bookmarkStart w:id="60" w:name="_Toc233617793"/>
      <w:r>
        <w:rPr>
          <w:lang w:val="ar-SA"/>
        </w:rPr>
        <w:t>2.2.2 مفهوم نجاح المشروع:</w:t>
      </w:r>
      <w:bookmarkEnd w:id="60"/>
    </w:p>
    <w:p w:rsidR="00B77B5F" w:rsidRDefault="00000000">
      <w:pPr>
        <w:keepLines/>
        <w:spacing w:after="120"/>
        <w:ind w:firstLine="284"/>
        <w:jc w:val="both"/>
      </w:pPr>
      <w:r>
        <w:rPr>
          <w:lang w:val="ar-SA"/>
        </w:rPr>
        <w:t>تعدَّدت تعريفات نجاح المشروع في الأدبيات الإدارية، إلا أن جميعها تتفق على أن النجاح يتجاوز مجرد إنجاز المشروع في الوقت المحدد. ويُعرِّف (Pinto &amp; Slevin, 1988) نجاح المشروع بأنه "تحقيق المشروع لأهدافه المخطَّطة من حيث الوقت والتكلفة والجودة، مع رضا أصحاب المصلحة الرئيسيين".</w:t>
      </w:r>
    </w:p>
    <w:p w:rsidR="00B77B5F" w:rsidRDefault="00000000">
      <w:pPr>
        <w:keepLines/>
        <w:spacing w:after="120"/>
        <w:ind w:firstLine="284"/>
        <w:jc w:val="both"/>
      </w:pPr>
      <w:r>
        <w:rPr>
          <w:lang w:val="ar-SA"/>
        </w:rPr>
        <w:t>ويُعرِّف معهد إدارة المشاريع نجاح المشروع المعاصر بأنه "تحقيق أهداف المشروع، ورضا أصحاب المصلحة، وتحقيق القيمة المستهدفة" (Project Management Institute, 2021). وقد أكَّد الإصدار السابع من دليل PMBOK على ضرورة الانتقال من التركيز على المخرجات (Outputs) إلى التركيز على النتائج (Outcomes) والقيمة (Value).</w:t>
      </w:r>
    </w:p>
    <w:p w:rsidR="00B77B5F" w:rsidRDefault="00000000" w:rsidP="00924A16">
      <w:pPr>
        <w:pStyle w:val="2"/>
        <w:keepNext/>
        <w:jc w:val="left"/>
      </w:pPr>
      <w:bookmarkStart w:id="61" w:name="_Toc233617794"/>
      <w:r>
        <w:rPr>
          <w:lang w:val="ar-SA"/>
        </w:rPr>
        <w:t>3.2.2 تطور مفهوم نجاح المشروع:</w:t>
      </w:r>
      <w:bookmarkEnd w:id="61"/>
    </w:p>
    <w:p w:rsidR="00B77B5F" w:rsidRDefault="00000000">
      <w:pPr>
        <w:keepLines/>
        <w:spacing w:after="120"/>
        <w:ind w:firstLine="284"/>
        <w:jc w:val="both"/>
      </w:pPr>
      <w:r>
        <w:rPr>
          <w:lang w:val="ar-SA"/>
        </w:rPr>
        <w:t>مرَّ مفهوم نجاح المشروع بعدة مراحل تطورية عبر العقود الماضية:</w:t>
      </w:r>
    </w:p>
    <w:p w:rsidR="00B77B5F" w:rsidRDefault="00000000">
      <w:pPr>
        <w:keepLines/>
        <w:spacing w:after="120"/>
        <w:ind w:firstLine="284"/>
        <w:jc w:val="both"/>
      </w:pPr>
      <w:r>
        <w:rPr>
          <w:b/>
          <w:bCs/>
          <w:lang w:val="ar-SA"/>
        </w:rPr>
        <w:t xml:space="preserve">المرحلة الأولى (1960-1980) - النظرة التقليدية: </w:t>
      </w:r>
      <w:r>
        <w:rPr>
          <w:lang w:val="ar-SA"/>
        </w:rPr>
        <w:t>اقتصر مفهوم نجاح المشروع على "المثلث الذهبي" الذي يضم ثلاثة عناصر: الوقت، والتكلفة، والنطاق/الجودة. وكان المشروع يُعتبر ناجحًا إذا أُنجِز في الوقت والميزانية والجودة المتفق عليها.</w:t>
      </w:r>
    </w:p>
    <w:p w:rsidR="00B77B5F" w:rsidRDefault="00000000">
      <w:pPr>
        <w:keepLines/>
        <w:spacing w:after="120"/>
        <w:ind w:firstLine="284"/>
        <w:jc w:val="both"/>
      </w:pPr>
      <w:r>
        <w:rPr>
          <w:b/>
          <w:bCs/>
          <w:lang w:val="ar-SA"/>
        </w:rPr>
        <w:t xml:space="preserve">المرحلة الثانية (1980-2000) - إدخال رضا أصحاب المصلحة: </w:t>
      </w:r>
      <w:r>
        <w:rPr>
          <w:lang w:val="ar-SA"/>
        </w:rPr>
        <w:t>أضاف الباحثون مثل Pinto و Slevin بُعدًا جديدًا هو رضا أصحاب المصلحة، حيث اكتُشف أن المشاريع التي تحقق المثلث الذهبي قد تفشل إذا لم يرضَ عنها العملاء أو المستخدمون.</w:t>
      </w:r>
    </w:p>
    <w:p w:rsidR="00B77B5F" w:rsidRDefault="00000000">
      <w:pPr>
        <w:keepLines/>
        <w:spacing w:after="120"/>
        <w:ind w:firstLine="284"/>
        <w:jc w:val="both"/>
      </w:pPr>
      <w:r>
        <w:rPr>
          <w:b/>
          <w:bCs/>
          <w:lang w:val="ar-SA"/>
        </w:rPr>
        <w:t xml:space="preserve">المرحلة الثالثة (2000-2015) - منظور أصحاب المصلحة المتعدِّدين: </w:t>
      </w:r>
      <w:r>
        <w:rPr>
          <w:lang w:val="ar-SA"/>
        </w:rPr>
        <w:t>اتسع المفهوم ليشمل رضا جميع أصحاب المصلحة (المشغلين، الموظفين، الموردين، المجتمع)، وليس العملاء فقط. كما أُدخِلت أبعاد المنفعة طويلة المدى.</w:t>
      </w:r>
    </w:p>
    <w:p w:rsidR="00B77B5F" w:rsidRDefault="00000000">
      <w:pPr>
        <w:keepLines/>
        <w:spacing w:after="120"/>
        <w:ind w:firstLine="284"/>
        <w:jc w:val="both"/>
      </w:pPr>
      <w:r>
        <w:rPr>
          <w:b/>
          <w:bCs/>
          <w:lang w:val="ar-SA"/>
        </w:rPr>
        <w:lastRenderedPageBreak/>
        <w:t xml:space="preserve">المرحلة الرابعة (2015-حتى الآن) - منظور القيمة والأهداف الاستراتيجية: </w:t>
      </w:r>
      <w:r>
        <w:rPr>
          <w:lang w:val="ar-SA"/>
        </w:rPr>
        <w:t>أصبح النجاح يُقاس بمدى تحقيق القيمة الاستراتيجية للمؤسسة، وليس فقط بإنجاز المشروع نفسه. وقد أكَّد الإصدار السابع من PMBOK (2021) هذا التحوُّل.</w:t>
      </w:r>
    </w:p>
    <w:p w:rsidR="00B77B5F" w:rsidRDefault="00000000" w:rsidP="00924A16">
      <w:pPr>
        <w:pStyle w:val="2"/>
        <w:keepNext/>
        <w:jc w:val="left"/>
      </w:pPr>
      <w:bookmarkStart w:id="62" w:name="_Toc233617795"/>
      <w:r>
        <w:rPr>
          <w:lang w:val="ar-SA"/>
        </w:rPr>
        <w:t>4.2.2 أهمية قياس نجاح المشاريع:</w:t>
      </w:r>
      <w:bookmarkEnd w:id="62"/>
    </w:p>
    <w:p w:rsidR="00B77B5F" w:rsidRDefault="00000000">
      <w:pPr>
        <w:keepLines/>
        <w:spacing w:after="120"/>
        <w:ind w:firstLine="284"/>
        <w:jc w:val="both"/>
      </w:pPr>
      <w:r>
        <w:rPr>
          <w:lang w:val="ar-SA"/>
        </w:rPr>
        <w:t>تتمحور أهمية قياس نجاح المشاريع حول عدة جوانب:</w:t>
      </w:r>
    </w:p>
    <w:p w:rsidR="00B77B5F" w:rsidRDefault="00000000" w:rsidP="00924A16">
      <w:pPr>
        <w:spacing w:after="80"/>
        <w:ind w:right="568"/>
      </w:pPr>
      <w:r>
        <w:rPr>
          <w:lang w:val="ar-SA"/>
        </w:rPr>
        <w:t>• تقييم فاعلية المنهجيات والأساليب الإدارية المستخدمة في إدارة المشاريع.</w:t>
      </w:r>
    </w:p>
    <w:p w:rsidR="00B77B5F" w:rsidRDefault="00000000" w:rsidP="00924A16">
      <w:pPr>
        <w:spacing w:after="80"/>
        <w:ind w:right="568"/>
      </w:pPr>
      <w:r>
        <w:rPr>
          <w:lang w:val="ar-SA"/>
        </w:rPr>
        <w:t>• تحديد نقاط القوة والضعف في عمليات إدارة المشروع لتطويرها مستقبلًا.</w:t>
      </w:r>
    </w:p>
    <w:p w:rsidR="00B77B5F" w:rsidRDefault="00000000" w:rsidP="00924A16">
      <w:pPr>
        <w:spacing w:after="80"/>
        <w:ind w:right="568"/>
      </w:pPr>
      <w:r>
        <w:rPr>
          <w:lang w:val="ar-SA"/>
        </w:rPr>
        <w:t>• توفير قاعدةٍ معرفيةٍ لاتخاذ القرارات في المشاريع المستقبلية.</w:t>
      </w:r>
    </w:p>
    <w:p w:rsidR="00B77B5F" w:rsidRDefault="00000000" w:rsidP="00924A16">
      <w:pPr>
        <w:spacing w:after="80"/>
        <w:ind w:right="568"/>
      </w:pPr>
      <w:r>
        <w:rPr>
          <w:lang w:val="ar-SA"/>
        </w:rPr>
        <w:t>• تعزيز التعلم المؤسسي وتراكم الخبرات والدروس المستفادة.</w:t>
      </w:r>
    </w:p>
    <w:p w:rsidR="00B77B5F" w:rsidRDefault="00000000" w:rsidP="00924A16">
      <w:pPr>
        <w:spacing w:after="80"/>
        <w:ind w:right="568"/>
      </w:pPr>
      <w:r>
        <w:rPr>
          <w:lang w:val="ar-SA"/>
        </w:rPr>
        <w:t>• تحسين كفاءة الإنفاق وعائد الاستثمار في المشاريع.</w:t>
      </w:r>
    </w:p>
    <w:p w:rsidR="00B77B5F" w:rsidRDefault="00000000" w:rsidP="00924A16">
      <w:pPr>
        <w:spacing w:after="80"/>
        <w:ind w:right="568"/>
      </w:pPr>
      <w:r>
        <w:rPr>
          <w:lang w:val="ar-SA"/>
        </w:rPr>
        <w:t>• دعم المساءلة والشفافية أمام أصحاب المصلحة.</w:t>
      </w:r>
    </w:p>
    <w:p w:rsidR="00B77B5F" w:rsidRDefault="00000000" w:rsidP="00924A16">
      <w:pPr>
        <w:spacing w:after="80"/>
        <w:ind w:right="568"/>
      </w:pPr>
      <w:r>
        <w:rPr>
          <w:lang w:val="ar-SA"/>
        </w:rPr>
        <w:t>• تطوير القدرات المؤسسية في إدارة المشاريع.</w:t>
      </w:r>
    </w:p>
    <w:p w:rsidR="00B77B5F" w:rsidRDefault="00000000" w:rsidP="00924A16">
      <w:pPr>
        <w:pStyle w:val="2"/>
        <w:keepNext/>
        <w:jc w:val="left"/>
      </w:pPr>
      <w:bookmarkStart w:id="63" w:name="_Toc233617796"/>
      <w:r>
        <w:rPr>
          <w:lang w:val="ar-SA"/>
        </w:rPr>
        <w:t>5.2.2 أبعاد نجاح المشروع:</w:t>
      </w:r>
      <w:bookmarkEnd w:id="63"/>
    </w:p>
    <w:p w:rsidR="00B77B5F" w:rsidRDefault="00000000">
      <w:pPr>
        <w:keepLines/>
        <w:spacing w:after="120"/>
        <w:ind w:firstLine="284"/>
        <w:jc w:val="both"/>
      </w:pPr>
      <w:r>
        <w:rPr>
          <w:lang w:val="ar-SA"/>
        </w:rPr>
        <w:t>بناءً على مراجعة الأدبيات، يُمكن تحديد خمسة أبعادٍ رئيسةٍ لنجاح المشروع، وقد اعتُمدت في الدراسة الحالية:</w:t>
      </w:r>
    </w:p>
    <w:p w:rsidR="00B77B5F" w:rsidRDefault="00000000">
      <w:pPr>
        <w:keepLines/>
        <w:spacing w:after="120"/>
        <w:ind w:firstLine="284"/>
        <w:jc w:val="both"/>
      </w:pPr>
      <w:r>
        <w:rPr>
          <w:b/>
          <w:bCs/>
          <w:lang w:val="ar-SA"/>
        </w:rPr>
        <w:t xml:space="preserve">البُعد الأول: الالتزام بالوقت (Time Adherence): </w:t>
      </w:r>
      <w:r>
        <w:rPr>
          <w:lang w:val="ar-SA"/>
        </w:rPr>
        <w:t>يُشير إلى قدرة المشروع على الإنجاز في الوقت المخطَّط له، مع تحديد مواعيد التسليم المرحلية بدقةٍ والالتزام بها، والإبلاغ المبكر عن التأخيرات والتعامل معها بفاعلية. ويُعدُّ هذا البُعد من أقدم معايير نجاح المشروع وأكثرها استخدامًا.</w:t>
      </w:r>
    </w:p>
    <w:p w:rsidR="00B77B5F" w:rsidRDefault="00000000">
      <w:pPr>
        <w:keepLines/>
        <w:spacing w:after="120"/>
        <w:ind w:firstLine="284"/>
        <w:jc w:val="both"/>
      </w:pPr>
      <w:r>
        <w:rPr>
          <w:b/>
          <w:bCs/>
          <w:lang w:val="ar-SA"/>
        </w:rPr>
        <w:t xml:space="preserve">البُعد الثاني: الالتزام بالميزانية (Budget Adherence): </w:t>
      </w:r>
      <w:r>
        <w:rPr>
          <w:lang w:val="ar-SA"/>
        </w:rPr>
        <w:t>يتضمَّن إنجاز المشروع ضمن الميزانية المعتمدة، ومراقبة التكاليف بصفةٍ منتظمةٍ طوال دورة حياة المشروع، وتوفير معلوماتٍ ماليةٍ كافيةٍ للفريق لاتخاذ قراراتٍ رشيدة. ويرتبط هذا البُعد بكفاءة استخدام الموارد.</w:t>
      </w:r>
    </w:p>
    <w:p w:rsidR="00B77B5F" w:rsidRDefault="00000000">
      <w:pPr>
        <w:keepLines/>
        <w:spacing w:after="120"/>
        <w:ind w:firstLine="284"/>
        <w:jc w:val="both"/>
      </w:pPr>
      <w:r>
        <w:rPr>
          <w:b/>
          <w:bCs/>
          <w:lang w:val="ar-SA"/>
        </w:rPr>
        <w:t xml:space="preserve">البُعد الثالث: جودة المخرجات (Output Quality): </w:t>
      </w:r>
      <w:r>
        <w:rPr>
          <w:lang w:val="ar-SA"/>
        </w:rPr>
        <w:t>يشمل تحقيق المخرجات للمعايير والمواصفات المحدَّدة، والكشف المبكر عن الأخطاء وتصحيحها من خلال التسليم المتكرر، واستخدام معاييرَ موضوعيةٍ لقياس الجودة في كل مرحلة. وتُعدُّ الجودة معيارًا حاسمًا في تقييم النجاح.</w:t>
      </w:r>
    </w:p>
    <w:p w:rsidR="00B77B5F" w:rsidRDefault="00000000">
      <w:pPr>
        <w:keepLines/>
        <w:spacing w:after="120"/>
        <w:ind w:firstLine="284"/>
        <w:jc w:val="both"/>
      </w:pPr>
      <w:r>
        <w:rPr>
          <w:b/>
          <w:bCs/>
          <w:lang w:val="ar-SA"/>
        </w:rPr>
        <w:t xml:space="preserve">البُعد الرابع: رضا أصحاب المصلحة (Stakeholder Satisfaction): </w:t>
      </w:r>
      <w:r>
        <w:rPr>
          <w:lang w:val="ar-SA"/>
        </w:rPr>
        <w:t>يتمثَّل في إعراب أصحاب المصلحة عن رضاهم عن نتائج المشاريع، واستجابة المؤسسة لملاحظاتهم ودمجها في المشروع بسرعة، وتحقيق المشروع للقيمة المتوقعة. ويُعدُّ هذا البُعد من أهم محددات النجاح في المنظور الحديث.</w:t>
      </w:r>
    </w:p>
    <w:p w:rsidR="00B77B5F" w:rsidRDefault="00000000">
      <w:pPr>
        <w:keepLines/>
        <w:spacing w:after="120"/>
        <w:ind w:firstLine="284"/>
        <w:jc w:val="both"/>
      </w:pPr>
      <w:r>
        <w:rPr>
          <w:b/>
          <w:bCs/>
          <w:lang w:val="ar-SA"/>
        </w:rPr>
        <w:lastRenderedPageBreak/>
        <w:t xml:space="preserve">البُعد الخامس: تحقيق الأهداف الاستراتيجية (Strategic Goals Achievement): </w:t>
      </w:r>
      <w:r>
        <w:rPr>
          <w:lang w:val="ar-SA"/>
        </w:rPr>
        <w:t>يشمل توافق مخرجات المشروع مع الأهداف الاستراتيجية للمؤسسة، وتحقيق الفائدة المرجوة منه بعد اكتمال تسليمه، والإسهام في تعزيز التوافق مع الأولويات المؤسسية. ويُمثِّل هذا البُعد المنظور الأكثر شموليةً للنجاح.</w:t>
      </w:r>
    </w:p>
    <w:p w:rsidR="00B77B5F" w:rsidRDefault="00000000" w:rsidP="00924A16">
      <w:pPr>
        <w:pStyle w:val="2"/>
        <w:keepNext/>
        <w:jc w:val="left"/>
      </w:pPr>
      <w:bookmarkStart w:id="64" w:name="_Toc233617797"/>
      <w:r>
        <w:rPr>
          <w:lang w:val="ar-SA"/>
        </w:rPr>
        <w:t>6.2.2 العلاقة النظرية بين تطبيق Agile ونجاح المشاريع:</w:t>
      </w:r>
      <w:bookmarkEnd w:id="64"/>
    </w:p>
    <w:p w:rsidR="00B77B5F" w:rsidRDefault="00000000">
      <w:pPr>
        <w:keepLines/>
        <w:spacing w:after="120"/>
        <w:ind w:firstLine="284"/>
        <w:jc w:val="both"/>
      </w:pPr>
      <w:r>
        <w:rPr>
          <w:lang w:val="ar-SA"/>
        </w:rPr>
        <w:t>تشير الأدبيات إلى وجود علاقةٍ إيجابيةٍ نظريةٍ متينةٍ بين تطبيق منهجيات Agile ونجاح المشاريع. ويُمكن تفسير هذه العلاقة من خلال عدة آليات:</w:t>
      </w:r>
    </w:p>
    <w:p w:rsidR="00B77B5F" w:rsidRDefault="00000000">
      <w:pPr>
        <w:keepLines/>
        <w:spacing w:after="120"/>
        <w:ind w:firstLine="284"/>
        <w:jc w:val="both"/>
      </w:pPr>
      <w:r>
        <w:rPr>
          <w:b/>
          <w:bCs/>
          <w:lang w:val="ar-SA"/>
        </w:rPr>
        <w:t xml:space="preserve">أولًا: علاقة Agile بالالتزام بالوقت. </w:t>
      </w:r>
      <w:r>
        <w:rPr>
          <w:lang w:val="ar-SA"/>
        </w:rPr>
        <w:t>يُسهم التخطيط التكيُّفي في Agile في تحسين الالتزام بالوقت عبر تقسيم المشروع إلى دوراتٍ قصيرة، مما يُسهِّل تتبع التقدم والكشف المبكر عن أي تأخير. كما تُساعد الاجتماعات اليومية القصيرة على رصد العقبات وحلها بسرعة.</w:t>
      </w:r>
    </w:p>
    <w:p w:rsidR="00B77B5F" w:rsidRDefault="00000000">
      <w:pPr>
        <w:keepLines/>
        <w:spacing w:after="120"/>
        <w:ind w:firstLine="284"/>
        <w:jc w:val="both"/>
      </w:pPr>
      <w:r>
        <w:rPr>
          <w:b/>
          <w:bCs/>
          <w:lang w:val="ar-SA"/>
        </w:rPr>
        <w:t xml:space="preserve">ثانيًا: علاقة Agile بالالتزام بالميزانية. </w:t>
      </w:r>
      <w:r>
        <w:rPr>
          <w:lang w:val="ar-SA"/>
        </w:rPr>
        <w:t>يُسهم نهج التسليم المتكرر في Agile في ضبط التكاليف من خلال إمكانية إلغاء أو تعديل المشروع في أي مرحلة دون الحاجة لإكمال الميزانية كاملةً. كما تُمكِّن المراجعات الدورية من ترشيد الإنفاق.</w:t>
      </w:r>
    </w:p>
    <w:p w:rsidR="00B77B5F" w:rsidRDefault="00000000">
      <w:pPr>
        <w:keepLines/>
        <w:spacing w:after="120"/>
        <w:ind w:firstLine="284"/>
        <w:jc w:val="both"/>
      </w:pPr>
      <w:r>
        <w:rPr>
          <w:b/>
          <w:bCs/>
          <w:lang w:val="ar-SA"/>
        </w:rPr>
        <w:t xml:space="preserve">ثالثًا: علاقة Agile بجودة المخرجات. </w:t>
      </w:r>
      <w:r>
        <w:rPr>
          <w:lang w:val="ar-SA"/>
        </w:rPr>
        <w:t>تُعدُّ الجودة من أكثر الأبعاد تأثُّرًا بـ Agile، حيث يُسهم التسليم المتكرر واختبار الجودة المستمر في الكشف المبكر عن الأخطاء وتصحيحها، مما يرفع جودة المنتج النهائي.</w:t>
      </w:r>
    </w:p>
    <w:p w:rsidR="00B77B5F" w:rsidRDefault="00000000">
      <w:pPr>
        <w:keepLines/>
        <w:spacing w:after="120"/>
        <w:ind w:firstLine="284"/>
        <w:jc w:val="both"/>
      </w:pPr>
      <w:r>
        <w:rPr>
          <w:b/>
          <w:bCs/>
          <w:lang w:val="ar-SA"/>
        </w:rPr>
        <w:t xml:space="preserve">رابعًا: علاقة Agile برضا أصحاب المصلحة. </w:t>
      </w:r>
      <w:r>
        <w:rPr>
          <w:lang w:val="ar-SA"/>
        </w:rPr>
        <w:t>يُمثِّل إشراك أصحاب المصلحة جوهر Agile، حيث يُتاح لهم تقييم المخرجات في كل مرحلة وتقديم الملاحظات، مما يضمن أن المنتج النهائي يلبِّي توقعاتهم.</w:t>
      </w:r>
    </w:p>
    <w:p w:rsidR="00B77B5F" w:rsidRDefault="00000000">
      <w:pPr>
        <w:keepLines/>
        <w:spacing w:after="120"/>
        <w:ind w:firstLine="284"/>
        <w:jc w:val="both"/>
      </w:pPr>
      <w:r>
        <w:rPr>
          <w:b/>
          <w:bCs/>
          <w:lang w:val="ar-SA"/>
        </w:rPr>
        <w:t xml:space="preserve">خامسًا: علاقة Agile بالأهداف الاستراتيجية. </w:t>
      </w:r>
      <w:r>
        <w:rPr>
          <w:lang w:val="ar-SA"/>
        </w:rPr>
        <w:t>يُسهم نهج Agile في تعزيز التوافق مع الأهداف الاستراتيجية من خلال المراجعات الدورية للأولويات والتأكد من أن المشروع لا يزال يخدم الاستراتيجية.</w:t>
      </w:r>
    </w:p>
    <w:p w:rsidR="00B77B5F" w:rsidRDefault="00000000">
      <w:pPr>
        <w:keepLines/>
        <w:spacing w:after="120"/>
        <w:ind w:firstLine="284"/>
        <w:jc w:val="both"/>
      </w:pPr>
      <w:r>
        <w:rPr>
          <w:lang w:val="ar-SA"/>
        </w:rPr>
        <w:t>وقد أكَّدت دراساتٌ عدة (Serrador &amp; Pinto, 2015؛ Conforto et al., 2016؛ Niederman et al., 2018) أن هذه العلاقة موجبةٌ وذات دلالةٍ إحصائيةٍ في عددٍ من السياقات. ومع ذلك، تجدر الإشارة إلى أن نجاح تطبيق Agile يعتمد على عواملَ متعددة، منها: ثقافة المؤسسة، ومستوى نضج فرق العمل، وطبيعة المشروع، وتوفُّر الأدوات المناسبة، ومدى التزام الإدارة العليا. وفي البيئات الحكومية تحديدًا، قد تظهر تحدياتٌ إضافيةٌ مرتبطةٌ بالبيروقراطية وصلابة الإجراءات.</w:t>
      </w:r>
    </w:p>
    <w:p w:rsidR="00B77B5F" w:rsidRDefault="00000000" w:rsidP="00924A16">
      <w:pPr>
        <w:pStyle w:val="2"/>
        <w:keepNext/>
        <w:jc w:val="left"/>
      </w:pPr>
      <w:bookmarkStart w:id="65" w:name="_Toc233617798"/>
      <w:r>
        <w:rPr>
          <w:lang w:val="ar-SA"/>
        </w:rPr>
        <w:lastRenderedPageBreak/>
        <w:t>7.2.2 خاتمة الفصل:</w:t>
      </w:r>
      <w:bookmarkEnd w:id="65"/>
    </w:p>
    <w:p w:rsidR="00B77B5F" w:rsidRDefault="00000000">
      <w:pPr>
        <w:keepLines/>
        <w:spacing w:after="120"/>
        <w:ind w:firstLine="284"/>
        <w:jc w:val="both"/>
      </w:pPr>
      <w:r>
        <w:rPr>
          <w:lang w:val="ar-SA"/>
        </w:rPr>
        <w:t>تناول هذا الفصل الإطار النظري للدراسة، حيث تم في المبحث الأول استعراض مفهوم إدارة المشاريع الرشيقة Agile ونشأتها وقيمها ومبادئها ومنهجياتها المختلفة (Scrum، Kanban، XP، Lean، SAFe)، وتحديات تطبيقها في القطاع الحكومي وعوامل نجاحها. وفي المبحث الثاني، تم تناول مفهوم نجاح المشاريع وتطوره عبر العقود، وأبعاده الخمسة المعتمدة في الدراسة، والعلاقة النظرية بين تطبيق Agile ونجاح المشاريع. وستُختبر هذه العلاقة عمليًا في الفصول اللاحقة بالاستناد إلى البيانات الميدانية التي جمعها الباحث من العاملين في المؤسسات الحكومية السعودية.</w:t>
      </w:r>
    </w:p>
    <w:sectPr w:rsidR="00B77B5F">
      <w:footerReference w:type="default" r:id="rId7"/>
      <w:pgSz w:w="11906" w:h="16838"/>
      <w:pgMar w:top="1134" w:right="1701" w:bottom="1134" w:left="1134" w:header="708" w:footer="708" w:gutter="0"/>
      <w:pgNumType w:start="1"/>
      <w:cols w:space="720"/>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5B493F" w:rsidRDefault="005B493F">
      <w:r>
        <w:separator/>
      </w:r>
    </w:p>
  </w:endnote>
  <w:endnote w:type="continuationSeparator" w:id="0">
    <w:p w:rsidR="005B493F" w:rsidRDefault="005B49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implified Arabic">
    <w:panose1 w:val="02020603050405020304"/>
    <w:charset w:val="B2"/>
    <w:family w:val="roman"/>
    <w:pitch w:val="variable"/>
    <w:sig w:usb0="00002003" w:usb1="80000000" w:usb2="00000008" w:usb3="00000000" w:csb0="0000004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B77B5F" w:rsidRDefault="00000000">
    <w:pPr>
      <w:jc w:val="center"/>
    </w:pPr>
    <w:r>
      <w:rPr>
        <w:sz w:val="24"/>
        <w:szCs w:val="24"/>
        <w:cs/>
        <w:lang w:val="ar-SA"/>
      </w:rPr>
      <w:fldChar w:fldCharType="begin"/>
    </w:r>
    <w:r>
      <w:rPr>
        <w:sz w:val="24"/>
        <w:szCs w:val="24"/>
        <w:cs/>
        <w:lang w:val="ar-SA"/>
      </w:rPr>
      <w:instrText xml:space="preserve"> PAGE   \* MERGEFORMAT </w:instrText>
    </w:r>
    <w:r>
      <w:rPr>
        <w:sz w:val="24"/>
        <w:szCs w:val="24"/>
        <w:cs/>
        <w:lang w:val="ar-SA"/>
      </w:rPr>
      <w:fldChar w:fldCharType="separate"/>
    </w:r>
    <w:r>
      <w:rPr>
        <w:sz w:val="24"/>
        <w:szCs w:val="24"/>
        <w:cs/>
        <w:lang w:val="ar-SA"/>
      </w:rPr>
      <w:t>١</w:t>
    </w:r>
    <w:r>
      <w:rPr>
        <w:sz w:val="24"/>
        <w:szCs w:val="24"/>
        <w:cs/>
        <w:lang w:val="ar-SA"/>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5B493F" w:rsidRDefault="005B493F">
      <w:r>
        <w:separator/>
      </w:r>
    </w:p>
  </w:footnote>
  <w:footnote w:type="continuationSeparator" w:id="0">
    <w:p w:rsidR="005B493F" w:rsidRDefault="005B493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BE073A"/>
    <w:multiLevelType w:val="hybridMultilevel"/>
    <w:tmpl w:val="B5B80644"/>
    <w:lvl w:ilvl="0" w:tplc="BE2057E0">
      <w:start w:val="1"/>
      <w:numFmt w:val="bullet"/>
      <w:lvlText w:val="●"/>
      <w:lvlJc w:val="left"/>
      <w:pPr>
        <w:ind w:left="720" w:hanging="360"/>
      </w:pPr>
    </w:lvl>
    <w:lvl w:ilvl="1" w:tplc="C3F2BC58">
      <w:start w:val="1"/>
      <w:numFmt w:val="bullet"/>
      <w:lvlText w:val="○"/>
      <w:lvlJc w:val="left"/>
      <w:pPr>
        <w:ind w:left="1440" w:hanging="360"/>
      </w:pPr>
    </w:lvl>
    <w:lvl w:ilvl="2" w:tplc="1640E8EC">
      <w:start w:val="1"/>
      <w:numFmt w:val="bullet"/>
      <w:lvlText w:val="■"/>
      <w:lvlJc w:val="left"/>
      <w:pPr>
        <w:ind w:left="2160" w:hanging="360"/>
      </w:pPr>
    </w:lvl>
    <w:lvl w:ilvl="3" w:tplc="6C6A9EE2">
      <w:start w:val="1"/>
      <w:numFmt w:val="bullet"/>
      <w:lvlText w:val="●"/>
      <w:lvlJc w:val="left"/>
      <w:pPr>
        <w:ind w:left="2880" w:hanging="360"/>
      </w:pPr>
    </w:lvl>
    <w:lvl w:ilvl="4" w:tplc="B770D5AC">
      <w:start w:val="1"/>
      <w:numFmt w:val="bullet"/>
      <w:lvlText w:val="○"/>
      <w:lvlJc w:val="left"/>
      <w:pPr>
        <w:ind w:left="3600" w:hanging="360"/>
      </w:pPr>
    </w:lvl>
    <w:lvl w:ilvl="5" w:tplc="E92AAFD4">
      <w:start w:val="1"/>
      <w:numFmt w:val="bullet"/>
      <w:lvlText w:val="■"/>
      <w:lvlJc w:val="left"/>
      <w:pPr>
        <w:ind w:left="4320" w:hanging="360"/>
      </w:pPr>
    </w:lvl>
    <w:lvl w:ilvl="6" w:tplc="EF02BB14">
      <w:start w:val="1"/>
      <w:numFmt w:val="bullet"/>
      <w:lvlText w:val="●"/>
      <w:lvlJc w:val="left"/>
      <w:pPr>
        <w:ind w:left="5040" w:hanging="360"/>
      </w:pPr>
    </w:lvl>
    <w:lvl w:ilvl="7" w:tplc="9A9A702A">
      <w:start w:val="1"/>
      <w:numFmt w:val="bullet"/>
      <w:lvlText w:val="●"/>
      <w:lvlJc w:val="left"/>
      <w:pPr>
        <w:ind w:left="5760" w:hanging="360"/>
      </w:pPr>
    </w:lvl>
    <w:lvl w:ilvl="8" w:tplc="692675DA">
      <w:start w:val="1"/>
      <w:numFmt w:val="bullet"/>
      <w:lvlText w:val="●"/>
      <w:lvlJc w:val="left"/>
      <w:pPr>
        <w:ind w:left="6480" w:hanging="360"/>
      </w:pPr>
    </w:lvl>
  </w:abstractNum>
  <w:num w:numId="1" w16cid:durableId="4946778">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7B5F"/>
    <w:rsid w:val="0007727B"/>
    <w:rsid w:val="000F68F1"/>
    <w:rsid w:val="00205FB9"/>
    <w:rsid w:val="002B12CE"/>
    <w:rsid w:val="003451ED"/>
    <w:rsid w:val="003B5AD3"/>
    <w:rsid w:val="004238D4"/>
    <w:rsid w:val="0045784C"/>
    <w:rsid w:val="004A3AB4"/>
    <w:rsid w:val="00542A6B"/>
    <w:rsid w:val="005B493F"/>
    <w:rsid w:val="006D5106"/>
    <w:rsid w:val="00767BCE"/>
    <w:rsid w:val="007969E0"/>
    <w:rsid w:val="007B302E"/>
    <w:rsid w:val="007C19E4"/>
    <w:rsid w:val="008072F2"/>
    <w:rsid w:val="00860939"/>
    <w:rsid w:val="008A5E37"/>
    <w:rsid w:val="00924A16"/>
    <w:rsid w:val="009B3BD4"/>
    <w:rsid w:val="009C4798"/>
    <w:rsid w:val="00A919DE"/>
    <w:rsid w:val="00AD4BE5"/>
    <w:rsid w:val="00B17A4C"/>
    <w:rsid w:val="00B62B9F"/>
    <w:rsid w:val="00B77B5F"/>
    <w:rsid w:val="00BD74DF"/>
    <w:rsid w:val="00BE6BB4"/>
    <w:rsid w:val="00C86245"/>
    <w:rsid w:val="00D560C1"/>
    <w:rsid w:val="00D956B1"/>
    <w:rsid w:val="00E73C8E"/>
    <w:rsid w:val="00ED7087"/>
    <w:rsid w:val="00FA02EA"/>
    <w:rsid w:val="00FA7C83"/>
    <w:rsid w:val="00FB2DDA"/>
  </w:rsids>
  <m:mathPr>
    <m:mathFont m:val="Cambria Math"/>
    <m:brkBin m:val="before"/>
    <m:brkBinSub m:val="--"/>
    <m:smallFrac m:val="0"/>
    <m:dispDef/>
    <m:lMargin m:val="0"/>
    <m:rMargin m:val="0"/>
    <m:defJc m:val="centerGroup"/>
    <m:wrapIndent m:val="1440"/>
    <m:intLim m:val="subSup"/>
    <m:naryLim m:val="undOvr"/>
  </m:mathPr>
  <w:themeFontLang w:val="en-US" w:eastAsi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DF8C1F"/>
  <w15:docId w15:val="{B812D5B6-EC00-414B-8634-746A163923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Simplified Arabic" w:eastAsia="Simplified Arabic" w:hAnsi="Simplified Arabic" w:cs="Simplified Arabic"/>
        <w:sz w:val="28"/>
        <w:szCs w:val="28"/>
        <w:rtl/>
        <w:lang w:val="en-US" w:eastAsia="en-US" w:bidi="ar-SA"/>
      </w:rPr>
    </w:rPrDefault>
    <w:pPrDefault>
      <w:pPr>
        <w:bidi/>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uiPriority w:val="9"/>
    <w:qFormat/>
    <w:pPr>
      <w:spacing w:before="280" w:after="160"/>
      <w:jc w:val="right"/>
      <w:outlineLvl w:val="0"/>
    </w:pPr>
    <w:rPr>
      <w:b/>
      <w:bCs/>
      <w:color w:val="1F3864"/>
      <w:sz w:val="36"/>
      <w:szCs w:val="36"/>
    </w:rPr>
  </w:style>
  <w:style w:type="paragraph" w:styleId="2">
    <w:name w:val="heading 2"/>
    <w:uiPriority w:val="9"/>
    <w:unhideWhenUsed/>
    <w:qFormat/>
    <w:pPr>
      <w:spacing w:before="200" w:after="100"/>
      <w:jc w:val="right"/>
      <w:outlineLvl w:val="1"/>
    </w:pPr>
    <w:rPr>
      <w:b/>
      <w:bCs/>
      <w:color w:val="2C7A3E"/>
      <w:sz w:val="32"/>
      <w:szCs w:val="32"/>
    </w:rPr>
  </w:style>
  <w:style w:type="paragraph" w:styleId="3">
    <w:name w:val="heading 3"/>
    <w:uiPriority w:val="9"/>
    <w:unhideWhenUsed/>
    <w:qFormat/>
    <w:pPr>
      <w:spacing w:before="160" w:after="80"/>
      <w:jc w:val="right"/>
      <w:outlineLvl w:val="2"/>
    </w:pPr>
    <w:rPr>
      <w:b/>
      <w:bCs/>
    </w:rPr>
  </w:style>
  <w:style w:type="paragraph" w:styleId="4">
    <w:name w:val="heading 4"/>
    <w:uiPriority w:val="9"/>
    <w:semiHidden/>
    <w:unhideWhenUsed/>
    <w:qFormat/>
    <w:pPr>
      <w:outlineLvl w:val="3"/>
    </w:pPr>
    <w:rPr>
      <w:i/>
      <w:iCs/>
      <w:color w:val="2E74B5"/>
    </w:rPr>
  </w:style>
  <w:style w:type="paragraph" w:styleId="5">
    <w:name w:val="heading 5"/>
    <w:uiPriority w:val="9"/>
    <w:semiHidden/>
    <w:unhideWhenUsed/>
    <w:qFormat/>
    <w:pPr>
      <w:outlineLvl w:val="4"/>
    </w:pPr>
    <w:rPr>
      <w:color w:val="2E74B5"/>
    </w:rPr>
  </w:style>
  <w:style w:type="paragraph" w:styleId="6">
    <w:name w:val="heading 6"/>
    <w:uiPriority w:val="9"/>
    <w:semiHidden/>
    <w:unhideWhenUsed/>
    <w:qFormat/>
    <w:pPr>
      <w:outlineLvl w:val="5"/>
    </w:pPr>
    <w:rPr>
      <w:color w:val="1F4D7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uiPriority w:val="10"/>
    <w:qFormat/>
    <w:rPr>
      <w:sz w:val="56"/>
      <w:szCs w:val="56"/>
    </w:rPr>
  </w:style>
  <w:style w:type="paragraph" w:customStyle="1" w:styleId="10">
    <w:name w:val="تشديد1"/>
    <w:qFormat/>
    <w:rPr>
      <w:b/>
      <w:bCs/>
    </w:rPr>
  </w:style>
  <w:style w:type="paragraph" w:styleId="a4">
    <w:name w:val="List Paragraph"/>
    <w:qFormat/>
  </w:style>
  <w:style w:type="character" w:styleId="Hyperlink">
    <w:name w:val="Hyperlink"/>
    <w:uiPriority w:val="99"/>
    <w:unhideWhenUsed/>
    <w:rPr>
      <w:color w:val="0563C1"/>
      <w:u w:val="single"/>
    </w:rPr>
  </w:style>
  <w:style w:type="character" w:styleId="a5">
    <w:name w:val="footnote reference"/>
    <w:uiPriority w:val="99"/>
    <w:semiHidden/>
    <w:unhideWhenUsed/>
    <w:rPr>
      <w:vertAlign w:val="superscript"/>
    </w:rPr>
  </w:style>
  <w:style w:type="paragraph" w:styleId="a6">
    <w:name w:val="footnote text"/>
    <w:link w:val="Char"/>
    <w:uiPriority w:val="99"/>
    <w:semiHidden/>
    <w:unhideWhenUsed/>
    <w:rPr>
      <w:sz w:val="20"/>
      <w:szCs w:val="20"/>
    </w:rPr>
  </w:style>
  <w:style w:type="character" w:customStyle="1" w:styleId="Char">
    <w:name w:val="نص حاشية سفلية Char"/>
    <w:link w:val="a6"/>
    <w:uiPriority w:val="99"/>
    <w:semiHidden/>
    <w:unhideWhenUsed/>
    <w:rPr>
      <w:sz w:val="20"/>
      <w:szCs w:val="20"/>
    </w:rPr>
  </w:style>
  <w:style w:type="character" w:styleId="a7">
    <w:name w:val="endnote reference"/>
    <w:uiPriority w:val="99"/>
    <w:semiHidden/>
    <w:unhideWhenUsed/>
    <w:rPr>
      <w:vertAlign w:val="superscript"/>
    </w:rPr>
  </w:style>
  <w:style w:type="paragraph" w:styleId="a8">
    <w:name w:val="endnote text"/>
    <w:link w:val="Char0"/>
    <w:uiPriority w:val="99"/>
    <w:semiHidden/>
    <w:unhideWhenUsed/>
    <w:rPr>
      <w:sz w:val="20"/>
      <w:szCs w:val="20"/>
    </w:rPr>
  </w:style>
  <w:style w:type="character" w:customStyle="1" w:styleId="Char0">
    <w:name w:val="نص تعليق ختامي Char"/>
    <w:link w:val="a8"/>
    <w:uiPriority w:val="99"/>
    <w:semiHidden/>
    <w:unhideWhenUsed/>
    <w:rPr>
      <w:sz w:val="20"/>
      <w:szCs w:val="20"/>
    </w:rPr>
  </w:style>
  <w:style w:type="paragraph" w:styleId="11">
    <w:name w:val="toc 1"/>
    <w:basedOn w:val="a"/>
    <w:next w:val="a"/>
    <w:autoRedefine/>
    <w:uiPriority w:val="39"/>
    <w:unhideWhenUsed/>
    <w:rsid w:val="009C4798"/>
    <w:pPr>
      <w:spacing w:after="100"/>
    </w:pPr>
  </w:style>
  <w:style w:type="paragraph" w:styleId="20">
    <w:name w:val="toc 2"/>
    <w:basedOn w:val="a"/>
    <w:next w:val="a"/>
    <w:autoRedefine/>
    <w:uiPriority w:val="39"/>
    <w:unhideWhenUsed/>
    <w:rsid w:val="009C4798"/>
    <w:pPr>
      <w:spacing w:after="100"/>
      <w:ind w:left="280"/>
    </w:pPr>
  </w:style>
  <w:style w:type="paragraph" w:styleId="30">
    <w:name w:val="toc 3"/>
    <w:basedOn w:val="a"/>
    <w:next w:val="a"/>
    <w:autoRedefine/>
    <w:uiPriority w:val="39"/>
    <w:unhideWhenUsed/>
    <w:rsid w:val="009C4798"/>
    <w:pPr>
      <w:spacing w:after="100"/>
      <w:ind w:left="560"/>
    </w:pPr>
  </w:style>
  <w:style w:type="paragraph" w:styleId="40">
    <w:name w:val="toc 4"/>
    <w:basedOn w:val="a"/>
    <w:next w:val="a"/>
    <w:autoRedefine/>
    <w:uiPriority w:val="39"/>
    <w:unhideWhenUsed/>
    <w:rsid w:val="009C4798"/>
    <w:pPr>
      <w:spacing w:after="100" w:line="278" w:lineRule="auto"/>
      <w:ind w:left="720"/>
    </w:pPr>
    <w:rPr>
      <w:rFonts w:asciiTheme="minorHAnsi" w:eastAsiaTheme="minorEastAsia" w:hAnsiTheme="minorHAnsi" w:cstheme="minorBidi"/>
      <w:kern w:val="2"/>
      <w:sz w:val="24"/>
      <w:szCs w:val="24"/>
      <w:rtl w:val="0"/>
      <w14:ligatures w14:val="standardContextual"/>
    </w:rPr>
  </w:style>
  <w:style w:type="paragraph" w:styleId="50">
    <w:name w:val="toc 5"/>
    <w:basedOn w:val="a"/>
    <w:next w:val="a"/>
    <w:autoRedefine/>
    <w:uiPriority w:val="39"/>
    <w:unhideWhenUsed/>
    <w:rsid w:val="009C4798"/>
    <w:pPr>
      <w:spacing w:after="100" w:line="278" w:lineRule="auto"/>
      <w:ind w:left="960"/>
    </w:pPr>
    <w:rPr>
      <w:rFonts w:asciiTheme="minorHAnsi" w:eastAsiaTheme="minorEastAsia" w:hAnsiTheme="minorHAnsi" w:cstheme="minorBidi"/>
      <w:kern w:val="2"/>
      <w:sz w:val="24"/>
      <w:szCs w:val="24"/>
      <w:rtl w:val="0"/>
      <w14:ligatures w14:val="standardContextual"/>
    </w:rPr>
  </w:style>
  <w:style w:type="paragraph" w:styleId="60">
    <w:name w:val="toc 6"/>
    <w:basedOn w:val="a"/>
    <w:next w:val="a"/>
    <w:autoRedefine/>
    <w:uiPriority w:val="39"/>
    <w:unhideWhenUsed/>
    <w:rsid w:val="009C4798"/>
    <w:pPr>
      <w:spacing w:after="100" w:line="278" w:lineRule="auto"/>
      <w:ind w:left="1200"/>
    </w:pPr>
    <w:rPr>
      <w:rFonts w:asciiTheme="minorHAnsi" w:eastAsiaTheme="minorEastAsia" w:hAnsiTheme="minorHAnsi" w:cstheme="minorBidi"/>
      <w:kern w:val="2"/>
      <w:sz w:val="24"/>
      <w:szCs w:val="24"/>
      <w:rtl w:val="0"/>
      <w14:ligatures w14:val="standardContextual"/>
    </w:rPr>
  </w:style>
  <w:style w:type="paragraph" w:styleId="7">
    <w:name w:val="toc 7"/>
    <w:basedOn w:val="a"/>
    <w:next w:val="a"/>
    <w:autoRedefine/>
    <w:uiPriority w:val="39"/>
    <w:unhideWhenUsed/>
    <w:rsid w:val="009C4798"/>
    <w:pPr>
      <w:spacing w:after="100" w:line="278" w:lineRule="auto"/>
      <w:ind w:left="1440"/>
    </w:pPr>
    <w:rPr>
      <w:rFonts w:asciiTheme="minorHAnsi" w:eastAsiaTheme="minorEastAsia" w:hAnsiTheme="minorHAnsi" w:cstheme="minorBidi"/>
      <w:kern w:val="2"/>
      <w:sz w:val="24"/>
      <w:szCs w:val="24"/>
      <w:rtl w:val="0"/>
      <w14:ligatures w14:val="standardContextual"/>
    </w:rPr>
  </w:style>
  <w:style w:type="paragraph" w:styleId="8">
    <w:name w:val="toc 8"/>
    <w:basedOn w:val="a"/>
    <w:next w:val="a"/>
    <w:autoRedefine/>
    <w:uiPriority w:val="39"/>
    <w:unhideWhenUsed/>
    <w:rsid w:val="009C4798"/>
    <w:pPr>
      <w:spacing w:after="100" w:line="278" w:lineRule="auto"/>
      <w:ind w:left="1680"/>
    </w:pPr>
    <w:rPr>
      <w:rFonts w:asciiTheme="minorHAnsi" w:eastAsiaTheme="minorEastAsia" w:hAnsiTheme="minorHAnsi" w:cstheme="minorBidi"/>
      <w:kern w:val="2"/>
      <w:sz w:val="24"/>
      <w:szCs w:val="24"/>
      <w:rtl w:val="0"/>
      <w14:ligatures w14:val="standardContextual"/>
    </w:rPr>
  </w:style>
  <w:style w:type="paragraph" w:styleId="9">
    <w:name w:val="toc 9"/>
    <w:basedOn w:val="a"/>
    <w:next w:val="a"/>
    <w:autoRedefine/>
    <w:uiPriority w:val="39"/>
    <w:unhideWhenUsed/>
    <w:rsid w:val="009C4798"/>
    <w:pPr>
      <w:spacing w:after="100" w:line="278" w:lineRule="auto"/>
      <w:ind w:left="1920"/>
    </w:pPr>
    <w:rPr>
      <w:rFonts w:asciiTheme="minorHAnsi" w:eastAsiaTheme="minorEastAsia" w:hAnsiTheme="minorHAnsi" w:cstheme="minorBidi"/>
      <w:kern w:val="2"/>
      <w:sz w:val="24"/>
      <w:szCs w:val="24"/>
      <w:rtl w:val="0"/>
      <w14:ligatures w14:val="standardContextual"/>
    </w:rPr>
  </w:style>
  <w:style w:type="character" w:styleId="a9">
    <w:name w:val="Unresolved Mention"/>
    <w:basedOn w:val="a0"/>
    <w:uiPriority w:val="99"/>
    <w:semiHidden/>
    <w:unhideWhenUsed/>
    <w:rsid w:val="009C47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97</TotalTime>
  <Pages>82</Pages>
  <Words>18630</Words>
  <Characters>106195</Characters>
  <Application>Microsoft Office Word</Application>
  <DocSecurity>0</DocSecurity>
  <Lines>884</Lines>
  <Paragraphs>249</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124576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khaled -</cp:lastModifiedBy>
  <cp:revision>25</cp:revision>
  <dcterms:created xsi:type="dcterms:W3CDTF">2026-06-18T05:45:00Z</dcterms:created>
  <dcterms:modified xsi:type="dcterms:W3CDTF">2026-06-29T07:07:00Z</dcterms:modified>
</cp:coreProperties>
</file>