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235A24" w:rsidRDefault="002C1A51" w:rsidP="002C1A51">
      <w:pPr>
        <w:rPr>
          <w:rFonts w:ascii="Bahij TheSansArabic Bold" w:hAnsi="Bahij TheSansArabic Bold" w:cs="Bahij TheSansArabic Bold"/>
          <w:sz w:val="22"/>
          <w:szCs w:val="22"/>
          <w:lang w:bidi="ar-LB"/>
        </w:rPr>
      </w:pPr>
      <w:r w:rsidRPr="00235A24">
        <w:rPr>
          <w:rFonts w:ascii="Bahij TheSansArabic Bold" w:hAnsi="Bahij TheSansArabic Bold" w:cs="Bahij TheSansArabic Bold"/>
          <w:noProof/>
          <w:sz w:val="22"/>
          <w:szCs w:val="22"/>
        </w:rPr>
        <w:drawing>
          <wp:anchor distT="0" distB="0" distL="114300" distR="114300" simplePos="0" relativeHeight="251659264" behindDoc="0" locked="0" layoutInCell="1" allowOverlap="1" wp14:anchorId="36F0D9A3" wp14:editId="02025547">
            <wp:simplePos x="0" y="0"/>
            <wp:positionH relativeFrom="margin">
              <wp:posOffset>-327025</wp:posOffset>
            </wp:positionH>
            <wp:positionV relativeFrom="margin">
              <wp:posOffset>146050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235A24">
        <w:rPr>
          <w:rFonts w:ascii="Bahij TheSansArabic Bold" w:hAnsi="Bahij TheSansArabic Bold" w:cs="Bahij TheSansArabic Bold"/>
          <w:sz w:val="22"/>
          <w:szCs w:val="22"/>
          <w:rtl/>
          <w:lang w:bidi="ar-LB"/>
        </w:rPr>
        <w:t xml:space="preserve">جامعة </w:t>
      </w:r>
      <w:proofErr w:type="spellStart"/>
      <w:r w:rsidRPr="00235A24">
        <w:rPr>
          <w:rFonts w:ascii="Bahij TheSansArabic Bold" w:hAnsi="Bahij TheSansArabic Bold" w:cs="Bahij TheSansArabic Bold"/>
          <w:sz w:val="22"/>
          <w:szCs w:val="22"/>
          <w:rtl/>
          <w:lang w:bidi="ar-LB"/>
        </w:rPr>
        <w:t>ميدأوشن</w:t>
      </w:r>
      <w:proofErr w:type="spellEnd"/>
    </w:p>
    <w:p w14:paraId="58CC89C4" w14:textId="77777777" w:rsidR="002C1A51" w:rsidRPr="00235A24" w:rsidRDefault="002C1A51" w:rsidP="002C1A51">
      <w:pPr>
        <w:rPr>
          <w:rFonts w:ascii="Bahij TheSansArabic Bold" w:hAnsi="Bahij TheSansArabic Bold" w:cs="Bahij TheSansArabic Bold"/>
          <w:sz w:val="22"/>
          <w:szCs w:val="22"/>
          <w:rtl/>
          <w:lang w:bidi="ar-LB"/>
        </w:rPr>
      </w:pPr>
      <w:r w:rsidRPr="00235A24">
        <w:rPr>
          <w:rFonts w:ascii="Bahij TheSansArabic Bold" w:hAnsi="Bahij TheSansArabic Bold" w:cs="Bahij TheSansArabic Bold"/>
          <w:sz w:val="22"/>
          <w:szCs w:val="22"/>
          <w:rtl/>
          <w:lang w:bidi="ar-LB"/>
        </w:rPr>
        <w:t>كلية الإعلام والتسويق</w:t>
      </w:r>
    </w:p>
    <w:p w14:paraId="39CE1BF0" w14:textId="492539B5" w:rsidR="002C1A51" w:rsidRPr="00235A24" w:rsidRDefault="002C1A51" w:rsidP="002C1A51">
      <w:pPr>
        <w:rPr>
          <w:rFonts w:ascii="Bahij TheSansArabic Bold" w:hAnsi="Bahij TheSansArabic Bold" w:cs="Bahij TheSansArabic Bold"/>
          <w:sz w:val="22"/>
          <w:szCs w:val="22"/>
          <w:rtl/>
          <w:lang w:bidi="ar-LB"/>
        </w:rPr>
      </w:pPr>
      <w:r w:rsidRPr="00235A24">
        <w:rPr>
          <w:rFonts w:ascii="Bahij TheSansArabic Bold" w:hAnsi="Bahij TheSansArabic Bold" w:cs="Bahij TheSansArabic Bold"/>
          <w:sz w:val="22"/>
          <w:szCs w:val="22"/>
          <w:rtl/>
          <w:lang w:bidi="ar-LB"/>
        </w:rPr>
        <w:t xml:space="preserve">بكالوريوس الإعلام الرقمي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6581265" w:rsidR="002C1A51" w:rsidRPr="00235A24" w:rsidRDefault="002C1A51" w:rsidP="002C1A51">
      <w:pPr>
        <w:jc w:val="center"/>
        <w:rPr>
          <w:rFonts w:ascii="Bahij TheSansArabic Bold" w:hAnsi="Bahij TheSansArabic Bold" w:cs="Bahij TheSansArabic Bold"/>
          <w:b/>
          <w:bCs/>
          <w:sz w:val="32"/>
          <w:szCs w:val="32"/>
          <w:rtl/>
        </w:rPr>
      </w:pPr>
      <w:r w:rsidRPr="00235A24">
        <w:rPr>
          <w:rFonts w:ascii="Bahij TheSansArabic Bold" w:hAnsi="Bahij TheSansArabic Bold" w:cs="Bahij TheSansArabic Bold"/>
          <w:sz w:val="32"/>
          <w:szCs w:val="32"/>
          <w:rtl/>
        </w:rPr>
        <w:t>خطة بحثية مقدمة لدرجة البكالوريوس في الإعلام الرقمي</w:t>
      </w:r>
      <w:r w:rsidR="006836C4" w:rsidRPr="00235A24">
        <w:rPr>
          <w:rFonts w:ascii="Bahij TheSansArabic Bold" w:hAnsi="Bahij TheSansArabic Bold" w:cs="Bahij TheSansArabic Bold"/>
          <w:b/>
          <w:bCs/>
          <w:sz w:val="32"/>
          <w:szCs w:val="32"/>
          <w:rtl/>
        </w:rPr>
        <w:t xml:space="preserve"> </w:t>
      </w:r>
    </w:p>
    <w:p w14:paraId="4A21BE69" w14:textId="162709B4" w:rsidR="002C1A51" w:rsidRPr="00235A24" w:rsidRDefault="002C1A51" w:rsidP="002C1A51">
      <w:pPr>
        <w:jc w:val="center"/>
        <w:rPr>
          <w:rFonts w:ascii="Bahij TheSansArabic Bold" w:hAnsi="Bahij TheSansArabic Bold" w:cs="Bahij TheSansArabic Bold"/>
          <w:b/>
          <w:bCs/>
          <w:sz w:val="36"/>
          <w:szCs w:val="36"/>
          <w:rtl/>
        </w:rPr>
      </w:pPr>
      <w:r w:rsidRPr="00235A24">
        <w:rPr>
          <w:rFonts w:ascii="Bahij TheSansArabic Bold" w:hAnsi="Bahij TheSansArabic Bold" w:cs="Bahij TheSansArabic Bold"/>
          <w:b/>
          <w:bCs/>
          <w:sz w:val="36"/>
          <w:szCs w:val="36"/>
          <w:rtl/>
        </w:rPr>
        <w:t>"</w:t>
      </w:r>
      <w:r w:rsidR="001340AA">
        <w:rPr>
          <w:rFonts w:ascii="Bahij TheSansArabic Bold" w:hAnsi="Bahij TheSansArabic Bold" w:cs="Bahij TheSansArabic Bold" w:hint="cs"/>
          <w:b/>
          <w:bCs/>
          <w:sz w:val="36"/>
          <w:szCs w:val="36"/>
          <w:rtl/>
        </w:rPr>
        <w:t xml:space="preserve"> أثر المؤثرين في قرارات الشراء لدى المستهلكين</w:t>
      </w:r>
      <w:r w:rsidR="008F0F95">
        <w:rPr>
          <w:rFonts w:ascii="Bahij TheSansArabic Bold" w:hAnsi="Bahij TheSansArabic Bold" w:cs="Bahij TheSansArabic Bold" w:hint="cs"/>
          <w:b/>
          <w:bCs/>
          <w:sz w:val="36"/>
          <w:szCs w:val="36"/>
          <w:rtl/>
        </w:rPr>
        <w:t xml:space="preserve"> </w:t>
      </w:r>
      <w:r w:rsidRPr="00235A24">
        <w:rPr>
          <w:rFonts w:ascii="Bahij TheSansArabic Bold" w:hAnsi="Bahij TheSansArabic Bold" w:cs="Bahij TheSansArabic Bold"/>
          <w:b/>
          <w:bCs/>
          <w:sz w:val="36"/>
          <w:szCs w:val="36"/>
          <w:rtl/>
        </w:rPr>
        <w:t>"</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6E033017" w:rsidR="002C1A51" w:rsidRPr="00235A24" w:rsidRDefault="002C1A51" w:rsidP="006836C4">
      <w:pPr>
        <w:rPr>
          <w:rFonts w:ascii="Bahij TheSansArabic Bold" w:hAnsi="Bahij TheSansArabic Bold" w:cs="Bahij TheSansArabic Bold"/>
          <w:sz w:val="32"/>
          <w:szCs w:val="32"/>
          <w:rtl/>
        </w:rPr>
      </w:pPr>
      <w:r w:rsidRPr="00235A24">
        <w:rPr>
          <w:rFonts w:ascii="Bahij TheSansArabic Bold" w:hAnsi="Bahij TheSansArabic Bold" w:cs="Bahij TheSansArabic Bold"/>
          <w:sz w:val="32"/>
          <w:szCs w:val="32"/>
          <w:rtl/>
        </w:rPr>
        <w:t xml:space="preserve">إعداد: </w:t>
      </w:r>
      <w:r w:rsidR="008F0F95" w:rsidRPr="00FE7F92">
        <w:rPr>
          <w:rFonts w:ascii="Bahij TheSansArabic Bold" w:hAnsi="Bahij TheSansArabic Bold" w:cs="Bahij TheSansArabic Bold" w:hint="cs"/>
          <w:sz w:val="32"/>
          <w:szCs w:val="32"/>
          <w:rtl/>
        </w:rPr>
        <w:t>محمد بن فهد المزيد</w:t>
      </w:r>
    </w:p>
    <w:p w14:paraId="636B66F6" w14:textId="3AC948E2" w:rsidR="002C1A51" w:rsidRDefault="002C1A51" w:rsidP="006836C4">
      <w:pPr>
        <w:rPr>
          <w:rFonts w:ascii="Bahij TheSansArabic Bold" w:hAnsi="Bahij TheSansArabic Bold" w:cs="Bahij TheSansArabic Bold"/>
          <w:sz w:val="32"/>
          <w:szCs w:val="32"/>
          <w:rtl/>
        </w:rPr>
      </w:pPr>
      <w:r w:rsidRPr="00235A24">
        <w:rPr>
          <w:rFonts w:ascii="Bahij TheSansArabic Bold" w:hAnsi="Bahij TheSansArabic Bold" w:cs="Bahij TheSansArabic Bold"/>
          <w:sz w:val="32"/>
          <w:szCs w:val="32"/>
          <w:rtl/>
        </w:rPr>
        <w:t>الرقم الأكاديمي:</w:t>
      </w:r>
      <w:r w:rsidR="008F0F95">
        <w:rPr>
          <w:rFonts w:ascii="Bahij TheSansArabic Bold" w:hAnsi="Bahij TheSansArabic Bold" w:cs="Bahij TheSansArabic Bold" w:hint="cs"/>
          <w:sz w:val="32"/>
          <w:szCs w:val="32"/>
          <w:rtl/>
        </w:rPr>
        <w:t xml:space="preserve"> </w:t>
      </w:r>
      <w:r w:rsidR="00FE7F92">
        <w:rPr>
          <w:rFonts w:ascii="Bahij TheSansArabic Bold" w:hAnsi="Bahij TheSansArabic Bold" w:cs="Bahij TheSansArabic Bold" w:hint="cs"/>
          <w:sz w:val="32"/>
          <w:szCs w:val="32"/>
          <w:rtl/>
        </w:rPr>
        <w:t>233000648</w:t>
      </w:r>
    </w:p>
    <w:p w14:paraId="2B69F701" w14:textId="77777777" w:rsidR="0012324F" w:rsidRPr="00235A24" w:rsidRDefault="0012324F" w:rsidP="006836C4">
      <w:pPr>
        <w:rPr>
          <w:rFonts w:ascii="Bahij TheSansArabic Bold" w:hAnsi="Bahij TheSansArabic Bold" w:cs="Bahij TheSansArabic Bold"/>
          <w:sz w:val="32"/>
          <w:szCs w:val="32"/>
          <w:rtl/>
        </w:rPr>
      </w:pPr>
    </w:p>
    <w:p w14:paraId="2D5B229C" w14:textId="7A1D5B2C" w:rsidR="002C1A51" w:rsidRPr="00235A24" w:rsidRDefault="002C1A51" w:rsidP="002C1A51">
      <w:pPr>
        <w:jc w:val="center"/>
        <w:rPr>
          <w:rFonts w:ascii="Bahij TheSansArabic Bold" w:hAnsi="Bahij TheSansArabic Bold" w:cs="Bahij TheSansArabic Bold"/>
          <w:sz w:val="32"/>
          <w:szCs w:val="32"/>
          <w:rtl/>
        </w:rPr>
      </w:pPr>
      <w:r w:rsidRPr="00235A24">
        <w:rPr>
          <w:rFonts w:ascii="Bahij TheSansArabic Bold" w:hAnsi="Bahij TheSansArabic Bold" w:cs="Bahij TheSansArabic Bold"/>
          <w:sz w:val="32"/>
          <w:szCs w:val="32"/>
          <w:rtl/>
        </w:rPr>
        <w:t>إشراف:</w:t>
      </w:r>
    </w:p>
    <w:p w14:paraId="740E588F" w14:textId="65685AB0" w:rsidR="002C1A51" w:rsidRPr="00235A24" w:rsidRDefault="002C1A51" w:rsidP="002C1A51">
      <w:pPr>
        <w:jc w:val="center"/>
        <w:rPr>
          <w:rFonts w:ascii="Bahij TheSansArabic Bold" w:hAnsi="Bahij TheSansArabic Bold" w:cs="Bahij TheSansArabic Bold"/>
          <w:sz w:val="32"/>
          <w:szCs w:val="32"/>
          <w:rtl/>
        </w:rPr>
      </w:pPr>
      <w:r w:rsidRPr="00235A24">
        <w:rPr>
          <w:rFonts w:ascii="Bahij TheSansArabic Bold" w:hAnsi="Bahij TheSansArabic Bold" w:cs="Bahij TheSansArabic Bold"/>
          <w:sz w:val="32"/>
          <w:szCs w:val="32"/>
          <w:rtl/>
        </w:rPr>
        <w:t>د. توفيق عمري</w:t>
      </w:r>
    </w:p>
    <w:p w14:paraId="12D0FB91" w14:textId="77777777" w:rsidR="002C1A51" w:rsidRPr="00235A24" w:rsidRDefault="002C1A51" w:rsidP="002C1A51">
      <w:pPr>
        <w:jc w:val="center"/>
        <w:rPr>
          <w:rFonts w:ascii="Bahij TheSansArabic Bold" w:hAnsi="Bahij TheSansArabic Bold" w:cs="Bahij TheSansArabic Bold"/>
          <w:sz w:val="32"/>
          <w:szCs w:val="32"/>
          <w:rtl/>
        </w:rPr>
      </w:pPr>
    </w:p>
    <w:p w14:paraId="209AAF9C" w14:textId="50128F3E" w:rsidR="002C1A51" w:rsidRDefault="002C1A51" w:rsidP="002C1A51">
      <w:pPr>
        <w:jc w:val="center"/>
        <w:rPr>
          <w:rFonts w:ascii="Bahij TheSansArabic Bold" w:hAnsi="Bahij TheSansArabic Bold" w:cs="Bahij TheSansArabic Bold"/>
          <w:sz w:val="32"/>
          <w:szCs w:val="32"/>
          <w:rtl/>
        </w:rPr>
      </w:pPr>
      <w:r w:rsidRPr="00235A24">
        <w:rPr>
          <w:rFonts w:ascii="Bahij TheSansArabic Bold" w:hAnsi="Bahij TheSansArabic Bold" w:cs="Bahij TheSansArabic Bold"/>
          <w:sz w:val="26"/>
          <w:szCs w:val="26"/>
          <w:rtl/>
        </w:rPr>
        <w:t>2026</w:t>
      </w:r>
      <w:r w:rsidR="006836C4" w:rsidRPr="00235A24">
        <w:rPr>
          <w:rFonts w:ascii="Bahij TheSansArabic Bold" w:hAnsi="Bahij TheSansArabic Bold" w:cs="Bahij TheSansArabic Bold"/>
          <w:sz w:val="32"/>
          <w:szCs w:val="32"/>
          <w:rtl/>
        </w:rPr>
        <w:t xml:space="preserve"> </w:t>
      </w:r>
    </w:p>
    <w:p w14:paraId="44093EAA" w14:textId="77777777" w:rsidR="00B716AA" w:rsidRDefault="00B716AA" w:rsidP="00EA6006">
      <w:pPr>
        <w:rPr>
          <w:rFonts w:ascii="Bahij TheSansArabic Bold" w:hAnsi="Bahij TheSansArabic Bold" w:cs="Bahij TheSansArabic Bold"/>
          <w:sz w:val="32"/>
          <w:szCs w:val="32"/>
          <w:rtl/>
        </w:rPr>
      </w:pPr>
    </w:p>
    <w:p w14:paraId="145FBB6F" w14:textId="6D85E0AD" w:rsidR="00597CD8" w:rsidRDefault="00B52BE6" w:rsidP="00EA6006">
      <w:pPr>
        <w:rPr>
          <w:rFonts w:ascii="Bahij TheSansArabic Bold" w:hAnsi="Bahij TheSansArabic Bold" w:cs="Bahij TheSansArabic Bold"/>
          <w:sz w:val="32"/>
          <w:szCs w:val="32"/>
          <w:rtl/>
        </w:rPr>
      </w:pPr>
      <w:r w:rsidRPr="00B52BE6">
        <w:rPr>
          <w:rFonts w:ascii="Bahij TheSansArabic Bold" w:hAnsi="Bahij TheSansArabic Bold" w:cs="Bahij TheSansArabic Bold"/>
          <w:sz w:val="32"/>
          <w:szCs w:val="32"/>
          <w:rtl/>
        </w:rPr>
        <w:lastRenderedPageBreak/>
        <w:t>نظرية الدراسة</w:t>
      </w:r>
      <w:r w:rsidR="00597CD8">
        <w:rPr>
          <w:rFonts w:ascii="Bahij TheSansArabic Bold" w:hAnsi="Bahij TheSansArabic Bold" w:cs="Bahij TheSansArabic Bold" w:hint="cs"/>
          <w:sz w:val="32"/>
          <w:szCs w:val="32"/>
          <w:rtl/>
        </w:rPr>
        <w:t>:</w:t>
      </w:r>
    </w:p>
    <w:p w14:paraId="2638B1D9" w14:textId="77777777" w:rsidR="00380A78" w:rsidRPr="00380A78" w:rsidRDefault="00380A78" w:rsidP="00EA6006">
      <w:pPr>
        <w:rPr>
          <w:rFonts w:ascii="Bahij TheSansArabic Bold" w:hAnsi="Bahij TheSansArabic Bold" w:cs="Bahij TheSansArabic Bold"/>
          <w:sz w:val="2"/>
          <w:szCs w:val="2"/>
          <w:rtl/>
        </w:rPr>
      </w:pPr>
    </w:p>
    <w:p w14:paraId="1A80877B" w14:textId="77777777" w:rsidR="00BD21B8" w:rsidRPr="00380A78" w:rsidRDefault="00BD21B8" w:rsidP="00380A78">
      <w:pPr>
        <w:spacing w:line="240" w:lineRule="auto"/>
        <w:jc w:val="lowKashida"/>
        <w:rPr>
          <w:rFonts w:ascii="Tajawal" w:hAnsi="Tajawal" w:cs="Tajawal"/>
          <w:b/>
          <w:bCs/>
          <w:rtl/>
        </w:rPr>
      </w:pPr>
      <w:r w:rsidRPr="00380A78">
        <w:rPr>
          <w:rFonts w:ascii="Tajawal" w:hAnsi="Tajawal" w:cs="Tajawal"/>
          <w:b/>
          <w:bCs/>
          <w:rtl/>
        </w:rPr>
        <w:t>تعتمد هذه الدراسة على نظرية التأثير الاجتماعي (</w:t>
      </w:r>
      <w:r w:rsidRPr="00380A78">
        <w:rPr>
          <w:rFonts w:ascii="Tajawal" w:hAnsi="Tajawal" w:cs="Tajawal"/>
          <w:b/>
          <w:bCs/>
        </w:rPr>
        <w:t>Social Influence Theory</w:t>
      </w:r>
      <w:r w:rsidRPr="00380A78">
        <w:rPr>
          <w:rFonts w:ascii="Tajawal" w:hAnsi="Tajawal" w:cs="Tajawal"/>
          <w:b/>
          <w:bCs/>
          <w:rtl/>
        </w:rPr>
        <w:t>)، التي تُعد من أبرز النظريات المستخدمة في تفسير كيفية تأثر الأفراد بآراء الآخرين وسلوكياتهم، وانعكاس ذلك على اتجاهاتهم وقراراتهم. وترى هذه النظرية أن الإنسان بطبيعته يتفاعل مع البيئة الاجتماعية المحيطة به، ويتأثر بالأفراد الذين يمتلكون مكانة اجتماعية أو خبرة أو مصداقية، مما قد يدفعه إلى تعديل آرائه أو تغيير سلوكه بما يتوافق مع ما يراه أو يسمعه من هؤلاء الأشخاص.</w:t>
      </w:r>
    </w:p>
    <w:p w14:paraId="4FDA4343" w14:textId="77777777" w:rsidR="00BD21B8" w:rsidRPr="00380A78" w:rsidRDefault="00BD21B8" w:rsidP="00380A78">
      <w:pPr>
        <w:spacing w:line="240" w:lineRule="auto"/>
        <w:jc w:val="lowKashida"/>
        <w:rPr>
          <w:rFonts w:ascii="Tajawal" w:hAnsi="Tajawal" w:cs="Tajawal"/>
          <w:b/>
          <w:bCs/>
          <w:rtl/>
        </w:rPr>
      </w:pPr>
      <w:r w:rsidRPr="00380A78">
        <w:rPr>
          <w:rFonts w:ascii="Tajawal" w:hAnsi="Tajawal" w:cs="Tajawal"/>
          <w:b/>
          <w:bCs/>
          <w:rtl/>
        </w:rPr>
        <w:t xml:space="preserve">وقد قدمت النظرية تفسيرًا واضحًا لعمليات التأثير التي يتعرض لها الأفراد في حياتهم اليومية، حيث أوضح الباحث </w:t>
      </w:r>
      <w:r w:rsidRPr="00380A78">
        <w:rPr>
          <w:rFonts w:ascii="Tajawal" w:hAnsi="Tajawal" w:cs="Tajawal"/>
          <w:b/>
          <w:bCs/>
        </w:rPr>
        <w:t>Herbert Kelman</w:t>
      </w:r>
      <w:r w:rsidRPr="00380A78">
        <w:rPr>
          <w:rFonts w:ascii="Tajawal" w:hAnsi="Tajawal" w:cs="Tajawal"/>
          <w:b/>
          <w:bCs/>
          <w:rtl/>
        </w:rPr>
        <w:t xml:space="preserve"> أن التأثير الاجتماعي يتحقق من خلال ثلاثة أنماط رئيسة، وهي الامتثال، والتماهي، </w:t>
      </w:r>
      <w:proofErr w:type="spellStart"/>
      <w:r w:rsidRPr="00380A78">
        <w:rPr>
          <w:rFonts w:ascii="Tajawal" w:hAnsi="Tajawal" w:cs="Tajawal"/>
          <w:b/>
          <w:bCs/>
          <w:rtl/>
        </w:rPr>
        <w:t>والاستدماج</w:t>
      </w:r>
      <w:proofErr w:type="spellEnd"/>
      <w:r w:rsidRPr="00380A78">
        <w:rPr>
          <w:rFonts w:ascii="Tajawal" w:hAnsi="Tajawal" w:cs="Tajawal"/>
          <w:b/>
          <w:bCs/>
          <w:rtl/>
        </w:rPr>
        <w:t xml:space="preserve">. فالامتثال يحدث عندما يتبنى الفرد سلوكًا معينًا استجابةً لتأثير الآخرين، بينما يحدث التماهي عندما يسعى الفرد إلى تقليد شخص يقدره أو يرى فيه نموذجًا يحتذى به، أما </w:t>
      </w:r>
      <w:proofErr w:type="spellStart"/>
      <w:r w:rsidRPr="00380A78">
        <w:rPr>
          <w:rFonts w:ascii="Tajawal" w:hAnsi="Tajawal" w:cs="Tajawal"/>
          <w:b/>
          <w:bCs/>
          <w:rtl/>
        </w:rPr>
        <w:t>الاستدماج</w:t>
      </w:r>
      <w:proofErr w:type="spellEnd"/>
      <w:r w:rsidRPr="00380A78">
        <w:rPr>
          <w:rFonts w:ascii="Tajawal" w:hAnsi="Tajawal" w:cs="Tajawal"/>
          <w:b/>
          <w:bCs/>
          <w:rtl/>
        </w:rPr>
        <w:t xml:space="preserve"> فيتمثل في اقتناع الفرد بالأفكار أو السلوكيات الجديدة حتى تصبح جزءًا من قناعاته الشخصية.</w:t>
      </w:r>
    </w:p>
    <w:p w14:paraId="0353496B" w14:textId="77777777" w:rsidR="00BD21B8" w:rsidRPr="00380A78" w:rsidRDefault="00BD21B8" w:rsidP="00380A78">
      <w:pPr>
        <w:spacing w:line="240" w:lineRule="auto"/>
        <w:jc w:val="lowKashida"/>
        <w:rPr>
          <w:rFonts w:ascii="Tajawal" w:hAnsi="Tajawal" w:cs="Tajawal"/>
          <w:b/>
          <w:bCs/>
          <w:rtl/>
        </w:rPr>
      </w:pPr>
      <w:r w:rsidRPr="00380A78">
        <w:rPr>
          <w:rFonts w:ascii="Tajawal" w:hAnsi="Tajawal" w:cs="Tajawal"/>
          <w:b/>
          <w:bCs/>
          <w:rtl/>
        </w:rPr>
        <w:t>وفي السنوات الأخيرة، أصبح مفهوم التأثير الاجتماعي أكثر ارتباطًا بوسائل التواصل الاجتماعي، بعد أن أوجدت هذه المنصات فئة جديدة من الشخصيات المؤثرة، يُطلق عليهم “المؤثرون”. ويقوم هؤلاء بإنتاج محتوى متنوع في مجالات عديدة، مثل التقنية، والأزياء، والجمال، والسفر، والرياضة، ونمط الحياة، ويملكون القدرة على الوصول إلى أعداد كبيرة من المتابعين، مما يجعلهم مصدرًا مهمًا للمعلومات والآراء بالنسبة للمستهلكين.</w:t>
      </w:r>
    </w:p>
    <w:p w14:paraId="2D344CD0" w14:textId="77777777" w:rsidR="00BD21B8" w:rsidRPr="00380A78" w:rsidRDefault="00BD21B8" w:rsidP="00380A78">
      <w:pPr>
        <w:spacing w:line="240" w:lineRule="auto"/>
        <w:jc w:val="lowKashida"/>
        <w:rPr>
          <w:rFonts w:ascii="Tajawal" w:hAnsi="Tajawal" w:cs="Tajawal"/>
          <w:b/>
          <w:bCs/>
          <w:rtl/>
        </w:rPr>
      </w:pPr>
      <w:r w:rsidRPr="00380A78">
        <w:rPr>
          <w:rFonts w:ascii="Tajawal" w:hAnsi="Tajawal" w:cs="Tajawal"/>
          <w:b/>
          <w:bCs/>
          <w:rtl/>
        </w:rPr>
        <w:t>ولا يقتصر دور المؤثرين على عرض المنتجات أو الخدمات، بل يمتد إلى تكوين اتجاهات المتابعين نحو العلامات التجارية، من خلال مشاركة التجارب الشخصية، أو تقديم مراجعات للمنتجات، أو نشر توصيات مباشرة وغير مباشرة. ويؤدي هذا النوع من المحتوى إلى تعزيز ثقة بعض المستهلكين بالمنتج، خاصة إذا كانوا يرون أن المؤثر يتمتع بالمصداقية والخبرة والشفافية في عرض آرائه، وهو ما ينعكس في كثير من الأحيان على قرار الشراء.</w:t>
      </w:r>
    </w:p>
    <w:p w14:paraId="4A739138" w14:textId="77777777" w:rsidR="00BD21B8" w:rsidRPr="00380A78" w:rsidRDefault="00BD21B8" w:rsidP="00380A78">
      <w:pPr>
        <w:spacing w:line="240" w:lineRule="auto"/>
        <w:jc w:val="lowKashida"/>
        <w:rPr>
          <w:rFonts w:ascii="Tajawal" w:hAnsi="Tajawal" w:cs="Tajawal"/>
          <w:b/>
          <w:bCs/>
          <w:rtl/>
        </w:rPr>
      </w:pPr>
      <w:r w:rsidRPr="00380A78">
        <w:rPr>
          <w:rFonts w:ascii="Tajawal" w:hAnsi="Tajawal" w:cs="Tajawal"/>
          <w:b/>
          <w:bCs/>
          <w:rtl/>
        </w:rPr>
        <w:t>وتفسر نظرية التأثير الاجتماعي هذه العلاقة بصورة واضحة، إذ تشير إلى أن المستهلك قد يتأثر بآراء المؤثرين نتيجة الثقة التي يمنحها لهم، أو نتيجة شعوره بالتقارب معهم، أو لرغبته في محاكاة أسلوب حياتهم. ومع تكرار التعرض للمحتوى، قد تتشكل لدى المستهلك اتجاهات إيجابية نحو منتج أو خدمة معينة، الأمر الذي يزيد من احتمالية اتخاذ قرار الشراء.</w:t>
      </w:r>
    </w:p>
    <w:p w14:paraId="4E96F107" w14:textId="77777777" w:rsidR="00BD21B8" w:rsidRPr="00380A78" w:rsidRDefault="00BD21B8" w:rsidP="00380A78">
      <w:pPr>
        <w:spacing w:line="240" w:lineRule="auto"/>
        <w:jc w:val="lowKashida"/>
        <w:rPr>
          <w:rFonts w:ascii="Tajawal" w:hAnsi="Tajawal" w:cs="Tajawal"/>
          <w:b/>
          <w:bCs/>
          <w:rtl/>
        </w:rPr>
      </w:pPr>
      <w:r w:rsidRPr="00380A78">
        <w:rPr>
          <w:rFonts w:ascii="Tajawal" w:hAnsi="Tajawal" w:cs="Tajawal"/>
          <w:b/>
          <w:bCs/>
          <w:rtl/>
        </w:rPr>
        <w:t>وتتوافق هذه النظرية بشكل مباشر مع موضوع الدراسة الحالية، الذي يتناول أثر المؤثرين في قرارات الشراء لدى المستهلكين، إذ تساعد في تفسير طبيعة العلاقة بين المحتوى الذي يقدمه المؤثرون عبر منصات التواصل الاجتماعي وبين السلوك الشرائي للمستهلكين، كما تتيح فهم العوامل التي تجعل بعض المؤثرين أكثر قدرة على التأثير من غيرهم، مثل المصداقية، والخبرة، والثقة، وطريقة عرض المحتوى.</w:t>
      </w:r>
    </w:p>
    <w:p w14:paraId="2F86E992" w14:textId="0FA971A9" w:rsidR="00D262BA" w:rsidRDefault="00BD21B8" w:rsidP="00380A78">
      <w:pPr>
        <w:spacing w:line="240" w:lineRule="auto"/>
        <w:jc w:val="lowKashida"/>
        <w:rPr>
          <w:rFonts w:ascii="Tajawal" w:hAnsi="Tajawal" w:cs="Tajawal"/>
          <w:rtl/>
        </w:rPr>
      </w:pPr>
      <w:r w:rsidRPr="00380A78">
        <w:rPr>
          <w:rFonts w:ascii="Tajawal" w:hAnsi="Tajawal" w:cs="Tajawal"/>
          <w:b/>
          <w:bCs/>
          <w:rtl/>
        </w:rPr>
        <w:t>وبناءً على ذلك، تعتمد الدراسة الحالية على نظرية التأثير الاجتماعي بوصفها الإطار النظري الذي تستند إليه في تفسير النتائج وتحليلها، لكونها من أكثر النظريات ارتباطًا بموضوع الدراسة، وتوفر أساسًا علميًا مناسبًا لفهم أثر المؤثرين في تشكيل اتجاهات المستهلكين والتأثير في قراراتهم الشرائية في ظل البيئة الرقمية الحديثة.</w:t>
      </w:r>
    </w:p>
    <w:p w14:paraId="4C2B02DD" w14:textId="77777777" w:rsidR="00380A78" w:rsidRDefault="00380A78" w:rsidP="00EA6006">
      <w:pPr>
        <w:rPr>
          <w:rFonts w:ascii="Bahij TheSansArabic Bold" w:hAnsi="Bahij TheSansArabic Bold" w:cs="Bahij TheSansArabic Bold"/>
          <w:sz w:val="32"/>
          <w:szCs w:val="32"/>
          <w:rtl/>
        </w:rPr>
      </w:pPr>
    </w:p>
    <w:p w14:paraId="61A86C3A" w14:textId="08C0167A" w:rsidR="00EA6006" w:rsidRDefault="00EA6006" w:rsidP="00EA6006">
      <w:pPr>
        <w:rPr>
          <w:rFonts w:ascii="Bahij TheSansArabic Bold" w:hAnsi="Bahij TheSansArabic Bold" w:cs="Bahij TheSansArabic Bold"/>
          <w:sz w:val="32"/>
          <w:szCs w:val="32"/>
          <w:rtl/>
        </w:rPr>
      </w:pPr>
      <w:r w:rsidRPr="00EA6006">
        <w:rPr>
          <w:rFonts w:ascii="Bahij TheSansArabic Bold" w:hAnsi="Bahij TheSansArabic Bold" w:cs="Bahij TheSansArabic Bold"/>
          <w:sz w:val="32"/>
          <w:szCs w:val="32"/>
          <w:rtl/>
        </w:rPr>
        <w:lastRenderedPageBreak/>
        <w:t>منهج ونوع الدراسة</w:t>
      </w:r>
      <w:r>
        <w:rPr>
          <w:rFonts w:ascii="Bahij TheSansArabic Bold" w:hAnsi="Bahij TheSansArabic Bold" w:cs="Bahij TheSansArabic Bold" w:hint="cs"/>
          <w:sz w:val="32"/>
          <w:szCs w:val="32"/>
          <w:rtl/>
        </w:rPr>
        <w:t>:</w:t>
      </w:r>
    </w:p>
    <w:p w14:paraId="1FF157C0" w14:textId="77777777" w:rsidR="00380A78" w:rsidRPr="00380A78" w:rsidRDefault="00380A78" w:rsidP="00EA6006">
      <w:pPr>
        <w:rPr>
          <w:rFonts w:ascii="Bahij TheSansArabic Bold" w:hAnsi="Bahij TheSansArabic Bold" w:cs="Bahij TheSansArabic Bold"/>
          <w:sz w:val="2"/>
          <w:szCs w:val="2"/>
          <w:rtl/>
        </w:rPr>
      </w:pPr>
    </w:p>
    <w:p w14:paraId="055D133F" w14:textId="77777777" w:rsidR="00012AC6" w:rsidRPr="00380A78" w:rsidRDefault="00012AC6" w:rsidP="00380A78">
      <w:pPr>
        <w:spacing w:line="240" w:lineRule="auto"/>
        <w:jc w:val="lowKashida"/>
        <w:rPr>
          <w:rFonts w:ascii="Tajawal" w:hAnsi="Tajawal" w:cs="Tajawal"/>
          <w:b/>
          <w:bCs/>
          <w:rtl/>
        </w:rPr>
      </w:pPr>
      <w:r w:rsidRPr="00380A78">
        <w:rPr>
          <w:rFonts w:ascii="Tajawal" w:hAnsi="Tajawal" w:cs="Tajawal"/>
          <w:b/>
          <w:bCs/>
          <w:rtl/>
        </w:rPr>
        <w:t>تعتمد هذه الدراسة على المنهج الوصفي المسحي، ويُعد من أكثر المناهج استخدامًا في البحوث الإعلامية والاجتماعية التي تهدف إلى دراسة الظواهر كما هي في الواقع، ووصفها وتحليلها بطريقة علمية منظمة، دون تدخل الباحث في المتغيرات أو التأثير عليها. ويتميز هذا المنهج بقدرته على جمع بيانات كمية من عدد كبير من أفراد المجتمع المستهدف، وتحليلها للوصول إلى نتائج تساعد في فهم الظاهرة محل الدراسة وتفسيرها.</w:t>
      </w:r>
    </w:p>
    <w:p w14:paraId="5EB818FF" w14:textId="77777777" w:rsidR="00012AC6" w:rsidRPr="00380A78" w:rsidRDefault="00012AC6" w:rsidP="00380A78">
      <w:pPr>
        <w:spacing w:line="240" w:lineRule="auto"/>
        <w:jc w:val="lowKashida"/>
        <w:rPr>
          <w:rFonts w:ascii="Tajawal" w:hAnsi="Tajawal" w:cs="Tajawal"/>
          <w:b/>
          <w:bCs/>
          <w:rtl/>
        </w:rPr>
      </w:pPr>
      <w:r w:rsidRPr="00380A78">
        <w:rPr>
          <w:rFonts w:ascii="Tajawal" w:hAnsi="Tajawal" w:cs="Tajawal"/>
          <w:b/>
          <w:bCs/>
          <w:rtl/>
        </w:rPr>
        <w:t>ويُعد اختيار المنهج الوصفي المسحي مناسبًا لموضوع هذه الدراسة، التي تتناول أثر المؤثرين في قرارات الشراء لدى المستهلكين، إذ تسعى إلى التعرف على طبيعة العلاقة بين متابعة المؤثرين عبر منصات التواصل الاجتماعي وبين السلوك الشرائي للمستهلكين، وقياس درجة هذا التأثير من خلال استجابات أفراد العينة، دون إجراء أي تجربة أو التلاعب بمتغيرات الدراسة.</w:t>
      </w:r>
    </w:p>
    <w:p w14:paraId="57A3E8EB" w14:textId="77777777" w:rsidR="00012AC6" w:rsidRPr="00380A78" w:rsidRDefault="00012AC6" w:rsidP="00380A78">
      <w:pPr>
        <w:spacing w:line="240" w:lineRule="auto"/>
        <w:jc w:val="lowKashida"/>
        <w:rPr>
          <w:rFonts w:ascii="Tajawal" w:hAnsi="Tajawal" w:cs="Tajawal"/>
          <w:b/>
          <w:bCs/>
          <w:rtl/>
        </w:rPr>
      </w:pPr>
      <w:r w:rsidRPr="00380A78">
        <w:rPr>
          <w:rFonts w:ascii="Tajawal" w:hAnsi="Tajawal" w:cs="Tajawal"/>
          <w:b/>
          <w:bCs/>
          <w:rtl/>
        </w:rPr>
        <w:t>وتندرج هذه الدراسة ضمن الدراسات الوصفية، لأنها تهدف إلى وصف واقع تأثير المؤثرين في قرارات الشراء لدى المستهلكين، وتحليل اتجاهات وآراء أفراد العينة تجاه المحتوى الذي يقدمه المؤثرون، ومدى اعتمادهم عليه عند اتخاذ قرار شراء منتج أو خدمة. كما تهدف إلى التعرف على العوامل التي قد تعزز هذا التأثير، مثل مصداقية المؤثر، والثقة به، وجودة المحتوى، ومدى تكرار متابعته.</w:t>
      </w:r>
    </w:p>
    <w:p w14:paraId="462B69FE" w14:textId="77777777" w:rsidR="00012AC6" w:rsidRPr="00380A78" w:rsidRDefault="00012AC6" w:rsidP="00380A78">
      <w:pPr>
        <w:spacing w:line="240" w:lineRule="auto"/>
        <w:jc w:val="lowKashida"/>
        <w:rPr>
          <w:rFonts w:ascii="Tajawal" w:hAnsi="Tajawal" w:cs="Tajawal"/>
          <w:b/>
          <w:bCs/>
          <w:rtl/>
        </w:rPr>
      </w:pPr>
      <w:r w:rsidRPr="00380A78">
        <w:rPr>
          <w:rFonts w:ascii="Tajawal" w:hAnsi="Tajawal" w:cs="Tajawal"/>
          <w:b/>
          <w:bCs/>
          <w:rtl/>
        </w:rPr>
        <w:t>ويعتمد المنهج الوصفي المسحي في هذه الدراسة على جمع البيانات باستخدام الاستبيان الإلكتروني، ثم تصنيفها وتحليلها باستخدام الأساليب الإحصائية المناسبة؛ بهدف الوصول إلى نتائج دقيقة تسهم في الإجابة عن أسئلة الدراسة وتحقيق أهدافها. ويُعد هذا المنهج مناسبًا لطبيعة البحث الحالي، نظرًا لإمكانية تطبيقه على عدد كبير من المشاركين، وإتاحة الفرصة لاستخلاص نتائج يمكن الاستفادة منها في فهم تأثير المؤثرين على السلوك الشرائي للمستهلكين.</w:t>
      </w:r>
    </w:p>
    <w:p w14:paraId="09AAD242" w14:textId="0A8E2153" w:rsidR="00D262BA" w:rsidRDefault="00012AC6" w:rsidP="00380A78">
      <w:pPr>
        <w:spacing w:line="240" w:lineRule="auto"/>
        <w:jc w:val="lowKashida"/>
        <w:rPr>
          <w:rFonts w:ascii="Bahij TheSansArabic Bold" w:hAnsi="Bahij TheSansArabic Bold" w:cs="Bahij TheSansArabic Bold"/>
          <w:rtl/>
        </w:rPr>
      </w:pPr>
      <w:r w:rsidRPr="00380A78">
        <w:rPr>
          <w:rFonts w:ascii="Tajawal" w:hAnsi="Tajawal" w:cs="Tajawal"/>
          <w:b/>
          <w:bCs/>
          <w:rtl/>
        </w:rPr>
        <w:t>كما يسهم هذا المنهج في تقديم صورة واقعية عن الظاهرة محل الدراسة، من خلال تحليل البيانات التي يتم جمعها من أفراد العينة، واستخلاص العلاقات بين متغيرات الدراسة، بما يساعد في تفسير النتائج في ضوء الإطار النظري والدراسات السابقة. ولهذا السبب يُعد المنهج الوصفي المسحي الخيار الأنسب لتحقيق أهداف هذه الدراسة والوصول إلى نتائج تتسم بالموضوعية والدقة العلمية.</w:t>
      </w:r>
    </w:p>
    <w:p w14:paraId="00095AA7" w14:textId="77777777" w:rsidR="00380A78" w:rsidRDefault="00380A78" w:rsidP="00380A78">
      <w:pPr>
        <w:spacing w:line="240" w:lineRule="auto"/>
        <w:rPr>
          <w:rFonts w:ascii="Bahij TheSansArabic Bold" w:hAnsi="Bahij TheSansArabic Bold" w:cs="Bahij TheSansArabic Bold"/>
          <w:rtl/>
        </w:rPr>
      </w:pPr>
    </w:p>
    <w:p w14:paraId="25943FF9" w14:textId="77777777" w:rsidR="00380A78" w:rsidRDefault="00380A78" w:rsidP="00380A78">
      <w:pPr>
        <w:spacing w:line="240" w:lineRule="auto"/>
        <w:rPr>
          <w:rFonts w:ascii="Bahij TheSansArabic Bold" w:hAnsi="Bahij TheSansArabic Bold" w:cs="Bahij TheSansArabic Bold"/>
          <w:rtl/>
        </w:rPr>
      </w:pPr>
    </w:p>
    <w:p w14:paraId="5DED85FC" w14:textId="77777777" w:rsidR="00380A78" w:rsidRDefault="00380A78" w:rsidP="00380A78">
      <w:pPr>
        <w:spacing w:line="240" w:lineRule="auto"/>
        <w:rPr>
          <w:rFonts w:ascii="Bahij TheSansArabic Bold" w:hAnsi="Bahij TheSansArabic Bold" w:cs="Bahij TheSansArabic Bold"/>
          <w:rtl/>
        </w:rPr>
      </w:pPr>
    </w:p>
    <w:p w14:paraId="5A82E3B3" w14:textId="77777777" w:rsidR="00380A78" w:rsidRDefault="00380A78" w:rsidP="00380A78">
      <w:pPr>
        <w:spacing w:line="240" w:lineRule="auto"/>
        <w:rPr>
          <w:rFonts w:ascii="Bahij TheSansArabic Bold" w:hAnsi="Bahij TheSansArabic Bold" w:cs="Bahij TheSansArabic Bold"/>
          <w:rtl/>
        </w:rPr>
      </w:pPr>
    </w:p>
    <w:p w14:paraId="15F10527" w14:textId="77777777" w:rsidR="00380A78" w:rsidRDefault="00380A78" w:rsidP="00D262BA">
      <w:pPr>
        <w:rPr>
          <w:rFonts w:ascii="Bahij TheSansArabic Bold" w:hAnsi="Bahij TheSansArabic Bold" w:cs="Bahij TheSansArabic Bold"/>
          <w:rtl/>
        </w:rPr>
      </w:pPr>
    </w:p>
    <w:p w14:paraId="6C9FF9B1" w14:textId="77777777" w:rsidR="00667FA9" w:rsidRDefault="00667FA9" w:rsidP="00D262BA">
      <w:pPr>
        <w:rPr>
          <w:rFonts w:ascii="Bahij TheSansArabic Bold" w:hAnsi="Bahij TheSansArabic Bold" w:cs="Bahij TheSansArabic Bold"/>
          <w:sz w:val="32"/>
          <w:szCs w:val="32"/>
          <w:rtl/>
        </w:rPr>
      </w:pPr>
    </w:p>
    <w:p w14:paraId="47502EFC" w14:textId="11E3D646" w:rsidR="00540A1C" w:rsidRPr="00540A1C" w:rsidRDefault="00540A1C" w:rsidP="00D262BA">
      <w:pPr>
        <w:rPr>
          <w:rFonts w:ascii="Bahij TheSansArabic Bold" w:hAnsi="Bahij TheSansArabic Bold" w:cs="Bahij TheSansArabic Bold"/>
          <w:sz w:val="32"/>
          <w:szCs w:val="32"/>
          <w:rtl/>
        </w:rPr>
      </w:pPr>
      <w:r w:rsidRPr="00540A1C">
        <w:rPr>
          <w:rFonts w:ascii="Bahij TheSansArabic Bold" w:hAnsi="Bahij TheSansArabic Bold" w:cs="Bahij TheSansArabic Bold"/>
          <w:sz w:val="32"/>
          <w:szCs w:val="32"/>
          <w:rtl/>
        </w:rPr>
        <w:lastRenderedPageBreak/>
        <w:t>عينة الدراسة</w:t>
      </w:r>
    </w:p>
    <w:p w14:paraId="3A383178" w14:textId="77777777" w:rsidR="00012AC6" w:rsidRPr="00667FA9" w:rsidRDefault="00012AC6" w:rsidP="00380A78">
      <w:pPr>
        <w:spacing w:line="240" w:lineRule="auto"/>
        <w:jc w:val="lowKashida"/>
        <w:rPr>
          <w:rFonts w:ascii="Tajawal" w:hAnsi="Tajawal" w:cs="Tajawal"/>
          <w:b/>
          <w:bCs/>
          <w:rtl/>
        </w:rPr>
      </w:pPr>
      <w:r w:rsidRPr="00667FA9">
        <w:rPr>
          <w:rFonts w:ascii="Tajawal" w:hAnsi="Tajawal" w:cs="Tajawal"/>
          <w:b/>
          <w:bCs/>
          <w:rtl/>
        </w:rPr>
        <w:t>تتمثل عينة الدراسة في المستهلكين المستخدمين لمنصات التواصل الاجتماعي، باعتبارهم الفئة الأكثر ارتباطًا بموضوع الدراسة، والأكثر تعرضًا للمحتوى الذي يقدمه المؤثرون عبر المنصات الرقمية المختلفة. وقد أصبح استخدام منصات التواصل الاجتماعي جزءًا من الحياة اليومية لشريحة واسعة من المستهلكين، مما يجعلهم المجتمع الأنسب لدراسة مدى تأثير المؤثرين في قراراتهم الشرائية.</w:t>
      </w:r>
    </w:p>
    <w:p w14:paraId="18CEAB47" w14:textId="77777777" w:rsidR="00012AC6" w:rsidRPr="00667FA9" w:rsidRDefault="00012AC6" w:rsidP="00380A78">
      <w:pPr>
        <w:spacing w:line="240" w:lineRule="auto"/>
        <w:jc w:val="lowKashida"/>
        <w:rPr>
          <w:rFonts w:ascii="Tajawal" w:hAnsi="Tajawal" w:cs="Tajawal"/>
          <w:b/>
          <w:bCs/>
          <w:rtl/>
        </w:rPr>
      </w:pPr>
      <w:r w:rsidRPr="00667FA9">
        <w:rPr>
          <w:rFonts w:ascii="Tajawal" w:hAnsi="Tajawal" w:cs="Tajawal"/>
          <w:b/>
          <w:bCs/>
          <w:rtl/>
        </w:rPr>
        <w:t>وسيتم اختيار أفراد العينة باستخدام العينة العشوائية البسيطة، وهي إحدى أساليب المعاينة الاحتمالية التي تمنح جميع أفراد المجتمع المستهدف فرصًا متساوية للمشاركة في الدراسة، الأمر الذي يسهم في تقليل التحيز وزيادة موضوعية النتائج. ويعد هذا النوع من العينات مناسبًا للدراسات الوصفية التي تعتمد على الاستبيان، لما يوفره من سهولة في التطبيق وإمكانية الوصول إلى عدد مناسب من المشاركين.</w:t>
      </w:r>
    </w:p>
    <w:p w14:paraId="4B8D7EBC" w14:textId="77777777" w:rsidR="00012AC6" w:rsidRPr="00667FA9" w:rsidRDefault="00012AC6" w:rsidP="00380A78">
      <w:pPr>
        <w:spacing w:line="240" w:lineRule="auto"/>
        <w:jc w:val="lowKashida"/>
        <w:rPr>
          <w:rFonts w:ascii="Tajawal" w:hAnsi="Tajawal" w:cs="Tajawal"/>
          <w:b/>
          <w:bCs/>
          <w:rtl/>
        </w:rPr>
      </w:pPr>
      <w:r w:rsidRPr="00667FA9">
        <w:rPr>
          <w:rFonts w:ascii="Tajawal" w:hAnsi="Tajawal" w:cs="Tajawal"/>
          <w:b/>
          <w:bCs/>
          <w:rtl/>
        </w:rPr>
        <w:t>ويشمل مجتمع الدراسة المستهلكين الذين يستخدمون منصات التواصل الاجتماعي بصورة منتظمة، ويتابعون المؤثرين أو يتعرضون للمحتوى الذي يقدمونه، سواء كان متعلقًا بالمنتجات أو الخدمات أو التجارب الشخصية. ويُتوقع أن تضم العينة أفرادًا من فئات عمرية ومستويات تعليمية ومهنية مختلفة، بهدف الحصول على بيانات تعكس تنوع آراء المستهلكين واختلاف تجاربهم في التعامل مع محتوى المؤثرين.</w:t>
      </w:r>
    </w:p>
    <w:p w14:paraId="0E43D821" w14:textId="77777777" w:rsidR="00012AC6" w:rsidRPr="00667FA9" w:rsidRDefault="00012AC6" w:rsidP="00380A78">
      <w:pPr>
        <w:spacing w:line="240" w:lineRule="auto"/>
        <w:jc w:val="lowKashida"/>
        <w:rPr>
          <w:rFonts w:ascii="Tajawal" w:hAnsi="Tajawal" w:cs="Tajawal"/>
          <w:b/>
          <w:bCs/>
          <w:rtl/>
        </w:rPr>
      </w:pPr>
      <w:r w:rsidRPr="00667FA9">
        <w:rPr>
          <w:rFonts w:ascii="Tajawal" w:hAnsi="Tajawal" w:cs="Tajawal"/>
          <w:b/>
          <w:bCs/>
          <w:rtl/>
        </w:rPr>
        <w:t>ويستند اختيار هذه العينة إلى طبيعة موضوع الدراسة، إذ لا يمكن قياس أثر المؤثرين في قرارات الشراء إلا من خلال الأشخاص الذين يستخدمون منصات التواصل الاجتماعي ويتفاعلون مع محتواها بصورة مستمرة. كما يسهم تنوع أفراد العينة في زيادة دقة النتائج، وإبراز الفروق في مستوى التأثر بالمؤثرين تبعًا لاختلاف الخصائص الديموغرافية للمشاركين.</w:t>
      </w:r>
    </w:p>
    <w:p w14:paraId="3438D503" w14:textId="5BC717B1" w:rsidR="00F30DF2" w:rsidRDefault="00012AC6" w:rsidP="00380A78">
      <w:pPr>
        <w:spacing w:line="240" w:lineRule="auto"/>
        <w:jc w:val="lowKashida"/>
        <w:rPr>
          <w:rFonts w:ascii="Tajawal" w:hAnsi="Tajawal" w:cs="Tajawal"/>
          <w:b/>
          <w:bCs/>
          <w:rtl/>
        </w:rPr>
      </w:pPr>
      <w:r w:rsidRPr="00667FA9">
        <w:rPr>
          <w:rFonts w:ascii="Tajawal" w:hAnsi="Tajawal" w:cs="Tajawal"/>
          <w:b/>
          <w:bCs/>
          <w:rtl/>
        </w:rPr>
        <w:t>ومن المتوقع أن توفر البيانات التي سيتم جمعها من أفراد العينة تصورًا واضحًا عن مدى تأثير المؤثرين في السلوك الشرائي للمستهلكين، والعوامل التي تجعل بعض المستهلكين أكثر تأثرًا من غيرهم، وهو ما يساعد في تحقيق أهداف الدراسة والإجابة عن أسئلتها، والخروج بنتائج يمكن الاستفادة منها في مجال الإعلام الرقمي والتسويق عبر المؤثرين.</w:t>
      </w:r>
    </w:p>
    <w:p w14:paraId="27FFA592" w14:textId="77777777" w:rsidR="00667FA9" w:rsidRDefault="00667FA9" w:rsidP="00380A78">
      <w:pPr>
        <w:spacing w:line="240" w:lineRule="auto"/>
        <w:jc w:val="lowKashida"/>
        <w:rPr>
          <w:rFonts w:ascii="Tajawal" w:hAnsi="Tajawal" w:cs="Tajawal"/>
          <w:b/>
          <w:bCs/>
          <w:rtl/>
        </w:rPr>
      </w:pPr>
    </w:p>
    <w:p w14:paraId="5B6AE582" w14:textId="77777777" w:rsidR="00667FA9" w:rsidRDefault="00667FA9" w:rsidP="00380A78">
      <w:pPr>
        <w:spacing w:line="240" w:lineRule="auto"/>
        <w:jc w:val="lowKashida"/>
        <w:rPr>
          <w:rFonts w:ascii="Tajawal" w:hAnsi="Tajawal" w:cs="Tajawal"/>
          <w:b/>
          <w:bCs/>
          <w:rtl/>
        </w:rPr>
      </w:pPr>
    </w:p>
    <w:p w14:paraId="5053E15F" w14:textId="77777777" w:rsidR="00667FA9" w:rsidRDefault="00667FA9" w:rsidP="00380A78">
      <w:pPr>
        <w:spacing w:line="240" w:lineRule="auto"/>
        <w:jc w:val="lowKashida"/>
        <w:rPr>
          <w:rFonts w:ascii="Tajawal" w:hAnsi="Tajawal" w:cs="Tajawal"/>
          <w:b/>
          <w:bCs/>
          <w:rtl/>
        </w:rPr>
      </w:pPr>
    </w:p>
    <w:p w14:paraId="58D4825B" w14:textId="77777777" w:rsidR="00667FA9" w:rsidRDefault="00667FA9" w:rsidP="00380A78">
      <w:pPr>
        <w:spacing w:line="240" w:lineRule="auto"/>
        <w:jc w:val="lowKashida"/>
        <w:rPr>
          <w:rFonts w:ascii="Tajawal" w:hAnsi="Tajawal" w:cs="Tajawal"/>
          <w:b/>
          <w:bCs/>
          <w:rtl/>
        </w:rPr>
      </w:pPr>
    </w:p>
    <w:p w14:paraId="042CBA2B" w14:textId="77777777" w:rsidR="00667FA9" w:rsidRDefault="00667FA9" w:rsidP="00380A78">
      <w:pPr>
        <w:spacing w:line="240" w:lineRule="auto"/>
        <w:jc w:val="lowKashida"/>
        <w:rPr>
          <w:rFonts w:ascii="Tajawal" w:hAnsi="Tajawal" w:cs="Tajawal"/>
          <w:b/>
          <w:bCs/>
          <w:rtl/>
        </w:rPr>
      </w:pPr>
    </w:p>
    <w:p w14:paraId="5BC20271" w14:textId="77777777" w:rsidR="00667FA9" w:rsidRDefault="00667FA9" w:rsidP="00380A78">
      <w:pPr>
        <w:spacing w:line="240" w:lineRule="auto"/>
        <w:jc w:val="lowKashida"/>
        <w:rPr>
          <w:rFonts w:ascii="Tajawal" w:hAnsi="Tajawal" w:cs="Tajawal"/>
          <w:b/>
          <w:bCs/>
          <w:rtl/>
        </w:rPr>
      </w:pPr>
    </w:p>
    <w:p w14:paraId="26F3E5B1" w14:textId="77777777" w:rsidR="00667FA9" w:rsidRDefault="00667FA9" w:rsidP="00380A78">
      <w:pPr>
        <w:spacing w:line="240" w:lineRule="auto"/>
        <w:jc w:val="lowKashida"/>
        <w:rPr>
          <w:rFonts w:ascii="Tajawal" w:hAnsi="Tajawal" w:cs="Tajawal"/>
          <w:b/>
          <w:bCs/>
          <w:rtl/>
        </w:rPr>
      </w:pPr>
    </w:p>
    <w:p w14:paraId="4B92A46A" w14:textId="77777777" w:rsidR="00667FA9" w:rsidRDefault="00667FA9" w:rsidP="00380A78">
      <w:pPr>
        <w:spacing w:line="240" w:lineRule="auto"/>
        <w:jc w:val="lowKashida"/>
        <w:rPr>
          <w:rFonts w:ascii="Tajawal" w:hAnsi="Tajawal" w:cs="Tajawal"/>
          <w:b/>
          <w:bCs/>
          <w:rtl/>
        </w:rPr>
      </w:pPr>
    </w:p>
    <w:p w14:paraId="2BF44BAA" w14:textId="77777777" w:rsidR="00667FA9" w:rsidRPr="00667FA9" w:rsidRDefault="00667FA9" w:rsidP="00380A78">
      <w:pPr>
        <w:spacing w:line="240" w:lineRule="auto"/>
        <w:jc w:val="lowKashida"/>
        <w:rPr>
          <w:rFonts w:ascii="Tajawal" w:hAnsi="Tajawal" w:cs="Tajawal"/>
          <w:b/>
          <w:bCs/>
          <w:rtl/>
        </w:rPr>
      </w:pPr>
    </w:p>
    <w:p w14:paraId="066C6BA4" w14:textId="77777777" w:rsidR="0062594E" w:rsidRPr="0062594E" w:rsidRDefault="0062594E" w:rsidP="0062594E">
      <w:pPr>
        <w:rPr>
          <w:rFonts w:ascii="Bahij TheSansArabic Bold" w:hAnsi="Bahij TheSansArabic Bold" w:cs="Bahij TheSansArabic Bold"/>
          <w:sz w:val="32"/>
          <w:szCs w:val="32"/>
          <w:rtl/>
        </w:rPr>
      </w:pPr>
      <w:r w:rsidRPr="0062594E">
        <w:rPr>
          <w:rFonts w:ascii="Bahij TheSansArabic Bold" w:hAnsi="Bahij TheSansArabic Bold" w:cs="Bahij TheSansArabic Bold"/>
          <w:sz w:val="32"/>
          <w:szCs w:val="32"/>
          <w:rtl/>
        </w:rPr>
        <w:lastRenderedPageBreak/>
        <w:t>أدوات جمع البيانات</w:t>
      </w:r>
    </w:p>
    <w:p w14:paraId="67154C5A" w14:textId="77777777" w:rsidR="00380A78" w:rsidRPr="00667FA9" w:rsidRDefault="00380A78" w:rsidP="00667FA9">
      <w:pPr>
        <w:pBdr>
          <w:bottom w:val="single" w:sz="6" w:space="1" w:color="auto"/>
        </w:pBdr>
        <w:spacing w:line="240" w:lineRule="auto"/>
        <w:jc w:val="lowKashida"/>
        <w:rPr>
          <w:rFonts w:ascii="Tajawal" w:hAnsi="Tajawal" w:cs="Tajawal"/>
          <w:b/>
          <w:bCs/>
          <w:rtl/>
        </w:rPr>
      </w:pPr>
      <w:r w:rsidRPr="00667FA9">
        <w:rPr>
          <w:rFonts w:ascii="Tajawal" w:hAnsi="Tajawal" w:cs="Tajawal"/>
          <w:b/>
          <w:bCs/>
          <w:rtl/>
        </w:rPr>
        <w:t>تعتمد هذه الدراسة على الاستبيان الإلكتروني بوصفه الأداة الرئيسة لجمع البيانات، وذلك لملاءمته لطبيعة الدراسة والمنهج الوصفي المسحي، ولقدرته على الوصول إلى عدد كبير من أفراد العينة في وقت قصير، إضافة إلى سهولة توزيعه عبر منصات التواصل الاجتماعي، وانخفاض تكلفته مقارنة بغيره من أدوات جمع البيانات، مثل المقابلات أو الملاحظة.</w:t>
      </w:r>
    </w:p>
    <w:p w14:paraId="371EFED3" w14:textId="77777777" w:rsidR="00380A78" w:rsidRPr="00667FA9" w:rsidRDefault="00380A78" w:rsidP="00667FA9">
      <w:pPr>
        <w:pBdr>
          <w:bottom w:val="single" w:sz="6" w:space="1" w:color="auto"/>
        </w:pBdr>
        <w:spacing w:line="240" w:lineRule="auto"/>
        <w:jc w:val="lowKashida"/>
        <w:rPr>
          <w:rFonts w:ascii="Tajawal" w:hAnsi="Tajawal" w:cs="Tajawal"/>
          <w:b/>
          <w:bCs/>
          <w:rtl/>
        </w:rPr>
      </w:pPr>
      <w:r w:rsidRPr="00667FA9">
        <w:rPr>
          <w:rFonts w:ascii="Tajawal" w:hAnsi="Tajawal" w:cs="Tajawal"/>
          <w:b/>
          <w:bCs/>
          <w:rtl/>
        </w:rPr>
        <w:t>ويُعد الاستبيان من أكثر الأدوات استخدامًا في البحوث الإعلامية والاجتماعية، لما يوفره من إمكانية جمع البيانات بطريقة منظمة، والحصول على استجابات مباشرة من أفراد العينة، بما يسهم في قياس اتجاهاتهم وآرائهم بدقة. كما يتيح للباحث تحليل البيانات إحصائيًا واستخلاص النتائج بصورة علمية، الأمر الذي يساعد في الإجابة عن أسئلة الدراسة وتحقيق أهدافها.</w:t>
      </w:r>
    </w:p>
    <w:p w14:paraId="3B22AE3C" w14:textId="77777777" w:rsidR="00380A78" w:rsidRPr="00667FA9" w:rsidRDefault="00380A78" w:rsidP="00667FA9">
      <w:pPr>
        <w:pBdr>
          <w:bottom w:val="single" w:sz="6" w:space="1" w:color="auto"/>
        </w:pBdr>
        <w:spacing w:line="240" w:lineRule="auto"/>
        <w:jc w:val="lowKashida"/>
        <w:rPr>
          <w:rFonts w:ascii="Tajawal" w:hAnsi="Tajawal" w:cs="Tajawal"/>
          <w:b/>
          <w:bCs/>
          <w:rtl/>
        </w:rPr>
      </w:pPr>
      <w:r w:rsidRPr="00667FA9">
        <w:rPr>
          <w:rFonts w:ascii="Tajawal" w:hAnsi="Tajawal" w:cs="Tajawal"/>
          <w:b/>
          <w:bCs/>
          <w:rtl/>
        </w:rPr>
        <w:t>وسيتم تصميم الاستبيان بما يتوافق مع موضوع الدراسة وأهدافها، مع مراعاة وضوح العبارات وسهولة فهمها من قبل المشاركين، والابتعاد عن الأسئلة التي قد تؤدي إلى التحيز في الإجابات. كما سيتم ترتيب فقرات الاستبيان بصورة منطقية؛ لضمان سهولة الإجابة وتحقيق أعلى درجة ممكنة من دقة البيانات.</w:t>
      </w:r>
    </w:p>
    <w:p w14:paraId="3C82F582" w14:textId="77777777" w:rsidR="00380A78" w:rsidRPr="00667FA9" w:rsidRDefault="00380A78" w:rsidP="00667FA9">
      <w:pPr>
        <w:pBdr>
          <w:bottom w:val="single" w:sz="6" w:space="1" w:color="auto"/>
        </w:pBdr>
        <w:spacing w:line="240" w:lineRule="auto"/>
        <w:jc w:val="lowKashida"/>
        <w:rPr>
          <w:rFonts w:ascii="Tajawal" w:hAnsi="Tajawal" w:cs="Tajawal"/>
          <w:b/>
          <w:bCs/>
          <w:rtl/>
        </w:rPr>
      </w:pPr>
      <w:r w:rsidRPr="00667FA9">
        <w:rPr>
          <w:rFonts w:ascii="Tajawal" w:hAnsi="Tajawal" w:cs="Tajawal"/>
          <w:b/>
          <w:bCs/>
          <w:rtl/>
        </w:rPr>
        <w:t>ويتكون الاستبيان من قسمين رئيسين؛ يختص القسم الأول بجمع البيانات الديموغرافية للمشاركين، مثل العمر، والجنس، والمستوى التعليمي، وعدد ساعات استخدام منصات التواصل الاجتماعي، ومدى متابعة المؤثرين. أما القسم الثاني، فيتضمن مجموعة من العبارات التي تقيس أثر المؤثرين في قرارات الشراء لدى المستهلكين، من خلال قياس مجموعة من الأبعاد، مثل مستوى الثقة بالمؤثر، ومصداقية المحتوى، وتأثير التوصيات والإعلانات، ومدى اعتماد المستهلك على آراء المؤثرين قبل اتخاذ قرار الشراء.</w:t>
      </w:r>
    </w:p>
    <w:p w14:paraId="07116189" w14:textId="77777777" w:rsidR="00380A78" w:rsidRPr="00667FA9" w:rsidRDefault="00380A78" w:rsidP="00667FA9">
      <w:pPr>
        <w:pBdr>
          <w:bottom w:val="single" w:sz="6" w:space="1" w:color="auto"/>
        </w:pBdr>
        <w:spacing w:line="240" w:lineRule="auto"/>
        <w:jc w:val="lowKashida"/>
        <w:rPr>
          <w:rFonts w:ascii="Tajawal" w:hAnsi="Tajawal" w:cs="Tajawal"/>
          <w:b/>
          <w:bCs/>
          <w:rtl/>
        </w:rPr>
      </w:pPr>
      <w:r w:rsidRPr="00667FA9">
        <w:rPr>
          <w:rFonts w:ascii="Tajawal" w:hAnsi="Tajawal" w:cs="Tajawal"/>
          <w:b/>
          <w:bCs/>
          <w:rtl/>
        </w:rPr>
        <w:t xml:space="preserve">وستُقاس استجابات أفراد العينة باستخدام مقياس </w:t>
      </w:r>
      <w:proofErr w:type="spellStart"/>
      <w:r w:rsidRPr="00667FA9">
        <w:rPr>
          <w:rFonts w:ascii="Tajawal" w:hAnsi="Tajawal" w:cs="Tajawal"/>
          <w:b/>
          <w:bCs/>
          <w:rtl/>
        </w:rPr>
        <w:t>ليكرت</w:t>
      </w:r>
      <w:proofErr w:type="spellEnd"/>
      <w:r w:rsidRPr="00667FA9">
        <w:rPr>
          <w:rFonts w:ascii="Tajawal" w:hAnsi="Tajawal" w:cs="Tajawal"/>
          <w:b/>
          <w:bCs/>
          <w:rtl/>
        </w:rPr>
        <w:t xml:space="preserve"> الخماسي، الذي يُعد من أكثر المقاييس استخدامًا في الدراسات الوصفية، حيث يتيح قياس درجة موافقة المشاركين على العبارات المطروحة، ويساعد في إجراء التحليلات الإحصائية اللازمة لاستخراج المتوسطات والانحرافات المعيارية واختبار العلاقات بين متغيرات الدراسة. كما يسهم هذا المقياس في تقديم نتائج دقيقة يمكن الاستناد إليها عند مناقشة نتائج الدراسة واستخلاص التوصيات المناسبة.</w:t>
      </w:r>
    </w:p>
    <w:p w14:paraId="61A4CDBD" w14:textId="40D76810" w:rsidR="00597CD8" w:rsidRDefault="00380A78" w:rsidP="00667FA9">
      <w:pPr>
        <w:pBdr>
          <w:bottom w:val="single" w:sz="6" w:space="1" w:color="auto"/>
        </w:pBdr>
        <w:spacing w:line="240" w:lineRule="auto"/>
        <w:jc w:val="lowKashida"/>
        <w:rPr>
          <w:rFonts w:ascii="Tajawal" w:hAnsi="Tajawal" w:cs="Tajawal"/>
          <w:rtl/>
        </w:rPr>
      </w:pPr>
      <w:r w:rsidRPr="00667FA9">
        <w:rPr>
          <w:rFonts w:ascii="Tajawal" w:hAnsi="Tajawal" w:cs="Tajawal"/>
          <w:b/>
          <w:bCs/>
          <w:rtl/>
        </w:rPr>
        <w:t>ويُتوقع أن يسهم استخدام الاستبيان الإلكتروني في الحصول على بيانات موثوقة تعكس آراء المستهلكين واتجاهاتهم نحو المحتوى الذي يقدمه المؤثرون عبر منصات التواصل الاجتماعي، مما يساعد في الوصول إلى نتائج علمية تدعم أهداف الدراسة وتفسر طبيعة العلاقة بين المؤثرين وقرارات الشراء لدى المستهلكين.</w:t>
      </w:r>
    </w:p>
    <w:p w14:paraId="12D1873A" w14:textId="77777777" w:rsidR="00667FA9" w:rsidRDefault="00667FA9" w:rsidP="00667FA9">
      <w:pPr>
        <w:pBdr>
          <w:bottom w:val="single" w:sz="6" w:space="1" w:color="auto"/>
        </w:pBdr>
        <w:spacing w:line="240" w:lineRule="auto"/>
        <w:jc w:val="lowKashida"/>
        <w:rPr>
          <w:rFonts w:ascii="Tajawal" w:hAnsi="Tajawal" w:cs="Tajawal"/>
          <w:rtl/>
        </w:rPr>
      </w:pPr>
    </w:p>
    <w:p w14:paraId="50D2E9AD" w14:textId="77777777" w:rsidR="00667FA9" w:rsidRDefault="00667FA9" w:rsidP="00667FA9">
      <w:pPr>
        <w:pBdr>
          <w:bottom w:val="single" w:sz="6" w:space="1" w:color="auto"/>
        </w:pBdr>
        <w:spacing w:line="240" w:lineRule="auto"/>
        <w:jc w:val="lowKashida"/>
        <w:rPr>
          <w:rFonts w:ascii="Tajawal" w:hAnsi="Tajawal" w:cs="Tajawal"/>
          <w:rtl/>
        </w:rPr>
      </w:pPr>
    </w:p>
    <w:p w14:paraId="3B4ABB9A" w14:textId="77777777" w:rsidR="00667FA9" w:rsidRDefault="00667FA9" w:rsidP="00667FA9">
      <w:pPr>
        <w:pBdr>
          <w:bottom w:val="single" w:sz="6" w:space="1" w:color="auto"/>
        </w:pBdr>
        <w:spacing w:line="240" w:lineRule="auto"/>
        <w:jc w:val="lowKashida"/>
        <w:rPr>
          <w:rFonts w:ascii="Tajawal" w:hAnsi="Tajawal" w:cs="Tajawal"/>
          <w:rtl/>
        </w:rPr>
      </w:pPr>
    </w:p>
    <w:p w14:paraId="0BD134CE" w14:textId="77777777" w:rsidR="00667FA9" w:rsidRDefault="00667FA9" w:rsidP="00667FA9">
      <w:pPr>
        <w:pBdr>
          <w:bottom w:val="single" w:sz="6" w:space="1" w:color="auto"/>
        </w:pBdr>
        <w:spacing w:line="240" w:lineRule="auto"/>
        <w:jc w:val="lowKashida"/>
        <w:rPr>
          <w:rFonts w:ascii="Tajawal" w:hAnsi="Tajawal" w:cs="Tajawal"/>
          <w:rtl/>
        </w:rPr>
      </w:pPr>
    </w:p>
    <w:p w14:paraId="7ABFAFE4" w14:textId="77777777" w:rsidR="00667FA9" w:rsidRDefault="00667FA9" w:rsidP="00667FA9">
      <w:pPr>
        <w:pBdr>
          <w:bottom w:val="single" w:sz="6" w:space="1" w:color="auto"/>
        </w:pBdr>
        <w:spacing w:line="240" w:lineRule="auto"/>
        <w:jc w:val="lowKashida"/>
        <w:rPr>
          <w:rFonts w:ascii="Tajawal" w:hAnsi="Tajawal" w:cs="Tajawal"/>
          <w:rtl/>
        </w:rPr>
      </w:pPr>
    </w:p>
    <w:p w14:paraId="6EDA3F4B" w14:textId="77777777" w:rsidR="00667FA9" w:rsidRPr="00667FA9" w:rsidRDefault="00667FA9" w:rsidP="00667FA9">
      <w:pPr>
        <w:pBdr>
          <w:bottom w:val="single" w:sz="6" w:space="1" w:color="auto"/>
        </w:pBdr>
        <w:spacing w:line="240" w:lineRule="auto"/>
        <w:jc w:val="lowKashida"/>
        <w:rPr>
          <w:rFonts w:ascii="Tajawal" w:hAnsi="Tajawal" w:cs="Tajawal"/>
          <w:rtl/>
        </w:rPr>
      </w:pPr>
    </w:p>
    <w:p w14:paraId="46F365D3" w14:textId="5747E5A4" w:rsidR="005E0EBE" w:rsidRPr="005E0EBE" w:rsidRDefault="0032496B" w:rsidP="00AC5483">
      <w:pPr>
        <w:rPr>
          <w:rFonts w:ascii="Bahij TheSansArabic Bold" w:hAnsi="Bahij TheSansArabic Bold" w:cs="Bahij TheSansArabic Bold"/>
          <w:i/>
          <w:iCs/>
          <w:rtl/>
        </w:rPr>
      </w:pPr>
      <w:r w:rsidRPr="0032496B">
        <w:rPr>
          <w:rFonts w:ascii="Bahij TheSansArabic Bold" w:hAnsi="Bahij TheSansArabic Bold" w:cs="Bahij TheSansArabic Bold"/>
          <w:i/>
          <w:iCs/>
          <w:rtl/>
        </w:rPr>
        <w:lastRenderedPageBreak/>
        <w:t>المراجع:</w:t>
      </w:r>
    </w:p>
    <w:p w14:paraId="02961E7B" w14:textId="4D3DF57F" w:rsidR="005E0EBE" w:rsidRPr="005E0EBE" w:rsidRDefault="005E0EBE" w:rsidP="005E0EBE">
      <w:pPr>
        <w:pStyle w:val="ListParagraph"/>
        <w:numPr>
          <w:ilvl w:val="0"/>
          <w:numId w:val="1"/>
        </w:numPr>
        <w:bidi w:val="0"/>
        <w:spacing w:line="240" w:lineRule="auto"/>
        <w:rPr>
          <w:rFonts w:ascii="Tajawal" w:hAnsi="Tajawal" w:cs="Tajawal"/>
          <w:i/>
          <w:iCs/>
          <w:sz w:val="18"/>
          <w:szCs w:val="18"/>
        </w:rPr>
      </w:pPr>
      <w:r w:rsidRPr="005E0EBE">
        <w:rPr>
          <w:rFonts w:ascii="Tajawal" w:hAnsi="Tajawal" w:cs="Tajawal"/>
          <w:i/>
          <w:iCs/>
          <w:sz w:val="18"/>
          <w:szCs w:val="18"/>
        </w:rPr>
        <w:t>Kelman, H. C. (1958). Compliance, Identification, and Internalization: Three Processes of Attitude Change. Journal of Conflict Resolution, 2(1), 51–60</w:t>
      </w:r>
      <w:r w:rsidRPr="005E0EBE">
        <w:rPr>
          <w:rFonts w:ascii="Tajawal" w:hAnsi="Tajawal" w:cs="Tajawal"/>
          <w:i/>
          <w:iCs/>
          <w:sz w:val="18"/>
          <w:szCs w:val="18"/>
          <w:rtl/>
        </w:rPr>
        <w:t>.</w:t>
      </w:r>
    </w:p>
    <w:p w14:paraId="541C0B75" w14:textId="3473F24B" w:rsidR="005E0EBE" w:rsidRPr="005E0EBE" w:rsidRDefault="005E0EBE" w:rsidP="005E0EBE">
      <w:pPr>
        <w:pStyle w:val="ListParagraph"/>
        <w:numPr>
          <w:ilvl w:val="0"/>
          <w:numId w:val="1"/>
        </w:numPr>
        <w:bidi w:val="0"/>
        <w:spacing w:line="240" w:lineRule="auto"/>
        <w:rPr>
          <w:rFonts w:ascii="Tajawal" w:hAnsi="Tajawal" w:cs="Tajawal"/>
          <w:i/>
          <w:iCs/>
          <w:sz w:val="18"/>
          <w:szCs w:val="18"/>
        </w:rPr>
      </w:pPr>
      <w:r w:rsidRPr="005E0EBE">
        <w:rPr>
          <w:rFonts w:ascii="Tajawal" w:hAnsi="Tajawal" w:cs="Tajawal"/>
          <w:i/>
          <w:iCs/>
          <w:sz w:val="18"/>
          <w:szCs w:val="18"/>
        </w:rPr>
        <w:t>Cialdini, R. B. (2021). Influence: Science and Practice (6th ed.). Pearson</w:t>
      </w:r>
      <w:r w:rsidRPr="005E0EBE">
        <w:rPr>
          <w:rFonts w:ascii="Tajawal" w:hAnsi="Tajawal" w:cs="Tajawal"/>
          <w:i/>
          <w:iCs/>
          <w:sz w:val="18"/>
          <w:szCs w:val="18"/>
          <w:rtl/>
        </w:rPr>
        <w:t>.</w:t>
      </w:r>
    </w:p>
    <w:p w14:paraId="52F058E1" w14:textId="503F21EB" w:rsidR="005E0EBE" w:rsidRPr="005E0EBE" w:rsidRDefault="005E0EBE" w:rsidP="005E0EBE">
      <w:pPr>
        <w:pStyle w:val="ListParagraph"/>
        <w:numPr>
          <w:ilvl w:val="0"/>
          <w:numId w:val="1"/>
        </w:numPr>
        <w:bidi w:val="0"/>
        <w:spacing w:line="240" w:lineRule="auto"/>
        <w:rPr>
          <w:rFonts w:ascii="Tajawal" w:hAnsi="Tajawal" w:cs="Tajawal"/>
          <w:i/>
          <w:iCs/>
          <w:sz w:val="18"/>
          <w:szCs w:val="18"/>
          <w:rtl/>
        </w:rPr>
      </w:pPr>
      <w:r w:rsidRPr="005E0EBE">
        <w:rPr>
          <w:rFonts w:ascii="Tajawal" w:hAnsi="Tajawal" w:cs="Tajawal"/>
          <w:i/>
          <w:iCs/>
          <w:sz w:val="18"/>
          <w:szCs w:val="18"/>
          <w:rtl/>
        </w:rPr>
        <w:t>محمد عبد الحميد. (2004). البحث العلمي في الدراسات الإعلامية (الطبعة الثانية). القاهرة: عالم الكتب.</w:t>
      </w:r>
    </w:p>
    <w:p w14:paraId="1F9B9CA8" w14:textId="6B616DD7" w:rsidR="0032496B" w:rsidRPr="005E0EBE" w:rsidRDefault="005E0EBE" w:rsidP="005E0EBE">
      <w:pPr>
        <w:pStyle w:val="ListParagraph"/>
        <w:numPr>
          <w:ilvl w:val="0"/>
          <w:numId w:val="1"/>
        </w:numPr>
        <w:bidi w:val="0"/>
        <w:spacing w:line="240" w:lineRule="auto"/>
        <w:rPr>
          <w:rFonts w:ascii="Tajawal" w:hAnsi="Tajawal" w:cs="Tajawal"/>
          <w:i/>
          <w:iCs/>
          <w:sz w:val="18"/>
          <w:szCs w:val="18"/>
          <w:rtl/>
        </w:rPr>
      </w:pPr>
      <w:r w:rsidRPr="005E0EBE">
        <w:rPr>
          <w:rFonts w:ascii="Tajawal" w:hAnsi="Tajawal" w:cs="Tajawal"/>
          <w:i/>
          <w:iCs/>
          <w:sz w:val="18"/>
          <w:szCs w:val="18"/>
          <w:rtl/>
        </w:rPr>
        <w:t>ربحي مصطفى عليان، وعثمان محمد غنيم. (2018). مناهج وأساليب البحث العلمي. عمّان: دار صفاء للنشر والتوزيع.</w:t>
      </w:r>
    </w:p>
    <w:sectPr w:rsidR="0032496B" w:rsidRPr="005E0EBE"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hij TheSansArabic Bold">
    <w:panose1 w:val="02040503050201020203"/>
    <w:charset w:val="00"/>
    <w:family w:val="roman"/>
    <w:pitch w:val="variable"/>
    <w:sig w:usb0="8000202F" w:usb1="8000A04A"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Tajawal">
    <w:panose1 w:val="00000500000000000000"/>
    <w:charset w:val="00"/>
    <w:family w:val="auto"/>
    <w:pitch w:val="variable"/>
    <w:sig w:usb0="8000202F" w:usb1="9000204A"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4665A5"/>
    <w:multiLevelType w:val="hybridMultilevel"/>
    <w:tmpl w:val="73945A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359597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12AC6"/>
    <w:rsid w:val="00091138"/>
    <w:rsid w:val="0012324F"/>
    <w:rsid w:val="001340AA"/>
    <w:rsid w:val="001950B2"/>
    <w:rsid w:val="00235A24"/>
    <w:rsid w:val="002C1A51"/>
    <w:rsid w:val="0032496B"/>
    <w:rsid w:val="00380A78"/>
    <w:rsid w:val="00540A1C"/>
    <w:rsid w:val="00555966"/>
    <w:rsid w:val="00597CD8"/>
    <w:rsid w:val="005E0EBE"/>
    <w:rsid w:val="006123AA"/>
    <w:rsid w:val="0062594E"/>
    <w:rsid w:val="00667FA9"/>
    <w:rsid w:val="006836C4"/>
    <w:rsid w:val="007465CB"/>
    <w:rsid w:val="00787E85"/>
    <w:rsid w:val="007C695D"/>
    <w:rsid w:val="008F0F95"/>
    <w:rsid w:val="009F3343"/>
    <w:rsid w:val="00AC5483"/>
    <w:rsid w:val="00B52BE6"/>
    <w:rsid w:val="00B716AA"/>
    <w:rsid w:val="00BD21B8"/>
    <w:rsid w:val="00BD2E07"/>
    <w:rsid w:val="00C23E49"/>
    <w:rsid w:val="00CA1762"/>
    <w:rsid w:val="00D262BA"/>
    <w:rsid w:val="00DA0071"/>
    <w:rsid w:val="00EA6006"/>
    <w:rsid w:val="00F30DF2"/>
    <w:rsid w:val="00F966E1"/>
    <w:rsid w:val="00FE160A"/>
    <w:rsid w:val="00FE7F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1373</Words>
  <Characters>7831</Characters>
  <Application>Microsoft Office Word</Application>
  <DocSecurity>0</DocSecurity>
  <Lines>65</Lines>
  <Paragraphs>18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Mohammed Al-Mazyad</cp:lastModifiedBy>
  <cp:revision>29</cp:revision>
  <dcterms:created xsi:type="dcterms:W3CDTF">2026-02-26T14:50:00Z</dcterms:created>
  <dcterms:modified xsi:type="dcterms:W3CDTF">2026-06-30T22:12:00Z</dcterms:modified>
</cp:coreProperties>
</file>