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BC2610" w14:textId="77777777" w:rsidR="00225AC7" w:rsidRDefault="0082177C">
      <w:r>
        <w:rPr>
          <w:rFonts w:ascii="Simplified Arabic" w:eastAsia="Simplified Arabic" w:hAnsi="Simplified Arabic" w:cs="Simplified Arabic"/>
          <w:noProof/>
          <w:color w:val="000000"/>
          <w:kern w:val="0"/>
          <w:sz w:val="28"/>
          <w:szCs w:val="28"/>
          <w:rtl/>
        </w:rPr>
        <w:drawing>
          <wp:anchor distT="0" distB="0" distL="114300" distR="114300" simplePos="0" relativeHeight="251659264" behindDoc="0" locked="0" layoutInCell="1" allowOverlap="1" wp14:anchorId="6FBC2610" wp14:editId="6FBC2611">
            <wp:simplePos x="0" y="0"/>
            <wp:positionH relativeFrom="margin">
              <wp:posOffset>-689539</wp:posOffset>
            </wp:positionH>
            <wp:positionV relativeFrom="margin">
              <wp:posOffset>-629253</wp:posOffset>
            </wp:positionV>
            <wp:extent cx="2227149" cy="2066928"/>
            <wp:effectExtent l="0" t="0" r="1701" b="9522"/>
            <wp:wrapSquare wrapText="bothSides"/>
            <wp:docPr id="1815578027" name="Picture 1"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2227149" cy="2066928"/>
                    </a:xfrm>
                    <a:prstGeom prst="rect">
                      <a:avLst/>
                    </a:prstGeom>
                    <a:noFill/>
                    <a:ln>
                      <a:noFill/>
                      <a:prstDash/>
                    </a:ln>
                  </pic:spPr>
                </pic:pic>
              </a:graphicData>
            </a:graphic>
          </wp:anchor>
        </w:drawing>
      </w:r>
      <w:r>
        <w:rPr>
          <w:rFonts w:ascii="Simplified Arabic" w:eastAsia="Simplified Arabic" w:hAnsi="Simplified Arabic" w:cs="Simplified Arabic"/>
          <w:color w:val="000000"/>
          <w:kern w:val="0"/>
          <w:sz w:val="28"/>
          <w:szCs w:val="28"/>
          <w:rtl/>
        </w:rPr>
        <w:t>جامعة ميدأوشن</w:t>
      </w:r>
    </w:p>
    <w:p w14:paraId="6FBC2611" w14:textId="77777777" w:rsidR="00225AC7" w:rsidRDefault="0082177C">
      <w:pPr>
        <w:rPr>
          <w:rFonts w:ascii="Simplified Arabic" w:eastAsia="Simplified Arabic" w:hAnsi="Simplified Arabic" w:cs="Simplified Arabic"/>
          <w:color w:val="000000"/>
          <w:kern w:val="0"/>
          <w:sz w:val="28"/>
          <w:szCs w:val="28"/>
        </w:rPr>
      </w:pPr>
      <w:r>
        <w:rPr>
          <w:rFonts w:ascii="Simplified Arabic" w:eastAsia="Simplified Arabic" w:hAnsi="Simplified Arabic" w:cs="Simplified Arabic"/>
          <w:color w:val="000000"/>
          <w:kern w:val="0"/>
          <w:sz w:val="28"/>
          <w:szCs w:val="28"/>
          <w:rtl/>
        </w:rPr>
        <w:t>كلية الإدارة</w:t>
      </w:r>
    </w:p>
    <w:p w14:paraId="6FBC2612" w14:textId="77777777" w:rsidR="00225AC7" w:rsidRDefault="0082177C">
      <w:pPr>
        <w:rPr>
          <w:rFonts w:ascii="Simplified Arabic" w:eastAsia="Simplified Arabic" w:hAnsi="Simplified Arabic" w:cs="Simplified Arabic"/>
          <w:color w:val="000000"/>
          <w:kern w:val="0"/>
          <w:sz w:val="28"/>
          <w:szCs w:val="28"/>
        </w:rPr>
      </w:pPr>
      <w:r>
        <w:rPr>
          <w:rFonts w:ascii="Simplified Arabic" w:eastAsia="Simplified Arabic" w:hAnsi="Simplified Arabic" w:cs="Simplified Arabic"/>
          <w:color w:val="000000"/>
          <w:kern w:val="0"/>
          <w:sz w:val="28"/>
          <w:szCs w:val="28"/>
          <w:rtl/>
        </w:rPr>
        <w:t>قسم / تخصص إدارة الاعمال</w:t>
      </w:r>
    </w:p>
    <w:p w14:paraId="6FBC2613" w14:textId="77777777" w:rsidR="00225AC7" w:rsidRDefault="00225AC7">
      <w:pPr>
        <w:rPr>
          <w:rFonts w:ascii="Sakkal Majalla" w:hAnsi="Sakkal Majalla" w:cs="Sakkal Majalla"/>
          <w:sz w:val="28"/>
          <w:szCs w:val="28"/>
        </w:rPr>
      </w:pPr>
    </w:p>
    <w:p w14:paraId="6FBC2614" w14:textId="77777777" w:rsidR="00225AC7" w:rsidRDefault="00225AC7">
      <w:pPr>
        <w:jc w:val="center"/>
        <w:rPr>
          <w:rFonts w:ascii="Simplified Arabic" w:eastAsia="Simplified Arabic" w:hAnsi="Simplified Arabic" w:cs="Simplified Arabic"/>
          <w:b/>
          <w:bCs/>
          <w:color w:val="000000"/>
          <w:kern w:val="0"/>
          <w:sz w:val="32"/>
          <w:szCs w:val="32"/>
        </w:rPr>
      </w:pPr>
    </w:p>
    <w:p w14:paraId="6FBC2615" w14:textId="77777777" w:rsidR="00225AC7" w:rsidRDefault="0082177C">
      <w:pPr>
        <w:jc w:val="center"/>
      </w:pPr>
      <w:r>
        <w:rPr>
          <w:rFonts w:ascii="Simplified Arabic" w:eastAsia="Simplified Arabic" w:hAnsi="Simplified Arabic" w:cs="Simplified Arabic"/>
          <w:b/>
          <w:bCs/>
          <w:color w:val="000000"/>
          <w:kern w:val="0"/>
          <w:sz w:val="32"/>
          <w:szCs w:val="32"/>
          <w:rtl/>
        </w:rPr>
        <w:t>أثر إدارة المرافق المستدامة على كفاءة التشغيل:</w:t>
      </w:r>
    </w:p>
    <w:p w14:paraId="6FBC2616" w14:textId="77777777" w:rsidR="00225AC7" w:rsidRDefault="0082177C">
      <w:pPr>
        <w:jc w:val="center"/>
      </w:pPr>
      <w:r>
        <w:rPr>
          <w:rFonts w:ascii="Simplified Arabic" w:eastAsia="Simplified Arabic" w:hAnsi="Simplified Arabic" w:cs="Simplified Arabic"/>
          <w:b/>
          <w:bCs/>
          <w:color w:val="000000"/>
          <w:kern w:val="0"/>
          <w:sz w:val="32"/>
          <w:szCs w:val="32"/>
          <w:rtl/>
        </w:rPr>
        <w:t>دراسة تطبيقية على مشاريع الواجهة البحرية في جدة</w:t>
      </w:r>
    </w:p>
    <w:p w14:paraId="6FBC2617" w14:textId="77777777" w:rsidR="00225AC7" w:rsidRDefault="00225AC7">
      <w:pPr>
        <w:jc w:val="center"/>
        <w:rPr>
          <w:rFonts w:ascii="Sakkal Majalla" w:hAnsi="Sakkal Majalla" w:cs="Sakkal Majalla"/>
          <w:sz w:val="28"/>
          <w:szCs w:val="28"/>
        </w:rPr>
      </w:pPr>
    </w:p>
    <w:p w14:paraId="6FBC2618" w14:textId="77777777" w:rsidR="00225AC7" w:rsidRDefault="00225AC7">
      <w:pPr>
        <w:jc w:val="center"/>
        <w:rPr>
          <w:rFonts w:ascii="Sakkal Majalla" w:hAnsi="Sakkal Majalla" w:cs="Sakkal Majalla"/>
          <w:sz w:val="28"/>
          <w:szCs w:val="28"/>
        </w:rPr>
      </w:pPr>
    </w:p>
    <w:p w14:paraId="6FBC2619" w14:textId="77777777" w:rsidR="00225AC7" w:rsidRDefault="00225AC7">
      <w:pPr>
        <w:rPr>
          <w:rFonts w:ascii="Sakkal Majalla" w:hAnsi="Sakkal Majalla" w:cs="Sakkal Majalla"/>
          <w:b/>
          <w:bCs/>
          <w:sz w:val="28"/>
          <w:szCs w:val="28"/>
        </w:rPr>
      </w:pPr>
    </w:p>
    <w:p w14:paraId="6FBC261A" w14:textId="77777777" w:rsidR="00225AC7" w:rsidRDefault="0082177C">
      <w:pPr>
        <w:jc w:val="center"/>
        <w:rPr>
          <w:rFonts w:ascii="Simplified Arabic" w:eastAsia="Simplified Arabic" w:hAnsi="Simplified Arabic" w:cs="Simplified Arabic"/>
          <w:b/>
          <w:bCs/>
          <w:color w:val="000000"/>
          <w:kern w:val="0"/>
          <w:sz w:val="28"/>
          <w:szCs w:val="28"/>
        </w:rPr>
      </w:pPr>
      <w:r>
        <w:rPr>
          <w:rFonts w:ascii="Simplified Arabic" w:eastAsia="Simplified Arabic" w:hAnsi="Simplified Arabic" w:cs="Simplified Arabic"/>
          <w:b/>
          <w:bCs/>
          <w:color w:val="000000"/>
          <w:kern w:val="0"/>
          <w:sz w:val="28"/>
          <w:szCs w:val="28"/>
          <w:rtl/>
        </w:rPr>
        <w:t>إعداد الطالب/</w:t>
      </w:r>
    </w:p>
    <w:p w14:paraId="6FBC261B" w14:textId="77777777" w:rsidR="00225AC7" w:rsidRDefault="0082177C">
      <w:pPr>
        <w:jc w:val="center"/>
        <w:rPr>
          <w:rFonts w:ascii="Simplified Arabic" w:eastAsia="Simplified Arabic" w:hAnsi="Simplified Arabic" w:cs="Simplified Arabic"/>
          <w:b/>
          <w:bCs/>
          <w:color w:val="000000"/>
          <w:kern w:val="0"/>
          <w:sz w:val="28"/>
          <w:szCs w:val="28"/>
        </w:rPr>
      </w:pPr>
      <w:r>
        <w:rPr>
          <w:rFonts w:ascii="Simplified Arabic" w:eastAsia="Simplified Arabic" w:hAnsi="Simplified Arabic" w:cs="Simplified Arabic"/>
          <w:b/>
          <w:bCs/>
          <w:color w:val="000000"/>
          <w:kern w:val="0"/>
          <w:sz w:val="28"/>
          <w:szCs w:val="28"/>
          <w:rtl/>
        </w:rPr>
        <w:t xml:space="preserve">وائل أمين قوقندي </w:t>
      </w:r>
    </w:p>
    <w:p w14:paraId="6FBC261C" w14:textId="00111F80" w:rsidR="00225AC7" w:rsidRDefault="00E43A82">
      <w:pPr>
        <w:jc w:val="center"/>
        <w:rPr>
          <w:rFonts w:ascii="Simplified Arabic" w:eastAsia="Simplified Arabic" w:hAnsi="Simplified Arabic" w:cs="Simplified Arabic"/>
          <w:b/>
          <w:bCs/>
          <w:color w:val="000000"/>
          <w:kern w:val="0"/>
          <w:sz w:val="28"/>
          <w:szCs w:val="28"/>
        </w:rPr>
      </w:pPr>
      <w:r>
        <w:rPr>
          <w:rFonts w:ascii="Simplified Arabic" w:eastAsia="Simplified Arabic" w:hAnsi="Simplified Arabic" w:cs="Simplified Arabic" w:hint="cs"/>
          <w:b/>
          <w:bCs/>
          <w:color w:val="000000"/>
          <w:kern w:val="0"/>
          <w:sz w:val="28"/>
          <w:szCs w:val="28"/>
          <w:rtl/>
        </w:rPr>
        <w:t>253001203</w:t>
      </w:r>
    </w:p>
    <w:p w14:paraId="6FBC261D" w14:textId="77777777" w:rsidR="00225AC7" w:rsidRDefault="00225AC7">
      <w:pPr>
        <w:jc w:val="center"/>
        <w:rPr>
          <w:rFonts w:ascii="Simplified Arabic" w:eastAsia="Simplified Arabic" w:hAnsi="Simplified Arabic" w:cs="Simplified Arabic"/>
          <w:b/>
          <w:bCs/>
          <w:color w:val="000000"/>
          <w:kern w:val="0"/>
          <w:sz w:val="28"/>
          <w:szCs w:val="28"/>
        </w:rPr>
      </w:pPr>
    </w:p>
    <w:p w14:paraId="6FBC261E" w14:textId="77777777" w:rsidR="00225AC7" w:rsidRDefault="0082177C">
      <w:pPr>
        <w:jc w:val="center"/>
        <w:rPr>
          <w:rFonts w:ascii="Simplified Arabic" w:eastAsia="Simplified Arabic" w:hAnsi="Simplified Arabic" w:cs="Simplified Arabic"/>
          <w:b/>
          <w:bCs/>
          <w:color w:val="000000"/>
          <w:kern w:val="0"/>
          <w:sz w:val="28"/>
          <w:szCs w:val="28"/>
        </w:rPr>
      </w:pPr>
      <w:r>
        <w:rPr>
          <w:rFonts w:ascii="Simplified Arabic" w:eastAsia="Simplified Arabic" w:hAnsi="Simplified Arabic" w:cs="Simplified Arabic"/>
          <w:b/>
          <w:bCs/>
          <w:color w:val="000000"/>
          <w:kern w:val="0"/>
          <w:sz w:val="28"/>
          <w:szCs w:val="28"/>
          <w:rtl/>
        </w:rPr>
        <w:t>إشراف/</w:t>
      </w:r>
    </w:p>
    <w:p w14:paraId="6FBC261F" w14:textId="77777777" w:rsidR="00225AC7" w:rsidRDefault="0082177C">
      <w:pPr>
        <w:jc w:val="center"/>
        <w:rPr>
          <w:rFonts w:ascii="Simplified Arabic" w:eastAsia="Simplified Arabic" w:hAnsi="Simplified Arabic" w:cs="Simplified Arabic"/>
          <w:b/>
          <w:bCs/>
          <w:color w:val="000000"/>
          <w:kern w:val="0"/>
          <w:sz w:val="28"/>
          <w:szCs w:val="28"/>
        </w:rPr>
      </w:pPr>
      <w:r>
        <w:rPr>
          <w:rFonts w:ascii="Simplified Arabic" w:eastAsia="Simplified Arabic" w:hAnsi="Simplified Arabic" w:cs="Simplified Arabic"/>
          <w:b/>
          <w:bCs/>
          <w:color w:val="000000"/>
          <w:kern w:val="0"/>
          <w:sz w:val="28"/>
          <w:szCs w:val="28"/>
          <w:rtl/>
        </w:rPr>
        <w:t>د.الفيصل عبد الحميد</w:t>
      </w:r>
      <w:r>
        <w:rPr>
          <w:rFonts w:ascii="Simplified Arabic" w:eastAsia="Simplified Arabic" w:hAnsi="Simplified Arabic" w:cs="Simplified Arabic"/>
          <w:b/>
          <w:bCs/>
          <w:color w:val="000000"/>
          <w:kern w:val="0"/>
          <w:sz w:val="28"/>
          <w:szCs w:val="28"/>
        </w:rPr>
        <w:br/>
      </w:r>
      <w:r>
        <w:rPr>
          <w:rFonts w:ascii="Simplified Arabic" w:eastAsia="Simplified Arabic" w:hAnsi="Simplified Arabic" w:cs="Simplified Arabic"/>
          <w:b/>
          <w:bCs/>
          <w:color w:val="000000"/>
          <w:kern w:val="0"/>
          <w:sz w:val="28"/>
          <w:szCs w:val="28"/>
          <w:rtl/>
        </w:rPr>
        <w:t>د.فايز جراد</w:t>
      </w:r>
    </w:p>
    <w:p w14:paraId="6FBC2620" w14:textId="77777777" w:rsidR="00225AC7" w:rsidRDefault="00225AC7">
      <w:pPr>
        <w:jc w:val="center"/>
        <w:rPr>
          <w:rFonts w:ascii="Sakkal Majalla" w:hAnsi="Sakkal Majalla" w:cs="Sakkal Majalla"/>
          <w:b/>
          <w:bCs/>
          <w:sz w:val="28"/>
          <w:szCs w:val="28"/>
        </w:rPr>
      </w:pPr>
    </w:p>
    <w:p w14:paraId="6FBC2621" w14:textId="77777777" w:rsidR="00225AC7" w:rsidRDefault="0082177C">
      <w:pPr>
        <w:jc w:val="center"/>
        <w:rPr>
          <w:rFonts w:ascii="Simplified Arabic" w:eastAsia="Simplified Arabic" w:hAnsi="Simplified Arabic" w:cs="Simplified Arabic"/>
          <w:b/>
          <w:bCs/>
          <w:color w:val="000000"/>
          <w:kern w:val="0"/>
          <w:sz w:val="28"/>
          <w:szCs w:val="28"/>
        </w:rPr>
      </w:pPr>
      <w:r>
        <w:rPr>
          <w:rFonts w:ascii="Simplified Arabic" w:eastAsia="Simplified Arabic" w:hAnsi="Simplified Arabic" w:cs="Simplified Arabic"/>
          <w:b/>
          <w:bCs/>
          <w:color w:val="000000"/>
          <w:kern w:val="0"/>
          <w:sz w:val="28"/>
          <w:szCs w:val="28"/>
          <w:rtl/>
        </w:rPr>
        <w:t>العام الدراسي:</w:t>
      </w:r>
    </w:p>
    <w:p w14:paraId="6FBC2622" w14:textId="77777777" w:rsidR="00225AC7" w:rsidRDefault="0082177C">
      <w:pPr>
        <w:jc w:val="center"/>
        <w:rPr>
          <w:rFonts w:ascii="Simplified Arabic" w:eastAsia="Simplified Arabic" w:hAnsi="Simplified Arabic" w:cs="Simplified Arabic"/>
          <w:b/>
          <w:bCs/>
          <w:color w:val="000000"/>
          <w:kern w:val="0"/>
          <w:sz w:val="28"/>
          <w:szCs w:val="28"/>
        </w:rPr>
      </w:pPr>
      <w:r>
        <w:rPr>
          <w:rFonts w:ascii="Simplified Arabic" w:eastAsia="Simplified Arabic" w:hAnsi="Simplified Arabic" w:cs="Simplified Arabic"/>
          <w:b/>
          <w:bCs/>
          <w:color w:val="000000"/>
          <w:kern w:val="0"/>
          <w:sz w:val="28"/>
          <w:szCs w:val="28"/>
        </w:rPr>
        <w:t>2026</w:t>
      </w:r>
    </w:p>
    <w:p w14:paraId="6FBC2623" w14:textId="77777777" w:rsidR="00225AC7" w:rsidRDefault="00225AC7">
      <w:pPr>
        <w:rPr>
          <w:rFonts w:ascii="Sakkal Majalla" w:hAnsi="Sakkal Majalla" w:cs="Sakkal Majalla"/>
          <w:sz w:val="28"/>
          <w:szCs w:val="28"/>
          <w:u w:val="single"/>
        </w:rPr>
      </w:pPr>
    </w:p>
    <w:p w14:paraId="6FBC2624" w14:textId="77777777" w:rsidR="00225AC7" w:rsidRDefault="00225AC7">
      <w:pPr>
        <w:rPr>
          <w:rFonts w:ascii="Sakkal Majalla" w:hAnsi="Sakkal Majalla" w:cs="Sakkal Majalla"/>
          <w:sz w:val="28"/>
          <w:szCs w:val="28"/>
          <w:u w:val="single"/>
        </w:rPr>
      </w:pPr>
    </w:p>
    <w:p w14:paraId="6FBC2625" w14:textId="77777777" w:rsidR="00225AC7" w:rsidRDefault="00225AC7">
      <w:pPr>
        <w:rPr>
          <w:rFonts w:ascii="Sakkal Majalla" w:hAnsi="Sakkal Majalla" w:cs="Sakkal Majalla"/>
          <w:sz w:val="28"/>
          <w:szCs w:val="28"/>
          <w:u w:val="single"/>
        </w:rPr>
      </w:pPr>
    </w:p>
    <w:p w14:paraId="6FBC2626" w14:textId="77777777" w:rsidR="00225AC7" w:rsidRDefault="00225AC7">
      <w:pPr>
        <w:rPr>
          <w:rFonts w:ascii="Sakkal Majalla" w:hAnsi="Sakkal Majalla" w:cs="Sakkal Majalla"/>
          <w:sz w:val="28"/>
          <w:szCs w:val="28"/>
          <w:u w:val="single"/>
        </w:rPr>
      </w:pPr>
    </w:p>
    <w:p w14:paraId="6FBC2627" w14:textId="77777777" w:rsidR="00225AC7" w:rsidRDefault="00225AC7">
      <w:pPr>
        <w:rPr>
          <w:rFonts w:ascii="Sakkal Majalla" w:hAnsi="Sakkal Majalla" w:cs="Sakkal Majalla"/>
          <w:sz w:val="28"/>
          <w:szCs w:val="28"/>
          <w:u w:val="single"/>
        </w:rPr>
      </w:pPr>
    </w:p>
    <w:p w14:paraId="6FBC2628" w14:textId="77777777" w:rsidR="00225AC7" w:rsidRDefault="00225AC7">
      <w:pPr>
        <w:pStyle w:val="1"/>
        <w:bidi/>
        <w:jc w:val="center"/>
        <w:rPr>
          <w:rFonts w:ascii="Simplified Arabic" w:eastAsia="Simplified Arabic" w:hAnsi="Simplified Arabic" w:cs="Simplified Arabic"/>
          <w:b/>
          <w:bCs/>
          <w:color w:val="000000"/>
          <w:u w:val="single"/>
        </w:rPr>
      </w:pPr>
      <w:bookmarkStart w:id="0" w:name="_Toc235185265"/>
    </w:p>
    <w:p w14:paraId="6FBC2629" w14:textId="77777777" w:rsidR="00225AC7" w:rsidRDefault="00225AC7"/>
    <w:p w14:paraId="6FBC262A" w14:textId="77777777" w:rsidR="00225AC7" w:rsidRDefault="00225AC7"/>
    <w:p w14:paraId="6FBC262B" w14:textId="77777777" w:rsidR="00225AC7" w:rsidRDefault="00225AC7"/>
    <w:p w14:paraId="6FBC262C" w14:textId="77777777" w:rsidR="00225AC7" w:rsidRDefault="00225AC7"/>
    <w:p w14:paraId="6FBC262D" w14:textId="77777777" w:rsidR="00225AC7" w:rsidRDefault="0082177C">
      <w:pPr>
        <w:pStyle w:val="1"/>
        <w:bidi/>
        <w:jc w:val="center"/>
        <w:rPr>
          <w:rFonts w:ascii="Simplified Arabic" w:eastAsia="Simplified Arabic" w:hAnsi="Simplified Arabic" w:cs="Simplified Arabic"/>
          <w:b/>
          <w:bCs/>
          <w:color w:val="000000"/>
          <w:u w:val="single"/>
        </w:rPr>
      </w:pPr>
      <w:r>
        <w:rPr>
          <w:rFonts w:ascii="Simplified Arabic" w:eastAsia="Simplified Arabic" w:hAnsi="Simplified Arabic" w:cs="Simplified Arabic"/>
          <w:b/>
          <w:bCs/>
          <w:color w:val="000000"/>
          <w:u w:val="single"/>
          <w:rtl/>
        </w:rPr>
        <w:t>الفصل الأول</w:t>
      </w:r>
      <w:bookmarkEnd w:id="0"/>
    </w:p>
    <w:p w14:paraId="6FBC262E" w14:textId="77777777" w:rsidR="00225AC7" w:rsidRDefault="0082177C">
      <w:pPr>
        <w:pStyle w:val="1"/>
        <w:bidi/>
        <w:jc w:val="center"/>
        <w:rPr>
          <w:rFonts w:ascii="Simplified Arabic" w:hAnsi="Simplified Arabic" w:cs="Simplified Arabic"/>
          <w:b/>
          <w:bCs/>
          <w:color w:val="000000"/>
          <w:u w:val="single"/>
        </w:rPr>
      </w:pPr>
      <w:bookmarkStart w:id="1" w:name="_Toc235185266"/>
      <w:r>
        <w:rPr>
          <w:rFonts w:ascii="Simplified Arabic" w:hAnsi="Simplified Arabic" w:cs="Simplified Arabic"/>
          <w:b/>
          <w:bCs/>
          <w:color w:val="000000"/>
          <w:u w:val="single"/>
          <w:rtl/>
        </w:rPr>
        <w:t>الإطار العام للدراسة</w:t>
      </w:r>
      <w:bookmarkEnd w:id="1"/>
    </w:p>
    <w:p w14:paraId="6FBC262F" w14:textId="77777777" w:rsidR="00225AC7" w:rsidRDefault="00225AC7">
      <w:pPr>
        <w:spacing w:after="120" w:line="360" w:lineRule="auto"/>
        <w:jc w:val="center"/>
        <w:rPr>
          <w:rFonts w:ascii="Times New Roman" w:hAnsi="Times New Roman" w:cs="Simplified Arabic"/>
          <w:b/>
          <w:bCs/>
          <w:sz w:val="40"/>
          <w:szCs w:val="40"/>
          <w:u w:val="single"/>
        </w:rPr>
      </w:pPr>
    </w:p>
    <w:p w14:paraId="6FBC2630" w14:textId="77777777" w:rsidR="00225AC7" w:rsidRDefault="00225AC7">
      <w:pPr>
        <w:spacing w:after="120" w:line="360" w:lineRule="auto"/>
        <w:jc w:val="center"/>
        <w:rPr>
          <w:b/>
          <w:bCs/>
          <w:sz w:val="40"/>
          <w:szCs w:val="40"/>
          <w:u w:val="single"/>
        </w:rPr>
      </w:pPr>
    </w:p>
    <w:p w14:paraId="6FBC2631" w14:textId="77777777" w:rsidR="00225AC7" w:rsidRDefault="00225AC7">
      <w:pPr>
        <w:spacing w:after="120" w:line="360" w:lineRule="auto"/>
        <w:jc w:val="center"/>
        <w:rPr>
          <w:b/>
          <w:bCs/>
          <w:sz w:val="40"/>
          <w:szCs w:val="40"/>
          <w:u w:val="single"/>
        </w:rPr>
      </w:pPr>
    </w:p>
    <w:p w14:paraId="6FBC2632" w14:textId="77777777" w:rsidR="00225AC7" w:rsidRDefault="00225AC7"/>
    <w:p w14:paraId="6FBC2633" w14:textId="77777777" w:rsidR="00225AC7" w:rsidRDefault="00225AC7"/>
    <w:p w14:paraId="6FBC2634" w14:textId="77777777" w:rsidR="00225AC7" w:rsidRDefault="00225AC7"/>
    <w:p w14:paraId="6FBC2635" w14:textId="77777777" w:rsidR="00225AC7" w:rsidRDefault="00225AC7"/>
    <w:p w14:paraId="6FBC2636" w14:textId="77777777" w:rsidR="00225AC7" w:rsidRDefault="00225AC7"/>
    <w:p w14:paraId="6FBC2637" w14:textId="77777777" w:rsidR="00225AC7" w:rsidRDefault="0082177C">
      <w:pPr>
        <w:rPr>
          <w:rFonts w:ascii="Simplified Arabic" w:hAnsi="Simplified Arabic" w:cs="Simplified Arabic"/>
          <w:sz w:val="36"/>
          <w:szCs w:val="36"/>
          <w:u w:val="single"/>
        </w:rPr>
      </w:pPr>
      <w:r>
        <w:rPr>
          <w:rFonts w:ascii="Simplified Arabic" w:hAnsi="Simplified Arabic" w:cs="Simplified Arabic"/>
          <w:sz w:val="36"/>
          <w:szCs w:val="36"/>
          <w:u w:val="single"/>
        </w:rPr>
        <w:lastRenderedPageBreak/>
        <w:t>1-1</w:t>
      </w:r>
      <w:r>
        <w:rPr>
          <w:rFonts w:ascii="Simplified Arabic" w:hAnsi="Simplified Arabic" w:cs="Simplified Arabic"/>
          <w:sz w:val="36"/>
          <w:szCs w:val="36"/>
          <w:u w:val="single"/>
          <w:rtl/>
        </w:rPr>
        <w:t xml:space="preserve"> المقدمة     </w:t>
      </w:r>
    </w:p>
    <w:p w14:paraId="6FBC2638" w14:textId="77777777" w:rsidR="00225AC7" w:rsidRDefault="00225AC7"/>
    <w:p w14:paraId="6FBC2639" w14:textId="77777777" w:rsidR="00225AC7" w:rsidRDefault="0082177C">
      <w:pPr>
        <w:spacing w:after="120" w:line="360" w:lineRule="auto"/>
        <w:jc w:val="both"/>
      </w:pPr>
      <w:r>
        <w:rPr>
          <w:rFonts w:ascii="Simplified Arabic" w:eastAsia="Simplified Arabic" w:hAnsi="Simplified Arabic" w:cs="Simplified Arabic"/>
          <w:sz w:val="28"/>
          <w:szCs w:val="28"/>
          <w:rtl/>
        </w:rPr>
        <w:t>شهدت المملكة العربية السعودية في إطار رؤية 2030 تحولاً نوعياً غير مسبوق في قطاع الترفيه والسياحة، إذ أصبحت الوجهات الترفيهية الكبرى كا مشاريع الواجهات البحرية تمثّل ركيزةً محورية في تحقيق التنويع الاقتصادي ورفع جودة الحياة. وتعكس التقارير و المؤشرات الرسمية حجم هذا التحول؛ فقد حققت المملكة مستهدف الوصول إلى 100 مليون سائح بنهاية عام 2023 بإجمالي بلغ نحو  106 مليون سائح محلي و دولي متجاوزةً هدف رؤية 2030 قبل سبع سنوات من موعده، وهو ما دفع الجهات المسؤولة إلى رفع السقف المستهدف إلى 150مليون سائح بحلول عام 2030 (وزارة السياحة، 2024). ويستهدف القطاع السياحي رفع مساهمته في الناتج المحلي الإجمالي إلى نحو 10%، بعد أن تجاوزت مساهمته الفعلية 4% من الناتج المحلي و 7% من الناتج غير النفطي بنهاية عام 2023، مع توفير ملايين الوظائف، الأمر الذي يضع المشاريع والوجهات الترفيهية أمام ضغط تشغيلي متصاعد يتطلب منظومة إدارة مرافق احترافية قادرة على ضمان الاستمرارية التشغيلية وتقديم أفضل تجربة للزوار، وذلك في ظل الأعداد الضخمة التي تستقبلها هذه الوجهات يومياً.</w:t>
      </w:r>
    </w:p>
    <w:p w14:paraId="6FBC263A" w14:textId="77777777" w:rsidR="00225AC7" w:rsidRDefault="0082177C">
      <w:pPr>
        <w:spacing w:after="120" w:line="360" w:lineRule="auto"/>
        <w:jc w:val="both"/>
      </w:pPr>
      <w:r>
        <w:rPr>
          <w:rFonts w:ascii="Simplified Arabic" w:eastAsia="Simplified Arabic" w:hAnsi="Simplified Arabic" w:cs="Simplified Arabic"/>
          <w:sz w:val="28"/>
          <w:szCs w:val="28"/>
          <w:rtl/>
        </w:rPr>
        <w:t xml:space="preserve">وفي هذا السياق تبرز إدارة المرافق المستدامة </w:t>
      </w:r>
      <w:r>
        <w:rPr>
          <w:rFonts w:ascii="Times New Roman" w:eastAsia="Simplified Arabic" w:hAnsi="Times New Roman" w:cs="Times New Roman"/>
          <w:sz w:val="28"/>
          <w:szCs w:val="28"/>
          <w:rtl/>
        </w:rPr>
        <w:t>(</w:t>
      </w:r>
      <w:r>
        <w:rPr>
          <w:rFonts w:ascii="Times New Roman" w:eastAsia="Simplified Arabic" w:hAnsi="Times New Roman" w:cs="Times New Roman"/>
          <w:sz w:val="28"/>
          <w:szCs w:val="28"/>
        </w:rPr>
        <w:t>Sustainable Facility Management</w:t>
      </w:r>
      <w:r>
        <w:rPr>
          <w:rFonts w:ascii="Times New Roman" w:eastAsia="Simplified Arabic" w:hAnsi="Times New Roman" w:cs="Times New Roman"/>
          <w:sz w:val="28"/>
          <w:szCs w:val="28"/>
          <w:rtl/>
        </w:rPr>
        <w:t>)</w:t>
      </w:r>
      <w:r>
        <w:rPr>
          <w:rFonts w:ascii="Simplified Arabic" w:eastAsia="Simplified Arabic" w:hAnsi="Simplified Arabic" w:cs="Simplified Arabic"/>
          <w:sz w:val="28"/>
          <w:szCs w:val="28"/>
          <w:rtl/>
        </w:rPr>
        <w:t xml:space="preserve"> بوصفها منهجاً شاملاً يدمج بين الصيانة الوقائية المنتظمة وترشيد الموارد والاستجابة الفعّالة للأعطال، بما يُحقق كفاءةً تشغيليةً عالية ويُقلل التكاليف على المدى البعيد. وتتأكد الجدوى الاقتصادية لهذا التوجه من خلال الأدلة الميدانية؛ إذ تشير المقارنات المرجعية في قطاع الترفيه و الضيافة إلى أن المشاريع التي تعتمد أنظمة متكاملة لمراقبة الاستدامة تُحقق تخفيضاً في التكاليف التشغيلية يتراوح بين 15%-30% على مدى 5 سنوات، يتركز معظمه </w:t>
      </w:r>
      <w:r>
        <w:rPr>
          <w:rFonts w:ascii="Simplified Arabic" w:eastAsia="Simplified Arabic" w:hAnsi="Simplified Arabic" w:cs="Simplified Arabic"/>
          <w:sz w:val="28"/>
          <w:szCs w:val="28"/>
          <w:rtl/>
        </w:rPr>
        <w:lastRenderedPageBreak/>
        <w:t>في بنود الطاقة والمياه وإدارة النفايات. وتزداد أهمية هذا الموضوع في الوجهات الترفيهية التي تعمل بشكل يومي، حيث يكون لأي قصور في إدارة المرافق انعكاسٌ مباشرٌ على سمعة المشروع وإيراداته ومستوى رضا الزوار.</w:t>
      </w:r>
    </w:p>
    <w:p w14:paraId="6FBC263B" w14:textId="77777777" w:rsidR="00225AC7" w:rsidRDefault="0082177C">
      <w:pPr>
        <w:spacing w:after="120" w:line="360" w:lineRule="auto"/>
        <w:jc w:val="both"/>
      </w:pPr>
      <w:r>
        <w:rPr>
          <w:rFonts w:ascii="Simplified Arabic" w:eastAsia="Simplified Arabic" w:hAnsi="Simplified Arabic" w:cs="Simplified Arabic"/>
          <w:sz w:val="28"/>
          <w:szCs w:val="28"/>
          <w:rtl/>
        </w:rPr>
        <w:t>وعلى الرغم من التوسع الكبيرو التطوير في مشاريع الواجهة البحرية بمدينة جدة خلال السنوات الأخيرة، تُشير الملاحظة الميدانية إلى وجود تفاوت ملحوظ في مستوى تطبيق ممارسات إدارة المرافق المستدامة، يتجلّى في تكرار بعض الأعطال التشغيلية وارتفاع تكاليف الصيانة التصحيحية وتأخر الاستجابة للمشكلات. ويزيد من حدّة هذا التفاوت أن مواسم الذروة المتتالية في هذه الوجهات كالمواسم الترفيهية الكبرى الاعياد والمناسبات الوطنية كثيراً ما تدفع الجهات المشغّلة إلى تأجيل بعض أعمال الصيانة الدورية حفاظاً على استمرارية التشغيل أوقات الفعاليات و الزحام، وهو ما يراكم الأعطال ويرفع كلفة المعالجة لاحقاً. وقد كشفت الأبحاث العالمية ذات الصلة أن المنشآت التي تعتمد نهجاً استباقياً في إدارة مرافقها تحقق انخفاضاً ملموساً في معدلات الأعطال وتحسناً في كفاءة التشغيل الكلية مقارنةً بتلك التي تعتمد على الصيانة التصحيحية، كما أن تطبيق معايير الاستدامة البيئية في الوجهات السياحية الساحلية يُسهم في خفض التكاليف التشغيلية بنسبة تتراوح بين 10%-25% مع تعزيز رضا الزوار في الوقت ذاته.</w:t>
      </w:r>
    </w:p>
    <w:p w14:paraId="6FBC263C" w14:textId="77777777" w:rsidR="00225AC7" w:rsidRDefault="0082177C">
      <w:pPr>
        <w:spacing w:after="120" w:line="360" w:lineRule="auto"/>
        <w:jc w:val="both"/>
      </w:pPr>
      <w:r>
        <w:rPr>
          <w:rFonts w:ascii="Simplified Arabic" w:eastAsia="Simplified Arabic" w:hAnsi="Simplified Arabic" w:cs="Simplified Arabic"/>
          <w:sz w:val="28"/>
          <w:szCs w:val="28"/>
          <w:rtl/>
        </w:rPr>
        <w:t>وتسعى هذه الدراسة إلى تقديم إطار متكامل لدراسة أثر ممارسات إدارة المرافق المستدامة على كفاءة التشغيل في الوجهات الترفيهية الساحلية كالواجهات البحرية في مدينة جدة، بحيث تشمل تحديد مشكلة البحث وصياغة أهدافه وأسئلته وفرضياته، مع استعراض الخلفية النظرية المتعلقة بإدارة المرافق والكفاءة التشغيلية، وعرض المنهجية المقترحة لجمع البيانات وتحليلها، وانتهاءً بما يتوقع الباحث التوصل إليه من نتائج وتوصيات عملية تخدم القطاع الترفيهي و الساحلي .</w:t>
      </w:r>
    </w:p>
    <w:p w14:paraId="6FBC263D" w14:textId="77777777" w:rsidR="00225AC7" w:rsidRDefault="0082177C">
      <w:pPr>
        <w:pStyle w:val="2"/>
        <w:bidi/>
        <w:rPr>
          <w:color w:val="000000"/>
          <w:sz w:val="36"/>
          <w:szCs w:val="36"/>
          <w:u w:val="single"/>
        </w:rPr>
      </w:pPr>
      <w:bookmarkStart w:id="2" w:name="_Toc235185268"/>
      <w:r>
        <w:rPr>
          <w:color w:val="000000"/>
          <w:sz w:val="36"/>
          <w:szCs w:val="36"/>
          <w:u w:val="single"/>
        </w:rPr>
        <w:lastRenderedPageBreak/>
        <w:t>1-2</w:t>
      </w:r>
      <w:r>
        <w:rPr>
          <w:color w:val="000000"/>
          <w:sz w:val="36"/>
          <w:szCs w:val="36"/>
          <w:u w:val="single"/>
          <w:rtl/>
        </w:rPr>
        <w:t xml:space="preserve"> مشكلة الدراسة</w:t>
      </w:r>
      <w:bookmarkEnd w:id="2"/>
    </w:p>
    <w:p w14:paraId="6FBC263E" w14:textId="77777777" w:rsidR="00225AC7" w:rsidRDefault="0082177C">
      <w:pPr>
        <w:spacing w:after="120" w:line="360" w:lineRule="auto"/>
        <w:jc w:val="both"/>
      </w:pPr>
      <w:r>
        <w:rPr>
          <w:rFonts w:ascii="Simplified Arabic" w:eastAsia="Simplified Arabic" w:hAnsi="Simplified Arabic" w:cs="Simplified Arabic"/>
          <w:sz w:val="28"/>
          <w:szCs w:val="28"/>
          <w:rtl/>
        </w:rPr>
        <w:t>على الرغم من الاستثمارات الضخمة التي ضُخّت في مشاريع الواجهة البحرية بجدة ضمن مسيرة تحقيق رؤية 2030، فإن الواقع الميداني يكشف عن قصور واضح في مستوى تطبيق ممارسات إدارة المرافق المستدامة لدى كثير من هذه المشاريع. فكثيراً ما تلجأ الجهات المشغّلة إلى الصيانة التصحيحية بعد وقوع الأعطال بدلاً من الصيانة الوقائية الاستباقية. وتنطوي هذه المقاربة التفاعلية على تكاليف عالية؛ إذ تشير تقديرات وزارة الطاقة الأمريكية إلى أن الصيانة التصحيحية تكلّف ما بين ثلاثة وخمسة أضعاف الصيانة الوقائية المخطّطة عند احتساب جميع التكاليف، في حين تحقّق برامج الصيانة الوقائية بميزانية تتراوح بين 12-18 % سنوياً. كما يُلاحظ غياب أنظمة منهجية لترشيد استهلاك الطاقة والموارد، وضعف في سرعة الاستجابة للأعطال وقت الذروة. ويزداد هذا القصور حين تتعرض موازنات التشغيل والصيانة لتخفيضات متكررة ترتبط بتذبذب الإيرادات، فينعكس ذلك على مستوى الخدمة المقدّمة وعلى جاهزية المرافق. ويزيد المشهد تعقيداً اتساع نطاق الأصول المُدارة في هذه الوجهات وتنوّعها من أنظمة الإنارة والصوت والإطفاء إلى التنسيق الزراعي ومكافحة الآفات والمراقبة ووسائل التنقل الترفيهية بالاضافة لتعدد الجهات المسؤولة عن صيانتها بين المالك والمشغّل والمستأجرين، وهو ما يجعل توحيد معايير الصيانة وضبط جودتها تحدياً قائماً بذاته. ويتجلّى أثر هذا الخلل في أمثلة ميدانية مباشرة تمسّ تجربة الزائر، مثلا تأخر معالجة بعض المظاهر البيئية في الواجهة الساحلية الذي تؤدي إلى شكاوى متكررة. من روائح و نظافة الشواطئ وقد أدى ذلك إلى تأثيرات سلبية مباشرة على استمرارية التشغيل وجودة الخدمة وتجربة الزوار.</w:t>
      </w:r>
    </w:p>
    <w:p w14:paraId="6FBC263F" w14:textId="77777777" w:rsidR="00225AC7" w:rsidRDefault="0082177C">
      <w:pPr>
        <w:spacing w:after="120" w:line="360" w:lineRule="auto"/>
        <w:ind w:firstLine="283"/>
        <w:jc w:val="both"/>
      </w:pPr>
      <w:r>
        <w:rPr>
          <w:rFonts w:ascii="Simplified Arabic" w:eastAsia="Simplified Arabic" w:hAnsi="Simplified Arabic" w:cs="Simplified Arabic"/>
          <w:sz w:val="28"/>
          <w:szCs w:val="28"/>
          <w:rtl/>
        </w:rPr>
        <w:t xml:space="preserve">وتشير الملاحظات الأولية إلى وجود فجوة واضحة بين ما هو معروف نظرياً من مبادئ إدارة المرافق المستدامة وما يُمارَس فعلياً على أرض الواقع في بيئة الوجهات الترفيهية، إذ تبدو الممارسات الحالية أقرب إلى </w:t>
      </w:r>
      <w:r>
        <w:rPr>
          <w:rFonts w:ascii="Simplified Arabic" w:eastAsia="Simplified Arabic" w:hAnsi="Simplified Arabic" w:cs="Simplified Arabic"/>
          <w:sz w:val="28"/>
          <w:szCs w:val="28"/>
          <w:rtl/>
        </w:rPr>
        <w:lastRenderedPageBreak/>
        <w:t>النهج التفاعلي (الذي يعالج المشكلات بعد وقوعها) منها إلى النهج الاستباقي (الوقائي) (الذي يمنع وقوعها قبل حدوثها). ويزيد من حدّة هذه الفجوة غياب آليات قياس موضوعية تربط مستوى تطبيق هذه الممارسات بمؤشرات كفاءة التشغيل، بما يجعل معالجتها بحاجة إلى إطار علمي يقيس الأثر ويوجّه القرار. ومن هذا المنظور، تتلخص المشكلة البحثية في التساؤل الرئيسي التالي:</w:t>
      </w:r>
    </w:p>
    <w:p w14:paraId="6FBC2640" w14:textId="77777777" w:rsidR="00225AC7" w:rsidRDefault="0082177C">
      <w:pPr>
        <w:spacing w:before="120" w:line="360" w:lineRule="auto"/>
        <w:ind w:left="400" w:right="400"/>
        <w:jc w:val="center"/>
      </w:pPr>
      <w:r>
        <w:rPr>
          <w:rFonts w:ascii="Simplified Arabic" w:eastAsia="Simplified Arabic" w:hAnsi="Simplified Arabic" w:cs="Simplified Arabic"/>
          <w:b/>
          <w:bCs/>
          <w:sz w:val="28"/>
          <w:szCs w:val="28"/>
          <w:rtl/>
        </w:rPr>
        <w:t>ما أثر إدارة المرافق المستدامة (الصيانة الوقائية، ترشيد الطاقة والموارد، سرعة الاستجابة) على كفاءة التشغيل (الاستمرارية التشغيلية، معدل الأعطال، جودة الخدمة ، رضا الزوار) في مشاريع الواجهة البحرية بمدينة بجدة؟</w:t>
      </w:r>
    </w:p>
    <w:p w14:paraId="6FBC2641" w14:textId="77777777" w:rsidR="00225AC7" w:rsidRDefault="0082177C">
      <w:pPr>
        <w:spacing w:after="120" w:line="360" w:lineRule="auto"/>
        <w:ind w:firstLine="283"/>
        <w:jc w:val="both"/>
      </w:pPr>
      <w:r>
        <w:rPr>
          <w:rFonts w:ascii="Simplified Arabic" w:eastAsia="Simplified Arabic" w:hAnsi="Simplified Arabic" w:cs="Simplified Arabic"/>
          <w:sz w:val="28"/>
          <w:szCs w:val="28"/>
          <w:rtl/>
        </w:rPr>
        <w:t xml:space="preserve">وتتفرع عن هذا التساؤل الرئيسي جملةٌ من المشكلات الفرعية، أبرزها: غياب خطط الصيانة الوقائية المنتظمة </w:t>
      </w:r>
      <w:r>
        <w:rPr>
          <w:rFonts w:ascii="Times New Roman" w:eastAsia="Simplified Arabic" w:hAnsi="Times New Roman" w:cs="Times New Roman"/>
          <w:sz w:val="28"/>
          <w:szCs w:val="28"/>
          <w:rtl/>
        </w:rPr>
        <w:t xml:space="preserve">( </w:t>
      </w:r>
      <w:r>
        <w:rPr>
          <w:rFonts w:ascii="Times New Roman" w:eastAsia="Simplified Arabic" w:hAnsi="Times New Roman" w:cs="Times New Roman"/>
          <w:sz w:val="28"/>
          <w:szCs w:val="28"/>
        </w:rPr>
        <w:t>PPM</w:t>
      </w:r>
      <w:r>
        <w:rPr>
          <w:rFonts w:ascii="Times New Roman" w:eastAsia="Simplified Arabic" w:hAnsi="Times New Roman" w:cs="Times New Roman"/>
          <w:sz w:val="28"/>
          <w:szCs w:val="28"/>
          <w:rtl/>
        </w:rPr>
        <w:t xml:space="preserve"> )</w:t>
      </w:r>
      <w:r>
        <w:rPr>
          <w:rFonts w:ascii="Simplified Arabic" w:eastAsia="Simplified Arabic" w:hAnsi="Simplified Arabic" w:cs="Simplified Arabic"/>
          <w:sz w:val="28"/>
          <w:szCs w:val="28"/>
          <w:rtl/>
        </w:rPr>
        <w:t xml:space="preserve"> لدى كثير من المشغّلين، وعدم وجود أنظمة واضحة لمتابعة استهلاك الطاقة والموارد، فضلاً عن ضعف التكامل بين المعلومات النظرية المتعلقة بالاستدامة والتطبيقات العملية الفعلية. كما يبرز غياب آليات قياس موضوعية لتقييم أداء المرافق وربطه بمؤشرات كفاءة التشغيل، وهو ما تسعى هذه الدراسة إلى معالجته من خلال إطار بحثي علمي متكامل مع الأخذ بعين الاعتبار خصوصية قطاع الوجهات البحرية الساحلية </w:t>
      </w:r>
      <w:r>
        <w:rPr>
          <w:rFonts w:ascii="Times New Roman" w:eastAsia="Simplified Arabic" w:hAnsi="Times New Roman" w:cs="Times New Roman"/>
          <w:sz w:val="28"/>
          <w:szCs w:val="28"/>
          <w:rtl/>
        </w:rPr>
        <w:t xml:space="preserve">( </w:t>
      </w:r>
      <w:r>
        <w:rPr>
          <w:rFonts w:ascii="Times New Roman" w:eastAsia="Simplified Arabic" w:hAnsi="Times New Roman" w:cs="Times New Roman"/>
          <w:sz w:val="28"/>
          <w:szCs w:val="28"/>
        </w:rPr>
        <w:t>Waterfront</w:t>
      </w:r>
      <w:r>
        <w:rPr>
          <w:rFonts w:ascii="Times New Roman" w:eastAsia="Simplified Arabic" w:hAnsi="Times New Roman" w:cs="Times New Roman"/>
          <w:sz w:val="28"/>
          <w:szCs w:val="28"/>
          <w:rtl/>
        </w:rPr>
        <w:t xml:space="preserve"> )</w:t>
      </w:r>
      <w:r>
        <w:rPr>
          <w:rFonts w:ascii="Simplified Arabic" w:eastAsia="Simplified Arabic" w:hAnsi="Simplified Arabic" w:cs="Simplified Arabic"/>
          <w:sz w:val="28"/>
          <w:szCs w:val="28"/>
          <w:rtl/>
        </w:rPr>
        <w:t xml:space="preserve"> في المملكة العربية السعودية وبالتحديد مدينة جدة.</w:t>
      </w:r>
    </w:p>
    <w:p w14:paraId="6FBC2642" w14:textId="77777777" w:rsidR="00225AC7" w:rsidRDefault="0082177C">
      <w:pPr>
        <w:pStyle w:val="2"/>
        <w:bidi/>
      </w:pPr>
      <w:bookmarkStart w:id="3" w:name="_Toc235185269"/>
      <w:r>
        <w:rPr>
          <w:color w:val="000000"/>
          <w:sz w:val="36"/>
          <w:szCs w:val="36"/>
          <w:u w:val="single"/>
        </w:rPr>
        <w:t>1-3</w:t>
      </w:r>
      <w:r>
        <w:rPr>
          <w:color w:val="000000"/>
          <w:sz w:val="36"/>
          <w:szCs w:val="36"/>
          <w:u w:val="single"/>
          <w:rtl/>
        </w:rPr>
        <w:t xml:space="preserve"> أهمية الدراسة</w:t>
      </w:r>
      <w:bookmarkEnd w:id="3"/>
    </w:p>
    <w:p w14:paraId="6FBC2643" w14:textId="77777777" w:rsidR="00225AC7" w:rsidRDefault="00225AC7">
      <w:pPr>
        <w:pStyle w:val="2"/>
        <w:bidi/>
        <w:rPr>
          <w:color w:val="000000"/>
          <w:sz w:val="36"/>
          <w:szCs w:val="36"/>
          <w:u w:val="single"/>
        </w:rPr>
      </w:pPr>
    </w:p>
    <w:p w14:paraId="6FBC2644" w14:textId="77777777" w:rsidR="00225AC7" w:rsidRDefault="0082177C">
      <w:pPr>
        <w:spacing w:line="360" w:lineRule="auto"/>
        <w:rPr>
          <w:rFonts w:ascii="Simplified Arabic" w:eastAsia="Simplified Arabic" w:hAnsi="Simplified Arabic" w:cs="Simplified Arabic"/>
          <w:color w:val="000000"/>
          <w:kern w:val="0"/>
          <w:sz w:val="28"/>
          <w:szCs w:val="28"/>
        </w:rPr>
      </w:pPr>
      <w:r>
        <w:rPr>
          <w:rFonts w:ascii="Simplified Arabic" w:eastAsia="Simplified Arabic" w:hAnsi="Simplified Arabic" w:cs="Simplified Arabic"/>
          <w:color w:val="000000"/>
          <w:kern w:val="0"/>
          <w:sz w:val="28"/>
          <w:szCs w:val="28"/>
          <w:rtl/>
        </w:rPr>
        <w:t>تنبع أهمية هذا البحث من اعتبارات نظرية وعملية متعددة، تجعل من النتائج المتوقعة ذات قيمة لكلٍّ من المجتمع العلمي وقطاع الوجهات الترفيهية البحرية على حدٍّ سواء</w:t>
      </w:r>
    </w:p>
    <w:p w14:paraId="6FBC2645" w14:textId="77777777" w:rsidR="00225AC7" w:rsidRDefault="00225AC7">
      <w:pPr>
        <w:spacing w:line="360" w:lineRule="auto"/>
        <w:rPr>
          <w:rFonts w:ascii="Simplified Arabic" w:eastAsia="Simplified Arabic" w:hAnsi="Simplified Arabic" w:cs="Simplified Arabic"/>
          <w:color w:val="000000"/>
          <w:kern w:val="0"/>
          <w:sz w:val="28"/>
          <w:szCs w:val="28"/>
        </w:rPr>
      </w:pPr>
    </w:p>
    <w:p w14:paraId="6FBC2646" w14:textId="77777777" w:rsidR="00225AC7" w:rsidRDefault="0082177C">
      <w:pPr>
        <w:spacing w:line="360" w:lineRule="auto"/>
        <w:rPr>
          <w:rFonts w:ascii="Simplified Arabic" w:eastAsia="Simplified Arabic" w:hAnsi="Simplified Arabic" w:cs="Simplified Arabic"/>
          <w:color w:val="000000"/>
          <w:kern w:val="0"/>
          <w:sz w:val="32"/>
          <w:szCs w:val="32"/>
        </w:rPr>
      </w:pPr>
      <w:r>
        <w:rPr>
          <w:rFonts w:ascii="Simplified Arabic" w:eastAsia="Simplified Arabic" w:hAnsi="Simplified Arabic" w:cs="Simplified Arabic"/>
          <w:color w:val="000000"/>
          <w:kern w:val="0"/>
          <w:sz w:val="32"/>
          <w:szCs w:val="32"/>
          <w:rtl/>
        </w:rPr>
        <w:lastRenderedPageBreak/>
        <w:t>الأهمية النظرية (العلمية):</w:t>
      </w:r>
    </w:p>
    <w:p w14:paraId="6FBC2647" w14:textId="77777777" w:rsidR="00225AC7" w:rsidRDefault="0082177C">
      <w:pPr>
        <w:spacing w:line="360" w:lineRule="auto"/>
        <w:rPr>
          <w:rFonts w:ascii="Simplified Arabic" w:eastAsia="Simplified Arabic" w:hAnsi="Simplified Arabic" w:cs="Simplified Arabic"/>
          <w:color w:val="000000"/>
          <w:kern w:val="0"/>
          <w:sz w:val="28"/>
          <w:szCs w:val="28"/>
        </w:rPr>
      </w:pPr>
      <w:r>
        <w:rPr>
          <w:rFonts w:ascii="Simplified Arabic" w:eastAsia="Simplified Arabic" w:hAnsi="Simplified Arabic" w:cs="Simplified Arabic"/>
          <w:color w:val="000000"/>
          <w:kern w:val="0"/>
          <w:sz w:val="28"/>
          <w:szCs w:val="28"/>
          <w:rtl/>
        </w:rPr>
        <w:t>يُسهم البحث في إثراء الأدبيات العربية المتعلقة بإدارة المرافق المستدامة في قطاع الترفيه والسياحة، وهو مجال شحيح الدراسات في البيئة العربية بشكل عام و البيئة السعودية بشكل خاص. ويُقدّم البحث إطاراً نظرياً وقياسياً متكاملاً يربط بين أبعاد إدارة المرافق المستدامة ومؤشرات كفاءة التشغيل فيما يخص الوجهات الترفيهية الساحلية، مما يُعزز قدرة الباحثين المستقبليين على الفهم الأعمق لهذه العلاقة. كما تسعى الدراسة إلى سد فجوة بحثية موجودة في الأدبيات المتعلقة بمشاريع رؤية 2030 الترفيهية.</w:t>
      </w:r>
    </w:p>
    <w:p w14:paraId="6FBC2648" w14:textId="77777777" w:rsidR="00225AC7" w:rsidRDefault="0082177C">
      <w:pPr>
        <w:spacing w:line="360" w:lineRule="auto"/>
        <w:rPr>
          <w:rFonts w:ascii="Simplified Arabic" w:eastAsia="Simplified Arabic" w:hAnsi="Simplified Arabic" w:cs="Simplified Arabic"/>
          <w:color w:val="000000"/>
          <w:kern w:val="0"/>
          <w:sz w:val="32"/>
          <w:szCs w:val="32"/>
        </w:rPr>
      </w:pPr>
      <w:r>
        <w:rPr>
          <w:rFonts w:ascii="Simplified Arabic" w:eastAsia="Simplified Arabic" w:hAnsi="Simplified Arabic" w:cs="Simplified Arabic"/>
          <w:color w:val="000000"/>
          <w:kern w:val="0"/>
          <w:sz w:val="32"/>
          <w:szCs w:val="32"/>
          <w:rtl/>
        </w:rPr>
        <w:t>الأهمية التطبيقية (العملية):</w:t>
      </w:r>
    </w:p>
    <w:p w14:paraId="6FBC2649" w14:textId="77777777" w:rsidR="00225AC7" w:rsidRDefault="0082177C">
      <w:pPr>
        <w:spacing w:line="360" w:lineRule="auto"/>
        <w:rPr>
          <w:rFonts w:ascii="Simplified Arabic" w:eastAsia="Simplified Arabic" w:hAnsi="Simplified Arabic" w:cs="Simplified Arabic"/>
          <w:color w:val="000000"/>
          <w:kern w:val="0"/>
          <w:sz w:val="28"/>
          <w:szCs w:val="28"/>
        </w:rPr>
      </w:pPr>
      <w:r>
        <w:rPr>
          <w:rFonts w:ascii="Simplified Arabic" w:eastAsia="Simplified Arabic" w:hAnsi="Simplified Arabic" w:cs="Simplified Arabic"/>
          <w:color w:val="000000"/>
          <w:kern w:val="0"/>
          <w:sz w:val="28"/>
          <w:szCs w:val="28"/>
          <w:rtl/>
        </w:rPr>
        <w:t>عملياً، يُوفّر البحث للعاملين فيها من ادارات المرافق و التشغيل  والمشاريع الترفيهية خارطة طريق للتعامل مع تحديات التشغيل المستدام. وفي ظل تنامي الضغط على مشاريع الواجهة البحرية واستقطابها أعداداً متصاعدة من الزوار، تصبح القدرة على تحقيق الكفاءة التشغيلية عبر إدارة مرافق فعّالة ميزةً تنافسية كما ستستفيد الجهات الحكومية المنظّمة للقطاع العام والمستثمرون للقطاع الخاص في المشاريع الترفيهية الكبرى من التوصيات لضمان جودة التشغيل و الاستدامة.</w:t>
      </w:r>
    </w:p>
    <w:p w14:paraId="6FBC264A" w14:textId="77777777" w:rsidR="00225AC7" w:rsidRDefault="0082177C">
      <w:pPr>
        <w:spacing w:line="360" w:lineRule="auto"/>
      </w:pPr>
      <w:r>
        <w:rPr>
          <w:rFonts w:ascii="Simplified Arabic" w:eastAsia="Simplified Arabic" w:hAnsi="Simplified Arabic" w:cs="Simplified Arabic"/>
          <w:color w:val="000000"/>
          <w:kern w:val="0"/>
          <w:sz w:val="32"/>
          <w:szCs w:val="32"/>
          <w:rtl/>
        </w:rPr>
        <w:t>تعزيز مفهوم الاستدامة ومرونة التشغيل</w:t>
      </w:r>
      <w:r>
        <w:rPr>
          <w:rFonts w:ascii="Simplified Arabic" w:eastAsia="Simplified Arabic" w:hAnsi="Simplified Arabic" w:cs="Simplified Arabic"/>
          <w:color w:val="000000"/>
          <w:kern w:val="0"/>
          <w:sz w:val="28"/>
          <w:szCs w:val="28"/>
          <w:rtl/>
        </w:rPr>
        <w:t>:</w:t>
      </w:r>
    </w:p>
    <w:p w14:paraId="6FBC264B" w14:textId="77777777" w:rsidR="00225AC7" w:rsidRDefault="0082177C">
      <w:pPr>
        <w:spacing w:line="360" w:lineRule="auto"/>
        <w:rPr>
          <w:rFonts w:ascii="Simplified Arabic" w:eastAsia="Simplified Arabic" w:hAnsi="Simplified Arabic" w:cs="Simplified Arabic"/>
          <w:color w:val="000000"/>
          <w:kern w:val="0"/>
          <w:sz w:val="28"/>
          <w:szCs w:val="28"/>
        </w:rPr>
      </w:pPr>
      <w:r>
        <w:rPr>
          <w:rFonts w:ascii="Simplified Arabic" w:eastAsia="Simplified Arabic" w:hAnsi="Simplified Arabic" w:cs="Simplified Arabic"/>
          <w:color w:val="000000"/>
          <w:kern w:val="0"/>
          <w:sz w:val="28"/>
          <w:szCs w:val="28"/>
          <w:rtl/>
        </w:rPr>
        <w:t>إن إبراز أهمية إدارة المرافق المستدامة يُسهم في تعزيز القدرة على الصمود أمام الاضطرابات وضمان استمرارية الخدمة و التشغيل. فالمشاريع التي تطبّق مفاهيم الاستدامة في إدارة مرافقها ستكون قادرة على الوفاء بالتزاماتها التشغيلية وكسب ثقة الزوار والمستأجرين و المستثمرين ، لا سيما في المواسم والمناسبات الكبرى.</w:t>
      </w:r>
    </w:p>
    <w:p w14:paraId="6FBC264C" w14:textId="77777777" w:rsidR="00225AC7" w:rsidRDefault="0082177C">
      <w:pPr>
        <w:pStyle w:val="2"/>
        <w:bidi/>
      </w:pPr>
      <w:bookmarkStart w:id="4" w:name="_Toc235185270"/>
      <w:r>
        <w:rPr>
          <w:color w:val="000000"/>
          <w:sz w:val="36"/>
          <w:szCs w:val="36"/>
          <w:u w:val="single"/>
        </w:rPr>
        <w:lastRenderedPageBreak/>
        <w:t>1-4</w:t>
      </w:r>
      <w:r>
        <w:rPr>
          <w:color w:val="000000"/>
          <w:sz w:val="36"/>
          <w:szCs w:val="36"/>
          <w:u w:val="single"/>
          <w:rtl/>
        </w:rPr>
        <w:t xml:space="preserve"> أهداف الدراسة</w:t>
      </w:r>
      <w:bookmarkEnd w:id="4"/>
    </w:p>
    <w:p w14:paraId="6FBC264D" w14:textId="77777777" w:rsidR="00225AC7" w:rsidRDefault="00225AC7">
      <w:pPr>
        <w:pStyle w:val="2"/>
        <w:bidi/>
        <w:rPr>
          <w:color w:val="000000"/>
          <w:sz w:val="36"/>
          <w:szCs w:val="36"/>
          <w:u w:val="single"/>
        </w:rPr>
      </w:pPr>
    </w:p>
    <w:p w14:paraId="6FBC264E" w14:textId="77777777" w:rsidR="00225AC7" w:rsidRDefault="0082177C">
      <w:pPr>
        <w:spacing w:line="360" w:lineRule="auto"/>
        <w:rPr>
          <w:rFonts w:ascii="Simplified Arabic" w:eastAsia="Simplified Arabic" w:hAnsi="Simplified Arabic" w:cs="Simplified Arabic"/>
          <w:color w:val="000000"/>
          <w:kern w:val="0"/>
          <w:sz w:val="28"/>
          <w:szCs w:val="28"/>
        </w:rPr>
      </w:pPr>
      <w:r>
        <w:rPr>
          <w:rFonts w:ascii="Simplified Arabic" w:eastAsia="Simplified Arabic" w:hAnsi="Simplified Arabic" w:cs="Simplified Arabic"/>
          <w:color w:val="000000"/>
          <w:kern w:val="0"/>
          <w:sz w:val="28"/>
          <w:szCs w:val="28"/>
          <w:rtl/>
        </w:rPr>
        <w:t>تكمن أهداف هذه الدراسة من مشكلتها البحثية وتساؤلها الرئيسي، وتنقسم إلى هدف عام تسعى الدراسة إلى تحقيقه بصورة كلية، ومجموعة من الأهداف الخاصة التي تتفرّع منه و تقسمه إلى مسارات إجرائية قابلة للقياس والتحقق الميداني.</w:t>
      </w:r>
    </w:p>
    <w:p w14:paraId="6FBC264F" w14:textId="77777777" w:rsidR="00225AC7" w:rsidRDefault="0082177C">
      <w:pPr>
        <w:spacing w:line="360" w:lineRule="auto"/>
        <w:rPr>
          <w:rFonts w:ascii="Simplified Arabic" w:eastAsia="Simplified Arabic" w:hAnsi="Simplified Arabic" w:cs="Simplified Arabic"/>
          <w:color w:val="000000"/>
          <w:kern w:val="0"/>
          <w:sz w:val="28"/>
          <w:szCs w:val="28"/>
        </w:rPr>
      </w:pPr>
      <w:r>
        <w:rPr>
          <w:rFonts w:ascii="Simplified Arabic" w:eastAsia="Simplified Arabic" w:hAnsi="Simplified Arabic" w:cs="Simplified Arabic"/>
          <w:color w:val="000000"/>
          <w:kern w:val="0"/>
          <w:sz w:val="28"/>
          <w:szCs w:val="28"/>
          <w:rtl/>
        </w:rPr>
        <w:t>يتمثّل الهدف العام للدراسة في الكشف عن أثر ممارسات إدارة المرافق المستدامة بأبعادها الثلاثة (الصيانة الوقائية المنتظمة، وترشيد الطاقة وإدارة الموارد، وسرعة الاستجابة للأعطال) على كفاءة التشغيل في مشاريع الواجهة البحرية بمدينة جدة، بما يُسهم في تطوير إطار عملي يرفع من جاهزية هذه المشاريع التشغيلية لتعزيز الخدمة المقدمة و تحسين تجربة الزوار، و من خلالها تخدم مستهدفات  الرؤية 2030 في قطاع الترفيه والسياحة.</w:t>
      </w:r>
    </w:p>
    <w:p w14:paraId="6FBC2650" w14:textId="77777777" w:rsidR="00225AC7" w:rsidRDefault="0082177C">
      <w:pPr>
        <w:spacing w:line="360" w:lineRule="auto"/>
        <w:rPr>
          <w:rFonts w:ascii="Simplified Arabic" w:eastAsia="Simplified Arabic" w:hAnsi="Simplified Arabic" w:cs="Simplified Arabic"/>
          <w:color w:val="000000"/>
          <w:kern w:val="0"/>
          <w:sz w:val="28"/>
          <w:szCs w:val="28"/>
        </w:rPr>
      </w:pPr>
      <w:r>
        <w:rPr>
          <w:rFonts w:ascii="Simplified Arabic" w:eastAsia="Simplified Arabic" w:hAnsi="Simplified Arabic" w:cs="Simplified Arabic"/>
          <w:color w:val="000000"/>
          <w:kern w:val="0"/>
          <w:sz w:val="28"/>
          <w:szCs w:val="28"/>
          <w:rtl/>
        </w:rPr>
        <w:t>لتحقيق الهدف العام، تسعى الدراسة إلى بلوغ الأهداف الخاصة الأربعة التالية:</w:t>
      </w:r>
    </w:p>
    <w:p w14:paraId="6FBC2651" w14:textId="77777777" w:rsidR="00225AC7" w:rsidRDefault="0082177C">
      <w:pPr>
        <w:spacing w:line="360" w:lineRule="auto"/>
        <w:rPr>
          <w:rFonts w:ascii="Simplified Arabic" w:eastAsia="Simplified Arabic" w:hAnsi="Simplified Arabic" w:cs="Simplified Arabic"/>
          <w:color w:val="000000"/>
          <w:kern w:val="0"/>
          <w:sz w:val="32"/>
          <w:szCs w:val="32"/>
        </w:rPr>
      </w:pPr>
      <w:r>
        <w:rPr>
          <w:rFonts w:ascii="Simplified Arabic" w:eastAsia="Simplified Arabic" w:hAnsi="Simplified Arabic" w:cs="Simplified Arabic"/>
          <w:color w:val="000000"/>
          <w:kern w:val="0"/>
          <w:sz w:val="32"/>
          <w:szCs w:val="32"/>
        </w:rPr>
        <w:t>1</w:t>
      </w:r>
      <w:r>
        <w:rPr>
          <w:rFonts w:ascii="Simplified Arabic" w:eastAsia="Simplified Arabic" w:hAnsi="Simplified Arabic" w:cs="Simplified Arabic"/>
          <w:color w:val="000000"/>
          <w:kern w:val="0"/>
          <w:sz w:val="32"/>
          <w:szCs w:val="32"/>
          <w:rtl/>
        </w:rPr>
        <w:t>.قياس مستوى تطبيق أبعاد إدارة المرافق المستدامة (المتمثلة في: الصيانة الوقائية، وترشيد الطاقة والموارد، وسرعة الاستجابة للأعطال) في مشاريع الواجهة البحرية بمدينة جدة.</w:t>
      </w:r>
    </w:p>
    <w:p w14:paraId="6FBC2652" w14:textId="77777777" w:rsidR="00225AC7" w:rsidRDefault="0082177C">
      <w:pPr>
        <w:spacing w:line="360" w:lineRule="auto"/>
        <w:rPr>
          <w:rFonts w:ascii="Simplified Arabic" w:eastAsia="Simplified Arabic" w:hAnsi="Simplified Arabic" w:cs="Simplified Arabic"/>
          <w:color w:val="000000"/>
          <w:kern w:val="0"/>
          <w:sz w:val="28"/>
          <w:szCs w:val="28"/>
        </w:rPr>
      </w:pPr>
      <w:r>
        <w:rPr>
          <w:rFonts w:ascii="Simplified Arabic" w:eastAsia="Simplified Arabic" w:hAnsi="Simplified Arabic" w:cs="Simplified Arabic"/>
          <w:color w:val="000000"/>
          <w:kern w:val="0"/>
          <w:sz w:val="28"/>
          <w:szCs w:val="28"/>
          <w:rtl/>
        </w:rPr>
        <w:t xml:space="preserve">ينطلق هذا الهدف من ضرورة تكوين صورة دقيقة عن الواقع القائم قبل تحليل أي علاقة أو أثر، إذ لا يمكن الحكم على فاعلية ممارسة دون معرفة مدى تطبيقها فعلياً. ويتطلّب تحقيق هذا الهدف حصر الأبعاد الثلاثة وتفكيك كل بُعد إلى مؤشراته الفرعية، ثم قياس مستوى تطبيق كل مؤشر عبر أداة الدراسة الميدانية. ويُسهم </w:t>
      </w:r>
      <w:r>
        <w:rPr>
          <w:rFonts w:ascii="Simplified Arabic" w:eastAsia="Simplified Arabic" w:hAnsi="Simplified Arabic" w:cs="Simplified Arabic"/>
          <w:color w:val="000000"/>
          <w:kern w:val="0"/>
          <w:sz w:val="28"/>
          <w:szCs w:val="28"/>
          <w:rtl/>
        </w:rPr>
        <w:lastRenderedPageBreak/>
        <w:t>هذا الهدف في بناء قاعدة وصفية تُمكّن الباحث من تحديد الأبعاد الأكثر نضجاً والأبعاد التي تعاني من قصور، وهو ما يشكّل الأساس الذي تُبنى عليه بقية أهداف الدراسة.</w:t>
      </w:r>
    </w:p>
    <w:p w14:paraId="6FBC2653" w14:textId="77777777" w:rsidR="00225AC7" w:rsidRDefault="0082177C">
      <w:pPr>
        <w:spacing w:line="360" w:lineRule="auto"/>
      </w:pPr>
      <w:r>
        <w:rPr>
          <w:rFonts w:ascii="Simplified Arabic" w:eastAsia="Simplified Arabic" w:hAnsi="Simplified Arabic" w:cs="Simplified Arabic"/>
          <w:color w:val="000000"/>
          <w:kern w:val="0"/>
          <w:sz w:val="28"/>
          <w:szCs w:val="28"/>
        </w:rPr>
        <w:t>2</w:t>
      </w:r>
      <w:r>
        <w:rPr>
          <w:rFonts w:ascii="Simplified Arabic" w:eastAsia="Simplified Arabic" w:hAnsi="Simplified Arabic" w:cs="Simplified Arabic"/>
          <w:color w:val="000000"/>
          <w:kern w:val="0"/>
          <w:sz w:val="28"/>
          <w:szCs w:val="28"/>
          <w:rtl/>
        </w:rPr>
        <w:t>.</w:t>
      </w:r>
      <w:r>
        <w:rPr>
          <w:rFonts w:ascii="Simplified Arabic" w:eastAsia="Simplified Arabic" w:hAnsi="Simplified Arabic" w:cs="Simplified Arabic"/>
          <w:color w:val="000000"/>
          <w:kern w:val="0"/>
          <w:sz w:val="32"/>
          <w:szCs w:val="32"/>
          <w:rtl/>
        </w:rPr>
        <w:t>تحليل أثر ممارسات إدارة المرافق المستدامة (بأبعادها الثلاثة) على مؤشرات كفاءة التشغيل (المتمثلة في: الاستمرارية التشغيلية، ومعدلات الأعطال، وجودة الخدمة) في المشاريع نفسها.</w:t>
      </w:r>
    </w:p>
    <w:p w14:paraId="6FBC2654" w14:textId="77777777" w:rsidR="00225AC7" w:rsidRDefault="0082177C">
      <w:pPr>
        <w:spacing w:line="360" w:lineRule="auto"/>
        <w:rPr>
          <w:rFonts w:ascii="Simplified Arabic" w:eastAsia="Simplified Arabic" w:hAnsi="Simplified Arabic" w:cs="Simplified Arabic"/>
          <w:color w:val="000000"/>
          <w:kern w:val="0"/>
          <w:sz w:val="28"/>
          <w:szCs w:val="28"/>
        </w:rPr>
      </w:pPr>
      <w:r>
        <w:rPr>
          <w:rFonts w:ascii="Simplified Arabic" w:eastAsia="Simplified Arabic" w:hAnsi="Simplified Arabic" w:cs="Simplified Arabic"/>
          <w:color w:val="000000"/>
          <w:kern w:val="0"/>
          <w:sz w:val="28"/>
          <w:szCs w:val="28"/>
          <w:rtl/>
        </w:rPr>
        <w:t>يمثّل هذا الهدف جوهر الدراسة وقلبها التحليلي، إذ ينتقل بها من مرحلة الوصف إلى مرحلة قياس العلاقة والأثر. ولا يكتفي هذا الهدف بإثبات وجود علاقة من عدمها، بل يسعى إلى تقدير حجم هذه العلاقة واتجاهها لكل بُعد على حدة، باستخدام أدوات إحصائية كمعامل الارتباط وتحليل الانحدار. ويُتوقّع أن يقدّم هذا الهدف دليلاً مبنياً على البيانات يثبت أن إدارة المرافق المستدامة ليست مجرد تكلفة تشغيلية إضافية، بل استثمار يعود بتحسين و توفير ملاحظ على أداء المشروع من حيث الوقت والجودة والاستمرارية، وهو ما يمنح توصيات الدراسة سنداً علمياً قوياً.</w:t>
      </w:r>
    </w:p>
    <w:p w14:paraId="6FBC2655" w14:textId="77777777" w:rsidR="00225AC7" w:rsidRDefault="0082177C">
      <w:pPr>
        <w:spacing w:line="360" w:lineRule="auto"/>
      </w:pPr>
      <w:r>
        <w:rPr>
          <w:rFonts w:ascii="Simplified Arabic" w:eastAsia="Simplified Arabic" w:hAnsi="Simplified Arabic" w:cs="Simplified Arabic"/>
          <w:color w:val="000000"/>
          <w:kern w:val="0"/>
          <w:sz w:val="28"/>
          <w:szCs w:val="28"/>
        </w:rPr>
        <w:t>3</w:t>
      </w:r>
      <w:r>
        <w:rPr>
          <w:rFonts w:ascii="Simplified Arabic" w:eastAsia="Simplified Arabic" w:hAnsi="Simplified Arabic" w:cs="Simplified Arabic"/>
          <w:color w:val="000000"/>
          <w:kern w:val="0"/>
          <w:sz w:val="32"/>
          <w:szCs w:val="32"/>
          <w:rtl/>
        </w:rPr>
        <w:t>.التعرف على التحديات التنظيمية والبشرية والتقنية التي تحول دون التطبيق الأمثل لممارسات إدارة المرافق المستدامة في مشاريع الواجهة البحرية بجدة.</w:t>
      </w:r>
    </w:p>
    <w:p w14:paraId="6FBC2656" w14:textId="77777777" w:rsidR="00225AC7" w:rsidRDefault="0082177C">
      <w:pPr>
        <w:spacing w:line="360" w:lineRule="auto"/>
        <w:rPr>
          <w:rFonts w:ascii="Simplified Arabic" w:eastAsia="Simplified Arabic" w:hAnsi="Simplified Arabic" w:cs="Simplified Arabic"/>
          <w:color w:val="000000"/>
          <w:kern w:val="0"/>
          <w:sz w:val="28"/>
          <w:szCs w:val="28"/>
        </w:rPr>
      </w:pPr>
      <w:r>
        <w:rPr>
          <w:rFonts w:ascii="Simplified Arabic" w:eastAsia="Simplified Arabic" w:hAnsi="Simplified Arabic" w:cs="Simplified Arabic"/>
          <w:color w:val="000000"/>
          <w:kern w:val="0"/>
          <w:sz w:val="28"/>
          <w:szCs w:val="28"/>
          <w:rtl/>
        </w:rPr>
        <w:t xml:space="preserve">يكشف هذا الهدف عن الجانب الواقعي المتعلق بالمعوقات التي تواجه التطبيق الفعلي، إذ إن معرفة الأثر الإيجابي لإدارة المرافق المستدامة لا تكتمل قيمتها دون فهم العوائق التي تحول دون تبنّيها. ويتناول هذا الهدف ثلاثة مستويات من التحديات: التنظيمية مثل (غياب السياسات المكتوبة وضعف التنسيق بين الإدارات)، والبشرية (كنقص الكوادر المؤهّلة ومحدودية التدريب)، والتقنية (كضعف الأنظمة الرقمية وأدوات </w:t>
      </w:r>
      <w:r>
        <w:rPr>
          <w:rFonts w:ascii="Simplified Arabic" w:eastAsia="Simplified Arabic" w:hAnsi="Simplified Arabic" w:cs="Simplified Arabic"/>
          <w:color w:val="000000"/>
          <w:kern w:val="0"/>
          <w:sz w:val="28"/>
          <w:szCs w:val="28"/>
          <w:rtl/>
        </w:rPr>
        <w:lastRenderedPageBreak/>
        <w:t>المتابعة). ويُسهم تشخيص هذه التحديات في توجيه التوصيات نحو معالجة جذور المشكلة لا أعراضها فحسب.</w:t>
      </w:r>
    </w:p>
    <w:p w14:paraId="6FBC2657" w14:textId="77777777" w:rsidR="00225AC7" w:rsidRDefault="0082177C">
      <w:pPr>
        <w:spacing w:line="360" w:lineRule="auto"/>
      </w:pPr>
      <w:r>
        <w:rPr>
          <w:rFonts w:ascii="Simplified Arabic" w:eastAsia="Simplified Arabic" w:hAnsi="Simplified Arabic" w:cs="Simplified Arabic"/>
          <w:color w:val="000000"/>
          <w:kern w:val="0"/>
          <w:sz w:val="28"/>
          <w:szCs w:val="28"/>
        </w:rPr>
        <w:t>4</w:t>
      </w:r>
      <w:r>
        <w:rPr>
          <w:rFonts w:ascii="Simplified Arabic" w:eastAsia="Simplified Arabic" w:hAnsi="Simplified Arabic" w:cs="Simplified Arabic"/>
          <w:color w:val="000000"/>
          <w:kern w:val="0"/>
          <w:sz w:val="28"/>
          <w:szCs w:val="28"/>
          <w:rtl/>
        </w:rPr>
        <w:t>.</w:t>
      </w:r>
      <w:r>
        <w:rPr>
          <w:rFonts w:ascii="Simplified Arabic" w:eastAsia="Simplified Arabic" w:hAnsi="Simplified Arabic" w:cs="Simplified Arabic"/>
          <w:color w:val="000000"/>
          <w:kern w:val="0"/>
          <w:sz w:val="32"/>
          <w:szCs w:val="32"/>
          <w:rtl/>
        </w:rPr>
        <w:t>اقتراح مجموعة من التوصيات العملية لتطوير سياسات وإجراءات إدارة المرافق المستدامة، بهدف رفع كفاءة التشغيل وتحسين تجربة الزوار في هذه المشاريع.</w:t>
      </w:r>
    </w:p>
    <w:p w14:paraId="6FBC2658" w14:textId="77777777" w:rsidR="00225AC7" w:rsidRDefault="0082177C">
      <w:pPr>
        <w:spacing w:line="360" w:lineRule="auto"/>
        <w:rPr>
          <w:rFonts w:ascii="Simplified Arabic" w:eastAsia="Simplified Arabic" w:hAnsi="Simplified Arabic" w:cs="Simplified Arabic"/>
          <w:color w:val="000000"/>
          <w:kern w:val="0"/>
          <w:sz w:val="28"/>
          <w:szCs w:val="28"/>
        </w:rPr>
      </w:pPr>
      <w:r>
        <w:rPr>
          <w:rFonts w:ascii="Simplified Arabic" w:eastAsia="Simplified Arabic" w:hAnsi="Simplified Arabic" w:cs="Simplified Arabic"/>
          <w:color w:val="000000"/>
          <w:kern w:val="0"/>
          <w:sz w:val="28"/>
          <w:szCs w:val="28"/>
          <w:rtl/>
        </w:rPr>
        <w:t>يُحوّل هذا الهدف نتائج الدراسة من تحليل نظري إلى أداة عملية قابلة للتطبيق، إذ يستند إلى مخرجات الأهداف السابقة لصياغة توصيات تشمل استراتيجيات الوقاية مثل ( تطوير خطط الصيانة الوقائية وترشيد الطاقة)، واستراتيجيات الاستجابة السريعة مثل (تفعيل بروتوكولات التعامل مع الأعطال)، إضافة إلى آليات للمتابعة والرقابة المستمرة عبر مؤشرات أداء واضحة. ويمنح هذا الهدف الدراسة قيمتها التطبيقية، إذ يقدّم لمديري المرافق والمشاريع وصنّاع القرار خارطة طريق عملية يمكن تنفيذها على أرض الواقع.</w:t>
      </w:r>
    </w:p>
    <w:p w14:paraId="6FBC2659" w14:textId="77777777" w:rsidR="00225AC7" w:rsidRDefault="0082177C">
      <w:pPr>
        <w:spacing w:line="360" w:lineRule="auto"/>
        <w:rPr>
          <w:rFonts w:ascii="Simplified Arabic" w:eastAsia="Simplified Arabic" w:hAnsi="Simplified Arabic" w:cs="Simplified Arabic"/>
          <w:color w:val="000000"/>
          <w:kern w:val="0"/>
          <w:sz w:val="28"/>
          <w:szCs w:val="28"/>
        </w:rPr>
      </w:pPr>
      <w:r>
        <w:rPr>
          <w:rFonts w:ascii="Simplified Arabic" w:eastAsia="Simplified Arabic" w:hAnsi="Simplified Arabic" w:cs="Simplified Arabic"/>
          <w:color w:val="000000"/>
          <w:kern w:val="0"/>
          <w:sz w:val="28"/>
          <w:szCs w:val="28"/>
          <w:rtl/>
        </w:rPr>
        <w:t>ومن خلال تحقيق هذه الأهداف مجتمعةً، تسعى الدراسة إلى سد فجوة معرفية في أدبيات إدارة المرافق في قطاع الترفيه وبالأخص في الواجهات البحرية، كما تهدف عملياً إلى مساعدة الجهات المشغّلة على تطوير سياسات أفضل لإدارة مرافقها بما يُسهم في رفع كفاءة تشغيلها وتعزيز تجربة الزوار.</w:t>
      </w:r>
    </w:p>
    <w:p w14:paraId="6FBC265A" w14:textId="77777777" w:rsidR="00225AC7" w:rsidRDefault="0082177C">
      <w:pPr>
        <w:pStyle w:val="2"/>
        <w:bidi/>
      </w:pPr>
      <w:bookmarkStart w:id="5" w:name="_Toc235185271"/>
      <w:r>
        <w:rPr>
          <w:color w:val="000000"/>
          <w:sz w:val="36"/>
          <w:szCs w:val="36"/>
          <w:u w:val="single"/>
        </w:rPr>
        <w:t>1-5</w:t>
      </w:r>
      <w:r>
        <w:rPr>
          <w:color w:val="000000"/>
          <w:sz w:val="36"/>
          <w:szCs w:val="36"/>
          <w:u w:val="single"/>
          <w:rtl/>
        </w:rPr>
        <w:t xml:space="preserve"> تساؤلات الدراسة</w:t>
      </w:r>
      <w:bookmarkEnd w:id="5"/>
    </w:p>
    <w:p w14:paraId="6FBC265B" w14:textId="77777777" w:rsidR="00225AC7" w:rsidRDefault="00225AC7">
      <w:pPr>
        <w:pStyle w:val="2"/>
        <w:bidi/>
        <w:rPr>
          <w:color w:val="000000"/>
          <w:sz w:val="36"/>
          <w:szCs w:val="36"/>
          <w:u w:val="single"/>
        </w:rPr>
      </w:pPr>
    </w:p>
    <w:p w14:paraId="6FBC265C" w14:textId="77777777" w:rsidR="00225AC7" w:rsidRDefault="0082177C">
      <w:pPr>
        <w:spacing w:line="360" w:lineRule="auto"/>
        <w:rPr>
          <w:rFonts w:ascii="Simplified Arabic" w:eastAsia="Simplified Arabic" w:hAnsi="Simplified Arabic" w:cs="Simplified Arabic"/>
          <w:color w:val="000000"/>
          <w:kern w:val="0"/>
          <w:sz w:val="28"/>
          <w:szCs w:val="28"/>
        </w:rPr>
      </w:pPr>
      <w:r>
        <w:rPr>
          <w:rFonts w:ascii="Simplified Arabic" w:eastAsia="Simplified Arabic" w:hAnsi="Simplified Arabic" w:cs="Simplified Arabic"/>
          <w:color w:val="000000"/>
          <w:kern w:val="0"/>
          <w:sz w:val="28"/>
          <w:szCs w:val="28"/>
          <w:rtl/>
        </w:rPr>
        <w:t>لكي يتم الإجابة على مشكلة البحث وتحقيق أهداف الدراسة، تمت صياغة مجموعة من أسئلة البحث على النحو التالي:</w:t>
      </w:r>
    </w:p>
    <w:p w14:paraId="6FBC265D" w14:textId="77777777" w:rsidR="00225AC7" w:rsidRDefault="0082177C">
      <w:pPr>
        <w:spacing w:line="360" w:lineRule="auto"/>
        <w:rPr>
          <w:rFonts w:ascii="Simplified Arabic" w:eastAsia="Simplified Arabic" w:hAnsi="Simplified Arabic" w:cs="Simplified Arabic"/>
          <w:color w:val="000000"/>
          <w:kern w:val="0"/>
          <w:sz w:val="28"/>
          <w:szCs w:val="28"/>
        </w:rPr>
      </w:pPr>
      <w:r>
        <w:rPr>
          <w:rFonts w:ascii="Simplified Arabic" w:eastAsia="Simplified Arabic" w:hAnsi="Simplified Arabic" w:cs="Simplified Arabic"/>
          <w:color w:val="000000"/>
          <w:kern w:val="0"/>
          <w:sz w:val="28"/>
          <w:szCs w:val="28"/>
        </w:rPr>
        <w:lastRenderedPageBreak/>
        <w:t>1</w:t>
      </w:r>
      <w:r>
        <w:rPr>
          <w:rFonts w:ascii="Simplified Arabic" w:eastAsia="Simplified Arabic" w:hAnsi="Simplified Arabic" w:cs="Simplified Arabic"/>
          <w:color w:val="000000"/>
          <w:kern w:val="0"/>
          <w:sz w:val="28"/>
          <w:szCs w:val="28"/>
          <w:rtl/>
        </w:rPr>
        <w:t>.ما مستوى تطبيق ممارسات إدارة المرافق المستدامة (الصيانة الوقائية، وإدارة الطاقة والموارد، وسرعة الاستجابة للأعطال) في مشاريع الواجهة البحرية في مدينة جدة؟</w:t>
      </w:r>
    </w:p>
    <w:p w14:paraId="6FBC265E" w14:textId="77777777" w:rsidR="00225AC7" w:rsidRDefault="0082177C">
      <w:pPr>
        <w:spacing w:line="360" w:lineRule="auto"/>
        <w:rPr>
          <w:rFonts w:ascii="Simplified Arabic" w:eastAsia="Simplified Arabic" w:hAnsi="Simplified Arabic" w:cs="Simplified Arabic"/>
          <w:color w:val="000000"/>
          <w:kern w:val="0"/>
          <w:sz w:val="28"/>
          <w:szCs w:val="28"/>
        </w:rPr>
      </w:pPr>
      <w:r>
        <w:rPr>
          <w:rFonts w:ascii="Simplified Arabic" w:eastAsia="Simplified Arabic" w:hAnsi="Simplified Arabic" w:cs="Simplified Arabic"/>
          <w:color w:val="000000"/>
          <w:kern w:val="0"/>
          <w:sz w:val="28"/>
          <w:szCs w:val="28"/>
        </w:rPr>
        <w:t>2</w:t>
      </w:r>
      <w:r>
        <w:rPr>
          <w:rFonts w:ascii="Simplified Arabic" w:eastAsia="Simplified Arabic" w:hAnsi="Simplified Arabic" w:cs="Simplified Arabic"/>
          <w:color w:val="000000"/>
          <w:kern w:val="0"/>
          <w:sz w:val="28"/>
          <w:szCs w:val="28"/>
          <w:rtl/>
        </w:rPr>
        <w:t>.ما مستوى كفاءة التشغيل (الاستمرارية التشغيلية، ومعدلات الأعطال، وجودة الخدمة، ورضا الزوار) في هذه المشاريع؟</w:t>
      </w:r>
    </w:p>
    <w:p w14:paraId="6FBC265F" w14:textId="77777777" w:rsidR="00225AC7" w:rsidRDefault="0082177C">
      <w:pPr>
        <w:spacing w:line="360" w:lineRule="auto"/>
        <w:rPr>
          <w:rFonts w:ascii="Simplified Arabic" w:eastAsia="Simplified Arabic" w:hAnsi="Simplified Arabic" w:cs="Simplified Arabic"/>
          <w:color w:val="000000"/>
          <w:kern w:val="0"/>
          <w:sz w:val="28"/>
          <w:szCs w:val="28"/>
        </w:rPr>
      </w:pPr>
      <w:r>
        <w:rPr>
          <w:rFonts w:ascii="Simplified Arabic" w:eastAsia="Simplified Arabic" w:hAnsi="Simplified Arabic" w:cs="Simplified Arabic"/>
          <w:color w:val="000000"/>
          <w:kern w:val="0"/>
          <w:sz w:val="28"/>
          <w:szCs w:val="28"/>
        </w:rPr>
        <w:t>3</w:t>
      </w:r>
      <w:r>
        <w:rPr>
          <w:rFonts w:ascii="Simplified Arabic" w:eastAsia="Simplified Arabic" w:hAnsi="Simplified Arabic" w:cs="Simplified Arabic"/>
          <w:color w:val="000000"/>
          <w:kern w:val="0"/>
          <w:sz w:val="28"/>
          <w:szCs w:val="28"/>
          <w:rtl/>
        </w:rPr>
        <w:t>.هل يوجد أثر ذو دلالة إحصائية لممارسات الصيانة الوقائية المنتظمة على الاستمرارية التشغيلية وتقليل معدلات الأعطال في مشاريع الواجهة البحرية بجدة؟</w:t>
      </w:r>
    </w:p>
    <w:p w14:paraId="6FBC2660" w14:textId="77777777" w:rsidR="00225AC7" w:rsidRDefault="0082177C">
      <w:pPr>
        <w:spacing w:line="360" w:lineRule="auto"/>
        <w:rPr>
          <w:rFonts w:ascii="Simplified Arabic" w:eastAsia="Simplified Arabic" w:hAnsi="Simplified Arabic" w:cs="Simplified Arabic"/>
          <w:color w:val="000000"/>
          <w:kern w:val="0"/>
          <w:sz w:val="28"/>
          <w:szCs w:val="28"/>
        </w:rPr>
      </w:pPr>
      <w:r>
        <w:rPr>
          <w:rFonts w:ascii="Simplified Arabic" w:eastAsia="Simplified Arabic" w:hAnsi="Simplified Arabic" w:cs="Simplified Arabic"/>
          <w:color w:val="000000"/>
          <w:kern w:val="0"/>
          <w:sz w:val="28"/>
          <w:szCs w:val="28"/>
        </w:rPr>
        <w:t>4</w:t>
      </w:r>
      <w:r>
        <w:rPr>
          <w:rFonts w:ascii="Simplified Arabic" w:eastAsia="Simplified Arabic" w:hAnsi="Simplified Arabic" w:cs="Simplified Arabic"/>
          <w:color w:val="000000"/>
          <w:kern w:val="0"/>
          <w:sz w:val="28"/>
          <w:szCs w:val="28"/>
          <w:rtl/>
        </w:rPr>
        <w:t>.هل يوجد أثر ذو دلالة إحصائية لممارسات إدارة الطاقة والموارد على كفاءة التشغيل وتقليل التكاليف؟</w:t>
      </w:r>
    </w:p>
    <w:p w14:paraId="6FBC2661" w14:textId="77777777" w:rsidR="00225AC7" w:rsidRDefault="0082177C">
      <w:pPr>
        <w:spacing w:line="360" w:lineRule="auto"/>
        <w:rPr>
          <w:rFonts w:ascii="Simplified Arabic" w:eastAsia="Simplified Arabic" w:hAnsi="Simplified Arabic" w:cs="Simplified Arabic"/>
          <w:color w:val="000000"/>
          <w:kern w:val="0"/>
          <w:sz w:val="28"/>
          <w:szCs w:val="28"/>
        </w:rPr>
      </w:pPr>
      <w:r>
        <w:rPr>
          <w:rFonts w:ascii="Simplified Arabic" w:eastAsia="Simplified Arabic" w:hAnsi="Simplified Arabic" w:cs="Simplified Arabic"/>
          <w:color w:val="000000"/>
          <w:kern w:val="0"/>
          <w:sz w:val="28"/>
          <w:szCs w:val="28"/>
        </w:rPr>
        <w:t>5</w:t>
      </w:r>
      <w:r>
        <w:rPr>
          <w:rFonts w:ascii="Simplified Arabic" w:eastAsia="Simplified Arabic" w:hAnsi="Simplified Arabic" w:cs="Simplified Arabic"/>
          <w:color w:val="000000"/>
          <w:kern w:val="0"/>
          <w:sz w:val="28"/>
          <w:szCs w:val="28"/>
          <w:rtl/>
        </w:rPr>
        <w:t>.ما أبرز التحديات التنظيمية والبشرية والتقنية التي تحول دون تطبيق ممارسات إدارة المرافق المستدامة بشكل فعّال في هذه المشاريع؟</w:t>
      </w:r>
    </w:p>
    <w:p w14:paraId="6FBC2662" w14:textId="77777777" w:rsidR="00225AC7" w:rsidRDefault="0082177C">
      <w:pPr>
        <w:spacing w:after="120" w:line="276" w:lineRule="auto"/>
        <w:ind w:firstLine="283"/>
        <w:jc w:val="both"/>
      </w:pPr>
      <w:r>
        <w:rPr>
          <w:rFonts w:ascii="Simplified Arabic" w:eastAsia="Simplified Arabic" w:hAnsi="Simplified Arabic" w:cs="Simplified Arabic"/>
          <w:color w:val="000000"/>
          <w:kern w:val="0"/>
          <w:sz w:val="28"/>
          <w:szCs w:val="28"/>
          <w:rtl/>
        </w:rPr>
        <w:t xml:space="preserve">ومن المتوقع أن تساعد الإجابة على هذه الأسئلة في تكوين صورة بشكل أوضح و أشمل حول واقع إدارة المرافق المستدامة في مشاريع الواجهة البحرية والفجوات التي تحتاج إلى معالجة، وبالتالي وضع حلول علمية وعملية مدعومة بالأدلة. </w:t>
      </w:r>
      <w:r>
        <w:rPr>
          <w:rFonts w:ascii="Simplified Arabic" w:eastAsia="Simplified Arabic" w:hAnsi="Simplified Arabic" w:cs="Simplified Arabic"/>
          <w:sz w:val="28"/>
          <w:szCs w:val="28"/>
          <w:rtl/>
        </w:rPr>
        <w:t xml:space="preserve">علماً أن السؤالين الأول والثاني يصفان واقع التطبيق ومستوى الكفاءة (ويتصل الأول بالفرضية الثالثة حول مدى شمول تطبيق الإطار)، فيما تُترجَم الأسئلة الثالث والرابع والخامس إلى الفرضيات </w:t>
      </w:r>
      <w:r>
        <w:rPr>
          <w:rFonts w:ascii="Simplified Arabic" w:eastAsia="Simplified Arabic" w:hAnsi="Simplified Arabic" w:cs="Simplified Arabic"/>
          <w:sz w:val="28"/>
          <w:szCs w:val="28"/>
        </w:rPr>
        <w:t>H1</w:t>
      </w:r>
      <w:r>
        <w:rPr>
          <w:rFonts w:ascii="Simplified Arabic" w:eastAsia="Simplified Arabic" w:hAnsi="Simplified Arabic" w:cs="Simplified Arabic"/>
          <w:sz w:val="28"/>
          <w:szCs w:val="28"/>
          <w:rtl/>
        </w:rPr>
        <w:t xml:space="preserve"> و</w:t>
      </w:r>
      <w:r>
        <w:rPr>
          <w:rFonts w:ascii="Simplified Arabic" w:eastAsia="Simplified Arabic" w:hAnsi="Simplified Arabic" w:cs="Simplified Arabic"/>
          <w:sz w:val="28"/>
          <w:szCs w:val="28"/>
        </w:rPr>
        <w:t>H2</w:t>
      </w:r>
      <w:r>
        <w:rPr>
          <w:rFonts w:ascii="Simplified Arabic" w:eastAsia="Simplified Arabic" w:hAnsi="Simplified Arabic" w:cs="Simplified Arabic"/>
          <w:sz w:val="28"/>
          <w:szCs w:val="28"/>
          <w:rtl/>
        </w:rPr>
        <w:t xml:space="preserve"> و</w:t>
      </w:r>
      <w:r>
        <w:rPr>
          <w:rFonts w:ascii="Simplified Arabic" w:eastAsia="Simplified Arabic" w:hAnsi="Simplified Arabic" w:cs="Simplified Arabic"/>
          <w:sz w:val="28"/>
          <w:szCs w:val="28"/>
        </w:rPr>
        <w:t>H4</w:t>
      </w:r>
      <w:r>
        <w:rPr>
          <w:rFonts w:ascii="Simplified Arabic" w:eastAsia="Simplified Arabic" w:hAnsi="Simplified Arabic" w:cs="Simplified Arabic"/>
          <w:sz w:val="28"/>
          <w:szCs w:val="28"/>
          <w:rtl/>
        </w:rPr>
        <w:t xml:space="preserve"> على التوالي.</w:t>
      </w:r>
    </w:p>
    <w:p w14:paraId="6FBC2663" w14:textId="77777777" w:rsidR="00225AC7" w:rsidRDefault="0082177C">
      <w:pPr>
        <w:pStyle w:val="2"/>
        <w:bidi/>
      </w:pPr>
      <w:r>
        <w:rPr>
          <w:rFonts w:eastAsia="Simplified Arabic"/>
          <w:color w:val="000000"/>
          <w:sz w:val="36"/>
          <w:szCs w:val="36"/>
          <w:u w:val="single"/>
          <w:rtl/>
        </w:rPr>
        <w:t xml:space="preserve"> </w:t>
      </w:r>
      <w:bookmarkStart w:id="6" w:name="_Toc235185272"/>
      <w:r>
        <w:rPr>
          <w:color w:val="000000"/>
          <w:sz w:val="36"/>
          <w:szCs w:val="36"/>
          <w:u w:val="single"/>
          <w:rtl/>
        </w:rPr>
        <w:t>1</w:t>
      </w:r>
      <w:r>
        <w:rPr>
          <w:rFonts w:eastAsia="Simplified Arabic"/>
          <w:color w:val="000000"/>
          <w:sz w:val="36"/>
          <w:szCs w:val="36"/>
          <w:u w:val="single"/>
          <w:rtl/>
        </w:rPr>
        <w:t>-</w:t>
      </w:r>
      <w:r>
        <w:rPr>
          <w:color w:val="000000"/>
          <w:sz w:val="36"/>
          <w:szCs w:val="36"/>
          <w:u w:val="single"/>
          <w:rtl/>
        </w:rPr>
        <w:t xml:space="preserve">6 </w:t>
      </w:r>
      <w:r>
        <w:rPr>
          <w:rFonts w:eastAsia="Simplified Arabic"/>
          <w:color w:val="000000"/>
          <w:sz w:val="36"/>
          <w:szCs w:val="36"/>
          <w:u w:val="single"/>
          <w:rtl/>
        </w:rPr>
        <w:t>فرضيات الدراسة:</w:t>
      </w:r>
      <w:bookmarkEnd w:id="6"/>
    </w:p>
    <w:p w14:paraId="6FBC2664" w14:textId="77777777" w:rsidR="00225AC7" w:rsidRDefault="00225AC7">
      <w:pPr>
        <w:pStyle w:val="2"/>
        <w:bidi/>
        <w:rPr>
          <w:rFonts w:eastAsia="Simplified Arabic"/>
          <w:color w:val="000000"/>
          <w:sz w:val="36"/>
          <w:szCs w:val="36"/>
          <w:u w:val="single"/>
        </w:rPr>
      </w:pPr>
    </w:p>
    <w:p w14:paraId="6FBC2665" w14:textId="77777777" w:rsidR="00225AC7" w:rsidRDefault="0082177C">
      <w:pPr>
        <w:spacing w:line="360" w:lineRule="auto"/>
      </w:pPr>
      <w:r>
        <w:rPr>
          <w:rFonts w:ascii="Simplified Arabic" w:eastAsia="Simplified Arabic" w:hAnsi="Simplified Arabic" w:cs="Simplified Arabic"/>
          <w:color w:val="000000"/>
          <w:kern w:val="0"/>
          <w:sz w:val="28"/>
          <w:szCs w:val="28"/>
          <w:rtl/>
        </w:rPr>
        <w:t xml:space="preserve">استناداً إلى مشكلة الدراسة وأهدافها، وبالنظر إلى الأسئلة المطروحة، تتبنى الدراسة فرضيات بحثية </w:t>
      </w:r>
      <w:r>
        <w:rPr>
          <w:rFonts w:ascii="Times New Roman" w:eastAsia="Simplified Arabic" w:hAnsi="Times New Roman" w:cs="Times New Roman"/>
          <w:color w:val="000000"/>
          <w:kern w:val="0"/>
          <w:sz w:val="28"/>
          <w:szCs w:val="28"/>
          <w:rtl/>
        </w:rPr>
        <w:t>(</w:t>
      </w:r>
      <w:r>
        <w:rPr>
          <w:rFonts w:ascii="Times New Roman" w:eastAsia="Simplified Arabic" w:hAnsi="Times New Roman" w:cs="Times New Roman"/>
          <w:color w:val="000000"/>
          <w:kern w:val="0"/>
          <w:sz w:val="28"/>
          <w:szCs w:val="28"/>
        </w:rPr>
        <w:t>Hypotheses</w:t>
      </w:r>
      <w:r>
        <w:rPr>
          <w:rFonts w:ascii="Times New Roman" w:eastAsia="Simplified Arabic" w:hAnsi="Times New Roman" w:cs="Times New Roman"/>
          <w:color w:val="000000"/>
          <w:kern w:val="0"/>
          <w:sz w:val="28"/>
          <w:szCs w:val="28"/>
          <w:rtl/>
        </w:rPr>
        <w:t>)</w:t>
      </w:r>
      <w:r>
        <w:rPr>
          <w:rFonts w:ascii="Simplified Arabic" w:eastAsia="Simplified Arabic" w:hAnsi="Simplified Arabic" w:cs="Simplified Arabic"/>
          <w:color w:val="000000"/>
          <w:kern w:val="0"/>
          <w:sz w:val="28"/>
          <w:szCs w:val="28"/>
          <w:rtl/>
        </w:rPr>
        <w:t xml:space="preserve"> قابلة للاختبار ميدانياً، تأتي على النحو التالي:</w:t>
      </w:r>
    </w:p>
    <w:p w14:paraId="6FBC2666" w14:textId="77777777" w:rsidR="00225AC7" w:rsidRDefault="0082177C">
      <w:pPr>
        <w:spacing w:line="360" w:lineRule="auto"/>
      </w:pPr>
      <w:r>
        <w:rPr>
          <w:rFonts w:ascii="Simplified Arabic" w:eastAsia="Simplified Arabic" w:hAnsi="Simplified Arabic" w:cs="Simplified Arabic"/>
          <w:color w:val="000000"/>
          <w:kern w:val="0"/>
          <w:sz w:val="28"/>
          <w:szCs w:val="28"/>
          <w:rtl/>
        </w:rPr>
        <w:lastRenderedPageBreak/>
        <w:t>•</w:t>
      </w:r>
      <w:r>
        <w:rPr>
          <w:rFonts w:ascii="Simplified Arabic" w:eastAsia="Simplified Arabic" w:hAnsi="Simplified Arabic" w:cs="Simplified Arabic"/>
          <w:color w:val="000000"/>
          <w:kern w:val="0"/>
          <w:sz w:val="32"/>
          <w:szCs w:val="32"/>
          <w:rtl/>
        </w:rPr>
        <w:t>الفرضية الرئيسية:</w:t>
      </w:r>
      <w:r>
        <w:rPr>
          <w:rFonts w:ascii="Simplified Arabic" w:eastAsia="Simplified Arabic" w:hAnsi="Simplified Arabic" w:cs="Simplified Arabic"/>
          <w:color w:val="000000"/>
          <w:kern w:val="0"/>
          <w:sz w:val="28"/>
          <w:szCs w:val="28"/>
          <w:rtl/>
        </w:rPr>
        <w:t xml:space="preserve"> يوجد أثر ذو دلالة إحصائية عند مستوى (</w:t>
      </w:r>
      <w:r>
        <w:rPr>
          <w:rFonts w:ascii="Cambria" w:eastAsia="Simplified Arabic" w:hAnsi="Cambria" w:cs="Cambria"/>
          <w:color w:val="000000"/>
          <w:kern w:val="0"/>
          <w:sz w:val="28"/>
          <w:szCs w:val="28"/>
        </w:rPr>
        <w:t>α</w:t>
      </w:r>
      <w:r>
        <w:rPr>
          <w:rFonts w:ascii="Simplified Arabic" w:eastAsia="Simplified Arabic" w:hAnsi="Simplified Arabic" w:cs="Simplified Arabic"/>
          <w:color w:val="000000"/>
          <w:kern w:val="0"/>
          <w:sz w:val="28"/>
          <w:szCs w:val="28"/>
        </w:rPr>
        <w:t xml:space="preserve"> </w:t>
      </w:r>
      <w:r>
        <w:rPr>
          <w:rFonts w:ascii="Cambria Math" w:eastAsia="Simplified Arabic" w:hAnsi="Cambria Math" w:cs="Cambria Math"/>
          <w:color w:val="000000"/>
          <w:kern w:val="0"/>
          <w:sz w:val="28"/>
          <w:szCs w:val="28"/>
        </w:rPr>
        <w:t>≤</w:t>
      </w:r>
      <w:r>
        <w:rPr>
          <w:rFonts w:ascii="Simplified Arabic" w:eastAsia="Simplified Arabic" w:hAnsi="Simplified Arabic" w:cs="Simplified Arabic"/>
          <w:color w:val="000000"/>
          <w:kern w:val="0"/>
          <w:sz w:val="28"/>
          <w:szCs w:val="28"/>
        </w:rPr>
        <w:t xml:space="preserve"> 0.05</w:t>
      </w:r>
      <w:r>
        <w:rPr>
          <w:rFonts w:ascii="Simplified Arabic" w:eastAsia="Simplified Arabic" w:hAnsi="Simplified Arabic" w:cs="Simplified Arabic"/>
          <w:color w:val="000000"/>
          <w:kern w:val="0"/>
          <w:sz w:val="28"/>
          <w:szCs w:val="28"/>
          <w:rtl/>
        </w:rPr>
        <w:t>) لممارسات إدارة المرافق المستدامة مجتمعةً على كفاءة التشغيل في الواجهة البحرية في جدة، أي أنه كلما ارتفع مستوى تطبيق ممارسات إدارة المرافق المستدامة، تحسّنت مؤشرات كفاءة التشغيل من حيث الاستمرارية وجودة الخدمة ورضا الزوار.</w:t>
      </w:r>
    </w:p>
    <w:p w14:paraId="6FBC2667" w14:textId="77777777" w:rsidR="00225AC7" w:rsidRDefault="0082177C">
      <w:pPr>
        <w:spacing w:line="360" w:lineRule="auto"/>
      </w:pPr>
      <w:r>
        <w:rPr>
          <w:rFonts w:ascii="Simplified Arabic" w:eastAsia="Simplified Arabic" w:hAnsi="Simplified Arabic" w:cs="Simplified Arabic"/>
          <w:color w:val="000000"/>
          <w:kern w:val="0"/>
          <w:sz w:val="28"/>
          <w:szCs w:val="28"/>
          <w:rtl/>
        </w:rPr>
        <w:t>•</w:t>
      </w:r>
      <w:r>
        <w:rPr>
          <w:rFonts w:ascii="Simplified Arabic" w:eastAsia="Simplified Arabic" w:hAnsi="Simplified Arabic" w:cs="Simplified Arabic"/>
          <w:color w:val="000000"/>
          <w:kern w:val="0"/>
          <w:sz w:val="32"/>
          <w:szCs w:val="32"/>
          <w:rtl/>
        </w:rPr>
        <w:t xml:space="preserve">الفرضية الأولى </w:t>
      </w:r>
      <w:r>
        <w:rPr>
          <w:rFonts w:ascii="Times New Roman" w:eastAsia="Simplified Arabic" w:hAnsi="Times New Roman" w:cs="Times New Roman"/>
          <w:color w:val="000000"/>
          <w:kern w:val="0"/>
          <w:sz w:val="32"/>
          <w:szCs w:val="32"/>
          <w:rtl/>
        </w:rPr>
        <w:t>(</w:t>
      </w:r>
      <w:r>
        <w:rPr>
          <w:rFonts w:ascii="Times New Roman" w:eastAsia="Simplified Arabic" w:hAnsi="Times New Roman" w:cs="Times New Roman"/>
          <w:color w:val="000000"/>
          <w:kern w:val="0"/>
          <w:sz w:val="32"/>
          <w:szCs w:val="32"/>
        </w:rPr>
        <w:t>H1</w:t>
      </w:r>
      <w:r>
        <w:rPr>
          <w:rFonts w:ascii="Times New Roman" w:eastAsia="Simplified Arabic" w:hAnsi="Times New Roman" w:cs="Times New Roman"/>
          <w:color w:val="000000"/>
          <w:kern w:val="0"/>
          <w:sz w:val="32"/>
          <w:szCs w:val="32"/>
          <w:rtl/>
        </w:rPr>
        <w:t>)</w:t>
      </w:r>
      <w:r>
        <w:rPr>
          <w:rFonts w:ascii="Simplified Arabic" w:eastAsia="Simplified Arabic" w:hAnsi="Simplified Arabic" w:cs="Simplified Arabic"/>
          <w:color w:val="000000"/>
          <w:kern w:val="0"/>
          <w:sz w:val="32"/>
          <w:szCs w:val="32"/>
          <w:rtl/>
        </w:rPr>
        <w:t>:</w:t>
      </w:r>
      <w:r>
        <w:rPr>
          <w:rFonts w:ascii="Simplified Arabic" w:eastAsia="Simplified Arabic" w:hAnsi="Simplified Arabic" w:cs="Simplified Arabic"/>
          <w:color w:val="000000"/>
          <w:kern w:val="0"/>
          <w:sz w:val="28"/>
          <w:szCs w:val="28"/>
          <w:rtl/>
        </w:rPr>
        <w:t xml:space="preserve"> يوجد أثر إيجابي ذو دلالة إحصائية (</w:t>
      </w:r>
      <w:r>
        <w:rPr>
          <w:rFonts w:ascii="Cambria" w:eastAsia="Simplified Arabic" w:hAnsi="Cambria" w:cs="Cambria"/>
          <w:color w:val="000000"/>
          <w:kern w:val="0"/>
          <w:sz w:val="28"/>
          <w:szCs w:val="28"/>
        </w:rPr>
        <w:t>α</w:t>
      </w:r>
      <w:r>
        <w:rPr>
          <w:rFonts w:ascii="Simplified Arabic" w:eastAsia="Simplified Arabic" w:hAnsi="Simplified Arabic" w:cs="Simplified Arabic"/>
          <w:color w:val="000000"/>
          <w:kern w:val="0"/>
          <w:sz w:val="28"/>
          <w:szCs w:val="28"/>
        </w:rPr>
        <w:t xml:space="preserve"> </w:t>
      </w:r>
      <w:r>
        <w:rPr>
          <w:rFonts w:ascii="Cambria Math" w:eastAsia="Simplified Arabic" w:hAnsi="Cambria Math" w:cs="Cambria Math"/>
          <w:color w:val="000000"/>
          <w:kern w:val="0"/>
          <w:sz w:val="28"/>
          <w:szCs w:val="28"/>
        </w:rPr>
        <w:t>≤</w:t>
      </w:r>
      <w:r>
        <w:rPr>
          <w:rFonts w:ascii="Simplified Arabic" w:eastAsia="Simplified Arabic" w:hAnsi="Simplified Arabic" w:cs="Simplified Arabic"/>
          <w:color w:val="000000"/>
          <w:kern w:val="0"/>
          <w:sz w:val="28"/>
          <w:szCs w:val="28"/>
        </w:rPr>
        <w:t xml:space="preserve"> 0.05</w:t>
      </w:r>
      <w:r>
        <w:rPr>
          <w:rFonts w:ascii="Simplified Arabic" w:eastAsia="Simplified Arabic" w:hAnsi="Simplified Arabic" w:cs="Simplified Arabic"/>
          <w:color w:val="000000"/>
          <w:kern w:val="0"/>
          <w:sz w:val="28"/>
          <w:szCs w:val="28"/>
          <w:rtl/>
        </w:rPr>
        <w:t xml:space="preserve">) للصيانة الوقائية المنتظمة على الاستمرارية التشغيلية وتقليل معدلات الأعطال في مشاريع الواجهة البحرية. أي أن المشاريع التي تُطبّق جداول صيانة وقائية منتظمة </w:t>
      </w:r>
      <w:r>
        <w:rPr>
          <w:rFonts w:ascii="Times New Roman" w:eastAsia="Simplified Arabic" w:hAnsi="Times New Roman" w:cs="Times New Roman"/>
          <w:color w:val="000000"/>
          <w:kern w:val="0"/>
          <w:sz w:val="28"/>
          <w:szCs w:val="28"/>
          <w:rtl/>
        </w:rPr>
        <w:t>(</w:t>
      </w:r>
      <w:r>
        <w:rPr>
          <w:rFonts w:ascii="Times New Roman" w:eastAsia="Simplified Arabic" w:hAnsi="Times New Roman" w:cs="Times New Roman"/>
          <w:color w:val="000000"/>
          <w:kern w:val="0"/>
          <w:sz w:val="28"/>
          <w:szCs w:val="28"/>
        </w:rPr>
        <w:t>PPM</w:t>
      </w:r>
      <w:r>
        <w:rPr>
          <w:rFonts w:ascii="Times New Roman" w:eastAsia="Simplified Arabic" w:hAnsi="Times New Roman" w:cs="Times New Roman"/>
          <w:color w:val="000000"/>
          <w:kern w:val="0"/>
          <w:sz w:val="28"/>
          <w:szCs w:val="28"/>
          <w:rtl/>
        </w:rPr>
        <w:t xml:space="preserve">  ) </w:t>
      </w:r>
      <w:r>
        <w:rPr>
          <w:rFonts w:ascii="Simplified Arabic" w:eastAsia="Simplified Arabic" w:hAnsi="Simplified Arabic" w:cs="Simplified Arabic"/>
          <w:color w:val="000000"/>
          <w:kern w:val="0"/>
          <w:sz w:val="28"/>
          <w:szCs w:val="28"/>
          <w:rtl/>
        </w:rPr>
        <w:t>وشاملة تُحقق معدلات أعطال أقل واستمرارية تشغيلية أعلى مقارنةً بالمشاريع التي تعتمد على الصيانة التصحيحية.</w:t>
      </w:r>
    </w:p>
    <w:p w14:paraId="6FBC2668" w14:textId="77777777" w:rsidR="00225AC7" w:rsidRDefault="0082177C">
      <w:pPr>
        <w:spacing w:line="360" w:lineRule="auto"/>
      </w:pPr>
      <w:r>
        <w:rPr>
          <w:rFonts w:ascii="Simplified Arabic" w:eastAsia="Simplified Arabic" w:hAnsi="Simplified Arabic" w:cs="Simplified Arabic"/>
          <w:color w:val="000000"/>
          <w:kern w:val="0"/>
          <w:sz w:val="32"/>
          <w:szCs w:val="32"/>
          <w:rtl/>
        </w:rPr>
        <w:t>•</w:t>
      </w:r>
      <w:r>
        <w:rPr>
          <w:sz w:val="32"/>
          <w:szCs w:val="32"/>
          <w:rtl/>
        </w:rPr>
        <w:t xml:space="preserve"> </w:t>
      </w:r>
      <w:r>
        <w:rPr>
          <w:rFonts w:ascii="Simplified Arabic" w:eastAsia="Simplified Arabic" w:hAnsi="Simplified Arabic" w:cs="Simplified Arabic"/>
          <w:color w:val="000000"/>
          <w:kern w:val="0"/>
          <w:sz w:val="32"/>
          <w:szCs w:val="32"/>
          <w:rtl/>
        </w:rPr>
        <w:t>الفرضية الثانية</w:t>
      </w:r>
      <w:r>
        <w:rPr>
          <w:rFonts w:ascii="Simplified Arabic" w:eastAsia="Simplified Arabic" w:hAnsi="Simplified Arabic" w:cs="Simplified Arabic"/>
          <w:color w:val="000000"/>
          <w:kern w:val="0"/>
          <w:sz w:val="28"/>
          <w:szCs w:val="28"/>
          <w:rtl/>
        </w:rPr>
        <w:t xml:space="preserve"> </w:t>
      </w:r>
      <w:r>
        <w:rPr>
          <w:rFonts w:ascii="Times New Roman" w:eastAsia="Simplified Arabic" w:hAnsi="Times New Roman" w:cs="Times New Roman"/>
          <w:color w:val="000000"/>
          <w:kern w:val="0"/>
          <w:sz w:val="32"/>
          <w:szCs w:val="32"/>
          <w:rtl/>
        </w:rPr>
        <w:t>(</w:t>
      </w:r>
      <w:r>
        <w:rPr>
          <w:rFonts w:ascii="Times New Roman" w:eastAsia="Simplified Arabic" w:hAnsi="Times New Roman" w:cs="Times New Roman"/>
          <w:color w:val="000000"/>
          <w:kern w:val="0"/>
          <w:sz w:val="32"/>
          <w:szCs w:val="32"/>
        </w:rPr>
        <w:t>H2</w:t>
      </w:r>
      <w:r>
        <w:rPr>
          <w:rFonts w:ascii="Times New Roman" w:eastAsia="Simplified Arabic" w:hAnsi="Times New Roman" w:cs="Times New Roman"/>
          <w:color w:val="000000"/>
          <w:kern w:val="0"/>
          <w:sz w:val="32"/>
          <w:szCs w:val="32"/>
          <w:rtl/>
        </w:rPr>
        <w:t>)</w:t>
      </w:r>
      <w:r>
        <w:rPr>
          <w:rFonts w:ascii="Simplified Arabic" w:eastAsia="Simplified Arabic" w:hAnsi="Simplified Arabic" w:cs="Simplified Arabic"/>
          <w:color w:val="000000"/>
          <w:kern w:val="0"/>
          <w:sz w:val="28"/>
          <w:szCs w:val="28"/>
          <w:rtl/>
        </w:rPr>
        <w:t>: يوجد أثر إيجابي ذو دلالة إحصائية (</w:t>
      </w:r>
      <w:r>
        <w:rPr>
          <w:rFonts w:ascii="Cambria" w:eastAsia="Simplified Arabic" w:hAnsi="Cambria" w:cs="Cambria"/>
          <w:color w:val="000000"/>
          <w:kern w:val="0"/>
          <w:sz w:val="28"/>
          <w:szCs w:val="28"/>
        </w:rPr>
        <w:t>α</w:t>
      </w:r>
      <w:r>
        <w:rPr>
          <w:rFonts w:ascii="Simplified Arabic" w:eastAsia="Simplified Arabic" w:hAnsi="Simplified Arabic" w:cs="Simplified Arabic"/>
          <w:color w:val="000000"/>
          <w:kern w:val="0"/>
          <w:sz w:val="28"/>
          <w:szCs w:val="28"/>
        </w:rPr>
        <w:t xml:space="preserve"> </w:t>
      </w:r>
      <w:r>
        <w:rPr>
          <w:rFonts w:ascii="Cambria Math" w:eastAsia="Simplified Arabic" w:hAnsi="Cambria Math" w:cs="Cambria Math"/>
          <w:color w:val="000000"/>
          <w:kern w:val="0"/>
          <w:sz w:val="28"/>
          <w:szCs w:val="28"/>
        </w:rPr>
        <w:t>≤</w:t>
      </w:r>
      <w:r>
        <w:rPr>
          <w:rFonts w:ascii="Simplified Arabic" w:eastAsia="Simplified Arabic" w:hAnsi="Simplified Arabic" w:cs="Simplified Arabic"/>
          <w:color w:val="000000"/>
          <w:kern w:val="0"/>
          <w:sz w:val="28"/>
          <w:szCs w:val="28"/>
        </w:rPr>
        <w:t xml:space="preserve"> 0.05</w:t>
      </w:r>
      <w:r>
        <w:rPr>
          <w:rFonts w:ascii="Simplified Arabic" w:eastAsia="Simplified Arabic" w:hAnsi="Simplified Arabic" w:cs="Simplified Arabic"/>
          <w:color w:val="000000"/>
          <w:kern w:val="0"/>
          <w:sz w:val="28"/>
          <w:szCs w:val="28"/>
          <w:rtl/>
        </w:rPr>
        <w:t>) لممارسات إدارة الطاقة والموارد على كفاءة التشغيل وتقليل التكاليف التشغيلية. تفترض هذه الفرضية أن تطبيق أنظمة ترشيد الطاقة ومراقبة استهلاك الموارد يُسهم في رفع كفاءة التشغيل الكلية وخفض التكاليف بصورة ملموسة. ليست كل الممارسات بنفس مستوى التأثير؛ فقد يكون لترشيد الطاقة تأثير مختلف عن إدارة مياه الصرف أو النفايات، وستختبر الدراسة ما إذا كانت هناك فروق جوهرية في درجة تأثير هذه الممارسات.</w:t>
      </w:r>
    </w:p>
    <w:p w14:paraId="6FBC2669" w14:textId="77777777" w:rsidR="00225AC7" w:rsidRDefault="0082177C">
      <w:pPr>
        <w:spacing w:line="360" w:lineRule="auto"/>
      </w:pPr>
      <w:r>
        <w:rPr>
          <w:rFonts w:ascii="Simplified Arabic" w:eastAsia="Simplified Arabic" w:hAnsi="Simplified Arabic" w:cs="Simplified Arabic"/>
          <w:color w:val="000000"/>
          <w:kern w:val="0"/>
          <w:sz w:val="28"/>
          <w:szCs w:val="28"/>
          <w:rtl/>
        </w:rPr>
        <w:t>•</w:t>
      </w:r>
      <w:r>
        <w:rPr>
          <w:rFonts w:ascii="Simplified Arabic" w:eastAsia="Simplified Arabic" w:hAnsi="Simplified Arabic" w:cs="Simplified Arabic"/>
          <w:color w:val="000000"/>
          <w:kern w:val="0"/>
          <w:sz w:val="32"/>
          <w:szCs w:val="32"/>
          <w:rtl/>
        </w:rPr>
        <w:t xml:space="preserve">الفرضية الثالثة </w:t>
      </w:r>
      <w:r>
        <w:rPr>
          <w:rFonts w:ascii="Times New Roman" w:eastAsia="Simplified Arabic" w:hAnsi="Times New Roman" w:cs="Times New Roman"/>
          <w:color w:val="000000"/>
          <w:kern w:val="0"/>
          <w:sz w:val="32"/>
          <w:szCs w:val="32"/>
          <w:rtl/>
        </w:rPr>
        <w:t>(</w:t>
      </w:r>
      <w:r>
        <w:rPr>
          <w:rFonts w:ascii="Times New Roman" w:eastAsia="Simplified Arabic" w:hAnsi="Times New Roman" w:cs="Times New Roman"/>
          <w:color w:val="000000"/>
          <w:kern w:val="0"/>
          <w:sz w:val="32"/>
          <w:szCs w:val="32"/>
        </w:rPr>
        <w:t>H3</w:t>
      </w:r>
      <w:r>
        <w:rPr>
          <w:rFonts w:ascii="Times New Roman" w:eastAsia="Simplified Arabic" w:hAnsi="Times New Roman" w:cs="Times New Roman"/>
          <w:color w:val="000000"/>
          <w:kern w:val="0"/>
          <w:sz w:val="32"/>
          <w:szCs w:val="32"/>
          <w:rtl/>
        </w:rPr>
        <w:t>)</w:t>
      </w:r>
      <w:r>
        <w:rPr>
          <w:rFonts w:ascii="Simplified Arabic" w:eastAsia="Simplified Arabic" w:hAnsi="Simplified Arabic" w:cs="Simplified Arabic"/>
          <w:color w:val="000000"/>
          <w:kern w:val="0"/>
          <w:sz w:val="32"/>
          <w:szCs w:val="32"/>
          <w:rtl/>
        </w:rPr>
        <w:t>:</w:t>
      </w:r>
      <w:r>
        <w:rPr>
          <w:rFonts w:ascii="Simplified Arabic" w:eastAsia="Simplified Arabic" w:hAnsi="Simplified Arabic" w:cs="Simplified Arabic"/>
          <w:color w:val="000000"/>
          <w:kern w:val="0"/>
          <w:sz w:val="28"/>
          <w:szCs w:val="28"/>
          <w:rtl/>
        </w:rPr>
        <w:t xml:space="preserve"> معظم مشاريع الواجهة البحرية في جدة لا تُطبّق إطاراً شاملاً لإدارة المرافق المستدامة، وأن ممارساتها الحالية ذات طابع تفاعلي (علاج المشكلات بعد وقوعها) أكثر منها استباقية (منع وقوع المشكلات). وتُختبر هذه الفرضية عبر المسح الميداني للكشف عن مدى وجود خطط وإجراءات واضحة لإدارة المرافق قبل وقوع الأعطال.</w:t>
      </w:r>
    </w:p>
    <w:p w14:paraId="6FBC266A" w14:textId="77777777" w:rsidR="00225AC7" w:rsidRDefault="0082177C">
      <w:pPr>
        <w:spacing w:after="120" w:line="276" w:lineRule="auto"/>
        <w:ind w:hanging="300"/>
        <w:jc w:val="both"/>
      </w:pPr>
      <w:r>
        <w:rPr>
          <w:rFonts w:ascii="Simplified Arabic" w:eastAsia="Simplified Arabic" w:hAnsi="Simplified Arabic" w:cs="Simplified Arabic"/>
          <w:color w:val="000000"/>
          <w:kern w:val="0"/>
          <w:sz w:val="28"/>
          <w:szCs w:val="28"/>
          <w:rtl/>
        </w:rPr>
        <w:lastRenderedPageBreak/>
        <w:t xml:space="preserve">• </w:t>
      </w:r>
      <w:r>
        <w:rPr>
          <w:rFonts w:ascii="Simplified Arabic" w:eastAsia="Simplified Arabic" w:hAnsi="Simplified Arabic" w:cs="Simplified Arabic"/>
          <w:color w:val="000000"/>
          <w:kern w:val="0"/>
          <w:sz w:val="32"/>
          <w:szCs w:val="32"/>
          <w:rtl/>
        </w:rPr>
        <w:t xml:space="preserve">الفرضية الرابعة </w:t>
      </w:r>
      <w:r>
        <w:rPr>
          <w:rFonts w:ascii="Times New Roman" w:eastAsia="Simplified Arabic" w:hAnsi="Times New Roman" w:cs="Times New Roman"/>
          <w:color w:val="000000"/>
          <w:kern w:val="0"/>
          <w:sz w:val="32"/>
          <w:szCs w:val="32"/>
          <w:rtl/>
        </w:rPr>
        <w:t>(</w:t>
      </w:r>
      <w:r>
        <w:rPr>
          <w:rFonts w:ascii="Times New Roman" w:eastAsia="Simplified Arabic" w:hAnsi="Times New Roman" w:cs="Times New Roman"/>
          <w:color w:val="000000"/>
          <w:kern w:val="0"/>
          <w:sz w:val="32"/>
          <w:szCs w:val="32"/>
        </w:rPr>
        <w:t>H4</w:t>
      </w:r>
      <w:r>
        <w:rPr>
          <w:rFonts w:ascii="Times New Roman" w:eastAsia="Simplified Arabic" w:hAnsi="Times New Roman" w:cs="Times New Roman"/>
          <w:color w:val="000000"/>
          <w:kern w:val="0"/>
          <w:sz w:val="32"/>
          <w:szCs w:val="32"/>
          <w:rtl/>
        </w:rPr>
        <w:t>)</w:t>
      </w:r>
      <w:r>
        <w:rPr>
          <w:rFonts w:ascii="Simplified Arabic" w:eastAsia="Simplified Arabic" w:hAnsi="Simplified Arabic" w:cs="Simplified Arabic"/>
          <w:color w:val="000000"/>
          <w:kern w:val="0"/>
          <w:sz w:val="32"/>
          <w:szCs w:val="32"/>
          <w:rtl/>
        </w:rPr>
        <w:t>:</w:t>
      </w:r>
      <w:r>
        <w:rPr>
          <w:rFonts w:ascii="Simplified Arabic" w:eastAsia="Simplified Arabic" w:hAnsi="Simplified Arabic" w:cs="Simplified Arabic"/>
          <w:color w:val="000000"/>
          <w:kern w:val="0"/>
          <w:sz w:val="28"/>
          <w:szCs w:val="28"/>
          <w:rtl/>
        </w:rPr>
        <w:t xml:space="preserve"> تُعيق التحديات التنظيمية والبشرية و التقنية ( ذات الدلائل الاحصائية ) التطبيق الأمثل لممارسات إدارة المرافق المستدامة في مشاريع الواجهة البحرية في جدة </w:t>
      </w:r>
      <w:r>
        <w:rPr>
          <w:rFonts w:ascii="Simplified Arabic" w:eastAsia="Simplified Arabic" w:hAnsi="Simplified Arabic" w:cs="Simplified Arabic"/>
          <w:sz w:val="28"/>
          <w:szCs w:val="28"/>
          <w:rtl/>
        </w:rPr>
        <w:t>. وتفترض هذه الفرضية أن هذه التحديات مثل (غياب السياسات المكتوبة، ونقص الكوادر المؤهّلة وبرامج التدريب، وضعف الميزانيات المخصّصة، ومحدودية الأنظمة الرقمية) حاضرةٌ بدرجة دالّة إحصائياً تحول دون بلوغ المستوى الأمثل للتطبيق.</w:t>
      </w:r>
    </w:p>
    <w:p w14:paraId="6FBC266B" w14:textId="77777777" w:rsidR="00225AC7" w:rsidRDefault="0082177C">
      <w:pPr>
        <w:spacing w:line="360" w:lineRule="auto"/>
      </w:pPr>
      <w:r>
        <w:rPr>
          <w:rFonts w:ascii="Simplified Arabic" w:eastAsia="Simplified Arabic" w:hAnsi="Simplified Arabic" w:cs="Simplified Arabic"/>
          <w:color w:val="000000"/>
          <w:kern w:val="0"/>
          <w:sz w:val="28"/>
          <w:szCs w:val="28"/>
          <w:rtl/>
        </w:rPr>
        <w:t xml:space="preserve"> وتُختبر الفرضيات أعلاه باستخدام أدوات التحليل الإحصائي المناسبة (كمعاملات الارتباط وتحليل الانحدارة اختبار (</w:t>
      </w:r>
      <w:r>
        <w:rPr>
          <w:rFonts w:ascii="Simplified Arabic" w:eastAsia="Simplified Arabic" w:hAnsi="Simplified Arabic" w:cs="Simplified Arabic"/>
          <w:color w:val="000000"/>
          <w:kern w:val="0"/>
          <w:sz w:val="28"/>
          <w:szCs w:val="28"/>
        </w:rPr>
        <w:t>t</w:t>
      </w:r>
      <w:r>
        <w:rPr>
          <w:rFonts w:ascii="Simplified Arabic" w:eastAsia="Simplified Arabic" w:hAnsi="Simplified Arabic" w:cs="Simplified Arabic"/>
          <w:color w:val="000000"/>
          <w:kern w:val="0"/>
          <w:sz w:val="28"/>
          <w:szCs w:val="28"/>
          <w:rtl/>
        </w:rPr>
        <w:t>) لعينة واحدة واختبارات تحليل التباين)، وذلك بعد جمع البيانات اللازمة. وسيُسهم قبول هذه الفرضيات أو رفضها في توجيه الاستنتاجات حول واقع وأثر إدارة المرافق المستدامة في قطاع الوجهات الترفيهية البحرية.</w:t>
      </w:r>
    </w:p>
    <w:p w14:paraId="6FBC266C" w14:textId="77777777" w:rsidR="00225AC7" w:rsidRDefault="0082177C">
      <w:pPr>
        <w:pStyle w:val="2"/>
        <w:bidi/>
      </w:pPr>
      <w:bookmarkStart w:id="7" w:name="_Toc235185273"/>
      <w:r>
        <w:rPr>
          <w:color w:val="000000"/>
          <w:sz w:val="36"/>
          <w:szCs w:val="36"/>
          <w:u w:val="single"/>
        </w:rPr>
        <w:t>1</w:t>
      </w:r>
      <w:r>
        <w:rPr>
          <w:rFonts w:eastAsia="Simplified Arabic"/>
          <w:color w:val="000000"/>
          <w:sz w:val="36"/>
          <w:szCs w:val="36"/>
          <w:u w:val="single"/>
        </w:rPr>
        <w:t>-</w:t>
      </w:r>
      <w:r>
        <w:rPr>
          <w:color w:val="000000"/>
          <w:sz w:val="36"/>
          <w:szCs w:val="36"/>
          <w:u w:val="single"/>
        </w:rPr>
        <w:t>7</w:t>
      </w:r>
      <w:r>
        <w:rPr>
          <w:rFonts w:eastAsia="Simplified Arabic"/>
          <w:color w:val="000000"/>
          <w:sz w:val="36"/>
          <w:szCs w:val="36"/>
          <w:u w:val="single"/>
          <w:rtl/>
        </w:rPr>
        <w:t>حدود الدراسة:</w:t>
      </w:r>
      <w:bookmarkEnd w:id="7"/>
    </w:p>
    <w:p w14:paraId="6FBC266D" w14:textId="77777777" w:rsidR="00225AC7" w:rsidRDefault="00225AC7">
      <w:pPr>
        <w:pStyle w:val="2"/>
        <w:bidi/>
        <w:rPr>
          <w:rFonts w:eastAsia="Simplified Arabic"/>
          <w:color w:val="000000"/>
          <w:sz w:val="36"/>
          <w:szCs w:val="36"/>
          <w:u w:val="single"/>
        </w:rPr>
      </w:pPr>
    </w:p>
    <w:p w14:paraId="6FBC266E" w14:textId="77777777" w:rsidR="00225AC7" w:rsidRDefault="0082177C">
      <w:pPr>
        <w:spacing w:line="360" w:lineRule="auto"/>
        <w:rPr>
          <w:rFonts w:ascii="Simplified Arabic" w:eastAsia="Simplified Arabic" w:hAnsi="Simplified Arabic" w:cs="Simplified Arabic"/>
          <w:color w:val="000000"/>
          <w:kern w:val="0"/>
          <w:sz w:val="28"/>
          <w:szCs w:val="28"/>
        </w:rPr>
      </w:pPr>
      <w:r>
        <w:rPr>
          <w:rFonts w:ascii="Simplified Arabic" w:eastAsia="Simplified Arabic" w:hAnsi="Simplified Arabic" w:cs="Simplified Arabic"/>
          <w:color w:val="000000"/>
          <w:kern w:val="0"/>
          <w:sz w:val="28"/>
          <w:szCs w:val="28"/>
          <w:rtl/>
        </w:rPr>
        <w:t>يمكن تحديد نطاق البحث بدقة وضمان قابلية تنفيذه، تضع هذه الدراسة مجموعة من الحدود على النحو التالي:</w:t>
      </w:r>
    </w:p>
    <w:p w14:paraId="6FBC266F" w14:textId="77777777" w:rsidR="00225AC7" w:rsidRDefault="0082177C">
      <w:pPr>
        <w:spacing w:line="360" w:lineRule="auto"/>
      </w:pPr>
      <w:r>
        <w:rPr>
          <w:rFonts w:ascii="Simplified Arabic" w:eastAsia="Simplified Arabic" w:hAnsi="Simplified Arabic" w:cs="Simplified Arabic"/>
          <w:color w:val="000000"/>
          <w:kern w:val="0"/>
          <w:sz w:val="28"/>
          <w:szCs w:val="28"/>
          <w:rtl/>
        </w:rPr>
        <w:t>•</w:t>
      </w:r>
      <w:r>
        <w:rPr>
          <w:rFonts w:ascii="Simplified Arabic" w:eastAsia="Simplified Arabic" w:hAnsi="Simplified Arabic" w:cs="Simplified Arabic"/>
          <w:color w:val="000000"/>
          <w:kern w:val="0"/>
          <w:sz w:val="32"/>
          <w:szCs w:val="32"/>
          <w:rtl/>
        </w:rPr>
        <w:t>الحدود الموضوعية (مجال البحث):</w:t>
      </w:r>
      <w:r>
        <w:rPr>
          <w:rFonts w:ascii="Simplified Arabic" w:eastAsia="Simplified Arabic" w:hAnsi="Simplified Arabic" w:cs="Simplified Arabic"/>
          <w:color w:val="000000"/>
          <w:kern w:val="0"/>
          <w:sz w:val="28"/>
          <w:szCs w:val="28"/>
          <w:rtl/>
        </w:rPr>
        <w:t xml:space="preserve"> يركّز البحث على أثر ممارسات إدارة المرافق المستدامة على كفاءة التشغيل في الوجهات البحرية الساحلية في جدة ، ويشمل الأبعاد الثلاثة: الصيانة الوقائية وترشيد الطاقة وسرعة الاستجابة. ولا يمتد نطاق الدراسة إلى الجوانب الإنشائية أو التسويقية أو المالية للمشاريع، ولا يتناول سلاسل الإمداد أو إدارة الموارد البشرية بمفهومها الشامل.•</w:t>
      </w:r>
      <w:r>
        <w:rPr>
          <w:rFonts w:ascii="Simplified Arabic" w:eastAsia="Simplified Arabic" w:hAnsi="Simplified Arabic" w:cs="Simplified Arabic"/>
          <w:color w:val="000000"/>
          <w:kern w:val="0"/>
          <w:sz w:val="32"/>
          <w:szCs w:val="32"/>
          <w:rtl/>
        </w:rPr>
        <w:t>الحدود المكانية (النطاق الجغرافي):</w:t>
      </w:r>
      <w:r>
        <w:rPr>
          <w:rFonts w:ascii="Simplified Arabic" w:eastAsia="Simplified Arabic" w:hAnsi="Simplified Arabic" w:cs="Simplified Arabic"/>
          <w:color w:val="000000"/>
          <w:kern w:val="0"/>
          <w:sz w:val="28"/>
          <w:szCs w:val="28"/>
          <w:rtl/>
        </w:rPr>
        <w:t xml:space="preserve"> تُطبَّق الدراسة ميدانياً على مشاريع الواجهة البحرية في مدينة جدة بالمملكة العربية السعودية. واختيرت جدة لأهميتها الاقتصادية والسياحية وحجم مشاريع الواجهة البحرية فيها ضمن رؤية 2030. وبالتالي تعكس النتائج واقع السوق المحلي السعودي في هذه الفئة من المشاريع.</w:t>
      </w:r>
    </w:p>
    <w:p w14:paraId="6FBC2670" w14:textId="77777777" w:rsidR="00225AC7" w:rsidRDefault="0082177C">
      <w:pPr>
        <w:spacing w:line="360" w:lineRule="auto"/>
      </w:pPr>
      <w:r>
        <w:rPr>
          <w:rFonts w:ascii="Simplified Arabic" w:eastAsia="Simplified Arabic" w:hAnsi="Simplified Arabic" w:cs="Simplified Arabic"/>
          <w:color w:val="000000"/>
          <w:kern w:val="0"/>
          <w:sz w:val="28"/>
          <w:szCs w:val="28"/>
          <w:rtl/>
        </w:rPr>
        <w:lastRenderedPageBreak/>
        <w:t>•</w:t>
      </w:r>
      <w:r>
        <w:rPr>
          <w:rFonts w:ascii="Simplified Arabic" w:eastAsia="Simplified Arabic" w:hAnsi="Simplified Arabic" w:cs="Simplified Arabic"/>
          <w:color w:val="000000"/>
          <w:kern w:val="0"/>
          <w:sz w:val="32"/>
          <w:szCs w:val="32"/>
          <w:rtl/>
        </w:rPr>
        <w:t>الحدود الزمانية:</w:t>
      </w:r>
      <w:r>
        <w:rPr>
          <w:rFonts w:ascii="Simplified Arabic" w:eastAsia="Simplified Arabic" w:hAnsi="Simplified Arabic" w:cs="Simplified Arabic"/>
          <w:color w:val="000000"/>
          <w:kern w:val="0"/>
          <w:sz w:val="28"/>
          <w:szCs w:val="28"/>
          <w:rtl/>
        </w:rPr>
        <w:t xml:space="preserve"> تُجرى الدراسة خلال العام 2026، مع الأخذ بالاعتبار البيانات والظروف المحيطة بهذا العام. وقد تتغيّر ديناميكيات القطاع مع مرور الوقت، لذا فإن النتائج والتوصيات صالحة في الإطار الزمني الحالي وقد تحتاج إلى مراجعة مستقبلاً إذا ظهرت عوامل جديدة مؤثرة.</w:t>
      </w:r>
    </w:p>
    <w:p w14:paraId="6FBC2671" w14:textId="77777777" w:rsidR="00225AC7" w:rsidRDefault="0082177C">
      <w:pPr>
        <w:spacing w:line="360" w:lineRule="auto"/>
      </w:pPr>
      <w:r>
        <w:rPr>
          <w:rFonts w:ascii="Simplified Arabic" w:eastAsia="Simplified Arabic" w:hAnsi="Simplified Arabic" w:cs="Simplified Arabic"/>
          <w:color w:val="000000"/>
          <w:kern w:val="0"/>
          <w:sz w:val="28"/>
          <w:szCs w:val="28"/>
          <w:rtl/>
        </w:rPr>
        <w:t>•</w:t>
      </w:r>
      <w:r>
        <w:rPr>
          <w:rFonts w:ascii="Simplified Arabic" w:eastAsia="Simplified Arabic" w:hAnsi="Simplified Arabic" w:cs="Simplified Arabic"/>
          <w:color w:val="000000"/>
          <w:kern w:val="0"/>
          <w:sz w:val="32"/>
          <w:szCs w:val="32"/>
          <w:rtl/>
        </w:rPr>
        <w:t>حدود مجتمع الدراسة وعينتها:</w:t>
      </w:r>
      <w:r>
        <w:rPr>
          <w:rFonts w:ascii="Simplified Arabic" w:eastAsia="Simplified Arabic" w:hAnsi="Simplified Arabic" w:cs="Simplified Arabic"/>
          <w:color w:val="000000"/>
          <w:kern w:val="0"/>
          <w:sz w:val="28"/>
          <w:szCs w:val="28"/>
          <w:rtl/>
        </w:rPr>
        <w:t xml:space="preserve"> يركّز البحث على المديرين والمهندسين والمشرفين والفنيين العاملين في إدارة المرافق والصيانة في مشاريع الواجهة البحرية بجدة. ولا تشمل الدراسة آراء الزوار أنفسهم (رغم أن رضاهم مؤشر تابع)، كما لا تشمل الجهات الإنشائية أو الموردين، أي أنها تركّز على منظور المشغّلين والقائمين على إدارة المرافق دون غيرهم.</w:t>
      </w:r>
    </w:p>
    <w:p w14:paraId="6FBC2672" w14:textId="77777777" w:rsidR="00225AC7" w:rsidRDefault="0082177C">
      <w:pPr>
        <w:pStyle w:val="2"/>
        <w:bidi/>
      </w:pPr>
      <w:bookmarkStart w:id="8" w:name="_Toc235185274"/>
      <w:r>
        <w:rPr>
          <w:rFonts w:ascii="Simplified Arabic" w:eastAsia="Simplified Arabic" w:hAnsi="Simplified Arabic" w:cs="Simplified Arabic"/>
          <w:color w:val="000000"/>
          <w:sz w:val="36"/>
          <w:szCs w:val="36"/>
          <w:u w:val="single"/>
        </w:rPr>
        <w:t>1-8</w:t>
      </w:r>
      <w:r>
        <w:rPr>
          <w:rFonts w:ascii="Simplified Arabic" w:eastAsia="Simplified Arabic" w:hAnsi="Simplified Arabic" w:cs="Simplified Arabic"/>
          <w:color w:val="000000"/>
          <w:sz w:val="36"/>
          <w:szCs w:val="36"/>
          <w:u w:val="single"/>
          <w:rtl/>
        </w:rPr>
        <w:t xml:space="preserve"> النظرية العلمية المتبعة لإعداد البحث</w:t>
      </w:r>
      <w:bookmarkEnd w:id="8"/>
    </w:p>
    <w:p w14:paraId="6FBC2673" w14:textId="77777777" w:rsidR="00225AC7" w:rsidRDefault="00225AC7">
      <w:pPr>
        <w:pStyle w:val="2"/>
        <w:bidi/>
        <w:rPr>
          <w:rFonts w:eastAsia="Simplified Arabic"/>
          <w:color w:val="000000"/>
          <w:sz w:val="36"/>
          <w:szCs w:val="36"/>
          <w:u w:val="single"/>
        </w:rPr>
      </w:pPr>
    </w:p>
    <w:p w14:paraId="6FBC2674" w14:textId="77777777" w:rsidR="00225AC7" w:rsidRDefault="0082177C">
      <w:pPr>
        <w:spacing w:line="360" w:lineRule="auto"/>
      </w:pPr>
      <w:r>
        <w:rPr>
          <w:rFonts w:ascii="Simplified Arabic" w:eastAsia="Simplified Arabic" w:hAnsi="Simplified Arabic" w:cs="Simplified Arabic"/>
          <w:color w:val="000000"/>
          <w:kern w:val="0"/>
          <w:sz w:val="28"/>
          <w:szCs w:val="28"/>
          <w:rtl/>
        </w:rPr>
        <w:t xml:space="preserve">تنطلق هذه الدراسة من فلسفة بحثية وضعية </w:t>
      </w:r>
      <w:r>
        <w:rPr>
          <w:rFonts w:ascii="Times New Roman" w:eastAsia="Simplified Arabic" w:hAnsi="Times New Roman" w:cs="Times New Roman"/>
          <w:color w:val="000000"/>
          <w:kern w:val="0"/>
          <w:sz w:val="28"/>
          <w:szCs w:val="28"/>
          <w:rtl/>
        </w:rPr>
        <w:t>(</w:t>
      </w:r>
      <w:r>
        <w:rPr>
          <w:rFonts w:ascii="Times New Roman" w:eastAsia="Simplified Arabic" w:hAnsi="Times New Roman" w:cs="Times New Roman"/>
          <w:color w:val="000000"/>
          <w:kern w:val="0"/>
          <w:sz w:val="28"/>
          <w:szCs w:val="28"/>
        </w:rPr>
        <w:t>Positivist</w:t>
      </w:r>
      <w:r>
        <w:rPr>
          <w:rFonts w:ascii="Times New Roman" w:eastAsia="Simplified Arabic" w:hAnsi="Times New Roman" w:cs="Times New Roman"/>
          <w:color w:val="000000"/>
          <w:kern w:val="0"/>
          <w:sz w:val="28"/>
          <w:szCs w:val="28"/>
          <w:rtl/>
        </w:rPr>
        <w:t>)</w:t>
      </w:r>
      <w:r>
        <w:rPr>
          <w:rFonts w:ascii="Simplified Arabic" w:eastAsia="Simplified Arabic" w:hAnsi="Simplified Arabic" w:cs="Simplified Arabic"/>
          <w:color w:val="000000"/>
          <w:kern w:val="0"/>
          <w:sz w:val="28"/>
          <w:szCs w:val="28"/>
          <w:rtl/>
        </w:rPr>
        <w:t xml:space="preserve"> تَعدّ الظواهر الإدارية قابلةً للملاحظة والقياس الكمي الموضوعي، وتسعى إلى الكشف عن العلاقات السببية بين المتغيرات بمعزل عن التحيّز الذاتي للباحث. وانسجاماً مع هذه الفلسفة، يعتمد البحث المنهج الاستنباطي </w:t>
      </w:r>
      <w:r>
        <w:rPr>
          <w:rFonts w:ascii="Times New Roman" w:eastAsia="Simplified Arabic" w:hAnsi="Times New Roman" w:cs="Times New Roman"/>
          <w:color w:val="000000"/>
          <w:kern w:val="0"/>
          <w:sz w:val="28"/>
          <w:szCs w:val="28"/>
          <w:rtl/>
        </w:rPr>
        <w:t>(</w:t>
      </w:r>
      <w:r>
        <w:rPr>
          <w:rFonts w:ascii="Times New Roman" w:eastAsia="Simplified Arabic" w:hAnsi="Times New Roman" w:cs="Times New Roman"/>
          <w:color w:val="000000"/>
          <w:kern w:val="0"/>
          <w:sz w:val="28"/>
          <w:szCs w:val="28"/>
        </w:rPr>
        <w:t>Deductive Approach</w:t>
      </w:r>
      <w:r>
        <w:rPr>
          <w:rFonts w:ascii="Times New Roman" w:eastAsia="Simplified Arabic" w:hAnsi="Times New Roman" w:cs="Times New Roman"/>
          <w:color w:val="000000"/>
          <w:kern w:val="0"/>
          <w:sz w:val="28"/>
          <w:szCs w:val="28"/>
          <w:rtl/>
        </w:rPr>
        <w:t>)</w:t>
      </w:r>
      <w:r>
        <w:rPr>
          <w:rFonts w:ascii="Simplified Arabic" w:eastAsia="Simplified Arabic" w:hAnsi="Simplified Arabic" w:cs="Simplified Arabic"/>
          <w:color w:val="000000"/>
          <w:kern w:val="0"/>
          <w:sz w:val="28"/>
          <w:szCs w:val="28"/>
          <w:rtl/>
        </w:rPr>
        <w:t xml:space="preserve"> الذي ينطلق من الأطر النظرية والدراسات السابقة لصياغة فرضيات محددة، ثم يختبرها ميدانياً عبر بيانات كمية تُجمع بالاستبانة وتُحلَّل إحصائياً، بما يتيح تعميم النتائج على مجتمع الدراسة في حدوده المكانية والزمانية.</w:t>
      </w:r>
    </w:p>
    <w:p w14:paraId="6FBC2675" w14:textId="77777777" w:rsidR="00225AC7" w:rsidRDefault="0082177C">
      <w:pPr>
        <w:spacing w:line="360" w:lineRule="auto"/>
      </w:pPr>
      <w:r>
        <w:rPr>
          <w:rFonts w:ascii="Simplified Arabic" w:eastAsia="Simplified Arabic" w:hAnsi="Simplified Arabic" w:cs="Simplified Arabic"/>
          <w:color w:val="000000"/>
          <w:kern w:val="0"/>
          <w:sz w:val="28"/>
          <w:szCs w:val="28"/>
          <w:rtl/>
        </w:rPr>
        <w:t xml:space="preserve">وقد روعِي في بناء الإطار العلمي للدراسة التكامل بين أربعة أطر نظرية مفسِّرة للعلاقة بين متغيّريها هي: نظرية الاعتماد على الموارد، ونظرية الكفاءة التشغيلية، ونموذج جودة الخدمة </w:t>
      </w:r>
      <w:r>
        <w:rPr>
          <w:rFonts w:ascii="Times New Roman" w:eastAsia="Simplified Arabic" w:hAnsi="Times New Roman" w:cs="Times New Roman"/>
          <w:color w:val="000000"/>
          <w:kern w:val="0"/>
          <w:sz w:val="28"/>
          <w:szCs w:val="28"/>
          <w:rtl/>
        </w:rPr>
        <w:t>(</w:t>
      </w:r>
      <w:r>
        <w:rPr>
          <w:rFonts w:ascii="Times New Roman" w:eastAsia="Simplified Arabic" w:hAnsi="Times New Roman" w:cs="Times New Roman"/>
          <w:color w:val="000000"/>
          <w:kern w:val="0"/>
          <w:sz w:val="28"/>
          <w:szCs w:val="28"/>
        </w:rPr>
        <w:t>SERVQUAL</w:t>
      </w:r>
      <w:r>
        <w:rPr>
          <w:rFonts w:ascii="Times New Roman" w:eastAsia="Simplified Arabic" w:hAnsi="Times New Roman" w:cs="Times New Roman"/>
          <w:color w:val="000000"/>
          <w:kern w:val="0"/>
          <w:sz w:val="28"/>
          <w:szCs w:val="28"/>
          <w:rtl/>
        </w:rPr>
        <w:t>)</w:t>
      </w:r>
      <w:r>
        <w:rPr>
          <w:rFonts w:ascii="Simplified Arabic" w:eastAsia="Simplified Arabic" w:hAnsi="Simplified Arabic" w:cs="Simplified Arabic"/>
          <w:color w:val="000000"/>
          <w:kern w:val="0"/>
          <w:sz w:val="28"/>
          <w:szCs w:val="28"/>
          <w:rtl/>
        </w:rPr>
        <w:t xml:space="preserve">، ومنظور الاستدامة الثلاثية </w:t>
      </w:r>
      <w:r>
        <w:rPr>
          <w:rFonts w:ascii="Times New Roman" w:eastAsia="Simplified Arabic" w:hAnsi="Times New Roman" w:cs="Times New Roman"/>
          <w:color w:val="000000"/>
          <w:kern w:val="0"/>
          <w:sz w:val="28"/>
          <w:szCs w:val="28"/>
          <w:rtl/>
        </w:rPr>
        <w:t>(</w:t>
      </w:r>
      <w:r>
        <w:rPr>
          <w:rFonts w:ascii="Times New Roman" w:eastAsia="Simplified Arabic" w:hAnsi="Times New Roman" w:cs="Times New Roman"/>
          <w:color w:val="000000"/>
          <w:kern w:val="0"/>
          <w:sz w:val="28"/>
          <w:szCs w:val="28"/>
        </w:rPr>
        <w:t>Triple Bottom Line</w:t>
      </w:r>
      <w:r>
        <w:rPr>
          <w:rFonts w:ascii="Times New Roman" w:eastAsia="Simplified Arabic" w:hAnsi="Times New Roman" w:cs="Times New Roman"/>
          <w:color w:val="000000"/>
          <w:kern w:val="0"/>
          <w:sz w:val="28"/>
          <w:szCs w:val="28"/>
          <w:rtl/>
        </w:rPr>
        <w:t>)</w:t>
      </w:r>
      <w:r>
        <w:rPr>
          <w:rFonts w:ascii="Simplified Arabic" w:eastAsia="Simplified Arabic" w:hAnsi="Simplified Arabic" w:cs="Simplified Arabic"/>
          <w:color w:val="000000"/>
          <w:kern w:val="0"/>
          <w:sz w:val="28"/>
          <w:szCs w:val="28"/>
          <w:rtl/>
        </w:rPr>
        <w:t xml:space="preserve">؛ وهي أطر يُفصّلها الفصل الثاني، وتمثّل الأساس النظري </w:t>
      </w:r>
      <w:r>
        <w:rPr>
          <w:rFonts w:ascii="Simplified Arabic" w:eastAsia="Simplified Arabic" w:hAnsi="Simplified Arabic" w:cs="Simplified Arabic"/>
          <w:color w:val="000000"/>
          <w:kern w:val="0"/>
          <w:sz w:val="28"/>
          <w:szCs w:val="28"/>
          <w:rtl/>
        </w:rPr>
        <w:lastRenderedPageBreak/>
        <w:t>الذي تُشتقّ منه أبعاد المتغير المستقل ومؤشرات المتغير التابع وأدوات قياسها. وبذلك يقوم البناء العلمي للدراسة على تسلسل منطقي يربط المشكلة بالنظرية، والنظرية بالفرضيات، والفرضيات بالقياس الميداني، وصولاً إلى نتائج وتوصيات مدعومة بالأدلة.</w:t>
      </w:r>
    </w:p>
    <w:p w14:paraId="6FBC2676" w14:textId="77777777" w:rsidR="00225AC7" w:rsidRDefault="0082177C">
      <w:pPr>
        <w:pStyle w:val="2"/>
        <w:bidi/>
      </w:pPr>
      <w:bookmarkStart w:id="9" w:name="_Toc235185275"/>
      <w:r>
        <w:rPr>
          <w:rFonts w:ascii="Simplified Arabic" w:hAnsi="Simplified Arabic" w:cs="Simplified Arabic"/>
          <w:color w:val="000000"/>
          <w:sz w:val="36"/>
          <w:szCs w:val="36"/>
          <w:u w:val="single"/>
        </w:rPr>
        <w:t>1-9</w:t>
      </w:r>
      <w:r>
        <w:rPr>
          <w:rFonts w:ascii="Simplified Arabic" w:hAnsi="Simplified Arabic" w:cs="Simplified Arabic"/>
          <w:color w:val="000000"/>
          <w:sz w:val="36"/>
          <w:szCs w:val="36"/>
          <w:u w:val="single"/>
          <w:rtl/>
        </w:rPr>
        <w:t xml:space="preserve"> </w:t>
      </w:r>
      <w:r>
        <w:rPr>
          <w:rFonts w:ascii="Simplified Arabic" w:eastAsia="Simplified Arabic" w:hAnsi="Simplified Arabic" w:cs="Simplified Arabic"/>
          <w:color w:val="000000"/>
          <w:sz w:val="36"/>
          <w:szCs w:val="36"/>
          <w:u w:val="single"/>
          <w:rtl/>
        </w:rPr>
        <w:t>التعريفات الإجرائية للمصطلحات</w:t>
      </w:r>
      <w:bookmarkEnd w:id="9"/>
    </w:p>
    <w:p w14:paraId="6FBC2677" w14:textId="77777777" w:rsidR="00225AC7" w:rsidRDefault="00225AC7">
      <w:pPr>
        <w:pStyle w:val="2"/>
        <w:bidi/>
        <w:rPr>
          <w:rFonts w:eastAsia="Simplified Arabic"/>
          <w:color w:val="000000"/>
          <w:sz w:val="36"/>
          <w:szCs w:val="36"/>
          <w:u w:val="single"/>
        </w:rPr>
      </w:pPr>
    </w:p>
    <w:p w14:paraId="6FBC2678" w14:textId="77777777" w:rsidR="00225AC7" w:rsidRDefault="0082177C">
      <w:pPr>
        <w:spacing w:line="360" w:lineRule="auto"/>
      </w:pPr>
      <w:r>
        <w:rPr>
          <w:rFonts w:ascii="Simplified Arabic" w:eastAsia="Simplified Arabic" w:hAnsi="Simplified Arabic" w:cs="Simplified Arabic"/>
          <w:sz w:val="28"/>
          <w:szCs w:val="28"/>
          <w:rtl/>
        </w:rPr>
        <w:t>فيما يلي التعريفات الإجرائية للمصطلحات الرئيسة كما تتبنّاها الدراسة وتقيسها عبر أداتها الميدانية:</w:t>
      </w:r>
    </w:p>
    <w:p w14:paraId="6FBC2679" w14:textId="77777777" w:rsidR="00225AC7" w:rsidRDefault="0082177C">
      <w:pPr>
        <w:spacing w:after="120" w:line="360" w:lineRule="auto"/>
        <w:ind w:hanging="300"/>
      </w:pPr>
      <w:r>
        <w:rPr>
          <w:rFonts w:ascii="Simplified Arabic" w:eastAsia="Simplified Arabic" w:hAnsi="Simplified Arabic" w:cs="Simplified Arabic"/>
          <w:b/>
          <w:bCs/>
          <w:sz w:val="28"/>
          <w:szCs w:val="28"/>
          <w:rtl/>
        </w:rPr>
        <w:t xml:space="preserve">   إدارة المرافق المستدامة: </w:t>
      </w:r>
      <w:r>
        <w:rPr>
          <w:rFonts w:ascii="Simplified Arabic" w:eastAsia="Simplified Arabic" w:hAnsi="Simplified Arabic" w:cs="Simplified Arabic"/>
          <w:sz w:val="28"/>
          <w:szCs w:val="28"/>
          <w:rtl/>
        </w:rPr>
        <w:t>مجموعة الممارسات المنهجية التي تتبنّاها الجهة المشغّلة لضمان كفاءة الأصول والمرافق واستدامتها، وتُقاس في هذه الدراسة بثلاثة أبعاد هي: الصيانة الوقائية المنتظمة، وترشيد الطاقة وإدارة الموارد، وسرعة الاستجابة للأعطال.</w:t>
      </w:r>
    </w:p>
    <w:p w14:paraId="6FBC267A" w14:textId="77777777" w:rsidR="00225AC7" w:rsidRDefault="0082177C">
      <w:pPr>
        <w:spacing w:after="120" w:line="360" w:lineRule="auto"/>
        <w:ind w:hanging="300"/>
      </w:pPr>
      <w:r>
        <w:rPr>
          <w:rFonts w:ascii="Simplified Arabic" w:eastAsia="Simplified Arabic" w:hAnsi="Simplified Arabic" w:cs="Simplified Arabic"/>
          <w:b/>
          <w:bCs/>
          <w:sz w:val="28"/>
          <w:szCs w:val="28"/>
          <w:rtl/>
        </w:rPr>
        <w:t xml:space="preserve">   الصيانة الوقائية المنتظمة: </w:t>
      </w:r>
      <w:r>
        <w:rPr>
          <w:rFonts w:ascii="Simplified Arabic" w:eastAsia="Simplified Arabic" w:hAnsi="Simplified Arabic" w:cs="Simplified Arabic"/>
          <w:sz w:val="28"/>
          <w:szCs w:val="28"/>
          <w:rtl/>
        </w:rPr>
        <w:t>تنفيذ جداول صيانة مخطّطة ودورية للأصول والمعدات قبل وقوع الأعطال، وتُقاس بانتظام خطط الصيانة الوقائية (</w:t>
      </w:r>
      <w:r>
        <w:rPr>
          <w:rFonts w:ascii="Times New Roman" w:eastAsia="Simplified Arabic" w:hAnsi="Times New Roman" w:cs="Times New Roman"/>
          <w:sz w:val="28"/>
          <w:szCs w:val="28"/>
        </w:rPr>
        <w:t>PPM</w:t>
      </w:r>
      <w:r>
        <w:rPr>
          <w:rFonts w:ascii="Simplified Arabic" w:eastAsia="Simplified Arabic" w:hAnsi="Simplified Arabic" w:cs="Simplified Arabic"/>
          <w:sz w:val="28"/>
          <w:szCs w:val="28"/>
          <w:rtl/>
        </w:rPr>
        <w:t>) وتوثيق أوامر العمل والفحص الدوري للأنظمة الكهروميكانيكية (</w:t>
      </w:r>
      <w:r>
        <w:rPr>
          <w:rFonts w:ascii="Times New Roman" w:eastAsia="Simplified Arabic" w:hAnsi="Times New Roman" w:cs="Times New Roman"/>
          <w:sz w:val="28"/>
          <w:szCs w:val="28"/>
        </w:rPr>
        <w:t>MEP</w:t>
      </w:r>
      <w:r>
        <w:rPr>
          <w:rFonts w:ascii="Simplified Arabic" w:eastAsia="Simplified Arabic" w:hAnsi="Simplified Arabic" w:cs="Simplified Arabic"/>
          <w:sz w:val="28"/>
          <w:szCs w:val="28"/>
          <w:rtl/>
        </w:rPr>
        <w:t>).</w:t>
      </w:r>
    </w:p>
    <w:p w14:paraId="6FBC267B" w14:textId="77777777" w:rsidR="00225AC7" w:rsidRDefault="0082177C">
      <w:pPr>
        <w:spacing w:after="120" w:line="360" w:lineRule="auto"/>
        <w:ind w:hanging="300"/>
      </w:pPr>
      <w:r>
        <w:rPr>
          <w:rFonts w:ascii="Simplified Arabic" w:eastAsia="Simplified Arabic" w:hAnsi="Simplified Arabic" w:cs="Simplified Arabic"/>
          <w:b/>
          <w:bCs/>
          <w:sz w:val="28"/>
          <w:szCs w:val="28"/>
          <w:rtl/>
        </w:rPr>
        <w:t xml:space="preserve">    ترشيد الطاقة وإدارة الموارد: </w:t>
      </w:r>
      <w:r>
        <w:rPr>
          <w:rFonts w:ascii="Simplified Arabic" w:eastAsia="Simplified Arabic" w:hAnsi="Simplified Arabic" w:cs="Simplified Arabic"/>
          <w:sz w:val="28"/>
          <w:szCs w:val="28"/>
          <w:rtl/>
        </w:rPr>
        <w:t>الإجراءات والأنظمة الهادفة إلى مراقبة وخفض استهلاك الطاقة والمياه وإدارة النفايات وإعادة التدوير، وتُقاس بمدى تطبيق التقنيات الموفّرة والمراجعة الدورية لمؤشرات الاستهلاك.</w:t>
      </w:r>
    </w:p>
    <w:p w14:paraId="6FBC267C" w14:textId="77777777" w:rsidR="00225AC7" w:rsidRDefault="0082177C">
      <w:pPr>
        <w:spacing w:after="120" w:line="360" w:lineRule="auto"/>
        <w:ind w:hanging="300"/>
      </w:pPr>
      <w:r>
        <w:rPr>
          <w:rFonts w:ascii="Simplified Arabic" w:eastAsia="Simplified Arabic" w:hAnsi="Simplified Arabic" w:cs="Simplified Arabic"/>
          <w:b/>
          <w:bCs/>
          <w:sz w:val="28"/>
          <w:szCs w:val="28"/>
          <w:rtl/>
        </w:rPr>
        <w:t xml:space="preserve">    سرعة الاستجابة للأعطال: </w:t>
      </w:r>
      <w:r>
        <w:rPr>
          <w:rFonts w:ascii="Simplified Arabic" w:eastAsia="Simplified Arabic" w:hAnsi="Simplified Arabic" w:cs="Simplified Arabic"/>
          <w:sz w:val="28"/>
          <w:szCs w:val="28"/>
          <w:rtl/>
        </w:rPr>
        <w:t>قدرة المنظومة التشغيلية على معالجة الأعطال خلال زمن قصير ومقبول، وتُقاس بوجود خطط الطوارئ والفرق المؤهّلة وقطع الغيار الاحتياطية وأنظمة الرصد الرقمي للأعطال.</w:t>
      </w:r>
    </w:p>
    <w:p w14:paraId="6FBC267D" w14:textId="77777777" w:rsidR="00225AC7" w:rsidRDefault="0082177C">
      <w:pPr>
        <w:spacing w:after="120" w:line="360" w:lineRule="auto"/>
        <w:ind w:hanging="300"/>
      </w:pPr>
      <w:r>
        <w:rPr>
          <w:rFonts w:ascii="Simplified Arabic" w:eastAsia="Simplified Arabic" w:hAnsi="Simplified Arabic" w:cs="Simplified Arabic"/>
          <w:b/>
          <w:bCs/>
          <w:sz w:val="28"/>
          <w:szCs w:val="28"/>
          <w:rtl/>
        </w:rPr>
        <w:lastRenderedPageBreak/>
        <w:t xml:space="preserve">    كفاءة التشغيل: </w:t>
      </w:r>
      <w:r>
        <w:rPr>
          <w:rFonts w:ascii="Simplified Arabic" w:eastAsia="Simplified Arabic" w:hAnsi="Simplified Arabic" w:cs="Simplified Arabic"/>
          <w:sz w:val="28"/>
          <w:szCs w:val="28"/>
          <w:rtl/>
        </w:rPr>
        <w:t>مدى قدرة المرافق على أداء وظائفها بأعلى موثوقية وأقل هدر، وتُقاس بأربعة مؤشرات هي: الاستمرارية التشغيلية، ومعدلات الأعطال، وجودة الخدمة، ورضا الزوار.</w:t>
      </w:r>
    </w:p>
    <w:p w14:paraId="6FBC267E" w14:textId="77777777" w:rsidR="00225AC7" w:rsidRDefault="0082177C">
      <w:pPr>
        <w:spacing w:after="120" w:line="360" w:lineRule="auto"/>
        <w:ind w:hanging="300"/>
      </w:pPr>
      <w:r>
        <w:rPr>
          <w:rFonts w:ascii="Simplified Arabic" w:eastAsia="Simplified Arabic" w:hAnsi="Simplified Arabic" w:cs="Simplified Arabic"/>
          <w:b/>
          <w:bCs/>
          <w:sz w:val="28"/>
          <w:szCs w:val="28"/>
          <w:rtl/>
        </w:rPr>
        <w:t xml:space="preserve">    الاستمرارية التشغيلية: </w:t>
      </w:r>
      <w:r>
        <w:rPr>
          <w:rFonts w:ascii="Simplified Arabic" w:eastAsia="Simplified Arabic" w:hAnsi="Simplified Arabic" w:cs="Simplified Arabic"/>
          <w:sz w:val="28"/>
          <w:szCs w:val="28"/>
          <w:rtl/>
        </w:rPr>
        <w:t>قدرة المرافق على العمل دون انقطاعات غير مخطّطة والتعافي السريع بعد الاضطرابات التشغيلية.</w:t>
      </w:r>
    </w:p>
    <w:p w14:paraId="6FBC267F" w14:textId="77777777" w:rsidR="00225AC7" w:rsidRDefault="0082177C">
      <w:pPr>
        <w:spacing w:after="120" w:line="360" w:lineRule="auto"/>
        <w:ind w:hanging="300"/>
      </w:pPr>
      <w:r>
        <w:rPr>
          <w:rFonts w:ascii="Simplified Arabic" w:eastAsia="Simplified Arabic" w:hAnsi="Simplified Arabic" w:cs="Simplified Arabic"/>
          <w:b/>
          <w:bCs/>
          <w:sz w:val="28"/>
          <w:szCs w:val="28"/>
          <w:rtl/>
        </w:rPr>
        <w:t xml:space="preserve">   معدلات الأعطال: </w:t>
      </w:r>
      <w:r>
        <w:rPr>
          <w:rFonts w:ascii="Simplified Arabic" w:eastAsia="Simplified Arabic" w:hAnsi="Simplified Arabic" w:cs="Simplified Arabic"/>
          <w:sz w:val="28"/>
          <w:szCs w:val="28"/>
          <w:rtl/>
        </w:rPr>
        <w:t>مدى تكرار الأعطال الطارئة في المرافق، حيث يدل انخفاضها على ارتفاع كفاءة التشغيل.</w:t>
      </w:r>
    </w:p>
    <w:p w14:paraId="6FBC2680" w14:textId="77777777" w:rsidR="00225AC7" w:rsidRDefault="0082177C">
      <w:pPr>
        <w:spacing w:after="120" w:line="360" w:lineRule="auto"/>
        <w:ind w:hanging="300"/>
      </w:pPr>
      <w:r>
        <w:rPr>
          <w:rFonts w:ascii="Simplified Arabic" w:eastAsia="Simplified Arabic" w:hAnsi="Simplified Arabic" w:cs="Simplified Arabic"/>
          <w:b/>
          <w:bCs/>
          <w:sz w:val="28"/>
          <w:szCs w:val="28"/>
          <w:rtl/>
        </w:rPr>
        <w:t xml:space="preserve">  جودة الخدمة: </w:t>
      </w:r>
      <w:r>
        <w:rPr>
          <w:rFonts w:ascii="Simplified Arabic" w:eastAsia="Simplified Arabic" w:hAnsi="Simplified Arabic" w:cs="Simplified Arabic"/>
          <w:sz w:val="28"/>
          <w:szCs w:val="28"/>
          <w:rtl/>
        </w:rPr>
        <w:t>مستوى موثوقية ودقة ونظافة الخدمات المقدّمة ومدى تلبيتها لاحتياجات الزوار وتوقعاتهم.</w:t>
      </w:r>
    </w:p>
    <w:p w14:paraId="6FBC2681" w14:textId="77777777" w:rsidR="00225AC7" w:rsidRDefault="0082177C">
      <w:pPr>
        <w:spacing w:after="120" w:line="360" w:lineRule="auto"/>
        <w:ind w:hanging="300"/>
      </w:pPr>
      <w:r>
        <w:rPr>
          <w:rFonts w:ascii="Simplified Arabic" w:eastAsia="Simplified Arabic" w:hAnsi="Simplified Arabic" w:cs="Simplified Arabic"/>
          <w:b/>
          <w:bCs/>
          <w:sz w:val="28"/>
          <w:szCs w:val="28"/>
          <w:rtl/>
        </w:rPr>
        <w:t xml:space="preserve">  رضا الزوار: </w:t>
      </w:r>
      <w:r>
        <w:rPr>
          <w:rFonts w:ascii="Simplified Arabic" w:eastAsia="Simplified Arabic" w:hAnsi="Simplified Arabic" w:cs="Simplified Arabic"/>
          <w:sz w:val="28"/>
          <w:szCs w:val="28"/>
          <w:rtl/>
        </w:rPr>
        <w:t>انعكاس جودة إدارة المرافق على تقييم الزوار وانخفاض شكاواهم، ويُقاس في هذه الدراسة من منظور العاملين في إدارة المرافق لا من الزوار مباشرةً.</w:t>
      </w:r>
    </w:p>
    <w:p w14:paraId="6FBC2682" w14:textId="77777777" w:rsidR="00225AC7" w:rsidRDefault="0082177C">
      <w:pPr>
        <w:spacing w:after="120" w:line="360" w:lineRule="auto"/>
        <w:ind w:hanging="300"/>
      </w:pPr>
      <w:r>
        <w:rPr>
          <w:rFonts w:ascii="Simplified Arabic" w:eastAsia="Simplified Arabic" w:hAnsi="Simplified Arabic" w:cs="Simplified Arabic"/>
          <w:b/>
          <w:bCs/>
          <w:sz w:val="28"/>
          <w:szCs w:val="28"/>
          <w:rtl/>
        </w:rPr>
        <w:t xml:space="preserve">  التحديات: </w:t>
      </w:r>
      <w:r>
        <w:rPr>
          <w:rFonts w:ascii="Simplified Arabic" w:eastAsia="Simplified Arabic" w:hAnsi="Simplified Arabic" w:cs="Simplified Arabic"/>
          <w:sz w:val="28"/>
          <w:szCs w:val="28"/>
          <w:rtl/>
        </w:rPr>
        <w:t>العوامل التنظيمية والبشرية والتقنية التي تعيق التطبيق الأمثل لإدارة المرافق المستدامة، كغياب السياسات المكتوبة، ونقص الكوادر والتدريب، وضعف الميزانيات، ومحدودية الأنظمة الرقمية.</w:t>
      </w:r>
    </w:p>
    <w:p w14:paraId="6FBC2683" w14:textId="77777777" w:rsidR="00225AC7" w:rsidRDefault="0082177C">
      <w:pPr>
        <w:pStyle w:val="2"/>
        <w:bidi/>
        <w:spacing w:before="240" w:after="120"/>
      </w:pPr>
      <w:bookmarkStart w:id="10" w:name="_Toc235185276"/>
      <w:r>
        <w:rPr>
          <w:color w:val="000000"/>
          <w:sz w:val="36"/>
          <w:szCs w:val="36"/>
          <w:u w:val="single"/>
        </w:rPr>
        <w:t>1-10</w:t>
      </w:r>
      <w:r>
        <w:rPr>
          <w:color w:val="000000"/>
          <w:sz w:val="36"/>
          <w:szCs w:val="36"/>
          <w:u w:val="single"/>
          <w:rtl/>
        </w:rPr>
        <w:t xml:space="preserve"> </w:t>
      </w:r>
      <w:r>
        <w:rPr>
          <w:rFonts w:ascii="Simplified Arabic" w:eastAsia="Simplified Arabic" w:hAnsi="Simplified Arabic" w:cs="Simplified Arabic"/>
          <w:color w:val="000000"/>
          <w:sz w:val="36"/>
          <w:szCs w:val="36"/>
          <w:u w:val="single"/>
          <w:rtl/>
        </w:rPr>
        <w:t>تنظيم الدراسة</w:t>
      </w:r>
      <w:bookmarkEnd w:id="10"/>
    </w:p>
    <w:p w14:paraId="6FBC2684" w14:textId="77777777" w:rsidR="00225AC7" w:rsidRDefault="0082177C">
      <w:pPr>
        <w:spacing w:after="120" w:line="276" w:lineRule="auto"/>
        <w:ind w:firstLine="283"/>
        <w:jc w:val="both"/>
      </w:pPr>
      <w:r>
        <w:rPr>
          <w:rFonts w:ascii="Simplified Arabic" w:eastAsia="Simplified Arabic" w:hAnsi="Simplified Arabic" w:cs="Simplified Arabic"/>
          <w:sz w:val="28"/>
          <w:szCs w:val="28"/>
          <w:rtl/>
        </w:rPr>
        <w:t>تنتظم هذه الدراسة في أربعة فصول متكاملة: يعرض الفصل الأول الإطار العام للبحث متضمناً المقدمة ومشكلة الدراسة وأهميتها وأهدافها وتساؤلاتها وفرضياتها والنظرية العلمية المتبعة وحدودها. ويستعرض الفصل الثاني الدراسات السابقة العربية والأجنبية ومناقشتها وبيان الفجوة البحثية، ثم الإطار النظري للدراسة. ويتناول الفصل الثالث منهجية الدراسة وتصميمها ومجتمعها وعينتها وأداة جمع البيانات وإجراءات صدقها وثباتها وأساليب التحليل الإحصائي. ويخصَّص الفصل الرابع لعرض نتائج التحليل الإحصائي ومناقشتها في ضوء الدراسات السابقة، وصولاً إلى الاستنتاجات والتوصيات العملية.</w:t>
      </w:r>
    </w:p>
    <w:p w14:paraId="6FBC2685" w14:textId="77777777" w:rsidR="00225AC7" w:rsidRDefault="00225AC7">
      <w:pPr>
        <w:spacing w:line="360" w:lineRule="auto"/>
      </w:pPr>
    </w:p>
    <w:p w14:paraId="6FBC2686" w14:textId="77777777" w:rsidR="00225AC7" w:rsidRDefault="00225AC7">
      <w:pPr>
        <w:rPr>
          <w:rFonts w:ascii="Sakkal Majalla" w:hAnsi="Sakkal Majalla" w:cs="Sakkal Majalla"/>
          <w:sz w:val="28"/>
          <w:szCs w:val="28"/>
          <w:u w:val="single"/>
        </w:rPr>
      </w:pPr>
    </w:p>
    <w:p w14:paraId="6FBC2687" w14:textId="77777777" w:rsidR="00225AC7" w:rsidRDefault="00225AC7">
      <w:pPr>
        <w:rPr>
          <w:rFonts w:ascii="Sakkal Majalla" w:hAnsi="Sakkal Majalla" w:cs="Sakkal Majalla"/>
          <w:sz w:val="28"/>
          <w:szCs w:val="28"/>
          <w:u w:val="single"/>
        </w:rPr>
      </w:pPr>
    </w:p>
    <w:p w14:paraId="6FBC2688" w14:textId="77777777" w:rsidR="00225AC7" w:rsidRDefault="00225AC7">
      <w:pPr>
        <w:rPr>
          <w:rFonts w:ascii="Sakkal Majalla" w:hAnsi="Sakkal Majalla" w:cs="Sakkal Majalla"/>
          <w:sz w:val="28"/>
          <w:szCs w:val="28"/>
          <w:u w:val="single"/>
        </w:rPr>
      </w:pPr>
    </w:p>
    <w:p w14:paraId="6FBC2689" w14:textId="77777777" w:rsidR="00225AC7" w:rsidRDefault="00225AC7">
      <w:pPr>
        <w:rPr>
          <w:rFonts w:ascii="Sakkal Majalla" w:hAnsi="Sakkal Majalla" w:cs="Sakkal Majalla"/>
          <w:sz w:val="28"/>
          <w:szCs w:val="28"/>
          <w:u w:val="single"/>
        </w:rPr>
      </w:pPr>
    </w:p>
    <w:p w14:paraId="6FBC268A" w14:textId="77777777" w:rsidR="00225AC7" w:rsidRDefault="00225AC7">
      <w:pPr>
        <w:rPr>
          <w:rFonts w:ascii="Sakkal Majalla" w:hAnsi="Sakkal Majalla" w:cs="Sakkal Majalla"/>
          <w:sz w:val="28"/>
          <w:szCs w:val="28"/>
          <w:u w:val="single"/>
        </w:rPr>
      </w:pPr>
    </w:p>
    <w:p w14:paraId="6FBC268B" w14:textId="77777777" w:rsidR="00225AC7" w:rsidRDefault="00225AC7">
      <w:pPr>
        <w:jc w:val="center"/>
        <w:rPr>
          <w:rFonts w:ascii="Simplified Arabic" w:hAnsi="Simplified Arabic" w:cs="Simplified Arabic"/>
          <w:b/>
          <w:bCs/>
          <w:sz w:val="40"/>
          <w:szCs w:val="40"/>
          <w:u w:val="single"/>
        </w:rPr>
      </w:pPr>
    </w:p>
    <w:p w14:paraId="6FBC268C" w14:textId="77777777" w:rsidR="00225AC7" w:rsidRDefault="00225AC7">
      <w:pPr>
        <w:pStyle w:val="1"/>
        <w:bidi/>
        <w:jc w:val="center"/>
        <w:rPr>
          <w:rFonts w:ascii="Simplified Arabic" w:hAnsi="Simplified Arabic" w:cs="Simplified Arabic"/>
          <w:color w:val="000000"/>
          <w:u w:val="single"/>
        </w:rPr>
      </w:pPr>
      <w:bookmarkStart w:id="11" w:name="_Toc235185277"/>
    </w:p>
    <w:p w14:paraId="6FBC268D" w14:textId="77777777" w:rsidR="00225AC7" w:rsidRDefault="00225AC7">
      <w:pPr>
        <w:pStyle w:val="1"/>
        <w:bidi/>
        <w:jc w:val="center"/>
        <w:rPr>
          <w:rFonts w:ascii="Simplified Arabic" w:hAnsi="Simplified Arabic" w:cs="Simplified Arabic"/>
          <w:color w:val="000000"/>
          <w:u w:val="single"/>
        </w:rPr>
      </w:pPr>
    </w:p>
    <w:p w14:paraId="6FBC268E" w14:textId="77777777" w:rsidR="00225AC7" w:rsidRDefault="00225AC7"/>
    <w:p w14:paraId="6FBC268F" w14:textId="77777777" w:rsidR="00225AC7" w:rsidRDefault="00225AC7"/>
    <w:p w14:paraId="6FBC2690" w14:textId="77777777" w:rsidR="00225AC7" w:rsidRDefault="00225AC7"/>
    <w:p w14:paraId="6FBC2691" w14:textId="77777777" w:rsidR="00225AC7" w:rsidRDefault="0082177C">
      <w:pPr>
        <w:pStyle w:val="1"/>
        <w:bidi/>
        <w:jc w:val="center"/>
        <w:rPr>
          <w:rFonts w:ascii="Simplified Arabic" w:hAnsi="Simplified Arabic" w:cs="Simplified Arabic"/>
          <w:color w:val="000000"/>
          <w:u w:val="single"/>
        </w:rPr>
      </w:pPr>
      <w:r>
        <w:rPr>
          <w:rFonts w:ascii="Simplified Arabic" w:hAnsi="Simplified Arabic" w:cs="Simplified Arabic"/>
          <w:color w:val="000000"/>
          <w:u w:val="single"/>
          <w:rtl/>
        </w:rPr>
        <w:t>الفصل الثاني</w:t>
      </w:r>
      <w:bookmarkEnd w:id="11"/>
    </w:p>
    <w:p w14:paraId="6FBC2692" w14:textId="77777777" w:rsidR="00225AC7" w:rsidRDefault="0082177C">
      <w:pPr>
        <w:pStyle w:val="1"/>
        <w:bidi/>
        <w:jc w:val="center"/>
        <w:rPr>
          <w:rFonts w:ascii="Simplified Arabic" w:hAnsi="Simplified Arabic" w:cs="Simplified Arabic"/>
          <w:color w:val="000000"/>
          <w:u w:val="single"/>
        </w:rPr>
      </w:pPr>
      <w:bookmarkStart w:id="12" w:name="_Toc235185278"/>
      <w:r>
        <w:rPr>
          <w:rFonts w:ascii="Simplified Arabic" w:hAnsi="Simplified Arabic" w:cs="Simplified Arabic"/>
          <w:color w:val="000000"/>
          <w:u w:val="single"/>
          <w:rtl/>
        </w:rPr>
        <w:t>الإطار النظري و الدراسات السابقة</w:t>
      </w:r>
      <w:bookmarkEnd w:id="12"/>
    </w:p>
    <w:p w14:paraId="6FBC2693" w14:textId="77777777" w:rsidR="00225AC7" w:rsidRDefault="00225AC7">
      <w:pPr>
        <w:rPr>
          <w:rFonts w:ascii="Sakkal Majalla" w:hAnsi="Sakkal Majalla" w:cs="Sakkal Majalla"/>
          <w:sz w:val="28"/>
          <w:szCs w:val="28"/>
          <w:u w:val="single"/>
        </w:rPr>
      </w:pPr>
    </w:p>
    <w:p w14:paraId="6FBC2694" w14:textId="77777777" w:rsidR="00225AC7" w:rsidRDefault="00225AC7">
      <w:pPr>
        <w:rPr>
          <w:rFonts w:ascii="Sakkal Majalla" w:hAnsi="Sakkal Majalla" w:cs="Sakkal Majalla"/>
          <w:sz w:val="28"/>
          <w:szCs w:val="28"/>
          <w:u w:val="single"/>
        </w:rPr>
      </w:pPr>
    </w:p>
    <w:p w14:paraId="6FBC2695" w14:textId="77777777" w:rsidR="00225AC7" w:rsidRDefault="00225AC7"/>
    <w:p w14:paraId="6FBC2696" w14:textId="77777777" w:rsidR="00225AC7" w:rsidRDefault="00225AC7"/>
    <w:p w14:paraId="6FBC2697" w14:textId="77777777" w:rsidR="00225AC7" w:rsidRDefault="00225AC7"/>
    <w:p w14:paraId="6FBC2698" w14:textId="77777777" w:rsidR="00225AC7" w:rsidRDefault="00225AC7"/>
    <w:p w14:paraId="6FBC2699" w14:textId="77777777" w:rsidR="00225AC7" w:rsidRDefault="00225AC7"/>
    <w:p w14:paraId="6FBC269A" w14:textId="77777777" w:rsidR="00225AC7" w:rsidRDefault="00225AC7"/>
    <w:p w14:paraId="6FBC269B" w14:textId="77777777" w:rsidR="00225AC7" w:rsidRDefault="00225AC7"/>
    <w:p w14:paraId="6FBC269C" w14:textId="77777777" w:rsidR="00225AC7" w:rsidRDefault="00225AC7"/>
    <w:p w14:paraId="6FBC269D" w14:textId="77777777" w:rsidR="00225AC7" w:rsidRDefault="00225AC7"/>
    <w:p w14:paraId="6FBC269E" w14:textId="77777777" w:rsidR="00225AC7" w:rsidRDefault="0082177C">
      <w:pPr>
        <w:pStyle w:val="2"/>
        <w:bidi/>
      </w:pPr>
      <w:bookmarkStart w:id="13" w:name="_Toc235185279"/>
      <w:r>
        <w:rPr>
          <w:rFonts w:ascii="Simplified Arabic" w:hAnsi="Simplified Arabic" w:cs="Simplified Arabic"/>
          <w:color w:val="000000"/>
          <w:sz w:val="36"/>
          <w:szCs w:val="36"/>
          <w:u w:val="single"/>
        </w:rPr>
        <w:t>2-1</w:t>
      </w:r>
      <w:r>
        <w:rPr>
          <w:rFonts w:ascii="Simplified Arabic" w:hAnsi="Simplified Arabic" w:cs="Simplified Arabic"/>
          <w:color w:val="000000"/>
          <w:sz w:val="36"/>
          <w:szCs w:val="36"/>
          <w:u w:val="single"/>
          <w:rtl/>
        </w:rPr>
        <w:t xml:space="preserve"> المقدمة</w:t>
      </w:r>
      <w:bookmarkEnd w:id="13"/>
      <w:r>
        <w:rPr>
          <w:rFonts w:ascii="Simplified Arabic" w:hAnsi="Simplified Arabic" w:cs="Simplified Arabic"/>
          <w:color w:val="000000"/>
          <w:sz w:val="36"/>
          <w:szCs w:val="36"/>
          <w:u w:val="single"/>
          <w:rtl/>
        </w:rPr>
        <w:t xml:space="preserve"> </w:t>
      </w:r>
    </w:p>
    <w:p w14:paraId="6FBC269F" w14:textId="77777777" w:rsidR="00225AC7" w:rsidRDefault="0082177C">
      <w:pPr>
        <w:spacing w:after="120" w:line="360" w:lineRule="auto"/>
        <w:jc w:val="both"/>
      </w:pPr>
      <w:r>
        <w:rPr>
          <w:rFonts w:ascii="Simplified Arabic" w:eastAsia="Simplified Arabic" w:hAnsi="Simplified Arabic" w:cs="Simplified Arabic"/>
          <w:sz w:val="28"/>
          <w:szCs w:val="28"/>
          <w:rtl/>
        </w:rPr>
        <w:t>يمثل هذا الفصل الأهمية المعرفية والنظرية التي يقوم عليها البحث، وينقسم إلى محورين متكاملين: يستعرض الأول الدراسات السابقة العربية والأجنبية ذات العلاقة بمتغيّري الدراسة، ويحلّلها من حيث المنهج والنتائج والفجوة التابعة للدراسة، ثم يحدّد موقع الدراسة الحالية منها. ويبني المحور الثاني على ذلك بعرض المنطلقات النظرية التي تربط العلاقة بين إدارة المرافق المستدامة وكفاءة التشغيل، بدءاً من الإطار المفاهيمي ومروراً بأبعاد المتغير المستقل ومؤشرات المتغير التابع ويختتم الفصل بعرض الاطار النظري التي تفسّر العلاقة بين المتغيرين.</w:t>
      </w:r>
    </w:p>
    <w:p w14:paraId="6FBC26A0" w14:textId="77777777" w:rsidR="00225AC7" w:rsidRDefault="0082177C">
      <w:pPr>
        <w:pStyle w:val="2"/>
        <w:bidi/>
      </w:pPr>
      <w:bookmarkStart w:id="14" w:name="_Toc235185280"/>
      <w:r>
        <w:rPr>
          <w:color w:val="000000"/>
          <w:sz w:val="36"/>
          <w:szCs w:val="36"/>
          <w:u w:val="single"/>
        </w:rPr>
        <w:t>2-2</w:t>
      </w:r>
      <w:r>
        <w:rPr>
          <w:color w:val="000000"/>
          <w:sz w:val="36"/>
          <w:szCs w:val="36"/>
          <w:u w:val="single"/>
          <w:rtl/>
        </w:rPr>
        <w:t xml:space="preserve"> الدراسات السابقة</w:t>
      </w:r>
      <w:bookmarkEnd w:id="14"/>
    </w:p>
    <w:p w14:paraId="6FBC26A1" w14:textId="77777777" w:rsidR="00225AC7" w:rsidRDefault="00225AC7">
      <w:pPr>
        <w:pStyle w:val="2"/>
        <w:bidi/>
        <w:rPr>
          <w:color w:val="000000"/>
          <w:sz w:val="36"/>
          <w:szCs w:val="36"/>
          <w:u w:val="single"/>
        </w:rPr>
      </w:pPr>
    </w:p>
    <w:p w14:paraId="6FBC26A2" w14:textId="77777777" w:rsidR="00225AC7" w:rsidRDefault="0082177C">
      <w:pPr>
        <w:spacing w:after="120" w:line="360" w:lineRule="auto"/>
      </w:pPr>
      <w:r>
        <w:rPr>
          <w:rFonts w:ascii="Times New Roman" w:hAnsi="Times New Roman" w:cs="Simplified Arabic"/>
          <w:bCs/>
          <w:sz w:val="32"/>
          <w:szCs w:val="32"/>
          <w:rtl/>
        </w:rPr>
        <w:t xml:space="preserve">الدراسة الأولى: </w:t>
      </w:r>
      <w:r>
        <w:rPr>
          <w:rFonts w:ascii="Times New Roman" w:hAnsi="Times New Roman" w:cs="Times New Roman"/>
          <w:bCs/>
          <w:sz w:val="32"/>
          <w:szCs w:val="32"/>
        </w:rPr>
        <w:t>Amaratunga &amp; Baldry</w:t>
      </w:r>
      <w:r>
        <w:rPr>
          <w:rFonts w:ascii="Times New Roman" w:hAnsi="Times New Roman" w:cs="Times New Roman"/>
          <w:bCs/>
          <w:sz w:val="32"/>
          <w:szCs w:val="32"/>
          <w:rtl/>
        </w:rPr>
        <w:t xml:space="preserve"> (2002)</w:t>
      </w:r>
      <w:r>
        <w:rPr>
          <w:rFonts w:ascii="Times New Roman" w:hAnsi="Times New Roman" w:cs="Simplified Arabic"/>
          <w:bCs/>
          <w:sz w:val="32"/>
          <w:szCs w:val="32"/>
          <w:rtl/>
        </w:rPr>
        <w:t xml:space="preserve"> الانتقال من قياس الأداء إلى إدارته في المرافق</w:t>
      </w:r>
    </w:p>
    <w:p w14:paraId="6FBC26A3" w14:textId="77777777" w:rsidR="00225AC7" w:rsidRDefault="0082177C">
      <w:pPr>
        <w:spacing w:after="120" w:line="360" w:lineRule="auto"/>
        <w:jc w:val="both"/>
      </w:pPr>
      <w:r>
        <w:rPr>
          <w:rFonts w:ascii="Simplified Arabic" w:eastAsia="Simplified Arabic" w:hAnsi="Simplified Arabic" w:cs="Simplified Arabic"/>
          <w:sz w:val="28"/>
          <w:szCs w:val="28"/>
          <w:rtl/>
        </w:rPr>
        <w:t xml:space="preserve">اعتمدت هذه الدراسة، المنشورة في مجلة </w:t>
      </w:r>
      <w:r>
        <w:rPr>
          <w:rFonts w:ascii="Times New Roman" w:eastAsia="Simplified Arabic" w:hAnsi="Times New Roman" w:cs="Times New Roman"/>
          <w:sz w:val="28"/>
          <w:szCs w:val="28"/>
          <w:rtl/>
        </w:rPr>
        <w:t>(</w:t>
      </w:r>
      <w:r>
        <w:rPr>
          <w:rFonts w:ascii="Times New Roman" w:eastAsia="Simplified Arabic" w:hAnsi="Times New Roman" w:cs="Times New Roman"/>
          <w:sz w:val="28"/>
          <w:szCs w:val="28"/>
        </w:rPr>
        <w:t>Facilities</w:t>
      </w:r>
      <w:r>
        <w:rPr>
          <w:rFonts w:ascii="Times New Roman" w:eastAsia="Simplified Arabic" w:hAnsi="Times New Roman" w:cs="Times New Roman"/>
          <w:sz w:val="28"/>
          <w:szCs w:val="28"/>
          <w:rtl/>
        </w:rPr>
        <w:t>)</w:t>
      </w:r>
      <w:r>
        <w:rPr>
          <w:rFonts w:ascii="Simplified Arabic" w:eastAsia="Simplified Arabic" w:hAnsi="Simplified Arabic" w:cs="Simplified Arabic"/>
          <w:sz w:val="28"/>
          <w:szCs w:val="28"/>
          <w:rtl/>
        </w:rPr>
        <w:t>، على المراجعة النظرية التحليلية لأدبيات قياس الأداء في حقل إدارة المرافق، بهدف بناء إطار مفاهيمي يربط بين القياس والإدارة الفعلية للأداء. ولم تعتمد الدراسة على بيانات ميدانية كمية، بل على التحليل النقدي للأدبيات المتراكمة في مجال قياس الأداء الإداري وإسقاطها على حقل إدارة المرافق.</w:t>
      </w:r>
    </w:p>
    <w:p w14:paraId="6FBC26A4" w14:textId="77777777" w:rsidR="00225AC7" w:rsidRDefault="0082177C">
      <w:pPr>
        <w:spacing w:after="120" w:line="360" w:lineRule="auto"/>
        <w:jc w:val="both"/>
      </w:pPr>
      <w:r>
        <w:rPr>
          <w:rFonts w:ascii="Simplified Arabic" w:eastAsia="Simplified Arabic" w:hAnsi="Simplified Arabic" w:cs="Simplified Arabic"/>
          <w:sz w:val="28"/>
          <w:szCs w:val="28"/>
          <w:rtl/>
        </w:rPr>
        <w:lastRenderedPageBreak/>
        <w:t>لخصت الدراسة إلى أن فعالية إدارة المرافق تعتمد جوهرياً على الانتقال من مجرد قياس الأداء إلى إدارته الفعلية، وأن غياب هذا الانتقال يُعيق تحقيق الكفاءة التشغيلية. كما أكدت أن أدوات القياس المتاحة في أدبيات الإدارة العامة لم تُترجَم بعد بشكل كافٍ إلى ممارسات تطبيقية في إدارة المرافق، وأن هناك حاجة إلى أطر متكاملة توظّف مؤشرات الأداء في تحسين القرار التشغيلي.</w:t>
      </w:r>
    </w:p>
    <w:p w14:paraId="6FBC26A5" w14:textId="77777777" w:rsidR="00225AC7" w:rsidRDefault="0082177C">
      <w:pPr>
        <w:spacing w:after="120" w:line="360" w:lineRule="auto"/>
        <w:jc w:val="both"/>
      </w:pPr>
      <w:r>
        <w:rPr>
          <w:rFonts w:ascii="Simplified Arabic" w:eastAsia="Simplified Arabic" w:hAnsi="Simplified Arabic" w:cs="Simplified Arabic"/>
          <w:sz w:val="28"/>
          <w:szCs w:val="28"/>
          <w:rtl/>
        </w:rPr>
        <w:t>اقتصرت الدراسة على الجانب النظري المفاهيمي دون اختبار ميداني كمي، ولم تتناول قطاع الوجهات الترفيهية تحديداً. وتستفيد الدراسة الحالية من إطارها في تأصيل مفهوم ربط الممارسات بمؤشرات الأداء، مع تجاوز فجوتها عبر اختبار العلاقة ميدانياً وكمياً في سياق مشاريع الواجهة البحرية بجدة.</w:t>
      </w:r>
    </w:p>
    <w:p w14:paraId="6FBC26A6" w14:textId="77777777" w:rsidR="00225AC7" w:rsidRDefault="0082177C">
      <w:pPr>
        <w:spacing w:after="120" w:line="360" w:lineRule="auto"/>
      </w:pPr>
      <w:r>
        <w:rPr>
          <w:rFonts w:ascii="Times New Roman" w:hAnsi="Times New Roman" w:cs="Simplified Arabic"/>
          <w:bCs/>
          <w:sz w:val="32"/>
          <w:szCs w:val="32"/>
          <w:rtl/>
        </w:rPr>
        <w:t xml:space="preserve">الدراسة الثانية: </w:t>
      </w:r>
      <w:r>
        <w:rPr>
          <w:rFonts w:ascii="Times New Roman" w:hAnsi="Times New Roman" w:cs="Simplified Arabic"/>
          <w:bCs/>
          <w:sz w:val="32"/>
          <w:szCs w:val="32"/>
        </w:rPr>
        <w:t>Hassanain et al</w:t>
      </w:r>
      <w:r>
        <w:rPr>
          <w:rFonts w:ascii="Times New Roman" w:hAnsi="Times New Roman" w:cs="Simplified Arabic"/>
          <w:bCs/>
          <w:sz w:val="32"/>
          <w:szCs w:val="32"/>
          <w:rtl/>
        </w:rPr>
        <w:t xml:space="preserve"> (2020) تقييم ما بعد الإشغال لمرافق المختبرات في السعودية</w:t>
      </w:r>
    </w:p>
    <w:p w14:paraId="6FBC26A7" w14:textId="77777777" w:rsidR="00225AC7" w:rsidRDefault="0082177C">
      <w:pPr>
        <w:spacing w:after="120" w:line="360" w:lineRule="auto"/>
        <w:jc w:val="both"/>
      </w:pPr>
      <w:r>
        <w:rPr>
          <w:rFonts w:ascii="Simplified Arabic" w:eastAsia="Simplified Arabic" w:hAnsi="Simplified Arabic" w:cs="Simplified Arabic"/>
          <w:sz w:val="28"/>
          <w:szCs w:val="28"/>
          <w:rtl/>
        </w:rPr>
        <w:t xml:space="preserve">اعتمدت الدراسة، المنشورة في </w:t>
      </w:r>
      <w:r>
        <w:rPr>
          <w:rFonts w:ascii="Times New Roman" w:eastAsia="Simplified Arabic" w:hAnsi="Times New Roman" w:cs="Times New Roman"/>
          <w:sz w:val="28"/>
          <w:szCs w:val="28"/>
          <w:rtl/>
        </w:rPr>
        <w:t>(</w:t>
      </w:r>
      <w:r>
        <w:rPr>
          <w:rFonts w:ascii="Times New Roman" w:eastAsia="Simplified Arabic" w:hAnsi="Times New Roman" w:cs="Times New Roman"/>
          <w:sz w:val="28"/>
          <w:szCs w:val="28"/>
        </w:rPr>
        <w:t>International Journal of Building Pathology and Adaptation</w:t>
      </w:r>
      <w:r>
        <w:rPr>
          <w:rFonts w:ascii="Times New Roman" w:eastAsia="Simplified Arabic" w:hAnsi="Times New Roman" w:cs="Times New Roman"/>
          <w:sz w:val="28"/>
          <w:szCs w:val="28"/>
          <w:rtl/>
        </w:rPr>
        <w:t>)،</w:t>
      </w:r>
      <w:r>
        <w:rPr>
          <w:rFonts w:ascii="Simplified Arabic" w:eastAsia="Simplified Arabic" w:hAnsi="Simplified Arabic" w:cs="Simplified Arabic"/>
          <w:sz w:val="28"/>
          <w:szCs w:val="28"/>
          <w:rtl/>
        </w:rPr>
        <w:t xml:space="preserve"> على منهج تقييم ما بعد الإشغال </w:t>
      </w:r>
      <w:r>
        <w:rPr>
          <w:rFonts w:ascii="Times New Roman" w:eastAsia="Simplified Arabic" w:hAnsi="Times New Roman" w:cs="Times New Roman"/>
          <w:sz w:val="28"/>
          <w:szCs w:val="28"/>
          <w:rtl/>
        </w:rPr>
        <w:t>(</w:t>
      </w:r>
      <w:r>
        <w:rPr>
          <w:rFonts w:ascii="Times New Roman" w:eastAsia="Simplified Arabic" w:hAnsi="Times New Roman" w:cs="Times New Roman"/>
          <w:sz w:val="28"/>
          <w:szCs w:val="28"/>
        </w:rPr>
        <w:t>Post-Occupancy Evaluation</w:t>
      </w:r>
      <w:r>
        <w:rPr>
          <w:rFonts w:ascii="Times New Roman" w:eastAsia="Simplified Arabic" w:hAnsi="Times New Roman" w:cs="Times New Roman"/>
          <w:sz w:val="28"/>
          <w:szCs w:val="28"/>
          <w:rtl/>
        </w:rPr>
        <w:t>)</w:t>
      </w:r>
      <w:r>
        <w:rPr>
          <w:rFonts w:ascii="Simplified Arabic" w:eastAsia="Simplified Arabic" w:hAnsi="Simplified Arabic" w:cs="Simplified Arabic"/>
          <w:sz w:val="28"/>
          <w:szCs w:val="28"/>
          <w:rtl/>
        </w:rPr>
        <w:t xml:space="preserve"> لمرافق المختبرات الأكاديمية والبحثية في المملكة العربية السعودية، باستخدام أدوات مسح ميداني لرضا المستخدمين وتحليل بيانات الأداء التشغيلي للمرافق.</w:t>
      </w:r>
    </w:p>
    <w:p w14:paraId="6FBC26A8" w14:textId="77777777" w:rsidR="00225AC7" w:rsidRDefault="0082177C">
      <w:pPr>
        <w:spacing w:after="120" w:line="360" w:lineRule="auto"/>
        <w:jc w:val="both"/>
      </w:pPr>
      <w:r>
        <w:rPr>
          <w:rFonts w:ascii="Simplified Arabic" w:eastAsia="Simplified Arabic" w:hAnsi="Simplified Arabic" w:cs="Simplified Arabic"/>
          <w:sz w:val="28"/>
          <w:szCs w:val="28"/>
          <w:rtl/>
        </w:rPr>
        <w:t>وتوصلت الدراسة إلى أن جودة أنظمة الصيانة ترتبط ارتباطاً مباشراً بمستوى رضا المستخدمين وكفاءة التشغيل، مما وفّر أساساً قياسياً مرتبطاً بالسياق المحلي السعودي، وأكد أن الاستثمار في جودة الصيانة ينعكس مباشرةً على إدراك المستخدم لجودة المرفق.</w:t>
      </w:r>
    </w:p>
    <w:p w14:paraId="6FBC26A9" w14:textId="77777777" w:rsidR="00225AC7" w:rsidRDefault="0082177C">
      <w:pPr>
        <w:spacing w:after="120" w:line="360" w:lineRule="auto"/>
        <w:jc w:val="both"/>
      </w:pPr>
      <w:r>
        <w:rPr>
          <w:rFonts w:ascii="Simplified Arabic" w:eastAsia="Simplified Arabic" w:hAnsi="Simplified Arabic" w:cs="Simplified Arabic"/>
          <w:sz w:val="28"/>
          <w:szCs w:val="28"/>
          <w:rtl/>
        </w:rPr>
        <w:lastRenderedPageBreak/>
        <w:t>اقتصرت الدراسة على المرافق الأكاديمية والبحثية، وهي بيئة ثابتة تختلف جوهرياً عن الوجهات الترفيهية الساحلية ذات الطابع التشغيلي المتغير ومواسم الذروة. وتبني الدراسة الحالية على أساسها القياسي المحلي، لكنها تنقل التحليل إلى بيئة مشاريع الواجهة البحرية التي لم تتناولها هذه الدراسة.</w:t>
      </w:r>
    </w:p>
    <w:p w14:paraId="6FBC26AA" w14:textId="77777777" w:rsidR="00225AC7" w:rsidRDefault="0082177C">
      <w:pPr>
        <w:spacing w:after="120" w:line="360" w:lineRule="auto"/>
      </w:pPr>
      <w:r>
        <w:rPr>
          <w:rFonts w:ascii="Times New Roman" w:hAnsi="Times New Roman" w:cs="Simplified Arabic"/>
          <w:bCs/>
          <w:sz w:val="32"/>
          <w:szCs w:val="32"/>
          <w:rtl/>
        </w:rPr>
        <w:t xml:space="preserve">الدراسة الثالثة: </w:t>
      </w:r>
      <w:r>
        <w:rPr>
          <w:rFonts w:ascii="Times New Roman" w:hAnsi="Times New Roman" w:cs="Times New Roman"/>
          <w:bCs/>
          <w:sz w:val="32"/>
          <w:szCs w:val="32"/>
        </w:rPr>
        <w:t>Zaki</w:t>
      </w:r>
      <w:r>
        <w:rPr>
          <w:rFonts w:ascii="Times New Roman" w:hAnsi="Times New Roman" w:cs="Times New Roman"/>
          <w:bCs/>
          <w:sz w:val="32"/>
          <w:szCs w:val="32"/>
          <w:rtl/>
        </w:rPr>
        <w:t xml:space="preserve"> (2025)</w:t>
      </w:r>
      <w:r>
        <w:rPr>
          <w:rFonts w:ascii="Times New Roman" w:hAnsi="Times New Roman" w:cs="Simplified Arabic"/>
          <w:bCs/>
          <w:sz w:val="32"/>
          <w:szCs w:val="32"/>
          <w:rtl/>
        </w:rPr>
        <w:t xml:space="preserve"> الاقتصاد الدائري وأداء الفنادق في السعودية ومصر</w:t>
      </w:r>
    </w:p>
    <w:p w14:paraId="6FBC26AB" w14:textId="77777777" w:rsidR="00225AC7" w:rsidRDefault="0082177C">
      <w:pPr>
        <w:spacing w:after="120" w:line="360" w:lineRule="auto"/>
        <w:jc w:val="both"/>
      </w:pPr>
      <w:r>
        <w:rPr>
          <w:rFonts w:ascii="Simplified Arabic" w:eastAsia="Simplified Arabic" w:hAnsi="Simplified Arabic" w:cs="Simplified Arabic"/>
          <w:sz w:val="28"/>
          <w:szCs w:val="28"/>
          <w:rtl/>
        </w:rPr>
        <w:t xml:space="preserve">اعتمدت الدراسة، المنشورة في </w:t>
      </w:r>
      <w:r>
        <w:rPr>
          <w:rFonts w:ascii="Times New Roman" w:eastAsia="Simplified Arabic" w:hAnsi="Times New Roman" w:cs="Times New Roman"/>
          <w:sz w:val="28"/>
          <w:szCs w:val="28"/>
          <w:rtl/>
        </w:rPr>
        <w:t>(</w:t>
      </w:r>
      <w:r>
        <w:rPr>
          <w:rFonts w:ascii="Times New Roman" w:eastAsia="Simplified Arabic" w:hAnsi="Times New Roman" w:cs="Times New Roman"/>
          <w:sz w:val="28"/>
          <w:szCs w:val="28"/>
        </w:rPr>
        <w:t>Journal of Hospitality and Tourism Insights</w:t>
      </w:r>
      <w:r>
        <w:rPr>
          <w:rFonts w:ascii="Times New Roman" w:eastAsia="Simplified Arabic" w:hAnsi="Times New Roman" w:cs="Times New Roman"/>
          <w:sz w:val="28"/>
          <w:szCs w:val="28"/>
          <w:rtl/>
        </w:rPr>
        <w:t>)</w:t>
      </w:r>
      <w:r>
        <w:rPr>
          <w:rFonts w:ascii="Simplified Arabic" w:eastAsia="Simplified Arabic" w:hAnsi="Simplified Arabic" w:cs="Simplified Arabic"/>
          <w:sz w:val="28"/>
          <w:szCs w:val="28"/>
          <w:rtl/>
        </w:rPr>
        <w:t xml:space="preserve">، على المنهج الكمي باستخدام نموذج المعادلات البنائية </w:t>
      </w:r>
      <w:r>
        <w:rPr>
          <w:rFonts w:ascii="Times New Roman" w:eastAsia="Simplified Arabic" w:hAnsi="Times New Roman" w:cs="Times New Roman"/>
          <w:sz w:val="28"/>
          <w:szCs w:val="28"/>
          <w:rtl/>
        </w:rPr>
        <w:t>(</w:t>
      </w:r>
      <w:r>
        <w:rPr>
          <w:rFonts w:ascii="Times New Roman" w:eastAsia="Simplified Arabic" w:hAnsi="Times New Roman" w:cs="Times New Roman"/>
          <w:sz w:val="28"/>
          <w:szCs w:val="28"/>
        </w:rPr>
        <w:t>PLS-SEM</w:t>
      </w:r>
      <w:r>
        <w:rPr>
          <w:rFonts w:ascii="Times New Roman" w:eastAsia="Simplified Arabic" w:hAnsi="Times New Roman" w:cs="Times New Roman"/>
          <w:sz w:val="28"/>
          <w:szCs w:val="28"/>
          <w:rtl/>
        </w:rPr>
        <w:t>)</w:t>
      </w:r>
      <w:r>
        <w:rPr>
          <w:rFonts w:ascii="Simplified Arabic" w:eastAsia="Simplified Arabic" w:hAnsi="Simplified Arabic" w:cs="Simplified Arabic"/>
          <w:sz w:val="28"/>
          <w:szCs w:val="28"/>
          <w:rtl/>
        </w:rPr>
        <w:t>، على عينة من 135 فندقاً أخضر بإجمالي 400 استمارة مكتملة في السياق السعودي والمصري.</w:t>
      </w:r>
    </w:p>
    <w:p w14:paraId="6FBC26AC" w14:textId="77777777" w:rsidR="00225AC7" w:rsidRDefault="0082177C">
      <w:pPr>
        <w:spacing w:after="120" w:line="360" w:lineRule="auto"/>
        <w:jc w:val="both"/>
      </w:pPr>
      <w:r>
        <w:rPr>
          <w:rFonts w:ascii="Simplified Arabic" w:eastAsia="Simplified Arabic" w:hAnsi="Simplified Arabic" w:cs="Simplified Arabic"/>
          <w:sz w:val="28"/>
          <w:szCs w:val="28"/>
          <w:rtl/>
        </w:rPr>
        <w:t xml:space="preserve">وتوصلت وأثبتت الدراسة أن ممارسات الاقتصاد الدائري المدعومة بتقنيات الثورة الصناعية الرابعة </w:t>
      </w:r>
      <w:r>
        <w:rPr>
          <w:rFonts w:ascii="Times New Roman" w:eastAsia="Simplified Arabic" w:hAnsi="Times New Roman" w:cs="Times New Roman"/>
          <w:sz w:val="28"/>
          <w:szCs w:val="28"/>
          <w:rtl/>
        </w:rPr>
        <w:t>(</w:t>
      </w:r>
      <w:r>
        <w:rPr>
          <w:rFonts w:ascii="Times New Roman" w:eastAsia="Simplified Arabic" w:hAnsi="Times New Roman" w:cs="Times New Roman"/>
          <w:sz w:val="28"/>
          <w:szCs w:val="28"/>
        </w:rPr>
        <w:t>Industry 4.0</w:t>
      </w:r>
      <w:r>
        <w:rPr>
          <w:rFonts w:ascii="Times New Roman" w:eastAsia="Simplified Arabic" w:hAnsi="Times New Roman" w:cs="Times New Roman"/>
          <w:sz w:val="28"/>
          <w:szCs w:val="28"/>
          <w:rtl/>
        </w:rPr>
        <w:t>)</w:t>
      </w:r>
      <w:r>
        <w:rPr>
          <w:rFonts w:ascii="Simplified Arabic" w:eastAsia="Simplified Arabic" w:hAnsi="Simplified Arabic" w:cs="Simplified Arabic"/>
          <w:sz w:val="28"/>
          <w:szCs w:val="28"/>
          <w:rtl/>
        </w:rPr>
        <w:t xml:space="preserve"> ترتبط ارتباطاً موجباً ذا دلالة إحصائية بأداء الفنادق، وأن إدارة الأصول المستدامة تُشكّل محوراً استراتيجياً لا يمكن تجاهله في رفع الأداء التشغيلي والمالي.</w:t>
      </w:r>
    </w:p>
    <w:p w14:paraId="6FBC26AD" w14:textId="77777777" w:rsidR="00225AC7" w:rsidRDefault="0082177C">
      <w:pPr>
        <w:spacing w:after="120" w:line="360" w:lineRule="auto"/>
        <w:jc w:val="both"/>
      </w:pPr>
      <w:r>
        <w:rPr>
          <w:rFonts w:ascii="Simplified Arabic" w:eastAsia="Simplified Arabic" w:hAnsi="Simplified Arabic" w:cs="Simplified Arabic"/>
          <w:sz w:val="28"/>
          <w:szCs w:val="28"/>
          <w:rtl/>
        </w:rPr>
        <w:t>اقتصرت الدراسة على قطاع الفنادق دون الوجهات الترفيهية الساحلية، رغم قربها الجغرافي من سياق الدراسة الحالية. وتستفيد الدراسة الحالية من منهجها الكمي ومن دليلها على العلاقة بين الاستدامة والأداء، وتسد فجوتها بتوسيع نطاق التطبيق إلى مشاريع الواجهة البحرية الترفيهية.</w:t>
      </w:r>
    </w:p>
    <w:p w14:paraId="6FBC26AE" w14:textId="77777777" w:rsidR="00225AC7" w:rsidRDefault="0082177C">
      <w:pPr>
        <w:spacing w:after="120" w:line="360" w:lineRule="auto"/>
      </w:pPr>
      <w:r>
        <w:rPr>
          <w:rFonts w:ascii="Times New Roman" w:hAnsi="Times New Roman" w:cs="Simplified Arabic"/>
          <w:bCs/>
          <w:sz w:val="32"/>
          <w:szCs w:val="32"/>
          <w:rtl/>
        </w:rPr>
        <w:t xml:space="preserve">الدراسة الرابعة: </w:t>
      </w:r>
      <w:r>
        <w:rPr>
          <w:rFonts w:ascii="Times New Roman" w:hAnsi="Times New Roman" w:cs="Simplified Arabic"/>
          <w:bCs/>
          <w:sz w:val="32"/>
          <w:szCs w:val="32"/>
        </w:rPr>
        <w:t>Bouabdallaoui et al</w:t>
      </w:r>
      <w:r>
        <w:rPr>
          <w:rFonts w:ascii="Times New Roman" w:hAnsi="Times New Roman" w:cs="Simplified Arabic"/>
          <w:bCs/>
          <w:sz w:val="32"/>
          <w:szCs w:val="32"/>
          <w:rtl/>
        </w:rPr>
        <w:t xml:space="preserve"> (2021) الصيانة الوقائية والتنبؤية</w:t>
      </w:r>
    </w:p>
    <w:p w14:paraId="6FBC26AF" w14:textId="77777777" w:rsidR="00225AC7" w:rsidRDefault="0082177C">
      <w:pPr>
        <w:spacing w:after="120" w:line="360" w:lineRule="auto"/>
        <w:jc w:val="both"/>
      </w:pPr>
      <w:r>
        <w:rPr>
          <w:rFonts w:ascii="Simplified Arabic" w:eastAsia="Simplified Arabic" w:hAnsi="Simplified Arabic" w:cs="Simplified Arabic"/>
          <w:sz w:val="28"/>
          <w:szCs w:val="28"/>
          <w:rtl/>
        </w:rPr>
        <w:t xml:space="preserve">اعتمدت دراسة </w:t>
      </w:r>
      <w:r>
        <w:rPr>
          <w:rFonts w:ascii="Times New Roman" w:eastAsia="Simplified Arabic" w:hAnsi="Times New Roman" w:cs="Times New Roman"/>
          <w:sz w:val="28"/>
          <w:szCs w:val="28"/>
        </w:rPr>
        <w:t>Bouabdallaoui</w:t>
      </w:r>
      <w:r>
        <w:rPr>
          <w:rFonts w:ascii="Simplified Arabic" w:eastAsia="Simplified Arabic" w:hAnsi="Simplified Arabic" w:cs="Simplified Arabic"/>
          <w:sz w:val="28"/>
          <w:szCs w:val="28"/>
          <w:rtl/>
        </w:rPr>
        <w:t xml:space="preserve"> وزملائه، المنشورة في مجلة </w:t>
      </w:r>
      <w:r>
        <w:rPr>
          <w:rFonts w:ascii="Times New Roman" w:eastAsia="Simplified Arabic" w:hAnsi="Times New Roman" w:cs="Times New Roman"/>
          <w:sz w:val="28"/>
          <w:szCs w:val="28"/>
          <w:rtl/>
        </w:rPr>
        <w:t>(</w:t>
      </w:r>
      <w:r>
        <w:rPr>
          <w:rFonts w:ascii="Times New Roman" w:eastAsia="Simplified Arabic" w:hAnsi="Times New Roman" w:cs="Times New Roman"/>
          <w:sz w:val="28"/>
          <w:szCs w:val="28"/>
        </w:rPr>
        <w:t>Sensors</w:t>
      </w:r>
      <w:r>
        <w:rPr>
          <w:rFonts w:ascii="Times New Roman" w:eastAsia="Simplified Arabic" w:hAnsi="Times New Roman" w:cs="Times New Roman"/>
          <w:sz w:val="28"/>
          <w:szCs w:val="28"/>
          <w:rtl/>
        </w:rPr>
        <w:t>)</w:t>
      </w:r>
      <w:r>
        <w:rPr>
          <w:rFonts w:ascii="Simplified Arabic" w:eastAsia="Simplified Arabic" w:hAnsi="Simplified Arabic" w:cs="Simplified Arabic"/>
          <w:sz w:val="28"/>
          <w:szCs w:val="28"/>
          <w:rtl/>
        </w:rPr>
        <w:t>، على منهج تجريبي قائم على تعلّم الآلة وبيانات المستشعرات لتطبيق الصيانة الوقائية في المباني. ويستند المراجع المهنية المتخصصة في إدارة المرافق إلى توثيق الممارسات التطبيقية الفضلى في إدارة المرافق المستدامة.</w:t>
      </w:r>
    </w:p>
    <w:p w14:paraId="6FBC26B0" w14:textId="77777777" w:rsidR="00225AC7" w:rsidRDefault="0082177C">
      <w:pPr>
        <w:spacing w:after="120" w:line="360" w:lineRule="auto"/>
        <w:jc w:val="both"/>
      </w:pPr>
      <w:r>
        <w:rPr>
          <w:rFonts w:ascii="Simplified Arabic" w:eastAsia="Simplified Arabic" w:hAnsi="Simplified Arabic" w:cs="Simplified Arabic"/>
          <w:sz w:val="28"/>
          <w:szCs w:val="28"/>
          <w:rtl/>
        </w:rPr>
        <w:lastRenderedPageBreak/>
        <w:t xml:space="preserve">اعتمدت وأكدت دراسة </w:t>
      </w:r>
      <w:r>
        <w:rPr>
          <w:rFonts w:ascii="Times New Roman" w:eastAsia="Simplified Arabic" w:hAnsi="Times New Roman" w:cs="Times New Roman"/>
          <w:sz w:val="28"/>
          <w:szCs w:val="28"/>
        </w:rPr>
        <w:t>Bouabdallaoui</w:t>
      </w:r>
      <w:r>
        <w:rPr>
          <w:rFonts w:ascii="Simplified Arabic" w:eastAsia="Simplified Arabic" w:hAnsi="Simplified Arabic" w:cs="Simplified Arabic"/>
          <w:sz w:val="28"/>
          <w:szCs w:val="28"/>
          <w:rtl/>
        </w:rPr>
        <w:t xml:space="preserve"> أن أنظمة الصيانة الوقائية تُقلّل الأعطال غير المخطّطة وترفع كفاءة التشغيل مقارنةً بالصيانة التصحيحية التقليدية. وأثبت المراجع المهنية المتخصصة أن المنظمات التي تعتمد خطط صيانة وقائية موثّقة تُحقق انخفاضاً ملموساً في تكاليف الصيانة الطارئة وتحسناً في الاستمرارية التشغيلية.</w:t>
      </w:r>
    </w:p>
    <w:p w14:paraId="6FBC26B1" w14:textId="77777777" w:rsidR="00225AC7" w:rsidRDefault="0082177C">
      <w:pPr>
        <w:spacing w:after="120" w:line="360" w:lineRule="auto"/>
        <w:jc w:val="both"/>
      </w:pPr>
      <w:r>
        <w:rPr>
          <w:rFonts w:ascii="Simplified Arabic" w:eastAsia="Simplified Arabic" w:hAnsi="Simplified Arabic" w:cs="Simplified Arabic"/>
          <w:sz w:val="28"/>
          <w:szCs w:val="28"/>
          <w:rtl/>
        </w:rPr>
        <w:t>وركّز المصدران على البعد التقني للصيانة في المباني عموماً، دون ربطه بمؤشرات كفاءة التشغيل في الوجهات الترفيهية التي تستقبل الالاف الزوار. واقتصرت الدراسة الحالية هذه النتائج في تأطير بُعد الصيانة الوقائية، وتسد الفجوة بقياس أثره ميدانياً في بيئة مشاريع الواجهة البحرية بجدة.</w:t>
      </w:r>
    </w:p>
    <w:p w14:paraId="6FBC26B2" w14:textId="77777777" w:rsidR="00225AC7" w:rsidRDefault="0082177C">
      <w:pPr>
        <w:spacing w:after="120" w:line="360" w:lineRule="auto"/>
      </w:pPr>
      <w:r>
        <w:rPr>
          <w:rFonts w:ascii="Times New Roman" w:hAnsi="Times New Roman" w:cs="Simplified Arabic"/>
          <w:bCs/>
          <w:sz w:val="32"/>
          <w:szCs w:val="32"/>
          <w:rtl/>
        </w:rPr>
        <w:t xml:space="preserve">الدراسة الخامسة: </w:t>
      </w:r>
      <w:r>
        <w:rPr>
          <w:rFonts w:ascii="Times New Roman" w:hAnsi="Times New Roman" w:cs="Times New Roman"/>
          <w:bCs/>
          <w:sz w:val="32"/>
          <w:szCs w:val="32"/>
        </w:rPr>
        <w:t>Okoro</w:t>
      </w:r>
      <w:r>
        <w:rPr>
          <w:rFonts w:ascii="Times New Roman" w:hAnsi="Times New Roman" w:cs="Times New Roman"/>
          <w:bCs/>
          <w:sz w:val="32"/>
          <w:szCs w:val="32"/>
          <w:rtl/>
        </w:rPr>
        <w:t xml:space="preserve"> (2023)</w:t>
      </w:r>
      <w:r>
        <w:rPr>
          <w:rFonts w:ascii="Times New Roman" w:hAnsi="Times New Roman" w:cs="Simplified Arabic"/>
          <w:bCs/>
          <w:sz w:val="32"/>
          <w:szCs w:val="32"/>
          <w:rtl/>
        </w:rPr>
        <w:t xml:space="preserve"> المراجعة المنهجية لاتجاهات إدارة المرافق المستدامة</w:t>
      </w:r>
    </w:p>
    <w:p w14:paraId="6FBC26B3" w14:textId="77777777" w:rsidR="00225AC7" w:rsidRDefault="0082177C">
      <w:pPr>
        <w:spacing w:after="120" w:line="360" w:lineRule="auto"/>
        <w:jc w:val="both"/>
      </w:pPr>
      <w:r>
        <w:rPr>
          <w:rFonts w:ascii="Simplified Arabic" w:eastAsia="Simplified Arabic" w:hAnsi="Simplified Arabic" w:cs="Simplified Arabic"/>
          <w:sz w:val="28"/>
          <w:szCs w:val="28"/>
          <w:rtl/>
        </w:rPr>
        <w:t xml:space="preserve">اعتمدت الدراسة، المنشورة في مجلة </w:t>
      </w:r>
      <w:r>
        <w:rPr>
          <w:rFonts w:ascii="Times New Roman" w:eastAsia="Simplified Arabic" w:hAnsi="Times New Roman" w:cs="Times New Roman"/>
          <w:sz w:val="28"/>
          <w:szCs w:val="28"/>
          <w:rtl/>
        </w:rPr>
        <w:t>(</w:t>
      </w:r>
      <w:r>
        <w:rPr>
          <w:rFonts w:ascii="Times New Roman" w:eastAsia="Simplified Arabic" w:hAnsi="Times New Roman" w:cs="Times New Roman"/>
          <w:sz w:val="28"/>
          <w:szCs w:val="28"/>
        </w:rPr>
        <w:t>Sustainability</w:t>
      </w:r>
      <w:r>
        <w:rPr>
          <w:rFonts w:ascii="Times New Roman" w:eastAsia="Simplified Arabic" w:hAnsi="Times New Roman" w:cs="Times New Roman"/>
          <w:sz w:val="28"/>
          <w:szCs w:val="28"/>
          <w:rtl/>
        </w:rPr>
        <w:t>)</w:t>
      </w:r>
      <w:r>
        <w:rPr>
          <w:rFonts w:ascii="Simplified Arabic" w:eastAsia="Simplified Arabic" w:hAnsi="Simplified Arabic" w:cs="Simplified Arabic"/>
          <w:sz w:val="28"/>
          <w:szCs w:val="28"/>
          <w:rtl/>
        </w:rPr>
        <w:t xml:space="preserve"> الصادرة عن دار </w:t>
      </w:r>
      <w:r>
        <w:rPr>
          <w:rFonts w:ascii="Times New Roman" w:eastAsia="Simplified Arabic" w:hAnsi="Times New Roman" w:cs="Times New Roman"/>
          <w:sz w:val="28"/>
          <w:szCs w:val="28"/>
        </w:rPr>
        <w:t>MDPI</w:t>
      </w:r>
      <w:r>
        <w:rPr>
          <w:rFonts w:ascii="Simplified Arabic" w:eastAsia="Simplified Arabic" w:hAnsi="Simplified Arabic" w:cs="Simplified Arabic"/>
          <w:sz w:val="28"/>
          <w:szCs w:val="28"/>
          <w:rtl/>
        </w:rPr>
        <w:t xml:space="preserve">، على منهج المراجعة مختلطة الأسلوب </w:t>
      </w:r>
      <w:r>
        <w:rPr>
          <w:rFonts w:ascii="Times New Roman" w:eastAsia="Simplified Arabic" w:hAnsi="Times New Roman" w:cs="Times New Roman"/>
          <w:sz w:val="28"/>
          <w:szCs w:val="28"/>
          <w:rtl/>
        </w:rPr>
        <w:t>(</w:t>
      </w:r>
      <w:r>
        <w:rPr>
          <w:rFonts w:ascii="Times New Roman" w:eastAsia="Simplified Arabic" w:hAnsi="Times New Roman" w:cs="Times New Roman"/>
          <w:sz w:val="28"/>
          <w:szCs w:val="28"/>
        </w:rPr>
        <w:t>Mixed-Method Review</w:t>
      </w:r>
      <w:r>
        <w:rPr>
          <w:rFonts w:ascii="Times New Roman" w:eastAsia="Simplified Arabic" w:hAnsi="Times New Roman" w:cs="Times New Roman"/>
          <w:sz w:val="28"/>
          <w:szCs w:val="28"/>
          <w:rtl/>
        </w:rPr>
        <w:t>)</w:t>
      </w:r>
      <w:r>
        <w:rPr>
          <w:rFonts w:ascii="Simplified Arabic" w:eastAsia="Simplified Arabic" w:hAnsi="Simplified Arabic" w:cs="Simplified Arabic"/>
          <w:sz w:val="28"/>
          <w:szCs w:val="28"/>
          <w:rtl/>
        </w:rPr>
        <w:t xml:space="preserve"> الذي يجمع بين التحليل العلمي الكمّي للإنتاج البحثي </w:t>
      </w:r>
      <w:r>
        <w:rPr>
          <w:rFonts w:ascii="Times New Roman" w:eastAsia="Simplified Arabic" w:hAnsi="Times New Roman" w:cs="Times New Roman"/>
          <w:sz w:val="28"/>
          <w:szCs w:val="28"/>
          <w:rtl/>
        </w:rPr>
        <w:t>(</w:t>
      </w:r>
      <w:proofErr w:type="spellStart"/>
      <w:r>
        <w:rPr>
          <w:rFonts w:ascii="Times New Roman" w:eastAsia="Simplified Arabic" w:hAnsi="Times New Roman" w:cs="Times New Roman"/>
          <w:sz w:val="28"/>
          <w:szCs w:val="28"/>
        </w:rPr>
        <w:t>Scientometrics</w:t>
      </w:r>
      <w:proofErr w:type="spellEnd"/>
      <w:r>
        <w:rPr>
          <w:rFonts w:ascii="Times New Roman" w:eastAsia="Simplified Arabic" w:hAnsi="Times New Roman" w:cs="Times New Roman"/>
          <w:sz w:val="28"/>
          <w:szCs w:val="28"/>
          <w:rtl/>
        </w:rPr>
        <w:t>)</w:t>
      </w:r>
      <w:r>
        <w:rPr>
          <w:rFonts w:ascii="Simplified Arabic" w:eastAsia="Simplified Arabic" w:hAnsi="Simplified Arabic" w:cs="Simplified Arabic"/>
          <w:sz w:val="28"/>
          <w:szCs w:val="28"/>
          <w:rtl/>
        </w:rPr>
        <w:t xml:space="preserve"> وتحليل المحتوى، مستندةً إلى أدبيات إدارة المرافق المستدامة المنشورة في قاعدة </w:t>
      </w:r>
      <w:r>
        <w:rPr>
          <w:rFonts w:ascii="Times New Roman" w:eastAsia="Simplified Arabic" w:hAnsi="Times New Roman" w:cs="Times New Roman"/>
          <w:sz w:val="28"/>
          <w:szCs w:val="28"/>
        </w:rPr>
        <w:t>Scopus</w:t>
      </w:r>
      <w:r>
        <w:rPr>
          <w:rFonts w:ascii="Simplified Arabic" w:eastAsia="Simplified Arabic" w:hAnsi="Simplified Arabic" w:cs="Simplified Arabic"/>
          <w:sz w:val="28"/>
          <w:szCs w:val="28"/>
          <w:rtl/>
        </w:rPr>
        <w:t xml:space="preserve"> خلال الفترة من 2012 إلى 2022.</w:t>
      </w:r>
    </w:p>
    <w:p w14:paraId="6FBC26B4" w14:textId="77777777" w:rsidR="00225AC7" w:rsidRDefault="0082177C">
      <w:pPr>
        <w:spacing w:after="120" w:line="360" w:lineRule="auto"/>
        <w:jc w:val="both"/>
      </w:pPr>
      <w:r>
        <w:rPr>
          <w:rFonts w:ascii="Simplified Arabic" w:eastAsia="Simplified Arabic" w:hAnsi="Simplified Arabic" w:cs="Simplified Arabic"/>
          <w:sz w:val="28"/>
          <w:szCs w:val="28"/>
          <w:rtl/>
        </w:rPr>
        <w:t xml:space="preserve">لخلصت الدراسة إلى أن البحث في إدارة المرافق المستدامة ما يزال حقلاً ناشئاً يفتقر إلى إجماع راسخ حول مبادئ الاستدامة، وحدّدت أبرز الموضوعات الصاعدة وهي: تقنيات المباني الخضراء، وطرق تقييم الاستدامة، والمباني الذكية، ونمذجة معلومات البناء </w:t>
      </w:r>
      <w:r>
        <w:rPr>
          <w:rFonts w:ascii="Times New Roman" w:eastAsia="Simplified Arabic" w:hAnsi="Times New Roman" w:cs="Times New Roman"/>
          <w:sz w:val="28"/>
          <w:szCs w:val="28"/>
          <w:rtl/>
        </w:rPr>
        <w:t>(</w:t>
      </w:r>
      <w:r>
        <w:rPr>
          <w:rFonts w:ascii="Times New Roman" w:eastAsia="Simplified Arabic" w:hAnsi="Times New Roman" w:cs="Times New Roman"/>
          <w:sz w:val="28"/>
          <w:szCs w:val="28"/>
        </w:rPr>
        <w:t>BIM</w:t>
      </w:r>
      <w:r>
        <w:rPr>
          <w:rFonts w:ascii="Times New Roman" w:eastAsia="Simplified Arabic" w:hAnsi="Times New Roman" w:cs="Times New Roman"/>
          <w:sz w:val="28"/>
          <w:szCs w:val="28"/>
          <w:rtl/>
        </w:rPr>
        <w:t>)</w:t>
      </w:r>
      <w:r>
        <w:rPr>
          <w:rFonts w:ascii="Simplified Arabic" w:eastAsia="Simplified Arabic" w:hAnsi="Simplified Arabic" w:cs="Simplified Arabic"/>
          <w:sz w:val="28"/>
          <w:szCs w:val="28"/>
          <w:rtl/>
        </w:rPr>
        <w:t>، مع رصد وفرة الدراسات النظرية والمفاهيمية مقابل ندرة الدراسات التطبيقية الميدانية.</w:t>
      </w:r>
    </w:p>
    <w:p w14:paraId="6FBC26B5" w14:textId="77777777" w:rsidR="00225AC7" w:rsidRDefault="0082177C">
      <w:pPr>
        <w:spacing w:after="120" w:line="360" w:lineRule="auto"/>
        <w:jc w:val="both"/>
      </w:pPr>
      <w:r>
        <w:rPr>
          <w:rFonts w:ascii="Simplified Arabic" w:eastAsia="Simplified Arabic" w:hAnsi="Simplified Arabic" w:cs="Simplified Arabic"/>
          <w:sz w:val="28"/>
          <w:szCs w:val="28"/>
          <w:rtl/>
        </w:rPr>
        <w:lastRenderedPageBreak/>
        <w:t>اقتصرت الدراسة رغم شمول المراجعة وحيادها الجغرافي، فإنها بقيت على المستوى الببليومتري المفاهيمي ولم تنزل إلى قطاع تطبيقي محدد ولا إلى السياق السعودي. وتستفيد الدراسة الحالية من خريطتها للموضوعات والفجوات في تموضع مشكلتها البحثية، وتتجاوز طابعها النظري بدراسة كمية ميدانية مخصّصة لمشاريع الواجهة البحرية بجدة.</w:t>
      </w:r>
    </w:p>
    <w:p w14:paraId="6FBC26B6" w14:textId="77777777" w:rsidR="00225AC7" w:rsidRDefault="0082177C">
      <w:pPr>
        <w:spacing w:after="120" w:line="360" w:lineRule="auto"/>
      </w:pPr>
      <w:r>
        <w:rPr>
          <w:rFonts w:ascii="Times New Roman" w:hAnsi="Times New Roman" w:cs="Simplified Arabic"/>
          <w:bCs/>
          <w:sz w:val="32"/>
          <w:szCs w:val="32"/>
          <w:rtl/>
        </w:rPr>
        <w:t xml:space="preserve">الدراسة السادسة: </w:t>
      </w:r>
      <w:proofErr w:type="spellStart"/>
      <w:r>
        <w:rPr>
          <w:rFonts w:ascii="Times New Roman" w:hAnsi="Times New Roman" w:cs="Times New Roman"/>
          <w:bCs/>
          <w:sz w:val="32"/>
          <w:szCs w:val="32"/>
        </w:rPr>
        <w:t>Hauashdh</w:t>
      </w:r>
      <w:proofErr w:type="spellEnd"/>
      <w:r>
        <w:rPr>
          <w:rFonts w:ascii="Times New Roman" w:hAnsi="Times New Roman" w:cs="Times New Roman"/>
          <w:bCs/>
          <w:sz w:val="32"/>
          <w:szCs w:val="32"/>
        </w:rPr>
        <w:t xml:space="preserve"> et al</w:t>
      </w:r>
      <w:r>
        <w:rPr>
          <w:rFonts w:ascii="Times New Roman" w:hAnsi="Times New Roman" w:cs="Times New Roman"/>
          <w:bCs/>
          <w:sz w:val="32"/>
          <w:szCs w:val="32"/>
          <w:rtl/>
        </w:rPr>
        <w:t xml:space="preserve"> (2024)</w:t>
      </w:r>
      <w:r>
        <w:rPr>
          <w:rFonts w:ascii="Times New Roman" w:hAnsi="Times New Roman" w:cs="Simplified Arabic"/>
          <w:bCs/>
          <w:sz w:val="32"/>
          <w:szCs w:val="32"/>
          <w:rtl/>
        </w:rPr>
        <w:t xml:space="preserve"> إطار متكامل للصيانة المستدامة وأهداف التنمية المستدامة</w:t>
      </w:r>
    </w:p>
    <w:p w14:paraId="6FBC26B7" w14:textId="77777777" w:rsidR="00225AC7" w:rsidRDefault="0082177C">
      <w:pPr>
        <w:spacing w:after="120" w:line="360" w:lineRule="auto"/>
        <w:jc w:val="both"/>
      </w:pPr>
      <w:r>
        <w:rPr>
          <w:rFonts w:ascii="Simplified Arabic" w:eastAsia="Simplified Arabic" w:hAnsi="Simplified Arabic" w:cs="Simplified Arabic"/>
          <w:sz w:val="28"/>
          <w:szCs w:val="28"/>
          <w:rtl/>
        </w:rPr>
        <w:t xml:space="preserve">اعتمدت الدراسة، المنشورة في مجلة </w:t>
      </w:r>
      <w:r>
        <w:rPr>
          <w:rFonts w:ascii="Times New Roman" w:eastAsia="Simplified Arabic" w:hAnsi="Times New Roman" w:cs="Times New Roman"/>
          <w:sz w:val="28"/>
          <w:szCs w:val="28"/>
          <w:rtl/>
        </w:rPr>
        <w:t>(</w:t>
      </w:r>
      <w:r>
        <w:rPr>
          <w:rFonts w:ascii="Times New Roman" w:eastAsia="Simplified Arabic" w:hAnsi="Times New Roman" w:cs="Times New Roman"/>
          <w:sz w:val="28"/>
          <w:szCs w:val="28"/>
        </w:rPr>
        <w:t>Results in Engineering</w:t>
      </w:r>
      <w:r>
        <w:rPr>
          <w:rFonts w:ascii="Times New Roman" w:eastAsia="Simplified Arabic" w:hAnsi="Times New Roman" w:cs="Times New Roman"/>
          <w:sz w:val="28"/>
          <w:szCs w:val="28"/>
          <w:rtl/>
        </w:rPr>
        <w:t>)</w:t>
      </w:r>
      <w:r>
        <w:rPr>
          <w:rFonts w:ascii="Simplified Arabic" w:eastAsia="Simplified Arabic" w:hAnsi="Simplified Arabic" w:cs="Simplified Arabic"/>
          <w:sz w:val="28"/>
          <w:szCs w:val="28"/>
          <w:rtl/>
        </w:rPr>
        <w:t xml:space="preserve"> الصادرة عن دار </w:t>
      </w:r>
      <w:r>
        <w:rPr>
          <w:rFonts w:ascii="Times New Roman" w:eastAsia="Simplified Arabic" w:hAnsi="Times New Roman" w:cs="Times New Roman"/>
          <w:sz w:val="28"/>
          <w:szCs w:val="28"/>
        </w:rPr>
        <w:t>Elsevier</w:t>
      </w:r>
      <w:r>
        <w:rPr>
          <w:rFonts w:ascii="Simplified Arabic" w:eastAsia="Simplified Arabic" w:hAnsi="Simplified Arabic" w:cs="Simplified Arabic"/>
          <w:sz w:val="28"/>
          <w:szCs w:val="28"/>
          <w:rtl/>
        </w:rPr>
        <w:t xml:space="preserve">، على منهج مختلط متسلسل </w:t>
      </w:r>
      <w:r>
        <w:rPr>
          <w:rFonts w:ascii="Times New Roman" w:eastAsia="Simplified Arabic" w:hAnsi="Times New Roman" w:cs="Times New Roman"/>
          <w:sz w:val="28"/>
          <w:szCs w:val="28"/>
          <w:rtl/>
        </w:rPr>
        <w:t>(</w:t>
      </w:r>
      <w:r>
        <w:rPr>
          <w:rFonts w:ascii="Times New Roman" w:eastAsia="Simplified Arabic" w:hAnsi="Times New Roman" w:cs="Times New Roman"/>
          <w:sz w:val="28"/>
          <w:szCs w:val="28"/>
        </w:rPr>
        <w:t>Sequential Mixed-Method</w:t>
      </w:r>
      <w:r>
        <w:rPr>
          <w:rFonts w:ascii="Times New Roman" w:eastAsia="Simplified Arabic" w:hAnsi="Times New Roman" w:cs="Times New Roman"/>
          <w:sz w:val="28"/>
          <w:szCs w:val="28"/>
          <w:rtl/>
        </w:rPr>
        <w:t>)</w:t>
      </w:r>
      <w:r>
        <w:rPr>
          <w:rFonts w:ascii="Simplified Arabic" w:eastAsia="Simplified Arabic" w:hAnsi="Simplified Arabic" w:cs="Simplified Arabic"/>
          <w:sz w:val="28"/>
          <w:szCs w:val="28"/>
          <w:rtl/>
        </w:rPr>
        <w:t xml:space="preserve"> دمج بين تحديد العوامل المؤثرة في نجاح عمليات صيانة المباني كمياً ثم بناء المقاربات المستدامة كيفياً، للخروج بإطار متكامل لعمليات الصيانة.</w:t>
      </w:r>
    </w:p>
    <w:p w14:paraId="6FBC26B8" w14:textId="77777777" w:rsidR="00225AC7" w:rsidRDefault="0082177C">
      <w:pPr>
        <w:spacing w:after="120" w:line="360" w:lineRule="auto"/>
        <w:jc w:val="both"/>
      </w:pPr>
      <w:r>
        <w:rPr>
          <w:rFonts w:ascii="Simplified Arabic" w:eastAsia="Simplified Arabic" w:hAnsi="Simplified Arabic" w:cs="Simplified Arabic"/>
          <w:sz w:val="28"/>
          <w:szCs w:val="28"/>
          <w:rtl/>
        </w:rPr>
        <w:t xml:space="preserve">اعتمدت وقدّمت الدراسة إطاراً متكاملاً يربط عمليات صيانة المباني بأهداف التنمية المستدامة </w:t>
      </w:r>
      <w:r>
        <w:rPr>
          <w:rFonts w:ascii="Times New Roman" w:eastAsia="Simplified Arabic" w:hAnsi="Times New Roman" w:cs="Times New Roman"/>
          <w:sz w:val="28"/>
          <w:szCs w:val="28"/>
          <w:rtl/>
        </w:rPr>
        <w:t>(</w:t>
      </w:r>
      <w:r>
        <w:rPr>
          <w:rFonts w:ascii="Times New Roman" w:eastAsia="Simplified Arabic" w:hAnsi="Times New Roman" w:cs="Times New Roman"/>
          <w:sz w:val="28"/>
          <w:szCs w:val="28"/>
        </w:rPr>
        <w:t>SDGs</w:t>
      </w:r>
      <w:r>
        <w:rPr>
          <w:rFonts w:ascii="Times New Roman" w:eastAsia="Simplified Arabic" w:hAnsi="Times New Roman" w:cs="Times New Roman"/>
          <w:sz w:val="28"/>
          <w:szCs w:val="28"/>
          <w:rtl/>
        </w:rPr>
        <w:t>)</w:t>
      </w:r>
      <w:r>
        <w:rPr>
          <w:rFonts w:ascii="Simplified Arabic" w:eastAsia="Simplified Arabic" w:hAnsi="Simplified Arabic" w:cs="Simplified Arabic"/>
          <w:sz w:val="28"/>
          <w:szCs w:val="28"/>
          <w:rtl/>
        </w:rPr>
        <w:t xml:space="preserve"> والتكيّف مع تغيّر المناخ والتقنيات الناشئة (مثل أتمتة معلومات البناء والتوأم الرقمي وإنترنت الأشياء)، وأكدت أن تحسين التشغيل والصيانة يُسهم بشكل ملموس في خفض انبعاثات الكربون واستهلاك الطاقة مع رفع كفاءة الأصول وإطالة عمرها الافتراضي.</w:t>
      </w:r>
    </w:p>
    <w:p w14:paraId="6FBC26B9" w14:textId="77777777" w:rsidR="00225AC7" w:rsidRDefault="0082177C">
      <w:pPr>
        <w:spacing w:after="120" w:line="360" w:lineRule="auto"/>
        <w:jc w:val="both"/>
      </w:pPr>
      <w:r>
        <w:rPr>
          <w:rFonts w:ascii="Simplified Arabic" w:eastAsia="Simplified Arabic" w:hAnsi="Simplified Arabic" w:cs="Simplified Arabic"/>
          <w:sz w:val="28"/>
          <w:szCs w:val="28"/>
          <w:rtl/>
        </w:rPr>
        <w:t>ركزت الدراسة على البعد البيئي والتقني للصيانة المستدامة في المباني عموماً، دون ربطها بمؤشرات كفاءة التشغيل ورضا الزوار في الوجهات الترفيهية الساحلية. واقتصرت الدراسة الحالية في تأصيل العلاقة بين الصيانة المستدامة وكفاءة التشغيل، وتسد فجوتها بقياس هذا الأثر ميدانياً في بيئة مشاريع الواجهة البحرية بجدة.</w:t>
      </w:r>
    </w:p>
    <w:p w14:paraId="6FBC26BA" w14:textId="77777777" w:rsidR="00225AC7" w:rsidRDefault="0082177C">
      <w:pPr>
        <w:spacing w:after="120" w:line="360" w:lineRule="auto"/>
      </w:pPr>
      <w:r>
        <w:rPr>
          <w:rFonts w:ascii="Times New Roman" w:hAnsi="Times New Roman" w:cs="Simplified Arabic"/>
          <w:bCs/>
          <w:sz w:val="32"/>
          <w:szCs w:val="32"/>
          <w:rtl/>
        </w:rPr>
        <w:lastRenderedPageBreak/>
        <w:t xml:space="preserve">الدراسة السابعة: </w:t>
      </w:r>
      <w:proofErr w:type="spellStart"/>
      <w:r>
        <w:rPr>
          <w:rFonts w:ascii="Times New Roman" w:hAnsi="Times New Roman" w:cs="Times New Roman"/>
          <w:bCs/>
          <w:sz w:val="32"/>
          <w:szCs w:val="32"/>
        </w:rPr>
        <w:t>Pedral</w:t>
      </w:r>
      <w:proofErr w:type="spellEnd"/>
      <w:r>
        <w:rPr>
          <w:rFonts w:ascii="Times New Roman" w:hAnsi="Times New Roman" w:cs="Times New Roman"/>
          <w:bCs/>
          <w:sz w:val="32"/>
          <w:szCs w:val="32"/>
        </w:rPr>
        <w:t xml:space="preserve"> Sampaio et al</w:t>
      </w:r>
      <w:r>
        <w:rPr>
          <w:rFonts w:ascii="Times New Roman" w:hAnsi="Times New Roman" w:cs="Times New Roman"/>
          <w:bCs/>
          <w:sz w:val="32"/>
          <w:szCs w:val="32"/>
          <w:rtl/>
        </w:rPr>
        <w:t xml:space="preserve"> (2022) </w:t>
      </w:r>
      <w:r>
        <w:rPr>
          <w:rFonts w:ascii="Times New Roman" w:hAnsi="Times New Roman" w:cs="Simplified Arabic"/>
          <w:bCs/>
          <w:sz w:val="32"/>
          <w:szCs w:val="32"/>
          <w:rtl/>
        </w:rPr>
        <w:t>الذكاء الاصطناعي في إدارة المرافق ضمن سياق نمذجة معلومات البناء</w:t>
      </w:r>
    </w:p>
    <w:p w14:paraId="6FBC26BB" w14:textId="77777777" w:rsidR="00225AC7" w:rsidRDefault="0082177C">
      <w:pPr>
        <w:spacing w:after="120" w:line="360" w:lineRule="auto"/>
        <w:jc w:val="both"/>
      </w:pPr>
      <w:r>
        <w:rPr>
          <w:rFonts w:ascii="Simplified Arabic" w:eastAsia="Simplified Arabic" w:hAnsi="Simplified Arabic" w:cs="Simplified Arabic"/>
          <w:sz w:val="28"/>
          <w:szCs w:val="28"/>
          <w:rtl/>
        </w:rPr>
        <w:t xml:space="preserve">اعتمدت الدراسة، المنشورة في مجلة </w:t>
      </w:r>
      <w:r>
        <w:rPr>
          <w:rFonts w:ascii="Times New Roman" w:eastAsia="Simplified Arabic" w:hAnsi="Times New Roman" w:cs="Times New Roman"/>
          <w:sz w:val="28"/>
          <w:szCs w:val="28"/>
          <w:rtl/>
        </w:rPr>
        <w:t>(</w:t>
      </w:r>
      <w:r>
        <w:rPr>
          <w:rFonts w:ascii="Times New Roman" w:eastAsia="Simplified Arabic" w:hAnsi="Times New Roman" w:cs="Times New Roman"/>
          <w:sz w:val="28"/>
          <w:szCs w:val="28"/>
        </w:rPr>
        <w:t>Buildings</w:t>
      </w:r>
      <w:r>
        <w:rPr>
          <w:rFonts w:ascii="Times New Roman" w:eastAsia="Simplified Arabic" w:hAnsi="Times New Roman" w:cs="Times New Roman"/>
          <w:sz w:val="28"/>
          <w:szCs w:val="28"/>
          <w:rtl/>
        </w:rPr>
        <w:t>)</w:t>
      </w:r>
      <w:r>
        <w:rPr>
          <w:rFonts w:ascii="Simplified Arabic" w:eastAsia="Simplified Arabic" w:hAnsi="Simplified Arabic" w:cs="Simplified Arabic"/>
          <w:sz w:val="28"/>
          <w:szCs w:val="28"/>
          <w:rtl/>
        </w:rPr>
        <w:t xml:space="preserve"> الصادرة عن دار </w:t>
      </w:r>
      <w:r>
        <w:rPr>
          <w:rFonts w:ascii="Times New Roman" w:eastAsia="Simplified Arabic" w:hAnsi="Times New Roman" w:cs="Times New Roman"/>
          <w:sz w:val="28"/>
          <w:szCs w:val="28"/>
        </w:rPr>
        <w:t>MDPI</w:t>
      </w:r>
      <w:r>
        <w:rPr>
          <w:rFonts w:ascii="Times New Roman" w:eastAsia="Simplified Arabic" w:hAnsi="Times New Roman" w:cs="Times New Roman"/>
          <w:sz w:val="28"/>
          <w:szCs w:val="28"/>
          <w:rtl/>
        </w:rPr>
        <w:t>،</w:t>
      </w:r>
      <w:r>
        <w:rPr>
          <w:rFonts w:ascii="Simplified Arabic" w:eastAsia="Simplified Arabic" w:hAnsi="Simplified Arabic" w:cs="Simplified Arabic"/>
          <w:sz w:val="28"/>
          <w:szCs w:val="28"/>
          <w:rtl/>
        </w:rPr>
        <w:t xml:space="preserve"> على المراجعة المنهجية </w:t>
      </w:r>
      <w:r>
        <w:rPr>
          <w:rFonts w:ascii="Times New Roman" w:eastAsia="Simplified Arabic" w:hAnsi="Times New Roman" w:cs="Times New Roman"/>
          <w:sz w:val="28"/>
          <w:szCs w:val="28"/>
          <w:rtl/>
        </w:rPr>
        <w:t>(</w:t>
      </w:r>
      <w:r>
        <w:rPr>
          <w:rFonts w:ascii="Times New Roman" w:eastAsia="Simplified Arabic" w:hAnsi="Times New Roman" w:cs="Times New Roman"/>
          <w:sz w:val="28"/>
          <w:szCs w:val="28"/>
        </w:rPr>
        <w:t>Systematic Review</w:t>
      </w:r>
      <w:r>
        <w:rPr>
          <w:rFonts w:ascii="Times New Roman" w:eastAsia="Simplified Arabic" w:hAnsi="Times New Roman" w:cs="Times New Roman"/>
          <w:sz w:val="28"/>
          <w:szCs w:val="28"/>
          <w:rtl/>
        </w:rPr>
        <w:t>)</w:t>
      </w:r>
      <w:r>
        <w:rPr>
          <w:rFonts w:ascii="Simplified Arabic" w:eastAsia="Simplified Arabic" w:hAnsi="Simplified Arabic" w:cs="Simplified Arabic"/>
          <w:sz w:val="28"/>
          <w:szCs w:val="28"/>
          <w:rtl/>
        </w:rPr>
        <w:t xml:space="preserve"> لتطبيقات الذكاء الاصطناعي في إدارة المرافق ضمن سياق نمذجة معلومات البناء </w:t>
      </w:r>
      <w:r>
        <w:rPr>
          <w:rFonts w:ascii="Times New Roman" w:eastAsia="Simplified Arabic" w:hAnsi="Times New Roman" w:cs="Times New Roman"/>
          <w:sz w:val="28"/>
          <w:szCs w:val="28"/>
          <w:rtl/>
        </w:rPr>
        <w:t>(</w:t>
      </w:r>
      <w:r>
        <w:rPr>
          <w:rFonts w:ascii="Times New Roman" w:eastAsia="Simplified Arabic" w:hAnsi="Times New Roman" w:cs="Times New Roman"/>
          <w:sz w:val="28"/>
          <w:szCs w:val="28"/>
        </w:rPr>
        <w:t>BIM</w:t>
      </w:r>
      <w:r>
        <w:rPr>
          <w:rFonts w:ascii="Times New Roman" w:eastAsia="Simplified Arabic" w:hAnsi="Times New Roman" w:cs="Times New Roman"/>
          <w:sz w:val="28"/>
          <w:szCs w:val="28"/>
          <w:rtl/>
        </w:rPr>
        <w:t>)</w:t>
      </w:r>
      <w:r>
        <w:rPr>
          <w:rFonts w:ascii="Simplified Arabic" w:eastAsia="Simplified Arabic" w:hAnsi="Simplified Arabic" w:cs="Simplified Arabic"/>
          <w:sz w:val="28"/>
          <w:szCs w:val="28"/>
          <w:rtl/>
        </w:rPr>
        <w:t>، بتحليل الإنتاج البحثي خلال الفترة من 2012 إلى 2021.</w:t>
      </w:r>
    </w:p>
    <w:p w14:paraId="6FBC26BC" w14:textId="77777777" w:rsidR="00225AC7" w:rsidRDefault="0082177C">
      <w:pPr>
        <w:spacing w:after="120" w:line="360" w:lineRule="auto"/>
        <w:jc w:val="both"/>
      </w:pPr>
      <w:r>
        <w:rPr>
          <w:rFonts w:ascii="Simplified Arabic" w:eastAsia="Simplified Arabic" w:hAnsi="Simplified Arabic" w:cs="Simplified Arabic"/>
          <w:sz w:val="28"/>
          <w:szCs w:val="28"/>
          <w:rtl/>
        </w:rPr>
        <w:t>لخصت الدراسة أن فرق إدارة المرافق تجمع كمّاً كبيراً من البيانات في مرحلة التشغيل والصيانة يمكن أن تُغذّي نماذج الذكاء الاصطناعي لتحسين اتخاذ القرار، ورصدت نمواً متسارعاً في هذه التطبيقات اعتباراً من عام 2018، مع توظيفها في تحسين أداء الأصول والصيانة الوقائية وكفاءة الطاقة.</w:t>
      </w:r>
    </w:p>
    <w:p w14:paraId="6FBC26BD" w14:textId="77777777" w:rsidR="00225AC7" w:rsidRDefault="0082177C">
      <w:pPr>
        <w:spacing w:after="120" w:line="360" w:lineRule="auto"/>
        <w:jc w:val="both"/>
      </w:pPr>
      <w:r>
        <w:rPr>
          <w:rFonts w:ascii="Simplified Arabic" w:eastAsia="Simplified Arabic" w:hAnsi="Simplified Arabic" w:cs="Simplified Arabic"/>
          <w:sz w:val="28"/>
          <w:szCs w:val="28"/>
          <w:rtl/>
        </w:rPr>
        <w:t>ركزت الدراسة على البعد التقني والمنهجي لتطبيق الذكاء الاصطناعي في إدارة المرافق عموماً، دون قياس أثر هذه الممارسات على مؤشرات كفاءة التشغيل في سياق تطبيقي محدد كالوجهات الترفيهية. واقتصرت الدراسة الحالية تأكيدها على أهمية الأنظمة الرقمية في رصد الأعطال وسرعة الاستجابة، وتسد فجوتها بربط هذا البعد بكفاءة التشغيل ميدانياً في مشاريع الواجهة البحرية بجدة.</w:t>
      </w:r>
    </w:p>
    <w:p w14:paraId="6FBC26BE" w14:textId="77777777" w:rsidR="00225AC7" w:rsidRDefault="0082177C">
      <w:pPr>
        <w:spacing w:after="120" w:line="360" w:lineRule="auto"/>
      </w:pPr>
      <w:r>
        <w:rPr>
          <w:rFonts w:ascii="Times New Roman" w:hAnsi="Times New Roman" w:cs="Simplified Arabic"/>
          <w:b/>
          <w:sz w:val="32"/>
          <w:szCs w:val="32"/>
          <w:rtl/>
        </w:rPr>
        <w:t xml:space="preserve">الدراسة الثامنة: تقرير </w:t>
      </w:r>
      <w:r>
        <w:rPr>
          <w:rFonts w:ascii="Times New Roman" w:hAnsi="Times New Roman" w:cs="Simplified Arabic"/>
          <w:b/>
          <w:sz w:val="32"/>
          <w:szCs w:val="32"/>
        </w:rPr>
        <w:t>PwC</w:t>
      </w:r>
      <w:r>
        <w:rPr>
          <w:rFonts w:ascii="Times New Roman" w:hAnsi="Times New Roman" w:cs="Simplified Arabic"/>
          <w:b/>
          <w:sz w:val="32"/>
          <w:szCs w:val="32"/>
          <w:rtl/>
        </w:rPr>
        <w:t xml:space="preserve"> والجمعية السعودية لإدارة المرافق </w:t>
      </w:r>
      <w:r>
        <w:rPr>
          <w:rFonts w:ascii="Times New Roman" w:hAnsi="Times New Roman" w:cs="Times New Roman"/>
          <w:b/>
          <w:sz w:val="32"/>
          <w:szCs w:val="32"/>
          <w:rtl/>
        </w:rPr>
        <w:t>(2025)</w:t>
      </w:r>
      <w:r>
        <w:rPr>
          <w:rFonts w:ascii="Times New Roman" w:hAnsi="Times New Roman" w:cs="Simplified Arabic"/>
          <w:b/>
          <w:sz w:val="32"/>
          <w:szCs w:val="32"/>
          <w:rtl/>
        </w:rPr>
        <w:t xml:space="preserve"> في المملكة</w:t>
      </w:r>
    </w:p>
    <w:p w14:paraId="6FBC26BF" w14:textId="77777777" w:rsidR="00225AC7" w:rsidRDefault="0082177C">
      <w:pPr>
        <w:spacing w:after="120" w:line="360" w:lineRule="auto"/>
        <w:jc w:val="both"/>
      </w:pPr>
      <w:r>
        <w:rPr>
          <w:rFonts w:ascii="Simplified Arabic" w:eastAsia="Simplified Arabic" w:hAnsi="Simplified Arabic" w:cs="Simplified Arabic"/>
          <w:sz w:val="28"/>
          <w:szCs w:val="28"/>
          <w:rtl/>
        </w:rPr>
        <w:t xml:space="preserve">اعتمد التقرير الصادر عن شركة </w:t>
      </w:r>
      <w:r>
        <w:rPr>
          <w:rFonts w:ascii="Times New Roman" w:eastAsia="Simplified Arabic" w:hAnsi="Times New Roman" w:cs="Times New Roman"/>
          <w:sz w:val="28"/>
          <w:szCs w:val="28"/>
        </w:rPr>
        <w:t>PwC</w:t>
      </w:r>
      <w:r>
        <w:rPr>
          <w:rFonts w:ascii="Simplified Arabic" w:eastAsia="Simplified Arabic" w:hAnsi="Simplified Arabic" w:cs="Simplified Arabic"/>
          <w:sz w:val="28"/>
          <w:szCs w:val="28"/>
          <w:rtl/>
        </w:rPr>
        <w:t xml:space="preserve"> الشرق الأوسط بالشراكة مع الجمعية السعودية لإدارة المرافق </w:t>
      </w:r>
      <w:r>
        <w:rPr>
          <w:rFonts w:ascii="Times New Roman" w:eastAsia="Simplified Arabic" w:hAnsi="Times New Roman" w:cs="Times New Roman"/>
          <w:sz w:val="28"/>
          <w:szCs w:val="28"/>
          <w:rtl/>
        </w:rPr>
        <w:t>(</w:t>
      </w:r>
      <w:r>
        <w:rPr>
          <w:rFonts w:ascii="Times New Roman" w:eastAsia="Simplified Arabic" w:hAnsi="Times New Roman" w:cs="Times New Roman"/>
          <w:sz w:val="28"/>
          <w:szCs w:val="28"/>
        </w:rPr>
        <w:t>SFMA</w:t>
      </w:r>
      <w:r>
        <w:rPr>
          <w:rFonts w:ascii="Times New Roman" w:eastAsia="Simplified Arabic" w:hAnsi="Times New Roman" w:cs="Times New Roman"/>
          <w:sz w:val="28"/>
          <w:szCs w:val="28"/>
          <w:rtl/>
        </w:rPr>
        <w:t>)</w:t>
      </w:r>
      <w:r>
        <w:rPr>
          <w:rFonts w:ascii="Simplified Arabic" w:eastAsia="Simplified Arabic" w:hAnsi="Simplified Arabic" w:cs="Simplified Arabic"/>
          <w:sz w:val="28"/>
          <w:szCs w:val="28"/>
          <w:rtl/>
        </w:rPr>
        <w:t xml:space="preserve"> تحت عنوان </w:t>
      </w:r>
      <w:r>
        <w:rPr>
          <w:rFonts w:ascii="Times New Roman" w:eastAsia="Simplified Arabic" w:hAnsi="Times New Roman" w:cs="Times New Roman"/>
          <w:sz w:val="28"/>
          <w:szCs w:val="28"/>
          <w:rtl/>
        </w:rPr>
        <w:t>«</w:t>
      </w:r>
      <w:r>
        <w:rPr>
          <w:rFonts w:ascii="Times New Roman" w:eastAsia="Simplified Arabic" w:hAnsi="Times New Roman" w:cs="Times New Roman"/>
          <w:sz w:val="28"/>
          <w:szCs w:val="28"/>
        </w:rPr>
        <w:t>Unlocking Value</w:t>
      </w:r>
      <w:r>
        <w:rPr>
          <w:rFonts w:ascii="Times New Roman" w:eastAsia="Simplified Arabic" w:hAnsi="Times New Roman" w:cs="Times New Roman"/>
          <w:sz w:val="28"/>
          <w:szCs w:val="28"/>
          <w:rtl/>
        </w:rPr>
        <w:t>»</w:t>
      </w:r>
      <w:r>
        <w:rPr>
          <w:rFonts w:ascii="Simplified Arabic" w:eastAsia="Simplified Arabic" w:hAnsi="Simplified Arabic" w:cs="Simplified Arabic"/>
          <w:sz w:val="28"/>
          <w:szCs w:val="28"/>
          <w:rtl/>
        </w:rPr>
        <w:t xml:space="preserve">، على تحليل بيانات السوق ومدخلات القطاع لرصد حجم قطاع إدارة المرافق في المملكة واتجاهاته المستقبلية في ضوء رؤية </w:t>
      </w:r>
      <w:r>
        <w:rPr>
          <w:rFonts w:ascii="Times New Roman" w:eastAsia="Simplified Arabic" w:hAnsi="Times New Roman" w:cs="Times New Roman"/>
          <w:sz w:val="28"/>
          <w:szCs w:val="28"/>
          <w:rtl/>
        </w:rPr>
        <w:t>2030</w:t>
      </w:r>
      <w:r>
        <w:rPr>
          <w:rFonts w:ascii="Simplified Arabic" w:eastAsia="Simplified Arabic" w:hAnsi="Simplified Arabic" w:cs="Simplified Arabic"/>
          <w:sz w:val="28"/>
          <w:szCs w:val="28"/>
          <w:rtl/>
        </w:rPr>
        <w:t>.</w:t>
      </w:r>
    </w:p>
    <w:p w14:paraId="6FBC26C0" w14:textId="77777777" w:rsidR="00225AC7" w:rsidRDefault="0082177C">
      <w:pPr>
        <w:spacing w:after="120" w:line="360" w:lineRule="auto"/>
        <w:jc w:val="both"/>
      </w:pPr>
      <w:r>
        <w:rPr>
          <w:rFonts w:ascii="Simplified Arabic" w:eastAsia="Simplified Arabic" w:hAnsi="Simplified Arabic" w:cs="Simplified Arabic"/>
          <w:sz w:val="28"/>
          <w:szCs w:val="28"/>
          <w:rtl/>
        </w:rPr>
        <w:lastRenderedPageBreak/>
        <w:t xml:space="preserve">لخص التقرير أن قطاع إدارة المرافق في المملكة تجاوز </w:t>
      </w:r>
      <w:r>
        <w:rPr>
          <w:rFonts w:ascii="Times New Roman" w:eastAsia="Simplified Arabic" w:hAnsi="Times New Roman" w:cs="Times New Roman"/>
          <w:sz w:val="28"/>
          <w:szCs w:val="28"/>
          <w:rtl/>
        </w:rPr>
        <w:t>50</w:t>
      </w:r>
      <w:r>
        <w:rPr>
          <w:rFonts w:ascii="Simplified Arabic" w:eastAsia="Simplified Arabic" w:hAnsi="Simplified Arabic" w:cs="Simplified Arabic"/>
          <w:sz w:val="28"/>
          <w:szCs w:val="28"/>
          <w:rtl/>
        </w:rPr>
        <w:t xml:space="preserve"> مليار دولار في عام </w:t>
      </w:r>
      <w:r>
        <w:rPr>
          <w:rFonts w:ascii="Times New Roman" w:eastAsia="Simplified Arabic" w:hAnsi="Times New Roman" w:cs="Times New Roman"/>
          <w:sz w:val="28"/>
          <w:szCs w:val="28"/>
          <w:rtl/>
        </w:rPr>
        <w:t>2024</w:t>
      </w:r>
      <w:r>
        <w:rPr>
          <w:rFonts w:ascii="Simplified Arabic" w:eastAsia="Simplified Arabic" w:hAnsi="Simplified Arabic" w:cs="Simplified Arabic"/>
          <w:sz w:val="28"/>
          <w:szCs w:val="28"/>
          <w:rtl/>
        </w:rPr>
        <w:t>، بمعدل نمو سنوي مركّب متوقَّع نحو 7% حتى عام 2032، مدفوعاً بمشاريع البنية التحتية الكبرى والتوسّع الحضري والتركيز على الاستدامة. ورصد تحوّلاً هيكلياً من نماذج تقديم الخدمة التقليدية نحو العقود القائمة على الأداء والمخرجات القابلة للقياس، مع تنامي الطلب على حلول تعتمد إنترنت الأشياء والذكاء الاصطناعي والتحليلات التنبؤية.</w:t>
      </w:r>
    </w:p>
    <w:p w14:paraId="6FBC26C1" w14:textId="77777777" w:rsidR="00225AC7" w:rsidRDefault="0082177C">
      <w:pPr>
        <w:spacing w:after="120" w:line="360" w:lineRule="auto"/>
        <w:jc w:val="both"/>
      </w:pPr>
      <w:r>
        <w:rPr>
          <w:rFonts w:ascii="Simplified Arabic" w:eastAsia="Simplified Arabic" w:hAnsi="Simplified Arabic" w:cs="Simplified Arabic"/>
          <w:sz w:val="28"/>
          <w:szCs w:val="28"/>
          <w:rtl/>
        </w:rPr>
        <w:t>ركز التقرير على رصد حجم السوق واتجاهاته الكلية دون النزول إلى قياس أثر الممارسات على كفاءة التشغيل في قطاع محدد. واقتصرت الدراسة الحالية من أرقامه في السياق الاقتصادي وأهمية القطاع، وتسد فجوته بدراسة تطبيقية دقيقة على مشاريع الواجهة البحرية بجدة.</w:t>
      </w:r>
    </w:p>
    <w:p w14:paraId="6FBC26C2" w14:textId="77777777" w:rsidR="00225AC7" w:rsidRDefault="0082177C">
      <w:pPr>
        <w:spacing w:after="120" w:line="360" w:lineRule="auto"/>
      </w:pPr>
      <w:r>
        <w:rPr>
          <w:rFonts w:ascii="Times New Roman" w:hAnsi="Times New Roman" w:cs="Simplified Arabic"/>
          <w:bCs/>
          <w:sz w:val="32"/>
          <w:szCs w:val="32"/>
          <w:rtl/>
        </w:rPr>
        <w:t>الدراسة التاسعة: محمد (</w:t>
      </w:r>
      <w:r>
        <w:rPr>
          <w:rFonts w:ascii="Times New Roman" w:hAnsi="Times New Roman" w:cs="Times New Roman"/>
          <w:bCs/>
          <w:sz w:val="32"/>
          <w:szCs w:val="32"/>
          <w:rtl/>
        </w:rPr>
        <w:t>2023</w:t>
      </w:r>
      <w:r>
        <w:rPr>
          <w:rFonts w:ascii="Times New Roman" w:hAnsi="Times New Roman" w:cs="Simplified Arabic"/>
          <w:bCs/>
          <w:sz w:val="32"/>
          <w:szCs w:val="32"/>
          <w:rtl/>
        </w:rPr>
        <w:t>) إطار إداري لكفاءة الطاقة في فنادق جدة</w:t>
      </w:r>
    </w:p>
    <w:p w14:paraId="6FBC26C3" w14:textId="77777777" w:rsidR="00225AC7" w:rsidRDefault="0082177C">
      <w:pPr>
        <w:spacing w:after="120" w:line="360" w:lineRule="auto"/>
        <w:jc w:val="both"/>
      </w:pPr>
      <w:r>
        <w:rPr>
          <w:rFonts w:ascii="Simplified Arabic" w:eastAsia="Simplified Arabic" w:hAnsi="Simplified Arabic" w:cs="Simplified Arabic"/>
          <w:sz w:val="28"/>
          <w:szCs w:val="28"/>
          <w:rtl/>
        </w:rPr>
        <w:t xml:space="preserve">اعتمدت الدراسة، المنشورة في </w:t>
      </w:r>
      <w:r>
        <w:rPr>
          <w:rFonts w:ascii="Times New Roman" w:eastAsia="Simplified Arabic" w:hAnsi="Times New Roman" w:cs="Times New Roman"/>
          <w:sz w:val="28"/>
          <w:szCs w:val="28"/>
        </w:rPr>
        <w:t>Journal of Advanced Research in Applied Sciences and Engineering Technology</w:t>
      </w:r>
      <w:r>
        <w:rPr>
          <w:rFonts w:ascii="Simplified Arabic" w:eastAsia="Simplified Arabic" w:hAnsi="Simplified Arabic" w:cs="Simplified Arabic"/>
          <w:sz w:val="28"/>
          <w:szCs w:val="28"/>
          <w:rtl/>
        </w:rPr>
        <w:t xml:space="preserve">، على المنهج المختلط بجمع بيانات استهلاك الطاقة من 24 مبنى فندقياً في مدينة جدة عبر استبانة وُزّعت على المهندسين والمطوّرين والمديرين، ثم حُلّلت البيانات بنمذجة المعادلات البنائية </w:t>
      </w:r>
      <w:r>
        <w:rPr>
          <w:rFonts w:ascii="Times New Roman" w:eastAsia="Simplified Arabic" w:hAnsi="Times New Roman" w:cs="Times New Roman"/>
          <w:sz w:val="28"/>
          <w:szCs w:val="28"/>
          <w:rtl/>
        </w:rPr>
        <w:t>(</w:t>
      </w:r>
      <w:r>
        <w:rPr>
          <w:rFonts w:ascii="Times New Roman" w:eastAsia="Simplified Arabic" w:hAnsi="Times New Roman" w:cs="Times New Roman"/>
          <w:sz w:val="28"/>
          <w:szCs w:val="28"/>
        </w:rPr>
        <w:t>SEM</w:t>
      </w:r>
      <w:r>
        <w:rPr>
          <w:rFonts w:ascii="Times New Roman" w:eastAsia="Simplified Arabic" w:hAnsi="Times New Roman" w:cs="Times New Roman"/>
          <w:sz w:val="28"/>
          <w:szCs w:val="28"/>
          <w:rtl/>
        </w:rPr>
        <w:t>)</w:t>
      </w:r>
      <w:r>
        <w:rPr>
          <w:rFonts w:ascii="Simplified Arabic" w:eastAsia="Simplified Arabic" w:hAnsi="Simplified Arabic" w:cs="Simplified Arabic"/>
          <w:sz w:val="28"/>
          <w:szCs w:val="28"/>
          <w:rtl/>
        </w:rPr>
        <w:t xml:space="preserve"> باستخدام برنامجي </w:t>
      </w:r>
      <w:r>
        <w:rPr>
          <w:rFonts w:ascii="Times New Roman" w:eastAsia="Simplified Arabic" w:hAnsi="Times New Roman" w:cs="Times New Roman"/>
          <w:sz w:val="28"/>
          <w:szCs w:val="28"/>
        </w:rPr>
        <w:t>SPSS</w:t>
      </w:r>
      <w:r>
        <w:rPr>
          <w:rFonts w:ascii="Times New Roman" w:eastAsia="Simplified Arabic" w:hAnsi="Times New Roman" w:cs="Times New Roman"/>
          <w:sz w:val="28"/>
          <w:szCs w:val="28"/>
          <w:rtl/>
        </w:rPr>
        <w:t xml:space="preserve"> و</w:t>
      </w:r>
      <w:r>
        <w:rPr>
          <w:rFonts w:ascii="Times New Roman" w:eastAsia="Simplified Arabic" w:hAnsi="Times New Roman" w:cs="Times New Roman"/>
          <w:sz w:val="28"/>
          <w:szCs w:val="28"/>
        </w:rPr>
        <w:t>AMOS</w:t>
      </w:r>
      <w:r>
        <w:rPr>
          <w:rFonts w:ascii="Simplified Arabic" w:eastAsia="Simplified Arabic" w:hAnsi="Simplified Arabic" w:cs="Simplified Arabic"/>
          <w:sz w:val="28"/>
          <w:szCs w:val="28"/>
          <w:rtl/>
        </w:rPr>
        <w:t xml:space="preserve"> لفحص العلاقات بين العوامل الحرجة المؤثّرة في أداء الطاقة.</w:t>
      </w:r>
    </w:p>
    <w:p w14:paraId="6FBC26C4" w14:textId="77777777" w:rsidR="00225AC7" w:rsidRDefault="0082177C">
      <w:pPr>
        <w:spacing w:after="120" w:line="360" w:lineRule="auto"/>
        <w:jc w:val="both"/>
      </w:pPr>
      <w:r>
        <w:rPr>
          <w:rFonts w:ascii="Simplified Arabic" w:eastAsia="Simplified Arabic" w:hAnsi="Simplified Arabic" w:cs="Simplified Arabic"/>
          <w:sz w:val="28"/>
          <w:szCs w:val="28"/>
          <w:rtl/>
        </w:rPr>
        <w:t>لخصت وتوصّلت الدراسة إلى تحديد 17 عاملاً حرجاً يؤثّر في أداء الطاقة بالمباني الفندقية، وأثبتت وجود علاقات ترابطية قوية بين أداء الطاقة والسياسة الإدارية والتشغيل والمحرّكات الاستراتيجية، مع ظهور أثر المحرّكات الاستراتيجية والسياسة الإدارية بوصفها من أقوى محدّدات كفاءة الطاقة، بما يؤكّد مركزية البُعد الإداري في تحقيق الاستدامة التشغيلية.</w:t>
      </w:r>
    </w:p>
    <w:p w14:paraId="6FBC26C5" w14:textId="77777777" w:rsidR="00225AC7" w:rsidRDefault="0082177C">
      <w:pPr>
        <w:spacing w:after="120" w:line="360" w:lineRule="auto"/>
        <w:jc w:val="both"/>
      </w:pPr>
      <w:r>
        <w:rPr>
          <w:rFonts w:ascii="Simplified Arabic" w:eastAsia="Simplified Arabic" w:hAnsi="Simplified Arabic" w:cs="Simplified Arabic"/>
          <w:sz w:val="28"/>
          <w:szCs w:val="28"/>
          <w:rtl/>
        </w:rPr>
        <w:lastRenderedPageBreak/>
        <w:t>اقتصرت الدراسة على بُعد كفاءة الطاقة في القطاع الفندقي بجدة، دون تناول بقية أبعاد إدارة المرافق المستدامة (كالصيانة الوقائية وسرعة الاستجابة) أو قطاع الوجهات الترفيهية الساحلية. واقتصرت الدراسة الحالية من دليلها المحلي المباشر على أثر البُعد الإداري في كفاءة الطاقة داخل مدينة جدة، وتسدّ فجوتها بتوسيع التحليل إلى الأبعاد الثلاثة مجتمعةً وربطها بمؤشرات كفاءة التشغيل في مشاريع الواجهة البحرية.</w:t>
      </w:r>
    </w:p>
    <w:p w14:paraId="6FBC26C6" w14:textId="77777777" w:rsidR="00225AC7" w:rsidRDefault="0082177C">
      <w:pPr>
        <w:spacing w:after="120" w:line="360" w:lineRule="auto"/>
      </w:pPr>
      <w:r>
        <w:rPr>
          <w:rFonts w:ascii="Times New Roman" w:hAnsi="Times New Roman" w:cs="Simplified Arabic"/>
          <w:bCs/>
          <w:sz w:val="32"/>
          <w:szCs w:val="32"/>
          <w:rtl/>
        </w:rPr>
        <w:t>الدراسة العاشرة: مطر (</w:t>
      </w:r>
      <w:r>
        <w:rPr>
          <w:rFonts w:ascii="Times New Roman" w:hAnsi="Times New Roman" w:cs="Times New Roman"/>
          <w:bCs/>
          <w:sz w:val="32"/>
          <w:szCs w:val="32"/>
          <w:rtl/>
        </w:rPr>
        <w:t>2024</w:t>
      </w:r>
      <w:r>
        <w:rPr>
          <w:rFonts w:ascii="Times New Roman" w:hAnsi="Times New Roman" w:cs="Simplified Arabic"/>
          <w:bCs/>
          <w:sz w:val="32"/>
          <w:szCs w:val="32"/>
          <w:rtl/>
        </w:rPr>
        <w:t>) الإدارة الرشيقة وكفاءة العاملين في إدارة المرافق بجدة</w:t>
      </w:r>
    </w:p>
    <w:p w14:paraId="6FBC26C7" w14:textId="77777777" w:rsidR="00225AC7" w:rsidRDefault="0082177C">
      <w:pPr>
        <w:spacing w:after="120" w:line="360" w:lineRule="auto"/>
        <w:jc w:val="both"/>
      </w:pPr>
      <w:r>
        <w:rPr>
          <w:rFonts w:ascii="Simplified Arabic" w:eastAsia="Simplified Arabic" w:hAnsi="Simplified Arabic" w:cs="Simplified Arabic"/>
          <w:sz w:val="28"/>
          <w:szCs w:val="28"/>
          <w:rtl/>
        </w:rPr>
        <w:t>اعتمدت الدراسة، المنشورة في المجلة الدولية لنشر البحوث والدراسات، على المنهج الوصفي التحليلي الارتباطي، مستخدمةً استبانة مكوّنة من 30 فقرة وُزّعت على عيّنة من 180 موظفاً من مجتمع بلغ 335 موظفاً يعملون في إدارة المرافق بإحدى الجامعات الخاصة في مدينة جدة بالمملكة العربية السعودية.</w:t>
      </w:r>
    </w:p>
    <w:p w14:paraId="6FBC26C8" w14:textId="77777777" w:rsidR="00225AC7" w:rsidRDefault="0082177C">
      <w:pPr>
        <w:spacing w:after="120" w:line="360" w:lineRule="auto"/>
        <w:jc w:val="both"/>
      </w:pPr>
      <w:r>
        <w:rPr>
          <w:rFonts w:ascii="Simplified Arabic" w:eastAsia="Simplified Arabic" w:hAnsi="Simplified Arabic" w:cs="Simplified Arabic"/>
          <w:sz w:val="28"/>
          <w:szCs w:val="28"/>
          <w:rtl/>
        </w:rPr>
        <w:t>لخصت وتوصّلت الدراسة إلى وجود أثر إيجابي ذي دلالة إحصائية لتطبيق ممارسات الإدارة الرشيقة في تطوير الكفاءة الإدارية للعاملين في إدارة المرافق، مؤكّدةً أن تبنّي المنهجيات الإدارية الحديثة يرفع من كفاءة العاملين ويقلّل الهدر في العمليات التشغيلية.</w:t>
      </w:r>
    </w:p>
    <w:p w14:paraId="6FBC26C9" w14:textId="77777777" w:rsidR="00225AC7" w:rsidRDefault="0082177C">
      <w:pPr>
        <w:spacing w:after="120" w:line="36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ركّزت الدراسة على بُعد الإدارة الرشيقة وأثره في الكفاءة الإدارية للعاملين، دون تناول أبعاد إدارة المرافق المستدامة (الصيانة الوقائية وترشيد الطاقة وسرعة الاستجابة) أو مؤشرات كفاءة التشغيل في الوجهات الترفيهية الساحلية. واقتصرت الدراسة الحالية من دليلها المحلي على العلاقة بين الممارسات الإدارية وكفاءة العاملين في إدارة المرافق بجدة، وتسدّ فجوتها بربط أبعاد الاستدامة بمؤشرات كفاءة التشغيل ميدانياً في مشاريع الواجهة البحرية.</w:t>
      </w:r>
    </w:p>
    <w:p w14:paraId="6FBC26CA" w14:textId="77777777" w:rsidR="00225AC7" w:rsidRDefault="0082177C">
      <w:pPr>
        <w:pStyle w:val="2"/>
        <w:bidi/>
      </w:pPr>
      <w:bookmarkStart w:id="15" w:name="_Toc235185281"/>
      <w:r>
        <w:rPr>
          <w:color w:val="000000"/>
          <w:sz w:val="36"/>
          <w:szCs w:val="36"/>
          <w:u w:val="single"/>
        </w:rPr>
        <w:lastRenderedPageBreak/>
        <w:t>2-3</w:t>
      </w:r>
      <w:r>
        <w:rPr>
          <w:color w:val="000000"/>
          <w:sz w:val="36"/>
          <w:szCs w:val="36"/>
          <w:u w:val="single"/>
          <w:rtl/>
        </w:rPr>
        <w:t xml:space="preserve"> جدول المقارنة الشامل للدراسات السابقة</w:t>
      </w:r>
      <w:bookmarkEnd w:id="15"/>
    </w:p>
    <w:p w14:paraId="6FBC26CB" w14:textId="77777777" w:rsidR="00225AC7" w:rsidRDefault="00225AC7">
      <w:pPr>
        <w:pStyle w:val="2"/>
        <w:bidi/>
        <w:rPr>
          <w:color w:val="000000"/>
          <w:sz w:val="36"/>
          <w:szCs w:val="36"/>
          <w:u w:val="single"/>
        </w:rPr>
      </w:pPr>
    </w:p>
    <w:p w14:paraId="6FBC26CC" w14:textId="77777777" w:rsidR="00225AC7" w:rsidRDefault="0082177C">
      <w:pPr>
        <w:spacing w:after="120" w:line="360" w:lineRule="auto"/>
        <w:jc w:val="both"/>
        <w:rPr>
          <w:rFonts w:ascii="Times New Roman" w:hAnsi="Times New Roman" w:cs="Simplified Arabic"/>
          <w:sz w:val="28"/>
          <w:szCs w:val="28"/>
        </w:rPr>
      </w:pPr>
      <w:r>
        <w:rPr>
          <w:rFonts w:ascii="Times New Roman" w:hAnsi="Times New Roman" w:cs="Simplified Arabic"/>
          <w:sz w:val="28"/>
          <w:szCs w:val="28"/>
          <w:rtl/>
        </w:rPr>
        <w:t>يوضّح الجدول التالي مقارنةً شاملة بين الدراسات السابقة العشر من حيث منهجها وأبرز نتائجها والفجوة التي تركتها وصلتها بالدراسة الحالية.</w:t>
      </w:r>
    </w:p>
    <w:p w14:paraId="6FBC26CD" w14:textId="77777777" w:rsidR="00225AC7" w:rsidRDefault="00225AC7">
      <w:pPr>
        <w:spacing w:after="80" w:line="360" w:lineRule="auto"/>
        <w:jc w:val="center"/>
        <w:rPr>
          <w:rFonts w:ascii="Times New Roman" w:hAnsi="Times New Roman" w:cs="Simplified Arabic"/>
          <w:b/>
          <w:color w:val="000000"/>
          <w:sz w:val="28"/>
          <w:szCs w:val="28"/>
        </w:rPr>
      </w:pPr>
    </w:p>
    <w:p w14:paraId="6FBC26CE" w14:textId="77777777" w:rsidR="00225AC7" w:rsidRDefault="0082177C">
      <w:pPr>
        <w:spacing w:after="80" w:line="360" w:lineRule="auto"/>
        <w:jc w:val="center"/>
      </w:pPr>
      <w:r>
        <w:rPr>
          <w:rFonts w:ascii="Times New Roman" w:hAnsi="Times New Roman" w:cs="Simplified Arabic"/>
          <w:b/>
          <w:color w:val="000000"/>
          <w:sz w:val="28"/>
          <w:szCs w:val="28"/>
          <w:rtl/>
        </w:rPr>
        <w:t>جدول (2-1): مقارنة الدراسات السابقة من حيث المنهج والنتائج والفجوة البحثية</w:t>
      </w:r>
    </w:p>
    <w:tbl>
      <w:tblPr>
        <w:bidiVisual/>
        <w:tblW w:w="9351" w:type="dxa"/>
        <w:tblCellMar>
          <w:left w:w="10" w:type="dxa"/>
          <w:right w:w="10" w:type="dxa"/>
        </w:tblCellMar>
        <w:tblLook w:val="04A0" w:firstRow="1" w:lastRow="0" w:firstColumn="1" w:lastColumn="0" w:noHBand="0" w:noVBand="1"/>
      </w:tblPr>
      <w:tblGrid>
        <w:gridCol w:w="2267"/>
        <w:gridCol w:w="1985"/>
        <w:gridCol w:w="2409"/>
        <w:gridCol w:w="2690"/>
      </w:tblGrid>
      <w:tr w:rsidR="00225AC7" w14:paraId="6FBC26D3" w14:textId="77777777">
        <w:tc>
          <w:tcPr>
            <w:tcW w:w="2267" w:type="dxa"/>
            <w:tcBorders>
              <w:bottom w:val="single" w:sz="12" w:space="0" w:color="666666"/>
            </w:tcBorders>
            <w:shd w:val="clear" w:color="auto" w:fill="FFFFFF"/>
            <w:tcMar>
              <w:top w:w="0" w:type="dxa"/>
              <w:left w:w="108" w:type="dxa"/>
              <w:bottom w:w="0" w:type="dxa"/>
              <w:right w:w="108" w:type="dxa"/>
            </w:tcMar>
          </w:tcPr>
          <w:p w14:paraId="6FBC26CF" w14:textId="77777777" w:rsidR="00225AC7" w:rsidRDefault="0082177C">
            <w:pPr>
              <w:spacing w:before="160" w:after="120" w:line="360" w:lineRule="auto"/>
              <w:jc w:val="center"/>
            </w:pPr>
            <w:r>
              <w:rPr>
                <w:rFonts w:ascii="Simplified Arabic" w:eastAsia="Simplified Arabic" w:hAnsi="Simplified Arabic" w:cs="Simplified Arabic"/>
                <w:b/>
                <w:bCs/>
                <w:color w:val="000000"/>
                <w:kern w:val="0"/>
                <w:sz w:val="24"/>
                <w:szCs w:val="24"/>
                <w:rtl/>
              </w:rPr>
              <w:t>الدراسة (السنة)</w:t>
            </w:r>
          </w:p>
        </w:tc>
        <w:tc>
          <w:tcPr>
            <w:tcW w:w="1985" w:type="dxa"/>
            <w:tcBorders>
              <w:bottom w:val="single" w:sz="12" w:space="0" w:color="666666"/>
            </w:tcBorders>
            <w:shd w:val="clear" w:color="auto" w:fill="FFFFFF"/>
            <w:tcMar>
              <w:top w:w="0" w:type="dxa"/>
              <w:left w:w="108" w:type="dxa"/>
              <w:bottom w:w="0" w:type="dxa"/>
              <w:right w:w="108" w:type="dxa"/>
            </w:tcMar>
          </w:tcPr>
          <w:p w14:paraId="6FBC26D0" w14:textId="77777777" w:rsidR="00225AC7" w:rsidRDefault="0082177C">
            <w:pPr>
              <w:spacing w:before="160" w:after="120" w:line="360" w:lineRule="auto"/>
              <w:jc w:val="center"/>
            </w:pPr>
            <w:r>
              <w:rPr>
                <w:rFonts w:ascii="Simplified Arabic" w:eastAsia="Simplified Arabic" w:hAnsi="Simplified Arabic" w:cs="Simplified Arabic"/>
                <w:b/>
                <w:bCs/>
                <w:color w:val="000000"/>
                <w:kern w:val="0"/>
                <w:sz w:val="24"/>
                <w:szCs w:val="24"/>
                <w:rtl/>
              </w:rPr>
              <w:t>المنهج</w:t>
            </w:r>
          </w:p>
        </w:tc>
        <w:tc>
          <w:tcPr>
            <w:tcW w:w="2409" w:type="dxa"/>
            <w:tcBorders>
              <w:bottom w:val="single" w:sz="12" w:space="0" w:color="666666"/>
            </w:tcBorders>
            <w:shd w:val="clear" w:color="auto" w:fill="FFFFFF"/>
            <w:tcMar>
              <w:top w:w="0" w:type="dxa"/>
              <w:left w:w="108" w:type="dxa"/>
              <w:bottom w:w="0" w:type="dxa"/>
              <w:right w:w="108" w:type="dxa"/>
            </w:tcMar>
          </w:tcPr>
          <w:p w14:paraId="6FBC26D1" w14:textId="77777777" w:rsidR="00225AC7" w:rsidRDefault="0082177C">
            <w:pPr>
              <w:spacing w:before="160" w:after="120" w:line="360" w:lineRule="auto"/>
              <w:jc w:val="center"/>
            </w:pPr>
            <w:r>
              <w:rPr>
                <w:rFonts w:ascii="Simplified Arabic" w:eastAsia="Simplified Arabic" w:hAnsi="Simplified Arabic" w:cs="Simplified Arabic"/>
                <w:b/>
                <w:bCs/>
                <w:color w:val="000000"/>
                <w:kern w:val="0"/>
                <w:sz w:val="24"/>
                <w:szCs w:val="24"/>
                <w:rtl/>
              </w:rPr>
              <w:t>أبرز النتائج</w:t>
            </w:r>
          </w:p>
        </w:tc>
        <w:tc>
          <w:tcPr>
            <w:tcW w:w="2690" w:type="dxa"/>
            <w:tcBorders>
              <w:bottom w:val="single" w:sz="12" w:space="0" w:color="666666"/>
            </w:tcBorders>
            <w:shd w:val="clear" w:color="auto" w:fill="FFFFFF"/>
            <w:tcMar>
              <w:top w:w="0" w:type="dxa"/>
              <w:left w:w="108" w:type="dxa"/>
              <w:bottom w:w="0" w:type="dxa"/>
              <w:right w:w="108" w:type="dxa"/>
            </w:tcMar>
          </w:tcPr>
          <w:p w14:paraId="6FBC26D2" w14:textId="77777777" w:rsidR="00225AC7" w:rsidRDefault="0082177C">
            <w:pPr>
              <w:spacing w:before="160" w:after="120" w:line="360" w:lineRule="auto"/>
              <w:jc w:val="center"/>
            </w:pPr>
            <w:r>
              <w:rPr>
                <w:rFonts w:ascii="Simplified Arabic" w:eastAsia="Simplified Arabic" w:hAnsi="Simplified Arabic" w:cs="Simplified Arabic"/>
                <w:b/>
                <w:bCs/>
                <w:color w:val="000000"/>
                <w:kern w:val="0"/>
                <w:sz w:val="24"/>
                <w:szCs w:val="24"/>
                <w:rtl/>
              </w:rPr>
              <w:t>الفجوة وصلة الدراسة الحالية</w:t>
            </w:r>
          </w:p>
        </w:tc>
      </w:tr>
      <w:tr w:rsidR="00225AC7" w14:paraId="6FBC26D8" w14:textId="77777777">
        <w:tc>
          <w:tcPr>
            <w:tcW w:w="2267" w:type="dxa"/>
            <w:tcBorders>
              <w:top w:val="single" w:sz="2" w:space="0" w:color="666666"/>
              <w:bottom w:val="single" w:sz="2" w:space="0" w:color="666666"/>
              <w:right w:val="single" w:sz="2" w:space="0" w:color="666666"/>
            </w:tcBorders>
            <w:shd w:val="clear" w:color="auto" w:fill="CCCCCC"/>
            <w:tcMar>
              <w:top w:w="0" w:type="dxa"/>
              <w:left w:w="108" w:type="dxa"/>
              <w:bottom w:w="0" w:type="dxa"/>
              <w:right w:w="108" w:type="dxa"/>
            </w:tcMar>
          </w:tcPr>
          <w:p w14:paraId="6FBC26D4" w14:textId="77777777" w:rsidR="00225AC7" w:rsidRDefault="0082177C">
            <w:pPr>
              <w:spacing w:before="160" w:after="120" w:line="360" w:lineRule="auto"/>
              <w:jc w:val="center"/>
              <w:rPr>
                <w:rFonts w:ascii="Simplified Arabic" w:eastAsia="Simplified Arabic" w:hAnsi="Simplified Arabic" w:cs="Simplified Arabic"/>
                <w:b/>
                <w:bCs/>
                <w:color w:val="000000"/>
                <w:kern w:val="0"/>
                <w:sz w:val="24"/>
                <w:szCs w:val="24"/>
              </w:rPr>
            </w:pPr>
            <w:r>
              <w:rPr>
                <w:rFonts w:ascii="Simplified Arabic" w:eastAsia="Simplified Arabic" w:hAnsi="Simplified Arabic" w:cs="Simplified Arabic"/>
                <w:b/>
                <w:bCs/>
                <w:color w:val="000000"/>
                <w:kern w:val="0"/>
                <w:sz w:val="24"/>
                <w:szCs w:val="24"/>
              </w:rPr>
              <w:t>Amaratunga &amp; Baldry</w:t>
            </w:r>
            <w:r>
              <w:rPr>
                <w:rFonts w:ascii="Simplified Arabic" w:eastAsia="Simplified Arabic" w:hAnsi="Simplified Arabic" w:cs="Simplified Arabic"/>
                <w:b/>
                <w:bCs/>
                <w:color w:val="000000"/>
                <w:kern w:val="0"/>
                <w:sz w:val="24"/>
                <w:szCs w:val="24"/>
                <w:rtl/>
              </w:rPr>
              <w:t xml:space="preserve"> (2002)</w:t>
            </w:r>
          </w:p>
        </w:tc>
        <w:tc>
          <w:tcPr>
            <w:tcW w:w="1985" w:type="dxa"/>
            <w:tcBorders>
              <w:top w:val="single" w:sz="2" w:space="0" w:color="666666"/>
              <w:left w:val="single" w:sz="2" w:space="0" w:color="666666"/>
              <w:bottom w:val="single" w:sz="2" w:space="0" w:color="666666"/>
              <w:right w:val="single" w:sz="2" w:space="0" w:color="666666"/>
            </w:tcBorders>
            <w:shd w:val="clear" w:color="auto" w:fill="CCCCCC"/>
            <w:tcMar>
              <w:top w:w="0" w:type="dxa"/>
              <w:left w:w="108" w:type="dxa"/>
              <w:bottom w:w="0" w:type="dxa"/>
              <w:right w:w="108" w:type="dxa"/>
            </w:tcMar>
          </w:tcPr>
          <w:p w14:paraId="6FBC26D5" w14:textId="77777777" w:rsidR="00225AC7" w:rsidRDefault="0082177C">
            <w:pPr>
              <w:spacing w:before="160" w:after="120" w:line="360" w:lineRule="auto"/>
              <w:jc w:val="center"/>
              <w:rPr>
                <w:rFonts w:ascii="Simplified Arabic" w:eastAsia="Simplified Arabic" w:hAnsi="Simplified Arabic" w:cs="Simplified Arabic"/>
                <w:b/>
                <w:bCs/>
                <w:color w:val="000000"/>
                <w:kern w:val="0"/>
                <w:sz w:val="24"/>
                <w:szCs w:val="24"/>
              </w:rPr>
            </w:pPr>
            <w:r>
              <w:rPr>
                <w:rFonts w:ascii="Simplified Arabic" w:eastAsia="Simplified Arabic" w:hAnsi="Simplified Arabic" w:cs="Simplified Arabic"/>
                <w:b/>
                <w:bCs/>
                <w:color w:val="000000"/>
                <w:kern w:val="0"/>
                <w:sz w:val="24"/>
                <w:szCs w:val="24"/>
                <w:rtl/>
              </w:rPr>
              <w:t>مراجعة نظرية تحليلية</w:t>
            </w:r>
          </w:p>
        </w:tc>
        <w:tc>
          <w:tcPr>
            <w:tcW w:w="2409" w:type="dxa"/>
            <w:tcBorders>
              <w:top w:val="single" w:sz="2" w:space="0" w:color="666666"/>
              <w:left w:val="single" w:sz="2" w:space="0" w:color="666666"/>
              <w:bottom w:val="single" w:sz="2" w:space="0" w:color="666666"/>
              <w:right w:val="single" w:sz="2" w:space="0" w:color="666666"/>
            </w:tcBorders>
            <w:shd w:val="clear" w:color="auto" w:fill="CCCCCC"/>
            <w:tcMar>
              <w:top w:w="0" w:type="dxa"/>
              <w:left w:w="108" w:type="dxa"/>
              <w:bottom w:w="0" w:type="dxa"/>
              <w:right w:w="108" w:type="dxa"/>
            </w:tcMar>
          </w:tcPr>
          <w:p w14:paraId="6FBC26D6" w14:textId="77777777" w:rsidR="00225AC7" w:rsidRDefault="0082177C">
            <w:pPr>
              <w:spacing w:before="160" w:after="120" w:line="360" w:lineRule="auto"/>
              <w:jc w:val="center"/>
              <w:rPr>
                <w:rFonts w:ascii="Simplified Arabic" w:eastAsia="Simplified Arabic" w:hAnsi="Simplified Arabic" w:cs="Simplified Arabic"/>
                <w:b/>
                <w:bCs/>
                <w:color w:val="000000"/>
                <w:kern w:val="0"/>
                <w:sz w:val="24"/>
                <w:szCs w:val="24"/>
              </w:rPr>
            </w:pPr>
            <w:r>
              <w:rPr>
                <w:rFonts w:ascii="Simplified Arabic" w:eastAsia="Simplified Arabic" w:hAnsi="Simplified Arabic" w:cs="Simplified Arabic"/>
                <w:b/>
                <w:bCs/>
                <w:color w:val="000000"/>
                <w:kern w:val="0"/>
                <w:sz w:val="24"/>
                <w:szCs w:val="24"/>
                <w:rtl/>
              </w:rPr>
              <w:t>الانتقال من قياس الأداء إلى إدارته شرطٌ لتحقيق كفاءة المرافق.</w:t>
            </w:r>
          </w:p>
        </w:tc>
        <w:tc>
          <w:tcPr>
            <w:tcW w:w="2690" w:type="dxa"/>
            <w:tcBorders>
              <w:top w:val="single" w:sz="2" w:space="0" w:color="666666"/>
              <w:left w:val="single" w:sz="2" w:space="0" w:color="666666"/>
              <w:bottom w:val="single" w:sz="2" w:space="0" w:color="666666"/>
            </w:tcBorders>
            <w:shd w:val="clear" w:color="auto" w:fill="CCCCCC"/>
            <w:tcMar>
              <w:top w:w="0" w:type="dxa"/>
              <w:left w:w="108" w:type="dxa"/>
              <w:bottom w:w="0" w:type="dxa"/>
              <w:right w:w="108" w:type="dxa"/>
            </w:tcMar>
          </w:tcPr>
          <w:p w14:paraId="6FBC26D7" w14:textId="77777777" w:rsidR="00225AC7" w:rsidRDefault="0082177C">
            <w:pPr>
              <w:spacing w:before="160" w:after="120" w:line="360" w:lineRule="auto"/>
              <w:jc w:val="center"/>
              <w:rPr>
                <w:rFonts w:ascii="Simplified Arabic" w:eastAsia="Simplified Arabic" w:hAnsi="Simplified Arabic" w:cs="Simplified Arabic"/>
                <w:b/>
                <w:bCs/>
                <w:color w:val="000000"/>
                <w:kern w:val="0"/>
                <w:sz w:val="24"/>
                <w:szCs w:val="24"/>
              </w:rPr>
            </w:pPr>
            <w:r>
              <w:rPr>
                <w:rFonts w:ascii="Simplified Arabic" w:eastAsia="Simplified Arabic" w:hAnsi="Simplified Arabic" w:cs="Simplified Arabic"/>
                <w:b/>
                <w:bCs/>
                <w:color w:val="000000"/>
                <w:kern w:val="0"/>
                <w:sz w:val="24"/>
                <w:szCs w:val="24"/>
                <w:rtl/>
              </w:rPr>
              <w:t>نظرية بحتة بلا قطاع ترفيهي؛ تؤصّل ربط الممارسات بالمؤشرات.</w:t>
            </w:r>
          </w:p>
        </w:tc>
      </w:tr>
      <w:tr w:rsidR="00225AC7" w14:paraId="6FBC26DD" w14:textId="77777777">
        <w:tc>
          <w:tcPr>
            <w:tcW w:w="2267" w:type="dxa"/>
            <w:tcBorders>
              <w:top w:val="single" w:sz="2" w:space="0" w:color="666666"/>
              <w:bottom w:val="single" w:sz="2" w:space="0" w:color="666666"/>
              <w:right w:val="single" w:sz="2" w:space="0" w:color="666666"/>
            </w:tcBorders>
            <w:tcMar>
              <w:top w:w="0" w:type="dxa"/>
              <w:left w:w="108" w:type="dxa"/>
              <w:bottom w:w="0" w:type="dxa"/>
              <w:right w:w="108" w:type="dxa"/>
            </w:tcMar>
          </w:tcPr>
          <w:p w14:paraId="6FBC26D9" w14:textId="77777777" w:rsidR="00225AC7" w:rsidRDefault="0082177C">
            <w:pPr>
              <w:spacing w:before="160" w:after="120" w:line="360" w:lineRule="auto"/>
              <w:jc w:val="center"/>
              <w:rPr>
                <w:rFonts w:ascii="Simplified Arabic" w:eastAsia="Simplified Arabic" w:hAnsi="Simplified Arabic" w:cs="Simplified Arabic"/>
                <w:b/>
                <w:bCs/>
                <w:color w:val="000000"/>
                <w:kern w:val="0"/>
                <w:sz w:val="24"/>
                <w:szCs w:val="24"/>
              </w:rPr>
            </w:pPr>
            <w:r>
              <w:rPr>
                <w:rFonts w:ascii="Simplified Arabic" w:eastAsia="Simplified Arabic" w:hAnsi="Simplified Arabic" w:cs="Simplified Arabic"/>
                <w:b/>
                <w:bCs/>
                <w:color w:val="000000"/>
                <w:kern w:val="0"/>
                <w:sz w:val="24"/>
                <w:szCs w:val="24"/>
              </w:rPr>
              <w:t>Hassanain et al</w:t>
            </w:r>
            <w:r>
              <w:rPr>
                <w:rFonts w:ascii="Simplified Arabic" w:eastAsia="Simplified Arabic" w:hAnsi="Simplified Arabic" w:cs="Simplified Arabic"/>
                <w:b/>
                <w:bCs/>
                <w:color w:val="000000"/>
                <w:kern w:val="0"/>
                <w:sz w:val="24"/>
                <w:szCs w:val="24"/>
                <w:rtl/>
              </w:rPr>
              <w:t>. (2020)</w:t>
            </w:r>
          </w:p>
        </w:tc>
        <w:tc>
          <w:tcPr>
            <w:tcW w:w="1985" w:type="dxa"/>
            <w:tcBorders>
              <w:top w:val="single" w:sz="2" w:space="0" w:color="666666"/>
              <w:left w:val="single" w:sz="2" w:space="0" w:color="666666"/>
              <w:bottom w:val="single" w:sz="2" w:space="0" w:color="666666"/>
              <w:right w:val="single" w:sz="2" w:space="0" w:color="666666"/>
            </w:tcBorders>
            <w:tcMar>
              <w:top w:w="0" w:type="dxa"/>
              <w:left w:w="108" w:type="dxa"/>
              <w:bottom w:w="0" w:type="dxa"/>
              <w:right w:w="108" w:type="dxa"/>
            </w:tcMar>
          </w:tcPr>
          <w:p w14:paraId="6FBC26DA" w14:textId="77777777" w:rsidR="00225AC7" w:rsidRDefault="0082177C">
            <w:pPr>
              <w:spacing w:before="160" w:after="120" w:line="360" w:lineRule="auto"/>
              <w:jc w:val="center"/>
              <w:rPr>
                <w:rFonts w:ascii="Simplified Arabic" w:eastAsia="Simplified Arabic" w:hAnsi="Simplified Arabic" w:cs="Simplified Arabic"/>
                <w:color w:val="000000"/>
                <w:kern w:val="0"/>
                <w:sz w:val="24"/>
                <w:szCs w:val="24"/>
              </w:rPr>
            </w:pPr>
            <w:r>
              <w:rPr>
                <w:rFonts w:ascii="Simplified Arabic" w:eastAsia="Simplified Arabic" w:hAnsi="Simplified Arabic" w:cs="Simplified Arabic"/>
                <w:color w:val="000000"/>
                <w:kern w:val="0"/>
                <w:sz w:val="24"/>
                <w:szCs w:val="24"/>
                <w:rtl/>
              </w:rPr>
              <w:t>تقييم ما بعد الإشغال (مسح ميداني)</w:t>
            </w:r>
          </w:p>
        </w:tc>
        <w:tc>
          <w:tcPr>
            <w:tcW w:w="2409" w:type="dxa"/>
            <w:tcBorders>
              <w:top w:val="single" w:sz="2" w:space="0" w:color="666666"/>
              <w:left w:val="single" w:sz="2" w:space="0" w:color="666666"/>
              <w:bottom w:val="single" w:sz="2" w:space="0" w:color="666666"/>
              <w:right w:val="single" w:sz="2" w:space="0" w:color="666666"/>
            </w:tcBorders>
            <w:tcMar>
              <w:top w:w="0" w:type="dxa"/>
              <w:left w:w="108" w:type="dxa"/>
              <w:bottom w:w="0" w:type="dxa"/>
              <w:right w:w="108" w:type="dxa"/>
            </w:tcMar>
          </w:tcPr>
          <w:p w14:paraId="6FBC26DB" w14:textId="77777777" w:rsidR="00225AC7" w:rsidRDefault="0082177C">
            <w:pPr>
              <w:spacing w:before="160" w:after="120" w:line="360" w:lineRule="auto"/>
              <w:jc w:val="center"/>
              <w:rPr>
                <w:rFonts w:ascii="Simplified Arabic" w:eastAsia="Simplified Arabic" w:hAnsi="Simplified Arabic" w:cs="Simplified Arabic"/>
                <w:color w:val="000000"/>
                <w:kern w:val="0"/>
                <w:sz w:val="24"/>
                <w:szCs w:val="24"/>
              </w:rPr>
            </w:pPr>
            <w:r>
              <w:rPr>
                <w:rFonts w:ascii="Simplified Arabic" w:eastAsia="Simplified Arabic" w:hAnsi="Simplified Arabic" w:cs="Simplified Arabic"/>
                <w:color w:val="000000"/>
                <w:kern w:val="0"/>
                <w:sz w:val="24"/>
                <w:szCs w:val="24"/>
                <w:rtl/>
              </w:rPr>
              <w:t>جودة الصيانة ترتبط برضا المستخدمين وكفاءة التشغيل في سياق سعودي.</w:t>
            </w:r>
          </w:p>
        </w:tc>
        <w:tc>
          <w:tcPr>
            <w:tcW w:w="2690" w:type="dxa"/>
            <w:tcBorders>
              <w:top w:val="single" w:sz="2" w:space="0" w:color="666666"/>
              <w:left w:val="single" w:sz="2" w:space="0" w:color="666666"/>
              <w:bottom w:val="single" w:sz="2" w:space="0" w:color="666666"/>
            </w:tcBorders>
            <w:tcMar>
              <w:top w:w="0" w:type="dxa"/>
              <w:left w:w="108" w:type="dxa"/>
              <w:bottom w:w="0" w:type="dxa"/>
              <w:right w:w="108" w:type="dxa"/>
            </w:tcMar>
          </w:tcPr>
          <w:p w14:paraId="6FBC26DC" w14:textId="77777777" w:rsidR="00225AC7" w:rsidRDefault="0082177C">
            <w:pPr>
              <w:spacing w:before="160" w:after="120" w:line="360" w:lineRule="auto"/>
              <w:jc w:val="center"/>
              <w:rPr>
                <w:rFonts w:ascii="Simplified Arabic" w:eastAsia="Simplified Arabic" w:hAnsi="Simplified Arabic" w:cs="Simplified Arabic"/>
                <w:color w:val="000000"/>
                <w:kern w:val="0"/>
                <w:sz w:val="24"/>
                <w:szCs w:val="24"/>
              </w:rPr>
            </w:pPr>
            <w:r>
              <w:rPr>
                <w:rFonts w:ascii="Simplified Arabic" w:eastAsia="Simplified Arabic" w:hAnsi="Simplified Arabic" w:cs="Simplified Arabic"/>
                <w:color w:val="000000"/>
                <w:kern w:val="0"/>
                <w:sz w:val="24"/>
                <w:szCs w:val="24"/>
                <w:rtl/>
              </w:rPr>
              <w:t>مرافق أكاديمية ثابتة؛ تنقل القياس إلى بيئة الواجهة البحرية.</w:t>
            </w:r>
          </w:p>
        </w:tc>
      </w:tr>
      <w:tr w:rsidR="00225AC7" w14:paraId="6FBC26E2" w14:textId="77777777">
        <w:trPr>
          <w:trHeight w:val="1876"/>
        </w:trPr>
        <w:tc>
          <w:tcPr>
            <w:tcW w:w="2267" w:type="dxa"/>
            <w:tcBorders>
              <w:top w:val="single" w:sz="2" w:space="0" w:color="666666"/>
              <w:bottom w:val="single" w:sz="2" w:space="0" w:color="666666"/>
              <w:right w:val="single" w:sz="2" w:space="0" w:color="666666"/>
            </w:tcBorders>
            <w:shd w:val="clear" w:color="auto" w:fill="CCCCCC"/>
            <w:tcMar>
              <w:top w:w="0" w:type="dxa"/>
              <w:left w:w="108" w:type="dxa"/>
              <w:bottom w:w="0" w:type="dxa"/>
              <w:right w:w="108" w:type="dxa"/>
            </w:tcMar>
          </w:tcPr>
          <w:p w14:paraId="6FBC26DE" w14:textId="77777777" w:rsidR="00225AC7" w:rsidRDefault="0082177C">
            <w:pPr>
              <w:spacing w:before="160" w:after="120" w:line="360" w:lineRule="auto"/>
              <w:jc w:val="center"/>
              <w:rPr>
                <w:rFonts w:ascii="Simplified Arabic" w:eastAsia="Simplified Arabic" w:hAnsi="Simplified Arabic" w:cs="Simplified Arabic"/>
                <w:b/>
                <w:bCs/>
                <w:color w:val="000000"/>
                <w:kern w:val="0"/>
                <w:sz w:val="24"/>
                <w:szCs w:val="24"/>
              </w:rPr>
            </w:pPr>
            <w:r>
              <w:rPr>
                <w:rFonts w:ascii="Simplified Arabic" w:eastAsia="Simplified Arabic" w:hAnsi="Simplified Arabic" w:cs="Simplified Arabic"/>
                <w:b/>
                <w:bCs/>
                <w:color w:val="000000"/>
                <w:kern w:val="0"/>
                <w:sz w:val="24"/>
                <w:szCs w:val="24"/>
              </w:rPr>
              <w:t>Zaki</w:t>
            </w:r>
            <w:r>
              <w:rPr>
                <w:rFonts w:ascii="Simplified Arabic" w:eastAsia="Simplified Arabic" w:hAnsi="Simplified Arabic" w:cs="Simplified Arabic"/>
                <w:b/>
                <w:bCs/>
                <w:color w:val="000000"/>
                <w:kern w:val="0"/>
                <w:sz w:val="24"/>
                <w:szCs w:val="24"/>
                <w:rtl/>
              </w:rPr>
              <w:t xml:space="preserve"> (2025)</w:t>
            </w:r>
          </w:p>
        </w:tc>
        <w:tc>
          <w:tcPr>
            <w:tcW w:w="1985" w:type="dxa"/>
            <w:tcBorders>
              <w:top w:val="single" w:sz="2" w:space="0" w:color="666666"/>
              <w:left w:val="single" w:sz="2" w:space="0" w:color="666666"/>
              <w:bottom w:val="single" w:sz="2" w:space="0" w:color="666666"/>
              <w:right w:val="single" w:sz="2" w:space="0" w:color="666666"/>
            </w:tcBorders>
            <w:shd w:val="clear" w:color="auto" w:fill="CCCCCC"/>
            <w:tcMar>
              <w:top w:w="0" w:type="dxa"/>
              <w:left w:w="108" w:type="dxa"/>
              <w:bottom w:w="0" w:type="dxa"/>
              <w:right w:w="108" w:type="dxa"/>
            </w:tcMar>
          </w:tcPr>
          <w:p w14:paraId="6FBC26DF" w14:textId="77777777" w:rsidR="00225AC7" w:rsidRDefault="0082177C">
            <w:pPr>
              <w:spacing w:before="160" w:after="120" w:line="360" w:lineRule="auto"/>
              <w:jc w:val="center"/>
              <w:rPr>
                <w:rFonts w:ascii="Simplified Arabic" w:eastAsia="Simplified Arabic" w:hAnsi="Simplified Arabic" w:cs="Simplified Arabic"/>
                <w:color w:val="000000"/>
                <w:kern w:val="0"/>
                <w:sz w:val="24"/>
                <w:szCs w:val="24"/>
              </w:rPr>
            </w:pPr>
            <w:r>
              <w:rPr>
                <w:rFonts w:ascii="Simplified Arabic" w:eastAsia="Simplified Arabic" w:hAnsi="Simplified Arabic" w:cs="Simplified Arabic"/>
                <w:color w:val="000000"/>
                <w:kern w:val="0"/>
                <w:sz w:val="24"/>
                <w:szCs w:val="24"/>
                <w:rtl/>
              </w:rPr>
              <w:t xml:space="preserve">كمي </w:t>
            </w:r>
            <w:r>
              <w:rPr>
                <w:rFonts w:ascii="Simplified Arabic" w:eastAsia="Simplified Arabic" w:hAnsi="Simplified Arabic" w:cs="Simplified Arabic"/>
                <w:color w:val="000000"/>
                <w:kern w:val="0"/>
                <w:sz w:val="24"/>
                <w:szCs w:val="24"/>
              </w:rPr>
              <w:t>PLS-SEM</w:t>
            </w:r>
            <w:r>
              <w:rPr>
                <w:rFonts w:ascii="Simplified Arabic" w:eastAsia="Simplified Arabic" w:hAnsi="Simplified Arabic" w:cs="Simplified Arabic"/>
                <w:color w:val="000000"/>
                <w:kern w:val="0"/>
                <w:sz w:val="24"/>
                <w:szCs w:val="24"/>
                <w:rtl/>
              </w:rPr>
              <w:t xml:space="preserve"> (135 فندقاً، 400 استمارة)</w:t>
            </w:r>
          </w:p>
        </w:tc>
        <w:tc>
          <w:tcPr>
            <w:tcW w:w="2409" w:type="dxa"/>
            <w:tcBorders>
              <w:top w:val="single" w:sz="2" w:space="0" w:color="666666"/>
              <w:left w:val="single" w:sz="2" w:space="0" w:color="666666"/>
              <w:bottom w:val="single" w:sz="2" w:space="0" w:color="666666"/>
              <w:right w:val="single" w:sz="2" w:space="0" w:color="666666"/>
            </w:tcBorders>
            <w:shd w:val="clear" w:color="auto" w:fill="CCCCCC"/>
            <w:tcMar>
              <w:top w:w="0" w:type="dxa"/>
              <w:left w:w="108" w:type="dxa"/>
              <w:bottom w:w="0" w:type="dxa"/>
              <w:right w:w="108" w:type="dxa"/>
            </w:tcMar>
          </w:tcPr>
          <w:p w14:paraId="6FBC26E0" w14:textId="77777777" w:rsidR="00225AC7" w:rsidRDefault="0082177C">
            <w:pPr>
              <w:spacing w:before="160" w:after="120" w:line="360" w:lineRule="auto"/>
              <w:jc w:val="center"/>
              <w:rPr>
                <w:rFonts w:ascii="Simplified Arabic" w:eastAsia="Simplified Arabic" w:hAnsi="Simplified Arabic" w:cs="Simplified Arabic"/>
                <w:color w:val="000000"/>
                <w:kern w:val="0"/>
                <w:sz w:val="24"/>
                <w:szCs w:val="24"/>
              </w:rPr>
            </w:pPr>
            <w:r>
              <w:rPr>
                <w:rFonts w:ascii="Simplified Arabic" w:eastAsia="Simplified Arabic" w:hAnsi="Simplified Arabic" w:cs="Simplified Arabic"/>
                <w:color w:val="000000"/>
                <w:kern w:val="0"/>
                <w:sz w:val="24"/>
                <w:szCs w:val="24"/>
                <w:rtl/>
              </w:rPr>
              <w:t>الاقتصاد الدائري وتقنيات الصناعة 4.0 ترتبط إيجاباً بأداء الفنادق.</w:t>
            </w:r>
          </w:p>
        </w:tc>
        <w:tc>
          <w:tcPr>
            <w:tcW w:w="2690" w:type="dxa"/>
            <w:tcBorders>
              <w:top w:val="single" w:sz="2" w:space="0" w:color="666666"/>
              <w:left w:val="single" w:sz="2" w:space="0" w:color="666666"/>
              <w:bottom w:val="single" w:sz="2" w:space="0" w:color="666666"/>
            </w:tcBorders>
            <w:shd w:val="clear" w:color="auto" w:fill="CCCCCC"/>
            <w:tcMar>
              <w:top w:w="0" w:type="dxa"/>
              <w:left w:w="108" w:type="dxa"/>
              <w:bottom w:w="0" w:type="dxa"/>
              <w:right w:w="108" w:type="dxa"/>
            </w:tcMar>
          </w:tcPr>
          <w:p w14:paraId="6FBC26E1" w14:textId="77777777" w:rsidR="00225AC7" w:rsidRDefault="0082177C">
            <w:pPr>
              <w:spacing w:before="160" w:after="120" w:line="360" w:lineRule="auto"/>
              <w:jc w:val="center"/>
              <w:rPr>
                <w:rFonts w:ascii="Simplified Arabic" w:eastAsia="Simplified Arabic" w:hAnsi="Simplified Arabic" w:cs="Simplified Arabic"/>
                <w:color w:val="000000"/>
                <w:kern w:val="0"/>
                <w:sz w:val="24"/>
                <w:szCs w:val="24"/>
              </w:rPr>
            </w:pPr>
            <w:r>
              <w:rPr>
                <w:rFonts w:ascii="Simplified Arabic" w:eastAsia="Simplified Arabic" w:hAnsi="Simplified Arabic" w:cs="Simplified Arabic"/>
                <w:color w:val="000000"/>
                <w:kern w:val="0"/>
                <w:sz w:val="24"/>
                <w:szCs w:val="24"/>
                <w:rtl/>
              </w:rPr>
              <w:t>قطاع فنادق فقط؛ تستفيد من منهجها الكمي ودليلها على العلاقة.</w:t>
            </w:r>
          </w:p>
        </w:tc>
      </w:tr>
      <w:tr w:rsidR="00225AC7" w14:paraId="6FBC26E7" w14:textId="77777777">
        <w:trPr>
          <w:trHeight w:val="1793"/>
        </w:trPr>
        <w:tc>
          <w:tcPr>
            <w:tcW w:w="2267" w:type="dxa"/>
            <w:tcBorders>
              <w:top w:val="single" w:sz="2" w:space="0" w:color="666666"/>
              <w:bottom w:val="single" w:sz="2" w:space="0" w:color="666666"/>
              <w:right w:val="single" w:sz="2" w:space="0" w:color="666666"/>
            </w:tcBorders>
            <w:tcMar>
              <w:top w:w="0" w:type="dxa"/>
              <w:left w:w="108" w:type="dxa"/>
              <w:bottom w:w="0" w:type="dxa"/>
              <w:right w:w="108" w:type="dxa"/>
            </w:tcMar>
          </w:tcPr>
          <w:p w14:paraId="6FBC26E3" w14:textId="77777777" w:rsidR="00225AC7" w:rsidRDefault="0082177C">
            <w:pPr>
              <w:spacing w:before="160" w:after="120" w:line="360" w:lineRule="auto"/>
              <w:jc w:val="center"/>
            </w:pPr>
            <w:r>
              <w:rPr>
                <w:rFonts w:ascii="Simplified Arabic" w:eastAsia="Simplified Arabic" w:hAnsi="Simplified Arabic" w:cs="Simplified Arabic"/>
                <w:bCs/>
                <w:color w:val="000000"/>
                <w:kern w:val="0"/>
                <w:sz w:val="24"/>
                <w:szCs w:val="24"/>
              </w:rPr>
              <w:lastRenderedPageBreak/>
              <w:t>Bouabdallaoui et al</w:t>
            </w:r>
            <w:r>
              <w:rPr>
                <w:rFonts w:ascii="Simplified Arabic" w:eastAsia="Simplified Arabic" w:hAnsi="Simplified Arabic" w:cs="Simplified Arabic"/>
                <w:bCs/>
                <w:color w:val="000000"/>
                <w:kern w:val="0"/>
                <w:sz w:val="24"/>
                <w:szCs w:val="24"/>
                <w:rtl/>
              </w:rPr>
              <w:t>. (2021)</w:t>
            </w:r>
          </w:p>
        </w:tc>
        <w:tc>
          <w:tcPr>
            <w:tcW w:w="1985" w:type="dxa"/>
            <w:tcBorders>
              <w:top w:val="single" w:sz="2" w:space="0" w:color="666666"/>
              <w:left w:val="single" w:sz="2" w:space="0" w:color="666666"/>
              <w:bottom w:val="single" w:sz="2" w:space="0" w:color="666666"/>
              <w:right w:val="single" w:sz="2" w:space="0" w:color="666666"/>
            </w:tcBorders>
            <w:tcMar>
              <w:top w:w="0" w:type="dxa"/>
              <w:left w:w="108" w:type="dxa"/>
              <w:bottom w:w="0" w:type="dxa"/>
              <w:right w:w="108" w:type="dxa"/>
            </w:tcMar>
          </w:tcPr>
          <w:p w14:paraId="6FBC26E4" w14:textId="77777777" w:rsidR="00225AC7" w:rsidRDefault="0082177C">
            <w:pPr>
              <w:spacing w:before="160" w:after="120" w:line="360" w:lineRule="auto"/>
              <w:jc w:val="center"/>
              <w:rPr>
                <w:rFonts w:ascii="Simplified Arabic" w:eastAsia="Simplified Arabic" w:hAnsi="Simplified Arabic" w:cs="Simplified Arabic"/>
                <w:color w:val="000000"/>
                <w:kern w:val="0"/>
                <w:sz w:val="24"/>
                <w:szCs w:val="24"/>
              </w:rPr>
            </w:pPr>
            <w:r>
              <w:rPr>
                <w:rFonts w:ascii="Simplified Arabic" w:eastAsia="Simplified Arabic" w:hAnsi="Simplified Arabic" w:cs="Simplified Arabic"/>
                <w:color w:val="000000"/>
                <w:kern w:val="0"/>
                <w:sz w:val="24"/>
                <w:szCs w:val="24"/>
                <w:rtl/>
              </w:rPr>
              <w:t>تجريبي/تعلّم آلة</w:t>
            </w:r>
          </w:p>
        </w:tc>
        <w:tc>
          <w:tcPr>
            <w:tcW w:w="2409" w:type="dxa"/>
            <w:tcBorders>
              <w:top w:val="single" w:sz="2" w:space="0" w:color="666666"/>
              <w:left w:val="single" w:sz="2" w:space="0" w:color="666666"/>
              <w:bottom w:val="single" w:sz="2" w:space="0" w:color="666666"/>
              <w:right w:val="single" w:sz="2" w:space="0" w:color="666666"/>
            </w:tcBorders>
            <w:tcMar>
              <w:top w:w="0" w:type="dxa"/>
              <w:left w:w="108" w:type="dxa"/>
              <w:bottom w:w="0" w:type="dxa"/>
              <w:right w:w="108" w:type="dxa"/>
            </w:tcMar>
          </w:tcPr>
          <w:p w14:paraId="6FBC26E5" w14:textId="77777777" w:rsidR="00225AC7" w:rsidRDefault="0082177C">
            <w:pPr>
              <w:spacing w:before="160" w:after="120" w:line="360" w:lineRule="auto"/>
              <w:jc w:val="center"/>
              <w:rPr>
                <w:rFonts w:ascii="Simplified Arabic" w:eastAsia="Simplified Arabic" w:hAnsi="Simplified Arabic" w:cs="Simplified Arabic"/>
                <w:color w:val="000000"/>
                <w:kern w:val="0"/>
                <w:sz w:val="24"/>
                <w:szCs w:val="24"/>
              </w:rPr>
            </w:pPr>
            <w:r>
              <w:rPr>
                <w:rFonts w:ascii="Simplified Arabic" w:eastAsia="Simplified Arabic" w:hAnsi="Simplified Arabic" w:cs="Simplified Arabic"/>
                <w:color w:val="000000"/>
                <w:kern w:val="0"/>
                <w:sz w:val="24"/>
                <w:szCs w:val="24"/>
                <w:rtl/>
              </w:rPr>
              <w:t>الصيانة التنبؤية تقلّل الأعطال وترفع الاستمرارية التشغيلية.</w:t>
            </w:r>
          </w:p>
        </w:tc>
        <w:tc>
          <w:tcPr>
            <w:tcW w:w="2690" w:type="dxa"/>
            <w:tcBorders>
              <w:top w:val="single" w:sz="2" w:space="0" w:color="666666"/>
              <w:left w:val="single" w:sz="2" w:space="0" w:color="666666"/>
              <w:bottom w:val="single" w:sz="2" w:space="0" w:color="666666"/>
            </w:tcBorders>
            <w:tcMar>
              <w:top w:w="0" w:type="dxa"/>
              <w:left w:w="108" w:type="dxa"/>
              <w:bottom w:w="0" w:type="dxa"/>
              <w:right w:w="108" w:type="dxa"/>
            </w:tcMar>
          </w:tcPr>
          <w:p w14:paraId="6FBC26E6" w14:textId="77777777" w:rsidR="00225AC7" w:rsidRDefault="0082177C">
            <w:pPr>
              <w:spacing w:before="160" w:after="120" w:line="360" w:lineRule="auto"/>
              <w:jc w:val="center"/>
              <w:rPr>
                <w:rFonts w:ascii="Simplified Arabic" w:eastAsia="Simplified Arabic" w:hAnsi="Simplified Arabic" w:cs="Simplified Arabic"/>
                <w:color w:val="000000"/>
                <w:kern w:val="0"/>
                <w:sz w:val="24"/>
                <w:szCs w:val="24"/>
              </w:rPr>
            </w:pPr>
            <w:r>
              <w:rPr>
                <w:rFonts w:ascii="Simplified Arabic" w:eastAsia="Simplified Arabic" w:hAnsi="Simplified Arabic" w:cs="Simplified Arabic"/>
                <w:color w:val="000000"/>
                <w:kern w:val="0"/>
                <w:sz w:val="24"/>
                <w:szCs w:val="24"/>
                <w:rtl/>
              </w:rPr>
              <w:t>بُعد تقني للمباني عموماً؛ تؤطّر بُعد الصيانة الوقائية.</w:t>
            </w:r>
          </w:p>
        </w:tc>
      </w:tr>
      <w:tr w:rsidR="00225AC7" w14:paraId="6FBC26EC" w14:textId="77777777">
        <w:tc>
          <w:tcPr>
            <w:tcW w:w="2267" w:type="dxa"/>
            <w:tcBorders>
              <w:top w:val="single" w:sz="2" w:space="0" w:color="666666"/>
              <w:bottom w:val="single" w:sz="2" w:space="0" w:color="666666"/>
              <w:right w:val="single" w:sz="2" w:space="0" w:color="666666"/>
            </w:tcBorders>
            <w:shd w:val="clear" w:color="auto" w:fill="CCCCCC"/>
            <w:tcMar>
              <w:top w:w="0" w:type="dxa"/>
              <w:left w:w="108" w:type="dxa"/>
              <w:bottom w:w="0" w:type="dxa"/>
              <w:right w:w="108" w:type="dxa"/>
            </w:tcMar>
          </w:tcPr>
          <w:p w14:paraId="6FBC26E8" w14:textId="77777777" w:rsidR="00225AC7" w:rsidRDefault="0082177C">
            <w:pPr>
              <w:spacing w:before="160" w:after="120" w:line="360" w:lineRule="auto"/>
              <w:jc w:val="center"/>
            </w:pPr>
            <w:r>
              <w:rPr>
                <w:rFonts w:ascii="Simplified Arabic" w:eastAsia="Simplified Arabic" w:hAnsi="Simplified Arabic" w:cs="Simplified Arabic"/>
                <w:bCs/>
                <w:color w:val="000000"/>
                <w:kern w:val="0"/>
                <w:sz w:val="24"/>
                <w:szCs w:val="24"/>
              </w:rPr>
              <w:t>Okoro</w:t>
            </w:r>
            <w:r>
              <w:rPr>
                <w:rFonts w:ascii="Simplified Arabic" w:eastAsia="Simplified Arabic" w:hAnsi="Simplified Arabic" w:cs="Simplified Arabic"/>
                <w:bCs/>
                <w:color w:val="000000"/>
                <w:kern w:val="0"/>
                <w:sz w:val="24"/>
                <w:szCs w:val="24"/>
                <w:rtl/>
              </w:rPr>
              <w:t xml:space="preserve"> (2023)</w:t>
            </w:r>
          </w:p>
        </w:tc>
        <w:tc>
          <w:tcPr>
            <w:tcW w:w="1985" w:type="dxa"/>
            <w:tcBorders>
              <w:top w:val="single" w:sz="2" w:space="0" w:color="666666"/>
              <w:left w:val="single" w:sz="2" w:space="0" w:color="666666"/>
              <w:bottom w:val="single" w:sz="2" w:space="0" w:color="666666"/>
              <w:right w:val="single" w:sz="2" w:space="0" w:color="666666"/>
            </w:tcBorders>
            <w:shd w:val="clear" w:color="auto" w:fill="CCCCCC"/>
            <w:tcMar>
              <w:top w:w="0" w:type="dxa"/>
              <w:left w:w="108" w:type="dxa"/>
              <w:bottom w:w="0" w:type="dxa"/>
              <w:right w:w="108" w:type="dxa"/>
            </w:tcMar>
          </w:tcPr>
          <w:p w14:paraId="6FBC26E9" w14:textId="77777777" w:rsidR="00225AC7" w:rsidRDefault="0082177C">
            <w:pPr>
              <w:spacing w:before="160" w:after="120" w:line="360" w:lineRule="auto"/>
              <w:jc w:val="center"/>
              <w:rPr>
                <w:rFonts w:ascii="Simplified Arabic" w:eastAsia="Simplified Arabic" w:hAnsi="Simplified Arabic" w:cs="Simplified Arabic"/>
                <w:color w:val="000000"/>
                <w:kern w:val="0"/>
                <w:sz w:val="24"/>
                <w:szCs w:val="24"/>
              </w:rPr>
            </w:pPr>
            <w:r>
              <w:rPr>
                <w:rFonts w:ascii="Simplified Arabic" w:eastAsia="Simplified Arabic" w:hAnsi="Simplified Arabic" w:cs="Simplified Arabic"/>
                <w:color w:val="000000"/>
                <w:kern w:val="0"/>
                <w:sz w:val="24"/>
                <w:szCs w:val="24"/>
                <w:rtl/>
              </w:rPr>
              <w:t>مراجعة مختلطة (ببليومتري + محتوى)</w:t>
            </w:r>
          </w:p>
        </w:tc>
        <w:tc>
          <w:tcPr>
            <w:tcW w:w="2409" w:type="dxa"/>
            <w:tcBorders>
              <w:top w:val="single" w:sz="2" w:space="0" w:color="666666"/>
              <w:left w:val="single" w:sz="2" w:space="0" w:color="666666"/>
              <w:bottom w:val="single" w:sz="2" w:space="0" w:color="666666"/>
              <w:right w:val="single" w:sz="2" w:space="0" w:color="666666"/>
            </w:tcBorders>
            <w:shd w:val="clear" w:color="auto" w:fill="CCCCCC"/>
            <w:tcMar>
              <w:top w:w="0" w:type="dxa"/>
              <w:left w:w="108" w:type="dxa"/>
              <w:bottom w:w="0" w:type="dxa"/>
              <w:right w:w="108" w:type="dxa"/>
            </w:tcMar>
          </w:tcPr>
          <w:p w14:paraId="6FBC26EA" w14:textId="77777777" w:rsidR="00225AC7" w:rsidRDefault="0082177C">
            <w:pPr>
              <w:spacing w:before="160" w:after="120" w:line="360" w:lineRule="auto"/>
              <w:jc w:val="center"/>
              <w:rPr>
                <w:rFonts w:ascii="Simplified Arabic" w:eastAsia="Simplified Arabic" w:hAnsi="Simplified Arabic" w:cs="Simplified Arabic"/>
                <w:color w:val="000000"/>
                <w:kern w:val="0"/>
                <w:sz w:val="24"/>
                <w:szCs w:val="24"/>
              </w:rPr>
            </w:pPr>
            <w:r>
              <w:rPr>
                <w:rFonts w:ascii="Simplified Arabic" w:eastAsia="Simplified Arabic" w:hAnsi="Simplified Arabic" w:cs="Simplified Arabic"/>
                <w:color w:val="000000"/>
                <w:kern w:val="0"/>
                <w:sz w:val="24"/>
                <w:szCs w:val="24"/>
                <w:rtl/>
              </w:rPr>
              <w:t>حقل إدارة المرافق المستدامة ناشئ؛ أبرز موضوعاته المباني الخضراء والذكية و</w:t>
            </w:r>
            <w:r>
              <w:rPr>
                <w:rFonts w:ascii="Simplified Arabic" w:eastAsia="Simplified Arabic" w:hAnsi="Simplified Arabic" w:cs="Simplified Arabic"/>
                <w:color w:val="000000"/>
                <w:kern w:val="0"/>
                <w:sz w:val="24"/>
                <w:szCs w:val="24"/>
              </w:rPr>
              <w:t>BIM</w:t>
            </w:r>
            <w:r>
              <w:rPr>
                <w:rFonts w:ascii="Simplified Arabic" w:eastAsia="Simplified Arabic" w:hAnsi="Simplified Arabic" w:cs="Simplified Arabic"/>
                <w:color w:val="000000"/>
                <w:kern w:val="0"/>
                <w:sz w:val="24"/>
                <w:szCs w:val="24"/>
                <w:rtl/>
              </w:rPr>
              <w:t>.</w:t>
            </w:r>
          </w:p>
        </w:tc>
        <w:tc>
          <w:tcPr>
            <w:tcW w:w="2690" w:type="dxa"/>
            <w:tcBorders>
              <w:top w:val="single" w:sz="2" w:space="0" w:color="666666"/>
              <w:left w:val="single" w:sz="2" w:space="0" w:color="666666"/>
              <w:bottom w:val="single" w:sz="2" w:space="0" w:color="666666"/>
            </w:tcBorders>
            <w:shd w:val="clear" w:color="auto" w:fill="CCCCCC"/>
            <w:tcMar>
              <w:top w:w="0" w:type="dxa"/>
              <w:left w:w="108" w:type="dxa"/>
              <w:bottom w:w="0" w:type="dxa"/>
              <w:right w:w="108" w:type="dxa"/>
            </w:tcMar>
          </w:tcPr>
          <w:p w14:paraId="6FBC26EB" w14:textId="77777777" w:rsidR="00225AC7" w:rsidRDefault="0082177C">
            <w:pPr>
              <w:spacing w:before="160" w:after="120" w:line="360" w:lineRule="auto"/>
              <w:jc w:val="center"/>
              <w:rPr>
                <w:rFonts w:ascii="Simplified Arabic" w:eastAsia="Simplified Arabic" w:hAnsi="Simplified Arabic" w:cs="Simplified Arabic"/>
                <w:color w:val="000000"/>
                <w:kern w:val="0"/>
                <w:sz w:val="24"/>
                <w:szCs w:val="24"/>
              </w:rPr>
            </w:pPr>
            <w:r>
              <w:rPr>
                <w:rFonts w:ascii="Simplified Arabic" w:eastAsia="Simplified Arabic" w:hAnsi="Simplified Arabic" w:cs="Simplified Arabic"/>
                <w:color w:val="000000"/>
                <w:kern w:val="0"/>
                <w:sz w:val="24"/>
                <w:szCs w:val="24"/>
                <w:rtl/>
              </w:rPr>
              <w:t>مفاهيمي/ببليومتري بلا قطاع محدد؛ تُموضِع المشكلة البحثية.</w:t>
            </w:r>
          </w:p>
        </w:tc>
      </w:tr>
      <w:tr w:rsidR="00225AC7" w14:paraId="6FBC26F1" w14:textId="77777777">
        <w:tc>
          <w:tcPr>
            <w:tcW w:w="2267" w:type="dxa"/>
            <w:tcBorders>
              <w:top w:val="single" w:sz="2" w:space="0" w:color="666666"/>
              <w:bottom w:val="single" w:sz="2" w:space="0" w:color="666666"/>
              <w:right w:val="single" w:sz="2" w:space="0" w:color="666666"/>
            </w:tcBorders>
            <w:tcMar>
              <w:top w:w="0" w:type="dxa"/>
              <w:left w:w="108" w:type="dxa"/>
              <w:bottom w:w="0" w:type="dxa"/>
              <w:right w:w="108" w:type="dxa"/>
            </w:tcMar>
          </w:tcPr>
          <w:p w14:paraId="6FBC26ED" w14:textId="77777777" w:rsidR="00225AC7" w:rsidRDefault="0082177C">
            <w:pPr>
              <w:spacing w:before="160" w:after="120" w:line="360" w:lineRule="auto"/>
              <w:jc w:val="center"/>
            </w:pPr>
            <w:r>
              <w:rPr>
                <w:rFonts w:ascii="Simplified Arabic" w:eastAsia="Simplified Arabic" w:hAnsi="Simplified Arabic" w:cs="Simplified Arabic"/>
                <w:b/>
                <w:bCs/>
                <w:color w:val="000000"/>
                <w:kern w:val="0"/>
                <w:sz w:val="24"/>
                <w:szCs w:val="24"/>
              </w:rPr>
              <w:t>Bouabdallaoui et al</w:t>
            </w:r>
            <w:r>
              <w:rPr>
                <w:rFonts w:ascii="Simplified Arabic" w:eastAsia="Simplified Arabic" w:hAnsi="Simplified Arabic" w:cs="Simplified Arabic"/>
                <w:b/>
                <w:bCs/>
                <w:color w:val="000000"/>
                <w:kern w:val="0"/>
                <w:sz w:val="24"/>
                <w:szCs w:val="24"/>
                <w:rtl/>
              </w:rPr>
              <w:t>. (2021) و</w:t>
            </w:r>
            <w:r>
              <w:rPr>
                <w:rFonts w:ascii="Simplified Arabic" w:eastAsia="Simplified Arabic" w:hAnsi="Simplified Arabic" w:cs="Simplified Arabic"/>
                <w:b/>
                <w:bCs/>
                <w:color w:val="000000"/>
                <w:kern w:val="0"/>
                <w:sz w:val="24"/>
                <w:szCs w:val="24"/>
              </w:rPr>
              <w:t>IFMA</w:t>
            </w:r>
            <w:r>
              <w:rPr>
                <w:rFonts w:ascii="Simplified Arabic" w:eastAsia="Simplified Arabic" w:hAnsi="Simplified Arabic" w:cs="Simplified Arabic"/>
                <w:b/>
                <w:bCs/>
                <w:color w:val="000000"/>
                <w:kern w:val="0"/>
                <w:sz w:val="24"/>
                <w:szCs w:val="24"/>
                <w:rtl/>
              </w:rPr>
              <w:t xml:space="preserve"> (2022)</w:t>
            </w:r>
          </w:p>
        </w:tc>
        <w:tc>
          <w:tcPr>
            <w:tcW w:w="1985" w:type="dxa"/>
            <w:tcBorders>
              <w:top w:val="single" w:sz="2" w:space="0" w:color="666666"/>
              <w:left w:val="single" w:sz="2" w:space="0" w:color="666666"/>
              <w:bottom w:val="single" w:sz="2" w:space="0" w:color="666666"/>
              <w:right w:val="single" w:sz="2" w:space="0" w:color="666666"/>
            </w:tcBorders>
            <w:tcMar>
              <w:top w:w="0" w:type="dxa"/>
              <w:left w:w="108" w:type="dxa"/>
              <w:bottom w:w="0" w:type="dxa"/>
              <w:right w:w="108" w:type="dxa"/>
            </w:tcMar>
          </w:tcPr>
          <w:p w14:paraId="6FBC26EE" w14:textId="77777777" w:rsidR="00225AC7" w:rsidRDefault="0082177C">
            <w:pPr>
              <w:spacing w:before="160" w:after="120" w:line="360" w:lineRule="auto"/>
              <w:jc w:val="center"/>
              <w:rPr>
                <w:rFonts w:ascii="Simplified Arabic" w:eastAsia="Simplified Arabic" w:hAnsi="Simplified Arabic" w:cs="Simplified Arabic"/>
                <w:color w:val="000000"/>
                <w:kern w:val="0"/>
                <w:sz w:val="24"/>
                <w:szCs w:val="24"/>
              </w:rPr>
            </w:pPr>
            <w:r>
              <w:rPr>
                <w:rFonts w:ascii="Simplified Arabic" w:eastAsia="Simplified Arabic" w:hAnsi="Simplified Arabic" w:cs="Simplified Arabic"/>
                <w:color w:val="000000"/>
                <w:kern w:val="0"/>
                <w:sz w:val="24"/>
                <w:szCs w:val="24"/>
                <w:rtl/>
              </w:rPr>
              <w:t>تجريبي/تعلّم آلة + توثيق ممارسات</w:t>
            </w:r>
          </w:p>
        </w:tc>
        <w:tc>
          <w:tcPr>
            <w:tcW w:w="2409" w:type="dxa"/>
            <w:tcBorders>
              <w:top w:val="single" w:sz="2" w:space="0" w:color="666666"/>
              <w:left w:val="single" w:sz="2" w:space="0" w:color="666666"/>
              <w:bottom w:val="single" w:sz="2" w:space="0" w:color="666666"/>
              <w:right w:val="single" w:sz="2" w:space="0" w:color="666666"/>
            </w:tcBorders>
            <w:tcMar>
              <w:top w:w="0" w:type="dxa"/>
              <w:left w:w="108" w:type="dxa"/>
              <w:bottom w:w="0" w:type="dxa"/>
              <w:right w:w="108" w:type="dxa"/>
            </w:tcMar>
          </w:tcPr>
          <w:p w14:paraId="6FBC26EF" w14:textId="77777777" w:rsidR="00225AC7" w:rsidRDefault="0082177C">
            <w:pPr>
              <w:spacing w:before="160" w:after="120" w:line="360" w:lineRule="auto"/>
              <w:jc w:val="center"/>
              <w:rPr>
                <w:rFonts w:ascii="Simplified Arabic" w:eastAsia="Simplified Arabic" w:hAnsi="Simplified Arabic" w:cs="Simplified Arabic"/>
                <w:color w:val="000000"/>
                <w:kern w:val="0"/>
                <w:sz w:val="24"/>
                <w:szCs w:val="24"/>
              </w:rPr>
            </w:pPr>
            <w:r>
              <w:rPr>
                <w:rFonts w:ascii="Simplified Arabic" w:eastAsia="Simplified Arabic" w:hAnsi="Simplified Arabic" w:cs="Simplified Arabic"/>
                <w:color w:val="000000"/>
                <w:kern w:val="0"/>
                <w:sz w:val="24"/>
                <w:szCs w:val="24"/>
                <w:rtl/>
              </w:rPr>
              <w:t>الصيانة التنبؤية والوقائية تقلّل الأعطال وترفع الاستمرارية التشغيلية.</w:t>
            </w:r>
          </w:p>
        </w:tc>
        <w:tc>
          <w:tcPr>
            <w:tcW w:w="2690" w:type="dxa"/>
            <w:tcBorders>
              <w:top w:val="single" w:sz="2" w:space="0" w:color="666666"/>
              <w:left w:val="single" w:sz="2" w:space="0" w:color="666666"/>
              <w:bottom w:val="single" w:sz="2" w:space="0" w:color="666666"/>
            </w:tcBorders>
            <w:tcMar>
              <w:top w:w="0" w:type="dxa"/>
              <w:left w:w="108" w:type="dxa"/>
              <w:bottom w:w="0" w:type="dxa"/>
              <w:right w:w="108" w:type="dxa"/>
            </w:tcMar>
          </w:tcPr>
          <w:p w14:paraId="6FBC26F0" w14:textId="77777777" w:rsidR="00225AC7" w:rsidRDefault="0082177C">
            <w:pPr>
              <w:spacing w:before="160" w:after="120" w:line="360" w:lineRule="auto"/>
              <w:jc w:val="center"/>
              <w:rPr>
                <w:rFonts w:ascii="Simplified Arabic" w:eastAsia="Simplified Arabic" w:hAnsi="Simplified Arabic" w:cs="Simplified Arabic"/>
                <w:color w:val="000000"/>
                <w:kern w:val="0"/>
                <w:sz w:val="24"/>
                <w:szCs w:val="24"/>
              </w:rPr>
            </w:pPr>
            <w:r>
              <w:rPr>
                <w:rFonts w:ascii="Simplified Arabic" w:eastAsia="Simplified Arabic" w:hAnsi="Simplified Arabic" w:cs="Simplified Arabic"/>
                <w:color w:val="000000"/>
                <w:kern w:val="0"/>
                <w:sz w:val="24"/>
                <w:szCs w:val="24"/>
                <w:rtl/>
              </w:rPr>
              <w:t>بُعد تقني للمباني عموماً؛ تؤطّر بُعد الصيانة الوقائية.</w:t>
            </w:r>
          </w:p>
        </w:tc>
      </w:tr>
      <w:tr w:rsidR="00225AC7" w14:paraId="6FBC26F6" w14:textId="77777777">
        <w:tc>
          <w:tcPr>
            <w:tcW w:w="2267" w:type="dxa"/>
            <w:tcBorders>
              <w:top w:val="single" w:sz="2" w:space="0" w:color="666666"/>
              <w:bottom w:val="single" w:sz="2" w:space="0" w:color="666666"/>
              <w:right w:val="single" w:sz="2" w:space="0" w:color="666666"/>
            </w:tcBorders>
            <w:shd w:val="clear" w:color="auto" w:fill="CCCCCC"/>
            <w:tcMar>
              <w:top w:w="0" w:type="dxa"/>
              <w:left w:w="108" w:type="dxa"/>
              <w:bottom w:w="0" w:type="dxa"/>
              <w:right w:w="108" w:type="dxa"/>
            </w:tcMar>
          </w:tcPr>
          <w:p w14:paraId="6FBC26F2" w14:textId="77777777" w:rsidR="00225AC7" w:rsidRDefault="0082177C">
            <w:pPr>
              <w:spacing w:before="160" w:after="120" w:line="360" w:lineRule="auto"/>
              <w:jc w:val="center"/>
              <w:rPr>
                <w:rFonts w:ascii="Simplified Arabic" w:eastAsia="Simplified Arabic" w:hAnsi="Simplified Arabic" w:cs="Simplified Arabic"/>
                <w:b/>
                <w:bCs/>
                <w:color w:val="000000"/>
                <w:kern w:val="0"/>
                <w:sz w:val="24"/>
                <w:szCs w:val="24"/>
              </w:rPr>
            </w:pPr>
            <w:proofErr w:type="spellStart"/>
            <w:r>
              <w:rPr>
                <w:rFonts w:ascii="Simplified Arabic" w:eastAsia="Simplified Arabic" w:hAnsi="Simplified Arabic" w:cs="Simplified Arabic"/>
                <w:b/>
                <w:bCs/>
                <w:color w:val="000000"/>
                <w:kern w:val="0"/>
                <w:sz w:val="24"/>
                <w:szCs w:val="24"/>
              </w:rPr>
              <w:t>Hauashdh</w:t>
            </w:r>
            <w:proofErr w:type="spellEnd"/>
            <w:r>
              <w:rPr>
                <w:rFonts w:ascii="Simplified Arabic" w:eastAsia="Simplified Arabic" w:hAnsi="Simplified Arabic" w:cs="Simplified Arabic"/>
                <w:b/>
                <w:bCs/>
                <w:color w:val="000000"/>
                <w:kern w:val="0"/>
                <w:sz w:val="24"/>
                <w:szCs w:val="24"/>
              </w:rPr>
              <w:t xml:space="preserve"> et al</w:t>
            </w:r>
            <w:r>
              <w:rPr>
                <w:rFonts w:ascii="Simplified Arabic" w:eastAsia="Simplified Arabic" w:hAnsi="Simplified Arabic" w:cs="Simplified Arabic"/>
                <w:b/>
                <w:bCs/>
                <w:color w:val="000000"/>
                <w:kern w:val="0"/>
                <w:sz w:val="24"/>
                <w:szCs w:val="24"/>
                <w:rtl/>
              </w:rPr>
              <w:t>. (2024)</w:t>
            </w:r>
          </w:p>
        </w:tc>
        <w:tc>
          <w:tcPr>
            <w:tcW w:w="1985" w:type="dxa"/>
            <w:tcBorders>
              <w:top w:val="single" w:sz="2" w:space="0" w:color="666666"/>
              <w:left w:val="single" w:sz="2" w:space="0" w:color="666666"/>
              <w:bottom w:val="single" w:sz="2" w:space="0" w:color="666666"/>
              <w:right w:val="single" w:sz="2" w:space="0" w:color="666666"/>
            </w:tcBorders>
            <w:shd w:val="clear" w:color="auto" w:fill="CCCCCC"/>
            <w:tcMar>
              <w:top w:w="0" w:type="dxa"/>
              <w:left w:w="108" w:type="dxa"/>
              <w:bottom w:w="0" w:type="dxa"/>
              <w:right w:w="108" w:type="dxa"/>
            </w:tcMar>
          </w:tcPr>
          <w:p w14:paraId="6FBC26F3" w14:textId="77777777" w:rsidR="00225AC7" w:rsidRDefault="0082177C">
            <w:pPr>
              <w:spacing w:before="160" w:after="120" w:line="360" w:lineRule="auto"/>
              <w:jc w:val="center"/>
              <w:rPr>
                <w:rFonts w:ascii="Simplified Arabic" w:eastAsia="Simplified Arabic" w:hAnsi="Simplified Arabic" w:cs="Simplified Arabic"/>
                <w:color w:val="000000"/>
                <w:kern w:val="0"/>
                <w:sz w:val="24"/>
                <w:szCs w:val="24"/>
              </w:rPr>
            </w:pPr>
            <w:r>
              <w:rPr>
                <w:rFonts w:ascii="Simplified Arabic" w:eastAsia="Simplified Arabic" w:hAnsi="Simplified Arabic" w:cs="Simplified Arabic"/>
                <w:color w:val="000000"/>
                <w:kern w:val="0"/>
                <w:sz w:val="24"/>
                <w:szCs w:val="24"/>
                <w:rtl/>
              </w:rPr>
              <w:t>مختلط متسلسل</w:t>
            </w:r>
          </w:p>
        </w:tc>
        <w:tc>
          <w:tcPr>
            <w:tcW w:w="2409" w:type="dxa"/>
            <w:tcBorders>
              <w:top w:val="single" w:sz="2" w:space="0" w:color="666666"/>
              <w:left w:val="single" w:sz="2" w:space="0" w:color="666666"/>
              <w:bottom w:val="single" w:sz="2" w:space="0" w:color="666666"/>
              <w:right w:val="single" w:sz="2" w:space="0" w:color="666666"/>
            </w:tcBorders>
            <w:shd w:val="clear" w:color="auto" w:fill="CCCCCC"/>
            <w:tcMar>
              <w:top w:w="0" w:type="dxa"/>
              <w:left w:w="108" w:type="dxa"/>
              <w:bottom w:w="0" w:type="dxa"/>
              <w:right w:w="108" w:type="dxa"/>
            </w:tcMar>
          </w:tcPr>
          <w:p w14:paraId="6FBC26F4" w14:textId="77777777" w:rsidR="00225AC7" w:rsidRDefault="0082177C">
            <w:pPr>
              <w:spacing w:before="160" w:after="120" w:line="360" w:lineRule="auto"/>
              <w:jc w:val="center"/>
              <w:rPr>
                <w:rFonts w:ascii="Simplified Arabic" w:eastAsia="Simplified Arabic" w:hAnsi="Simplified Arabic" w:cs="Simplified Arabic"/>
                <w:color w:val="000000"/>
                <w:kern w:val="0"/>
                <w:sz w:val="24"/>
                <w:szCs w:val="24"/>
              </w:rPr>
            </w:pPr>
            <w:r>
              <w:rPr>
                <w:rFonts w:ascii="Simplified Arabic" w:eastAsia="Simplified Arabic" w:hAnsi="Simplified Arabic" w:cs="Simplified Arabic"/>
                <w:color w:val="000000"/>
                <w:kern w:val="0"/>
                <w:sz w:val="24"/>
                <w:szCs w:val="24"/>
                <w:rtl/>
              </w:rPr>
              <w:t>إطار يربط الصيانة المستدامة بأهداف التنمية المستدامة والمناخ والتقنية.</w:t>
            </w:r>
          </w:p>
        </w:tc>
        <w:tc>
          <w:tcPr>
            <w:tcW w:w="2690" w:type="dxa"/>
            <w:tcBorders>
              <w:top w:val="single" w:sz="2" w:space="0" w:color="666666"/>
              <w:left w:val="single" w:sz="2" w:space="0" w:color="666666"/>
              <w:bottom w:val="single" w:sz="2" w:space="0" w:color="666666"/>
            </w:tcBorders>
            <w:shd w:val="clear" w:color="auto" w:fill="CCCCCC"/>
            <w:tcMar>
              <w:top w:w="0" w:type="dxa"/>
              <w:left w:w="108" w:type="dxa"/>
              <w:bottom w:w="0" w:type="dxa"/>
              <w:right w:w="108" w:type="dxa"/>
            </w:tcMar>
          </w:tcPr>
          <w:p w14:paraId="6FBC26F5" w14:textId="77777777" w:rsidR="00225AC7" w:rsidRDefault="0082177C">
            <w:pPr>
              <w:spacing w:before="160" w:after="120" w:line="360" w:lineRule="auto"/>
              <w:jc w:val="center"/>
              <w:rPr>
                <w:rFonts w:ascii="Simplified Arabic" w:eastAsia="Simplified Arabic" w:hAnsi="Simplified Arabic" w:cs="Simplified Arabic"/>
                <w:color w:val="000000"/>
                <w:kern w:val="0"/>
                <w:sz w:val="24"/>
                <w:szCs w:val="24"/>
              </w:rPr>
            </w:pPr>
            <w:r>
              <w:rPr>
                <w:rFonts w:ascii="Simplified Arabic" w:eastAsia="Simplified Arabic" w:hAnsi="Simplified Arabic" w:cs="Simplified Arabic"/>
                <w:color w:val="000000"/>
                <w:kern w:val="0"/>
                <w:sz w:val="24"/>
                <w:szCs w:val="24"/>
                <w:rtl/>
              </w:rPr>
              <w:t>بُعد بيئي/تقني للمباني؛ تربطه بكفاءة التشغيل ميدانياً.</w:t>
            </w:r>
          </w:p>
        </w:tc>
      </w:tr>
      <w:tr w:rsidR="00225AC7" w14:paraId="6FBC26FB" w14:textId="77777777">
        <w:tc>
          <w:tcPr>
            <w:tcW w:w="2267" w:type="dxa"/>
            <w:tcBorders>
              <w:top w:val="single" w:sz="2" w:space="0" w:color="666666"/>
              <w:bottom w:val="single" w:sz="2" w:space="0" w:color="666666"/>
              <w:right w:val="single" w:sz="2" w:space="0" w:color="666666"/>
            </w:tcBorders>
            <w:tcMar>
              <w:top w:w="0" w:type="dxa"/>
              <w:left w:w="108" w:type="dxa"/>
              <w:bottom w:w="0" w:type="dxa"/>
              <w:right w:w="108" w:type="dxa"/>
            </w:tcMar>
          </w:tcPr>
          <w:p w14:paraId="6FBC26F7" w14:textId="77777777" w:rsidR="00225AC7" w:rsidRDefault="0082177C">
            <w:pPr>
              <w:spacing w:before="160" w:after="120" w:line="360" w:lineRule="auto"/>
              <w:jc w:val="center"/>
              <w:rPr>
                <w:rFonts w:ascii="Simplified Arabic" w:eastAsia="Simplified Arabic" w:hAnsi="Simplified Arabic" w:cs="Simplified Arabic"/>
                <w:b/>
                <w:bCs/>
                <w:color w:val="000000"/>
                <w:kern w:val="0"/>
                <w:sz w:val="24"/>
                <w:szCs w:val="24"/>
              </w:rPr>
            </w:pPr>
            <w:proofErr w:type="spellStart"/>
            <w:r>
              <w:rPr>
                <w:rFonts w:ascii="Simplified Arabic" w:eastAsia="Simplified Arabic" w:hAnsi="Simplified Arabic" w:cs="Simplified Arabic"/>
                <w:b/>
                <w:bCs/>
                <w:color w:val="000000"/>
                <w:kern w:val="0"/>
                <w:sz w:val="24"/>
                <w:szCs w:val="24"/>
              </w:rPr>
              <w:t>Pedral</w:t>
            </w:r>
            <w:proofErr w:type="spellEnd"/>
            <w:r>
              <w:rPr>
                <w:rFonts w:ascii="Simplified Arabic" w:eastAsia="Simplified Arabic" w:hAnsi="Simplified Arabic" w:cs="Simplified Arabic"/>
                <w:b/>
                <w:bCs/>
                <w:color w:val="000000"/>
                <w:kern w:val="0"/>
                <w:sz w:val="24"/>
                <w:szCs w:val="24"/>
              </w:rPr>
              <w:t xml:space="preserve"> Sampaio et al</w:t>
            </w:r>
            <w:r>
              <w:rPr>
                <w:rFonts w:ascii="Simplified Arabic" w:eastAsia="Simplified Arabic" w:hAnsi="Simplified Arabic" w:cs="Simplified Arabic"/>
                <w:b/>
                <w:bCs/>
                <w:color w:val="000000"/>
                <w:kern w:val="0"/>
                <w:sz w:val="24"/>
                <w:szCs w:val="24"/>
                <w:rtl/>
              </w:rPr>
              <w:t>. (2022)</w:t>
            </w:r>
          </w:p>
        </w:tc>
        <w:tc>
          <w:tcPr>
            <w:tcW w:w="1985" w:type="dxa"/>
            <w:tcBorders>
              <w:top w:val="single" w:sz="2" w:space="0" w:color="666666"/>
              <w:left w:val="single" w:sz="2" w:space="0" w:color="666666"/>
              <w:bottom w:val="single" w:sz="2" w:space="0" w:color="666666"/>
              <w:right w:val="single" w:sz="2" w:space="0" w:color="666666"/>
            </w:tcBorders>
            <w:tcMar>
              <w:top w:w="0" w:type="dxa"/>
              <w:left w:w="108" w:type="dxa"/>
              <w:bottom w:w="0" w:type="dxa"/>
              <w:right w:w="108" w:type="dxa"/>
            </w:tcMar>
          </w:tcPr>
          <w:p w14:paraId="6FBC26F8" w14:textId="77777777" w:rsidR="00225AC7" w:rsidRDefault="0082177C">
            <w:pPr>
              <w:spacing w:before="160" w:after="120" w:line="360" w:lineRule="auto"/>
              <w:jc w:val="center"/>
              <w:rPr>
                <w:rFonts w:ascii="Simplified Arabic" w:eastAsia="Simplified Arabic" w:hAnsi="Simplified Arabic" w:cs="Simplified Arabic"/>
                <w:color w:val="000000"/>
                <w:kern w:val="0"/>
                <w:sz w:val="24"/>
                <w:szCs w:val="24"/>
              </w:rPr>
            </w:pPr>
            <w:r>
              <w:rPr>
                <w:rFonts w:ascii="Simplified Arabic" w:eastAsia="Simplified Arabic" w:hAnsi="Simplified Arabic" w:cs="Simplified Arabic"/>
                <w:color w:val="000000"/>
                <w:kern w:val="0"/>
                <w:sz w:val="24"/>
                <w:szCs w:val="24"/>
                <w:rtl/>
              </w:rPr>
              <w:t>مراجعة منهجية</w:t>
            </w:r>
          </w:p>
        </w:tc>
        <w:tc>
          <w:tcPr>
            <w:tcW w:w="2409" w:type="dxa"/>
            <w:tcBorders>
              <w:top w:val="single" w:sz="2" w:space="0" w:color="666666"/>
              <w:left w:val="single" w:sz="2" w:space="0" w:color="666666"/>
              <w:bottom w:val="single" w:sz="2" w:space="0" w:color="666666"/>
              <w:right w:val="single" w:sz="2" w:space="0" w:color="666666"/>
            </w:tcBorders>
            <w:tcMar>
              <w:top w:w="0" w:type="dxa"/>
              <w:left w:w="108" w:type="dxa"/>
              <w:bottom w:w="0" w:type="dxa"/>
              <w:right w:w="108" w:type="dxa"/>
            </w:tcMar>
          </w:tcPr>
          <w:p w14:paraId="6FBC26F9" w14:textId="77777777" w:rsidR="00225AC7" w:rsidRDefault="0082177C">
            <w:pPr>
              <w:spacing w:before="160" w:after="120" w:line="360" w:lineRule="auto"/>
              <w:jc w:val="center"/>
              <w:rPr>
                <w:rFonts w:ascii="Simplified Arabic" w:eastAsia="Simplified Arabic" w:hAnsi="Simplified Arabic" w:cs="Simplified Arabic"/>
                <w:color w:val="000000"/>
                <w:kern w:val="0"/>
                <w:sz w:val="24"/>
                <w:szCs w:val="24"/>
              </w:rPr>
            </w:pPr>
            <w:r>
              <w:rPr>
                <w:rFonts w:ascii="Simplified Arabic" w:eastAsia="Simplified Arabic" w:hAnsi="Simplified Arabic" w:cs="Simplified Arabic"/>
                <w:color w:val="000000"/>
                <w:kern w:val="0"/>
                <w:sz w:val="24"/>
                <w:szCs w:val="24"/>
                <w:rtl/>
              </w:rPr>
              <w:t>تطبيقات الذكاء الاصطناعي تحسّن قرار إدارة المرافق والصيانة التنبؤية.</w:t>
            </w:r>
          </w:p>
        </w:tc>
        <w:tc>
          <w:tcPr>
            <w:tcW w:w="2690" w:type="dxa"/>
            <w:tcBorders>
              <w:top w:val="single" w:sz="2" w:space="0" w:color="666666"/>
              <w:left w:val="single" w:sz="2" w:space="0" w:color="666666"/>
              <w:bottom w:val="single" w:sz="2" w:space="0" w:color="666666"/>
            </w:tcBorders>
            <w:tcMar>
              <w:top w:w="0" w:type="dxa"/>
              <w:left w:w="108" w:type="dxa"/>
              <w:bottom w:w="0" w:type="dxa"/>
              <w:right w:w="108" w:type="dxa"/>
            </w:tcMar>
          </w:tcPr>
          <w:p w14:paraId="6FBC26FA" w14:textId="77777777" w:rsidR="00225AC7" w:rsidRDefault="0082177C">
            <w:pPr>
              <w:spacing w:before="160" w:after="120" w:line="360" w:lineRule="auto"/>
              <w:jc w:val="center"/>
              <w:rPr>
                <w:rFonts w:ascii="Simplified Arabic" w:eastAsia="Simplified Arabic" w:hAnsi="Simplified Arabic" w:cs="Simplified Arabic"/>
                <w:color w:val="000000"/>
                <w:kern w:val="0"/>
                <w:sz w:val="24"/>
                <w:szCs w:val="24"/>
              </w:rPr>
            </w:pPr>
            <w:r>
              <w:rPr>
                <w:rFonts w:ascii="Simplified Arabic" w:eastAsia="Simplified Arabic" w:hAnsi="Simplified Arabic" w:cs="Simplified Arabic"/>
                <w:color w:val="000000"/>
                <w:kern w:val="0"/>
                <w:sz w:val="24"/>
                <w:szCs w:val="24"/>
                <w:rtl/>
              </w:rPr>
              <w:t>بُعد تقني عام؛ تربط الأنظمة الرقمية بسرعة الاستجابة.</w:t>
            </w:r>
          </w:p>
        </w:tc>
      </w:tr>
      <w:tr w:rsidR="00225AC7" w14:paraId="6FBC2700" w14:textId="77777777">
        <w:tc>
          <w:tcPr>
            <w:tcW w:w="2267" w:type="dxa"/>
            <w:tcBorders>
              <w:top w:val="single" w:sz="2" w:space="0" w:color="666666"/>
              <w:bottom w:val="single" w:sz="2" w:space="0" w:color="666666"/>
              <w:right w:val="single" w:sz="2" w:space="0" w:color="666666"/>
            </w:tcBorders>
            <w:shd w:val="clear" w:color="auto" w:fill="CCCCCC"/>
            <w:tcMar>
              <w:top w:w="0" w:type="dxa"/>
              <w:left w:w="108" w:type="dxa"/>
              <w:bottom w:w="0" w:type="dxa"/>
              <w:right w:w="108" w:type="dxa"/>
            </w:tcMar>
          </w:tcPr>
          <w:p w14:paraId="6FBC26FC" w14:textId="77777777" w:rsidR="00225AC7" w:rsidRDefault="0082177C">
            <w:pPr>
              <w:spacing w:before="160" w:after="120" w:line="360" w:lineRule="auto"/>
              <w:jc w:val="center"/>
              <w:rPr>
                <w:rFonts w:ascii="Simplified Arabic" w:eastAsia="Simplified Arabic" w:hAnsi="Simplified Arabic" w:cs="Simplified Arabic"/>
                <w:b/>
                <w:bCs/>
                <w:color w:val="000000"/>
                <w:kern w:val="0"/>
                <w:sz w:val="24"/>
                <w:szCs w:val="24"/>
              </w:rPr>
            </w:pPr>
            <w:r>
              <w:rPr>
                <w:rFonts w:ascii="Simplified Arabic" w:eastAsia="Simplified Arabic" w:hAnsi="Simplified Arabic" w:cs="Simplified Arabic"/>
                <w:b/>
                <w:bCs/>
                <w:color w:val="000000"/>
                <w:kern w:val="0"/>
                <w:sz w:val="24"/>
                <w:szCs w:val="24"/>
              </w:rPr>
              <w:lastRenderedPageBreak/>
              <w:t>PwC</w:t>
            </w:r>
            <w:r>
              <w:rPr>
                <w:rFonts w:ascii="Simplified Arabic" w:eastAsia="Simplified Arabic" w:hAnsi="Simplified Arabic" w:cs="Simplified Arabic"/>
                <w:b/>
                <w:bCs/>
                <w:color w:val="000000"/>
                <w:kern w:val="0"/>
                <w:sz w:val="24"/>
                <w:szCs w:val="24"/>
                <w:rtl/>
              </w:rPr>
              <w:t xml:space="preserve"> والجمعية السعودية (2025)</w:t>
            </w:r>
          </w:p>
        </w:tc>
        <w:tc>
          <w:tcPr>
            <w:tcW w:w="1985" w:type="dxa"/>
            <w:tcBorders>
              <w:top w:val="single" w:sz="2" w:space="0" w:color="666666"/>
              <w:left w:val="single" w:sz="2" w:space="0" w:color="666666"/>
              <w:bottom w:val="single" w:sz="2" w:space="0" w:color="666666"/>
              <w:right w:val="single" w:sz="2" w:space="0" w:color="666666"/>
            </w:tcBorders>
            <w:shd w:val="clear" w:color="auto" w:fill="CCCCCC"/>
            <w:tcMar>
              <w:top w:w="0" w:type="dxa"/>
              <w:left w:w="108" w:type="dxa"/>
              <w:bottom w:w="0" w:type="dxa"/>
              <w:right w:w="108" w:type="dxa"/>
            </w:tcMar>
          </w:tcPr>
          <w:p w14:paraId="6FBC26FD" w14:textId="77777777" w:rsidR="00225AC7" w:rsidRDefault="0082177C">
            <w:pPr>
              <w:spacing w:before="160" w:after="120" w:line="360" w:lineRule="auto"/>
              <w:jc w:val="center"/>
              <w:rPr>
                <w:rFonts w:ascii="Simplified Arabic" w:eastAsia="Simplified Arabic" w:hAnsi="Simplified Arabic" w:cs="Simplified Arabic"/>
                <w:color w:val="000000"/>
                <w:kern w:val="0"/>
                <w:sz w:val="24"/>
                <w:szCs w:val="24"/>
              </w:rPr>
            </w:pPr>
            <w:r>
              <w:rPr>
                <w:rFonts w:ascii="Simplified Arabic" w:eastAsia="Simplified Arabic" w:hAnsi="Simplified Arabic" w:cs="Simplified Arabic"/>
                <w:color w:val="000000"/>
                <w:kern w:val="0"/>
                <w:sz w:val="24"/>
                <w:szCs w:val="24"/>
                <w:rtl/>
              </w:rPr>
              <w:t>تقرير سوق</w:t>
            </w:r>
          </w:p>
        </w:tc>
        <w:tc>
          <w:tcPr>
            <w:tcW w:w="2409" w:type="dxa"/>
            <w:tcBorders>
              <w:top w:val="single" w:sz="2" w:space="0" w:color="666666"/>
              <w:left w:val="single" w:sz="2" w:space="0" w:color="666666"/>
              <w:bottom w:val="single" w:sz="2" w:space="0" w:color="666666"/>
              <w:right w:val="single" w:sz="2" w:space="0" w:color="666666"/>
            </w:tcBorders>
            <w:shd w:val="clear" w:color="auto" w:fill="CCCCCC"/>
            <w:tcMar>
              <w:top w:w="0" w:type="dxa"/>
              <w:left w:w="108" w:type="dxa"/>
              <w:bottom w:w="0" w:type="dxa"/>
              <w:right w:w="108" w:type="dxa"/>
            </w:tcMar>
          </w:tcPr>
          <w:p w14:paraId="6FBC26FE" w14:textId="77777777" w:rsidR="00225AC7" w:rsidRDefault="0082177C">
            <w:pPr>
              <w:spacing w:before="160" w:after="120" w:line="360" w:lineRule="auto"/>
              <w:jc w:val="center"/>
              <w:rPr>
                <w:rFonts w:ascii="Simplified Arabic" w:eastAsia="Simplified Arabic" w:hAnsi="Simplified Arabic" w:cs="Simplified Arabic"/>
                <w:color w:val="000000"/>
                <w:kern w:val="0"/>
                <w:sz w:val="24"/>
                <w:szCs w:val="24"/>
              </w:rPr>
            </w:pPr>
            <w:r>
              <w:rPr>
                <w:rFonts w:ascii="Simplified Arabic" w:eastAsia="Simplified Arabic" w:hAnsi="Simplified Arabic" w:cs="Simplified Arabic"/>
                <w:color w:val="000000"/>
                <w:kern w:val="0"/>
                <w:sz w:val="24"/>
                <w:szCs w:val="24"/>
                <w:rtl/>
              </w:rPr>
              <w:t>قطاع إدارة المرافق السعودي تجاوز 50 مليار دولار 2024 وتحوّل نحو عقود الأداء.</w:t>
            </w:r>
          </w:p>
        </w:tc>
        <w:tc>
          <w:tcPr>
            <w:tcW w:w="2690" w:type="dxa"/>
            <w:tcBorders>
              <w:top w:val="single" w:sz="2" w:space="0" w:color="666666"/>
              <w:left w:val="single" w:sz="2" w:space="0" w:color="666666"/>
              <w:bottom w:val="single" w:sz="2" w:space="0" w:color="666666"/>
            </w:tcBorders>
            <w:shd w:val="clear" w:color="auto" w:fill="CCCCCC"/>
            <w:tcMar>
              <w:top w:w="0" w:type="dxa"/>
              <w:left w:w="108" w:type="dxa"/>
              <w:bottom w:w="0" w:type="dxa"/>
              <w:right w:w="108" w:type="dxa"/>
            </w:tcMar>
          </w:tcPr>
          <w:p w14:paraId="6FBC26FF" w14:textId="77777777" w:rsidR="00225AC7" w:rsidRDefault="0082177C">
            <w:pPr>
              <w:spacing w:before="160" w:after="120" w:line="360" w:lineRule="auto"/>
              <w:jc w:val="center"/>
              <w:rPr>
                <w:rFonts w:ascii="Simplified Arabic" w:eastAsia="Simplified Arabic" w:hAnsi="Simplified Arabic" w:cs="Simplified Arabic"/>
                <w:color w:val="000000"/>
                <w:kern w:val="0"/>
                <w:sz w:val="24"/>
                <w:szCs w:val="24"/>
              </w:rPr>
            </w:pPr>
            <w:r>
              <w:rPr>
                <w:rFonts w:ascii="Simplified Arabic" w:eastAsia="Simplified Arabic" w:hAnsi="Simplified Arabic" w:cs="Simplified Arabic"/>
                <w:color w:val="000000"/>
                <w:kern w:val="0"/>
                <w:sz w:val="24"/>
                <w:szCs w:val="24"/>
                <w:rtl/>
              </w:rPr>
              <w:t>لا قياس إحصائي ولا قطاع ترفيهي؛ تؤطّر حجم القطاع واتجاهه.</w:t>
            </w:r>
          </w:p>
        </w:tc>
      </w:tr>
      <w:tr w:rsidR="00225AC7" w14:paraId="6FBC2705" w14:textId="77777777">
        <w:tc>
          <w:tcPr>
            <w:tcW w:w="2267" w:type="dxa"/>
            <w:tcBorders>
              <w:top w:val="single" w:sz="2" w:space="0" w:color="666666"/>
              <w:bottom w:val="single" w:sz="2" w:space="0" w:color="666666"/>
              <w:right w:val="single" w:sz="2" w:space="0" w:color="666666"/>
            </w:tcBorders>
            <w:tcMar>
              <w:top w:w="0" w:type="dxa"/>
              <w:left w:w="108" w:type="dxa"/>
              <w:bottom w:w="0" w:type="dxa"/>
              <w:right w:w="108" w:type="dxa"/>
            </w:tcMar>
          </w:tcPr>
          <w:p w14:paraId="6FBC2701" w14:textId="77777777" w:rsidR="00225AC7" w:rsidRDefault="0082177C">
            <w:pPr>
              <w:spacing w:before="160" w:after="120" w:line="360" w:lineRule="auto"/>
              <w:rPr>
                <w:rFonts w:ascii="Simplified Arabic" w:eastAsia="Simplified Arabic" w:hAnsi="Simplified Arabic" w:cs="Simplified Arabic"/>
                <w:b/>
                <w:bCs/>
                <w:color w:val="000000"/>
                <w:kern w:val="0"/>
                <w:sz w:val="24"/>
                <w:szCs w:val="24"/>
              </w:rPr>
            </w:pPr>
            <w:r>
              <w:rPr>
                <w:rFonts w:ascii="Simplified Arabic" w:eastAsia="Simplified Arabic" w:hAnsi="Simplified Arabic" w:cs="Simplified Arabic"/>
                <w:b/>
                <w:bCs/>
                <w:color w:val="000000"/>
                <w:kern w:val="0"/>
                <w:sz w:val="24"/>
                <w:szCs w:val="24"/>
                <w:rtl/>
              </w:rPr>
              <w:t>محمد (2023)</w:t>
            </w:r>
          </w:p>
        </w:tc>
        <w:tc>
          <w:tcPr>
            <w:tcW w:w="1985" w:type="dxa"/>
            <w:tcBorders>
              <w:top w:val="single" w:sz="2" w:space="0" w:color="666666"/>
              <w:left w:val="single" w:sz="2" w:space="0" w:color="666666"/>
              <w:bottom w:val="single" w:sz="2" w:space="0" w:color="666666"/>
              <w:right w:val="single" w:sz="2" w:space="0" w:color="666666"/>
            </w:tcBorders>
            <w:tcMar>
              <w:top w:w="0" w:type="dxa"/>
              <w:left w:w="108" w:type="dxa"/>
              <w:bottom w:w="0" w:type="dxa"/>
              <w:right w:w="108" w:type="dxa"/>
            </w:tcMar>
          </w:tcPr>
          <w:p w14:paraId="6FBC2702" w14:textId="77777777" w:rsidR="00225AC7" w:rsidRDefault="0082177C">
            <w:pPr>
              <w:spacing w:before="160" w:after="120" w:line="360" w:lineRule="auto"/>
              <w:jc w:val="center"/>
              <w:rPr>
                <w:rFonts w:ascii="Simplified Arabic" w:eastAsia="Simplified Arabic" w:hAnsi="Simplified Arabic" w:cs="Simplified Arabic"/>
                <w:color w:val="000000"/>
                <w:kern w:val="0"/>
                <w:sz w:val="24"/>
                <w:szCs w:val="24"/>
              </w:rPr>
            </w:pPr>
            <w:r>
              <w:rPr>
                <w:rFonts w:ascii="Simplified Arabic" w:eastAsia="Simplified Arabic" w:hAnsi="Simplified Arabic" w:cs="Simplified Arabic"/>
                <w:color w:val="000000"/>
                <w:kern w:val="0"/>
                <w:sz w:val="24"/>
                <w:szCs w:val="24"/>
                <w:rtl/>
              </w:rPr>
              <w:t xml:space="preserve">كمي (استبانة + </w:t>
            </w:r>
            <w:r>
              <w:rPr>
                <w:rFonts w:ascii="Simplified Arabic" w:eastAsia="Simplified Arabic" w:hAnsi="Simplified Arabic" w:cs="Simplified Arabic"/>
                <w:color w:val="000000"/>
                <w:kern w:val="0"/>
                <w:sz w:val="24"/>
                <w:szCs w:val="24"/>
              </w:rPr>
              <w:t>SEM</w:t>
            </w:r>
            <w:r>
              <w:rPr>
                <w:rFonts w:ascii="Simplified Arabic" w:eastAsia="Simplified Arabic" w:hAnsi="Simplified Arabic" w:cs="Simplified Arabic"/>
                <w:color w:val="000000"/>
                <w:kern w:val="0"/>
                <w:sz w:val="24"/>
                <w:szCs w:val="24"/>
                <w:rtl/>
              </w:rPr>
              <w:t>)</w:t>
            </w:r>
          </w:p>
        </w:tc>
        <w:tc>
          <w:tcPr>
            <w:tcW w:w="2409" w:type="dxa"/>
            <w:tcBorders>
              <w:top w:val="single" w:sz="2" w:space="0" w:color="666666"/>
              <w:left w:val="single" w:sz="2" w:space="0" w:color="666666"/>
              <w:bottom w:val="single" w:sz="2" w:space="0" w:color="666666"/>
              <w:right w:val="single" w:sz="2" w:space="0" w:color="666666"/>
            </w:tcBorders>
            <w:tcMar>
              <w:top w:w="0" w:type="dxa"/>
              <w:left w:w="108" w:type="dxa"/>
              <w:bottom w:w="0" w:type="dxa"/>
              <w:right w:w="108" w:type="dxa"/>
            </w:tcMar>
          </w:tcPr>
          <w:p w14:paraId="6FBC2703" w14:textId="77777777" w:rsidR="00225AC7" w:rsidRDefault="0082177C">
            <w:pPr>
              <w:spacing w:before="160" w:after="120" w:line="360" w:lineRule="auto"/>
              <w:jc w:val="center"/>
              <w:rPr>
                <w:rFonts w:ascii="Simplified Arabic" w:eastAsia="Simplified Arabic" w:hAnsi="Simplified Arabic" w:cs="Simplified Arabic"/>
                <w:color w:val="000000"/>
                <w:kern w:val="0"/>
                <w:sz w:val="24"/>
                <w:szCs w:val="24"/>
              </w:rPr>
            </w:pPr>
            <w:r>
              <w:rPr>
                <w:rFonts w:ascii="Simplified Arabic" w:eastAsia="Simplified Arabic" w:hAnsi="Simplified Arabic" w:cs="Simplified Arabic"/>
                <w:color w:val="000000"/>
                <w:kern w:val="0"/>
                <w:sz w:val="24"/>
                <w:szCs w:val="24"/>
                <w:rtl/>
              </w:rPr>
              <w:t>تحديد 17 عاملاً حرجاً لأداء الطاقة؛ وبروز المحرّكات الاستراتيجية والسياسة الإدارية كأقوى محدّدات كفاءة الطاقة في فنادق جدة.</w:t>
            </w:r>
          </w:p>
        </w:tc>
        <w:tc>
          <w:tcPr>
            <w:tcW w:w="2690" w:type="dxa"/>
            <w:tcBorders>
              <w:top w:val="single" w:sz="2" w:space="0" w:color="666666"/>
              <w:left w:val="single" w:sz="2" w:space="0" w:color="666666"/>
              <w:bottom w:val="single" w:sz="2" w:space="0" w:color="666666"/>
            </w:tcBorders>
            <w:tcMar>
              <w:top w:w="0" w:type="dxa"/>
              <w:left w:w="108" w:type="dxa"/>
              <w:bottom w:w="0" w:type="dxa"/>
              <w:right w:w="108" w:type="dxa"/>
            </w:tcMar>
          </w:tcPr>
          <w:p w14:paraId="6FBC2704" w14:textId="77777777" w:rsidR="00225AC7" w:rsidRDefault="0082177C">
            <w:pPr>
              <w:spacing w:before="160" w:after="120" w:line="360" w:lineRule="auto"/>
              <w:jc w:val="center"/>
              <w:rPr>
                <w:rFonts w:ascii="Simplified Arabic" w:eastAsia="Simplified Arabic" w:hAnsi="Simplified Arabic" w:cs="Simplified Arabic"/>
                <w:color w:val="000000"/>
                <w:kern w:val="0"/>
                <w:sz w:val="24"/>
                <w:szCs w:val="24"/>
              </w:rPr>
            </w:pPr>
            <w:r>
              <w:rPr>
                <w:rFonts w:ascii="Simplified Arabic" w:eastAsia="Simplified Arabic" w:hAnsi="Simplified Arabic" w:cs="Simplified Arabic"/>
                <w:color w:val="000000"/>
                <w:kern w:val="0"/>
                <w:sz w:val="24"/>
                <w:szCs w:val="24"/>
                <w:rtl/>
              </w:rPr>
              <w:t>بُعد الطاقة وقطاع الفنادق فقط؛ تدعم البُعد الإداري المحلي دون الأبعاد الثلاثة أو الوجهات الساحلية.</w:t>
            </w:r>
          </w:p>
        </w:tc>
      </w:tr>
      <w:tr w:rsidR="00225AC7" w14:paraId="6FBC270A" w14:textId="77777777">
        <w:tc>
          <w:tcPr>
            <w:tcW w:w="2267" w:type="dxa"/>
            <w:tcBorders>
              <w:top w:val="single" w:sz="2" w:space="0" w:color="666666"/>
              <w:bottom w:val="single" w:sz="2" w:space="0" w:color="666666"/>
              <w:right w:val="single" w:sz="2" w:space="0" w:color="666666"/>
            </w:tcBorders>
            <w:shd w:val="clear" w:color="auto" w:fill="CCCCCC"/>
            <w:tcMar>
              <w:top w:w="0" w:type="dxa"/>
              <w:left w:w="108" w:type="dxa"/>
              <w:bottom w:w="0" w:type="dxa"/>
              <w:right w:w="108" w:type="dxa"/>
            </w:tcMar>
          </w:tcPr>
          <w:p w14:paraId="6FBC2706" w14:textId="77777777" w:rsidR="00225AC7" w:rsidRDefault="0082177C">
            <w:pPr>
              <w:spacing w:before="160" w:after="120" w:line="360" w:lineRule="auto"/>
              <w:jc w:val="center"/>
              <w:rPr>
                <w:rFonts w:ascii="Simplified Arabic" w:eastAsia="Simplified Arabic" w:hAnsi="Simplified Arabic" w:cs="Simplified Arabic"/>
                <w:b/>
                <w:bCs/>
                <w:color w:val="000000"/>
                <w:kern w:val="0"/>
                <w:sz w:val="24"/>
                <w:szCs w:val="24"/>
              </w:rPr>
            </w:pPr>
            <w:r>
              <w:rPr>
                <w:rFonts w:ascii="Simplified Arabic" w:eastAsia="Simplified Arabic" w:hAnsi="Simplified Arabic" w:cs="Simplified Arabic"/>
                <w:b/>
                <w:bCs/>
                <w:color w:val="000000"/>
                <w:kern w:val="0"/>
                <w:sz w:val="24"/>
                <w:szCs w:val="24"/>
                <w:rtl/>
              </w:rPr>
              <w:t>مطر (2024)</w:t>
            </w:r>
          </w:p>
        </w:tc>
        <w:tc>
          <w:tcPr>
            <w:tcW w:w="1985" w:type="dxa"/>
            <w:tcBorders>
              <w:top w:val="single" w:sz="2" w:space="0" w:color="666666"/>
              <w:left w:val="single" w:sz="2" w:space="0" w:color="666666"/>
              <w:bottom w:val="single" w:sz="2" w:space="0" w:color="666666"/>
              <w:right w:val="single" w:sz="2" w:space="0" w:color="666666"/>
            </w:tcBorders>
            <w:shd w:val="clear" w:color="auto" w:fill="CCCCCC"/>
            <w:tcMar>
              <w:top w:w="0" w:type="dxa"/>
              <w:left w:w="108" w:type="dxa"/>
              <w:bottom w:w="0" w:type="dxa"/>
              <w:right w:w="108" w:type="dxa"/>
            </w:tcMar>
          </w:tcPr>
          <w:p w14:paraId="6FBC2707" w14:textId="77777777" w:rsidR="00225AC7" w:rsidRDefault="0082177C">
            <w:pPr>
              <w:spacing w:before="160" w:after="120" w:line="360" w:lineRule="auto"/>
              <w:jc w:val="center"/>
              <w:rPr>
                <w:rFonts w:ascii="Simplified Arabic" w:eastAsia="Simplified Arabic" w:hAnsi="Simplified Arabic" w:cs="Simplified Arabic"/>
                <w:color w:val="000000"/>
                <w:kern w:val="0"/>
                <w:sz w:val="24"/>
                <w:szCs w:val="24"/>
              </w:rPr>
            </w:pPr>
            <w:r>
              <w:rPr>
                <w:rFonts w:ascii="Simplified Arabic" w:eastAsia="Simplified Arabic" w:hAnsi="Simplified Arabic" w:cs="Simplified Arabic"/>
                <w:color w:val="000000"/>
                <w:kern w:val="0"/>
                <w:sz w:val="24"/>
                <w:szCs w:val="24"/>
                <w:rtl/>
              </w:rPr>
              <w:t>كمي (وصفي تحليلي ارتباطي)</w:t>
            </w:r>
          </w:p>
        </w:tc>
        <w:tc>
          <w:tcPr>
            <w:tcW w:w="2409" w:type="dxa"/>
            <w:tcBorders>
              <w:top w:val="single" w:sz="2" w:space="0" w:color="666666"/>
              <w:left w:val="single" w:sz="2" w:space="0" w:color="666666"/>
              <w:bottom w:val="single" w:sz="2" w:space="0" w:color="666666"/>
              <w:right w:val="single" w:sz="2" w:space="0" w:color="666666"/>
            </w:tcBorders>
            <w:shd w:val="clear" w:color="auto" w:fill="CCCCCC"/>
            <w:tcMar>
              <w:top w:w="0" w:type="dxa"/>
              <w:left w:w="108" w:type="dxa"/>
              <w:bottom w:w="0" w:type="dxa"/>
              <w:right w:w="108" w:type="dxa"/>
            </w:tcMar>
          </w:tcPr>
          <w:p w14:paraId="6FBC2708" w14:textId="77777777" w:rsidR="00225AC7" w:rsidRDefault="0082177C">
            <w:pPr>
              <w:spacing w:before="160" w:after="120" w:line="360" w:lineRule="auto"/>
              <w:jc w:val="center"/>
              <w:rPr>
                <w:rFonts w:ascii="Simplified Arabic" w:eastAsia="Simplified Arabic" w:hAnsi="Simplified Arabic" w:cs="Simplified Arabic"/>
                <w:color w:val="000000"/>
                <w:kern w:val="0"/>
                <w:sz w:val="24"/>
                <w:szCs w:val="24"/>
              </w:rPr>
            </w:pPr>
            <w:r>
              <w:rPr>
                <w:rFonts w:ascii="Simplified Arabic" w:eastAsia="Simplified Arabic" w:hAnsi="Simplified Arabic" w:cs="Simplified Arabic"/>
                <w:color w:val="000000"/>
                <w:kern w:val="0"/>
                <w:sz w:val="24"/>
                <w:szCs w:val="24"/>
                <w:rtl/>
              </w:rPr>
              <w:t>أثر إيجابي ذو دلالة للإدارة الرشيقة في رفع كفاءة العاملين بإدارة المرافق في جدة.</w:t>
            </w:r>
          </w:p>
        </w:tc>
        <w:tc>
          <w:tcPr>
            <w:tcW w:w="2690" w:type="dxa"/>
            <w:tcBorders>
              <w:top w:val="single" w:sz="2" w:space="0" w:color="666666"/>
              <w:left w:val="single" w:sz="2" w:space="0" w:color="666666"/>
              <w:bottom w:val="single" w:sz="2" w:space="0" w:color="666666"/>
            </w:tcBorders>
            <w:shd w:val="clear" w:color="auto" w:fill="CCCCCC"/>
            <w:tcMar>
              <w:top w:w="0" w:type="dxa"/>
              <w:left w:w="108" w:type="dxa"/>
              <w:bottom w:w="0" w:type="dxa"/>
              <w:right w:w="108" w:type="dxa"/>
            </w:tcMar>
          </w:tcPr>
          <w:p w14:paraId="6FBC2709" w14:textId="77777777" w:rsidR="00225AC7" w:rsidRDefault="0082177C">
            <w:pPr>
              <w:spacing w:before="160" w:after="120" w:line="360" w:lineRule="auto"/>
              <w:jc w:val="center"/>
              <w:rPr>
                <w:rFonts w:ascii="Simplified Arabic" w:eastAsia="Simplified Arabic" w:hAnsi="Simplified Arabic" w:cs="Simplified Arabic"/>
                <w:color w:val="000000"/>
                <w:kern w:val="0"/>
                <w:sz w:val="24"/>
                <w:szCs w:val="24"/>
              </w:rPr>
            </w:pPr>
            <w:r>
              <w:rPr>
                <w:rFonts w:ascii="Simplified Arabic" w:eastAsia="Simplified Arabic" w:hAnsi="Simplified Arabic" w:cs="Simplified Arabic"/>
                <w:color w:val="000000"/>
                <w:kern w:val="0"/>
                <w:sz w:val="24"/>
                <w:szCs w:val="24"/>
                <w:rtl/>
              </w:rPr>
              <w:t>بُعد الإدارة الرشيقة فقط؛ دراسة عربية محلية داعمة.</w:t>
            </w:r>
          </w:p>
        </w:tc>
      </w:tr>
    </w:tbl>
    <w:p w14:paraId="6FBC270B" w14:textId="77777777" w:rsidR="00225AC7" w:rsidRDefault="00225AC7">
      <w:pPr>
        <w:rPr>
          <w:rFonts w:ascii="Simplified Arabic" w:eastAsia="Simplified Arabic" w:hAnsi="Simplified Arabic" w:cs="Simplified Arabic"/>
          <w:color w:val="000000"/>
          <w:kern w:val="0"/>
          <w:sz w:val="28"/>
          <w:szCs w:val="28"/>
        </w:rPr>
      </w:pPr>
    </w:p>
    <w:p w14:paraId="6FBC270C" w14:textId="77777777" w:rsidR="00225AC7" w:rsidRDefault="0082177C">
      <w:pPr>
        <w:spacing w:line="360" w:lineRule="auto"/>
      </w:pPr>
      <w:r>
        <w:rPr>
          <w:rFonts w:ascii="Times New Roman" w:hAnsi="Times New Roman" w:cs="Simplified Arabic"/>
          <w:sz w:val="28"/>
          <w:szCs w:val="28"/>
          <w:rtl/>
        </w:rPr>
        <w:t xml:space="preserve">وخلاصةً، تجمع الدراسات السابقة من خلال المقارنة بالجدول اعلاه على أهمية تبنّي ممارسات إدارة المرافق المستدامة لتحسين الكفاءة التشغيلية وتقليل التكاليف وكانت النتيجة كالتالي: - </w:t>
      </w:r>
    </w:p>
    <w:p w14:paraId="6FBC270D" w14:textId="77777777" w:rsidR="00225AC7" w:rsidRDefault="0082177C">
      <w:pPr>
        <w:spacing w:line="360" w:lineRule="auto"/>
      </w:pPr>
      <w:r>
        <w:rPr>
          <w:rFonts w:ascii="Times New Roman" w:hAnsi="Times New Roman" w:cs="Simplified Arabic"/>
          <w:sz w:val="28"/>
          <w:szCs w:val="28"/>
        </w:rPr>
        <w:t>1</w:t>
      </w:r>
      <w:r>
        <w:rPr>
          <w:rFonts w:ascii="Times New Roman" w:hAnsi="Times New Roman" w:cs="Simplified Arabic"/>
          <w:sz w:val="28"/>
          <w:szCs w:val="28"/>
          <w:rtl/>
        </w:rPr>
        <w:t>-غياب الدراسات التي تربط ممارسات إدارة المرافق المستدامة بكفاءة التشغيل بشكل مخصص في الوجهات الترفيهية الساحلية (واجهات بحرية) في المملكة العربية السعودية، وتحديداً في مدينة جدة.</w:t>
      </w:r>
    </w:p>
    <w:p w14:paraId="6FBC270E" w14:textId="77777777" w:rsidR="00225AC7" w:rsidRDefault="0082177C">
      <w:pPr>
        <w:spacing w:line="360" w:lineRule="auto"/>
      </w:pPr>
      <w:r>
        <w:rPr>
          <w:rFonts w:ascii="Times New Roman" w:hAnsi="Times New Roman" w:cs="Simplified Arabic"/>
          <w:sz w:val="28"/>
          <w:szCs w:val="28"/>
        </w:rPr>
        <w:lastRenderedPageBreak/>
        <w:t>2</w:t>
      </w:r>
      <w:r>
        <w:rPr>
          <w:rFonts w:ascii="Times New Roman" w:hAnsi="Times New Roman" w:cs="Simplified Arabic"/>
          <w:sz w:val="28"/>
          <w:szCs w:val="28"/>
          <w:rtl/>
        </w:rPr>
        <w:t>-اقتصار الدراسات ذات السياق السعودي على القطاعين الحكومي والفندقي، مع إغفال مشاريع الواجهات البحرية الترفيهية التي تمثّل نموذجاً مختلفاً في طبيعة الأصول والتشغيل.</w:t>
      </w:r>
    </w:p>
    <w:p w14:paraId="6FBC270F" w14:textId="77777777" w:rsidR="00225AC7" w:rsidRDefault="0082177C">
      <w:pPr>
        <w:spacing w:line="360" w:lineRule="auto"/>
      </w:pPr>
      <w:r>
        <w:rPr>
          <w:rFonts w:ascii="Times New Roman" w:hAnsi="Times New Roman" w:cs="Simplified Arabic"/>
          <w:sz w:val="28"/>
          <w:szCs w:val="28"/>
        </w:rPr>
        <w:t>3</w:t>
      </w:r>
      <w:r>
        <w:rPr>
          <w:rFonts w:ascii="Times New Roman" w:hAnsi="Times New Roman" w:cs="Simplified Arabic"/>
          <w:sz w:val="28"/>
          <w:szCs w:val="28"/>
          <w:rtl/>
        </w:rPr>
        <w:t>-ندرة الدراسات الكمية الكافية التي تختبر إحصائياً العلاقة بين أبعاد إدارة المرافق المستدامة وكفاءة التشغيل في المملكة.</w:t>
      </w:r>
    </w:p>
    <w:p w14:paraId="6FBC2710" w14:textId="77777777" w:rsidR="00225AC7" w:rsidRDefault="0082177C">
      <w:pPr>
        <w:spacing w:line="360" w:lineRule="auto"/>
      </w:pPr>
      <w:r>
        <w:rPr>
          <w:rFonts w:ascii="Times New Roman" w:hAnsi="Times New Roman" w:cs="Simplified Arabic"/>
          <w:sz w:val="28"/>
          <w:szCs w:val="28"/>
        </w:rPr>
        <w:t>4</w:t>
      </w:r>
      <w:r>
        <w:rPr>
          <w:rFonts w:ascii="Times New Roman" w:hAnsi="Times New Roman" w:cs="Simplified Arabic"/>
          <w:sz w:val="28"/>
          <w:szCs w:val="28"/>
          <w:rtl/>
        </w:rPr>
        <w:t>-عدم توافر أطر قياسية معتمدة لتقييم هذه العلاقة في مشاريع رؤية 2030 الترفيهية.</w:t>
      </w:r>
    </w:p>
    <w:p w14:paraId="6FBC2711" w14:textId="77777777" w:rsidR="00225AC7" w:rsidRDefault="0082177C">
      <w:pPr>
        <w:spacing w:line="360" w:lineRule="auto"/>
      </w:pPr>
      <w:r>
        <w:rPr>
          <w:rFonts w:ascii="Times New Roman" w:hAnsi="Times New Roman" w:cs="Simplified Arabic"/>
          <w:sz w:val="28"/>
          <w:szCs w:val="28"/>
          <w:rtl/>
        </w:rPr>
        <w:t>تركز الدراسة الحالية بكونها تجمع الأبعاد الثلاثة في إطار واحد مُطبَّق على قطاع الوجهات الترفيهية الساحلية في المملكة العربية السعودية، وتحديداً مشاريع الواجهة البحرية بجدة، وهو سياق لم يحظَ باهتمام كافٍ في الأدبيات العربية والخليجية على حدٍّ سواء. وتسعى الدراسة الحالية إلى سدّ هذه الفجوة من خلال دراسة كمية تطبيقية على مشاريع الواجهة البحرية في جدة.</w:t>
      </w:r>
    </w:p>
    <w:p w14:paraId="6FBC2712" w14:textId="77777777" w:rsidR="00225AC7" w:rsidRDefault="0082177C">
      <w:pPr>
        <w:pStyle w:val="2"/>
        <w:bidi/>
      </w:pPr>
      <w:bookmarkStart w:id="16" w:name="_Toc235185282"/>
      <w:r>
        <w:rPr>
          <w:color w:val="000000"/>
          <w:sz w:val="36"/>
          <w:szCs w:val="36"/>
          <w:u w:val="single"/>
        </w:rPr>
        <w:t>2-4</w:t>
      </w:r>
      <w:r>
        <w:rPr>
          <w:color w:val="000000"/>
          <w:sz w:val="36"/>
          <w:szCs w:val="36"/>
          <w:u w:val="single"/>
          <w:rtl/>
        </w:rPr>
        <w:t xml:space="preserve"> المنطلقات النظرية للدراسة</w:t>
      </w:r>
      <w:bookmarkEnd w:id="16"/>
    </w:p>
    <w:p w14:paraId="6FBC2713" w14:textId="77777777" w:rsidR="00225AC7" w:rsidRDefault="00225AC7">
      <w:pPr>
        <w:pStyle w:val="2"/>
        <w:bidi/>
        <w:rPr>
          <w:color w:val="000000"/>
          <w:sz w:val="36"/>
          <w:szCs w:val="36"/>
          <w:u w:val="single"/>
        </w:rPr>
      </w:pPr>
    </w:p>
    <w:p w14:paraId="6FBC2714" w14:textId="77777777" w:rsidR="00225AC7" w:rsidRDefault="0082177C">
      <w:pPr>
        <w:spacing w:after="120" w:line="360" w:lineRule="auto"/>
        <w:jc w:val="both"/>
        <w:rPr>
          <w:rFonts w:ascii="Times New Roman" w:hAnsi="Times New Roman" w:cs="Simplified Arabic"/>
          <w:sz w:val="28"/>
          <w:szCs w:val="28"/>
        </w:rPr>
      </w:pPr>
      <w:r>
        <w:rPr>
          <w:rFonts w:ascii="Times New Roman" w:hAnsi="Times New Roman" w:cs="Simplified Arabic"/>
          <w:sz w:val="28"/>
          <w:szCs w:val="28"/>
          <w:rtl/>
        </w:rPr>
        <w:t>يركز هذا الفصل على المنطلقات النظرية التي تقوم عليها الدراسة، بهدف بناء أساس مفاهيمي متماسك يربط متغيرها المستقل (إدارة المرافق المستدامة بأبعادها الثلاثة) بمتغيرها التابع (كفاءة التشغيل ومؤشراتها)، ويربط العلاقة بينهما من خلال النظريات الإدارية ذات الصلة وخصوصية بيئة الوجهات الترفيهية الساحلية. ويُنظَّم في خمسة عناصر متتالية يبدأ بالإطار المفاهيمي لإدارة المرافق المستدامة، ثم يفصّل أبعادها الثلاثة، مؤشرات كفاءة التشغيل والعلاقة بينهما، ثم الأطر النظرية المفسِّرة لهذه العلاقة، وينتهي بالسياق التطبيقي لمشاريع الواجهة البحرية بجدة وتحدياتها التشغيلية.</w:t>
      </w:r>
    </w:p>
    <w:p w14:paraId="6FBC2715" w14:textId="77777777" w:rsidR="00225AC7" w:rsidRDefault="0082177C">
      <w:pPr>
        <w:pStyle w:val="3"/>
        <w:bidi/>
        <w:rPr>
          <w:rFonts w:ascii="Simplified Arabic" w:hAnsi="Simplified Arabic" w:cs="Simplified Arabic"/>
          <w:b/>
          <w:bCs/>
          <w:color w:val="000000"/>
          <w:sz w:val="36"/>
          <w:szCs w:val="36"/>
        </w:rPr>
      </w:pPr>
      <w:bookmarkStart w:id="17" w:name="_Toc235185283"/>
      <w:r>
        <w:rPr>
          <w:rFonts w:ascii="Simplified Arabic" w:hAnsi="Simplified Arabic" w:cs="Simplified Arabic"/>
          <w:b/>
          <w:bCs/>
          <w:color w:val="000000"/>
          <w:sz w:val="36"/>
          <w:szCs w:val="36"/>
        </w:rPr>
        <w:lastRenderedPageBreak/>
        <w:t>2-4-1</w:t>
      </w:r>
      <w:r>
        <w:rPr>
          <w:rFonts w:ascii="Simplified Arabic" w:hAnsi="Simplified Arabic" w:cs="Simplified Arabic"/>
          <w:b/>
          <w:bCs/>
          <w:color w:val="000000"/>
          <w:sz w:val="36"/>
          <w:szCs w:val="36"/>
          <w:rtl/>
        </w:rPr>
        <w:t xml:space="preserve"> الإطار المفاهيمي لإدارة المرافق المستدامة</w:t>
      </w:r>
      <w:bookmarkEnd w:id="17"/>
      <w:r>
        <w:rPr>
          <w:rFonts w:ascii="Simplified Arabic" w:hAnsi="Simplified Arabic" w:cs="Simplified Arabic"/>
          <w:b/>
          <w:bCs/>
          <w:color w:val="000000"/>
          <w:sz w:val="36"/>
          <w:szCs w:val="36"/>
          <w:rtl/>
        </w:rPr>
        <w:t xml:space="preserve"> </w:t>
      </w:r>
    </w:p>
    <w:p w14:paraId="6FBC2716" w14:textId="77777777" w:rsidR="00225AC7" w:rsidRDefault="0082177C">
      <w:pPr>
        <w:spacing w:after="120" w:line="360" w:lineRule="auto"/>
        <w:jc w:val="both"/>
      </w:pPr>
      <w:r>
        <w:rPr>
          <w:rFonts w:ascii="Times New Roman" w:hAnsi="Times New Roman" w:cs="Simplified Arabic"/>
          <w:sz w:val="28"/>
          <w:szCs w:val="28"/>
          <w:rtl/>
        </w:rPr>
        <w:t xml:space="preserve">تُعرّف إدارة المرافق </w:t>
      </w:r>
      <w:r>
        <w:rPr>
          <w:rFonts w:ascii="Times New Roman" w:hAnsi="Times New Roman" w:cs="Times New Roman"/>
          <w:sz w:val="28"/>
          <w:szCs w:val="28"/>
          <w:rtl/>
        </w:rPr>
        <w:t>(</w:t>
      </w:r>
      <w:r>
        <w:rPr>
          <w:rFonts w:ascii="Times New Roman" w:hAnsi="Times New Roman" w:cs="Times New Roman"/>
          <w:sz w:val="28"/>
          <w:szCs w:val="28"/>
        </w:rPr>
        <w:t>Facility Management</w:t>
      </w:r>
      <w:r>
        <w:rPr>
          <w:rFonts w:ascii="Times New Roman" w:hAnsi="Times New Roman" w:cs="Times New Roman"/>
          <w:sz w:val="28"/>
          <w:szCs w:val="28"/>
          <w:rtl/>
        </w:rPr>
        <w:t>)</w:t>
      </w:r>
      <w:r>
        <w:rPr>
          <w:rFonts w:ascii="Times New Roman" w:hAnsi="Times New Roman" w:cs="Simplified Arabic"/>
          <w:sz w:val="28"/>
          <w:szCs w:val="28"/>
          <w:rtl/>
        </w:rPr>
        <w:t xml:space="preserve"> بأنها التخصص الإداري الذي يدمج بين الناس والمكان والعملية والتقنية لضمان عمل البيئة المبنيّة بفاعلية وكفاءة وفق أهداف المنظمة، بما يؤثّر مباشرةً في إنتاجية المنظمة وصحة مستخدمي مرافقها وجودة حياتهم. وقد تطوّر هذا الحقل تدريجياً من مجرد وظيفة مساندة محصورة في النظافة والصيانة اليومية، إلى وظيفة استراتيجية متكاملة تُدير دورة حياة الأصول وتُسهم في تحقيق الأهداف الكلية للمنظمة. وقد توّج هذا التطور بصدور أول معيار دولي متخصص لنُظم إدارة المرافق وهو المعيار </w:t>
      </w:r>
      <w:r>
        <w:rPr>
          <w:rFonts w:ascii="Times New Roman" w:hAnsi="Times New Roman" w:cs="Simplified Arabic"/>
          <w:sz w:val="28"/>
          <w:szCs w:val="28"/>
        </w:rPr>
        <w:t>ISO 41001:2018</w:t>
      </w:r>
      <w:r>
        <w:rPr>
          <w:rFonts w:ascii="Times New Roman" w:hAnsi="Times New Roman" w:cs="Times New Roman"/>
          <w:sz w:val="28"/>
          <w:szCs w:val="28"/>
          <w:rtl/>
        </w:rPr>
        <w:t xml:space="preserve"> </w:t>
      </w:r>
      <w:r>
        <w:rPr>
          <w:rFonts w:ascii="Times New Roman" w:hAnsi="Times New Roman" w:cs="Simplified Arabic"/>
          <w:sz w:val="28"/>
          <w:szCs w:val="28"/>
          <w:rtl/>
        </w:rPr>
        <w:t xml:space="preserve">عن المنظمة الدولية لل </w:t>
      </w:r>
      <w:r>
        <w:rPr>
          <w:rFonts w:ascii="Times New Roman" w:hAnsi="Times New Roman" w:cs="Times New Roman"/>
          <w:sz w:val="28"/>
          <w:szCs w:val="28"/>
          <w:rtl/>
        </w:rPr>
        <w:t>(</w:t>
      </w:r>
      <w:r>
        <w:rPr>
          <w:rFonts w:ascii="Times New Roman" w:hAnsi="Times New Roman" w:cs="Times New Roman"/>
          <w:sz w:val="28"/>
          <w:szCs w:val="28"/>
        </w:rPr>
        <w:t>ISO</w:t>
      </w:r>
      <w:r>
        <w:rPr>
          <w:rFonts w:ascii="Times New Roman" w:hAnsi="Times New Roman" w:cs="Times New Roman"/>
          <w:sz w:val="28"/>
          <w:szCs w:val="28"/>
          <w:rtl/>
        </w:rPr>
        <w:t>)</w:t>
      </w:r>
      <w:r>
        <w:rPr>
          <w:rFonts w:ascii="Times New Roman" w:hAnsi="Times New Roman" w:cs="Simplified Arabic"/>
          <w:sz w:val="28"/>
          <w:szCs w:val="28"/>
          <w:rtl/>
        </w:rPr>
        <w:t>، الذي أرسى تفسيراً موحّداً لمفهوم إدارة المرافق وممارساتها على المستوى العالمي.</w:t>
      </w:r>
    </w:p>
    <w:p w14:paraId="6FBC2717" w14:textId="77777777" w:rsidR="00225AC7" w:rsidRDefault="0082177C">
      <w:pPr>
        <w:spacing w:after="120" w:line="360" w:lineRule="auto"/>
        <w:jc w:val="both"/>
      </w:pPr>
      <w:r>
        <w:rPr>
          <w:rFonts w:ascii="Times New Roman" w:hAnsi="Times New Roman" w:cs="Simplified Arabic"/>
          <w:sz w:val="28"/>
          <w:szCs w:val="28"/>
          <w:rtl/>
        </w:rPr>
        <w:t xml:space="preserve">وتمثّل إدارة المرافق المستدامة </w:t>
      </w:r>
      <w:r>
        <w:rPr>
          <w:rFonts w:ascii="Times New Roman" w:hAnsi="Times New Roman" w:cs="Times New Roman"/>
          <w:sz w:val="28"/>
          <w:szCs w:val="28"/>
          <w:rtl/>
        </w:rPr>
        <w:t>(</w:t>
      </w:r>
      <w:r>
        <w:rPr>
          <w:rFonts w:ascii="Times New Roman" w:hAnsi="Times New Roman" w:cs="Times New Roman"/>
          <w:sz w:val="28"/>
          <w:szCs w:val="28"/>
        </w:rPr>
        <w:t>Sustainable Facility Management</w:t>
      </w:r>
      <w:r>
        <w:rPr>
          <w:rFonts w:ascii="Times New Roman" w:hAnsi="Times New Roman" w:cs="Times New Roman"/>
          <w:sz w:val="28"/>
          <w:szCs w:val="28"/>
          <w:rtl/>
        </w:rPr>
        <w:t>)</w:t>
      </w:r>
      <w:r>
        <w:rPr>
          <w:rFonts w:ascii="Times New Roman" w:hAnsi="Times New Roman" w:cs="Simplified Arabic"/>
          <w:sz w:val="28"/>
          <w:szCs w:val="28"/>
          <w:rtl/>
        </w:rPr>
        <w:t xml:space="preserve"> امتداداً لهذا المفهوم عبر إدماج أبعاد الاستدامة الثلاثة في منظومة التشغيل والصيانة. وتستند فكرة الاستدامة هذه إلى مفهوم «المحصلة الثلاثية» </w:t>
      </w:r>
      <w:r>
        <w:rPr>
          <w:rFonts w:ascii="Times New Roman" w:hAnsi="Times New Roman" w:cs="Times New Roman"/>
          <w:sz w:val="28"/>
          <w:szCs w:val="28"/>
          <w:rtl/>
        </w:rPr>
        <w:t>(</w:t>
      </w:r>
      <w:r>
        <w:rPr>
          <w:rFonts w:ascii="Times New Roman" w:hAnsi="Times New Roman" w:cs="Times New Roman"/>
          <w:sz w:val="28"/>
          <w:szCs w:val="28"/>
        </w:rPr>
        <w:t>Triple Bottom Line</w:t>
      </w:r>
      <w:r>
        <w:rPr>
          <w:rFonts w:ascii="Times New Roman" w:hAnsi="Times New Roman" w:cs="Times New Roman"/>
          <w:sz w:val="28"/>
          <w:szCs w:val="28"/>
          <w:rtl/>
        </w:rPr>
        <w:t>)</w:t>
      </w:r>
      <w:r>
        <w:rPr>
          <w:rFonts w:ascii="Times New Roman" w:hAnsi="Times New Roman" w:cs="Simplified Arabic"/>
          <w:sz w:val="28"/>
          <w:szCs w:val="28"/>
          <w:rtl/>
        </w:rPr>
        <w:t xml:space="preserve"> الذي صاغه </w:t>
      </w:r>
      <w:r>
        <w:rPr>
          <w:rFonts w:ascii="Times New Roman" w:hAnsi="Times New Roman" w:cs="Times New Roman"/>
          <w:sz w:val="28"/>
          <w:szCs w:val="28"/>
        </w:rPr>
        <w:t>Elkington</w:t>
      </w:r>
      <w:r>
        <w:rPr>
          <w:rFonts w:ascii="Times New Roman" w:hAnsi="Times New Roman" w:cs="Times New Roman"/>
          <w:sz w:val="28"/>
          <w:szCs w:val="28"/>
          <w:rtl/>
        </w:rPr>
        <w:t xml:space="preserve"> (1997)</w:t>
      </w:r>
      <w:r>
        <w:rPr>
          <w:rFonts w:ascii="Times New Roman" w:hAnsi="Times New Roman" w:cs="Simplified Arabic"/>
          <w:sz w:val="28"/>
          <w:szCs w:val="28"/>
          <w:rtl/>
        </w:rPr>
        <w:t>، والذي يرى أن استدامة أي منظمة تتحقق عبر موازنة ثلاثة أبعاد متلازمة: البُعد الاقتصادي (الربحية وكفاءة التكلفة)، والبُعد البيئي (ترشيد الموارد وتقليل الأثر البيئي)، والبُعد الاجتماعي (رضا المستخدمين وأصحاب المصلحة). وبتطبيق هذا الإطار على إدارة المرافق، تتحول الصيانة وترشيد الموارد من كونها بنوداً للتكلفة إلى ممارسات تُحقق قيمةً مركّبة على المستويات الثلاثة معاً.</w:t>
      </w:r>
    </w:p>
    <w:p w14:paraId="6FBC2718" w14:textId="77777777" w:rsidR="00225AC7" w:rsidRDefault="0082177C">
      <w:pPr>
        <w:spacing w:after="120" w:line="360" w:lineRule="auto"/>
        <w:jc w:val="both"/>
      </w:pPr>
      <w:r>
        <w:rPr>
          <w:rFonts w:ascii="Times New Roman" w:hAnsi="Times New Roman" w:cs="Simplified Arabic"/>
          <w:sz w:val="28"/>
          <w:szCs w:val="28"/>
          <w:rtl/>
        </w:rPr>
        <w:t xml:space="preserve">وتستند الدراسة في تأطير ممارسات إدارة المرافق المستدامة إلى منظومة من المعايير الدولية المتكاملة. فمعيار </w:t>
      </w:r>
      <w:r>
        <w:rPr>
          <w:rFonts w:ascii="Times New Roman" w:hAnsi="Times New Roman" w:cs="Simplified Arabic"/>
          <w:sz w:val="28"/>
          <w:szCs w:val="28"/>
        </w:rPr>
        <w:t>ISO 41001:2018</w:t>
      </w:r>
      <w:r>
        <w:rPr>
          <w:rFonts w:ascii="Times New Roman" w:hAnsi="Times New Roman" w:cs="Times New Roman"/>
          <w:sz w:val="28"/>
          <w:szCs w:val="28"/>
          <w:rtl/>
        </w:rPr>
        <w:t xml:space="preserve"> </w:t>
      </w:r>
      <w:r>
        <w:rPr>
          <w:rFonts w:ascii="Times New Roman" w:hAnsi="Times New Roman" w:cs="Simplified Arabic"/>
          <w:sz w:val="28"/>
          <w:szCs w:val="28"/>
          <w:rtl/>
        </w:rPr>
        <w:t xml:space="preserve">يحدد متطلبات نظام إدارة المرافق الكفؤ والمستدام في بيئة تنافسية عالمية، ويُكمّله معيار إدارة الأصول </w:t>
      </w:r>
      <w:r>
        <w:rPr>
          <w:rFonts w:ascii="Times New Roman" w:hAnsi="Times New Roman" w:cs="Times New Roman"/>
          <w:sz w:val="28"/>
          <w:szCs w:val="28"/>
        </w:rPr>
        <w:t>ISO 55001</w:t>
      </w:r>
      <w:r>
        <w:rPr>
          <w:rFonts w:ascii="Times New Roman" w:hAnsi="Times New Roman" w:cs="Simplified Arabic"/>
          <w:sz w:val="28"/>
          <w:szCs w:val="28"/>
          <w:rtl/>
        </w:rPr>
        <w:t xml:space="preserve"> الذي يُرسّخ مفهوم دورة الحياة الكاملة للأصول ويُلزم المنظمات بتحقيق التوازن </w:t>
      </w:r>
      <w:r>
        <w:rPr>
          <w:rFonts w:ascii="Times New Roman" w:hAnsi="Times New Roman" w:cs="Simplified Arabic"/>
          <w:sz w:val="28"/>
          <w:szCs w:val="28"/>
          <w:rtl/>
        </w:rPr>
        <w:lastRenderedPageBreak/>
        <w:t xml:space="preserve">الأمثل بين الأداء والتكلفة والمخاطر، بينما يوفّر معيار إدارة الطاقة </w:t>
      </w:r>
      <w:r>
        <w:rPr>
          <w:rFonts w:ascii="Times New Roman" w:hAnsi="Times New Roman" w:cs="Simplified Arabic"/>
          <w:sz w:val="28"/>
          <w:szCs w:val="28"/>
        </w:rPr>
        <w:t xml:space="preserve">ISO </w:t>
      </w:r>
      <w:r>
        <w:rPr>
          <w:rFonts w:ascii="Times New Roman" w:hAnsi="Times New Roman" w:cs="Times New Roman"/>
          <w:sz w:val="28"/>
          <w:szCs w:val="28"/>
        </w:rPr>
        <w:t>50001:2018</w:t>
      </w:r>
      <w:r>
        <w:rPr>
          <w:rFonts w:ascii="Times New Roman" w:hAnsi="Times New Roman" w:cs="Simplified Arabic"/>
          <w:sz w:val="28"/>
          <w:szCs w:val="28"/>
          <w:rtl/>
        </w:rPr>
        <w:t xml:space="preserve"> إطاراً منهجياً لمراقبة استهلاك الطاقة وترشيدها وتحسين الأداء الطاقي بشكل مستمر. وتمثّل هذه المعايير مجتمعةً المرجعية الفنية التي تُقاس عليها نضج ممارسات إدارة المرافق في المشروع.</w:t>
      </w:r>
    </w:p>
    <w:p w14:paraId="6FBC2719" w14:textId="77777777" w:rsidR="00225AC7" w:rsidRDefault="0082177C">
      <w:pPr>
        <w:spacing w:after="120" w:line="360" w:lineRule="auto"/>
        <w:jc w:val="both"/>
        <w:rPr>
          <w:rFonts w:ascii="Times New Roman" w:hAnsi="Times New Roman" w:cs="Simplified Arabic"/>
          <w:sz w:val="28"/>
          <w:szCs w:val="28"/>
        </w:rPr>
      </w:pPr>
      <w:r>
        <w:rPr>
          <w:rFonts w:ascii="Times New Roman" w:hAnsi="Times New Roman" w:cs="Simplified Arabic"/>
          <w:sz w:val="28"/>
          <w:szCs w:val="28"/>
          <w:rtl/>
        </w:rPr>
        <w:t>ويتضح ممّا سبق أن إدارة المرافق المستدامة قد اجتازت 3 مراحل تطورية متتابعة في الفكر الإداري المعاصر: مرحلة أولى ُنظِر فيها إلى إدارة المرافق بوصفها وظيفة تشغيلية مساندة تقتصر على النظافة والأمن والصيانة اليومية؛ ثم مرحلة ثانية تحوّلت فيها إلى وظيفة تكتيكية تُعنى بإدارة العقود ومستويات الخدمة وضبط التكلفة؛ ثم مرحلة ثالثة راهنة أصبحت فيها وظيفة استراتيجية تُسهم في خلق القيمة وتحقيق الميزة التنافسية ودعم الأهداف للمنظمة. وعلى أساس هذا التطور تُبنى مقاربة الدراسة الحالية التي تنظر إلى إدارة المرافق المستدامة بوصفها وظيفة استراتيجية مؤثّرة في كفاءة التشغيل لا مجرد نشاط خدمي هامشي.</w:t>
      </w:r>
    </w:p>
    <w:p w14:paraId="6FBC271A" w14:textId="77777777" w:rsidR="00225AC7" w:rsidRDefault="0082177C">
      <w:pPr>
        <w:pStyle w:val="3"/>
        <w:bidi/>
      </w:pPr>
      <w:bookmarkStart w:id="18" w:name="_Toc235185284"/>
      <w:r>
        <w:rPr>
          <w:rFonts w:ascii="Simplified Arabic" w:hAnsi="Simplified Arabic" w:cs="Simplified Arabic"/>
          <w:b/>
          <w:bCs/>
          <w:color w:val="000000"/>
          <w:sz w:val="36"/>
          <w:szCs w:val="36"/>
        </w:rPr>
        <w:t>2-4-2</w:t>
      </w:r>
      <w:r>
        <w:rPr>
          <w:rFonts w:ascii="Simplified Arabic" w:hAnsi="Simplified Arabic" w:cs="Simplified Arabic"/>
          <w:b/>
          <w:bCs/>
          <w:color w:val="000000"/>
          <w:sz w:val="36"/>
          <w:szCs w:val="36"/>
          <w:rtl/>
        </w:rPr>
        <w:t xml:space="preserve"> البعد الأول: الصيانة الوقائية المنتظمة</w:t>
      </w:r>
      <w:bookmarkEnd w:id="18"/>
    </w:p>
    <w:p w14:paraId="6FBC271B" w14:textId="77777777" w:rsidR="00225AC7" w:rsidRDefault="0082177C">
      <w:pPr>
        <w:spacing w:after="120" w:line="360" w:lineRule="auto"/>
        <w:jc w:val="both"/>
      </w:pPr>
      <w:r>
        <w:rPr>
          <w:rFonts w:ascii="Times New Roman" w:hAnsi="Times New Roman" w:cs="Simplified Arabic"/>
          <w:sz w:val="28"/>
          <w:szCs w:val="28"/>
          <w:rtl/>
        </w:rPr>
        <w:t>تُمثّل الصيانة أحد أقدم أنشطة إدارة المرافق وأكثرها تأثيراً في كفاءة التشغيل واستمراريته، وقد شهد مفهومها تطوراً جوهرياً على مدى العقود الأخيرة؛ فبعد أن كانت تُنظر إليها بوصفها نشاطاً تفاعلياً محضاً ينتظر وقوع العطل ثم يبادر إلى إصلاحه، تحوّلت في الأدبيات الحديثة إلى منظومة استباقية مُخطّطة تستهدف الحفاظ على موثوقية الأصول وإطالة عمرها الافتراضي وتقليل احتمالات التوقف المفاجئ. وقد لامس هذا التحول بتطور المفاهيم الإدارية للأصول من منطق «الإصلاح عند العطل» إلى منطق «إدارة دورة الحياة»، حيث يُنظر إلى كل أصل بوصفه استثماراً له تكلفة اقتناء وتكلفة تشغيل وتكلفة استبدال، وتُدار الصيانة بما يُحقق أدنى تكلفة إجمالية للملكية على امتداد عمر الأصل بأكمله.</w:t>
      </w:r>
    </w:p>
    <w:p w14:paraId="6FBC271C" w14:textId="77777777" w:rsidR="00225AC7" w:rsidRDefault="0082177C">
      <w:pPr>
        <w:spacing w:after="120" w:line="360" w:lineRule="auto"/>
        <w:jc w:val="both"/>
      </w:pPr>
      <w:r>
        <w:rPr>
          <w:rFonts w:ascii="Times New Roman" w:hAnsi="Times New Roman" w:cs="Simplified Arabic"/>
          <w:sz w:val="28"/>
          <w:szCs w:val="28"/>
          <w:rtl/>
        </w:rPr>
        <w:lastRenderedPageBreak/>
        <w:t>تُعرَّف الصيانة بأنها مجموعة الأعمال التي تحافظ على الأصول في حالة تشغيلية سليمة، وتنقسم في الصيانة  إدارة المرافق إلى أربعة أنماط رئيسية يُميّز بينها على النحو الآتي:</w:t>
      </w:r>
    </w:p>
    <w:p w14:paraId="6FBC271D" w14:textId="77777777" w:rsidR="00225AC7" w:rsidRDefault="0082177C">
      <w:pPr>
        <w:spacing w:after="120" w:line="360" w:lineRule="auto"/>
        <w:jc w:val="both"/>
      </w:pPr>
      <w:r>
        <w:rPr>
          <w:rFonts w:ascii="Times New Roman" w:hAnsi="Times New Roman" w:cs="Simplified Arabic"/>
          <w:sz w:val="28"/>
          <w:szCs w:val="28"/>
          <w:rtl/>
        </w:rPr>
        <w:t xml:space="preserve">• الصيانة التصحيحية </w:t>
      </w:r>
      <w:r>
        <w:rPr>
          <w:rFonts w:ascii="Times New Roman" w:hAnsi="Times New Roman" w:cs="Times New Roman"/>
          <w:sz w:val="28"/>
          <w:szCs w:val="28"/>
          <w:rtl/>
        </w:rPr>
        <w:t>(</w:t>
      </w:r>
      <w:r>
        <w:rPr>
          <w:rFonts w:ascii="Times New Roman" w:hAnsi="Times New Roman" w:cs="Times New Roman"/>
          <w:sz w:val="28"/>
          <w:szCs w:val="28"/>
        </w:rPr>
        <w:t>Corrective Maintenance</w:t>
      </w:r>
      <w:r>
        <w:rPr>
          <w:rFonts w:ascii="Times New Roman" w:hAnsi="Times New Roman" w:cs="Times New Roman"/>
          <w:sz w:val="28"/>
          <w:szCs w:val="28"/>
          <w:rtl/>
        </w:rPr>
        <w:t>)</w:t>
      </w:r>
      <w:r>
        <w:rPr>
          <w:rFonts w:ascii="Times New Roman" w:hAnsi="Times New Roman" w:cs="Simplified Arabic"/>
          <w:sz w:val="28"/>
          <w:szCs w:val="28"/>
          <w:rtl/>
        </w:rPr>
        <w:t>: وتُجرى بعد وقوع العطل بهدف إصلاح الأصل وإعادته للعمل، وهي الأكثر كلفة والأقل كفاءة لأنها تفاعلية بطبيعتها.</w:t>
      </w:r>
    </w:p>
    <w:p w14:paraId="6FBC271E" w14:textId="77777777" w:rsidR="00225AC7" w:rsidRDefault="0082177C">
      <w:pPr>
        <w:spacing w:after="120" w:line="360" w:lineRule="auto"/>
        <w:jc w:val="both"/>
      </w:pPr>
      <w:r>
        <w:rPr>
          <w:rFonts w:ascii="Times New Roman" w:hAnsi="Times New Roman" w:cs="Simplified Arabic"/>
          <w:sz w:val="28"/>
          <w:szCs w:val="28"/>
          <w:rtl/>
        </w:rPr>
        <w:t xml:space="preserve">• الصيانة الوقائية </w:t>
      </w:r>
      <w:r>
        <w:rPr>
          <w:rFonts w:ascii="Times New Roman" w:hAnsi="Times New Roman" w:cs="Times New Roman"/>
          <w:sz w:val="28"/>
          <w:szCs w:val="28"/>
          <w:rtl/>
        </w:rPr>
        <w:t>(</w:t>
      </w:r>
      <w:r>
        <w:rPr>
          <w:rFonts w:ascii="Times New Roman" w:hAnsi="Times New Roman" w:cs="Times New Roman"/>
          <w:sz w:val="28"/>
          <w:szCs w:val="28"/>
        </w:rPr>
        <w:t>Preventive Maintenance</w:t>
      </w:r>
      <w:r>
        <w:rPr>
          <w:rFonts w:ascii="Times New Roman" w:hAnsi="Times New Roman" w:cs="Times New Roman"/>
          <w:sz w:val="28"/>
          <w:szCs w:val="28"/>
          <w:rtl/>
        </w:rPr>
        <w:t>)</w:t>
      </w:r>
      <w:r>
        <w:rPr>
          <w:rFonts w:ascii="Times New Roman" w:hAnsi="Times New Roman" w:cs="Simplified Arabic"/>
          <w:sz w:val="28"/>
          <w:szCs w:val="28"/>
          <w:rtl/>
        </w:rPr>
        <w:t>: وهي صيانة مجدولة دورياً وفق فترات زمنية أو ساعات تشغيل محددة لتفادي العطل قبل حدوثه، وتمثّل جوهر هذا البُعد.</w:t>
      </w:r>
    </w:p>
    <w:p w14:paraId="6FBC271F" w14:textId="77777777" w:rsidR="00225AC7" w:rsidRDefault="0082177C">
      <w:pPr>
        <w:spacing w:after="120" w:line="360" w:lineRule="auto"/>
        <w:jc w:val="both"/>
      </w:pPr>
      <w:r>
        <w:rPr>
          <w:rFonts w:ascii="Times New Roman" w:hAnsi="Times New Roman" w:cs="Simplified Arabic"/>
          <w:sz w:val="28"/>
          <w:szCs w:val="28"/>
          <w:rtl/>
        </w:rPr>
        <w:t xml:space="preserve">• الصيانة التنبؤية </w:t>
      </w:r>
      <w:r>
        <w:rPr>
          <w:rFonts w:ascii="Times New Roman" w:hAnsi="Times New Roman" w:cs="Times New Roman"/>
          <w:sz w:val="28"/>
          <w:szCs w:val="28"/>
          <w:rtl/>
        </w:rPr>
        <w:t>(</w:t>
      </w:r>
      <w:r>
        <w:rPr>
          <w:rFonts w:ascii="Times New Roman" w:hAnsi="Times New Roman" w:cs="Times New Roman"/>
          <w:sz w:val="28"/>
          <w:szCs w:val="28"/>
        </w:rPr>
        <w:t>Predictive Maintenance</w:t>
      </w:r>
      <w:r>
        <w:rPr>
          <w:rFonts w:ascii="Times New Roman" w:hAnsi="Times New Roman" w:cs="Times New Roman"/>
          <w:sz w:val="28"/>
          <w:szCs w:val="28"/>
          <w:rtl/>
        </w:rPr>
        <w:t>)</w:t>
      </w:r>
      <w:r>
        <w:rPr>
          <w:rFonts w:ascii="Times New Roman" w:hAnsi="Times New Roman" w:cs="Simplified Arabic"/>
          <w:sz w:val="28"/>
          <w:szCs w:val="28"/>
          <w:rtl/>
        </w:rPr>
        <w:t>: وتستند إلى بيانات المستشعرات وتحليلها للتنبؤ بزمن العطل المتوقّع والتدخّل قبل وقوعه بالحد الأدنى من التكلفة.</w:t>
      </w:r>
    </w:p>
    <w:p w14:paraId="6FBC2720" w14:textId="77777777" w:rsidR="00225AC7" w:rsidRDefault="0082177C">
      <w:pPr>
        <w:spacing w:after="120" w:line="360" w:lineRule="auto"/>
        <w:jc w:val="both"/>
      </w:pPr>
      <w:r>
        <w:rPr>
          <w:rFonts w:ascii="Times New Roman" w:hAnsi="Times New Roman" w:cs="Simplified Arabic"/>
          <w:sz w:val="28"/>
          <w:szCs w:val="28"/>
          <w:rtl/>
        </w:rPr>
        <w:t xml:space="preserve">• الصيانة القائمة على الموثوقية </w:t>
      </w:r>
      <w:r>
        <w:rPr>
          <w:rFonts w:ascii="Times New Roman" w:hAnsi="Times New Roman" w:cs="Times New Roman"/>
          <w:sz w:val="28"/>
          <w:szCs w:val="28"/>
          <w:rtl/>
        </w:rPr>
        <w:t>(</w:t>
      </w:r>
      <w:r>
        <w:rPr>
          <w:rFonts w:ascii="Times New Roman" w:hAnsi="Times New Roman" w:cs="Times New Roman"/>
          <w:sz w:val="28"/>
          <w:szCs w:val="28"/>
        </w:rPr>
        <w:t>Reliability-Centered Maintenance</w:t>
      </w:r>
      <w:r>
        <w:rPr>
          <w:rFonts w:ascii="Times New Roman" w:hAnsi="Times New Roman" w:cs="Times New Roman"/>
          <w:sz w:val="28"/>
          <w:szCs w:val="28"/>
          <w:rtl/>
        </w:rPr>
        <w:t>)</w:t>
      </w:r>
      <w:r>
        <w:rPr>
          <w:rFonts w:ascii="Times New Roman" w:hAnsi="Times New Roman" w:cs="Simplified Arabic"/>
          <w:sz w:val="28"/>
          <w:szCs w:val="28"/>
          <w:rtl/>
        </w:rPr>
        <w:t>: وهي منهج متقدم يُوازن بين أنماط الصيانة السابقة وفق أهمية كل أصل ومخاطر تعطّله ودورة حياته.</w:t>
      </w:r>
    </w:p>
    <w:p w14:paraId="6FBC2721" w14:textId="77777777" w:rsidR="00225AC7" w:rsidRDefault="0082177C">
      <w:pPr>
        <w:spacing w:after="120" w:line="360" w:lineRule="auto"/>
        <w:jc w:val="both"/>
      </w:pPr>
      <w:r>
        <w:rPr>
          <w:rFonts w:ascii="Times New Roman" w:hAnsi="Times New Roman" w:cs="Simplified Arabic"/>
          <w:sz w:val="28"/>
          <w:szCs w:val="28"/>
          <w:rtl/>
        </w:rPr>
        <w:t xml:space="preserve">وتُمثّل الصيانة الوقائية المنتظمة أساس هذا البُعد عبر الفحص الدوري والصيانة المجدولة للأنظمة الكهربائية والميكانيكية والأصول الرئيسية وتوثيق سجلاتها. وتزداد أهمية هذا البُعد في الوجهات الساحلية بقدر ما تتعقّد أصولها الفنية؛ فأنظمة التكييف الحديثة المتغيرة التدفق </w:t>
      </w:r>
      <w:r>
        <w:rPr>
          <w:rFonts w:ascii="Times New Roman" w:hAnsi="Times New Roman" w:cs="Times New Roman"/>
          <w:sz w:val="28"/>
          <w:szCs w:val="28"/>
          <w:rtl/>
        </w:rPr>
        <w:t>(</w:t>
      </w:r>
      <w:r>
        <w:rPr>
          <w:rFonts w:ascii="Times New Roman" w:hAnsi="Times New Roman" w:cs="Times New Roman"/>
          <w:sz w:val="28"/>
          <w:szCs w:val="28"/>
        </w:rPr>
        <w:t>VRF</w:t>
      </w:r>
      <w:r>
        <w:rPr>
          <w:rFonts w:ascii="Times New Roman" w:hAnsi="Times New Roman" w:cs="Times New Roman"/>
          <w:sz w:val="28"/>
          <w:szCs w:val="28"/>
          <w:rtl/>
        </w:rPr>
        <w:t>)</w:t>
      </w:r>
      <w:r>
        <w:rPr>
          <w:rFonts w:ascii="Times New Roman" w:hAnsi="Times New Roman" w:cs="Simplified Arabic"/>
          <w:sz w:val="28"/>
          <w:szCs w:val="28"/>
          <w:rtl/>
        </w:rPr>
        <w:t xml:space="preserve"> على سبيل المثال تتطلب جدولة صيانة دقيقة وكوادر متخصصة، كما أن البيئة المالحة والرطوبة العالية تُسرّع تآكل المعدات وتفرض دورات فحص أقصر من غيرها. ومن النماذج التطبيقية في الوجهات الساحلية اعتماد جداول فحص أسبوعية لأنظمة تصريف مياه الأمطار والصرف قبل مواسم الأمطار، ودورات دهان ومعالجة مضادة للتآكل للهياكل المعدنية المطلّة على البحر، وبرامج فحص دوري لأنظمة الإنارة والصوت في مناطق الفعاليات.</w:t>
      </w:r>
    </w:p>
    <w:p w14:paraId="6FBC2722" w14:textId="77777777" w:rsidR="00225AC7" w:rsidRDefault="0082177C">
      <w:pPr>
        <w:spacing w:after="120" w:line="360" w:lineRule="auto"/>
        <w:jc w:val="both"/>
      </w:pPr>
      <w:r>
        <w:rPr>
          <w:rFonts w:ascii="Times New Roman" w:hAnsi="Times New Roman" w:cs="Simplified Arabic"/>
          <w:sz w:val="28"/>
          <w:szCs w:val="28"/>
          <w:rtl/>
        </w:rPr>
        <w:lastRenderedPageBreak/>
        <w:t xml:space="preserve">يُقاس هذا البُعد ميدانياً عبر مؤشرات مثل نسبة تنفيذ خطط الصيانة الوقائية المجدولة إلى إجمالي أوامر الصيانة، ونسبة الصيانة الوقائية إلى التصحيحية، ومتوسط الزمن بين الأعطال </w:t>
      </w:r>
      <w:r>
        <w:rPr>
          <w:rFonts w:ascii="Times New Roman" w:hAnsi="Times New Roman" w:cs="Times New Roman"/>
          <w:sz w:val="28"/>
          <w:szCs w:val="28"/>
          <w:rtl/>
        </w:rPr>
        <w:t>(</w:t>
      </w:r>
      <w:r>
        <w:rPr>
          <w:rFonts w:ascii="Times New Roman" w:hAnsi="Times New Roman" w:cs="Times New Roman"/>
          <w:sz w:val="28"/>
          <w:szCs w:val="28"/>
        </w:rPr>
        <w:t>MTBF</w:t>
      </w:r>
      <w:r>
        <w:rPr>
          <w:rFonts w:ascii="Times New Roman" w:hAnsi="Times New Roman" w:cs="Times New Roman"/>
          <w:sz w:val="28"/>
          <w:szCs w:val="28"/>
          <w:rtl/>
        </w:rPr>
        <w:t>)</w:t>
      </w:r>
      <w:r>
        <w:rPr>
          <w:rFonts w:ascii="Times New Roman" w:hAnsi="Times New Roman" w:cs="Simplified Arabic"/>
          <w:sz w:val="28"/>
          <w:szCs w:val="28"/>
          <w:rtl/>
        </w:rPr>
        <w:t>، ومدى توثيق سجلات الصيانة. وتتأكد جدوى هذا البُعد الاقتصادية من تقديرات وزارة الطاقة الأمريكية التي تشير إلى أن الصيانة التصحيحية تكلّف ما بين 3-5 (وزارة الطاقة الأمريكية)أضعاف الصيانة الوقائية المخطّطة، في حين تُحقق برامج الصيانة الوقائية وفورات سنوية تتراوح بين 12-18 % وتُقلّل الأعطال غير المخطّطة وترفع الاستمرارية التشغيلية.</w:t>
      </w:r>
    </w:p>
    <w:p w14:paraId="6FBC2723" w14:textId="77777777" w:rsidR="00225AC7" w:rsidRDefault="0082177C">
      <w:pPr>
        <w:spacing w:after="120" w:line="360" w:lineRule="auto"/>
        <w:jc w:val="both"/>
      </w:pPr>
      <w:r>
        <w:rPr>
          <w:rFonts w:ascii="Times New Roman" w:hAnsi="Times New Roman" w:cs="Simplified Arabic"/>
          <w:sz w:val="28"/>
          <w:szCs w:val="28"/>
          <w:rtl/>
        </w:rPr>
        <w:t xml:space="preserve">وتجدر الإشارة إلى أن الصيانة الوقائية ليست غاية في ذاتها بل وسيلة لتحقيق موثوقية الأصول وإطالة عمرها الافتراضي، وهو ما يرتبط مباشرةً بمفهوم إدارة دورة حياة الأصل الذي يقوم عليه معيار إدارة الأصول </w:t>
      </w:r>
      <w:r>
        <w:rPr>
          <w:rFonts w:ascii="Times New Roman" w:hAnsi="Times New Roman" w:cs="Times New Roman"/>
          <w:sz w:val="28"/>
          <w:szCs w:val="28"/>
        </w:rPr>
        <w:t>ISO 55001</w:t>
      </w:r>
      <w:r>
        <w:rPr>
          <w:rFonts w:ascii="Times New Roman" w:hAnsi="Times New Roman" w:cs="Simplified Arabic"/>
          <w:sz w:val="28"/>
          <w:szCs w:val="28"/>
          <w:rtl/>
        </w:rPr>
        <w:t xml:space="preserve">. فكلّما انتظمت الصيانة الوقائية طال عمر الأصل وتأجّل موعد استبداله وانخفضت التكلفة الإجمالية للملكية </w:t>
      </w:r>
      <w:r>
        <w:rPr>
          <w:rFonts w:ascii="Times New Roman" w:hAnsi="Times New Roman" w:cs="Times New Roman"/>
          <w:sz w:val="28"/>
          <w:szCs w:val="28"/>
          <w:rtl/>
        </w:rPr>
        <w:t>(</w:t>
      </w:r>
      <w:r>
        <w:rPr>
          <w:rFonts w:ascii="Times New Roman" w:hAnsi="Times New Roman" w:cs="Times New Roman"/>
          <w:sz w:val="28"/>
          <w:szCs w:val="28"/>
        </w:rPr>
        <w:t>Total Cost of Ownership</w:t>
      </w:r>
      <w:r>
        <w:rPr>
          <w:rFonts w:ascii="Times New Roman" w:hAnsi="Times New Roman" w:cs="Times New Roman"/>
          <w:sz w:val="28"/>
          <w:szCs w:val="28"/>
          <w:rtl/>
        </w:rPr>
        <w:t>)</w:t>
      </w:r>
      <w:r>
        <w:rPr>
          <w:rFonts w:ascii="Times New Roman" w:hAnsi="Times New Roman" w:cs="Simplified Arabic"/>
          <w:sz w:val="28"/>
          <w:szCs w:val="28"/>
          <w:rtl/>
        </w:rPr>
        <w:t xml:space="preserve">، وهو ما يجعل الصيانة الوقائية استثماراً طويل الأمد لا مجرد بند إنفاق. وتُظهر الممارسات الفضلى أن بناء سجل أصول محدّث </w:t>
      </w:r>
      <w:r>
        <w:rPr>
          <w:rFonts w:ascii="Times New Roman" w:hAnsi="Times New Roman" w:cs="Times New Roman"/>
          <w:sz w:val="28"/>
          <w:szCs w:val="28"/>
          <w:rtl/>
        </w:rPr>
        <w:t>(</w:t>
      </w:r>
      <w:r>
        <w:rPr>
          <w:rFonts w:ascii="Times New Roman" w:hAnsi="Times New Roman" w:cs="Times New Roman"/>
          <w:sz w:val="28"/>
          <w:szCs w:val="28"/>
        </w:rPr>
        <w:t>Asset Register</w:t>
      </w:r>
      <w:r>
        <w:rPr>
          <w:rFonts w:ascii="Times New Roman" w:hAnsi="Times New Roman" w:cs="Times New Roman"/>
          <w:sz w:val="28"/>
          <w:szCs w:val="28"/>
          <w:rtl/>
        </w:rPr>
        <w:t>)</w:t>
      </w:r>
      <w:r>
        <w:rPr>
          <w:rFonts w:ascii="Times New Roman" w:hAnsi="Times New Roman" w:cs="Simplified Arabic"/>
          <w:sz w:val="28"/>
          <w:szCs w:val="28"/>
          <w:rtl/>
        </w:rPr>
        <w:t xml:space="preserve"> وربطه بنظام إدارة صيانة محوسب يُمكّن من جدولة الصيانة الوقائية بدقة وتتبّع تاريخ الأعطال وتحليل أنماطها.</w:t>
      </w:r>
    </w:p>
    <w:p w14:paraId="6FBC2724" w14:textId="77777777" w:rsidR="00225AC7" w:rsidRDefault="0082177C">
      <w:pPr>
        <w:spacing w:after="120" w:line="360" w:lineRule="auto"/>
        <w:jc w:val="both"/>
      </w:pPr>
      <w:r>
        <w:rPr>
          <w:rFonts w:ascii="Times New Roman" w:hAnsi="Times New Roman" w:cs="Simplified Arabic"/>
          <w:sz w:val="28"/>
          <w:szCs w:val="28"/>
          <w:rtl/>
        </w:rPr>
        <w:t xml:space="preserve">ويُضاف إلى ما سبق أن نجاح برنامج الصيانة الوقائية لا يتوقف على الجانب الفني وحده، بل يستلزم توافر منظومة تنظيمية وبشرية مساندة تشمل توثيق إجراءات التشغيل القياسية </w:t>
      </w:r>
      <w:r>
        <w:rPr>
          <w:rFonts w:ascii="Times New Roman" w:hAnsi="Times New Roman" w:cs="Times New Roman"/>
          <w:sz w:val="28"/>
          <w:szCs w:val="28"/>
          <w:rtl/>
        </w:rPr>
        <w:t>(</w:t>
      </w:r>
      <w:r>
        <w:rPr>
          <w:rFonts w:ascii="Times New Roman" w:hAnsi="Times New Roman" w:cs="Times New Roman"/>
          <w:sz w:val="28"/>
          <w:szCs w:val="28"/>
        </w:rPr>
        <w:t>SOPs</w:t>
      </w:r>
      <w:r>
        <w:rPr>
          <w:rFonts w:ascii="Times New Roman" w:hAnsi="Times New Roman" w:cs="Times New Roman"/>
          <w:sz w:val="28"/>
          <w:szCs w:val="28"/>
          <w:rtl/>
        </w:rPr>
        <w:t>)</w:t>
      </w:r>
      <w:r>
        <w:rPr>
          <w:rFonts w:ascii="Times New Roman" w:hAnsi="Times New Roman" w:cs="Simplified Arabic"/>
          <w:sz w:val="28"/>
          <w:szCs w:val="28"/>
          <w:rtl/>
        </w:rPr>
        <w:t xml:space="preserve"> لكل نوع من الأصول، وإعداد جداول صيانة زمنية معتمدة، وتأهيل الكوادر الفنية على متطلبات الصيانة لكل نظام، وتخصيص ميزانية ثابتة تحمي بنود الصيانة الوقائية من التقليص عند الضغوط المالية. فكثير من المنشآت والمشاريع تقع في فخّ خفض إنفاق الصيانة الوقائية عند التقشّف، لتُفاجأ لاحقاً بارتفاع كلفة الأعطال التصحيحية وتوقفات الخدمة </w:t>
      </w:r>
      <w:r>
        <w:rPr>
          <w:rFonts w:ascii="Times New Roman" w:hAnsi="Times New Roman" w:cs="Simplified Arabic"/>
          <w:sz w:val="28"/>
          <w:szCs w:val="28"/>
          <w:rtl/>
        </w:rPr>
        <w:lastRenderedPageBreak/>
        <w:t>إلى مستويات تتجاوز الوفورات الظاهرية التي تحققت. ومن ثمّ يُنظر إلى ثبات الالتزام ببرنامج الصيانة الوقائية بوصفه مؤشراً على نضج المنظمة في إدارة أصولها.</w:t>
      </w:r>
    </w:p>
    <w:p w14:paraId="6FBC2725" w14:textId="77777777" w:rsidR="00225AC7" w:rsidRDefault="0082177C">
      <w:pPr>
        <w:spacing w:after="120" w:line="360" w:lineRule="auto"/>
        <w:jc w:val="both"/>
      </w:pPr>
      <w:r>
        <w:rPr>
          <w:rFonts w:ascii="Times New Roman" w:hAnsi="Times New Roman" w:cs="Simplified Arabic"/>
          <w:sz w:val="28"/>
          <w:szCs w:val="28"/>
          <w:rtl/>
        </w:rPr>
        <w:t>وفي السياق الخاص بمشاريع الواجهة البحرية، تكتسب الصيانة الوقائية بُعداً إضافياً يتصل بحساسية البيئة الساحلية؛ إذ تتسارع معدلات التآكل والتلف نتيجة الرطوبة العالية والرذاذ الملحي وأشعة الشمس المباشرة على مدار العام، وهو ما يفرض تقصير دورات الفحص واعتماد مواد ومعالجات خاصة مقاومة للتآكل. كما أن الطابع الجماهيري لهذه الوجهات يجعل أي توقف مفاجئ في الأنظمة الحيوية - كالتكييف في مناطق التجمّع أو أنظمة الإنارة الليلية أو المصاعد- يؤثر بشكل مباشر على سلامة الزوار وتجربتهم وسمعة المشروع، بما يرفع من الأهمية النسبية للصيانة الوقائية مقارنةً بالمنشآت الأقل ازدحاماً أو الأقل تعرضاً للعوامل الجوية القاسية.</w:t>
      </w:r>
    </w:p>
    <w:p w14:paraId="6FBC2726" w14:textId="77777777" w:rsidR="00225AC7" w:rsidRDefault="0082177C">
      <w:pPr>
        <w:pStyle w:val="3"/>
        <w:bidi/>
      </w:pPr>
      <w:bookmarkStart w:id="19" w:name="_Toc235185285"/>
      <w:r>
        <w:rPr>
          <w:rFonts w:ascii="Simplified Arabic" w:hAnsi="Simplified Arabic" w:cs="Simplified Arabic"/>
          <w:b/>
          <w:bCs/>
          <w:color w:val="000000"/>
          <w:sz w:val="36"/>
          <w:szCs w:val="36"/>
        </w:rPr>
        <w:t>2-4-3</w:t>
      </w:r>
      <w:r>
        <w:rPr>
          <w:rFonts w:ascii="Simplified Arabic" w:hAnsi="Simplified Arabic" w:cs="Simplified Arabic"/>
          <w:b/>
          <w:bCs/>
          <w:color w:val="000000"/>
          <w:sz w:val="36"/>
          <w:szCs w:val="36"/>
          <w:rtl/>
        </w:rPr>
        <w:t xml:space="preserve"> البعد الثاني: ترشيد الطاقة وإدارة الموارد</w:t>
      </w:r>
      <w:bookmarkEnd w:id="19"/>
    </w:p>
    <w:p w14:paraId="6FBC2727" w14:textId="77777777" w:rsidR="00225AC7" w:rsidRDefault="0082177C">
      <w:pPr>
        <w:spacing w:after="120" w:line="360" w:lineRule="auto"/>
        <w:jc w:val="both"/>
      </w:pPr>
      <w:r>
        <w:rPr>
          <w:rFonts w:ascii="Times New Roman" w:hAnsi="Times New Roman" w:cs="Simplified Arabic"/>
          <w:sz w:val="28"/>
          <w:szCs w:val="28"/>
          <w:rtl/>
        </w:rPr>
        <w:t>يتناول هذا البُعد مراقبة استهلاك الكهرباء والمياه وسائر الموارد والحدّ من الهدر عبر إجراءات منهجية واضحة، واستخدام التقنيات الموفّرة للطاقة، وتطبيق ممارسات إدارة النفايات وإعادة التدوير، والمراجعة الدورية لمؤشرات الاستهلاك. ويمكن تنظيم برنامج ترشيد الطاقة في الوجهات الترفيهية عبر أربع مراحل متتابعة:</w:t>
      </w:r>
    </w:p>
    <w:p w14:paraId="6FBC2728" w14:textId="77777777" w:rsidR="00225AC7" w:rsidRDefault="0082177C">
      <w:pPr>
        <w:spacing w:after="120" w:line="360" w:lineRule="auto"/>
        <w:jc w:val="both"/>
      </w:pPr>
      <w:r>
        <w:rPr>
          <w:rFonts w:ascii="Times New Roman" w:hAnsi="Times New Roman" w:cs="Simplified Arabic"/>
          <w:sz w:val="28"/>
          <w:szCs w:val="28"/>
          <w:rtl/>
        </w:rPr>
        <w:t xml:space="preserve">• مرحلة القياس والتدقيق الطاقي </w:t>
      </w:r>
      <w:r>
        <w:rPr>
          <w:rFonts w:ascii="Times New Roman" w:hAnsi="Times New Roman" w:cs="Times New Roman"/>
          <w:sz w:val="28"/>
          <w:szCs w:val="28"/>
          <w:rtl/>
        </w:rPr>
        <w:t>(</w:t>
      </w:r>
      <w:r>
        <w:rPr>
          <w:rFonts w:ascii="Times New Roman" w:hAnsi="Times New Roman" w:cs="Times New Roman"/>
          <w:sz w:val="28"/>
          <w:szCs w:val="28"/>
        </w:rPr>
        <w:t>Energy Audit</w:t>
      </w:r>
      <w:r>
        <w:rPr>
          <w:rFonts w:ascii="Times New Roman" w:hAnsi="Times New Roman" w:cs="Times New Roman"/>
          <w:sz w:val="28"/>
          <w:szCs w:val="28"/>
          <w:rtl/>
        </w:rPr>
        <w:t>)</w:t>
      </w:r>
      <w:r>
        <w:rPr>
          <w:rFonts w:ascii="Times New Roman" w:hAnsi="Times New Roman" w:cs="Simplified Arabic"/>
          <w:sz w:val="28"/>
          <w:szCs w:val="28"/>
          <w:rtl/>
        </w:rPr>
        <w:t>: وتشمل حصر مصادر الاستهلاك وقياس الأحمال الفعلية وتحديد مواقع الهدر عبر عدّادات فرعية وأنظمة قياس ذكية.</w:t>
      </w:r>
    </w:p>
    <w:p w14:paraId="6FBC2729" w14:textId="77777777" w:rsidR="00225AC7" w:rsidRDefault="0082177C">
      <w:pPr>
        <w:spacing w:after="120" w:line="360" w:lineRule="auto"/>
        <w:jc w:val="both"/>
      </w:pPr>
      <w:r>
        <w:rPr>
          <w:rFonts w:ascii="Times New Roman" w:hAnsi="Times New Roman" w:cs="Simplified Arabic"/>
          <w:sz w:val="28"/>
          <w:szCs w:val="28"/>
          <w:rtl/>
        </w:rPr>
        <w:t>• مرحلة التخطيط ووضع الأهداف: وتشمل تحديد أهداف كمية لخفض الاستهلاك وبناء خط أساس مرجعي وتوزيع المسؤوليات.</w:t>
      </w:r>
    </w:p>
    <w:p w14:paraId="6FBC272A" w14:textId="77777777" w:rsidR="00225AC7" w:rsidRDefault="0082177C">
      <w:pPr>
        <w:spacing w:after="120" w:line="360" w:lineRule="auto"/>
        <w:jc w:val="both"/>
      </w:pPr>
      <w:r>
        <w:rPr>
          <w:rFonts w:ascii="Times New Roman" w:hAnsi="Times New Roman" w:cs="Simplified Arabic"/>
          <w:sz w:val="28"/>
          <w:szCs w:val="28"/>
          <w:rtl/>
        </w:rPr>
        <w:lastRenderedPageBreak/>
        <w:t>• مرحلة التنفيذ وإدخال التقنيات الموفّرة: وتشمل تطبيق الإجراءات الفنية والتشغيلية اللازمة.</w:t>
      </w:r>
    </w:p>
    <w:p w14:paraId="6FBC272B" w14:textId="77777777" w:rsidR="00225AC7" w:rsidRDefault="0082177C">
      <w:pPr>
        <w:spacing w:after="120" w:line="360" w:lineRule="auto"/>
        <w:jc w:val="both"/>
      </w:pPr>
      <w:r>
        <w:rPr>
          <w:rFonts w:ascii="Times New Roman" w:hAnsi="Times New Roman" w:cs="Simplified Arabic"/>
          <w:sz w:val="28"/>
          <w:szCs w:val="28"/>
          <w:rtl/>
        </w:rPr>
        <w:t xml:space="preserve">• مرحلة المتابعة والتحسين المستمر: وتشمل رصد النتائج ومقارنتها بالأهداف وتصحيح المسار وفق دورة التحسين المستمر </w:t>
      </w:r>
      <w:r>
        <w:rPr>
          <w:rFonts w:ascii="Times New Roman" w:hAnsi="Times New Roman" w:cs="Times New Roman"/>
          <w:sz w:val="28"/>
          <w:szCs w:val="28"/>
          <w:rtl/>
        </w:rPr>
        <w:t>(</w:t>
      </w:r>
      <w:r>
        <w:rPr>
          <w:rFonts w:ascii="Times New Roman" w:hAnsi="Times New Roman" w:cs="Times New Roman"/>
          <w:sz w:val="28"/>
          <w:szCs w:val="28"/>
        </w:rPr>
        <w:t>PDCA</w:t>
      </w:r>
      <w:r>
        <w:rPr>
          <w:rFonts w:ascii="Times New Roman" w:hAnsi="Times New Roman" w:cs="Times New Roman"/>
          <w:sz w:val="28"/>
          <w:szCs w:val="28"/>
          <w:rtl/>
        </w:rPr>
        <w:t>)</w:t>
      </w:r>
      <w:r>
        <w:rPr>
          <w:rFonts w:ascii="Times New Roman" w:hAnsi="Times New Roman" w:cs="Simplified Arabic"/>
          <w:sz w:val="28"/>
          <w:szCs w:val="28"/>
          <w:rtl/>
        </w:rPr>
        <w:t xml:space="preserve">. ومن أنواع التقنيات الموفّرة للطاقة في هذه الوجهات: أنظمة الإضاءة الموفّرة </w:t>
      </w:r>
      <w:r>
        <w:rPr>
          <w:rFonts w:ascii="Times New Roman" w:hAnsi="Times New Roman" w:cs="Times New Roman"/>
          <w:sz w:val="28"/>
          <w:szCs w:val="28"/>
          <w:rtl/>
        </w:rPr>
        <w:t>(</w:t>
      </w:r>
      <w:r>
        <w:rPr>
          <w:rFonts w:ascii="Times New Roman" w:hAnsi="Times New Roman" w:cs="Times New Roman"/>
          <w:sz w:val="28"/>
          <w:szCs w:val="28"/>
        </w:rPr>
        <w:t>LED</w:t>
      </w:r>
      <w:r>
        <w:rPr>
          <w:rFonts w:ascii="Times New Roman" w:hAnsi="Times New Roman" w:cs="Times New Roman"/>
          <w:sz w:val="28"/>
          <w:szCs w:val="28"/>
          <w:rtl/>
        </w:rPr>
        <w:t>)</w:t>
      </w:r>
      <w:r>
        <w:rPr>
          <w:rFonts w:ascii="Times New Roman" w:hAnsi="Times New Roman" w:cs="Simplified Arabic"/>
          <w:sz w:val="28"/>
          <w:szCs w:val="28"/>
          <w:rtl/>
        </w:rPr>
        <w:t xml:space="preserve"> مع حساسات الحركة والإضاءة النهارية، وأنظمة التحكم الذكية بالتكييف والإنارة </w:t>
      </w:r>
      <w:r>
        <w:rPr>
          <w:rFonts w:ascii="Times New Roman" w:hAnsi="Times New Roman" w:cs="Times New Roman"/>
          <w:sz w:val="28"/>
          <w:szCs w:val="28"/>
          <w:rtl/>
        </w:rPr>
        <w:t>(</w:t>
      </w:r>
      <w:r>
        <w:rPr>
          <w:rFonts w:ascii="Times New Roman" w:hAnsi="Times New Roman" w:cs="Times New Roman"/>
          <w:sz w:val="28"/>
          <w:szCs w:val="28"/>
        </w:rPr>
        <w:t>BMS</w:t>
      </w:r>
      <w:r>
        <w:rPr>
          <w:rFonts w:ascii="Times New Roman" w:hAnsi="Times New Roman" w:cs="Times New Roman"/>
          <w:sz w:val="28"/>
          <w:szCs w:val="28"/>
          <w:rtl/>
        </w:rPr>
        <w:t>)</w:t>
      </w:r>
      <w:r>
        <w:rPr>
          <w:rFonts w:ascii="Times New Roman" w:hAnsi="Times New Roman" w:cs="Simplified Arabic"/>
          <w:sz w:val="28"/>
          <w:szCs w:val="28"/>
          <w:rtl/>
        </w:rPr>
        <w:t>، وأنظمة الترشيد المائي والري الذكي، وأنظمة استرجاع الحرارة، وأنظمة الطاقة المتجددة كالخلايا الشمسية في المناطق المفتوحة، إضافة إلى تقنيات إدارة النفايات وإعادة التدوير. ويرتبط بعد ترشيد الطاقة وإدارة الموارد ارتباطاً وثيقاً في مشاريع الواجهة البحرية بالبُعد الأول (الصيانة الوقائية)؛ فالأصل الذي يخضع لصيانة منتظمة يعمل عند كفاءته التصميمية ويستهلك طاقةً أقلّ، في حين أن إهمال الصيانة يرفع الاستهلاك ويزيد الهد</w:t>
      </w:r>
      <w:r>
        <w:rPr>
          <w:rFonts w:cs="Simplified Arabic"/>
          <w:rtl/>
        </w:rPr>
        <w:t>ر</w:t>
      </w:r>
    </w:p>
    <w:p w14:paraId="6FBC272C" w14:textId="77777777" w:rsidR="00225AC7" w:rsidRDefault="0082177C">
      <w:pPr>
        <w:pStyle w:val="3"/>
        <w:bidi/>
      </w:pPr>
      <w:bookmarkStart w:id="20" w:name="_Toc235185286"/>
      <w:r>
        <w:rPr>
          <w:rFonts w:ascii="Simplified Arabic" w:hAnsi="Simplified Arabic" w:cs="Simplified Arabic"/>
          <w:b/>
          <w:bCs/>
          <w:color w:val="000000"/>
          <w:sz w:val="36"/>
          <w:szCs w:val="36"/>
        </w:rPr>
        <w:t>2-4-4</w:t>
      </w:r>
      <w:r>
        <w:rPr>
          <w:rFonts w:ascii="Simplified Arabic" w:hAnsi="Simplified Arabic" w:cs="Simplified Arabic"/>
          <w:b/>
          <w:bCs/>
          <w:color w:val="000000"/>
          <w:sz w:val="36"/>
          <w:szCs w:val="36"/>
          <w:rtl/>
        </w:rPr>
        <w:t xml:space="preserve"> البعد الثالث: سرعة الاستجابة للأعطال</w:t>
      </w:r>
      <w:bookmarkEnd w:id="20"/>
    </w:p>
    <w:p w14:paraId="6FBC272D" w14:textId="77777777" w:rsidR="00225AC7" w:rsidRDefault="0082177C">
      <w:pPr>
        <w:spacing w:after="120" w:line="360" w:lineRule="auto"/>
        <w:jc w:val="both"/>
      </w:pPr>
      <w:r>
        <w:rPr>
          <w:rFonts w:ascii="Times New Roman" w:hAnsi="Times New Roman" w:cs="Simplified Arabic"/>
          <w:sz w:val="28"/>
          <w:szCs w:val="28"/>
          <w:rtl/>
        </w:rPr>
        <w:t>يركّز هذا البُعد على القدرة على معالجة الأعطال التشغيلية خلال زمن استجابة قصير ومقبول، عبر توافر بروتوكولات واضحة للتعامل مع الطوارئ، وفريق صيانة مؤهّل وجاهز وقت الذروة، وقطع غيار ومعدات احتياطية، وأنظمة رقمية لرصد الأعطال والإبلاغ عنها فور حدوثها. ويُصنّف مستوى الاستجابة عادةً وفق درجة حرجية العطل إلى ثلاثة مستويات:</w:t>
      </w:r>
    </w:p>
    <w:p w14:paraId="6FBC272E" w14:textId="77777777" w:rsidR="00225AC7" w:rsidRDefault="0082177C">
      <w:pPr>
        <w:spacing w:after="120" w:line="360" w:lineRule="auto"/>
        <w:jc w:val="both"/>
      </w:pPr>
      <w:r>
        <w:rPr>
          <w:rFonts w:ascii="Times New Roman" w:hAnsi="Times New Roman" w:cs="Simplified Arabic"/>
          <w:sz w:val="28"/>
          <w:szCs w:val="28"/>
          <w:rtl/>
        </w:rPr>
        <w:t xml:space="preserve">• المستوى الحرج </w:t>
      </w:r>
      <w:r>
        <w:rPr>
          <w:rFonts w:ascii="Times New Roman" w:hAnsi="Times New Roman" w:cs="Times New Roman"/>
          <w:sz w:val="28"/>
          <w:szCs w:val="28"/>
          <w:rtl/>
        </w:rPr>
        <w:t>(</w:t>
      </w:r>
      <w:r>
        <w:rPr>
          <w:rFonts w:ascii="Times New Roman" w:hAnsi="Times New Roman" w:cs="Times New Roman"/>
          <w:sz w:val="28"/>
          <w:szCs w:val="28"/>
        </w:rPr>
        <w:t>Critical</w:t>
      </w:r>
      <w:r>
        <w:rPr>
          <w:rFonts w:ascii="Times New Roman" w:hAnsi="Times New Roman" w:cs="Times New Roman"/>
          <w:sz w:val="28"/>
          <w:szCs w:val="28"/>
          <w:rtl/>
        </w:rPr>
        <w:t>)</w:t>
      </w:r>
      <w:r>
        <w:rPr>
          <w:rFonts w:ascii="Times New Roman" w:hAnsi="Times New Roman" w:cs="Simplified Arabic"/>
          <w:sz w:val="28"/>
          <w:szCs w:val="28"/>
          <w:rtl/>
        </w:rPr>
        <w:t>: يشمل الأعطال التي تهدد سلامة الزوار أو توقف الخدمة الرئيسية (كأنظمة الإطفاء والسلامة والكهرباء الرئيسية)، ويتطلب استجابة فورية خلال دقائق وتفعيل بروتوكول الطوارئ.</w:t>
      </w:r>
    </w:p>
    <w:p w14:paraId="6FBC272F" w14:textId="77777777" w:rsidR="00225AC7" w:rsidRDefault="0082177C">
      <w:pPr>
        <w:spacing w:after="120" w:line="360" w:lineRule="auto"/>
        <w:jc w:val="both"/>
      </w:pPr>
      <w:r>
        <w:rPr>
          <w:rFonts w:ascii="Times New Roman" w:hAnsi="Times New Roman" w:cs="Simplified Arabic"/>
          <w:sz w:val="28"/>
          <w:szCs w:val="28"/>
          <w:rtl/>
        </w:rPr>
        <w:t xml:space="preserve">• المستوى العالي </w:t>
      </w:r>
      <w:r>
        <w:rPr>
          <w:rFonts w:ascii="Times New Roman" w:hAnsi="Times New Roman" w:cs="Times New Roman"/>
          <w:sz w:val="28"/>
          <w:szCs w:val="28"/>
          <w:rtl/>
        </w:rPr>
        <w:t>(</w:t>
      </w:r>
      <w:r>
        <w:rPr>
          <w:rFonts w:ascii="Times New Roman" w:hAnsi="Times New Roman" w:cs="Times New Roman"/>
          <w:sz w:val="28"/>
          <w:szCs w:val="28"/>
        </w:rPr>
        <w:t>High</w:t>
      </w:r>
      <w:r>
        <w:rPr>
          <w:rFonts w:ascii="Times New Roman" w:hAnsi="Times New Roman" w:cs="Times New Roman"/>
          <w:sz w:val="28"/>
          <w:szCs w:val="28"/>
          <w:rtl/>
        </w:rPr>
        <w:t>)</w:t>
      </w:r>
      <w:r>
        <w:rPr>
          <w:rFonts w:ascii="Times New Roman" w:hAnsi="Times New Roman" w:cs="Simplified Arabic"/>
          <w:sz w:val="28"/>
          <w:szCs w:val="28"/>
          <w:rtl/>
        </w:rPr>
        <w:t xml:space="preserve">: يشمل الأعطال المؤثرة على جزء من الخدمة أو راحة الزوار، ويتطلب استجابة خلال ساعات محددة ضمن اتفاقية مستوى الخدمة </w:t>
      </w:r>
      <w:r>
        <w:rPr>
          <w:rFonts w:ascii="Times New Roman" w:hAnsi="Times New Roman" w:cs="Times New Roman"/>
          <w:sz w:val="28"/>
          <w:szCs w:val="28"/>
          <w:rtl/>
        </w:rPr>
        <w:t>(</w:t>
      </w:r>
      <w:r>
        <w:rPr>
          <w:rFonts w:ascii="Times New Roman" w:hAnsi="Times New Roman" w:cs="Times New Roman"/>
          <w:sz w:val="28"/>
          <w:szCs w:val="28"/>
        </w:rPr>
        <w:t>SLA</w:t>
      </w:r>
      <w:r>
        <w:rPr>
          <w:rFonts w:ascii="Times New Roman" w:hAnsi="Times New Roman" w:cs="Times New Roman"/>
          <w:sz w:val="28"/>
          <w:szCs w:val="28"/>
          <w:rtl/>
        </w:rPr>
        <w:t>)</w:t>
      </w:r>
      <w:r>
        <w:rPr>
          <w:rFonts w:ascii="Times New Roman" w:hAnsi="Times New Roman" w:cs="Simplified Arabic"/>
          <w:sz w:val="28"/>
          <w:szCs w:val="28"/>
          <w:rtl/>
        </w:rPr>
        <w:t>.</w:t>
      </w:r>
    </w:p>
    <w:p w14:paraId="6FBC2730" w14:textId="77777777" w:rsidR="00225AC7" w:rsidRDefault="0082177C">
      <w:pPr>
        <w:spacing w:after="120" w:line="360" w:lineRule="auto"/>
        <w:jc w:val="both"/>
      </w:pPr>
      <w:r>
        <w:rPr>
          <w:rFonts w:ascii="Times New Roman" w:hAnsi="Times New Roman" w:cs="Simplified Arabic"/>
          <w:sz w:val="28"/>
          <w:szCs w:val="28"/>
          <w:rtl/>
        </w:rPr>
        <w:lastRenderedPageBreak/>
        <w:t xml:space="preserve">• المستوى العادي </w:t>
      </w:r>
      <w:r>
        <w:rPr>
          <w:rFonts w:ascii="Times New Roman" w:hAnsi="Times New Roman" w:cs="Times New Roman"/>
          <w:sz w:val="28"/>
          <w:szCs w:val="28"/>
          <w:rtl/>
        </w:rPr>
        <w:t>(</w:t>
      </w:r>
      <w:r>
        <w:rPr>
          <w:rFonts w:ascii="Times New Roman" w:hAnsi="Times New Roman" w:cs="Times New Roman"/>
          <w:sz w:val="28"/>
          <w:szCs w:val="28"/>
        </w:rPr>
        <w:t>Routine</w:t>
      </w:r>
      <w:r>
        <w:rPr>
          <w:rFonts w:ascii="Times New Roman" w:hAnsi="Times New Roman" w:cs="Times New Roman"/>
          <w:sz w:val="28"/>
          <w:szCs w:val="28"/>
          <w:rtl/>
        </w:rPr>
        <w:t>)</w:t>
      </w:r>
      <w:r>
        <w:rPr>
          <w:rFonts w:ascii="Times New Roman" w:hAnsi="Times New Roman" w:cs="Simplified Arabic"/>
          <w:sz w:val="28"/>
          <w:szCs w:val="28"/>
          <w:rtl/>
        </w:rPr>
        <w:t>: يشمل الأعطال البسيطة التي لا تؤثر جوهرياً على الخدمة، ويمكن جدولتها ضمن أعمال الصيانة الدورية خارج أوقات تشغيل المشروع.</w:t>
      </w:r>
    </w:p>
    <w:p w14:paraId="6FBC2731" w14:textId="77777777" w:rsidR="00225AC7" w:rsidRDefault="0082177C">
      <w:pPr>
        <w:spacing w:after="120" w:line="360" w:lineRule="auto"/>
        <w:jc w:val="both"/>
      </w:pPr>
      <w:r>
        <w:rPr>
          <w:rFonts w:ascii="Times New Roman" w:hAnsi="Times New Roman" w:cs="Simplified Arabic"/>
          <w:sz w:val="28"/>
          <w:szCs w:val="28"/>
          <w:rtl/>
        </w:rPr>
        <w:t xml:space="preserve">وتتطلب سرعة الاستجابة توافر بروتوكولات طوارئ موثّقة تحدد مسؤوليات كل فريق وتسلسل التصعيد وقنوات الاتصال، فضلاً عن مخزون قطع الغيار الاحتياطية وفرق مناوبة جاهزة وقت الذروة. وتُسهم الأنظمة الرقمية الحديثة لإدارة المرافق المحوسبة </w:t>
      </w:r>
      <w:r>
        <w:rPr>
          <w:rFonts w:ascii="Times New Roman" w:hAnsi="Times New Roman" w:cs="Times New Roman"/>
          <w:sz w:val="28"/>
          <w:szCs w:val="28"/>
          <w:rtl/>
        </w:rPr>
        <w:t>(</w:t>
      </w:r>
      <w:r>
        <w:rPr>
          <w:rFonts w:ascii="Times New Roman" w:hAnsi="Times New Roman" w:cs="Times New Roman"/>
          <w:sz w:val="28"/>
          <w:szCs w:val="28"/>
        </w:rPr>
        <w:t>CMMS</w:t>
      </w:r>
      <w:r>
        <w:rPr>
          <w:rFonts w:ascii="Times New Roman" w:hAnsi="Times New Roman" w:cs="Times New Roman"/>
          <w:sz w:val="28"/>
          <w:szCs w:val="28"/>
          <w:rtl/>
        </w:rPr>
        <w:t>)</w:t>
      </w:r>
      <w:r>
        <w:rPr>
          <w:rFonts w:ascii="Times New Roman" w:hAnsi="Times New Roman" w:cs="Simplified Arabic"/>
          <w:sz w:val="28"/>
          <w:szCs w:val="28"/>
          <w:rtl/>
        </w:rPr>
        <w:t xml:space="preserve"> وأنظمة إنترنت الأشياء في تقصير زمن الاستجابة عبر الرصد الآني للأعطال وتوليد أوامر العمل تلقائياً وتوجيهها للفريق الأقرب وتوثيقها وتحليلها، بما يُقلّل من تحوّل المشكلات التشغيلية إلى أزمات تمسّ استمرارية الخدمة وتجربة الزائر.</w:t>
      </w:r>
    </w:p>
    <w:p w14:paraId="6FBC2732" w14:textId="77777777" w:rsidR="00225AC7" w:rsidRDefault="0082177C">
      <w:pPr>
        <w:spacing w:after="120" w:line="360" w:lineRule="auto"/>
        <w:jc w:val="both"/>
      </w:pPr>
      <w:r>
        <w:rPr>
          <w:rFonts w:ascii="Times New Roman" w:hAnsi="Times New Roman" w:cs="Simplified Arabic"/>
          <w:sz w:val="28"/>
          <w:szCs w:val="28"/>
          <w:rtl/>
        </w:rPr>
        <w:t xml:space="preserve">ويمثّل زمن الاستجابة </w:t>
      </w:r>
      <w:r>
        <w:rPr>
          <w:rFonts w:ascii="Times New Roman" w:hAnsi="Times New Roman" w:cs="Times New Roman"/>
          <w:sz w:val="28"/>
          <w:szCs w:val="28"/>
          <w:rtl/>
        </w:rPr>
        <w:t>(</w:t>
      </w:r>
      <w:r>
        <w:rPr>
          <w:rFonts w:ascii="Times New Roman" w:hAnsi="Times New Roman" w:cs="Times New Roman"/>
          <w:sz w:val="28"/>
          <w:szCs w:val="28"/>
        </w:rPr>
        <w:t>Response Time</w:t>
      </w:r>
      <w:r>
        <w:rPr>
          <w:rFonts w:ascii="Times New Roman" w:hAnsi="Times New Roman" w:cs="Times New Roman"/>
          <w:sz w:val="28"/>
          <w:szCs w:val="28"/>
          <w:rtl/>
        </w:rPr>
        <w:t>)</w:t>
      </w:r>
      <w:r>
        <w:rPr>
          <w:rFonts w:ascii="Times New Roman" w:hAnsi="Times New Roman" w:cs="Simplified Arabic"/>
          <w:sz w:val="28"/>
          <w:szCs w:val="28"/>
          <w:rtl/>
        </w:rPr>
        <w:t xml:space="preserve"> وزمن المعالجة </w:t>
      </w:r>
      <w:r>
        <w:rPr>
          <w:rFonts w:ascii="Times New Roman" w:hAnsi="Times New Roman" w:cs="Times New Roman"/>
          <w:sz w:val="28"/>
          <w:szCs w:val="28"/>
          <w:rtl/>
        </w:rPr>
        <w:t>(</w:t>
      </w:r>
      <w:r>
        <w:rPr>
          <w:rFonts w:ascii="Times New Roman" w:hAnsi="Times New Roman" w:cs="Times New Roman"/>
          <w:sz w:val="28"/>
          <w:szCs w:val="28"/>
        </w:rPr>
        <w:t>Resolution Time</w:t>
      </w:r>
      <w:r>
        <w:rPr>
          <w:rFonts w:ascii="Times New Roman" w:hAnsi="Times New Roman" w:cs="Times New Roman"/>
          <w:sz w:val="28"/>
          <w:szCs w:val="28"/>
          <w:rtl/>
        </w:rPr>
        <w:t>)</w:t>
      </w:r>
      <w:r>
        <w:rPr>
          <w:rFonts w:ascii="Times New Roman" w:hAnsi="Times New Roman" w:cs="Simplified Arabic"/>
          <w:sz w:val="28"/>
          <w:szCs w:val="28"/>
          <w:rtl/>
        </w:rPr>
        <w:t xml:space="preserve"> أبرز مؤشرات قياس هذا البُعد، ويُحدّدان عادةً ضمن اتفاقية مستوى الخدمة </w:t>
      </w:r>
      <w:r>
        <w:rPr>
          <w:rFonts w:ascii="Times New Roman" w:hAnsi="Times New Roman" w:cs="Times New Roman"/>
          <w:sz w:val="28"/>
          <w:szCs w:val="28"/>
          <w:rtl/>
        </w:rPr>
        <w:t>(</w:t>
      </w:r>
      <w:r>
        <w:rPr>
          <w:rFonts w:ascii="Times New Roman" w:hAnsi="Times New Roman" w:cs="Times New Roman"/>
          <w:sz w:val="28"/>
          <w:szCs w:val="28"/>
        </w:rPr>
        <w:t>SLA</w:t>
      </w:r>
      <w:r>
        <w:rPr>
          <w:rFonts w:ascii="Times New Roman" w:hAnsi="Times New Roman" w:cs="Times New Roman"/>
          <w:sz w:val="28"/>
          <w:szCs w:val="28"/>
          <w:rtl/>
        </w:rPr>
        <w:t xml:space="preserve">) </w:t>
      </w:r>
      <w:r>
        <w:rPr>
          <w:rFonts w:ascii="Times New Roman" w:hAnsi="Times New Roman" w:cs="Simplified Arabic"/>
          <w:sz w:val="28"/>
          <w:szCs w:val="28"/>
          <w:rtl/>
        </w:rPr>
        <w:t>التي تربط المالك بالمشغّل، بحيث تُفرض غرامات أو خصيمات أداء عند تجاوز الأزمنة المتفق عليها. ويرتبط هذا البُعد ارتباطاً وثيقاً ببُعد الاستجابة في نموذج جودة الخدمة، إذ يُدرك الزائر والمستأجر سرعة معالجة العطل بوصفها مؤشراً مباشراً على جودة الخدمة واهتمام الجهة المشغّلة براحته وسلامته.</w:t>
      </w:r>
    </w:p>
    <w:p w14:paraId="6FBC2733" w14:textId="77777777" w:rsidR="00225AC7" w:rsidRDefault="0082177C">
      <w:pPr>
        <w:spacing w:after="120" w:line="360" w:lineRule="auto"/>
        <w:jc w:val="both"/>
      </w:pPr>
      <w:r>
        <w:rPr>
          <w:rFonts w:ascii="Times New Roman" w:hAnsi="Times New Roman" w:cs="Simplified Arabic"/>
          <w:sz w:val="28"/>
          <w:szCs w:val="28"/>
          <w:rtl/>
        </w:rPr>
        <w:t>ويُلاحَظ أن بُعد سرعة الاستجابة يكتسب في الوجهات الترفيهية الساحلية حساسيةً خاصة تفوق ما هو عليه في أنواع المنشآت الأخرى؛ فحضور الزائر في هذه الوجهات حضور مباشر وجماهيري، وأي خلل في الخدمة - كتعطل دورة مياه أو انقطاع إنارة أو عطل في خدمة مقدمة – يصبح مكشوف من قبل أعداد كبيرة من الزوار في آنٍ واحد، وقد ينتقل أثره سريعاً عبر منصات التواصل الاجتماعي ومواقع التقييم، بما يضاعف كلفة التأخر في المعالجة على سمعة الواجهة البحرية. ومن ثمّ فإن قصر زمن الاستجابة لا يحمي الاستمرارية التشغيلية فحسب، بل يُعدّ خط دفاع أول عن الصورة الذهنية للوجهة وعن ثقة الزوار والمستأجرين.</w:t>
      </w:r>
    </w:p>
    <w:p w14:paraId="6FBC2734" w14:textId="77777777" w:rsidR="00225AC7" w:rsidRDefault="0082177C">
      <w:pPr>
        <w:spacing w:after="120" w:line="360" w:lineRule="auto"/>
        <w:jc w:val="both"/>
      </w:pPr>
      <w:r>
        <w:rPr>
          <w:rFonts w:ascii="Times New Roman" w:hAnsi="Times New Roman" w:cs="Simplified Arabic"/>
          <w:sz w:val="28"/>
          <w:szCs w:val="28"/>
          <w:rtl/>
        </w:rPr>
        <w:lastRenderedPageBreak/>
        <w:t xml:space="preserve">ويتطلب تحقيق زمن استجابة قصير بناء منظومة متكاملة تشمل مركز تحكم موحّد يستقبل البلاغات ويصنّفها حسب درجة خطورتها وحاجتها، وفرق ميدانية موزّعة جغرافياً على مناطق الوجهة لتقليص زمن الوصول، ومخزوناً محسوباً من قطع الغيار الاحتياطية يُحدّد على أساس تحليل تاريخ الأعطال ومعدلات تكرارها. كما يُسهم التوسع في أنظمة إنترنت الأشياء </w:t>
      </w:r>
      <w:r>
        <w:rPr>
          <w:rFonts w:ascii="Times New Roman" w:hAnsi="Times New Roman" w:cs="Times New Roman"/>
          <w:sz w:val="28"/>
          <w:szCs w:val="28"/>
          <w:rtl/>
        </w:rPr>
        <w:t>(</w:t>
      </w:r>
      <w:r>
        <w:rPr>
          <w:rFonts w:ascii="Times New Roman" w:hAnsi="Times New Roman" w:cs="Times New Roman"/>
          <w:sz w:val="28"/>
          <w:szCs w:val="28"/>
        </w:rPr>
        <w:t>IoT</w:t>
      </w:r>
      <w:r>
        <w:rPr>
          <w:rFonts w:ascii="Times New Roman" w:hAnsi="Times New Roman" w:cs="Times New Roman"/>
          <w:sz w:val="28"/>
          <w:szCs w:val="28"/>
          <w:rtl/>
        </w:rPr>
        <w:t>)</w:t>
      </w:r>
      <w:r>
        <w:rPr>
          <w:rFonts w:ascii="Times New Roman" w:hAnsi="Times New Roman" w:cs="Simplified Arabic"/>
          <w:sz w:val="28"/>
          <w:szCs w:val="28"/>
          <w:rtl/>
        </w:rPr>
        <w:t xml:space="preserve"> والمستشعرات المتصلة في تحويل جزء من الاستجابة من نمط تفاعلي إلى نمط استباقي، حيث يُكتشف العطل الوشيك ويُولّد أمر عمل تلقائي قبل أن يشعر به الزائر أصلاً، وهو ما يقرّب هذا البُعد من مفهوم الصيانة التنبؤية ويجعل الحدود بين الأبعاد الثلاثة أكثر تداخلاً وتكاملاً في الممارسة الفعلية.</w:t>
      </w:r>
    </w:p>
    <w:p w14:paraId="6FBC2735" w14:textId="77777777" w:rsidR="00225AC7" w:rsidRDefault="0082177C">
      <w:pPr>
        <w:pStyle w:val="3"/>
        <w:bidi/>
      </w:pPr>
      <w:bookmarkStart w:id="21" w:name="_Toc235185287"/>
      <w:r>
        <w:rPr>
          <w:rFonts w:ascii="Simplified Arabic" w:hAnsi="Simplified Arabic" w:cs="Simplified Arabic"/>
          <w:b/>
          <w:bCs/>
          <w:color w:val="000000"/>
          <w:sz w:val="36"/>
          <w:szCs w:val="36"/>
        </w:rPr>
        <w:t>2-4-5</w:t>
      </w:r>
      <w:r>
        <w:rPr>
          <w:rFonts w:ascii="Simplified Arabic" w:hAnsi="Simplified Arabic" w:cs="Simplified Arabic"/>
          <w:b/>
          <w:bCs/>
          <w:color w:val="000000"/>
          <w:sz w:val="36"/>
          <w:szCs w:val="36"/>
          <w:rtl/>
        </w:rPr>
        <w:t xml:space="preserve"> كفاءة التشغيل ومؤشراتها</w:t>
      </w:r>
      <w:bookmarkEnd w:id="21"/>
    </w:p>
    <w:p w14:paraId="6FBC2736" w14:textId="77777777" w:rsidR="00225AC7" w:rsidRDefault="0082177C">
      <w:pPr>
        <w:spacing w:after="120" w:line="360" w:lineRule="auto"/>
        <w:jc w:val="both"/>
      </w:pPr>
      <w:r>
        <w:rPr>
          <w:rFonts w:ascii="Times New Roman" w:hAnsi="Times New Roman" w:cs="Simplified Arabic"/>
          <w:sz w:val="28"/>
          <w:szCs w:val="28"/>
          <w:rtl/>
        </w:rPr>
        <w:t xml:space="preserve">تُعرَّف كفاءة التشغيل </w:t>
      </w:r>
      <w:r>
        <w:rPr>
          <w:rFonts w:ascii="Times New Roman" w:hAnsi="Times New Roman" w:cs="Times New Roman"/>
          <w:sz w:val="28"/>
          <w:szCs w:val="28"/>
          <w:rtl/>
        </w:rPr>
        <w:t>(</w:t>
      </w:r>
      <w:r>
        <w:rPr>
          <w:rFonts w:ascii="Times New Roman" w:hAnsi="Times New Roman" w:cs="Times New Roman"/>
          <w:sz w:val="28"/>
          <w:szCs w:val="28"/>
        </w:rPr>
        <w:t>Operational Efficiency</w:t>
      </w:r>
      <w:r>
        <w:rPr>
          <w:rFonts w:ascii="Times New Roman" w:hAnsi="Times New Roman" w:cs="Times New Roman"/>
          <w:sz w:val="28"/>
          <w:szCs w:val="28"/>
          <w:rtl/>
        </w:rPr>
        <w:t>)</w:t>
      </w:r>
      <w:r>
        <w:rPr>
          <w:rFonts w:ascii="Times New Roman" w:hAnsi="Times New Roman" w:cs="Simplified Arabic"/>
          <w:sz w:val="28"/>
          <w:szCs w:val="28"/>
          <w:rtl/>
        </w:rPr>
        <w:t xml:space="preserve"> بأنها قدرة المنظمة او المنشاة على تقديم أعلى مستوى من الخدمة بأقل قدر ممكن من الهدر في الوقت والموارد والتكلفة. وفي بيئة الوجهات الترفيهية التي تعمل بشكل يومي وتستقبل أعداداً ضخمة من الزوار، تصبح كفاءة التشغيل محدِّداً جوهرياً ومهما لقدرة المشروع على المنافسة والاستمرار وحماية سمعته وإيراداته. وتُقاس كفاءة التشغيل في هذه الدراسة عبر أربعة مؤشرات مترابطة تمثّل المتغير التابع:</w:t>
      </w:r>
    </w:p>
    <w:p w14:paraId="6FBC2737" w14:textId="77777777" w:rsidR="00225AC7" w:rsidRDefault="0082177C">
      <w:pPr>
        <w:spacing w:after="120" w:line="360" w:lineRule="auto"/>
        <w:jc w:val="both"/>
      </w:pPr>
      <w:r>
        <w:rPr>
          <w:rFonts w:ascii="Times New Roman" w:hAnsi="Times New Roman" w:cs="Simplified Arabic"/>
          <w:sz w:val="28"/>
          <w:szCs w:val="28"/>
          <w:rtl/>
        </w:rPr>
        <w:t xml:space="preserve">• الاستمرارية التشغيلية: قدرة واستمرار المرافق على العمل المستمر دون انقطاعات غير مخططة، وسرعة التعافي بعد أي اضطراب، وتُقاس بمؤشرات مثل نسبة زمن التشغيل الفعلي </w:t>
      </w:r>
      <w:r>
        <w:rPr>
          <w:rFonts w:ascii="Times New Roman" w:hAnsi="Times New Roman" w:cs="Times New Roman"/>
          <w:sz w:val="28"/>
          <w:szCs w:val="28"/>
          <w:rtl/>
        </w:rPr>
        <w:t>(</w:t>
      </w:r>
      <w:r>
        <w:rPr>
          <w:rFonts w:ascii="Times New Roman" w:hAnsi="Times New Roman" w:cs="Times New Roman"/>
          <w:sz w:val="28"/>
          <w:szCs w:val="28"/>
        </w:rPr>
        <w:t>Uptime</w:t>
      </w:r>
      <w:r>
        <w:rPr>
          <w:rFonts w:ascii="Times New Roman" w:hAnsi="Times New Roman" w:cs="Times New Roman"/>
          <w:sz w:val="28"/>
          <w:szCs w:val="28"/>
          <w:rtl/>
        </w:rPr>
        <w:t>)</w:t>
      </w:r>
      <w:r>
        <w:rPr>
          <w:rFonts w:ascii="Times New Roman" w:hAnsi="Times New Roman" w:cs="Simplified Arabic"/>
          <w:sz w:val="28"/>
          <w:szCs w:val="28"/>
          <w:rtl/>
        </w:rPr>
        <w:t xml:space="preserve"> ومتوسط زمن الإصلاح </w:t>
      </w:r>
      <w:r>
        <w:rPr>
          <w:rFonts w:ascii="Times New Roman" w:hAnsi="Times New Roman" w:cs="Times New Roman"/>
          <w:sz w:val="28"/>
          <w:szCs w:val="28"/>
          <w:rtl/>
        </w:rPr>
        <w:t>(</w:t>
      </w:r>
      <w:r>
        <w:rPr>
          <w:rFonts w:ascii="Times New Roman" w:hAnsi="Times New Roman" w:cs="Times New Roman"/>
          <w:sz w:val="28"/>
          <w:szCs w:val="28"/>
        </w:rPr>
        <w:t>MTTR</w:t>
      </w:r>
      <w:r>
        <w:rPr>
          <w:rFonts w:ascii="Times New Roman" w:hAnsi="Times New Roman" w:cs="Times New Roman"/>
          <w:sz w:val="28"/>
          <w:szCs w:val="28"/>
          <w:rtl/>
        </w:rPr>
        <w:t>)</w:t>
      </w:r>
      <w:r>
        <w:rPr>
          <w:rFonts w:ascii="Times New Roman" w:hAnsi="Times New Roman" w:cs="Simplified Arabic"/>
          <w:sz w:val="28"/>
          <w:szCs w:val="28"/>
          <w:rtl/>
        </w:rPr>
        <w:t>.</w:t>
      </w:r>
    </w:p>
    <w:p w14:paraId="6FBC2738" w14:textId="77777777" w:rsidR="00225AC7" w:rsidRDefault="0082177C">
      <w:pPr>
        <w:spacing w:after="120" w:line="360" w:lineRule="auto"/>
        <w:jc w:val="both"/>
      </w:pPr>
      <w:r>
        <w:rPr>
          <w:rFonts w:ascii="Times New Roman" w:hAnsi="Times New Roman" w:cs="Simplified Arabic"/>
          <w:sz w:val="28"/>
          <w:szCs w:val="28"/>
          <w:rtl/>
        </w:rPr>
        <w:t>• معدل الأعطال: تكرار الأعطال الطارئة ومدى تكرارها في الأصل ذاته، ويُقاس بعدد الأعطال في وحدة الزمن ونسبة الأعطال المتكررة، ويُعدّ مؤشراً عكسياً لجودة الصيانة.</w:t>
      </w:r>
    </w:p>
    <w:p w14:paraId="6FBC2739" w14:textId="77777777" w:rsidR="00225AC7" w:rsidRDefault="0082177C">
      <w:pPr>
        <w:spacing w:after="120" w:line="360" w:lineRule="auto"/>
        <w:jc w:val="both"/>
      </w:pPr>
      <w:r>
        <w:rPr>
          <w:rFonts w:ascii="Times New Roman" w:hAnsi="Times New Roman" w:cs="Simplified Arabic"/>
          <w:sz w:val="28"/>
          <w:szCs w:val="28"/>
          <w:rtl/>
        </w:rPr>
        <w:lastRenderedPageBreak/>
        <w:t>• جودة الخدمة: مستوى حالة المرافق ونظافتها وموثوقية الخدمات المقدّمة، وتُقاس عبر معدلات الالتزام بمعايير الجودة ونتائج التفتيش الدوري.</w:t>
      </w:r>
    </w:p>
    <w:p w14:paraId="6FBC273A" w14:textId="77777777" w:rsidR="00225AC7" w:rsidRDefault="0082177C">
      <w:pPr>
        <w:spacing w:after="120" w:line="360" w:lineRule="auto"/>
        <w:jc w:val="both"/>
      </w:pPr>
      <w:r>
        <w:rPr>
          <w:rFonts w:ascii="Times New Roman" w:hAnsi="Times New Roman" w:cs="Simplified Arabic"/>
          <w:sz w:val="28"/>
          <w:szCs w:val="28"/>
          <w:rtl/>
        </w:rPr>
        <w:t>• رضا الزوار: انعكاس حالة المرافق على تقييمات الزوار وشكاواهم وتجربتهم العامة، ويُقاس عبر مؤشرات مثل معدل الشكاوى ودرجات رضا الزوار ومعدل التوصية.</w:t>
      </w:r>
    </w:p>
    <w:p w14:paraId="6FBC273B" w14:textId="77777777" w:rsidR="00225AC7" w:rsidRDefault="0082177C">
      <w:pPr>
        <w:spacing w:after="120" w:line="360" w:lineRule="auto"/>
        <w:jc w:val="both"/>
      </w:pPr>
      <w:r>
        <w:rPr>
          <w:rFonts w:ascii="Times New Roman" w:hAnsi="Times New Roman" w:cs="Simplified Arabic"/>
          <w:sz w:val="28"/>
          <w:szCs w:val="28"/>
          <w:rtl/>
        </w:rPr>
        <w:t>وحين تُدار المرافق بكفاءة واستدامة، يكون التنسيق بين فرق الصيانة والمشغّلين سلساً، فتُعالَج المشكلات فور ظهورها قبل أن تتحوّل إلى مشكلة لا يمكن السيطرة عليها، وينعكس ذلك إيجاباً على مؤشرات كفاءة التشغيل مجتمعةً. فالصيانة الوقائية ترفع الاستمرارية وتُقلّل الأعطال، وترشيد الموارد يخفض التكاليف ويعزّز الجودة، وسرعة الاستجابة تحمي تجربة الزائر؛ وهو ما يجعل إدارة المرافق المستدامة استثماراً يعود بتحسين ملموس على الأداء لا مجرد تكلفة تشغيلية إضافية. وفي المقابل، يُفضي ضعف إدارة المرافق إلى آثار سلبية متسلسلة تشمل تكرار الأعطال وتأخر تسليم الخدمة وارتفاع التكاليف وتدنّي الجودة، وصولاً إلى الإضرار بسمعة المشروع وتجربة الزوار والمستأجرين.</w:t>
      </w:r>
    </w:p>
    <w:p w14:paraId="6FBC273C" w14:textId="77777777" w:rsidR="00225AC7" w:rsidRDefault="0082177C">
      <w:pPr>
        <w:spacing w:after="120" w:line="360" w:lineRule="auto"/>
        <w:jc w:val="both"/>
      </w:pPr>
      <w:r>
        <w:rPr>
          <w:rFonts w:ascii="Times New Roman" w:hAnsi="Times New Roman" w:cs="Simplified Arabic"/>
          <w:sz w:val="28"/>
          <w:szCs w:val="28"/>
          <w:rtl/>
        </w:rPr>
        <w:t>وتجدر الإشارة إلى أن مؤشرات كفاءة التشغيل الأربعة ليست منفصلة بل مترابطة ترابطاً سببياً؛ فارتفاع معدل الأعطال يُضعف الاستمرارية التشغيلية، وتراجع الاستمرارية ينعكس على جودة الخدمة، وتدنّي جودة الخدمة ينعكس مباشرةً على رضا الزوار. ومن ثمّ فإن أي تحسّن في مؤشر واحد يتردد أثره إيجاباً على بقية المؤشرات، وهو ما يدعم منطق الدراسة في قياس كفاءة التشغيل بوصفها متغيراً مركّباً تتكامل مؤشراته لا مجرد مؤشرات متوازية منفصلة. ويُلاحَظ أن هذا الترابط يجعل الأثر التراكمي لإدارة المرافق المستدامة أكبر من مجموع آثارها المنفردة، إذ يعزّز كل بُعد من أبعاد المتغير المستقل أثر الأبعاد الأخرى في مخرجات الأداء.</w:t>
      </w:r>
    </w:p>
    <w:p w14:paraId="6FBC273D" w14:textId="77777777" w:rsidR="00225AC7" w:rsidRDefault="0082177C">
      <w:pPr>
        <w:pStyle w:val="3"/>
        <w:bidi/>
      </w:pPr>
      <w:bookmarkStart w:id="22" w:name="_Toc235185288"/>
      <w:r>
        <w:rPr>
          <w:rFonts w:ascii="Simplified Arabic" w:hAnsi="Simplified Arabic" w:cs="Simplified Arabic"/>
          <w:b/>
          <w:bCs/>
          <w:color w:val="000000"/>
          <w:sz w:val="36"/>
          <w:szCs w:val="36"/>
        </w:rPr>
        <w:lastRenderedPageBreak/>
        <w:t>2-4-6</w:t>
      </w:r>
      <w:r>
        <w:rPr>
          <w:rFonts w:ascii="Simplified Arabic" w:hAnsi="Simplified Arabic" w:cs="Simplified Arabic"/>
          <w:b/>
          <w:bCs/>
          <w:color w:val="000000"/>
          <w:sz w:val="36"/>
          <w:szCs w:val="36"/>
          <w:rtl/>
        </w:rPr>
        <w:t xml:space="preserve"> الأطر النظرية المفسِّرة للعلاقة</w:t>
      </w:r>
      <w:bookmarkEnd w:id="22"/>
    </w:p>
    <w:p w14:paraId="6FBC273E" w14:textId="77777777" w:rsidR="00225AC7" w:rsidRDefault="0082177C">
      <w:pPr>
        <w:spacing w:after="120" w:line="360" w:lineRule="auto"/>
        <w:jc w:val="both"/>
      </w:pPr>
      <w:r>
        <w:rPr>
          <w:rFonts w:ascii="Times New Roman" w:hAnsi="Times New Roman" w:cs="Simplified Arabic"/>
          <w:sz w:val="28"/>
          <w:szCs w:val="28"/>
          <w:rtl/>
        </w:rPr>
        <w:t>تستند الدراسة في تفسير العلاقة بين إدارة المرافق المستدامة وكفاءة التشغيل إلى أربعة أطر نظرية مؤسِّسة، يُكمّل بعضها بعضاً في تغطية أبعاد المتغيرين، ويوضّح فيما يلي كيفية توظيف كل إطار في هذه الدراسة:</w:t>
      </w:r>
    </w:p>
    <w:p w14:paraId="6FBC273F" w14:textId="77777777" w:rsidR="00225AC7" w:rsidRDefault="0082177C">
      <w:pPr>
        <w:spacing w:after="120" w:line="360" w:lineRule="auto"/>
        <w:jc w:val="both"/>
      </w:pPr>
      <w:r>
        <w:rPr>
          <w:rFonts w:ascii="Times New Roman" w:hAnsi="Times New Roman" w:cs="Simplified Arabic"/>
          <w:sz w:val="28"/>
          <w:szCs w:val="28"/>
          <w:rtl/>
        </w:rPr>
        <w:t xml:space="preserve">نظرية الاعتماد على الموارد </w:t>
      </w:r>
      <w:r>
        <w:rPr>
          <w:rFonts w:ascii="Times New Roman" w:hAnsi="Times New Roman" w:cs="Times New Roman"/>
          <w:sz w:val="28"/>
          <w:szCs w:val="28"/>
          <w:rtl/>
        </w:rPr>
        <w:t>(</w:t>
      </w:r>
      <w:r>
        <w:rPr>
          <w:rFonts w:ascii="Times New Roman" w:hAnsi="Times New Roman" w:cs="Times New Roman"/>
          <w:sz w:val="28"/>
          <w:szCs w:val="28"/>
        </w:rPr>
        <w:t>Resource Dependence Theory</w:t>
      </w:r>
      <w:r>
        <w:rPr>
          <w:rFonts w:ascii="Times New Roman" w:hAnsi="Times New Roman" w:cs="Times New Roman"/>
          <w:sz w:val="28"/>
          <w:szCs w:val="28"/>
          <w:rtl/>
        </w:rPr>
        <w:t>)</w:t>
      </w:r>
      <w:r>
        <w:rPr>
          <w:rFonts w:ascii="Times New Roman" w:hAnsi="Times New Roman" w:cs="Simplified Arabic"/>
          <w:sz w:val="28"/>
          <w:szCs w:val="28"/>
          <w:rtl/>
        </w:rPr>
        <w:t xml:space="preserve">: أرسى دعائمها </w:t>
      </w:r>
      <w:r>
        <w:rPr>
          <w:rFonts w:ascii="Times New Roman" w:hAnsi="Times New Roman" w:cs="Simplified Arabic"/>
          <w:sz w:val="28"/>
          <w:szCs w:val="28"/>
        </w:rPr>
        <w:t xml:space="preserve">Pfeffer &amp; </w:t>
      </w:r>
      <w:proofErr w:type="spellStart"/>
      <w:r>
        <w:rPr>
          <w:rFonts w:ascii="Times New Roman" w:hAnsi="Times New Roman" w:cs="Times New Roman"/>
          <w:sz w:val="28"/>
          <w:szCs w:val="28"/>
        </w:rPr>
        <w:t>Salancik</w:t>
      </w:r>
      <w:proofErr w:type="spellEnd"/>
      <w:r>
        <w:rPr>
          <w:rFonts w:ascii="Times New Roman" w:hAnsi="Times New Roman" w:cs="Times New Roman"/>
          <w:sz w:val="28"/>
          <w:szCs w:val="28"/>
          <w:rtl/>
        </w:rPr>
        <w:t xml:space="preserve"> (1978)، </w:t>
      </w:r>
      <w:r>
        <w:rPr>
          <w:rFonts w:ascii="Times New Roman" w:hAnsi="Times New Roman" w:cs="Simplified Arabic"/>
          <w:sz w:val="28"/>
          <w:szCs w:val="28"/>
          <w:rtl/>
        </w:rPr>
        <w:t>وترى أن كفاءة المنظمة وبقاءها يعتمدان جوهرياً على مدى إدارتها الفعّالة لمواردها الحيوية وعلاقاتها بمصادرها. وتُوظَّف في هذه الدراسة لتفسير كيف يؤثّر بُعد ترشيد الطاقة وإدارة الموارد على الكفاءة التشغيلية الكلية، إذ تُعدّ الطاقة والمياه والأصول المادية موارد حيوية يرتبط حُسن إدارتها مباشرةً باستمرارية التشغيل وخفض التكلفة؛ فكلما اهتمت المنشأة بإدارة مواردها قلّ اعتمادها على إصلاحات طارئة مكلفة.</w:t>
      </w:r>
    </w:p>
    <w:p w14:paraId="6FBC2740" w14:textId="77777777" w:rsidR="00225AC7" w:rsidRDefault="0082177C">
      <w:pPr>
        <w:spacing w:after="120" w:line="360" w:lineRule="auto"/>
        <w:jc w:val="both"/>
      </w:pPr>
      <w:r>
        <w:rPr>
          <w:rFonts w:ascii="Times New Roman" w:hAnsi="Times New Roman" w:cs="Simplified Arabic"/>
          <w:sz w:val="28"/>
          <w:szCs w:val="28"/>
          <w:rtl/>
        </w:rPr>
        <w:t>نظرية الكفاءة التشغيلية: تنطلق هذه النظرية من العلاقة بين المدخلات والمخرجات، وتُستخدم في هذه الدراسة لقياس مدى قدرة ممارسات إدارة المرافق المستدامة على تحسين الاستمرارية التشغيلية وتقليل الهدر في الموارد والوقت وتعزيز تجربة الزوار، بما يجعلها الإطار الأنسب لربط أبعاد المتغير المستقل بمؤشرات المتغير التابع قياسياً؛ إذ تُترجَم كل ممارسة إلى مدخل يُقاس أثره على مخرجات الأداء.</w:t>
      </w:r>
    </w:p>
    <w:p w14:paraId="6FBC2741" w14:textId="77777777" w:rsidR="00225AC7" w:rsidRDefault="0082177C">
      <w:pPr>
        <w:spacing w:after="120" w:line="360" w:lineRule="auto"/>
        <w:jc w:val="both"/>
      </w:pPr>
      <w:r>
        <w:rPr>
          <w:rFonts w:ascii="Times New Roman" w:hAnsi="Times New Roman" w:cs="Simplified Arabic"/>
          <w:sz w:val="28"/>
          <w:szCs w:val="28"/>
          <w:rtl/>
        </w:rPr>
        <w:t xml:space="preserve">نموذج جودة الخدمة </w:t>
      </w:r>
      <w:r>
        <w:rPr>
          <w:rFonts w:ascii="Times New Roman" w:hAnsi="Times New Roman" w:cs="Times New Roman"/>
          <w:sz w:val="28"/>
          <w:szCs w:val="28"/>
          <w:rtl/>
        </w:rPr>
        <w:t>(</w:t>
      </w:r>
      <w:r>
        <w:rPr>
          <w:rFonts w:ascii="Times New Roman" w:hAnsi="Times New Roman" w:cs="Times New Roman"/>
          <w:sz w:val="28"/>
          <w:szCs w:val="28"/>
        </w:rPr>
        <w:t>SERVQUAL</w:t>
      </w:r>
      <w:r>
        <w:rPr>
          <w:rFonts w:ascii="Times New Roman" w:hAnsi="Times New Roman" w:cs="Times New Roman"/>
          <w:sz w:val="28"/>
          <w:szCs w:val="28"/>
          <w:rtl/>
        </w:rPr>
        <w:t>)</w:t>
      </w:r>
      <w:r>
        <w:rPr>
          <w:rFonts w:ascii="Times New Roman" w:hAnsi="Times New Roman" w:cs="Simplified Arabic"/>
          <w:sz w:val="28"/>
          <w:szCs w:val="28"/>
          <w:rtl/>
        </w:rPr>
        <w:t xml:space="preserve">: طوّره </w:t>
      </w:r>
      <w:r>
        <w:rPr>
          <w:rFonts w:ascii="Times New Roman" w:hAnsi="Times New Roman" w:cs="Times New Roman"/>
          <w:sz w:val="28"/>
          <w:szCs w:val="28"/>
        </w:rPr>
        <w:t>Parasuraman et al</w:t>
      </w:r>
      <w:r>
        <w:rPr>
          <w:rFonts w:ascii="Times New Roman" w:hAnsi="Times New Roman" w:cs="Times New Roman"/>
          <w:sz w:val="28"/>
          <w:szCs w:val="28"/>
          <w:rtl/>
        </w:rPr>
        <w:t xml:space="preserve">. (1988) </w:t>
      </w:r>
      <w:r>
        <w:rPr>
          <w:rFonts w:ascii="Times New Roman" w:hAnsi="Times New Roman" w:cs="Simplified Arabic"/>
          <w:sz w:val="28"/>
          <w:szCs w:val="28"/>
          <w:rtl/>
        </w:rPr>
        <w:t>لقياس جودة الخدمة عبر خمسة أبعاد هي الموثوقية والاستجابة والضمان والتعاطف والملموسية. وتركز هذه الدراسة على هذا الإطار في اثبات مؤشر جودة الخدمة ورضا الزوار إذ ترتبط حالة المرافق وموثوقية الخدمات (بُعد الموثوقية والملموسية) وسرعة معالجة الأعطال (بُعد الاستجابة) ارتباطاً مباشراً بأبعاد هذا النموذج وبإدراك الزائر لجودة تجربته، بما يوفّر رابطا نظرياً بين بُعد سرعة الاستجابة ومؤشر رضا الزوار.</w:t>
      </w:r>
    </w:p>
    <w:p w14:paraId="6FBC2742" w14:textId="77777777" w:rsidR="00225AC7" w:rsidRDefault="0082177C">
      <w:pPr>
        <w:spacing w:after="120" w:line="360" w:lineRule="auto"/>
        <w:jc w:val="both"/>
      </w:pPr>
      <w:r>
        <w:rPr>
          <w:rFonts w:ascii="Times New Roman" w:hAnsi="Times New Roman" w:cs="Simplified Arabic"/>
          <w:sz w:val="28"/>
          <w:szCs w:val="28"/>
          <w:rtl/>
        </w:rPr>
        <w:lastRenderedPageBreak/>
        <w:t xml:space="preserve">منظور الاستدامة الثلاثية </w:t>
      </w:r>
      <w:r>
        <w:rPr>
          <w:rFonts w:ascii="Times New Roman" w:hAnsi="Times New Roman" w:cs="Times New Roman"/>
          <w:sz w:val="28"/>
          <w:szCs w:val="28"/>
          <w:rtl/>
        </w:rPr>
        <w:t>(</w:t>
      </w:r>
      <w:r>
        <w:rPr>
          <w:rFonts w:ascii="Times New Roman" w:hAnsi="Times New Roman" w:cs="Times New Roman"/>
          <w:sz w:val="28"/>
          <w:szCs w:val="28"/>
        </w:rPr>
        <w:t>Triple Bottom Line</w:t>
      </w:r>
      <w:r>
        <w:rPr>
          <w:rFonts w:ascii="Times New Roman" w:hAnsi="Times New Roman" w:cs="Times New Roman"/>
          <w:sz w:val="28"/>
          <w:szCs w:val="28"/>
          <w:rtl/>
        </w:rPr>
        <w:t>)</w:t>
      </w:r>
      <w:r>
        <w:rPr>
          <w:rFonts w:ascii="Times New Roman" w:hAnsi="Times New Roman" w:cs="Simplified Arabic"/>
          <w:sz w:val="28"/>
          <w:szCs w:val="28"/>
          <w:rtl/>
        </w:rPr>
        <w:t xml:space="preserve">: يوفّر إطار </w:t>
      </w:r>
      <w:r>
        <w:rPr>
          <w:rFonts w:ascii="Times New Roman" w:hAnsi="Times New Roman" w:cs="Times New Roman"/>
          <w:sz w:val="28"/>
          <w:szCs w:val="28"/>
        </w:rPr>
        <w:t>Elkington</w:t>
      </w:r>
      <w:r>
        <w:rPr>
          <w:rFonts w:ascii="Times New Roman" w:hAnsi="Times New Roman" w:cs="Times New Roman"/>
          <w:sz w:val="28"/>
          <w:szCs w:val="28"/>
          <w:rtl/>
        </w:rPr>
        <w:t xml:space="preserve"> (1997)</w:t>
      </w:r>
      <w:r>
        <w:rPr>
          <w:rFonts w:ascii="Times New Roman" w:hAnsi="Times New Roman" w:cs="Simplified Arabic"/>
          <w:sz w:val="28"/>
          <w:szCs w:val="28"/>
          <w:rtl/>
        </w:rPr>
        <w:t xml:space="preserve"> المظلّة المفاهيمية التي تربط أبعاد الدراسة معاً، إذ يفسّر كيف تتكامل الكفاءة الاقتصادية (خفض التكاليف) مع المسؤولية البيئية (ترشيد الموارد) والقيمة الاجتماعية (رضا الزوار والمستأجرين) في منظومة واحدة. ويُوظَّف في هذه الدراسة لدعم فرضيتها الأساسية بأن الاستدامة وكفاءة التشغيل هدفان متكاملان لا متعارضان، وأن الاستثمار في الاستدامة عائد اقتصادي واجتماعي في آنٍ واحد.</w:t>
      </w:r>
    </w:p>
    <w:p w14:paraId="6FBC2743" w14:textId="77777777" w:rsidR="00225AC7" w:rsidRDefault="0082177C">
      <w:pPr>
        <w:pStyle w:val="3"/>
        <w:bidi/>
      </w:pPr>
      <w:bookmarkStart w:id="23" w:name="_Toc235185289"/>
      <w:r>
        <w:rPr>
          <w:rFonts w:ascii="Simplified Arabic" w:hAnsi="Simplified Arabic" w:cs="Simplified Arabic"/>
          <w:b/>
          <w:bCs/>
          <w:color w:val="000000"/>
          <w:sz w:val="36"/>
          <w:szCs w:val="36"/>
        </w:rPr>
        <w:t>2-4-7</w:t>
      </w:r>
      <w:r>
        <w:rPr>
          <w:rFonts w:ascii="Simplified Arabic" w:hAnsi="Simplified Arabic" w:cs="Simplified Arabic"/>
          <w:b/>
          <w:bCs/>
          <w:color w:val="000000"/>
          <w:sz w:val="36"/>
          <w:szCs w:val="36"/>
          <w:rtl/>
        </w:rPr>
        <w:t xml:space="preserve"> السياق التطبيقي وتحديات التشغيل في مشاريع الواجهة البحرية بجدة</w:t>
      </w:r>
      <w:bookmarkEnd w:id="23"/>
    </w:p>
    <w:p w14:paraId="6FBC2744" w14:textId="77777777" w:rsidR="00225AC7" w:rsidRDefault="0082177C">
      <w:pPr>
        <w:spacing w:after="120" w:line="360" w:lineRule="auto"/>
        <w:jc w:val="both"/>
      </w:pPr>
      <w:r>
        <w:rPr>
          <w:rFonts w:ascii="Times New Roman" w:hAnsi="Times New Roman" w:cs="Simplified Arabic"/>
          <w:sz w:val="28"/>
          <w:szCs w:val="28"/>
          <w:rtl/>
        </w:rPr>
        <w:t>تمثّل مشاريع الواجهة البحرية في جدة أحد أبرز نقاط التحول في قطاع السياحة والترفيه ضمن رؤية المملكة 2030، بما تستقطبه من أعداد ضخمة من الزوار تُقدَّر بما يتراوح بين 85 ملايين زيارة سنوياً، وما يوجَّه إليها من استثمارات تتجاوز 10 مليارات ريال ضمن منظومة مشاريع تطوير الساحل ووجهات البحر الأحمر. وأصبح قطاع إدارة المرافق في المملكة الذي تجاوز حجمه 50 مليار دولار بمعدل نمو سنوي يقارب 7% (</w:t>
      </w:r>
      <w:r>
        <w:rPr>
          <w:rFonts w:ascii="Times New Roman" w:hAnsi="Times New Roman" w:cs="Times New Roman"/>
          <w:sz w:val="28"/>
          <w:szCs w:val="28"/>
        </w:rPr>
        <w:t>PwC</w:t>
      </w:r>
      <w:r>
        <w:rPr>
          <w:rFonts w:ascii="Times New Roman" w:hAnsi="Times New Roman" w:cs="Simplified Arabic"/>
          <w:sz w:val="28"/>
          <w:szCs w:val="28"/>
          <w:rtl/>
        </w:rPr>
        <w:t xml:space="preserve"> والجمعية السعودية لإدارة المرافق، 2025) - بنمو متسارع واتجاه متزايد نحو العقود القائمة على الأداء والمخرجات القابلة للقياس، وهو ما يضع منظومة إدارة المرافق المستدامة في صميم قدرة هذه المشاريع على تحقيق مستهدفاتها التشغيلية.</w:t>
      </w:r>
    </w:p>
    <w:p w14:paraId="6FBC2745" w14:textId="77777777" w:rsidR="00225AC7" w:rsidRDefault="0082177C">
      <w:pPr>
        <w:spacing w:after="120" w:line="360" w:lineRule="auto"/>
        <w:jc w:val="both"/>
      </w:pPr>
      <w:r>
        <w:rPr>
          <w:rFonts w:ascii="Times New Roman" w:hAnsi="Times New Roman" w:cs="Simplified Arabic"/>
          <w:sz w:val="28"/>
          <w:szCs w:val="28"/>
          <w:rtl/>
        </w:rPr>
        <w:t>وتنفرد إدارة المرافق في الوجهات الترفيهية الساحلية بخصائص تزيد من تعقيدها؛ فهي تتعامل مع منظومة معقّدة من الأصول تتنوع بين البنية التحتية الساحلية المعرّضة لعوامل التآكل الملحي والرطوبة، والأنظمة الكهربائية والميكانيكية، وأنظمة الأمان والنظافة، ومرافق الراحة للزوار. ويُضاف إلى ذلك الطابع التشغيلي المتغير وضغط مواسم الذروة، بما يتطلب تخطيطاً دقيقاً للصيانة وإدارةً قوية للموارد وقدرةً عالية على الاستجابة السريعة.</w:t>
      </w:r>
    </w:p>
    <w:p w14:paraId="6FBC2746" w14:textId="77777777" w:rsidR="00225AC7" w:rsidRDefault="0082177C">
      <w:pPr>
        <w:spacing w:after="120" w:line="360" w:lineRule="auto"/>
        <w:jc w:val="both"/>
      </w:pPr>
      <w:r>
        <w:rPr>
          <w:rFonts w:ascii="Times New Roman" w:hAnsi="Times New Roman" w:cs="Simplified Arabic"/>
          <w:sz w:val="28"/>
          <w:szCs w:val="28"/>
          <w:rtl/>
        </w:rPr>
        <w:lastRenderedPageBreak/>
        <w:t>ويواجه التطبيق الأمثل لممارسات إدارة المرافق المستدامة جملةً من التحديات تتوزع على ثلاثة مستويات: تحديات تنظيمية كغياب السياسات المكتوبة الواضحة وضعف التنسيق بين الإدارات الداخلية ومحدودية الميزانيات المخصصة للصيانة الوقائية؛ وتحديات بشرية كنقص الكوادر المؤهّلة ومحدودية برامج التدريب المتخصصة؛ وتحديات تقنية كضعف الأنظمة الرقمية وأدوات المتابعة. ويمثّل تشخيص هذه التحديات محوراً مستقلاً في الدراسة يربط الجانب النظري بالواقع الميداني ويوجّه توصياتها نحو معالجة جذور المشكلة لا أعراضها فحسب.</w:t>
      </w:r>
    </w:p>
    <w:p w14:paraId="6FBC2747" w14:textId="77777777" w:rsidR="00225AC7" w:rsidRDefault="0082177C">
      <w:pPr>
        <w:spacing w:after="120" w:line="360" w:lineRule="auto"/>
        <w:jc w:val="both"/>
      </w:pPr>
      <w:r>
        <w:rPr>
          <w:rFonts w:ascii="Times New Roman" w:hAnsi="Times New Roman" w:cs="Simplified Arabic"/>
          <w:sz w:val="28"/>
          <w:szCs w:val="28"/>
          <w:rtl/>
        </w:rPr>
        <w:t>وتُبرز موازنة هذه التحديات بمقومات النجاح أن تحول مشاريع الواجهة البحرية إلى وجهات مستدامة وعالية الكفاءة يتوقّف على ثلاثة مقومات متكاملة: أولها تبنّي أطر حوكمة واضحة لإدارة المرافق تحدد المسؤوليات وتربط الأداء بالمخرجات؛ وثانيها الاستثمار في الأنظمة الرقمية التي تربط الأبعاد الثلاثة في منظومة معلومات موحّدة؛ وثالثها تأهيل الكوادر الوطنية المتخصصة وتوطين المعرفة الفنية داخل هذا القطاع الواعد. وبذلك يتأكد أن إدارة المرافق المستدامة في هذه المشاريع ليست خياراً تشغيلياً ثانوياً، بل شرطاً لازماً لاستدامة الاستثمار وتحقيق مستهدفات رؤية 2030 في قطاع السياحة والترفيه.</w:t>
      </w:r>
    </w:p>
    <w:p w14:paraId="6FBC2748" w14:textId="77777777" w:rsidR="00225AC7" w:rsidRDefault="00225AC7">
      <w:pPr>
        <w:spacing w:line="360" w:lineRule="auto"/>
        <w:rPr>
          <w:rFonts w:ascii="Times New Roman" w:hAnsi="Times New Roman" w:cs="Simplified Arabic"/>
          <w:sz w:val="28"/>
          <w:szCs w:val="28"/>
        </w:rPr>
      </w:pPr>
    </w:p>
    <w:p w14:paraId="6FBC2749" w14:textId="77777777" w:rsidR="00225AC7" w:rsidRDefault="00225AC7">
      <w:pPr>
        <w:spacing w:after="120" w:line="360" w:lineRule="auto"/>
        <w:jc w:val="both"/>
        <w:rPr>
          <w:rFonts w:ascii="Times New Roman" w:hAnsi="Times New Roman" w:cs="Simplified Arabic"/>
          <w:sz w:val="28"/>
          <w:szCs w:val="28"/>
        </w:rPr>
      </w:pPr>
    </w:p>
    <w:p w14:paraId="6FBC274A" w14:textId="77777777" w:rsidR="00225AC7" w:rsidRDefault="00225AC7"/>
    <w:p w14:paraId="6FBC274B" w14:textId="77777777" w:rsidR="00225AC7" w:rsidRDefault="00225AC7"/>
    <w:p w14:paraId="6FBC274C" w14:textId="77777777" w:rsidR="00225AC7" w:rsidRDefault="00225AC7"/>
    <w:p w14:paraId="6FBC274D" w14:textId="77777777" w:rsidR="00225AC7" w:rsidRDefault="00225AC7"/>
    <w:p w14:paraId="6FBC274E" w14:textId="77777777" w:rsidR="00225AC7" w:rsidRDefault="00225AC7"/>
    <w:p w14:paraId="6FBC274F" w14:textId="77777777" w:rsidR="00225AC7" w:rsidRDefault="00225AC7"/>
    <w:p w14:paraId="6FBC2757" w14:textId="77777777" w:rsidR="00225AC7" w:rsidRDefault="00225AC7"/>
    <w:sectPr w:rsidR="00225AC7">
      <w:pgSz w:w="12240" w:h="15840"/>
      <w:pgMar w:top="1440" w:right="1440" w:bottom="1440" w:left="1440" w:header="720" w:footer="720" w:gutter="0"/>
      <w:pgBorders w:offsetFrom="page">
        <w:top w:val="double" w:sz="12" w:space="24" w:color="000000"/>
        <w:left w:val="double" w:sz="12" w:space="24" w:color="000000"/>
        <w:bottom w:val="double" w:sz="12" w:space="24" w:color="000000"/>
        <w:right w:val="double" w:sz="12" w:space="24" w:color="00000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7254FA" w14:textId="77777777" w:rsidR="00284CAB" w:rsidRDefault="00284CAB">
      <w:pPr>
        <w:spacing w:after="0" w:line="240" w:lineRule="auto"/>
      </w:pPr>
      <w:r>
        <w:separator/>
      </w:r>
    </w:p>
  </w:endnote>
  <w:endnote w:type="continuationSeparator" w:id="0">
    <w:p w14:paraId="2457C8A0" w14:textId="77777777" w:rsidR="00284CAB" w:rsidRDefault="00284C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48B00F" w14:textId="77777777" w:rsidR="00284CAB" w:rsidRDefault="00284CAB">
      <w:pPr>
        <w:spacing w:after="0" w:line="240" w:lineRule="auto"/>
      </w:pPr>
      <w:r>
        <w:rPr>
          <w:color w:val="000000"/>
        </w:rPr>
        <w:separator/>
      </w:r>
    </w:p>
  </w:footnote>
  <w:footnote w:type="continuationSeparator" w:id="0">
    <w:p w14:paraId="5C135E2E" w14:textId="77777777" w:rsidR="00284CAB" w:rsidRDefault="00284CA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5AC7"/>
    <w:rsid w:val="0018269B"/>
    <w:rsid w:val="00225AC7"/>
    <w:rsid w:val="00284CAB"/>
    <w:rsid w:val="0082177C"/>
    <w:rsid w:val="00887D41"/>
    <w:rsid w:val="00DE2F7A"/>
    <w:rsid w:val="00E43A8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C2610"/>
  <w15:docId w15:val="{EDAC9629-CB1B-428E-8ABB-2FC00745EC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rial"/>
        <w:kern w:val="3"/>
        <w:sz w:val="24"/>
        <w:szCs w:val="24"/>
        <w:lang w:val="en-US"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uppressAutoHyphens/>
      <w:bidi/>
      <w:spacing w:line="256" w:lineRule="auto"/>
    </w:pPr>
    <w:rPr>
      <w:sz w:val="22"/>
      <w:szCs w:val="22"/>
    </w:rPr>
  </w:style>
  <w:style w:type="paragraph" w:styleId="1">
    <w:name w:val="heading 1"/>
    <w:basedOn w:val="a"/>
    <w:next w:val="a"/>
    <w:uiPriority w:val="9"/>
    <w:qFormat/>
    <w:pPr>
      <w:keepNext/>
      <w:keepLines/>
      <w:bidi w:val="0"/>
      <w:spacing w:before="360" w:after="80" w:line="276" w:lineRule="auto"/>
      <w:outlineLvl w:val="0"/>
    </w:pPr>
    <w:rPr>
      <w:rFonts w:ascii="Aptos Display" w:eastAsia="Times New Roman" w:hAnsi="Aptos Display" w:cs="Times New Roman"/>
      <w:color w:val="0F4761"/>
      <w:sz w:val="40"/>
      <w:szCs w:val="40"/>
    </w:rPr>
  </w:style>
  <w:style w:type="paragraph" w:styleId="2">
    <w:name w:val="heading 2"/>
    <w:basedOn w:val="a"/>
    <w:next w:val="a"/>
    <w:uiPriority w:val="9"/>
    <w:unhideWhenUsed/>
    <w:qFormat/>
    <w:pPr>
      <w:keepNext/>
      <w:keepLines/>
      <w:bidi w:val="0"/>
      <w:spacing w:before="160" w:after="80" w:line="276" w:lineRule="auto"/>
      <w:outlineLvl w:val="1"/>
    </w:pPr>
    <w:rPr>
      <w:rFonts w:ascii="Aptos Display" w:eastAsia="Times New Roman" w:hAnsi="Aptos Display" w:cs="Times New Roman"/>
      <w:color w:val="0F4761"/>
      <w:sz w:val="32"/>
      <w:szCs w:val="32"/>
    </w:rPr>
  </w:style>
  <w:style w:type="paragraph" w:styleId="3">
    <w:name w:val="heading 3"/>
    <w:basedOn w:val="a"/>
    <w:next w:val="a"/>
    <w:uiPriority w:val="9"/>
    <w:unhideWhenUsed/>
    <w:qFormat/>
    <w:pPr>
      <w:keepNext/>
      <w:keepLines/>
      <w:bidi w:val="0"/>
      <w:spacing w:before="160" w:after="80" w:line="276" w:lineRule="auto"/>
      <w:outlineLvl w:val="2"/>
    </w:pPr>
    <w:rPr>
      <w:rFonts w:eastAsia="Times New Roman" w:cs="Times New Roman"/>
      <w:color w:val="0F4761"/>
      <w:sz w:val="28"/>
      <w:szCs w:val="28"/>
    </w:rPr>
  </w:style>
  <w:style w:type="paragraph" w:styleId="4">
    <w:name w:val="heading 4"/>
    <w:basedOn w:val="a"/>
    <w:next w:val="a"/>
    <w:uiPriority w:val="9"/>
    <w:semiHidden/>
    <w:unhideWhenUsed/>
    <w:qFormat/>
    <w:pPr>
      <w:keepNext/>
      <w:keepLines/>
      <w:bidi w:val="0"/>
      <w:spacing w:before="80" w:after="40" w:line="276" w:lineRule="auto"/>
      <w:outlineLvl w:val="3"/>
    </w:pPr>
    <w:rPr>
      <w:rFonts w:eastAsia="Times New Roman" w:cs="Times New Roman"/>
      <w:i/>
      <w:iCs/>
      <w:color w:val="0F4761"/>
      <w:sz w:val="24"/>
      <w:szCs w:val="24"/>
    </w:rPr>
  </w:style>
  <w:style w:type="paragraph" w:styleId="5">
    <w:name w:val="heading 5"/>
    <w:basedOn w:val="a"/>
    <w:next w:val="a"/>
    <w:uiPriority w:val="9"/>
    <w:semiHidden/>
    <w:unhideWhenUsed/>
    <w:qFormat/>
    <w:pPr>
      <w:keepNext/>
      <w:keepLines/>
      <w:bidi w:val="0"/>
      <w:spacing w:before="80" w:after="40" w:line="276" w:lineRule="auto"/>
      <w:outlineLvl w:val="4"/>
    </w:pPr>
    <w:rPr>
      <w:rFonts w:eastAsia="Times New Roman" w:cs="Times New Roman"/>
      <w:color w:val="0F4761"/>
      <w:sz w:val="24"/>
      <w:szCs w:val="24"/>
    </w:rPr>
  </w:style>
  <w:style w:type="paragraph" w:styleId="6">
    <w:name w:val="heading 6"/>
    <w:basedOn w:val="a"/>
    <w:next w:val="a"/>
    <w:uiPriority w:val="9"/>
    <w:semiHidden/>
    <w:unhideWhenUsed/>
    <w:qFormat/>
    <w:pPr>
      <w:keepNext/>
      <w:keepLines/>
      <w:bidi w:val="0"/>
      <w:spacing w:before="40" w:after="0" w:line="276" w:lineRule="auto"/>
      <w:outlineLvl w:val="5"/>
    </w:pPr>
    <w:rPr>
      <w:rFonts w:eastAsia="Times New Roman" w:cs="Times New Roman"/>
      <w:i/>
      <w:iCs/>
      <w:color w:val="595959"/>
      <w:sz w:val="24"/>
      <w:szCs w:val="24"/>
    </w:rPr>
  </w:style>
  <w:style w:type="paragraph" w:styleId="7">
    <w:name w:val="heading 7"/>
    <w:basedOn w:val="a"/>
    <w:next w:val="a"/>
    <w:pPr>
      <w:keepNext/>
      <w:keepLines/>
      <w:bidi w:val="0"/>
      <w:spacing w:before="40" w:after="0" w:line="276" w:lineRule="auto"/>
      <w:outlineLvl w:val="6"/>
    </w:pPr>
    <w:rPr>
      <w:rFonts w:eastAsia="Times New Roman" w:cs="Times New Roman"/>
      <w:color w:val="595959"/>
      <w:sz w:val="24"/>
      <w:szCs w:val="24"/>
    </w:rPr>
  </w:style>
  <w:style w:type="paragraph" w:styleId="8">
    <w:name w:val="heading 8"/>
    <w:basedOn w:val="a"/>
    <w:next w:val="a"/>
    <w:pPr>
      <w:keepNext/>
      <w:keepLines/>
      <w:bidi w:val="0"/>
      <w:spacing w:after="0" w:line="276" w:lineRule="auto"/>
      <w:outlineLvl w:val="7"/>
    </w:pPr>
    <w:rPr>
      <w:rFonts w:eastAsia="Times New Roman" w:cs="Times New Roman"/>
      <w:i/>
      <w:iCs/>
      <w:color w:val="272727"/>
      <w:sz w:val="24"/>
      <w:szCs w:val="24"/>
    </w:rPr>
  </w:style>
  <w:style w:type="paragraph" w:styleId="9">
    <w:name w:val="heading 9"/>
    <w:basedOn w:val="a"/>
    <w:next w:val="a"/>
    <w:pPr>
      <w:keepNext/>
      <w:keepLines/>
      <w:bidi w:val="0"/>
      <w:spacing w:after="0" w:line="276" w:lineRule="auto"/>
      <w:outlineLvl w:val="8"/>
    </w:pPr>
    <w:rPr>
      <w:rFonts w:eastAsia="Times New Roman" w:cs="Times New Roman"/>
      <w:color w:val="272727"/>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rPr>
      <w:rFonts w:ascii="Aptos Display" w:eastAsia="Times New Roman" w:hAnsi="Aptos Display" w:cs="Times New Roman"/>
      <w:color w:val="0F4761"/>
      <w:sz w:val="40"/>
      <w:szCs w:val="40"/>
    </w:rPr>
  </w:style>
  <w:style w:type="character" w:customStyle="1" w:styleId="Heading2Char">
    <w:name w:val="Heading 2 Char"/>
    <w:basedOn w:val="a0"/>
    <w:rPr>
      <w:rFonts w:ascii="Aptos Display" w:eastAsia="Times New Roman" w:hAnsi="Aptos Display" w:cs="Times New Roman"/>
      <w:color w:val="0F4761"/>
      <w:sz w:val="32"/>
      <w:szCs w:val="32"/>
    </w:rPr>
  </w:style>
  <w:style w:type="character" w:customStyle="1" w:styleId="Heading3Char">
    <w:name w:val="Heading 3 Char"/>
    <w:basedOn w:val="a0"/>
    <w:rPr>
      <w:rFonts w:eastAsia="Times New Roman" w:cs="Times New Roman"/>
      <w:color w:val="0F4761"/>
      <w:sz w:val="28"/>
      <w:szCs w:val="28"/>
    </w:rPr>
  </w:style>
  <w:style w:type="character" w:customStyle="1" w:styleId="Heading4Char">
    <w:name w:val="Heading 4 Char"/>
    <w:basedOn w:val="a0"/>
    <w:rPr>
      <w:rFonts w:eastAsia="Times New Roman" w:cs="Times New Roman"/>
      <w:i/>
      <w:iCs/>
      <w:color w:val="0F4761"/>
    </w:rPr>
  </w:style>
  <w:style w:type="character" w:customStyle="1" w:styleId="Heading5Char">
    <w:name w:val="Heading 5 Char"/>
    <w:basedOn w:val="a0"/>
    <w:rPr>
      <w:rFonts w:eastAsia="Times New Roman" w:cs="Times New Roman"/>
      <w:color w:val="0F4761"/>
    </w:rPr>
  </w:style>
  <w:style w:type="character" w:customStyle="1" w:styleId="Heading6Char">
    <w:name w:val="Heading 6 Char"/>
    <w:basedOn w:val="a0"/>
    <w:rPr>
      <w:rFonts w:eastAsia="Times New Roman" w:cs="Times New Roman"/>
      <w:i/>
      <w:iCs/>
      <w:color w:val="595959"/>
    </w:rPr>
  </w:style>
  <w:style w:type="character" w:customStyle="1" w:styleId="Heading7Char">
    <w:name w:val="Heading 7 Char"/>
    <w:basedOn w:val="a0"/>
    <w:rPr>
      <w:rFonts w:eastAsia="Times New Roman" w:cs="Times New Roman"/>
      <w:color w:val="595959"/>
    </w:rPr>
  </w:style>
  <w:style w:type="character" w:customStyle="1" w:styleId="Heading8Char">
    <w:name w:val="Heading 8 Char"/>
    <w:basedOn w:val="a0"/>
    <w:rPr>
      <w:rFonts w:eastAsia="Times New Roman" w:cs="Times New Roman"/>
      <w:i/>
      <w:iCs/>
      <w:color w:val="272727"/>
    </w:rPr>
  </w:style>
  <w:style w:type="character" w:customStyle="1" w:styleId="Heading9Char">
    <w:name w:val="Heading 9 Char"/>
    <w:basedOn w:val="a0"/>
    <w:rPr>
      <w:rFonts w:eastAsia="Times New Roman" w:cs="Times New Roman"/>
      <w:color w:val="272727"/>
    </w:rPr>
  </w:style>
  <w:style w:type="paragraph" w:styleId="a3">
    <w:name w:val="Title"/>
    <w:basedOn w:val="a"/>
    <w:next w:val="a"/>
    <w:uiPriority w:val="10"/>
    <w:qFormat/>
    <w:pPr>
      <w:bidi w:val="0"/>
      <w:spacing w:after="80" w:line="240" w:lineRule="auto"/>
      <w:contextualSpacing/>
    </w:pPr>
    <w:rPr>
      <w:rFonts w:ascii="Aptos Display" w:eastAsia="Times New Roman" w:hAnsi="Aptos Display" w:cs="Times New Roman"/>
      <w:spacing w:val="-10"/>
      <w:sz w:val="56"/>
      <w:szCs w:val="56"/>
    </w:rPr>
  </w:style>
  <w:style w:type="character" w:customStyle="1" w:styleId="TitleChar">
    <w:name w:val="Title Char"/>
    <w:basedOn w:val="a0"/>
    <w:rPr>
      <w:rFonts w:ascii="Aptos Display" w:eastAsia="Times New Roman" w:hAnsi="Aptos Display" w:cs="Times New Roman"/>
      <w:spacing w:val="-10"/>
      <w:kern w:val="3"/>
      <w:sz w:val="56"/>
      <w:szCs w:val="56"/>
    </w:rPr>
  </w:style>
  <w:style w:type="paragraph" w:styleId="a4">
    <w:name w:val="Subtitle"/>
    <w:basedOn w:val="a"/>
    <w:next w:val="a"/>
    <w:uiPriority w:val="11"/>
    <w:qFormat/>
    <w:pPr>
      <w:bidi w:val="0"/>
      <w:spacing w:line="276" w:lineRule="auto"/>
    </w:pPr>
    <w:rPr>
      <w:rFonts w:eastAsia="Times New Roman" w:cs="Times New Roman"/>
      <w:color w:val="595959"/>
      <w:spacing w:val="15"/>
      <w:sz w:val="28"/>
      <w:szCs w:val="28"/>
    </w:rPr>
  </w:style>
  <w:style w:type="character" w:customStyle="1" w:styleId="SubtitleChar">
    <w:name w:val="Subtitle Char"/>
    <w:basedOn w:val="a0"/>
    <w:rPr>
      <w:rFonts w:eastAsia="Times New Roman" w:cs="Times New Roman"/>
      <w:color w:val="595959"/>
      <w:spacing w:val="15"/>
      <w:sz w:val="28"/>
      <w:szCs w:val="28"/>
    </w:rPr>
  </w:style>
  <w:style w:type="paragraph" w:styleId="a5">
    <w:name w:val="Quote"/>
    <w:basedOn w:val="a"/>
    <w:next w:val="a"/>
    <w:pPr>
      <w:bidi w:val="0"/>
      <w:spacing w:before="160" w:line="276" w:lineRule="auto"/>
      <w:jc w:val="center"/>
    </w:pPr>
    <w:rPr>
      <w:i/>
      <w:iCs/>
      <w:color w:val="404040"/>
      <w:sz w:val="24"/>
      <w:szCs w:val="24"/>
    </w:rPr>
  </w:style>
  <w:style w:type="character" w:customStyle="1" w:styleId="QuoteChar">
    <w:name w:val="Quote Char"/>
    <w:basedOn w:val="a0"/>
    <w:rPr>
      <w:i/>
      <w:iCs/>
      <w:color w:val="404040"/>
    </w:rPr>
  </w:style>
  <w:style w:type="paragraph" w:styleId="a6">
    <w:name w:val="List Paragraph"/>
    <w:basedOn w:val="a"/>
    <w:pPr>
      <w:bidi w:val="0"/>
      <w:spacing w:line="276" w:lineRule="auto"/>
      <w:ind w:left="720"/>
      <w:contextualSpacing/>
    </w:pPr>
    <w:rPr>
      <w:sz w:val="24"/>
      <w:szCs w:val="24"/>
    </w:rPr>
  </w:style>
  <w:style w:type="character" w:styleId="a7">
    <w:name w:val="Intense Emphasis"/>
    <w:basedOn w:val="a0"/>
    <w:rPr>
      <w:i/>
      <w:iCs/>
      <w:color w:val="0F4761"/>
    </w:rPr>
  </w:style>
  <w:style w:type="paragraph" w:styleId="a8">
    <w:name w:val="Intense Quote"/>
    <w:basedOn w:val="a"/>
    <w:next w:val="a"/>
    <w:pPr>
      <w:pBdr>
        <w:top w:val="single" w:sz="4" w:space="10" w:color="0F4761"/>
        <w:bottom w:val="single" w:sz="4" w:space="10" w:color="0F4761"/>
      </w:pBdr>
      <w:bidi w:val="0"/>
      <w:spacing w:before="360" w:after="360" w:line="276" w:lineRule="auto"/>
      <w:ind w:left="864" w:right="864"/>
      <w:jc w:val="center"/>
    </w:pPr>
    <w:rPr>
      <w:i/>
      <w:iCs/>
      <w:color w:val="0F4761"/>
      <w:sz w:val="24"/>
      <w:szCs w:val="24"/>
    </w:rPr>
  </w:style>
  <w:style w:type="character" w:customStyle="1" w:styleId="IntenseQuoteChar">
    <w:name w:val="Intense Quote Char"/>
    <w:basedOn w:val="a0"/>
    <w:rPr>
      <w:i/>
      <w:iCs/>
      <w:color w:val="0F4761"/>
    </w:rPr>
  </w:style>
  <w:style w:type="character" w:styleId="a9">
    <w:name w:val="Intense Reference"/>
    <w:basedOn w:val="a0"/>
    <w:rPr>
      <w:b/>
      <w:bCs/>
      <w:smallCaps/>
      <w:color w:val="0F4761"/>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TotalTime>
  <Pages>41</Pages>
  <Words>7697</Words>
  <Characters>43873</Characters>
  <Application>Microsoft Office Word</Application>
  <DocSecurity>0</DocSecurity>
  <Lines>365</Lines>
  <Paragraphs>102</Paragraphs>
  <ScaleCrop>false</ScaleCrop>
  <Company/>
  <LinksUpToDate>false</LinksUpToDate>
  <CharactersWithSpaces>51468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Wail Kokandi</dc:creator>
  <dc:description/>
  <cp:lastModifiedBy>dania mohd</cp:lastModifiedBy>
  <cp:revision>3</cp:revision>
  <dcterms:created xsi:type="dcterms:W3CDTF">2026-07-17T14:03:00Z</dcterms:created>
  <dcterms:modified xsi:type="dcterms:W3CDTF">2026-07-17T17:54:00Z</dcterms:modified>
</cp:coreProperties>
</file>