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4222539"/>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bookmarkStart w:id="1" w:name="_GoBack"/>
        <w:bookmarkEnd w:id="1"/>
        <w:p w14:paraId="49DE25E2" w14:textId="46E8B813" w:rsidR="005B4500"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4222539" w:history="1">
            <w:r w:rsidR="005B4500" w:rsidRPr="00197D83">
              <w:rPr>
                <w:rStyle w:val="Hyperlink"/>
                <w:rFonts w:eastAsia="MS Gothic"/>
                <w:b/>
                <w:bCs/>
                <w:i/>
                <w:iCs/>
                <w:noProof/>
              </w:rPr>
              <w:t>Deep Learning for Detection and Classification of Kidney Tumors and Cancer</w:t>
            </w:r>
            <w:r w:rsidR="005B4500">
              <w:rPr>
                <w:noProof/>
                <w:webHidden/>
              </w:rPr>
              <w:tab/>
            </w:r>
            <w:r w:rsidR="005B4500">
              <w:rPr>
                <w:noProof/>
                <w:webHidden/>
              </w:rPr>
              <w:fldChar w:fldCharType="begin"/>
            </w:r>
            <w:r w:rsidR="005B4500">
              <w:rPr>
                <w:noProof/>
                <w:webHidden/>
              </w:rPr>
              <w:instrText xml:space="preserve"> PAGEREF _Toc224222539 \h </w:instrText>
            </w:r>
            <w:r w:rsidR="005B4500">
              <w:rPr>
                <w:noProof/>
                <w:webHidden/>
              </w:rPr>
            </w:r>
            <w:r w:rsidR="005B4500">
              <w:rPr>
                <w:noProof/>
                <w:webHidden/>
              </w:rPr>
              <w:fldChar w:fldCharType="separate"/>
            </w:r>
            <w:r w:rsidR="005B4500">
              <w:rPr>
                <w:noProof/>
                <w:webHidden/>
              </w:rPr>
              <w:t>1</w:t>
            </w:r>
            <w:r w:rsidR="005B4500">
              <w:rPr>
                <w:noProof/>
                <w:webHidden/>
              </w:rPr>
              <w:fldChar w:fldCharType="end"/>
            </w:r>
          </w:hyperlink>
        </w:p>
        <w:p w14:paraId="6A603D65" w14:textId="3A854B82" w:rsidR="005B4500" w:rsidRDefault="005B4500">
          <w:pPr>
            <w:pStyle w:val="TOC1"/>
            <w:tabs>
              <w:tab w:val="right" w:leader="dot" w:pos="9350"/>
            </w:tabs>
            <w:rPr>
              <w:rFonts w:asciiTheme="minorHAnsi" w:hAnsiTheme="minorHAnsi"/>
              <w:noProof/>
              <w:color w:val="auto"/>
              <w:sz w:val="22"/>
            </w:rPr>
          </w:pPr>
          <w:hyperlink w:anchor="_Toc224222540" w:history="1">
            <w:r w:rsidRPr="00197D83">
              <w:rPr>
                <w:rStyle w:val="Hyperlink"/>
                <w:noProof/>
              </w:rPr>
              <w:t>Abstract</w:t>
            </w:r>
            <w:r>
              <w:rPr>
                <w:noProof/>
                <w:webHidden/>
              </w:rPr>
              <w:tab/>
            </w:r>
            <w:r>
              <w:rPr>
                <w:noProof/>
                <w:webHidden/>
              </w:rPr>
              <w:fldChar w:fldCharType="begin"/>
            </w:r>
            <w:r>
              <w:rPr>
                <w:noProof/>
                <w:webHidden/>
              </w:rPr>
              <w:instrText xml:space="preserve"> PAGEREF _Toc224222540 \h </w:instrText>
            </w:r>
            <w:r>
              <w:rPr>
                <w:noProof/>
                <w:webHidden/>
              </w:rPr>
            </w:r>
            <w:r>
              <w:rPr>
                <w:noProof/>
                <w:webHidden/>
              </w:rPr>
              <w:fldChar w:fldCharType="separate"/>
            </w:r>
            <w:r>
              <w:rPr>
                <w:noProof/>
                <w:webHidden/>
              </w:rPr>
              <w:t>3</w:t>
            </w:r>
            <w:r>
              <w:rPr>
                <w:noProof/>
                <w:webHidden/>
              </w:rPr>
              <w:fldChar w:fldCharType="end"/>
            </w:r>
          </w:hyperlink>
        </w:p>
        <w:p w14:paraId="092033EC" w14:textId="15CBA95D" w:rsidR="005B4500" w:rsidRDefault="005B4500">
          <w:pPr>
            <w:pStyle w:val="TOC1"/>
            <w:tabs>
              <w:tab w:val="right" w:leader="dot" w:pos="9350"/>
            </w:tabs>
            <w:rPr>
              <w:rFonts w:asciiTheme="minorHAnsi" w:hAnsiTheme="minorHAnsi"/>
              <w:noProof/>
              <w:color w:val="auto"/>
              <w:sz w:val="22"/>
            </w:rPr>
          </w:pPr>
          <w:hyperlink w:anchor="_Toc224222541" w:history="1">
            <w:r w:rsidRPr="00197D83">
              <w:rPr>
                <w:rStyle w:val="Hyperlink"/>
                <w:noProof/>
              </w:rPr>
              <w:t>1. Chapter 1: Introduction and Overview</w:t>
            </w:r>
            <w:r>
              <w:rPr>
                <w:noProof/>
                <w:webHidden/>
              </w:rPr>
              <w:tab/>
            </w:r>
            <w:r>
              <w:rPr>
                <w:noProof/>
                <w:webHidden/>
              </w:rPr>
              <w:fldChar w:fldCharType="begin"/>
            </w:r>
            <w:r>
              <w:rPr>
                <w:noProof/>
                <w:webHidden/>
              </w:rPr>
              <w:instrText xml:space="preserve"> PAGEREF _Toc224222541 \h </w:instrText>
            </w:r>
            <w:r>
              <w:rPr>
                <w:noProof/>
                <w:webHidden/>
              </w:rPr>
            </w:r>
            <w:r>
              <w:rPr>
                <w:noProof/>
                <w:webHidden/>
              </w:rPr>
              <w:fldChar w:fldCharType="separate"/>
            </w:r>
            <w:r>
              <w:rPr>
                <w:noProof/>
                <w:webHidden/>
              </w:rPr>
              <w:t>4</w:t>
            </w:r>
            <w:r>
              <w:rPr>
                <w:noProof/>
                <w:webHidden/>
              </w:rPr>
              <w:fldChar w:fldCharType="end"/>
            </w:r>
          </w:hyperlink>
        </w:p>
        <w:p w14:paraId="33748B40" w14:textId="630F7117" w:rsidR="005B4500" w:rsidRDefault="005B4500">
          <w:pPr>
            <w:pStyle w:val="TOC2"/>
            <w:tabs>
              <w:tab w:val="right" w:leader="dot" w:pos="9350"/>
            </w:tabs>
            <w:rPr>
              <w:rFonts w:asciiTheme="minorHAnsi" w:hAnsiTheme="minorHAnsi"/>
              <w:noProof/>
              <w:color w:val="auto"/>
              <w:sz w:val="22"/>
            </w:rPr>
          </w:pPr>
          <w:hyperlink w:anchor="_Toc224222542" w:history="1">
            <w:r w:rsidRPr="00197D83">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_Toc224222542 \h </w:instrText>
            </w:r>
            <w:r>
              <w:rPr>
                <w:noProof/>
                <w:webHidden/>
              </w:rPr>
            </w:r>
            <w:r>
              <w:rPr>
                <w:noProof/>
                <w:webHidden/>
              </w:rPr>
              <w:fldChar w:fldCharType="separate"/>
            </w:r>
            <w:r>
              <w:rPr>
                <w:noProof/>
                <w:webHidden/>
              </w:rPr>
              <w:t>4</w:t>
            </w:r>
            <w:r>
              <w:rPr>
                <w:noProof/>
                <w:webHidden/>
              </w:rPr>
              <w:fldChar w:fldCharType="end"/>
            </w:r>
          </w:hyperlink>
        </w:p>
        <w:p w14:paraId="190ED7AA" w14:textId="4371E6C2" w:rsidR="005B4500" w:rsidRDefault="005B4500">
          <w:pPr>
            <w:pStyle w:val="TOC2"/>
            <w:tabs>
              <w:tab w:val="right" w:leader="dot" w:pos="9350"/>
            </w:tabs>
            <w:rPr>
              <w:rFonts w:asciiTheme="minorHAnsi" w:hAnsiTheme="minorHAnsi"/>
              <w:noProof/>
              <w:color w:val="auto"/>
              <w:sz w:val="22"/>
            </w:rPr>
          </w:pPr>
          <w:hyperlink w:anchor="_Toc224222543" w:history="1">
            <w:r w:rsidRPr="00197D83">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_Toc224222543 \h </w:instrText>
            </w:r>
            <w:r>
              <w:rPr>
                <w:noProof/>
                <w:webHidden/>
              </w:rPr>
            </w:r>
            <w:r>
              <w:rPr>
                <w:noProof/>
                <w:webHidden/>
              </w:rPr>
              <w:fldChar w:fldCharType="separate"/>
            </w:r>
            <w:r>
              <w:rPr>
                <w:noProof/>
                <w:webHidden/>
              </w:rPr>
              <w:t>5</w:t>
            </w:r>
            <w:r>
              <w:rPr>
                <w:noProof/>
                <w:webHidden/>
              </w:rPr>
              <w:fldChar w:fldCharType="end"/>
            </w:r>
          </w:hyperlink>
        </w:p>
        <w:p w14:paraId="69745E2F" w14:textId="0E7370D1" w:rsidR="005B4500" w:rsidRDefault="005B4500">
          <w:pPr>
            <w:pStyle w:val="TOC2"/>
            <w:tabs>
              <w:tab w:val="right" w:leader="dot" w:pos="9350"/>
            </w:tabs>
            <w:rPr>
              <w:rFonts w:asciiTheme="minorHAnsi" w:hAnsiTheme="minorHAnsi"/>
              <w:noProof/>
              <w:color w:val="auto"/>
              <w:sz w:val="22"/>
            </w:rPr>
          </w:pPr>
          <w:hyperlink w:anchor="_Toc224222544" w:history="1">
            <w:r w:rsidRPr="00197D83">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_Toc224222544 \h </w:instrText>
            </w:r>
            <w:r>
              <w:rPr>
                <w:noProof/>
                <w:webHidden/>
              </w:rPr>
            </w:r>
            <w:r>
              <w:rPr>
                <w:noProof/>
                <w:webHidden/>
              </w:rPr>
              <w:fldChar w:fldCharType="separate"/>
            </w:r>
            <w:r>
              <w:rPr>
                <w:noProof/>
                <w:webHidden/>
              </w:rPr>
              <w:t>6</w:t>
            </w:r>
            <w:r>
              <w:rPr>
                <w:noProof/>
                <w:webHidden/>
              </w:rPr>
              <w:fldChar w:fldCharType="end"/>
            </w:r>
          </w:hyperlink>
        </w:p>
        <w:p w14:paraId="304E3194" w14:textId="1186E4EA" w:rsidR="005B4500" w:rsidRDefault="005B4500">
          <w:pPr>
            <w:pStyle w:val="TOC2"/>
            <w:tabs>
              <w:tab w:val="right" w:leader="dot" w:pos="9350"/>
            </w:tabs>
            <w:rPr>
              <w:rFonts w:asciiTheme="minorHAnsi" w:hAnsiTheme="minorHAnsi"/>
              <w:noProof/>
              <w:color w:val="auto"/>
              <w:sz w:val="22"/>
            </w:rPr>
          </w:pPr>
          <w:hyperlink w:anchor="_Toc224222545" w:history="1">
            <w:r w:rsidRPr="00197D83">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_Toc224222545 \h </w:instrText>
            </w:r>
            <w:r>
              <w:rPr>
                <w:noProof/>
                <w:webHidden/>
              </w:rPr>
            </w:r>
            <w:r>
              <w:rPr>
                <w:noProof/>
                <w:webHidden/>
              </w:rPr>
              <w:fldChar w:fldCharType="separate"/>
            </w:r>
            <w:r>
              <w:rPr>
                <w:noProof/>
                <w:webHidden/>
              </w:rPr>
              <w:t>7</w:t>
            </w:r>
            <w:r>
              <w:rPr>
                <w:noProof/>
                <w:webHidden/>
              </w:rPr>
              <w:fldChar w:fldCharType="end"/>
            </w:r>
          </w:hyperlink>
        </w:p>
        <w:p w14:paraId="42D0C1F3" w14:textId="4EB46EA0" w:rsidR="005B4500" w:rsidRDefault="005B4500">
          <w:pPr>
            <w:pStyle w:val="TOC2"/>
            <w:tabs>
              <w:tab w:val="right" w:leader="dot" w:pos="9350"/>
            </w:tabs>
            <w:rPr>
              <w:rFonts w:asciiTheme="minorHAnsi" w:hAnsiTheme="minorHAnsi"/>
              <w:noProof/>
              <w:color w:val="auto"/>
              <w:sz w:val="22"/>
            </w:rPr>
          </w:pPr>
          <w:hyperlink w:anchor="_Toc224222546" w:history="1">
            <w:r w:rsidRPr="00197D83">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_Toc224222546 \h </w:instrText>
            </w:r>
            <w:r>
              <w:rPr>
                <w:noProof/>
                <w:webHidden/>
              </w:rPr>
            </w:r>
            <w:r>
              <w:rPr>
                <w:noProof/>
                <w:webHidden/>
              </w:rPr>
              <w:fldChar w:fldCharType="separate"/>
            </w:r>
            <w:r>
              <w:rPr>
                <w:noProof/>
                <w:webHidden/>
              </w:rPr>
              <w:t>9</w:t>
            </w:r>
            <w:r>
              <w:rPr>
                <w:noProof/>
                <w:webHidden/>
              </w:rPr>
              <w:fldChar w:fldCharType="end"/>
            </w:r>
          </w:hyperlink>
        </w:p>
        <w:p w14:paraId="5DAD502E" w14:textId="66EBB7EE" w:rsidR="005B4500" w:rsidRDefault="005B4500">
          <w:pPr>
            <w:pStyle w:val="TOC1"/>
            <w:tabs>
              <w:tab w:val="right" w:leader="dot" w:pos="9350"/>
            </w:tabs>
            <w:rPr>
              <w:rFonts w:asciiTheme="minorHAnsi" w:hAnsiTheme="minorHAnsi"/>
              <w:noProof/>
              <w:color w:val="auto"/>
              <w:sz w:val="22"/>
            </w:rPr>
          </w:pPr>
          <w:hyperlink w:anchor="_Toc224222547" w:history="1">
            <w:r w:rsidRPr="00197D83">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_Toc224222547 \h </w:instrText>
            </w:r>
            <w:r>
              <w:rPr>
                <w:noProof/>
                <w:webHidden/>
              </w:rPr>
            </w:r>
            <w:r>
              <w:rPr>
                <w:noProof/>
                <w:webHidden/>
              </w:rPr>
              <w:fldChar w:fldCharType="separate"/>
            </w:r>
            <w:r>
              <w:rPr>
                <w:noProof/>
                <w:webHidden/>
              </w:rPr>
              <w:t>10</w:t>
            </w:r>
            <w:r>
              <w:rPr>
                <w:noProof/>
                <w:webHidden/>
              </w:rPr>
              <w:fldChar w:fldCharType="end"/>
            </w:r>
          </w:hyperlink>
        </w:p>
        <w:p w14:paraId="5CE9EACC" w14:textId="0EB70AC1" w:rsidR="005B4500" w:rsidRDefault="005B4500">
          <w:pPr>
            <w:pStyle w:val="TOC2"/>
            <w:tabs>
              <w:tab w:val="right" w:leader="dot" w:pos="9350"/>
            </w:tabs>
            <w:rPr>
              <w:rFonts w:asciiTheme="minorHAnsi" w:hAnsiTheme="minorHAnsi"/>
              <w:noProof/>
              <w:color w:val="auto"/>
              <w:sz w:val="22"/>
            </w:rPr>
          </w:pPr>
          <w:hyperlink w:anchor="_Toc224222548" w:history="1">
            <w:r w:rsidRPr="00197D83">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_Toc224222548 \h </w:instrText>
            </w:r>
            <w:r>
              <w:rPr>
                <w:noProof/>
                <w:webHidden/>
              </w:rPr>
            </w:r>
            <w:r>
              <w:rPr>
                <w:noProof/>
                <w:webHidden/>
              </w:rPr>
              <w:fldChar w:fldCharType="separate"/>
            </w:r>
            <w:r>
              <w:rPr>
                <w:noProof/>
                <w:webHidden/>
              </w:rPr>
              <w:t>10</w:t>
            </w:r>
            <w:r>
              <w:rPr>
                <w:noProof/>
                <w:webHidden/>
              </w:rPr>
              <w:fldChar w:fldCharType="end"/>
            </w:r>
          </w:hyperlink>
        </w:p>
        <w:p w14:paraId="14E17824" w14:textId="4AA3BD5A" w:rsidR="005B4500" w:rsidRDefault="005B4500">
          <w:pPr>
            <w:pStyle w:val="TOC2"/>
            <w:tabs>
              <w:tab w:val="right" w:leader="dot" w:pos="9350"/>
            </w:tabs>
            <w:rPr>
              <w:rFonts w:asciiTheme="minorHAnsi" w:hAnsiTheme="minorHAnsi"/>
              <w:noProof/>
              <w:color w:val="auto"/>
              <w:sz w:val="22"/>
            </w:rPr>
          </w:pPr>
          <w:hyperlink w:anchor="_Toc224222549" w:history="1">
            <w:r w:rsidRPr="00197D83">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_Toc224222549 \h </w:instrText>
            </w:r>
            <w:r>
              <w:rPr>
                <w:noProof/>
                <w:webHidden/>
              </w:rPr>
            </w:r>
            <w:r>
              <w:rPr>
                <w:noProof/>
                <w:webHidden/>
              </w:rPr>
              <w:fldChar w:fldCharType="separate"/>
            </w:r>
            <w:r>
              <w:rPr>
                <w:noProof/>
                <w:webHidden/>
              </w:rPr>
              <w:t>11</w:t>
            </w:r>
            <w:r>
              <w:rPr>
                <w:noProof/>
                <w:webHidden/>
              </w:rPr>
              <w:fldChar w:fldCharType="end"/>
            </w:r>
          </w:hyperlink>
        </w:p>
        <w:p w14:paraId="28CAC35D" w14:textId="71B631ED" w:rsidR="005B4500" w:rsidRDefault="005B4500">
          <w:pPr>
            <w:pStyle w:val="TOC2"/>
            <w:tabs>
              <w:tab w:val="right" w:leader="dot" w:pos="9350"/>
            </w:tabs>
            <w:rPr>
              <w:rFonts w:asciiTheme="minorHAnsi" w:hAnsiTheme="minorHAnsi"/>
              <w:noProof/>
              <w:color w:val="auto"/>
              <w:sz w:val="22"/>
            </w:rPr>
          </w:pPr>
          <w:hyperlink w:anchor="_Toc224222550" w:history="1">
            <w:r w:rsidRPr="00197D83">
              <w:rPr>
                <w:rStyle w:val="Hyperlink"/>
                <w:rFonts w:asciiTheme="majorBidi" w:hAnsiTheme="majorBidi"/>
                <w:noProof/>
              </w:rPr>
              <w:t>2.3 Synthesis, Gap Analysis</w:t>
            </w:r>
            <w:r>
              <w:rPr>
                <w:noProof/>
                <w:webHidden/>
              </w:rPr>
              <w:tab/>
            </w:r>
            <w:r>
              <w:rPr>
                <w:noProof/>
                <w:webHidden/>
              </w:rPr>
              <w:fldChar w:fldCharType="begin"/>
            </w:r>
            <w:r>
              <w:rPr>
                <w:noProof/>
                <w:webHidden/>
              </w:rPr>
              <w:instrText xml:space="preserve"> PAGEREF _Toc224222550 \h </w:instrText>
            </w:r>
            <w:r>
              <w:rPr>
                <w:noProof/>
                <w:webHidden/>
              </w:rPr>
            </w:r>
            <w:r>
              <w:rPr>
                <w:noProof/>
                <w:webHidden/>
              </w:rPr>
              <w:fldChar w:fldCharType="separate"/>
            </w:r>
            <w:r>
              <w:rPr>
                <w:noProof/>
                <w:webHidden/>
              </w:rPr>
              <w:t>18</w:t>
            </w:r>
            <w:r>
              <w:rPr>
                <w:noProof/>
                <w:webHidden/>
              </w:rPr>
              <w:fldChar w:fldCharType="end"/>
            </w:r>
          </w:hyperlink>
        </w:p>
        <w:p w14:paraId="05B588CD" w14:textId="5EDB8312" w:rsidR="005B4500" w:rsidRDefault="005B4500">
          <w:pPr>
            <w:pStyle w:val="TOC1"/>
            <w:tabs>
              <w:tab w:val="right" w:leader="dot" w:pos="9350"/>
            </w:tabs>
            <w:rPr>
              <w:rFonts w:asciiTheme="minorHAnsi" w:hAnsiTheme="minorHAnsi"/>
              <w:noProof/>
              <w:color w:val="auto"/>
              <w:sz w:val="22"/>
            </w:rPr>
          </w:pPr>
          <w:hyperlink w:anchor="_Toc224222551" w:history="1">
            <w:r w:rsidRPr="00197D83">
              <w:rPr>
                <w:rStyle w:val="Hyperlink"/>
                <w:noProof/>
              </w:rPr>
              <w:t>References</w:t>
            </w:r>
            <w:r>
              <w:rPr>
                <w:noProof/>
                <w:webHidden/>
              </w:rPr>
              <w:tab/>
            </w:r>
            <w:r>
              <w:rPr>
                <w:noProof/>
                <w:webHidden/>
              </w:rPr>
              <w:fldChar w:fldCharType="begin"/>
            </w:r>
            <w:r>
              <w:rPr>
                <w:noProof/>
                <w:webHidden/>
              </w:rPr>
              <w:instrText xml:space="preserve"> PAGEREF _Toc224222551 \h </w:instrText>
            </w:r>
            <w:r>
              <w:rPr>
                <w:noProof/>
                <w:webHidden/>
              </w:rPr>
            </w:r>
            <w:r>
              <w:rPr>
                <w:noProof/>
                <w:webHidden/>
              </w:rPr>
              <w:fldChar w:fldCharType="separate"/>
            </w:r>
            <w:r>
              <w:rPr>
                <w:noProof/>
                <w:webHidden/>
              </w:rPr>
              <w:t>20</w:t>
            </w:r>
            <w:r>
              <w:rPr>
                <w:noProof/>
                <w:webHidden/>
              </w:rPr>
              <w:fldChar w:fldCharType="end"/>
            </w:r>
          </w:hyperlink>
        </w:p>
        <w:p w14:paraId="78BF041D" w14:textId="5C33CA20"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2" w:name="_Toc224222540"/>
      <w:r w:rsidRPr="00A7454E">
        <w:lastRenderedPageBreak/>
        <w:t>Abstract</w:t>
      </w:r>
      <w:bookmarkEnd w:id="2"/>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3" w:name="_Toc224222541"/>
      <w:r>
        <w:rPr>
          <w:sz w:val="44"/>
          <w:szCs w:val="36"/>
        </w:rPr>
        <w:lastRenderedPageBreak/>
        <w:t xml:space="preserve">1. </w:t>
      </w:r>
      <w:r w:rsidR="0047012D" w:rsidRPr="000B63F2">
        <w:rPr>
          <w:sz w:val="44"/>
          <w:szCs w:val="36"/>
        </w:rPr>
        <w:t>Chapter 1: Introduction and Overview</w:t>
      </w:r>
      <w:bookmarkEnd w:id="3"/>
    </w:p>
    <w:p w14:paraId="38B3E94C" w14:textId="77777777" w:rsidR="009526E1" w:rsidRPr="00825C53" w:rsidRDefault="0047012D" w:rsidP="00825C53">
      <w:pPr>
        <w:pStyle w:val="Heading2"/>
        <w:rPr>
          <w:rFonts w:asciiTheme="majorBidi" w:hAnsiTheme="majorBidi"/>
          <w:color w:val="auto"/>
          <w:sz w:val="32"/>
          <w:szCs w:val="32"/>
        </w:rPr>
      </w:pPr>
      <w:bookmarkStart w:id="4" w:name="_Toc224222542"/>
      <w:r w:rsidRPr="00825C53">
        <w:rPr>
          <w:rFonts w:asciiTheme="majorBidi" w:hAnsiTheme="majorBidi"/>
          <w:color w:val="auto"/>
          <w:sz w:val="32"/>
          <w:szCs w:val="32"/>
        </w:rPr>
        <w:t>1.1 Overview</w:t>
      </w:r>
      <w:bookmarkEnd w:id="4"/>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5" w:name="_Toc224222543"/>
      <w:r w:rsidRPr="00825C53">
        <w:rPr>
          <w:rFonts w:asciiTheme="majorBidi" w:hAnsiTheme="majorBidi"/>
          <w:color w:val="auto"/>
          <w:sz w:val="32"/>
          <w:szCs w:val="32"/>
        </w:rPr>
        <w:t>1.2 Problem Definition</w:t>
      </w:r>
      <w:bookmarkEnd w:id="5"/>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6" w:name="_Toc224222544"/>
      <w:r w:rsidRPr="00825C53">
        <w:rPr>
          <w:rFonts w:asciiTheme="majorBidi" w:hAnsiTheme="majorBidi"/>
          <w:color w:val="auto"/>
          <w:sz w:val="32"/>
          <w:szCs w:val="32"/>
        </w:rPr>
        <w:t>1.3 Thesis Objectives</w:t>
      </w:r>
      <w:bookmarkEnd w:id="6"/>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7" w:name="_Toc224222545"/>
      <w:r w:rsidRPr="00825C53">
        <w:rPr>
          <w:rFonts w:asciiTheme="majorBidi" w:hAnsiTheme="majorBidi"/>
          <w:color w:val="auto"/>
          <w:sz w:val="32"/>
          <w:szCs w:val="32"/>
        </w:rPr>
        <w:t>1.4 Thesis Contribution</w:t>
      </w:r>
      <w:bookmarkEnd w:id="7"/>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8" w:name="_Toc224222546"/>
      <w:r w:rsidRPr="00825C53">
        <w:rPr>
          <w:rFonts w:asciiTheme="majorBidi" w:hAnsiTheme="majorBidi"/>
          <w:color w:val="auto"/>
          <w:sz w:val="32"/>
          <w:szCs w:val="32"/>
        </w:rPr>
        <w:lastRenderedPageBreak/>
        <w:t>1.5 Thesis Organization</w:t>
      </w:r>
      <w:bookmarkEnd w:id="8"/>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9" w:name="_Toc224222547"/>
      <w:r>
        <w:rPr>
          <w:rFonts w:cs="Times New Roman"/>
          <w:sz w:val="40"/>
          <w:szCs w:val="44"/>
        </w:rPr>
        <w:lastRenderedPageBreak/>
        <w:t xml:space="preserve">2. </w:t>
      </w:r>
      <w:r w:rsidR="00901124" w:rsidRPr="001C51E2">
        <w:rPr>
          <w:rFonts w:cs="Times New Roman"/>
          <w:sz w:val="40"/>
          <w:szCs w:val="44"/>
        </w:rPr>
        <w:t>Chapter 2: Background and Related Work</w:t>
      </w:r>
      <w:bookmarkEnd w:id="9"/>
    </w:p>
    <w:p w14:paraId="7E7B5922" w14:textId="77777777" w:rsidR="00901124" w:rsidRPr="00B42951" w:rsidRDefault="00901124" w:rsidP="00901124">
      <w:pPr>
        <w:jc w:val="both"/>
        <w:rPr>
          <w:rFonts w:cs="Times New Roman"/>
        </w:rPr>
      </w:pPr>
    </w:p>
    <w:p w14:paraId="5D176A1B" w14:textId="58B50AC0" w:rsidR="00901124" w:rsidRDefault="00901124" w:rsidP="00BB6595">
      <w:pPr>
        <w:pStyle w:val="Heading2"/>
        <w:rPr>
          <w:rFonts w:asciiTheme="majorBidi" w:hAnsiTheme="majorBidi"/>
          <w:color w:val="auto"/>
          <w:sz w:val="32"/>
          <w:szCs w:val="32"/>
        </w:rPr>
      </w:pPr>
      <w:bookmarkStart w:id="10" w:name="_Toc224222548"/>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10"/>
    </w:p>
    <w:p w14:paraId="346A5EF6" w14:textId="77777777" w:rsidR="001B7909" w:rsidRPr="001B7909" w:rsidRDefault="001B7909" w:rsidP="001B7909"/>
    <w:p w14:paraId="3045E89B" w14:textId="04BAA476" w:rsidR="0096202A" w:rsidRPr="0007068E" w:rsidRDefault="0096202A" w:rsidP="0096202A">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04F95C9A" w14:textId="7BFC039C" w:rsidR="0096202A" w:rsidRPr="0007068E" w:rsidRDefault="0096202A" w:rsidP="0069630E">
      <w:pPr>
        <w:spacing w:line="360" w:lineRule="auto"/>
        <w:jc w:val="both"/>
        <w:rPr>
          <w:rFonts w:cs="Times New Roman"/>
        </w:rPr>
      </w:pPr>
      <w:r w:rsidRPr="0007068E">
        <w:rPr>
          <w:rFonts w:cs="Times New Roman"/>
        </w:rPr>
        <w:t xml:space="preserve">The breakthrough was gained with the introduction of deep learning, especially Convolutional Neural Networks (CNNs), which made it possible to learn features automatically with the help of supervised learning </w:t>
      </w:r>
      <w:r w:rsidR="0069630E">
        <w:t>[9]</w:t>
      </w:r>
      <w:r w:rsidRPr="0007068E">
        <w:rPr>
          <w:rFonts w:cs="Times New Roman"/>
        </w:rPr>
        <w:t>.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6D622EB3" w14:textId="77777777" w:rsidR="0096202A" w:rsidRPr="00B42951" w:rsidRDefault="0096202A" w:rsidP="0096202A">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79E439DD" w14:textId="070C6ADD" w:rsidR="00512698" w:rsidRDefault="0069630E" w:rsidP="00FB3903">
      <w:pPr>
        <w:spacing w:line="360" w:lineRule="auto"/>
        <w:jc w:val="both"/>
        <w:rPr>
          <w:rFonts w:cs="Times New Roman"/>
        </w:rPr>
      </w:pPr>
      <w:r>
        <w:rPr>
          <w:rFonts w:cs="Times New Roman"/>
        </w:rPr>
        <w:t>The</w:t>
      </w:r>
      <w:r w:rsidRPr="0007068E">
        <w:rPr>
          <w:rFonts w:cs="Times New Roman"/>
        </w:rPr>
        <w:t xml:space="preserve"> chapter provides a review of </w:t>
      </w:r>
      <w:r>
        <w:rPr>
          <w:rFonts w:cs="Times New Roman"/>
        </w:rPr>
        <w:t>fifteen</w:t>
      </w:r>
      <w:r w:rsidRPr="0007068E">
        <w:rPr>
          <w:rFonts w:cs="Times New Roman"/>
        </w:rPr>
        <w:t xml:space="preserve"> recent studies, </w:t>
      </w:r>
      <w:r>
        <w:rPr>
          <w:rFonts w:cs="Times New Roman"/>
        </w:rPr>
        <w:t xml:space="preserve">most </w:t>
      </w:r>
      <w:r w:rsidRPr="0007068E">
        <w:rPr>
          <w:rFonts w:cs="Times New Roman"/>
        </w:rPr>
        <w:t>of which provided their own methodology to the same KIDNEY DATASET on Kaggle: normal-cyst-tumor and stone</w:t>
      </w:r>
      <w:r>
        <w:rPr>
          <w:rFonts w:cs="Times New Roman"/>
        </w:rPr>
        <w:t xml:space="preserve"> </w:t>
      </w:r>
      <w:r w:rsidR="00FB3903" w:rsidRPr="00D73DDB">
        <w:rPr>
          <w:rFonts w:cs="Times New Roman"/>
        </w:rPr>
        <w:t>[1–15].</w:t>
      </w:r>
      <w:r>
        <w:rPr>
          <w:rFonts w:cs="Times New Roman"/>
        </w:rPr>
        <w:t xml:space="preserve"> </w:t>
      </w:r>
      <w:r w:rsidR="00901124" w:rsidRPr="0007068E">
        <w:rPr>
          <w:rFonts w:cs="Times New Roman"/>
        </w:rPr>
        <w:t xml:space="preserve">We can easily be able to pinpoint the strengths and weaknesses of methods used by comparing how various research </w:t>
      </w:r>
      <w:r w:rsidR="001319F8">
        <w:rPr>
          <w:rFonts w:cs="Times New Roman"/>
        </w:rPr>
        <w:t>papers</w:t>
      </w:r>
      <w:r w:rsidR="00901124" w:rsidRPr="0007068E">
        <w:rPr>
          <w:rFonts w:cs="Times New Roman"/>
        </w:rPr>
        <w:t xml:space="preserve"> used the same data to classify multi-class. The scientific and clinical gap to be filled in the present thesis is directly expressed through this analysis</w:t>
      </w:r>
      <w:r w:rsidR="00633AEF" w:rsidRPr="0007068E">
        <w:rPr>
          <w:rFonts w:cs="Times New Roman"/>
        </w:rPr>
        <w:t>.</w:t>
      </w:r>
    </w:p>
    <w:p w14:paraId="58AC78DC" w14:textId="77777777" w:rsidR="001319F8" w:rsidRDefault="001319F8" w:rsidP="00901124">
      <w:pPr>
        <w:spacing w:line="360" w:lineRule="auto"/>
        <w:jc w:val="both"/>
        <w:rPr>
          <w:rFonts w:cs="Times New Roman"/>
        </w:rPr>
      </w:pPr>
      <w:r>
        <w:rPr>
          <w:rFonts w:cs="Times New Roman"/>
        </w:rPr>
        <w:br/>
      </w:r>
    </w:p>
    <w:p w14:paraId="437E1385" w14:textId="77777777" w:rsidR="001319F8" w:rsidRDefault="001319F8">
      <w:pPr>
        <w:rPr>
          <w:rFonts w:cs="Times New Roman"/>
        </w:rPr>
      </w:pPr>
      <w:r>
        <w:rPr>
          <w:rFonts w:cs="Times New Roman"/>
        </w:rPr>
        <w:br w:type="page"/>
      </w:r>
    </w:p>
    <w:p w14:paraId="734FC449" w14:textId="51B650AF" w:rsidR="00901124" w:rsidRDefault="00901124" w:rsidP="00F82EA7">
      <w:pPr>
        <w:pStyle w:val="Heading2"/>
        <w:ind w:firstLine="720"/>
        <w:rPr>
          <w:rFonts w:asciiTheme="majorBidi" w:hAnsiTheme="majorBidi"/>
          <w:color w:val="auto"/>
          <w:sz w:val="32"/>
          <w:szCs w:val="32"/>
        </w:rPr>
      </w:pPr>
      <w:bookmarkStart w:id="11" w:name="_Toc224222549"/>
      <w:r w:rsidRPr="008B203A">
        <w:rPr>
          <w:rFonts w:asciiTheme="majorBidi" w:hAnsiTheme="majorBidi"/>
          <w:color w:val="auto"/>
          <w:sz w:val="32"/>
          <w:szCs w:val="32"/>
        </w:rPr>
        <w:lastRenderedPageBreak/>
        <w:t>2.</w:t>
      </w:r>
      <w:r w:rsidR="00825C53" w:rsidRPr="008B203A">
        <w:rPr>
          <w:rFonts w:asciiTheme="majorBidi" w:hAnsiTheme="majorBidi"/>
          <w:color w:val="auto"/>
          <w:sz w:val="32"/>
          <w:szCs w:val="32"/>
        </w:rPr>
        <w:t>2</w:t>
      </w:r>
      <w:r w:rsidRPr="008B203A">
        <w:rPr>
          <w:rFonts w:asciiTheme="majorBidi" w:hAnsiTheme="majorBidi"/>
          <w:color w:val="auto"/>
          <w:sz w:val="32"/>
          <w:szCs w:val="32"/>
        </w:rPr>
        <w:t xml:space="preserve"> </w:t>
      </w:r>
      <w:r w:rsidR="00C15D20" w:rsidRPr="008B203A">
        <w:rPr>
          <w:rFonts w:asciiTheme="majorBidi" w:hAnsiTheme="majorBidi"/>
          <w:color w:val="auto"/>
          <w:sz w:val="32"/>
          <w:szCs w:val="32"/>
        </w:rPr>
        <w:t>Related Work</w:t>
      </w:r>
      <w:bookmarkEnd w:id="11"/>
    </w:p>
    <w:p w14:paraId="5A423399" w14:textId="77777777" w:rsidR="004552F6" w:rsidRPr="004552F6" w:rsidRDefault="004552F6" w:rsidP="004552F6"/>
    <w:p w14:paraId="74FD59EC" w14:textId="403E7216" w:rsidR="004552F6" w:rsidRPr="002C3616" w:rsidRDefault="004552F6" w:rsidP="004552F6">
      <w:pPr>
        <w:spacing w:after="0" w:line="360" w:lineRule="auto"/>
        <w:ind w:firstLine="720"/>
        <w:jc w:val="both"/>
        <w:rPr>
          <w:rFonts w:cs="Times New Roman"/>
        </w:rPr>
      </w:pPr>
      <w:r w:rsidRPr="00684DDF">
        <w:rPr>
          <w:rFonts w:cs="Times New Roman"/>
          <w:b/>
          <w:bCs/>
        </w:rPr>
        <w:t>Yildirim et al. (2021)</w:t>
      </w:r>
      <w:r w:rsidRPr="002C3616">
        <w:rPr>
          <w:rFonts w:cs="Times New Roman"/>
        </w:rPr>
        <w:t xml:space="preserve"> suggested a kidney stone detection automated binary deep learning system of an in-house collection of cross-sectional computer tomography (CT)</w:t>
      </w:r>
      <w:r>
        <w:rPr>
          <w:rFonts w:cs="Times New Roman"/>
        </w:rPr>
        <w:t xml:space="preserve"> dataset</w:t>
      </w:r>
      <w:r w:rsidRPr="002C3616">
        <w:rPr>
          <w:rFonts w:cs="Times New Roman"/>
        </w:rPr>
        <w:t xml:space="preserve"> established at Turgut Ozal University Hospital,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 [13].</w:t>
      </w:r>
    </w:p>
    <w:p w14:paraId="366FA3CD" w14:textId="77777777" w:rsidR="004552F6" w:rsidRPr="002C3616" w:rsidRDefault="004552F6" w:rsidP="004552F6">
      <w:pPr>
        <w:spacing w:after="0" w:line="360" w:lineRule="auto"/>
        <w:jc w:val="both"/>
        <w:rPr>
          <w:rFonts w:cs="Times New Roman"/>
        </w:rPr>
      </w:pPr>
    </w:p>
    <w:p w14:paraId="73EBCD0E" w14:textId="3844FEDC" w:rsidR="004552F6" w:rsidRPr="002C3616" w:rsidRDefault="004552F6" w:rsidP="004552F6">
      <w:pPr>
        <w:spacing w:after="0" w:line="360" w:lineRule="auto"/>
        <w:jc w:val="both"/>
        <w:rPr>
          <w:rFonts w:cs="Times New Roman"/>
        </w:rPr>
      </w:pPr>
      <w:r w:rsidRPr="00684DDF">
        <w:rPr>
          <w:rFonts w:cs="Times New Roman"/>
          <w:b/>
          <w:bCs/>
        </w:rPr>
        <w:t>Islam et al. (2022)</w:t>
      </w:r>
      <w:r w:rsidRPr="002C3616">
        <w:rPr>
          <w:rFonts w:cs="Times New Roman"/>
        </w:rPr>
        <w:t xml:space="preserve"> delved into the notion of transfer learning on the basis of VGG-16 and ResNet-50 models that are trained on ImageNet and frozen on the first layers and fine-tuned on the final classification layers on the Kaggle CT KIDNEY DATASET (12,446 images: Normal, Cyst, Tumor and Stone). The approach quickly converged on learned features and ResNet-50 skip connections of about 96% accuracy per classification, though ImageNet training on colour images was non-optimal on grayscale CT texts and the number of parameters was excessive to be used in clinical practice. Vision transformer architectures such as EANet, CCT and Swin Transformer were also tested in the same research with the Swin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w:t>
      </w:r>
      <w:r>
        <w:rPr>
          <w:rFonts w:cs="Times New Roman"/>
        </w:rPr>
        <w:t xml:space="preserve">ource-limited clinical setting </w:t>
      </w:r>
      <w:r w:rsidRPr="002C3616">
        <w:rPr>
          <w:rFonts w:cs="Times New Roman"/>
        </w:rPr>
        <w:t>[11].</w:t>
      </w:r>
    </w:p>
    <w:p w14:paraId="38268D45" w14:textId="77777777" w:rsidR="004552F6" w:rsidRPr="002C3616" w:rsidRDefault="004552F6" w:rsidP="004552F6">
      <w:pPr>
        <w:spacing w:after="0" w:line="360" w:lineRule="auto"/>
        <w:jc w:val="both"/>
        <w:rPr>
          <w:rFonts w:cs="Times New Roman"/>
        </w:rPr>
      </w:pPr>
    </w:p>
    <w:p w14:paraId="3A065B38" w14:textId="7F93AF80" w:rsidR="004552F6" w:rsidRPr="002C3616" w:rsidRDefault="004552F6" w:rsidP="00946BD1">
      <w:pPr>
        <w:spacing w:after="0" w:line="360" w:lineRule="auto"/>
        <w:jc w:val="both"/>
        <w:rPr>
          <w:rFonts w:cs="Times New Roman"/>
        </w:rPr>
      </w:pPr>
      <w:r w:rsidRPr="004552F6">
        <w:rPr>
          <w:rFonts w:cs="Times New Roman"/>
          <w:b/>
          <w:bCs/>
        </w:rPr>
        <w:t>Alzuabbi et al. (2022)</w:t>
      </w:r>
      <w:r w:rsidRPr="002C3616">
        <w:rPr>
          <w:rFonts w:cs="Times New Roman"/>
        </w:rPr>
        <w:t xml:space="preserve"> introduced two-stage kidney tumour detection and classification framework tested on a new institutional dataset, which was gathered at King Abdullah University Hospital (KAUH) in Jordan, consisting of 8,400 CT scan images of 120 suspected renal masses patients. </w:t>
      </w:r>
      <w:r w:rsidRPr="002C3616">
        <w:rPr>
          <w:rFonts w:cs="Times New Roman"/>
        </w:rPr>
        <w:lastRenderedPageBreak/>
        <w:t>The data were categorized to 80/20 train and test sets. During the first stage (tumour detection), the authors compared three 2D-CNN architectures with a custom six-layers CNN (CNN-6), ResNet50, and VGG16. During the second stage (tumour type classification), a custom four-layered CNN (CNN-4) was used. CNN-6 and ResNet50 models provided accuracy rates of 97% and 96% respectively, and VGG16 had an accuracy rate of 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w:t>
      </w:r>
      <w:r w:rsidR="00946BD1">
        <w:rPr>
          <w:rFonts w:cs="Times New Roman"/>
        </w:rPr>
        <w:t xml:space="preserve">nically acceptable performance </w:t>
      </w:r>
      <w:r w:rsidRPr="002C3616">
        <w:rPr>
          <w:rFonts w:cs="Times New Roman"/>
        </w:rPr>
        <w:t>[12].</w:t>
      </w:r>
    </w:p>
    <w:p w14:paraId="20E6544E" w14:textId="77777777" w:rsidR="004552F6" w:rsidRPr="002C3616" w:rsidRDefault="004552F6" w:rsidP="004552F6">
      <w:pPr>
        <w:spacing w:after="0" w:line="360" w:lineRule="auto"/>
        <w:jc w:val="both"/>
        <w:rPr>
          <w:rFonts w:cs="Times New Roman"/>
        </w:rPr>
      </w:pPr>
    </w:p>
    <w:p w14:paraId="3F3CE976" w14:textId="3A5558C6" w:rsidR="004552F6" w:rsidRPr="002C3616" w:rsidRDefault="004552F6" w:rsidP="002B7941">
      <w:pPr>
        <w:spacing w:after="0" w:line="360" w:lineRule="auto"/>
        <w:ind w:firstLine="720"/>
        <w:jc w:val="both"/>
        <w:rPr>
          <w:rFonts w:cs="Times New Roman"/>
        </w:rPr>
      </w:pPr>
      <w:r w:rsidRPr="00946BD1">
        <w:rPr>
          <w:rFonts w:cs="Times New Roman"/>
          <w:b/>
          <w:bCs/>
        </w:rPr>
        <w:t>Baygin et al. (2022)</w:t>
      </w:r>
      <w:r w:rsidRPr="002C3616">
        <w:rPr>
          <w:rFonts w:cs="Times New Roman"/>
        </w:rPr>
        <w:t xml:space="preserve"> proposed ExDark19, which is a new method of deep feature generation that can be used to detect kidney stones automatically on the same resource of public coronal CTs (1,799 images of 433 participants) utilized by Yildirim et al. (2021). The authors did not use end-to-end deep learning but instead used DarkNet19 as a pre-trained backbone to obtain exemplar feature representations and applied Iterative Neighbourhood Component Analysis (INCA) to select the most discriminative feature vectors, and then used them to obtain classifications via a k-nearest neighbour (KNN) classifier with ten-fold cross-validation and hold-out validation to classify. The proposed ExDark19 system was found to be 99.22% accurate when using ten-fold cross-validation and 99.71% accurate when using the hold-out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 [17].</w:t>
      </w:r>
    </w:p>
    <w:p w14:paraId="1ED52564" w14:textId="77777777" w:rsidR="004552F6" w:rsidRPr="002C3616" w:rsidRDefault="004552F6" w:rsidP="004552F6">
      <w:pPr>
        <w:spacing w:after="0" w:line="360" w:lineRule="auto"/>
        <w:jc w:val="both"/>
        <w:rPr>
          <w:rFonts w:cs="Times New Roman"/>
        </w:rPr>
      </w:pPr>
    </w:p>
    <w:p w14:paraId="720838C7" w14:textId="4936BDA4" w:rsidR="004552F6" w:rsidRDefault="004552F6" w:rsidP="002B7941">
      <w:pPr>
        <w:spacing w:after="0" w:line="360" w:lineRule="auto"/>
        <w:ind w:firstLine="720"/>
        <w:jc w:val="both"/>
        <w:rPr>
          <w:rFonts w:cs="Times New Roman"/>
        </w:rPr>
      </w:pPr>
      <w:r w:rsidRPr="002B7941">
        <w:rPr>
          <w:rFonts w:cs="Times New Roman"/>
          <w:b/>
          <w:bCs/>
        </w:rPr>
        <w:t>Bhandari et al. (2023)</w:t>
      </w:r>
      <w:r w:rsidRPr="002C3616">
        <w:rPr>
          <w:rFonts w:cs="Times New Roman"/>
        </w:rPr>
        <w:t xml:space="preserve"> came up with a lightweight, custom CNN model that classifies kidney CTs (four classes: Normal, Cyst, Tumor and Stone) on Kaggle CT KIDNEY DATASET (12,446 images). The model was created as a fresh start, as opposed to other heavier methods of transfer learning, to reduce computational expenses without compromising diagnostic performance. Another significant characteristic of the study was the employment of explainability methods, namely, LIME (Local Interpretable Model-Agnostic Explanations) and SHAP (SHapley Additive exPlanations), to give the radiologist visualizations of the decision areas of the model on </w:t>
      </w:r>
      <w:r w:rsidRPr="002C3616">
        <w:rPr>
          <w:rFonts w:cs="Times New Roman"/>
        </w:rPr>
        <w:lastRenderedPageBreak/>
        <w:t>CT images that can be understood. Although the lightweight CNN had an accuracy of 99.52, this result shows that custom small architectures can compete with pre-trained models on large benchmark datasets. The authors admitted, however, that the explainability methods incurred inference overhead and the model was not tested on external clinical datasets, so the performance of gene</w:t>
      </w:r>
      <w:r w:rsidR="002B7941">
        <w:rPr>
          <w:rFonts w:cs="Times New Roman"/>
        </w:rPr>
        <w:t xml:space="preserve">ralization had not been tested </w:t>
      </w:r>
      <w:r w:rsidRPr="002C3616">
        <w:rPr>
          <w:rFonts w:cs="Times New Roman"/>
        </w:rPr>
        <w:t>[21].</w:t>
      </w:r>
    </w:p>
    <w:p w14:paraId="40772720" w14:textId="77777777" w:rsidR="004552F6" w:rsidRDefault="004552F6" w:rsidP="004552F6">
      <w:pPr>
        <w:spacing w:after="0" w:line="360" w:lineRule="auto"/>
        <w:jc w:val="both"/>
        <w:rPr>
          <w:rFonts w:cs="Times New Roman"/>
        </w:rPr>
      </w:pPr>
    </w:p>
    <w:p w14:paraId="3624C1C7" w14:textId="07D402FC" w:rsidR="004552F6" w:rsidRPr="002C3616" w:rsidRDefault="002B7941" w:rsidP="002B7941">
      <w:pPr>
        <w:spacing w:after="0" w:line="360" w:lineRule="auto"/>
        <w:ind w:firstLine="720"/>
        <w:jc w:val="both"/>
        <w:rPr>
          <w:rFonts w:cs="Times New Roman"/>
        </w:rPr>
      </w:pPr>
      <w:r w:rsidRPr="002B7941">
        <w:rPr>
          <w:rFonts w:cs="Times New Roman"/>
          <w:b/>
          <w:bCs/>
        </w:rPr>
        <w:t>Bingol et al.</w:t>
      </w:r>
      <w:r w:rsidRPr="002B7941">
        <w:t xml:space="preserve"> </w:t>
      </w:r>
      <w:r>
        <w:t>(</w:t>
      </w:r>
      <w:r w:rsidRPr="002B7941">
        <w:rPr>
          <w:rFonts w:cs="Times New Roman"/>
          <w:b/>
          <w:bCs/>
        </w:rPr>
        <w:t>2022</w:t>
      </w:r>
      <w:r>
        <w:rPr>
          <w:rFonts w:cs="Times New Roman"/>
          <w:b/>
          <w:bCs/>
        </w:rPr>
        <w:t>)</w:t>
      </w:r>
      <w:r w:rsidRPr="002C3616">
        <w:rPr>
          <w:rFonts w:cs="Times New Roman"/>
        </w:rPr>
        <w:t xml:space="preserve"> </w:t>
      </w:r>
      <w:r>
        <w:rPr>
          <w:rFonts w:cs="Times New Roman"/>
        </w:rPr>
        <w:t>o</w:t>
      </w:r>
      <w:r w:rsidR="004552F6" w:rsidRPr="002C3616">
        <w:rPr>
          <w:rFonts w:cs="Times New Roman"/>
        </w:rPr>
        <w:t>n the Kaggle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optimisation pipelines [22].</w:t>
      </w:r>
    </w:p>
    <w:p w14:paraId="3B2AD040" w14:textId="77777777" w:rsidR="004552F6" w:rsidRPr="002C3616" w:rsidRDefault="004552F6" w:rsidP="004552F6">
      <w:pPr>
        <w:spacing w:after="0" w:line="360" w:lineRule="auto"/>
        <w:jc w:val="both"/>
        <w:rPr>
          <w:rFonts w:cs="Times New Roman"/>
        </w:rPr>
      </w:pPr>
    </w:p>
    <w:p w14:paraId="748402BC" w14:textId="4C64AB09" w:rsidR="004552F6" w:rsidRPr="002C3616" w:rsidRDefault="001357E6" w:rsidP="001357E6">
      <w:pPr>
        <w:spacing w:after="0" w:line="360" w:lineRule="auto"/>
        <w:ind w:firstLine="720"/>
        <w:jc w:val="both"/>
        <w:rPr>
          <w:rFonts w:cs="Times New Roman"/>
        </w:rPr>
      </w:pPr>
      <w:r w:rsidRPr="001357E6">
        <w:rPr>
          <w:rFonts w:cs="Times New Roman"/>
          <w:b/>
          <w:bCs/>
        </w:rPr>
        <w:t>Sabuncu et al. (2023)</w:t>
      </w:r>
      <w:r w:rsidRPr="002C3616">
        <w:rPr>
          <w:rFonts w:cs="Times New Roman"/>
        </w:rPr>
        <w:t xml:space="preserve"> </w:t>
      </w:r>
      <w:r w:rsidR="004552F6" w:rsidRPr="002C3616">
        <w:rPr>
          <w:rFonts w:cs="Times New Roman"/>
        </w:rPr>
        <w:t xml:space="preserve">In their study, suggested a deep learning classification architecture to identify kidney stones in axial CTs taken in Near East University Hospital, Cyprus, based on an original set of true clinical CTs taken on patients during their regular urological examination. Preprocessing methods used in the pipeline, such as Watershed segmentation and Otsu binarisation thresholding used to improve kidney delineation and isolate stone areas to the surrounding tissue before classification. InceptionV3 architecture has been used as the central model in classification whereby it utilizes its multi-scale convolutional filters to identify heterogeneous stone textures in different images at different levels of resolution. The accuracy of the test results of the model was 98.52, and the authors highlight that it was able to detect small-sized kidney stones that were clinically significant. These limitations were a small authentic clinical dataset, which was not </w:t>
      </w:r>
      <w:r w:rsidR="004552F6" w:rsidRPr="002C3616">
        <w:rPr>
          <w:rFonts w:cs="Times New Roman"/>
        </w:rPr>
        <w:lastRenderedPageBreak/>
        <w:t xml:space="preserve">publicly disclosed, binary range of classification (stone present / absent), and no benchmarking to </w:t>
      </w:r>
      <w:r>
        <w:rPr>
          <w:rFonts w:cs="Times New Roman"/>
        </w:rPr>
        <w:t xml:space="preserve">other renal pathology datasets </w:t>
      </w:r>
      <w:r w:rsidR="004552F6" w:rsidRPr="002C3616">
        <w:rPr>
          <w:rFonts w:cs="Times New Roman"/>
        </w:rPr>
        <w:t>[15].</w:t>
      </w:r>
    </w:p>
    <w:p w14:paraId="0769DE30" w14:textId="77777777" w:rsidR="004552F6" w:rsidRPr="002C3616" w:rsidRDefault="004552F6" w:rsidP="004552F6">
      <w:pPr>
        <w:spacing w:after="0" w:line="360" w:lineRule="auto"/>
        <w:jc w:val="both"/>
        <w:rPr>
          <w:rFonts w:cs="Times New Roman"/>
        </w:rPr>
      </w:pPr>
    </w:p>
    <w:p w14:paraId="037D7C88" w14:textId="2C77A27E" w:rsidR="004552F6" w:rsidRPr="002C3616" w:rsidRDefault="004552F6" w:rsidP="001357E6">
      <w:pPr>
        <w:spacing w:after="0" w:line="360" w:lineRule="auto"/>
        <w:ind w:firstLine="720"/>
        <w:jc w:val="both"/>
        <w:rPr>
          <w:rFonts w:cs="Times New Roman"/>
        </w:rPr>
      </w:pPr>
      <w:r w:rsidRPr="001357E6">
        <w:rPr>
          <w:rFonts w:cs="Times New Roman"/>
          <w:b/>
          <w:bCs/>
        </w:rPr>
        <w:t>Qian et al. (2024)</w:t>
      </w:r>
      <w:r w:rsidRPr="002C3616">
        <w:rPr>
          <w:rFonts w:cs="Times New Roman"/>
        </w:rPr>
        <w:t xml:space="preserve"> used a densely connected convolutional network (DenseNet121) with feature reuse in all the previous layers to classify four classes of kidney CT on Kaggle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tumours. The outcome highlights that model depth and model connectivity alone cannot ensure high performance and task-specific adaptation (augmentation tuning, hyperparameter optimisation, attention mechanisms, etc.) is needed [18].</w:t>
      </w:r>
    </w:p>
    <w:p w14:paraId="001F1D84" w14:textId="77777777" w:rsidR="004552F6" w:rsidRPr="002C3616" w:rsidRDefault="004552F6" w:rsidP="004552F6">
      <w:pPr>
        <w:spacing w:after="0" w:line="360" w:lineRule="auto"/>
        <w:jc w:val="both"/>
        <w:rPr>
          <w:rFonts w:cs="Times New Roman"/>
        </w:rPr>
      </w:pPr>
    </w:p>
    <w:p w14:paraId="44BBF598" w14:textId="38F396EE" w:rsidR="004552F6" w:rsidRPr="002C3616" w:rsidRDefault="004552F6" w:rsidP="001357E6">
      <w:pPr>
        <w:spacing w:after="0" w:line="360" w:lineRule="auto"/>
        <w:ind w:firstLine="720"/>
        <w:jc w:val="both"/>
        <w:rPr>
          <w:rFonts w:cs="Times New Roman"/>
        </w:rPr>
      </w:pPr>
      <w:r w:rsidRPr="001357E6">
        <w:rPr>
          <w:rFonts w:cs="Times New Roman"/>
          <w:b/>
          <w:bCs/>
        </w:rPr>
        <w:t>Almuayqil et al. (2024)</w:t>
      </w:r>
      <w:r w:rsidRPr="002C3616">
        <w:rPr>
          <w:rFonts w:cs="Times New Roman"/>
        </w:rPr>
        <w:t xml:space="preserve"> presented an idea of KidneyNet a new eight-layer CNN architecture that is directly trained to perform automated four-class kidney CT classification on the Kaggle CT KIDNEY DATASET (12,446 images: Normal, Cyst, Tumor and Stone). KidneyNet was built according to a compact sequential architecture comprising of convolutional, batch normalisation, pooling, dropout and fully connected layers, in a way that it optimised the model complexity versus accuracy of its classification. Its architecture did not require the large number of parameters that large transfer learning models have, which also makes it more practical to implement in the resource-constrained healthcare setting. The accuracy and precision of KidneyNet were 99.88 and 99.92, respectively, which is among the best benchmark results at the time of publication. The authors also pointed out that the model was trained and evaluated only on the Kaggle data and the extent to which it works in a real clinical setting with heterogeneous scanner protocols and patie</w:t>
      </w:r>
      <w:r w:rsidR="001357E6">
        <w:rPr>
          <w:rFonts w:cs="Times New Roman"/>
        </w:rPr>
        <w:t xml:space="preserve">nt demographics was not tested </w:t>
      </w:r>
      <w:r w:rsidRPr="002C3616">
        <w:rPr>
          <w:rFonts w:cs="Times New Roman"/>
        </w:rPr>
        <w:t>[20].</w:t>
      </w:r>
    </w:p>
    <w:p w14:paraId="79C99B3D" w14:textId="77777777" w:rsidR="004552F6" w:rsidRPr="002C3616" w:rsidRDefault="004552F6" w:rsidP="004552F6">
      <w:pPr>
        <w:spacing w:after="0" w:line="360" w:lineRule="auto"/>
        <w:jc w:val="both"/>
        <w:rPr>
          <w:rFonts w:cs="Times New Roman"/>
        </w:rPr>
      </w:pPr>
    </w:p>
    <w:p w14:paraId="46556547" w14:textId="7CB25425" w:rsidR="004552F6" w:rsidRPr="002C3616" w:rsidRDefault="004552F6" w:rsidP="001357E6">
      <w:pPr>
        <w:spacing w:after="0" w:line="360" w:lineRule="auto"/>
        <w:ind w:firstLine="720"/>
        <w:jc w:val="both"/>
        <w:rPr>
          <w:rFonts w:cs="Times New Roman"/>
        </w:rPr>
      </w:pPr>
      <w:r w:rsidRPr="001357E6">
        <w:rPr>
          <w:rFonts w:cs="Times New Roman"/>
          <w:b/>
          <w:bCs/>
        </w:rPr>
        <w:t>Pimpalkar et al. (2025)</w:t>
      </w:r>
      <w:r w:rsidRPr="002C3616">
        <w:rPr>
          <w:rFonts w:cs="Times New Roman"/>
        </w:rPr>
        <w:t xml:space="preserve"> performed a comparative study of four transfer learning architectures VGG16, ResNet50, CNNAlexNet, and InceptionV3 with hyperparameter optimisation being applied to the Kaggle CT KIDNEY DATASET (12,446 images: Normal, Cyst, </w:t>
      </w:r>
      <w:r w:rsidRPr="002C3616">
        <w:rPr>
          <w:rFonts w:cs="Times New Roman"/>
        </w:rPr>
        <w:lastRenderedPageBreak/>
        <w:t>Tumor and Stone). In the study Watershed segmentation was used to delineate the kidney regions and binarisation thresholding, based on Otsu, was used to improve the clarity of the image before inputting it into the model. Learning rate, batch size, and dropout parameters were tuned to each architecture separately by a systematic grid search. InceptionV3 was reported to be the most accurate at 99.96% and VGG16 took the lead at 100% in the validation set, implying that when paired with powerful preprocessing, it is practically separable on the benchmark dataset. The assessment was however based only on the Kaggle benchmark and the analysis did not discuss behaviour of models in distributional shift, class imbalance in clinical population, or real-time inference latency which are important in clinical application [14].</w:t>
      </w:r>
    </w:p>
    <w:p w14:paraId="551B20D8" w14:textId="77777777" w:rsidR="004552F6" w:rsidRPr="002C3616" w:rsidRDefault="004552F6" w:rsidP="004552F6">
      <w:pPr>
        <w:spacing w:after="0" w:line="360" w:lineRule="auto"/>
        <w:jc w:val="both"/>
        <w:rPr>
          <w:rFonts w:cs="Times New Roman"/>
        </w:rPr>
      </w:pPr>
    </w:p>
    <w:p w14:paraId="0CC7E653" w14:textId="5F01746B" w:rsidR="004552F6" w:rsidRPr="002C3616" w:rsidRDefault="001357E6" w:rsidP="001357E6">
      <w:pPr>
        <w:spacing w:after="0" w:line="360" w:lineRule="auto"/>
        <w:ind w:firstLine="720"/>
        <w:jc w:val="both"/>
        <w:rPr>
          <w:rFonts w:cs="Times New Roman"/>
        </w:rPr>
      </w:pPr>
      <w:r w:rsidRPr="001357E6">
        <w:rPr>
          <w:rFonts w:cs="Times New Roman"/>
          <w:b/>
          <w:bCs/>
        </w:rPr>
        <w:t>Obaid et al. (2025)</w:t>
      </w:r>
      <w:r>
        <w:rPr>
          <w:rFonts w:cs="Times New Roman"/>
        </w:rPr>
        <w:t xml:space="preserve"> o</w:t>
      </w:r>
      <w:r w:rsidR="004552F6" w:rsidRPr="002C3616">
        <w:rPr>
          <w:rFonts w:cs="Times New Roman"/>
        </w:rPr>
        <w:t>n the Kaggle CT KIDNEY DATASET (12,446 images: Normal, Cyst, Tumor and Stone), suggested multi-model fusion with DarkNet53 Four-class kidney CT classification. DarkNet53, which was initially designed as a core of the YOLOv3 object detection architecture, was used as a feature extractor and merged with predictions of related models through the ensemble fusion mechanism that aims to tie up complementary discriminative patterns that may not be discovered by individual models. The architecture of fusion incorporated the use of predictions at the decision level to generate a consensus classification result. The proposed system was very accurate (99.69), so the ensemble-based methods are proved to be better than 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 [16].</w:t>
      </w:r>
    </w:p>
    <w:p w14:paraId="6BDBA82F" w14:textId="77777777" w:rsidR="004552F6" w:rsidRDefault="004552F6" w:rsidP="004552F6">
      <w:pPr>
        <w:spacing w:after="0" w:line="360" w:lineRule="auto"/>
        <w:jc w:val="both"/>
        <w:rPr>
          <w:rFonts w:cs="Times New Roman"/>
        </w:rPr>
      </w:pPr>
    </w:p>
    <w:p w14:paraId="64D00F74" w14:textId="616C481E" w:rsidR="004552F6" w:rsidRPr="002C3616" w:rsidRDefault="001357E6" w:rsidP="001357E6">
      <w:pPr>
        <w:spacing w:after="0" w:line="360" w:lineRule="auto"/>
        <w:ind w:firstLine="720"/>
        <w:jc w:val="both"/>
        <w:rPr>
          <w:rFonts w:cs="Times New Roman"/>
        </w:rPr>
      </w:pPr>
      <w:r w:rsidRPr="001357E6">
        <w:rPr>
          <w:rFonts w:cs="Times New Roman"/>
          <w:b/>
          <w:bCs/>
        </w:rPr>
        <w:t>El-Hag et al. (2025)</w:t>
      </w:r>
      <w:r w:rsidRPr="002C3616">
        <w:rPr>
          <w:rFonts w:cs="Times New Roman"/>
        </w:rPr>
        <w:t xml:space="preserve"> </w:t>
      </w:r>
      <w:r w:rsidR="004552F6" w:rsidRPr="002C3616">
        <w:rPr>
          <w:rFonts w:cs="Times New Roman"/>
        </w:rPr>
        <w:t xml:space="preserve">The issue of reflections and image artefact in CT scans was solved by introduced a specular-free preprocessing pipeline before deep learning classification on the Kaggle CT KIDNEY DATASET (12,446 images: Normal, Cyst, Tumor and Stone). Preprocessing stage used reflection removal and contrast normalisation to decrease the noise and enhance uniformity of features across the dataset, and the classification with EfficientNet-B2 a model with compound-scaled network that reduces network width, depth, and resolution. EfficientNet-B2 was chosen because it is one that has good trade-off both in accuracy and computational cost among the family of EfficientNets. The preprocessing-classification pipeline obtained an accuracy of 98.27, a score that is lower than some of the competing methods using the same benchmark, but it showed that </w:t>
      </w:r>
      <w:r w:rsidR="004552F6" w:rsidRPr="002C3616">
        <w:rPr>
          <w:rFonts w:cs="Times New Roman"/>
        </w:rPr>
        <w:lastRenderedPageBreak/>
        <w:t>artefact suppression methods could be used to gain quality learned representations. The authors observed that the preprocessing pipeline added more steps of calculations and the effect of the approach on real, noisy clinical CT data of heterogeneous scanner types needed more consideration [19].</w:t>
      </w:r>
    </w:p>
    <w:p w14:paraId="1CEDC310" w14:textId="77777777" w:rsidR="004552F6" w:rsidRPr="002C3616" w:rsidRDefault="004552F6" w:rsidP="004552F6">
      <w:pPr>
        <w:spacing w:after="0" w:line="360" w:lineRule="auto"/>
        <w:jc w:val="both"/>
        <w:rPr>
          <w:rFonts w:cs="Times New Roman"/>
        </w:rPr>
      </w:pPr>
    </w:p>
    <w:p w14:paraId="68610232" w14:textId="207D1B8A" w:rsidR="004552F6" w:rsidRPr="002C3616" w:rsidRDefault="004552F6" w:rsidP="001357E6">
      <w:pPr>
        <w:spacing w:after="0" w:line="360" w:lineRule="auto"/>
        <w:ind w:firstLine="720"/>
        <w:jc w:val="both"/>
        <w:rPr>
          <w:rFonts w:cs="Times New Roman"/>
        </w:rPr>
      </w:pPr>
      <w:r w:rsidRPr="001357E6">
        <w:rPr>
          <w:rFonts w:cs="Times New Roman"/>
          <w:b/>
          <w:bCs/>
        </w:rPr>
        <w:t>Maçin et al. (2025)</w:t>
      </w:r>
      <w:r w:rsidRPr="002C3616">
        <w:rPr>
          <w:rFonts w:cs="Times New Roman"/>
        </w:rPr>
        <w:t xml:space="preserve"> proposed KidneyNeXt, a custom lightweight CNN model that uses depthwise separable convolutions on the Kaggle CT KIDNEY DATASET (12,446 images: Normal, Cyst, Tumor and Stone) with a standardised input resolution of 224x224 pixels. Depthwise separable convolutions break standard convolution down into a depthwise spatial convolution (filter) and a pointwise channel mixing step, greatly reducing the number of parameters and floating-point operations at no cost to feature extracting performance. KidneyNeXt reached an accuracy of 99.96, corresponding to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is characterised by small hyperattenuating lesions that can be easily confused in calcificat</w:t>
      </w:r>
      <w:r w:rsidR="001357E6">
        <w:rPr>
          <w:rFonts w:cs="Times New Roman"/>
        </w:rPr>
        <w:t xml:space="preserve">ions in the surrounding tissue </w:t>
      </w:r>
      <w:r w:rsidRPr="002C3616">
        <w:rPr>
          <w:rFonts w:cs="Times New Roman"/>
        </w:rPr>
        <w:t>[9].</w:t>
      </w:r>
    </w:p>
    <w:p w14:paraId="6C9E19A5" w14:textId="77777777" w:rsidR="004552F6" w:rsidRPr="002C3616" w:rsidRDefault="004552F6" w:rsidP="004552F6">
      <w:pPr>
        <w:spacing w:after="0" w:line="360" w:lineRule="auto"/>
        <w:jc w:val="both"/>
        <w:rPr>
          <w:rFonts w:cs="Times New Roman"/>
        </w:rPr>
      </w:pPr>
    </w:p>
    <w:p w14:paraId="084AB4D9" w14:textId="77777777" w:rsidR="004552F6" w:rsidRPr="002C3616" w:rsidRDefault="004552F6" w:rsidP="001357E6">
      <w:pPr>
        <w:spacing w:after="0" w:line="360" w:lineRule="auto"/>
        <w:ind w:firstLine="720"/>
        <w:jc w:val="both"/>
        <w:rPr>
          <w:rFonts w:cs="Times New Roman"/>
        </w:rPr>
      </w:pPr>
      <w:r w:rsidRPr="001357E6">
        <w:rPr>
          <w:rFonts w:cs="Times New Roman"/>
          <w:b/>
          <w:bCs/>
        </w:rPr>
        <w:t>Khan et al. (2025)</w:t>
      </w:r>
      <w:r w:rsidRPr="002C3616">
        <w:rPr>
          <w:rFonts w:cs="Times New Roman"/>
        </w:rPr>
        <w:t xml:space="preserve"> suggested a ConvNeXt and EfficientNetV2B0 dual-architecture transfer learning strategy on the Kaggle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ConvNeXt, a convolutional network that has been modernised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w:t>
      </w:r>
      <w:r w:rsidRPr="002C3616">
        <w:rPr>
          <w:rFonts w:cs="Times New Roman"/>
        </w:rPr>
        <w:lastRenderedPageBreak/>
        <w:t>the study had some limitations such as the use of only one benchmark dataset and the necessity to further verify it on multi centres CT cohorts [23].</w:t>
      </w:r>
    </w:p>
    <w:p w14:paraId="35089D82" w14:textId="77777777" w:rsidR="004552F6" w:rsidRPr="002C3616" w:rsidRDefault="004552F6" w:rsidP="004552F6">
      <w:pPr>
        <w:spacing w:after="0" w:line="360" w:lineRule="auto"/>
        <w:jc w:val="both"/>
        <w:rPr>
          <w:rFonts w:cs="Times New Roman"/>
        </w:rPr>
      </w:pPr>
    </w:p>
    <w:p w14:paraId="268F524E" w14:textId="6F1E8D81" w:rsidR="00904445" w:rsidRDefault="004552F6" w:rsidP="00364A97">
      <w:pPr>
        <w:ind w:firstLine="720"/>
        <w:rPr>
          <w:rFonts w:cs="Times New Roman"/>
        </w:rPr>
      </w:pPr>
      <w:r w:rsidRPr="00364A97">
        <w:rPr>
          <w:rFonts w:cs="Times New Roman"/>
          <w:b/>
          <w:bCs/>
        </w:rPr>
        <w:t>Bouzone et al. (2025)</w:t>
      </w:r>
      <w:r w:rsidRPr="002C3616">
        <w:rPr>
          <w:rFonts w:cs="Times New Roman"/>
        </w:rPr>
        <w:t xml:space="preserve">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KSSD2025 also includes whole-abdomen CT slices in their natural clinical format, annotated by radiologists, whereas the Kaggle CT KIDNEY DATASET only contains cropped and pre-isolated kidney images, which does not 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single-cen</w:t>
      </w:r>
      <w:r w:rsidR="00364A97">
        <w:rPr>
          <w:rFonts w:cs="Times New Roman"/>
        </w:rPr>
        <w:t xml:space="preserve">ter institutional image corpus </w:t>
      </w:r>
      <w:r w:rsidRPr="002C3616">
        <w:rPr>
          <w:rFonts w:cs="Times New Roman"/>
        </w:rPr>
        <w:t>[24].</w:t>
      </w:r>
    </w:p>
    <w:p w14:paraId="0227872D" w14:textId="77777777" w:rsidR="00904445" w:rsidRDefault="00904445">
      <w:pPr>
        <w:rPr>
          <w:rFonts w:cs="Times New Roman"/>
        </w:rPr>
      </w:pPr>
      <w:r>
        <w:rPr>
          <w:rFonts w:cs="Times New Roman"/>
        </w:rPr>
        <w:br w:type="page"/>
      </w:r>
    </w:p>
    <w:p w14:paraId="6CE79853" w14:textId="4ACDE39B" w:rsidR="005E23F6" w:rsidRDefault="005E23F6" w:rsidP="00904445">
      <w:pPr>
        <w:pStyle w:val="Heading2"/>
        <w:ind w:firstLine="720"/>
      </w:pPr>
      <w:bookmarkStart w:id="12" w:name="_Toc223641067"/>
      <w:bookmarkStart w:id="13" w:name="_Toc224222550"/>
      <w:r w:rsidRPr="00F20213">
        <w:rPr>
          <w:rFonts w:asciiTheme="majorBidi" w:hAnsiTheme="majorBidi"/>
          <w:color w:val="auto"/>
          <w:sz w:val="32"/>
          <w:szCs w:val="32"/>
        </w:rPr>
        <w:lastRenderedPageBreak/>
        <w:t>2.</w:t>
      </w:r>
      <w:r w:rsidR="00F20213">
        <w:rPr>
          <w:rFonts w:asciiTheme="majorBidi" w:hAnsiTheme="majorBidi"/>
          <w:color w:val="auto"/>
          <w:sz w:val="32"/>
          <w:szCs w:val="32"/>
        </w:rPr>
        <w:t>3</w:t>
      </w:r>
      <w:r w:rsidRPr="00F20213">
        <w:rPr>
          <w:rFonts w:asciiTheme="majorBidi" w:hAnsiTheme="majorBidi"/>
          <w:color w:val="auto"/>
          <w:sz w:val="32"/>
          <w:szCs w:val="32"/>
        </w:rPr>
        <w:t xml:space="preserve"> Synthesis, Gap Analysis</w:t>
      </w:r>
      <w:bookmarkEnd w:id="12"/>
      <w:bookmarkEnd w:id="13"/>
    </w:p>
    <w:p w14:paraId="0BCB9088" w14:textId="77777777" w:rsidR="005E23F6" w:rsidRDefault="005E23F6" w:rsidP="005E23F6">
      <w:pPr>
        <w:spacing w:after="0" w:line="360" w:lineRule="auto"/>
        <w:ind w:firstLine="720"/>
        <w:jc w:val="both"/>
        <w:rPr>
          <w:rFonts w:cs="Times New Roman"/>
        </w:rPr>
      </w:pPr>
    </w:p>
    <w:p w14:paraId="1B7465EF" w14:textId="77777777" w:rsidR="005E23F6" w:rsidRDefault="005E23F6" w:rsidP="005E23F6">
      <w:pPr>
        <w:spacing w:after="160" w:line="360" w:lineRule="auto"/>
        <w:ind w:firstLine="720"/>
        <w:jc w:val="both"/>
        <w:rPr>
          <w:rFonts w:cs="Times New Roman"/>
        </w:rPr>
      </w:pPr>
      <w:r w:rsidRPr="00135F09">
        <w:rPr>
          <w:rFonts w:cs="Times New Roman"/>
        </w:rPr>
        <w:t>The above fifteen reviewed studies show a growing trend on the Kaggle CT KIDNEY DATASET in terms of high classification accuracy with reported values of 92% and up to 99.96. The following table will give a systematic summary of all the fifteen studies reviewed in Section 2.6: Table 2 below gives a summary of the dataset, technique, the accuracy obtained, the venue of publication as well as whether the work will be used to derive a comparison with the proposed framework in this thesis</w:t>
      </w:r>
      <w:r>
        <w:rPr>
          <w:rFonts w:cs="Times New Roman"/>
        </w:rPr>
        <w:t>.</w:t>
      </w:r>
    </w:p>
    <w:p w14:paraId="5B7741F6" w14:textId="14C6A437" w:rsidR="005E23F6" w:rsidRDefault="005E23F6" w:rsidP="005E23F6">
      <w:pPr>
        <w:spacing w:before="120" w:after="120"/>
        <w:jc w:val="center"/>
        <w:rPr>
          <w:b/>
          <w:sz w:val="20"/>
          <w:szCs w:val="20"/>
        </w:rPr>
      </w:pPr>
      <w:r>
        <w:rPr>
          <w:b/>
          <w:sz w:val="20"/>
          <w:szCs w:val="20"/>
        </w:rPr>
        <w:t>Table 2.</w:t>
      </w:r>
      <w:r w:rsidR="00904445">
        <w:rPr>
          <w:b/>
          <w:sz w:val="20"/>
          <w:szCs w:val="20"/>
        </w:rPr>
        <w:t>3</w:t>
      </w:r>
      <w:r>
        <w:rPr>
          <w:b/>
          <w:sz w:val="20"/>
          <w:szCs w:val="20"/>
        </w:rPr>
        <w:t xml:space="preserve"> Summary of fifteen reviewed studies on deep learning for kidney CT classification.</w:t>
      </w:r>
    </w:p>
    <w:tbl>
      <w:tblPr>
        <w:tblStyle w:val="TableGrid"/>
        <w:tblW w:w="547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845"/>
        <w:gridCol w:w="1624"/>
        <w:gridCol w:w="970"/>
        <w:gridCol w:w="3036"/>
        <w:gridCol w:w="2250"/>
        <w:gridCol w:w="1504"/>
      </w:tblGrid>
      <w:tr w:rsidR="00834BF3" w:rsidRPr="00C40C77" w14:paraId="34220F9E" w14:textId="77777777" w:rsidTr="00834BF3">
        <w:trPr>
          <w:trHeight w:val="416"/>
          <w:tblHeader/>
          <w:jc w:val="center"/>
        </w:trPr>
        <w:tc>
          <w:tcPr>
            <w:tcW w:w="413" w:type="pct"/>
            <w:shd w:val="clear" w:color="auto" w:fill="1F4E79"/>
            <w:tcMar>
              <w:top w:w="80" w:type="dxa"/>
              <w:left w:w="100" w:type="dxa"/>
              <w:bottom w:w="80" w:type="dxa"/>
              <w:right w:w="100" w:type="dxa"/>
            </w:tcMar>
          </w:tcPr>
          <w:p w14:paraId="092A66C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Ref</w:t>
            </w:r>
          </w:p>
        </w:tc>
        <w:tc>
          <w:tcPr>
            <w:tcW w:w="794" w:type="pct"/>
            <w:shd w:val="clear" w:color="auto" w:fill="1F4E79"/>
            <w:tcMar>
              <w:top w:w="80" w:type="dxa"/>
              <w:left w:w="100" w:type="dxa"/>
              <w:bottom w:w="80" w:type="dxa"/>
              <w:right w:w="100" w:type="dxa"/>
            </w:tcMar>
          </w:tcPr>
          <w:p w14:paraId="3AB626D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Author</w:t>
            </w:r>
          </w:p>
        </w:tc>
        <w:tc>
          <w:tcPr>
            <w:tcW w:w="474" w:type="pct"/>
            <w:shd w:val="clear" w:color="auto" w:fill="1F4E79"/>
            <w:tcMar>
              <w:top w:w="80" w:type="dxa"/>
              <w:left w:w="100" w:type="dxa"/>
              <w:bottom w:w="80" w:type="dxa"/>
              <w:right w:w="100" w:type="dxa"/>
            </w:tcMar>
          </w:tcPr>
          <w:p w14:paraId="78FD605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Year</w:t>
            </w:r>
          </w:p>
        </w:tc>
        <w:tc>
          <w:tcPr>
            <w:tcW w:w="1484" w:type="pct"/>
            <w:shd w:val="clear" w:color="auto" w:fill="1F4E79"/>
            <w:tcMar>
              <w:top w:w="80" w:type="dxa"/>
              <w:left w:w="100" w:type="dxa"/>
              <w:bottom w:w="80" w:type="dxa"/>
              <w:right w:w="100" w:type="dxa"/>
            </w:tcMar>
          </w:tcPr>
          <w:p w14:paraId="2B66FAEC"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Dataset</w:t>
            </w:r>
          </w:p>
        </w:tc>
        <w:tc>
          <w:tcPr>
            <w:tcW w:w="1100" w:type="pct"/>
            <w:shd w:val="clear" w:color="auto" w:fill="1F4E79"/>
            <w:tcMar>
              <w:top w:w="80" w:type="dxa"/>
              <w:left w:w="100" w:type="dxa"/>
              <w:bottom w:w="80" w:type="dxa"/>
              <w:right w:w="100" w:type="dxa"/>
            </w:tcMar>
          </w:tcPr>
          <w:p w14:paraId="28B5047B"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Technique Used</w:t>
            </w:r>
          </w:p>
        </w:tc>
        <w:tc>
          <w:tcPr>
            <w:tcW w:w="735" w:type="pct"/>
            <w:shd w:val="clear" w:color="auto" w:fill="1F4E79"/>
            <w:tcMar>
              <w:top w:w="80" w:type="dxa"/>
              <w:left w:w="100" w:type="dxa"/>
              <w:bottom w:w="80" w:type="dxa"/>
              <w:right w:w="100" w:type="dxa"/>
            </w:tcMar>
          </w:tcPr>
          <w:p w14:paraId="4379A6DE" w14:textId="77777777" w:rsidR="005E23F6" w:rsidRPr="00C40C77" w:rsidRDefault="005E23F6" w:rsidP="00834BF3">
            <w:pPr>
              <w:rPr>
                <w:rFonts w:asciiTheme="majorBidi" w:hAnsiTheme="majorBidi" w:cstheme="majorBidi"/>
                <w:b/>
                <w:color w:val="FFFFFF"/>
                <w:sz w:val="20"/>
                <w:szCs w:val="20"/>
              </w:rPr>
            </w:pPr>
            <w:r w:rsidRPr="00C40C77">
              <w:rPr>
                <w:rFonts w:asciiTheme="majorBidi" w:hAnsiTheme="majorBidi" w:cstheme="majorBidi"/>
                <w:b/>
                <w:color w:val="FFFFFF"/>
                <w:sz w:val="20"/>
                <w:szCs w:val="20"/>
              </w:rPr>
              <w:t>Accuracy</w:t>
            </w:r>
          </w:p>
        </w:tc>
      </w:tr>
      <w:tr w:rsidR="00834BF3" w:rsidRPr="00C40C77" w14:paraId="4DA55402" w14:textId="77777777" w:rsidTr="00834BF3">
        <w:trPr>
          <w:trHeight w:val="935"/>
          <w:jc w:val="center"/>
        </w:trPr>
        <w:tc>
          <w:tcPr>
            <w:tcW w:w="413" w:type="pct"/>
            <w:shd w:val="clear" w:color="auto" w:fill="EAF4FB"/>
            <w:tcMar>
              <w:top w:w="60" w:type="dxa"/>
              <w:left w:w="100" w:type="dxa"/>
              <w:bottom w:w="60" w:type="dxa"/>
              <w:right w:w="100" w:type="dxa"/>
            </w:tcMar>
          </w:tcPr>
          <w:p w14:paraId="19BE008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[13]</w:t>
            </w:r>
          </w:p>
        </w:tc>
        <w:tc>
          <w:tcPr>
            <w:tcW w:w="794" w:type="pct"/>
            <w:shd w:val="clear" w:color="auto" w:fill="EAF4FB"/>
            <w:tcMar>
              <w:top w:w="60" w:type="dxa"/>
              <w:left w:w="100" w:type="dxa"/>
              <w:bottom w:w="60" w:type="dxa"/>
              <w:right w:w="100" w:type="dxa"/>
            </w:tcMar>
          </w:tcPr>
          <w:p w14:paraId="29273CF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Yildirim et al.</w:t>
            </w:r>
          </w:p>
        </w:tc>
        <w:tc>
          <w:tcPr>
            <w:tcW w:w="474" w:type="pct"/>
            <w:shd w:val="clear" w:color="auto" w:fill="EAF4FB"/>
            <w:tcMar>
              <w:top w:w="60" w:type="dxa"/>
              <w:left w:w="100" w:type="dxa"/>
              <w:bottom w:w="60" w:type="dxa"/>
              <w:right w:w="100" w:type="dxa"/>
            </w:tcMar>
          </w:tcPr>
          <w:p w14:paraId="615ACE95"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2021</w:t>
            </w:r>
          </w:p>
        </w:tc>
        <w:tc>
          <w:tcPr>
            <w:tcW w:w="1484" w:type="pct"/>
            <w:shd w:val="clear" w:color="auto" w:fill="EAF4FB"/>
            <w:tcMar>
              <w:top w:w="60" w:type="dxa"/>
              <w:left w:w="100" w:type="dxa"/>
              <w:bottom w:w="60" w:type="dxa"/>
              <w:right w:w="100" w:type="dxa"/>
            </w:tcMar>
          </w:tcPr>
          <w:p w14:paraId="73B417D2" w14:textId="32C2E182"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Private</w:t>
            </w:r>
            <w:r w:rsidR="00834BF3">
              <w:rPr>
                <w:rFonts w:asciiTheme="majorBidi" w:hAnsiTheme="majorBidi" w:cstheme="majorBidi"/>
                <w:sz w:val="20"/>
                <w:szCs w:val="20"/>
              </w:rPr>
              <w:t xml:space="preserve">   </w:t>
            </w:r>
            <w:r w:rsidRPr="00C40C77">
              <w:rPr>
                <w:rFonts w:asciiTheme="majorBidi" w:hAnsiTheme="majorBidi" w:cstheme="majorBidi"/>
                <w:sz w:val="20"/>
                <w:szCs w:val="20"/>
              </w:rPr>
              <w:t>NCCT (1,799 CT, Turkey)</w:t>
            </w:r>
          </w:p>
        </w:tc>
        <w:tc>
          <w:tcPr>
            <w:tcW w:w="1100" w:type="pct"/>
            <w:shd w:val="clear" w:color="auto" w:fill="EAF4FB"/>
            <w:tcMar>
              <w:top w:w="60" w:type="dxa"/>
              <w:left w:w="100" w:type="dxa"/>
              <w:bottom w:w="60" w:type="dxa"/>
              <w:right w:w="100" w:type="dxa"/>
            </w:tcMar>
          </w:tcPr>
          <w:p w14:paraId="5F02D07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XResNet-50 + data augmentation</w:t>
            </w:r>
          </w:p>
        </w:tc>
        <w:tc>
          <w:tcPr>
            <w:tcW w:w="735" w:type="pct"/>
            <w:shd w:val="clear" w:color="auto" w:fill="EAF4FB"/>
            <w:tcMar>
              <w:top w:w="60" w:type="dxa"/>
              <w:left w:w="100" w:type="dxa"/>
              <w:bottom w:w="60" w:type="dxa"/>
              <w:right w:w="100" w:type="dxa"/>
            </w:tcMar>
          </w:tcPr>
          <w:p w14:paraId="0A055FB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96.82%</w:t>
            </w:r>
          </w:p>
        </w:tc>
      </w:tr>
      <w:tr w:rsidR="00834BF3" w:rsidRPr="00C40C77" w14:paraId="3864FA88" w14:textId="77777777" w:rsidTr="00834BF3">
        <w:trPr>
          <w:trHeight w:val="752"/>
          <w:jc w:val="center"/>
        </w:trPr>
        <w:tc>
          <w:tcPr>
            <w:tcW w:w="413" w:type="pct"/>
            <w:shd w:val="clear" w:color="auto" w:fill="FFFFFF"/>
            <w:tcMar>
              <w:top w:w="60" w:type="dxa"/>
              <w:left w:w="100" w:type="dxa"/>
              <w:bottom w:w="60" w:type="dxa"/>
              <w:right w:w="100" w:type="dxa"/>
            </w:tcMar>
          </w:tcPr>
          <w:p w14:paraId="5A94ABC3"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[11]</w:t>
            </w:r>
          </w:p>
        </w:tc>
        <w:tc>
          <w:tcPr>
            <w:tcW w:w="794" w:type="pct"/>
            <w:shd w:val="clear" w:color="auto" w:fill="FFFFFF"/>
            <w:tcMar>
              <w:top w:w="60" w:type="dxa"/>
              <w:left w:w="100" w:type="dxa"/>
              <w:bottom w:w="60" w:type="dxa"/>
              <w:right w:w="100" w:type="dxa"/>
            </w:tcMar>
          </w:tcPr>
          <w:p w14:paraId="148E4C4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Islam et al.</w:t>
            </w:r>
          </w:p>
        </w:tc>
        <w:tc>
          <w:tcPr>
            <w:tcW w:w="474" w:type="pct"/>
            <w:shd w:val="clear" w:color="auto" w:fill="FFFFFF"/>
            <w:tcMar>
              <w:top w:w="60" w:type="dxa"/>
              <w:left w:w="100" w:type="dxa"/>
              <w:bottom w:w="60" w:type="dxa"/>
              <w:right w:w="100" w:type="dxa"/>
            </w:tcMar>
          </w:tcPr>
          <w:p w14:paraId="321123F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569DDBA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01015BF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Swin Transformer (transfer learning)</w:t>
            </w:r>
          </w:p>
        </w:tc>
        <w:tc>
          <w:tcPr>
            <w:tcW w:w="735" w:type="pct"/>
            <w:shd w:val="clear" w:color="auto" w:fill="FFFFFF"/>
            <w:tcMar>
              <w:top w:w="60" w:type="dxa"/>
              <w:left w:w="100" w:type="dxa"/>
              <w:bottom w:w="60" w:type="dxa"/>
              <w:right w:w="100" w:type="dxa"/>
            </w:tcMar>
          </w:tcPr>
          <w:p w14:paraId="2C3287B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96% (ResNet-50); 99.30% (Swin)</w:t>
            </w:r>
          </w:p>
        </w:tc>
      </w:tr>
      <w:tr w:rsidR="00834BF3" w:rsidRPr="00C40C77" w14:paraId="3EDE771B" w14:textId="77777777" w:rsidTr="00834BF3">
        <w:trPr>
          <w:trHeight w:val="752"/>
          <w:jc w:val="center"/>
        </w:trPr>
        <w:tc>
          <w:tcPr>
            <w:tcW w:w="413" w:type="pct"/>
            <w:shd w:val="clear" w:color="auto" w:fill="EAF4FB"/>
            <w:tcMar>
              <w:top w:w="60" w:type="dxa"/>
              <w:left w:w="100" w:type="dxa"/>
              <w:bottom w:w="60" w:type="dxa"/>
              <w:right w:w="100" w:type="dxa"/>
            </w:tcMar>
          </w:tcPr>
          <w:p w14:paraId="14EBFB5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[12]</w:t>
            </w:r>
          </w:p>
        </w:tc>
        <w:tc>
          <w:tcPr>
            <w:tcW w:w="794" w:type="pct"/>
            <w:shd w:val="clear" w:color="auto" w:fill="EAF4FB"/>
            <w:tcMar>
              <w:top w:w="60" w:type="dxa"/>
              <w:left w:w="100" w:type="dxa"/>
              <w:bottom w:w="60" w:type="dxa"/>
              <w:right w:w="100" w:type="dxa"/>
            </w:tcMar>
          </w:tcPr>
          <w:p w14:paraId="3C15FA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Alzu'bi et al.</w:t>
            </w:r>
          </w:p>
        </w:tc>
        <w:tc>
          <w:tcPr>
            <w:tcW w:w="474" w:type="pct"/>
            <w:shd w:val="clear" w:color="auto" w:fill="EAF4FB"/>
            <w:tcMar>
              <w:top w:w="60" w:type="dxa"/>
              <w:left w:w="100" w:type="dxa"/>
              <w:bottom w:w="60" w:type="dxa"/>
              <w:right w:w="100" w:type="dxa"/>
            </w:tcMar>
          </w:tcPr>
          <w:p w14:paraId="32369A7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EAF4FB"/>
            <w:tcMar>
              <w:top w:w="60" w:type="dxa"/>
              <w:left w:w="100" w:type="dxa"/>
              <w:bottom w:w="60" w:type="dxa"/>
              <w:right w:w="100" w:type="dxa"/>
            </w:tcMar>
          </w:tcPr>
          <w:p w14:paraId="73D0D55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Institutional (KAUH Jordan, 8,400 CT)</w:t>
            </w:r>
          </w:p>
        </w:tc>
        <w:tc>
          <w:tcPr>
            <w:tcW w:w="1100" w:type="pct"/>
            <w:shd w:val="clear" w:color="auto" w:fill="EAF4FB"/>
            <w:tcMar>
              <w:top w:w="60" w:type="dxa"/>
              <w:left w:w="100" w:type="dxa"/>
              <w:bottom w:w="60" w:type="dxa"/>
              <w:right w:w="100" w:type="dxa"/>
            </w:tcMar>
          </w:tcPr>
          <w:p w14:paraId="2D9666F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CNN-6, ResNet50, VGG16 detection; CNN-4 classification</w:t>
            </w:r>
          </w:p>
        </w:tc>
        <w:tc>
          <w:tcPr>
            <w:tcW w:w="735" w:type="pct"/>
            <w:shd w:val="clear" w:color="auto" w:fill="EAF4FB"/>
            <w:tcMar>
              <w:top w:w="60" w:type="dxa"/>
              <w:left w:w="100" w:type="dxa"/>
              <w:bottom w:w="60" w:type="dxa"/>
              <w:right w:w="100" w:type="dxa"/>
            </w:tcMar>
          </w:tcPr>
          <w:p w14:paraId="7DF805B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92% classification</w:t>
            </w:r>
          </w:p>
        </w:tc>
      </w:tr>
      <w:tr w:rsidR="00834BF3" w:rsidRPr="00C40C77" w14:paraId="531E624E" w14:textId="77777777" w:rsidTr="00834BF3">
        <w:trPr>
          <w:trHeight w:val="742"/>
          <w:jc w:val="center"/>
        </w:trPr>
        <w:tc>
          <w:tcPr>
            <w:tcW w:w="413" w:type="pct"/>
            <w:shd w:val="clear" w:color="auto" w:fill="FFFFFF"/>
            <w:tcMar>
              <w:top w:w="60" w:type="dxa"/>
              <w:left w:w="100" w:type="dxa"/>
              <w:bottom w:w="60" w:type="dxa"/>
              <w:right w:w="100" w:type="dxa"/>
            </w:tcMar>
          </w:tcPr>
          <w:p w14:paraId="778C2298"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[17]</w:t>
            </w:r>
          </w:p>
        </w:tc>
        <w:tc>
          <w:tcPr>
            <w:tcW w:w="794" w:type="pct"/>
            <w:shd w:val="clear" w:color="auto" w:fill="FFFFFF"/>
            <w:tcMar>
              <w:top w:w="60" w:type="dxa"/>
              <w:left w:w="100" w:type="dxa"/>
              <w:bottom w:w="60" w:type="dxa"/>
              <w:right w:w="100" w:type="dxa"/>
            </w:tcMar>
          </w:tcPr>
          <w:p w14:paraId="56180E9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Baygin et al.</w:t>
            </w:r>
          </w:p>
        </w:tc>
        <w:tc>
          <w:tcPr>
            <w:tcW w:w="474" w:type="pct"/>
            <w:shd w:val="clear" w:color="auto" w:fill="FFFFFF"/>
            <w:tcMar>
              <w:top w:w="60" w:type="dxa"/>
              <w:left w:w="100" w:type="dxa"/>
              <w:bottom w:w="60" w:type="dxa"/>
              <w:right w:w="100" w:type="dxa"/>
            </w:tcMar>
          </w:tcPr>
          <w:p w14:paraId="73F57E5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2022</w:t>
            </w:r>
          </w:p>
        </w:tc>
        <w:tc>
          <w:tcPr>
            <w:tcW w:w="1484" w:type="pct"/>
            <w:shd w:val="clear" w:color="auto" w:fill="FFFFFF"/>
            <w:tcMar>
              <w:top w:w="60" w:type="dxa"/>
              <w:left w:w="100" w:type="dxa"/>
              <w:bottom w:w="60" w:type="dxa"/>
              <w:right w:w="100" w:type="dxa"/>
            </w:tcMar>
          </w:tcPr>
          <w:p w14:paraId="2BFDB41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Public coronal CT (1,799 imgs, Turkey)</w:t>
            </w:r>
          </w:p>
        </w:tc>
        <w:tc>
          <w:tcPr>
            <w:tcW w:w="1100" w:type="pct"/>
            <w:shd w:val="clear" w:color="auto" w:fill="FFFFFF"/>
            <w:tcMar>
              <w:top w:w="60" w:type="dxa"/>
              <w:left w:w="100" w:type="dxa"/>
              <w:bottom w:w="60" w:type="dxa"/>
              <w:right w:w="100" w:type="dxa"/>
            </w:tcMar>
          </w:tcPr>
          <w:p w14:paraId="3EF39FF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DarkNet19 + INCA feature selection + KNN (ExDark19)</w:t>
            </w:r>
          </w:p>
        </w:tc>
        <w:tc>
          <w:tcPr>
            <w:tcW w:w="735" w:type="pct"/>
            <w:shd w:val="clear" w:color="auto" w:fill="FFFFFF"/>
            <w:tcMar>
              <w:top w:w="60" w:type="dxa"/>
              <w:left w:w="100" w:type="dxa"/>
              <w:bottom w:w="60" w:type="dxa"/>
              <w:right w:w="100" w:type="dxa"/>
            </w:tcMar>
          </w:tcPr>
          <w:p w14:paraId="234CA1F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99.22%-99.71%</w:t>
            </w:r>
          </w:p>
        </w:tc>
      </w:tr>
      <w:tr w:rsidR="00834BF3" w:rsidRPr="00C40C77" w14:paraId="2B68380C" w14:textId="77777777" w:rsidTr="00834BF3">
        <w:trPr>
          <w:trHeight w:val="752"/>
          <w:jc w:val="center"/>
        </w:trPr>
        <w:tc>
          <w:tcPr>
            <w:tcW w:w="413" w:type="pct"/>
            <w:shd w:val="clear" w:color="auto" w:fill="EAF4FB"/>
            <w:tcMar>
              <w:top w:w="60" w:type="dxa"/>
              <w:left w:w="100" w:type="dxa"/>
              <w:bottom w:w="60" w:type="dxa"/>
              <w:right w:w="100" w:type="dxa"/>
            </w:tcMar>
          </w:tcPr>
          <w:p w14:paraId="4FAE1FFA"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[21]</w:t>
            </w:r>
          </w:p>
        </w:tc>
        <w:tc>
          <w:tcPr>
            <w:tcW w:w="794" w:type="pct"/>
            <w:shd w:val="clear" w:color="auto" w:fill="EAF4FB"/>
            <w:tcMar>
              <w:top w:w="60" w:type="dxa"/>
              <w:left w:w="100" w:type="dxa"/>
              <w:bottom w:w="60" w:type="dxa"/>
              <w:right w:w="100" w:type="dxa"/>
            </w:tcMar>
          </w:tcPr>
          <w:p w14:paraId="660DAB4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Bhandari et al.</w:t>
            </w:r>
          </w:p>
        </w:tc>
        <w:tc>
          <w:tcPr>
            <w:tcW w:w="474" w:type="pct"/>
            <w:shd w:val="clear" w:color="auto" w:fill="EAF4FB"/>
            <w:tcMar>
              <w:top w:w="60" w:type="dxa"/>
              <w:left w:w="100" w:type="dxa"/>
              <w:bottom w:w="60" w:type="dxa"/>
              <w:right w:w="100" w:type="dxa"/>
            </w:tcMar>
          </w:tcPr>
          <w:p w14:paraId="3570035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3C8D2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EFED5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Lightweight custom CNN + LIME + SHAP explainability</w:t>
            </w:r>
          </w:p>
        </w:tc>
        <w:tc>
          <w:tcPr>
            <w:tcW w:w="735" w:type="pct"/>
            <w:shd w:val="clear" w:color="auto" w:fill="EAF4FB"/>
            <w:tcMar>
              <w:top w:w="60" w:type="dxa"/>
              <w:left w:w="100" w:type="dxa"/>
              <w:bottom w:w="60" w:type="dxa"/>
              <w:right w:w="100" w:type="dxa"/>
            </w:tcMar>
          </w:tcPr>
          <w:p w14:paraId="315BDBE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99.52%</w:t>
            </w:r>
          </w:p>
        </w:tc>
      </w:tr>
      <w:tr w:rsidR="00834BF3" w:rsidRPr="00C40C77" w14:paraId="7B453222" w14:textId="77777777" w:rsidTr="00834BF3">
        <w:trPr>
          <w:trHeight w:val="742"/>
          <w:jc w:val="center"/>
        </w:trPr>
        <w:tc>
          <w:tcPr>
            <w:tcW w:w="413" w:type="pct"/>
            <w:shd w:val="clear" w:color="auto" w:fill="FFFFFF"/>
            <w:tcMar>
              <w:top w:w="60" w:type="dxa"/>
              <w:left w:w="100" w:type="dxa"/>
              <w:bottom w:w="60" w:type="dxa"/>
              <w:right w:w="100" w:type="dxa"/>
            </w:tcMar>
          </w:tcPr>
          <w:p w14:paraId="583AFC07"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[22]</w:t>
            </w:r>
          </w:p>
        </w:tc>
        <w:tc>
          <w:tcPr>
            <w:tcW w:w="794" w:type="pct"/>
            <w:shd w:val="clear" w:color="auto" w:fill="FFFFFF"/>
            <w:tcMar>
              <w:top w:w="60" w:type="dxa"/>
              <w:left w:w="100" w:type="dxa"/>
              <w:bottom w:w="60" w:type="dxa"/>
              <w:right w:w="100" w:type="dxa"/>
            </w:tcMar>
          </w:tcPr>
          <w:p w14:paraId="69E36B7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Bingol et al.</w:t>
            </w:r>
          </w:p>
        </w:tc>
        <w:tc>
          <w:tcPr>
            <w:tcW w:w="474" w:type="pct"/>
            <w:shd w:val="clear" w:color="auto" w:fill="FFFFFF"/>
            <w:tcMar>
              <w:top w:w="60" w:type="dxa"/>
              <w:left w:w="100" w:type="dxa"/>
              <w:bottom w:w="60" w:type="dxa"/>
              <w:right w:w="100" w:type="dxa"/>
            </w:tcMar>
          </w:tcPr>
          <w:p w14:paraId="549E074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FFFFFF"/>
            <w:tcMar>
              <w:top w:w="60" w:type="dxa"/>
              <w:left w:w="100" w:type="dxa"/>
              <w:bottom w:w="60" w:type="dxa"/>
              <w:right w:w="100" w:type="dxa"/>
            </w:tcMar>
          </w:tcPr>
          <w:p w14:paraId="4D89E2D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3DD141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29-layer CNN + Relief feature selection</w:t>
            </w:r>
          </w:p>
        </w:tc>
        <w:tc>
          <w:tcPr>
            <w:tcW w:w="735" w:type="pct"/>
            <w:shd w:val="clear" w:color="auto" w:fill="FFFFFF"/>
            <w:tcMar>
              <w:top w:w="60" w:type="dxa"/>
              <w:left w:w="100" w:type="dxa"/>
              <w:bottom w:w="60" w:type="dxa"/>
              <w:right w:w="100" w:type="dxa"/>
            </w:tcMar>
          </w:tcPr>
          <w:p w14:paraId="1FD2752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99.37%</w:t>
            </w:r>
          </w:p>
        </w:tc>
      </w:tr>
      <w:tr w:rsidR="00834BF3" w:rsidRPr="00C40C77" w14:paraId="4A145CBB" w14:textId="77777777" w:rsidTr="00834BF3">
        <w:trPr>
          <w:trHeight w:val="935"/>
          <w:jc w:val="center"/>
        </w:trPr>
        <w:tc>
          <w:tcPr>
            <w:tcW w:w="413" w:type="pct"/>
            <w:shd w:val="clear" w:color="auto" w:fill="EAF4FB"/>
            <w:tcMar>
              <w:top w:w="60" w:type="dxa"/>
              <w:left w:w="100" w:type="dxa"/>
              <w:bottom w:w="60" w:type="dxa"/>
              <w:right w:w="100" w:type="dxa"/>
            </w:tcMar>
          </w:tcPr>
          <w:p w14:paraId="28A1323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[15]</w:t>
            </w:r>
          </w:p>
        </w:tc>
        <w:tc>
          <w:tcPr>
            <w:tcW w:w="794" w:type="pct"/>
            <w:shd w:val="clear" w:color="auto" w:fill="EAF4FB"/>
            <w:tcMar>
              <w:top w:w="60" w:type="dxa"/>
              <w:left w:w="100" w:type="dxa"/>
              <w:bottom w:w="60" w:type="dxa"/>
              <w:right w:w="100" w:type="dxa"/>
            </w:tcMar>
          </w:tcPr>
          <w:p w14:paraId="4B107D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Sabuncu et al.</w:t>
            </w:r>
          </w:p>
        </w:tc>
        <w:tc>
          <w:tcPr>
            <w:tcW w:w="474" w:type="pct"/>
            <w:shd w:val="clear" w:color="auto" w:fill="EAF4FB"/>
            <w:tcMar>
              <w:top w:w="60" w:type="dxa"/>
              <w:left w:w="100" w:type="dxa"/>
              <w:bottom w:w="60" w:type="dxa"/>
              <w:right w:w="100" w:type="dxa"/>
            </w:tcMar>
          </w:tcPr>
          <w:p w14:paraId="529E80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2023</w:t>
            </w:r>
          </w:p>
        </w:tc>
        <w:tc>
          <w:tcPr>
            <w:tcW w:w="1484" w:type="pct"/>
            <w:shd w:val="clear" w:color="auto" w:fill="EAF4FB"/>
            <w:tcMar>
              <w:top w:w="60" w:type="dxa"/>
              <w:left w:w="100" w:type="dxa"/>
              <w:bottom w:w="60" w:type="dxa"/>
              <w:right w:w="100" w:type="dxa"/>
            </w:tcMar>
          </w:tcPr>
          <w:p w14:paraId="25B5DE2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Clinical axial CT (Near East Univ. Hospital, Cyprus)</w:t>
            </w:r>
          </w:p>
        </w:tc>
        <w:tc>
          <w:tcPr>
            <w:tcW w:w="1100" w:type="pct"/>
            <w:shd w:val="clear" w:color="auto" w:fill="EAF4FB"/>
            <w:tcMar>
              <w:top w:w="60" w:type="dxa"/>
              <w:left w:w="100" w:type="dxa"/>
              <w:bottom w:w="60" w:type="dxa"/>
              <w:right w:w="100" w:type="dxa"/>
            </w:tcMar>
          </w:tcPr>
          <w:p w14:paraId="4D18B54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InceptionV3 + Watershed + Otsu binarisation</w:t>
            </w:r>
          </w:p>
        </w:tc>
        <w:tc>
          <w:tcPr>
            <w:tcW w:w="735" w:type="pct"/>
            <w:shd w:val="clear" w:color="auto" w:fill="EAF4FB"/>
            <w:tcMar>
              <w:top w:w="60" w:type="dxa"/>
              <w:left w:w="100" w:type="dxa"/>
              <w:bottom w:w="60" w:type="dxa"/>
              <w:right w:w="100" w:type="dxa"/>
            </w:tcMar>
          </w:tcPr>
          <w:p w14:paraId="47EFD563"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98.52%</w:t>
            </w:r>
          </w:p>
        </w:tc>
      </w:tr>
      <w:tr w:rsidR="00834BF3" w:rsidRPr="00C40C77" w14:paraId="705BA249" w14:textId="77777777" w:rsidTr="00834BF3">
        <w:trPr>
          <w:trHeight w:val="569"/>
          <w:jc w:val="center"/>
        </w:trPr>
        <w:tc>
          <w:tcPr>
            <w:tcW w:w="413" w:type="pct"/>
            <w:shd w:val="clear" w:color="auto" w:fill="FFFFFF"/>
            <w:tcMar>
              <w:top w:w="60" w:type="dxa"/>
              <w:left w:w="100" w:type="dxa"/>
              <w:bottom w:w="60" w:type="dxa"/>
              <w:right w:w="100" w:type="dxa"/>
            </w:tcMar>
          </w:tcPr>
          <w:p w14:paraId="0A364961"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[18]</w:t>
            </w:r>
          </w:p>
        </w:tc>
        <w:tc>
          <w:tcPr>
            <w:tcW w:w="794" w:type="pct"/>
            <w:shd w:val="clear" w:color="auto" w:fill="FFFFFF"/>
            <w:tcMar>
              <w:top w:w="60" w:type="dxa"/>
              <w:left w:w="100" w:type="dxa"/>
              <w:bottom w:w="60" w:type="dxa"/>
              <w:right w:w="100" w:type="dxa"/>
            </w:tcMar>
          </w:tcPr>
          <w:p w14:paraId="5FA9C0B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Qian et al.</w:t>
            </w:r>
          </w:p>
        </w:tc>
        <w:tc>
          <w:tcPr>
            <w:tcW w:w="474" w:type="pct"/>
            <w:shd w:val="clear" w:color="auto" w:fill="FFFFFF"/>
            <w:tcMar>
              <w:top w:w="60" w:type="dxa"/>
              <w:left w:w="100" w:type="dxa"/>
              <w:bottom w:w="60" w:type="dxa"/>
              <w:right w:w="100" w:type="dxa"/>
            </w:tcMar>
          </w:tcPr>
          <w:p w14:paraId="0E53FCD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FFFFFF"/>
            <w:tcMar>
              <w:top w:w="60" w:type="dxa"/>
              <w:left w:w="100" w:type="dxa"/>
              <w:bottom w:w="60" w:type="dxa"/>
              <w:right w:w="100" w:type="dxa"/>
            </w:tcMar>
          </w:tcPr>
          <w:p w14:paraId="47175FF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66C9E98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DenseNet121 (standard, no augmentation)</w:t>
            </w:r>
          </w:p>
        </w:tc>
        <w:tc>
          <w:tcPr>
            <w:tcW w:w="735" w:type="pct"/>
            <w:shd w:val="clear" w:color="auto" w:fill="FFFFFF"/>
            <w:tcMar>
              <w:top w:w="60" w:type="dxa"/>
              <w:left w:w="100" w:type="dxa"/>
              <w:bottom w:w="60" w:type="dxa"/>
              <w:right w:w="100" w:type="dxa"/>
            </w:tcMar>
          </w:tcPr>
          <w:p w14:paraId="6B11264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93.51%</w:t>
            </w:r>
          </w:p>
        </w:tc>
      </w:tr>
      <w:tr w:rsidR="00834BF3" w:rsidRPr="00C40C77" w14:paraId="6FE7FF3B" w14:textId="77777777" w:rsidTr="00834BF3">
        <w:trPr>
          <w:trHeight w:val="559"/>
          <w:jc w:val="center"/>
        </w:trPr>
        <w:tc>
          <w:tcPr>
            <w:tcW w:w="413" w:type="pct"/>
            <w:shd w:val="clear" w:color="auto" w:fill="EAF4FB"/>
            <w:tcMar>
              <w:top w:w="60" w:type="dxa"/>
              <w:left w:w="100" w:type="dxa"/>
              <w:bottom w:w="60" w:type="dxa"/>
              <w:right w:w="100" w:type="dxa"/>
            </w:tcMar>
          </w:tcPr>
          <w:p w14:paraId="066DBF09"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[20]</w:t>
            </w:r>
          </w:p>
        </w:tc>
        <w:tc>
          <w:tcPr>
            <w:tcW w:w="794" w:type="pct"/>
            <w:shd w:val="clear" w:color="auto" w:fill="EAF4FB"/>
            <w:tcMar>
              <w:top w:w="60" w:type="dxa"/>
              <w:left w:w="100" w:type="dxa"/>
              <w:bottom w:w="60" w:type="dxa"/>
              <w:right w:w="100" w:type="dxa"/>
            </w:tcMar>
          </w:tcPr>
          <w:p w14:paraId="3B4681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Almuayqil et al.</w:t>
            </w:r>
          </w:p>
        </w:tc>
        <w:tc>
          <w:tcPr>
            <w:tcW w:w="474" w:type="pct"/>
            <w:shd w:val="clear" w:color="auto" w:fill="EAF4FB"/>
            <w:tcMar>
              <w:top w:w="60" w:type="dxa"/>
              <w:left w:w="100" w:type="dxa"/>
              <w:bottom w:w="60" w:type="dxa"/>
              <w:right w:w="100" w:type="dxa"/>
            </w:tcMar>
          </w:tcPr>
          <w:p w14:paraId="1AD4A60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2024</w:t>
            </w:r>
          </w:p>
        </w:tc>
        <w:tc>
          <w:tcPr>
            <w:tcW w:w="1484" w:type="pct"/>
            <w:shd w:val="clear" w:color="auto" w:fill="EAF4FB"/>
            <w:tcMar>
              <w:top w:w="60" w:type="dxa"/>
              <w:left w:w="100" w:type="dxa"/>
              <w:bottom w:w="60" w:type="dxa"/>
              <w:right w:w="100" w:type="dxa"/>
            </w:tcMar>
          </w:tcPr>
          <w:p w14:paraId="6AF343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170516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KidneyNet (8-layer custom CNN)</w:t>
            </w:r>
          </w:p>
        </w:tc>
        <w:tc>
          <w:tcPr>
            <w:tcW w:w="735" w:type="pct"/>
            <w:shd w:val="clear" w:color="auto" w:fill="EAF4FB"/>
            <w:tcMar>
              <w:top w:w="60" w:type="dxa"/>
              <w:left w:w="100" w:type="dxa"/>
              <w:bottom w:w="60" w:type="dxa"/>
              <w:right w:w="100" w:type="dxa"/>
            </w:tcMar>
          </w:tcPr>
          <w:p w14:paraId="1CEE903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99.88% / 99.92% precision</w:t>
            </w:r>
          </w:p>
        </w:tc>
      </w:tr>
      <w:tr w:rsidR="00834BF3" w:rsidRPr="00C40C77" w14:paraId="66BC2167" w14:textId="77777777" w:rsidTr="00834BF3">
        <w:trPr>
          <w:trHeight w:val="935"/>
          <w:jc w:val="center"/>
        </w:trPr>
        <w:tc>
          <w:tcPr>
            <w:tcW w:w="413" w:type="pct"/>
            <w:shd w:val="clear" w:color="auto" w:fill="FFFFFF"/>
            <w:tcMar>
              <w:top w:w="60" w:type="dxa"/>
              <w:left w:w="100" w:type="dxa"/>
              <w:bottom w:w="60" w:type="dxa"/>
              <w:right w:w="100" w:type="dxa"/>
            </w:tcMar>
          </w:tcPr>
          <w:p w14:paraId="323774A5"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lastRenderedPageBreak/>
              <w:t>[14]</w:t>
            </w:r>
          </w:p>
        </w:tc>
        <w:tc>
          <w:tcPr>
            <w:tcW w:w="794" w:type="pct"/>
            <w:shd w:val="clear" w:color="auto" w:fill="FFFFFF"/>
            <w:tcMar>
              <w:top w:w="60" w:type="dxa"/>
              <w:left w:w="100" w:type="dxa"/>
              <w:bottom w:w="60" w:type="dxa"/>
              <w:right w:w="100" w:type="dxa"/>
            </w:tcMar>
          </w:tcPr>
          <w:p w14:paraId="14829B5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Pimpalkar et al.</w:t>
            </w:r>
          </w:p>
        </w:tc>
        <w:tc>
          <w:tcPr>
            <w:tcW w:w="474" w:type="pct"/>
            <w:shd w:val="clear" w:color="auto" w:fill="FFFFFF"/>
            <w:tcMar>
              <w:top w:w="60" w:type="dxa"/>
              <w:left w:w="100" w:type="dxa"/>
              <w:bottom w:w="60" w:type="dxa"/>
              <w:right w:w="100" w:type="dxa"/>
            </w:tcMar>
          </w:tcPr>
          <w:p w14:paraId="718CF67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7D8527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50E0058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VGG16, ResNet50, InceptionV3 with hyperparameter optimisation</w:t>
            </w:r>
          </w:p>
        </w:tc>
        <w:tc>
          <w:tcPr>
            <w:tcW w:w="735" w:type="pct"/>
            <w:shd w:val="clear" w:color="auto" w:fill="FFFFFF"/>
            <w:tcMar>
              <w:top w:w="60" w:type="dxa"/>
              <w:left w:w="100" w:type="dxa"/>
              <w:bottom w:w="60" w:type="dxa"/>
              <w:right w:w="100" w:type="dxa"/>
            </w:tcMar>
          </w:tcPr>
          <w:p w14:paraId="3D4100A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 (InceptionV3)</w:t>
            </w:r>
          </w:p>
        </w:tc>
      </w:tr>
      <w:tr w:rsidR="00834BF3" w:rsidRPr="00C40C77" w14:paraId="3D7CFEA6" w14:textId="77777777" w:rsidTr="00834BF3">
        <w:trPr>
          <w:trHeight w:val="559"/>
          <w:jc w:val="center"/>
        </w:trPr>
        <w:tc>
          <w:tcPr>
            <w:tcW w:w="413" w:type="pct"/>
            <w:shd w:val="clear" w:color="auto" w:fill="EAF4FB"/>
            <w:tcMar>
              <w:top w:w="60" w:type="dxa"/>
              <w:left w:w="100" w:type="dxa"/>
              <w:bottom w:w="60" w:type="dxa"/>
              <w:right w:w="100" w:type="dxa"/>
            </w:tcMar>
          </w:tcPr>
          <w:p w14:paraId="5A5A57EE"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[16]</w:t>
            </w:r>
          </w:p>
        </w:tc>
        <w:tc>
          <w:tcPr>
            <w:tcW w:w="794" w:type="pct"/>
            <w:shd w:val="clear" w:color="auto" w:fill="EAF4FB"/>
            <w:tcMar>
              <w:top w:w="60" w:type="dxa"/>
              <w:left w:w="100" w:type="dxa"/>
              <w:bottom w:w="60" w:type="dxa"/>
              <w:right w:w="100" w:type="dxa"/>
            </w:tcMar>
          </w:tcPr>
          <w:p w14:paraId="56EC291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Obaid et al.</w:t>
            </w:r>
          </w:p>
        </w:tc>
        <w:tc>
          <w:tcPr>
            <w:tcW w:w="474" w:type="pct"/>
            <w:shd w:val="clear" w:color="auto" w:fill="EAF4FB"/>
            <w:tcMar>
              <w:top w:w="60" w:type="dxa"/>
              <w:left w:w="100" w:type="dxa"/>
              <w:bottom w:w="60" w:type="dxa"/>
              <w:right w:w="100" w:type="dxa"/>
            </w:tcMar>
          </w:tcPr>
          <w:p w14:paraId="3CF22DB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31D0290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19C20AAB"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DarkNet53 + multi-model ensemble fusion</w:t>
            </w:r>
          </w:p>
        </w:tc>
        <w:tc>
          <w:tcPr>
            <w:tcW w:w="735" w:type="pct"/>
            <w:shd w:val="clear" w:color="auto" w:fill="EAF4FB"/>
            <w:tcMar>
              <w:top w:w="60" w:type="dxa"/>
              <w:left w:w="100" w:type="dxa"/>
              <w:bottom w:w="60" w:type="dxa"/>
              <w:right w:w="100" w:type="dxa"/>
            </w:tcMar>
          </w:tcPr>
          <w:p w14:paraId="44200CE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99.69%</w:t>
            </w:r>
          </w:p>
        </w:tc>
      </w:tr>
      <w:tr w:rsidR="00834BF3" w:rsidRPr="00C40C77" w14:paraId="41386D28" w14:textId="77777777" w:rsidTr="00834BF3">
        <w:trPr>
          <w:trHeight w:val="569"/>
          <w:jc w:val="center"/>
        </w:trPr>
        <w:tc>
          <w:tcPr>
            <w:tcW w:w="413" w:type="pct"/>
            <w:shd w:val="clear" w:color="auto" w:fill="FFFFFF"/>
            <w:tcMar>
              <w:top w:w="60" w:type="dxa"/>
              <w:left w:w="100" w:type="dxa"/>
              <w:bottom w:w="60" w:type="dxa"/>
              <w:right w:w="100" w:type="dxa"/>
            </w:tcMar>
          </w:tcPr>
          <w:p w14:paraId="7F42035D"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[19]</w:t>
            </w:r>
          </w:p>
        </w:tc>
        <w:tc>
          <w:tcPr>
            <w:tcW w:w="794" w:type="pct"/>
            <w:shd w:val="clear" w:color="auto" w:fill="FFFFFF"/>
            <w:tcMar>
              <w:top w:w="60" w:type="dxa"/>
              <w:left w:w="100" w:type="dxa"/>
              <w:bottom w:w="60" w:type="dxa"/>
              <w:right w:w="100" w:type="dxa"/>
            </w:tcMar>
          </w:tcPr>
          <w:p w14:paraId="2287F78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El-Hag et al.</w:t>
            </w:r>
          </w:p>
        </w:tc>
        <w:tc>
          <w:tcPr>
            <w:tcW w:w="474" w:type="pct"/>
            <w:shd w:val="clear" w:color="auto" w:fill="FFFFFF"/>
            <w:tcMar>
              <w:top w:w="60" w:type="dxa"/>
              <w:left w:w="100" w:type="dxa"/>
              <w:bottom w:w="60" w:type="dxa"/>
              <w:right w:w="100" w:type="dxa"/>
            </w:tcMar>
          </w:tcPr>
          <w:p w14:paraId="5530C44C"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4AE77CE9"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2DAFE6AA"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EfficientNet-B2 + specular-free preprocessing</w:t>
            </w:r>
          </w:p>
        </w:tc>
        <w:tc>
          <w:tcPr>
            <w:tcW w:w="735" w:type="pct"/>
            <w:shd w:val="clear" w:color="auto" w:fill="FFFFFF"/>
            <w:tcMar>
              <w:top w:w="60" w:type="dxa"/>
              <w:left w:w="100" w:type="dxa"/>
              <w:bottom w:w="60" w:type="dxa"/>
              <w:right w:w="100" w:type="dxa"/>
            </w:tcMar>
          </w:tcPr>
          <w:p w14:paraId="5030D070"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98.27%</w:t>
            </w:r>
          </w:p>
        </w:tc>
      </w:tr>
      <w:tr w:rsidR="00834BF3" w:rsidRPr="00C40C77" w14:paraId="058656F5" w14:textId="77777777" w:rsidTr="00834BF3">
        <w:trPr>
          <w:trHeight w:val="742"/>
          <w:jc w:val="center"/>
        </w:trPr>
        <w:tc>
          <w:tcPr>
            <w:tcW w:w="413" w:type="pct"/>
            <w:shd w:val="clear" w:color="auto" w:fill="EAF4FB"/>
            <w:tcMar>
              <w:top w:w="60" w:type="dxa"/>
              <w:left w:w="100" w:type="dxa"/>
              <w:bottom w:w="60" w:type="dxa"/>
              <w:right w:w="100" w:type="dxa"/>
            </w:tcMar>
          </w:tcPr>
          <w:p w14:paraId="2CC0641C"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[9]</w:t>
            </w:r>
          </w:p>
        </w:tc>
        <w:tc>
          <w:tcPr>
            <w:tcW w:w="794" w:type="pct"/>
            <w:shd w:val="clear" w:color="auto" w:fill="EAF4FB"/>
            <w:tcMar>
              <w:top w:w="60" w:type="dxa"/>
              <w:left w:w="100" w:type="dxa"/>
              <w:bottom w:w="60" w:type="dxa"/>
              <w:right w:w="100" w:type="dxa"/>
            </w:tcMar>
          </w:tcPr>
          <w:p w14:paraId="6BCD521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Maçin et al.</w:t>
            </w:r>
          </w:p>
        </w:tc>
        <w:tc>
          <w:tcPr>
            <w:tcW w:w="474" w:type="pct"/>
            <w:shd w:val="clear" w:color="auto" w:fill="EAF4FB"/>
            <w:tcMar>
              <w:top w:w="60" w:type="dxa"/>
              <w:left w:w="100" w:type="dxa"/>
              <w:bottom w:w="60" w:type="dxa"/>
              <w:right w:w="100" w:type="dxa"/>
            </w:tcMar>
          </w:tcPr>
          <w:p w14:paraId="3ED27CD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2C0B369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EAF4FB"/>
            <w:tcMar>
              <w:top w:w="60" w:type="dxa"/>
              <w:left w:w="100" w:type="dxa"/>
              <w:bottom w:w="60" w:type="dxa"/>
              <w:right w:w="100" w:type="dxa"/>
            </w:tcMar>
          </w:tcPr>
          <w:p w14:paraId="45392DF2"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KidneyNeXt (depthwise separable CNN, 224×224)</w:t>
            </w:r>
          </w:p>
        </w:tc>
        <w:tc>
          <w:tcPr>
            <w:tcW w:w="735" w:type="pct"/>
            <w:shd w:val="clear" w:color="auto" w:fill="EAF4FB"/>
            <w:tcMar>
              <w:top w:w="60" w:type="dxa"/>
              <w:left w:w="100" w:type="dxa"/>
              <w:bottom w:w="60" w:type="dxa"/>
              <w:right w:w="100" w:type="dxa"/>
            </w:tcMar>
          </w:tcPr>
          <w:p w14:paraId="3DA46B8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99.96%</w:t>
            </w:r>
          </w:p>
        </w:tc>
      </w:tr>
      <w:tr w:rsidR="00834BF3" w:rsidRPr="00C40C77" w14:paraId="5904B26A" w14:textId="77777777" w:rsidTr="00834BF3">
        <w:trPr>
          <w:trHeight w:val="752"/>
          <w:jc w:val="center"/>
        </w:trPr>
        <w:tc>
          <w:tcPr>
            <w:tcW w:w="413" w:type="pct"/>
            <w:shd w:val="clear" w:color="auto" w:fill="FFFFFF"/>
            <w:tcMar>
              <w:top w:w="60" w:type="dxa"/>
              <w:left w:w="100" w:type="dxa"/>
              <w:bottom w:w="60" w:type="dxa"/>
              <w:right w:w="100" w:type="dxa"/>
            </w:tcMar>
          </w:tcPr>
          <w:p w14:paraId="0DC2B7EB"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[23]</w:t>
            </w:r>
          </w:p>
        </w:tc>
        <w:tc>
          <w:tcPr>
            <w:tcW w:w="794" w:type="pct"/>
            <w:shd w:val="clear" w:color="auto" w:fill="FFFFFF"/>
            <w:tcMar>
              <w:top w:w="60" w:type="dxa"/>
              <w:left w:w="100" w:type="dxa"/>
              <w:bottom w:w="60" w:type="dxa"/>
              <w:right w:w="100" w:type="dxa"/>
            </w:tcMar>
          </w:tcPr>
          <w:p w14:paraId="02166DB8"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Khan et al.</w:t>
            </w:r>
          </w:p>
        </w:tc>
        <w:tc>
          <w:tcPr>
            <w:tcW w:w="474" w:type="pct"/>
            <w:shd w:val="clear" w:color="auto" w:fill="FFFFFF"/>
            <w:tcMar>
              <w:top w:w="60" w:type="dxa"/>
              <w:left w:w="100" w:type="dxa"/>
              <w:bottom w:w="60" w:type="dxa"/>
              <w:right w:w="100" w:type="dxa"/>
            </w:tcMar>
          </w:tcPr>
          <w:p w14:paraId="317BD9ED"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FFFFFF"/>
            <w:tcMar>
              <w:top w:w="60" w:type="dxa"/>
              <w:left w:w="100" w:type="dxa"/>
              <w:bottom w:w="60" w:type="dxa"/>
              <w:right w:w="100" w:type="dxa"/>
            </w:tcMar>
          </w:tcPr>
          <w:p w14:paraId="776427C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Kaggle CT KIDNEY DATASET</w:t>
            </w:r>
          </w:p>
        </w:tc>
        <w:tc>
          <w:tcPr>
            <w:tcW w:w="1100" w:type="pct"/>
            <w:shd w:val="clear" w:color="auto" w:fill="FFFFFF"/>
            <w:tcMar>
              <w:top w:w="60" w:type="dxa"/>
              <w:left w:w="100" w:type="dxa"/>
              <w:bottom w:w="60" w:type="dxa"/>
              <w:right w:w="100" w:type="dxa"/>
            </w:tcMar>
          </w:tcPr>
          <w:p w14:paraId="5856BD21"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ConvNeXt + EfficientNetV2B0 + selective data trimming</w:t>
            </w:r>
          </w:p>
        </w:tc>
        <w:tc>
          <w:tcPr>
            <w:tcW w:w="735" w:type="pct"/>
            <w:shd w:val="clear" w:color="auto" w:fill="FFFFFF"/>
            <w:tcMar>
              <w:top w:w="60" w:type="dxa"/>
              <w:left w:w="100" w:type="dxa"/>
              <w:bottom w:w="60" w:type="dxa"/>
              <w:right w:w="100" w:type="dxa"/>
            </w:tcMar>
          </w:tcPr>
          <w:p w14:paraId="12A291E7"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99.73% (6.2M params)</w:t>
            </w:r>
          </w:p>
        </w:tc>
      </w:tr>
      <w:tr w:rsidR="00834BF3" w:rsidRPr="00C40C77" w14:paraId="5D42FCB6" w14:textId="77777777" w:rsidTr="00834BF3">
        <w:trPr>
          <w:trHeight w:val="742"/>
          <w:jc w:val="center"/>
        </w:trPr>
        <w:tc>
          <w:tcPr>
            <w:tcW w:w="413" w:type="pct"/>
            <w:shd w:val="clear" w:color="auto" w:fill="EAF4FB"/>
            <w:tcMar>
              <w:top w:w="60" w:type="dxa"/>
              <w:left w:w="100" w:type="dxa"/>
              <w:bottom w:w="60" w:type="dxa"/>
              <w:right w:w="100" w:type="dxa"/>
            </w:tcMar>
          </w:tcPr>
          <w:p w14:paraId="243D7DF4" w14:textId="77777777" w:rsidR="005E23F6" w:rsidRPr="00C40C77" w:rsidRDefault="005E23F6" w:rsidP="00834BF3">
            <w:pPr>
              <w:rPr>
                <w:rFonts w:asciiTheme="majorBidi" w:hAnsiTheme="majorBidi" w:cstheme="majorBidi"/>
                <w:b/>
                <w:sz w:val="20"/>
                <w:szCs w:val="20"/>
              </w:rPr>
            </w:pPr>
            <w:r w:rsidRPr="00C40C77">
              <w:rPr>
                <w:rFonts w:asciiTheme="majorBidi" w:hAnsiTheme="majorBidi" w:cstheme="majorBidi"/>
                <w:b/>
                <w:sz w:val="20"/>
                <w:szCs w:val="20"/>
              </w:rPr>
              <w:t>[24]</w:t>
            </w:r>
          </w:p>
        </w:tc>
        <w:tc>
          <w:tcPr>
            <w:tcW w:w="794" w:type="pct"/>
            <w:shd w:val="clear" w:color="auto" w:fill="EAF4FB"/>
            <w:tcMar>
              <w:top w:w="60" w:type="dxa"/>
              <w:left w:w="100" w:type="dxa"/>
              <w:bottom w:w="60" w:type="dxa"/>
              <w:right w:w="100" w:type="dxa"/>
            </w:tcMar>
          </w:tcPr>
          <w:p w14:paraId="6615AD44"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Bouzon et al.</w:t>
            </w:r>
          </w:p>
        </w:tc>
        <w:tc>
          <w:tcPr>
            <w:tcW w:w="474" w:type="pct"/>
            <w:shd w:val="clear" w:color="auto" w:fill="EAF4FB"/>
            <w:tcMar>
              <w:top w:w="60" w:type="dxa"/>
              <w:left w:w="100" w:type="dxa"/>
              <w:bottom w:w="60" w:type="dxa"/>
              <w:right w:w="100" w:type="dxa"/>
            </w:tcMar>
          </w:tcPr>
          <w:p w14:paraId="68A4E94F"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2025</w:t>
            </w:r>
          </w:p>
        </w:tc>
        <w:tc>
          <w:tcPr>
            <w:tcW w:w="1484" w:type="pct"/>
            <w:shd w:val="clear" w:color="auto" w:fill="EAF4FB"/>
            <w:tcMar>
              <w:top w:w="60" w:type="dxa"/>
              <w:left w:w="100" w:type="dxa"/>
              <w:bottom w:w="60" w:type="dxa"/>
              <w:right w:w="100" w:type="dxa"/>
            </w:tcMar>
          </w:tcPr>
          <w:p w14:paraId="19977336"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KSSD2025 (838 annotated abdomen CT)</w:t>
            </w:r>
          </w:p>
        </w:tc>
        <w:tc>
          <w:tcPr>
            <w:tcW w:w="1100" w:type="pct"/>
            <w:shd w:val="clear" w:color="auto" w:fill="EAF4FB"/>
            <w:tcMar>
              <w:top w:w="60" w:type="dxa"/>
              <w:left w:w="100" w:type="dxa"/>
              <w:bottom w:w="60" w:type="dxa"/>
              <w:right w:w="100" w:type="dxa"/>
            </w:tcMar>
          </w:tcPr>
          <w:p w14:paraId="622BAD97" w14:textId="244107DC" w:rsidR="005E23F6" w:rsidRPr="00C40C77" w:rsidRDefault="00834BF3" w:rsidP="00834BF3">
            <w:pPr>
              <w:rPr>
                <w:rFonts w:asciiTheme="majorBidi" w:hAnsiTheme="majorBidi" w:cstheme="majorBidi"/>
                <w:sz w:val="20"/>
                <w:szCs w:val="20"/>
              </w:rPr>
            </w:pPr>
            <w:r>
              <w:rPr>
                <w:rFonts w:asciiTheme="majorBidi" w:hAnsiTheme="majorBidi" w:cstheme="majorBidi"/>
                <w:sz w:val="20"/>
                <w:szCs w:val="20"/>
              </w:rPr>
              <w:t xml:space="preserve">U-Net </w:t>
            </w:r>
            <w:r w:rsidR="005E23F6" w:rsidRPr="00C40C77">
              <w:rPr>
                <w:rFonts w:asciiTheme="majorBidi" w:hAnsiTheme="majorBidi" w:cstheme="majorBidi"/>
                <w:sz w:val="20"/>
                <w:szCs w:val="20"/>
              </w:rPr>
              <w:t>pixel-level segmentation</w:t>
            </w:r>
          </w:p>
        </w:tc>
        <w:tc>
          <w:tcPr>
            <w:tcW w:w="735" w:type="pct"/>
            <w:shd w:val="clear" w:color="auto" w:fill="EAF4FB"/>
            <w:tcMar>
              <w:top w:w="60" w:type="dxa"/>
              <w:left w:w="100" w:type="dxa"/>
              <w:bottom w:w="60" w:type="dxa"/>
              <w:right w:w="100" w:type="dxa"/>
            </w:tcMar>
          </w:tcPr>
          <w:p w14:paraId="40AF64EE" w14:textId="77777777" w:rsidR="005E23F6" w:rsidRPr="00C40C77" w:rsidRDefault="005E23F6" w:rsidP="00834BF3">
            <w:pPr>
              <w:rPr>
                <w:rFonts w:asciiTheme="majorBidi" w:hAnsiTheme="majorBidi" w:cstheme="majorBidi"/>
                <w:sz w:val="20"/>
                <w:szCs w:val="20"/>
              </w:rPr>
            </w:pPr>
            <w:r w:rsidRPr="00C40C77">
              <w:rPr>
                <w:rFonts w:asciiTheme="majorBidi" w:hAnsiTheme="majorBidi" w:cstheme="majorBidi"/>
                <w:sz w:val="20"/>
                <w:szCs w:val="20"/>
              </w:rPr>
              <w:t>N/A (segmentation task)</w:t>
            </w:r>
          </w:p>
        </w:tc>
      </w:tr>
    </w:tbl>
    <w:p w14:paraId="6DE5BFE2" w14:textId="33AC08FE" w:rsidR="005B4500" w:rsidRDefault="005B4500" w:rsidP="005E23F6">
      <w:pPr>
        <w:spacing w:before="200" w:after="0"/>
      </w:pPr>
    </w:p>
    <w:p w14:paraId="69E1D050" w14:textId="77777777" w:rsidR="005B4500" w:rsidRDefault="005B4500">
      <w:r>
        <w:br w:type="page"/>
      </w:r>
    </w:p>
    <w:p w14:paraId="0EE0F3D2" w14:textId="795C74DE" w:rsidR="002E70EE" w:rsidRDefault="002E70EE" w:rsidP="00050AF7">
      <w:pPr>
        <w:pStyle w:val="Heading1"/>
      </w:pPr>
      <w:bookmarkStart w:id="14" w:name="_Toc224222551"/>
      <w:r w:rsidRPr="00EF2335">
        <w:lastRenderedPageBreak/>
        <w:t>References</w:t>
      </w:r>
      <w:bookmarkEnd w:id="14"/>
    </w:p>
    <w:p w14:paraId="6AFC6DA5" w14:textId="77777777" w:rsidR="00147D7D" w:rsidRPr="00147D7D" w:rsidRDefault="00147D7D" w:rsidP="00147D7D">
      <w:pPr>
        <w:rPr>
          <w:rtl/>
        </w:rPr>
      </w:pPr>
    </w:p>
    <w:p w14:paraId="0426E9C4" w14:textId="77777777" w:rsidR="00975288" w:rsidRPr="00706894" w:rsidRDefault="00975288" w:rsidP="00975288">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9" w:history="1">
        <w:r>
          <w:rPr>
            <w:rStyle w:val="Hyperlink"/>
          </w:rPr>
          <w:t>https://doi.org/10.3322/caac.21834</w:t>
        </w:r>
      </w:hyperlink>
    </w:p>
    <w:p w14:paraId="63E2C457" w14:textId="77777777" w:rsidR="00975288" w:rsidRPr="00706894" w:rsidRDefault="00975288" w:rsidP="00975288">
      <w:pPr>
        <w:spacing w:line="360" w:lineRule="auto"/>
        <w:ind w:left="720" w:hanging="720"/>
        <w:jc w:val="both"/>
      </w:pPr>
      <w:r>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Pr>
            <w:rStyle w:val="Hyperlink"/>
          </w:rPr>
          <w:t>https://doi.org/10.2214/AJR.19.22074</w:t>
        </w:r>
      </w:hyperlink>
    </w:p>
    <w:p w14:paraId="0D932A08" w14:textId="77777777" w:rsidR="00975288" w:rsidRDefault="00975288" w:rsidP="00975288">
      <w:pPr>
        <w:spacing w:line="360" w:lineRule="auto"/>
        <w:ind w:left="720" w:hanging="720"/>
        <w:jc w:val="both"/>
      </w:pPr>
      <w:r>
        <w:t xml:space="preserve">[3] Padala, S. A., Barsouk, A., Thandra, K. C., et al. (2020). Epidemiology of Renal Cell Carcinoma. World Journal of Oncology, 11(3), 79-87. </w:t>
      </w:r>
      <w:hyperlink r:id="rId11" w:history="1">
        <w:r>
          <w:rPr>
            <w:rStyle w:val="Hyperlink"/>
          </w:rPr>
          <w:t>https://doi.org/10.14740/wjon1279</w:t>
        </w:r>
      </w:hyperlink>
    </w:p>
    <w:p w14:paraId="61C02203" w14:textId="77777777" w:rsidR="00975288" w:rsidRDefault="00975288" w:rsidP="00975288">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2" w:history="1">
        <w:r>
          <w:rPr>
            <w:rStyle w:val="Hyperlink"/>
          </w:rPr>
          <w:t>https://doi.org/10.3322/caac.21660</w:t>
        </w:r>
      </w:hyperlink>
    </w:p>
    <w:p w14:paraId="22E5B445" w14:textId="77777777" w:rsidR="00975288" w:rsidRDefault="00975288" w:rsidP="00975288">
      <w:pPr>
        <w:spacing w:line="360" w:lineRule="auto"/>
        <w:ind w:left="720" w:hanging="720"/>
        <w:jc w:val="both"/>
      </w:pPr>
      <w:r>
        <w:t xml:space="preserve">[5] World Cancer Research Fund International. (2024). Kidney cancer statistics. </w:t>
      </w:r>
      <w:hyperlink r:id="rId13" w:history="1">
        <w:r>
          <w:rPr>
            <w:rStyle w:val="Hyperlink"/>
          </w:rPr>
          <w:t>https://www.wcrf.org/preventing-cancer/cancer-statistics/kidney-cancer-statistics/</w:t>
        </w:r>
      </w:hyperlink>
    </w:p>
    <w:p w14:paraId="6141731C" w14:textId="77777777" w:rsidR="00975288" w:rsidRDefault="00975288" w:rsidP="00975288">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Pr>
            <w:rStyle w:val="Hyperlink"/>
          </w:rPr>
          <w:t>https://seer.cancer.gov/statfacts/html/kidrp.html</w:t>
        </w:r>
      </w:hyperlink>
    </w:p>
    <w:p w14:paraId="26E9F448" w14:textId="77777777" w:rsidR="00975288" w:rsidRDefault="00975288" w:rsidP="00975288">
      <w:pPr>
        <w:spacing w:line="360" w:lineRule="auto"/>
        <w:ind w:left="720" w:hanging="720"/>
        <w:jc w:val="both"/>
      </w:pPr>
      <w:r>
        <w:t xml:space="preserve">[7] Dai, C., Xiong, Y., Zhu, P., et al. (2024). Deep learning assessment of small renal masses at contrast-enhanced multiphase CT. Radiology, 311(2), e232178. </w:t>
      </w:r>
      <w:hyperlink r:id="rId15" w:history="1">
        <w:r>
          <w:rPr>
            <w:rStyle w:val="Hyperlink"/>
          </w:rPr>
          <w:t>https://doi.org/10.1148/radiol.232178</w:t>
        </w:r>
      </w:hyperlink>
    </w:p>
    <w:p w14:paraId="784D3256" w14:textId="77777777" w:rsidR="00975288" w:rsidRDefault="00975288" w:rsidP="00975288">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16" w:history="1">
        <w:r>
          <w:rPr>
            <w:rStyle w:val="Hyperlink"/>
          </w:rPr>
          <w:t>https://doi.org/10.1038/s41698-021-00195-y</w:t>
        </w:r>
      </w:hyperlink>
    </w:p>
    <w:p w14:paraId="449118AF" w14:textId="77777777" w:rsidR="00975288" w:rsidRPr="00706894" w:rsidRDefault="00975288" w:rsidP="00975288">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17" w:history="1">
        <w:r>
          <w:rPr>
            <w:rStyle w:val="Hyperlink"/>
          </w:rPr>
          <w:t>https://doi.org/10.3390/jcm14144929</w:t>
        </w:r>
      </w:hyperlink>
    </w:p>
    <w:p w14:paraId="0D6CCCC4" w14:textId="77777777" w:rsidR="00975288" w:rsidRDefault="00975288" w:rsidP="00975288">
      <w:pPr>
        <w:spacing w:line="360" w:lineRule="auto"/>
        <w:ind w:left="720" w:hanging="720"/>
        <w:jc w:val="both"/>
      </w:pPr>
      <w:r>
        <w:t xml:space="preserve">[10] Abdeltawab, H., Alksas, A., Ghazal, M., et al. (2026). A deep learning ensemble framework for multi-subtype renal tumor classification using contrast-enhanced CT. Scientific Reports, 16(1), Article 37283. </w:t>
      </w:r>
      <w:hyperlink r:id="rId18" w:history="1">
        <w:r>
          <w:rPr>
            <w:rStyle w:val="Hyperlink"/>
          </w:rPr>
          <w:t>https://doi.org/10.1038/s41598-026-37283-7</w:t>
        </w:r>
      </w:hyperlink>
    </w:p>
    <w:p w14:paraId="21F830DB" w14:textId="77777777" w:rsidR="00975288" w:rsidRDefault="00975288" w:rsidP="00975288">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Pr>
            <w:rStyle w:val="Hyperlink"/>
          </w:rPr>
          <w:t>https://doi.org/10.1038/s41598-022-15634-4</w:t>
        </w:r>
      </w:hyperlink>
    </w:p>
    <w:p w14:paraId="4976F722" w14:textId="77777777" w:rsidR="00975288" w:rsidRDefault="00975288" w:rsidP="00975288">
      <w:pPr>
        <w:spacing w:line="360" w:lineRule="auto"/>
        <w:ind w:left="720" w:hanging="720"/>
        <w:jc w:val="both"/>
      </w:pPr>
      <w:r>
        <w:t xml:space="preserve">[12] Alzu'bi, A., Abdullah, M., Hmeidi, I., AlAzab, R., Gharaibeh, M., El-Heis, M., &amp; Almotairi, K. H. (2022). Kidney tumor detection and classification based on deep learning approaches: A new dataset in CT scans. Journal of Healthcare Engineering, 2022, Article 3861161. </w:t>
      </w:r>
      <w:hyperlink r:id="rId20" w:history="1">
        <w:r>
          <w:rPr>
            <w:rStyle w:val="Hyperlink"/>
          </w:rPr>
          <w:t>https://doi.org/10.1155/2022/3861161</w:t>
        </w:r>
      </w:hyperlink>
    </w:p>
    <w:p w14:paraId="73F3A851" w14:textId="77777777" w:rsidR="00975288" w:rsidRDefault="00975288" w:rsidP="00975288">
      <w:pPr>
        <w:spacing w:line="360" w:lineRule="auto"/>
        <w:ind w:left="720" w:hanging="720"/>
        <w:jc w:val="both"/>
      </w:pPr>
      <w:r>
        <w:t xml:space="preserve">[13] Yildirim, M., &amp; Cinar, A. (2021). Classification of kidney stone types in non-contrast computed tomography images using a new classification approach based on deep learning models and XResNet50 architecture. Computers in Biology and Medicine, 135, Article 104569. </w:t>
      </w:r>
      <w:hyperlink r:id="rId21" w:history="1">
        <w:r>
          <w:rPr>
            <w:rStyle w:val="Hyperlink"/>
          </w:rPr>
          <w:t>https://doi.org/10.1016/j.compbiomed.2021.104569</w:t>
        </w:r>
      </w:hyperlink>
    </w:p>
    <w:p w14:paraId="658D2AE0" w14:textId="77777777" w:rsidR="00975288" w:rsidRPr="00706894" w:rsidRDefault="00975288" w:rsidP="00975288">
      <w:pPr>
        <w:spacing w:line="360" w:lineRule="auto"/>
        <w:ind w:left="720" w:hanging="720"/>
        <w:jc w:val="both"/>
      </w:pPr>
      <w:r>
        <w:t xml:space="preserve">[14] Pimpalkar, A., Saini, D. K. J. B., Shelke, N., Balodi, A., Rapate, G., &amp; Tolani, M. (2025). Fine-tuned deep learning models for early detection and classification of kidney conditions in CT imaging. Scientific Reports, 15(1), Article 94905. </w:t>
      </w:r>
      <w:hyperlink r:id="rId22" w:history="1">
        <w:r>
          <w:rPr>
            <w:rStyle w:val="Hyperlink"/>
          </w:rPr>
          <w:t>https://doi.org/10.1038/s41598-025-94905-2</w:t>
        </w:r>
      </w:hyperlink>
    </w:p>
    <w:p w14:paraId="73B2D287" w14:textId="77777777" w:rsidR="00975288" w:rsidRDefault="00975288" w:rsidP="00975288">
      <w:pPr>
        <w:spacing w:line="360" w:lineRule="auto"/>
        <w:ind w:left="720" w:hanging="720"/>
        <w:jc w:val="both"/>
      </w:pPr>
      <w:r>
        <w:t xml:space="preserve">[15] Sabuncu, M., Ozkan, E., &amp; Onay, A. (2023). Deep learning-based detection of kidney stones in axial CT images using InceptionV3 with pre-processing optimization. Biomedical Engineering / Biomedizinische Technik, 68(4), 393–403. </w:t>
      </w:r>
      <w:hyperlink r:id="rId23" w:history="1">
        <w:r>
          <w:rPr>
            <w:rStyle w:val="Hyperlink"/>
          </w:rPr>
          <w:t>https://doi.org/10.1515/bmt-2022-0142</w:t>
        </w:r>
      </w:hyperlink>
    </w:p>
    <w:p w14:paraId="2E436840" w14:textId="77777777" w:rsidR="00975288" w:rsidRDefault="00975288" w:rsidP="00975288">
      <w:pPr>
        <w:spacing w:line="360" w:lineRule="auto"/>
        <w:ind w:left="720" w:hanging="720"/>
        <w:jc w:val="both"/>
      </w:pPr>
      <w:r>
        <w:t xml:space="preserve">[16] Obaid, W., Hussain, A., Rabie, T., Abd, D. H., &amp; Mansoor, W. (2025). Multi-model deep learning approach for the classification of kidney diseases using medical images. Diagnostics, 15(3), Article 263. </w:t>
      </w:r>
      <w:hyperlink r:id="rId24" w:history="1">
        <w:r>
          <w:rPr>
            <w:rStyle w:val="Hyperlink"/>
          </w:rPr>
          <w:t>https://doi.org/10.3390/diagnostics15030263</w:t>
        </w:r>
      </w:hyperlink>
    </w:p>
    <w:p w14:paraId="6B03259B" w14:textId="77777777" w:rsidR="00975288" w:rsidRDefault="00975288" w:rsidP="00975288">
      <w:pPr>
        <w:spacing w:line="360" w:lineRule="auto"/>
        <w:ind w:left="720" w:hanging="720"/>
        <w:jc w:val="both"/>
      </w:pPr>
      <w:r>
        <w:lastRenderedPageBreak/>
        <w:t xml:space="preserve">[17] Baygin, M., Yaman, O., Tuncer, T., Dogan, S., Aydemir, E., &amp; Acharya, U. R. (2022). Exemplar darknet19 feature generation technique for automated kidney stone detection with coronal CT images. Artificial Intelligence in Medicine, 127, Article 102274. </w:t>
      </w:r>
      <w:hyperlink r:id="rId25" w:history="1">
        <w:r>
          <w:rPr>
            <w:rStyle w:val="Hyperlink"/>
          </w:rPr>
          <w:t>https://doi.org/10.1016/j.artmed.2022.102274</w:t>
        </w:r>
      </w:hyperlink>
    </w:p>
    <w:p w14:paraId="72C69AA6" w14:textId="77777777" w:rsidR="00975288" w:rsidRPr="00496E7F" w:rsidRDefault="00975288" w:rsidP="00975288">
      <w:pPr>
        <w:spacing w:line="360" w:lineRule="auto"/>
        <w:ind w:left="720" w:hanging="720"/>
        <w:jc w:val="both"/>
        <w:rPr>
          <w:lang w:val="es-MX"/>
        </w:rPr>
      </w:pPr>
      <w:r>
        <w:t xml:space="preserve">[18] G. Qian, "Renal CT Image Classification Based on Densely Connected Convolutional Networks," in Proc. 2nd Int. Conf. Data Anal. Mach. Learn. </w:t>
      </w:r>
      <w:r w:rsidRPr="00496E7F">
        <w:rPr>
          <w:lang w:val="es-MX"/>
        </w:rPr>
        <w:t>(DAML), 2024, pp. 115-119.</w:t>
      </w:r>
    </w:p>
    <w:p w14:paraId="4827CF82" w14:textId="77777777" w:rsidR="00975288" w:rsidRPr="00496E7F" w:rsidRDefault="00975288" w:rsidP="00975288">
      <w:pPr>
        <w:spacing w:line="360" w:lineRule="auto"/>
        <w:ind w:left="720" w:hanging="720"/>
        <w:jc w:val="both"/>
        <w:rPr>
          <w:lang w:val="es-MX"/>
        </w:rPr>
      </w:pPr>
    </w:p>
    <w:p w14:paraId="3A509C26" w14:textId="77777777" w:rsidR="00975288" w:rsidRDefault="00975288" w:rsidP="00975288">
      <w:pPr>
        <w:spacing w:line="360" w:lineRule="auto"/>
        <w:ind w:left="720" w:hanging="720"/>
        <w:jc w:val="both"/>
      </w:pPr>
      <w:r w:rsidRPr="00496E7F">
        <w:rPr>
          <w:lang w:val="es-MX"/>
        </w:rPr>
        <w:t xml:space="preserve">[19] El-Hag, N. A., El-Shafai, W., Abd El-Hameed, H. A., Soliman, N. F., Algarni, A. D., &amp; Abd El-Samie, F. E. (2025). </w:t>
      </w:r>
      <w:r>
        <w:t xml:space="preserve">A two-stage deep learning framework for kidney disease detection using modified specular-free imaging and EfficientNetB2. Scientific Reports, 15(1), Article 4606. </w:t>
      </w:r>
      <w:hyperlink r:id="rId26" w:history="1">
        <w:r>
          <w:rPr>
            <w:rStyle w:val="Hyperlink"/>
          </w:rPr>
          <w:t>https://doi.org/10.1038/s41598-025-04606-z</w:t>
        </w:r>
      </w:hyperlink>
    </w:p>
    <w:p w14:paraId="41832330" w14:textId="77777777" w:rsidR="00975288" w:rsidRDefault="00975288" w:rsidP="00975288">
      <w:pPr>
        <w:spacing w:line="360" w:lineRule="auto"/>
        <w:ind w:left="720" w:hanging="720"/>
        <w:jc w:val="both"/>
      </w:pPr>
      <w:r>
        <w:t xml:space="preserve">[20] Almuayqil, S. N., Abd El-Ghany, S., Ahmed, A. E., &amp; Elmogy, M. (2024). KidneyNet: A Novel CNN-Based Technique for the Automated Diagnosis of Chronic Kidney Diseases from CT Scans. Electronics, 13(24), 4981. </w:t>
      </w:r>
      <w:hyperlink r:id="rId27" w:history="1">
        <w:r>
          <w:rPr>
            <w:rStyle w:val="Hyperlink"/>
          </w:rPr>
          <w:t>https://doi.org/10.3390/electronics13244981</w:t>
        </w:r>
      </w:hyperlink>
    </w:p>
    <w:p w14:paraId="5EE9C9EB" w14:textId="77777777" w:rsidR="00975288" w:rsidRDefault="00975288" w:rsidP="00975288">
      <w:pPr>
        <w:spacing w:line="360" w:lineRule="auto"/>
        <w:jc w:val="both"/>
      </w:pPr>
    </w:p>
    <w:p w14:paraId="49F42246" w14:textId="77777777" w:rsidR="00975288" w:rsidRDefault="00975288" w:rsidP="00975288">
      <w:pPr>
        <w:spacing w:line="360" w:lineRule="auto"/>
        <w:ind w:left="720" w:hanging="720"/>
        <w:jc w:val="both"/>
      </w:pPr>
      <w:r>
        <w:t xml:space="preserve">[21] Bhandari, M., Yogarajah, P., Subash Muthu, K., &amp; Condell, J. (2023). Exploring the Capabilities of a Lightweight CNN Model in Accurately Identifying Renal Abnormalities: Cysts, Stones, and Tumors, Using LIME and SHAP. Applied Sciences, 13(5), Article 3125. </w:t>
      </w:r>
      <w:hyperlink r:id="rId28" w:history="1">
        <w:r>
          <w:rPr>
            <w:rStyle w:val="Hyperlink"/>
          </w:rPr>
          <w:t>https://doi.org/10.3390/app13053125</w:t>
        </w:r>
      </w:hyperlink>
    </w:p>
    <w:p w14:paraId="35D3B278" w14:textId="77777777" w:rsidR="00975288" w:rsidRDefault="00975288" w:rsidP="00975288">
      <w:pPr>
        <w:spacing w:line="360" w:lineRule="auto"/>
        <w:ind w:left="720" w:hanging="720"/>
        <w:jc w:val="both"/>
      </w:pPr>
      <w:r>
        <w:t xml:space="preserve">[22] Bingol, H., Yildirim, M., Yildirim, K., &amp; Alatas, B. (2023). Automatic classification of kidney CT images with relief based novel hybrid deep model. PeerJ Computer Science, 9, e1717. </w:t>
      </w:r>
      <w:hyperlink r:id="rId29" w:history="1">
        <w:r>
          <w:rPr>
            <w:rStyle w:val="Hyperlink"/>
          </w:rPr>
          <w:t>https://doi.org/10.7717/peerj-cs.1717</w:t>
        </w:r>
      </w:hyperlink>
    </w:p>
    <w:p w14:paraId="157273AC" w14:textId="77777777" w:rsidR="00975288" w:rsidRPr="00706894" w:rsidRDefault="00975288" w:rsidP="00975288">
      <w:pPr>
        <w:spacing w:line="360" w:lineRule="auto"/>
        <w:ind w:left="720" w:hanging="720"/>
        <w:jc w:val="both"/>
      </w:pPr>
      <w:r>
        <w:t xml:space="preserve">[23] Khan, Z. A., Waqar, M., Khan, H. U., Chaudhary, N. I., Khan, A. T., Ishtiaq, I., Khan, F. A., &amp; Raja, M. A. Z. (2025). Fine-tuned deep transfer learning: an effective strategy for the accurate chronic kidney disease classification. PeerJ Computer Science, 11, e2800. </w:t>
      </w:r>
      <w:hyperlink r:id="rId30" w:history="1">
        <w:r>
          <w:rPr>
            <w:rStyle w:val="Hyperlink"/>
          </w:rPr>
          <w:t>https://doi.org/10.7717/peerj-cs.2800</w:t>
        </w:r>
      </w:hyperlink>
    </w:p>
    <w:p w14:paraId="62CC4B4C" w14:textId="77777777" w:rsidR="00975288" w:rsidRDefault="00975288" w:rsidP="00975288">
      <w:pPr>
        <w:spacing w:line="360" w:lineRule="auto"/>
        <w:ind w:left="720" w:hanging="720"/>
        <w:jc w:val="both"/>
      </w:pPr>
      <w:r w:rsidRPr="00496E7F">
        <w:rPr>
          <w:lang w:val="es-MX"/>
        </w:rPr>
        <w:lastRenderedPageBreak/>
        <w:t xml:space="preserve">[24] Bouzon, M. F., et al. </w:t>
      </w:r>
      <w:r>
        <w:t xml:space="preserve">(2025). KSSD2025: A New Annotated Dataset for Automatic Kidney Stone Segmentation and Evaluation with Modified U-Net Based Deep Learning Models. IEEE Access. </w:t>
      </w:r>
      <w:hyperlink r:id="rId31" w:history="1">
        <w:r>
          <w:rPr>
            <w:rStyle w:val="Hyperlink"/>
          </w:rPr>
          <w:t>https://doi.org/10.1109/ACCESS.2025.3610027</w:t>
        </w:r>
      </w:hyperlink>
    </w:p>
    <w:p w14:paraId="54C2D9D7" w14:textId="77777777" w:rsidR="005578B2" w:rsidRPr="005578B2" w:rsidRDefault="005578B2" w:rsidP="005578B2"/>
    <w:sectPr w:rsidR="005578B2" w:rsidRPr="005578B2" w:rsidSect="000B63F2">
      <w:headerReference w:type="default" r:id="rId32"/>
      <w:footerReference w:type="default" r:id="rId33"/>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33BCD65B"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B4500">
      <w:rPr>
        <w:rFonts w:eastAsia="Times New Roman" w:cs="Times New Roman"/>
        <w:noProof/>
        <w:sz w:val="20"/>
      </w:rPr>
      <w:t>21</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MX"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19F8"/>
    <w:rsid w:val="001321C9"/>
    <w:rsid w:val="001357E6"/>
    <w:rsid w:val="00147D7D"/>
    <w:rsid w:val="0015074B"/>
    <w:rsid w:val="00177823"/>
    <w:rsid w:val="00177B44"/>
    <w:rsid w:val="001959A9"/>
    <w:rsid w:val="001A6AD9"/>
    <w:rsid w:val="001B7909"/>
    <w:rsid w:val="001E4529"/>
    <w:rsid w:val="001F13A6"/>
    <w:rsid w:val="00201F36"/>
    <w:rsid w:val="0021291A"/>
    <w:rsid w:val="00231031"/>
    <w:rsid w:val="00264D60"/>
    <w:rsid w:val="00271B05"/>
    <w:rsid w:val="0029639D"/>
    <w:rsid w:val="002B7941"/>
    <w:rsid w:val="002E3CC6"/>
    <w:rsid w:val="002E70EE"/>
    <w:rsid w:val="00304302"/>
    <w:rsid w:val="00326F90"/>
    <w:rsid w:val="00341792"/>
    <w:rsid w:val="00342FF3"/>
    <w:rsid w:val="00364A97"/>
    <w:rsid w:val="003B1856"/>
    <w:rsid w:val="003B256A"/>
    <w:rsid w:val="003F4DCE"/>
    <w:rsid w:val="004552F6"/>
    <w:rsid w:val="0047012D"/>
    <w:rsid w:val="00493687"/>
    <w:rsid w:val="00512698"/>
    <w:rsid w:val="00523591"/>
    <w:rsid w:val="00537B81"/>
    <w:rsid w:val="005547AD"/>
    <w:rsid w:val="005578B2"/>
    <w:rsid w:val="0056545F"/>
    <w:rsid w:val="00571297"/>
    <w:rsid w:val="00593B49"/>
    <w:rsid w:val="005A1B68"/>
    <w:rsid w:val="005B4500"/>
    <w:rsid w:val="005E23F6"/>
    <w:rsid w:val="00623850"/>
    <w:rsid w:val="00625E02"/>
    <w:rsid w:val="00633AEF"/>
    <w:rsid w:val="006604AF"/>
    <w:rsid w:val="00673C88"/>
    <w:rsid w:val="0069630E"/>
    <w:rsid w:val="006A3C6A"/>
    <w:rsid w:val="006B2B2D"/>
    <w:rsid w:val="0073747F"/>
    <w:rsid w:val="00737693"/>
    <w:rsid w:val="007856D4"/>
    <w:rsid w:val="007A2BC2"/>
    <w:rsid w:val="007C419B"/>
    <w:rsid w:val="007D3295"/>
    <w:rsid w:val="007F67D2"/>
    <w:rsid w:val="008126E3"/>
    <w:rsid w:val="008137C1"/>
    <w:rsid w:val="00825C53"/>
    <w:rsid w:val="008265C2"/>
    <w:rsid w:val="0082725C"/>
    <w:rsid w:val="00834BF3"/>
    <w:rsid w:val="00850F0B"/>
    <w:rsid w:val="0088450E"/>
    <w:rsid w:val="008B203A"/>
    <w:rsid w:val="008B2526"/>
    <w:rsid w:val="008F207B"/>
    <w:rsid w:val="00901124"/>
    <w:rsid w:val="00904445"/>
    <w:rsid w:val="00946BD1"/>
    <w:rsid w:val="009526E1"/>
    <w:rsid w:val="0096202A"/>
    <w:rsid w:val="00975288"/>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911FF"/>
    <w:rsid w:val="00BB568A"/>
    <w:rsid w:val="00BB6595"/>
    <w:rsid w:val="00BC33B6"/>
    <w:rsid w:val="00BF2631"/>
    <w:rsid w:val="00BF774B"/>
    <w:rsid w:val="00C15A9B"/>
    <w:rsid w:val="00C15D20"/>
    <w:rsid w:val="00C36ED1"/>
    <w:rsid w:val="00C40C77"/>
    <w:rsid w:val="00C47470"/>
    <w:rsid w:val="00C54B8A"/>
    <w:rsid w:val="00CB0664"/>
    <w:rsid w:val="00CB5DA9"/>
    <w:rsid w:val="00CF0CB5"/>
    <w:rsid w:val="00CF5500"/>
    <w:rsid w:val="00CF6BCD"/>
    <w:rsid w:val="00D331B7"/>
    <w:rsid w:val="00D77111"/>
    <w:rsid w:val="00DE39A8"/>
    <w:rsid w:val="00E222D1"/>
    <w:rsid w:val="00E72CBE"/>
    <w:rsid w:val="00EB5D81"/>
    <w:rsid w:val="00ED0B29"/>
    <w:rsid w:val="00F04384"/>
    <w:rsid w:val="00F174C2"/>
    <w:rsid w:val="00F1758A"/>
    <w:rsid w:val="00F20213"/>
    <w:rsid w:val="00F82EA7"/>
    <w:rsid w:val="00F90972"/>
    <w:rsid w:val="00FB390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crf.org/preventing-cancer/cancer-statistics/kidney-cancer-statistics/" TargetMode="External"/><Relationship Id="rId18" Type="http://schemas.openxmlformats.org/officeDocument/2006/relationships/hyperlink" Target="https://doi.org/10.1038/s41598-026-37283-7" TargetMode="External"/><Relationship Id="rId26" Type="http://schemas.openxmlformats.org/officeDocument/2006/relationships/hyperlink" Target="https://doi.org/10.1038/s41598-025-04606-z" TargetMode="External"/><Relationship Id="rId3" Type="http://schemas.openxmlformats.org/officeDocument/2006/relationships/styles" Target="styles.xml"/><Relationship Id="rId21" Type="http://schemas.openxmlformats.org/officeDocument/2006/relationships/hyperlink" Target="https://doi.org/10.1109/TMI.2018.280746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22/caac.21660" TargetMode="External"/><Relationship Id="rId17" Type="http://schemas.openxmlformats.org/officeDocument/2006/relationships/hyperlink" Target="https://doi.org/10.3390/jcm14144929" TargetMode="External"/><Relationship Id="rId25" Type="http://schemas.openxmlformats.org/officeDocument/2006/relationships/hyperlink" Target="https://doi.org/10.1109/TMI.2018.280746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38/s41698-021-00195-y" TargetMode="External"/><Relationship Id="rId20" Type="http://schemas.openxmlformats.org/officeDocument/2006/relationships/hyperlink" Target="https://doi.org/10.1051/matecconf/202337701005" TargetMode="External"/><Relationship Id="rId29" Type="http://schemas.openxmlformats.org/officeDocument/2006/relationships/hyperlink" Target="https://doi.org/10.7717/peerj-cs.1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740/wjon1279" TargetMode="External"/><Relationship Id="rId24" Type="http://schemas.openxmlformats.org/officeDocument/2006/relationships/hyperlink" Target="https://doi.org/10.1051/matecconf/202337701005"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48/radiol.232178" TargetMode="External"/><Relationship Id="rId23" Type="http://schemas.openxmlformats.org/officeDocument/2006/relationships/hyperlink" Target="https://doi.org/10.3390/technologies13110508" TargetMode="External"/><Relationship Id="rId28" Type="http://schemas.openxmlformats.org/officeDocument/2006/relationships/hyperlink" Target="https://doi.org/10.3390/app13053125" TargetMode="External"/><Relationship Id="rId10" Type="http://schemas.openxmlformats.org/officeDocument/2006/relationships/hyperlink" Target="https://doi.org/10.2214/AJR.19.22074" TargetMode="External"/><Relationship Id="rId19" Type="http://schemas.openxmlformats.org/officeDocument/2006/relationships/hyperlink" Target="https://doi.org/10.1038/s41598-022-15634-4" TargetMode="External"/><Relationship Id="rId31" Type="http://schemas.openxmlformats.org/officeDocument/2006/relationships/hyperlink" Target="https://doi.org/10.1109/ACCESS.2025.3610027" TargetMode="External"/><Relationship Id="rId4" Type="http://schemas.openxmlformats.org/officeDocument/2006/relationships/settings" Target="settings.xml"/><Relationship Id="rId9" Type="http://schemas.openxmlformats.org/officeDocument/2006/relationships/hyperlink" Target="https://doi.org/10.3322/caac.21834" TargetMode="External"/><Relationship Id="rId14" Type="http://schemas.openxmlformats.org/officeDocument/2006/relationships/hyperlink" Target="https://seer.cancer.gov/statfacts/html/kidrp.html" TargetMode="External"/><Relationship Id="rId22" Type="http://schemas.openxmlformats.org/officeDocument/2006/relationships/hyperlink" Target="https://doi.org/10.1038/s41598-025-94905-2" TargetMode="External"/><Relationship Id="rId27" Type="http://schemas.openxmlformats.org/officeDocument/2006/relationships/hyperlink" Target="https://doi.org/10.3390/electronics13244981" TargetMode="External"/><Relationship Id="rId30" Type="http://schemas.openxmlformats.org/officeDocument/2006/relationships/hyperlink" Target="https://doi.org/10.7717/peerj-cs.2800"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0E8FC-0FB3-44A5-BF5D-6819AACA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23</Pages>
  <Words>6205</Words>
  <Characters>35375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41498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Faisal</cp:lastModifiedBy>
  <cp:revision>17</cp:revision>
  <cp:lastPrinted>2026-02-20T13:24:00Z</cp:lastPrinted>
  <dcterms:created xsi:type="dcterms:W3CDTF">2026-03-11T20:52:00Z</dcterms:created>
  <dcterms:modified xsi:type="dcterms:W3CDTF">2026-03-12T12:42:00Z</dcterms:modified>
  <cp:category/>
</cp:coreProperties>
</file>