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93591" w14:textId="5DF362CC" w:rsidR="00681390" w:rsidRPr="00407D80" w:rsidRDefault="00050F5B" w:rsidP="008C0001">
      <w:pPr>
        <w:bidi/>
        <w:spacing w:line="276" w:lineRule="auto"/>
        <w:rPr>
          <w:rFonts w:asciiTheme="minorBidi" w:hAnsiTheme="minorBidi"/>
          <w:rtl/>
          <w:lang w:val="en-US"/>
        </w:rPr>
      </w:pPr>
      <w:r w:rsidRPr="00407D80">
        <w:rPr>
          <w:rFonts w:asciiTheme="minorBidi" w:hAnsiTheme="minorBidi"/>
          <w:noProof/>
          <w:rtl/>
          <w:lang w:val="ar-SA"/>
        </w:rPr>
        <w:drawing>
          <wp:anchor distT="0" distB="0" distL="114300" distR="114300" simplePos="0" relativeHeight="251658240" behindDoc="0" locked="0" layoutInCell="1" allowOverlap="1" wp14:anchorId="33891A82" wp14:editId="788DD0E4">
            <wp:simplePos x="0" y="0"/>
            <wp:positionH relativeFrom="column">
              <wp:posOffset>-87086</wp:posOffset>
            </wp:positionH>
            <wp:positionV relativeFrom="paragraph">
              <wp:posOffset>-511629</wp:posOffset>
            </wp:positionV>
            <wp:extent cx="1861458" cy="1861458"/>
            <wp:effectExtent l="0" t="0" r="5715" b="5715"/>
            <wp:wrapNone/>
            <wp:docPr id="9523946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94607" name="Picture 9523946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7397" cy="1867397"/>
                    </a:xfrm>
                    <a:prstGeom prst="rect">
                      <a:avLst/>
                    </a:prstGeom>
                  </pic:spPr>
                </pic:pic>
              </a:graphicData>
            </a:graphic>
            <wp14:sizeRelH relativeFrom="page">
              <wp14:pctWidth>0</wp14:pctWidth>
            </wp14:sizeRelH>
            <wp14:sizeRelV relativeFrom="page">
              <wp14:pctHeight>0</wp14:pctHeight>
            </wp14:sizeRelV>
          </wp:anchor>
        </w:drawing>
      </w:r>
      <w:r w:rsidRPr="00407D80">
        <w:rPr>
          <w:rFonts w:asciiTheme="minorBidi" w:hAnsiTheme="minorBidi"/>
          <w:rtl/>
          <w:lang w:val="en-US"/>
        </w:rPr>
        <w:t>جامعة ميدأوشن</w:t>
      </w:r>
    </w:p>
    <w:p w14:paraId="3F77AAE4" w14:textId="77777777" w:rsidR="00050F5B" w:rsidRPr="00407D80" w:rsidRDefault="00050F5B" w:rsidP="008C0001">
      <w:pPr>
        <w:bidi/>
        <w:spacing w:line="276" w:lineRule="auto"/>
        <w:rPr>
          <w:rFonts w:asciiTheme="minorBidi" w:hAnsiTheme="minorBidi"/>
          <w:rtl/>
          <w:lang w:val="en-US"/>
        </w:rPr>
      </w:pPr>
    </w:p>
    <w:p w14:paraId="7649E252" w14:textId="0EE32C24" w:rsidR="00050F5B" w:rsidRPr="00407D80" w:rsidRDefault="00050F5B" w:rsidP="008C0001">
      <w:pPr>
        <w:bidi/>
        <w:spacing w:line="276" w:lineRule="auto"/>
        <w:rPr>
          <w:rFonts w:asciiTheme="minorBidi" w:hAnsiTheme="minorBidi"/>
          <w:rtl/>
          <w:lang w:val="en-US"/>
        </w:rPr>
      </w:pPr>
      <w:r w:rsidRPr="00407D80">
        <w:rPr>
          <w:rFonts w:asciiTheme="minorBidi" w:hAnsiTheme="minorBidi"/>
          <w:rtl/>
          <w:lang w:val="en-US"/>
        </w:rPr>
        <w:t xml:space="preserve">كلية الإعلام والتسويق </w:t>
      </w:r>
    </w:p>
    <w:p w14:paraId="784F258E" w14:textId="77777777" w:rsidR="00050F5B" w:rsidRPr="00407D80" w:rsidRDefault="00050F5B" w:rsidP="008C0001">
      <w:pPr>
        <w:bidi/>
        <w:spacing w:line="276" w:lineRule="auto"/>
        <w:rPr>
          <w:rFonts w:asciiTheme="minorBidi" w:hAnsiTheme="minorBidi"/>
          <w:rtl/>
          <w:lang w:val="en-US"/>
        </w:rPr>
      </w:pPr>
    </w:p>
    <w:p w14:paraId="0E2A9D49" w14:textId="1338E365" w:rsidR="00050F5B" w:rsidRPr="00407D80" w:rsidRDefault="00050F5B" w:rsidP="008C0001">
      <w:pPr>
        <w:bidi/>
        <w:spacing w:line="276" w:lineRule="auto"/>
        <w:rPr>
          <w:rFonts w:asciiTheme="minorBidi" w:hAnsiTheme="minorBidi"/>
          <w:rtl/>
          <w:lang w:val="en-US"/>
        </w:rPr>
      </w:pPr>
      <w:r w:rsidRPr="00407D80">
        <w:rPr>
          <w:rFonts w:asciiTheme="minorBidi" w:hAnsiTheme="minorBidi"/>
          <w:rtl/>
          <w:lang w:val="en-US"/>
        </w:rPr>
        <w:t>ماجستير التسويق الرقمي</w:t>
      </w:r>
    </w:p>
    <w:p w14:paraId="4AAC16F8" w14:textId="77777777" w:rsidR="00050F5B" w:rsidRPr="00407D80" w:rsidRDefault="00050F5B" w:rsidP="008C0001">
      <w:pPr>
        <w:bidi/>
        <w:spacing w:line="276" w:lineRule="auto"/>
        <w:rPr>
          <w:rFonts w:asciiTheme="minorBidi" w:hAnsiTheme="minorBidi"/>
          <w:rtl/>
          <w:lang w:val="en-US"/>
        </w:rPr>
      </w:pPr>
    </w:p>
    <w:p w14:paraId="060B3F11" w14:textId="77777777" w:rsidR="00050F5B" w:rsidRPr="00407D80" w:rsidRDefault="00050F5B" w:rsidP="008C0001">
      <w:pPr>
        <w:bidi/>
        <w:spacing w:line="276" w:lineRule="auto"/>
        <w:rPr>
          <w:rFonts w:asciiTheme="minorBidi" w:hAnsiTheme="minorBidi"/>
          <w:rtl/>
          <w:lang w:val="en-US"/>
        </w:rPr>
      </w:pPr>
    </w:p>
    <w:p w14:paraId="3FC31974" w14:textId="77777777" w:rsidR="00050F5B" w:rsidRPr="00407D80" w:rsidRDefault="00050F5B" w:rsidP="008C0001">
      <w:pPr>
        <w:bidi/>
        <w:spacing w:line="276" w:lineRule="auto"/>
        <w:rPr>
          <w:rFonts w:asciiTheme="minorBidi" w:hAnsiTheme="minorBidi"/>
          <w:rtl/>
          <w:lang w:val="en-US"/>
        </w:rPr>
      </w:pPr>
    </w:p>
    <w:p w14:paraId="31FE0595" w14:textId="77777777" w:rsidR="00050F5B" w:rsidRPr="00407D80" w:rsidRDefault="00050F5B" w:rsidP="008C0001">
      <w:pPr>
        <w:bidi/>
        <w:spacing w:line="276" w:lineRule="auto"/>
        <w:rPr>
          <w:rFonts w:asciiTheme="minorBidi" w:hAnsiTheme="minorBidi"/>
          <w:rtl/>
          <w:lang w:val="en-US"/>
        </w:rPr>
      </w:pPr>
    </w:p>
    <w:p w14:paraId="32579DF6" w14:textId="77777777" w:rsidR="00050F5B" w:rsidRPr="00407D80" w:rsidRDefault="00050F5B" w:rsidP="008C0001">
      <w:pPr>
        <w:bidi/>
        <w:spacing w:line="276" w:lineRule="auto"/>
        <w:rPr>
          <w:rFonts w:asciiTheme="minorBidi" w:hAnsiTheme="minorBidi"/>
          <w:rtl/>
          <w:lang w:val="en-US"/>
        </w:rPr>
      </w:pPr>
    </w:p>
    <w:p w14:paraId="3297AA3E" w14:textId="77777777" w:rsidR="00050F5B" w:rsidRPr="00407D80" w:rsidRDefault="00050F5B" w:rsidP="008C0001">
      <w:pPr>
        <w:bidi/>
        <w:spacing w:line="276" w:lineRule="auto"/>
        <w:rPr>
          <w:rFonts w:asciiTheme="minorBidi" w:hAnsiTheme="minorBidi"/>
          <w:rtl/>
          <w:lang w:val="en-US"/>
        </w:rPr>
      </w:pPr>
    </w:p>
    <w:p w14:paraId="410926FF" w14:textId="77777777" w:rsidR="00050F5B" w:rsidRPr="00407D80" w:rsidRDefault="00050F5B" w:rsidP="008C0001">
      <w:pPr>
        <w:bidi/>
        <w:spacing w:line="276" w:lineRule="auto"/>
        <w:rPr>
          <w:rFonts w:asciiTheme="minorBidi" w:hAnsiTheme="minorBidi"/>
          <w:rtl/>
          <w:lang w:val="en-US"/>
        </w:rPr>
      </w:pPr>
    </w:p>
    <w:p w14:paraId="39A25E84" w14:textId="77777777" w:rsidR="00050F5B" w:rsidRPr="00407D80" w:rsidRDefault="00050F5B" w:rsidP="008C0001">
      <w:pPr>
        <w:bidi/>
        <w:spacing w:line="276" w:lineRule="auto"/>
        <w:rPr>
          <w:rFonts w:asciiTheme="minorBidi" w:hAnsiTheme="minorBidi"/>
          <w:rtl/>
          <w:lang w:val="en-US"/>
        </w:rPr>
      </w:pPr>
    </w:p>
    <w:p w14:paraId="0C01F422" w14:textId="77777777" w:rsidR="00050F5B" w:rsidRPr="00407D80" w:rsidRDefault="00050F5B" w:rsidP="008C0001">
      <w:pPr>
        <w:bidi/>
        <w:spacing w:line="276" w:lineRule="auto"/>
        <w:rPr>
          <w:rFonts w:asciiTheme="minorBidi" w:hAnsiTheme="minorBidi"/>
          <w:rtl/>
          <w:lang w:val="en-US"/>
        </w:rPr>
      </w:pPr>
    </w:p>
    <w:p w14:paraId="0126D609" w14:textId="77777777" w:rsidR="00050F5B" w:rsidRPr="00407D80" w:rsidRDefault="00050F5B" w:rsidP="008C0001">
      <w:pPr>
        <w:bidi/>
        <w:spacing w:line="276" w:lineRule="auto"/>
        <w:rPr>
          <w:rFonts w:asciiTheme="minorBidi" w:hAnsiTheme="minorBidi"/>
          <w:rtl/>
          <w:lang w:val="en-US"/>
        </w:rPr>
      </w:pPr>
    </w:p>
    <w:p w14:paraId="4093A990" w14:textId="5B5DC5EC" w:rsidR="00050F5B" w:rsidRPr="00407D80" w:rsidRDefault="001220F4" w:rsidP="008C0001">
      <w:pPr>
        <w:bidi/>
        <w:spacing w:line="276" w:lineRule="auto"/>
        <w:rPr>
          <w:rFonts w:asciiTheme="minorBidi" w:hAnsiTheme="minorBidi"/>
          <w:rtl/>
          <w:lang w:val="en-US"/>
        </w:rPr>
      </w:pPr>
      <w:r w:rsidRPr="00407D80">
        <w:rPr>
          <w:rFonts w:asciiTheme="minorBidi" w:hAnsiTheme="minorBidi"/>
          <w:rtl/>
          <w:lang w:val="en-US"/>
        </w:rPr>
        <w:t>خطة بحثية مقدمة لتسجيل درجة الماجستير في التسويق الرقمي</w:t>
      </w:r>
      <w:r w:rsidR="00050F5B" w:rsidRPr="00407D80">
        <w:rPr>
          <w:rFonts w:asciiTheme="minorBidi" w:hAnsiTheme="minorBidi"/>
          <w:rtl/>
          <w:lang w:val="en-US"/>
        </w:rPr>
        <w:t>:</w:t>
      </w:r>
    </w:p>
    <w:p w14:paraId="3B0D956F" w14:textId="77777777" w:rsidR="00050F5B" w:rsidRPr="00407D80" w:rsidRDefault="00050F5B" w:rsidP="008C0001">
      <w:pPr>
        <w:bidi/>
        <w:spacing w:line="276" w:lineRule="auto"/>
        <w:rPr>
          <w:rFonts w:asciiTheme="minorBidi" w:hAnsiTheme="minorBidi"/>
          <w:rtl/>
          <w:lang w:val="en-US"/>
        </w:rPr>
      </w:pPr>
    </w:p>
    <w:p w14:paraId="659CBD43" w14:textId="77777777" w:rsidR="00050F5B" w:rsidRPr="00407D80" w:rsidRDefault="00050F5B" w:rsidP="008C0001">
      <w:pPr>
        <w:bidi/>
        <w:spacing w:line="276" w:lineRule="auto"/>
        <w:rPr>
          <w:rFonts w:asciiTheme="minorBidi" w:hAnsiTheme="minorBidi"/>
          <w:rtl/>
          <w:lang w:val="en-US"/>
        </w:rPr>
      </w:pPr>
    </w:p>
    <w:p w14:paraId="33F3545E" w14:textId="40D2C0B7" w:rsidR="00050F5B" w:rsidRPr="00407D80" w:rsidRDefault="00050F5B" w:rsidP="008C0001">
      <w:pPr>
        <w:pStyle w:val="p1"/>
        <w:bidi/>
        <w:spacing w:line="276" w:lineRule="auto"/>
        <w:rPr>
          <w:rFonts w:asciiTheme="minorBidi" w:hAnsiTheme="minorBidi" w:cstheme="minorBidi"/>
          <w:sz w:val="28"/>
          <w:szCs w:val="28"/>
          <w:rtl/>
        </w:rPr>
      </w:pPr>
      <w:r w:rsidRPr="00407D80">
        <w:rPr>
          <w:rFonts w:asciiTheme="minorBidi" w:hAnsiTheme="minorBidi" w:cstheme="minorBidi"/>
          <w:sz w:val="28"/>
          <w:szCs w:val="28"/>
          <w:rtl/>
        </w:rPr>
        <w:t>"تأثير مؤشرات الأداء في الإعلانات المدفوعة على جودة القرار التسويقي: دراسة ميدانية تحليلية"</w:t>
      </w:r>
    </w:p>
    <w:p w14:paraId="2FD5EF48" w14:textId="77777777" w:rsidR="00050F5B" w:rsidRPr="00407D80" w:rsidRDefault="00050F5B" w:rsidP="008C0001">
      <w:pPr>
        <w:pStyle w:val="p1"/>
        <w:bidi/>
        <w:spacing w:line="276" w:lineRule="auto"/>
        <w:rPr>
          <w:rFonts w:asciiTheme="minorBidi" w:hAnsiTheme="minorBidi" w:cstheme="minorBidi"/>
          <w:sz w:val="28"/>
          <w:szCs w:val="28"/>
          <w:rtl/>
        </w:rPr>
      </w:pPr>
    </w:p>
    <w:p w14:paraId="456431F3" w14:textId="00760925" w:rsidR="00050F5B" w:rsidRPr="00407D80" w:rsidRDefault="00050F5B" w:rsidP="008C0001">
      <w:pPr>
        <w:pStyle w:val="p1"/>
        <w:spacing w:line="276" w:lineRule="auto"/>
        <w:rPr>
          <w:rFonts w:asciiTheme="minorBidi" w:hAnsiTheme="minorBidi" w:cstheme="minorBidi"/>
          <w:sz w:val="28"/>
          <w:szCs w:val="28"/>
          <w:lang w:val="en-US"/>
        </w:rPr>
      </w:pPr>
      <w:r w:rsidRPr="00407D80">
        <w:rPr>
          <w:rFonts w:asciiTheme="minorBidi" w:hAnsiTheme="minorBidi" w:cstheme="minorBidi"/>
          <w:sz w:val="28"/>
          <w:szCs w:val="28"/>
          <w:rtl/>
        </w:rPr>
        <w:t>"</w:t>
      </w:r>
      <w:r w:rsidRPr="00407D80">
        <w:rPr>
          <w:rFonts w:asciiTheme="minorBidi" w:hAnsiTheme="minorBidi" w:cstheme="minorBidi"/>
          <w:sz w:val="28"/>
          <w:szCs w:val="28"/>
        </w:rPr>
        <w:t>The Impact of Performance Indicators in Paid Advertising on Marketing Decision Quality: An Analytical Field Study</w:t>
      </w:r>
      <w:r w:rsidRPr="00407D80">
        <w:rPr>
          <w:rFonts w:asciiTheme="minorBidi" w:hAnsiTheme="minorBidi" w:cstheme="minorBidi"/>
          <w:sz w:val="28"/>
          <w:szCs w:val="28"/>
          <w:rtl/>
        </w:rPr>
        <w:t>"</w:t>
      </w:r>
    </w:p>
    <w:p w14:paraId="5F621B01" w14:textId="77777777" w:rsidR="00050F5B" w:rsidRPr="00407D80" w:rsidRDefault="00050F5B" w:rsidP="008C0001">
      <w:pPr>
        <w:bidi/>
        <w:spacing w:line="276" w:lineRule="auto"/>
        <w:rPr>
          <w:rFonts w:asciiTheme="minorBidi" w:hAnsiTheme="minorBidi"/>
        </w:rPr>
      </w:pPr>
    </w:p>
    <w:p w14:paraId="1C3B7761" w14:textId="77777777" w:rsidR="00050F5B" w:rsidRPr="00407D80" w:rsidRDefault="00050F5B" w:rsidP="008C0001">
      <w:pPr>
        <w:bidi/>
        <w:spacing w:line="276" w:lineRule="auto"/>
        <w:rPr>
          <w:rFonts w:asciiTheme="minorBidi" w:hAnsiTheme="minorBidi"/>
        </w:rPr>
      </w:pPr>
    </w:p>
    <w:p w14:paraId="5BEA7D59" w14:textId="77777777" w:rsidR="00050F5B" w:rsidRPr="00407D80" w:rsidRDefault="00050F5B" w:rsidP="008C0001">
      <w:pPr>
        <w:bidi/>
        <w:spacing w:line="276" w:lineRule="auto"/>
        <w:rPr>
          <w:rFonts w:asciiTheme="minorBidi" w:hAnsiTheme="minorBidi"/>
        </w:rPr>
      </w:pPr>
    </w:p>
    <w:p w14:paraId="627DE5C4" w14:textId="77777777" w:rsidR="00050F5B" w:rsidRPr="00407D80" w:rsidRDefault="00050F5B" w:rsidP="008C0001">
      <w:pPr>
        <w:bidi/>
        <w:spacing w:line="276" w:lineRule="auto"/>
        <w:rPr>
          <w:rFonts w:asciiTheme="minorBidi" w:hAnsiTheme="minorBidi"/>
        </w:rPr>
      </w:pPr>
    </w:p>
    <w:p w14:paraId="64EC5E4E" w14:textId="77777777" w:rsidR="00050F5B" w:rsidRPr="00407D80" w:rsidRDefault="00050F5B" w:rsidP="008C0001">
      <w:pPr>
        <w:bidi/>
        <w:spacing w:line="276" w:lineRule="auto"/>
        <w:rPr>
          <w:rFonts w:asciiTheme="minorBidi" w:hAnsiTheme="minorBidi"/>
        </w:rPr>
      </w:pPr>
    </w:p>
    <w:p w14:paraId="46862B65" w14:textId="77777777" w:rsidR="00050F5B" w:rsidRPr="00407D80" w:rsidRDefault="00050F5B" w:rsidP="008C0001">
      <w:pPr>
        <w:bidi/>
        <w:spacing w:line="276" w:lineRule="auto"/>
        <w:rPr>
          <w:rFonts w:asciiTheme="minorBidi" w:hAnsiTheme="minorBidi"/>
        </w:rPr>
      </w:pPr>
    </w:p>
    <w:p w14:paraId="260EECE6" w14:textId="77777777" w:rsidR="00050F5B" w:rsidRPr="00407D80" w:rsidRDefault="00050F5B" w:rsidP="008C0001">
      <w:pPr>
        <w:bidi/>
        <w:spacing w:line="276" w:lineRule="auto"/>
        <w:rPr>
          <w:rFonts w:asciiTheme="minorBidi" w:hAnsiTheme="minorBidi"/>
        </w:rPr>
      </w:pPr>
    </w:p>
    <w:p w14:paraId="76FE7EA2" w14:textId="7F13572E" w:rsidR="00050F5B" w:rsidRPr="00407D80" w:rsidRDefault="00050F5B" w:rsidP="008C0001">
      <w:pPr>
        <w:bidi/>
        <w:spacing w:line="276" w:lineRule="auto"/>
        <w:rPr>
          <w:rFonts w:asciiTheme="minorBidi" w:hAnsiTheme="minorBidi"/>
          <w:rtl/>
          <w:lang w:val="en-US"/>
        </w:rPr>
      </w:pPr>
      <w:r w:rsidRPr="00407D80">
        <w:rPr>
          <w:rFonts w:asciiTheme="minorBidi" w:hAnsiTheme="minorBidi"/>
          <w:lang w:val="en-US"/>
        </w:rPr>
        <w:t>إ</w:t>
      </w:r>
      <w:r w:rsidRPr="00407D80">
        <w:rPr>
          <w:rFonts w:asciiTheme="minorBidi" w:hAnsiTheme="minorBidi"/>
          <w:rtl/>
          <w:lang w:val="en-US"/>
        </w:rPr>
        <w:t>عداد الباحث: خالد عبدالله سلطان السبيعي</w:t>
      </w:r>
    </w:p>
    <w:p w14:paraId="16F294CB" w14:textId="585AAAA2" w:rsidR="008C0001" w:rsidRPr="00407D80" w:rsidRDefault="008C0001" w:rsidP="008C0001">
      <w:pPr>
        <w:bidi/>
        <w:spacing w:line="276" w:lineRule="auto"/>
        <w:rPr>
          <w:rFonts w:asciiTheme="minorBidi" w:hAnsiTheme="minorBidi"/>
          <w:rtl/>
          <w:lang w:val="en-US"/>
        </w:rPr>
      </w:pPr>
      <w:r w:rsidRPr="00407D80">
        <w:rPr>
          <w:rFonts w:asciiTheme="minorBidi" w:hAnsiTheme="minorBidi"/>
          <w:rtl/>
          <w:lang w:val="en-US"/>
        </w:rPr>
        <w:t>الرقم الأكاديمي: 252001473</w:t>
      </w:r>
    </w:p>
    <w:p w14:paraId="4A70A708" w14:textId="77777777" w:rsidR="008C0001" w:rsidRPr="00407D80" w:rsidRDefault="008C0001" w:rsidP="008C0001">
      <w:pPr>
        <w:bidi/>
        <w:spacing w:line="276" w:lineRule="auto"/>
        <w:rPr>
          <w:rFonts w:asciiTheme="minorBidi" w:hAnsiTheme="minorBidi"/>
          <w:rtl/>
        </w:rPr>
      </w:pPr>
    </w:p>
    <w:p w14:paraId="5D5B325B" w14:textId="66A5C87C" w:rsidR="00050F5B" w:rsidRPr="00407D80" w:rsidRDefault="00050F5B" w:rsidP="008C0001">
      <w:pPr>
        <w:bidi/>
        <w:spacing w:line="276" w:lineRule="auto"/>
        <w:rPr>
          <w:rFonts w:asciiTheme="minorBidi" w:hAnsiTheme="minorBidi"/>
          <w:rtl/>
          <w:lang w:val="en-US"/>
        </w:rPr>
      </w:pPr>
      <w:r w:rsidRPr="00407D80">
        <w:rPr>
          <w:rFonts w:asciiTheme="minorBidi" w:hAnsiTheme="minorBidi"/>
          <w:rtl/>
          <w:lang w:val="en-US"/>
        </w:rPr>
        <w:t>إشراف: الدكتور محمد عويس</w:t>
      </w:r>
    </w:p>
    <w:p w14:paraId="58B9665B" w14:textId="77777777" w:rsidR="00050F5B" w:rsidRPr="00407D80" w:rsidRDefault="00050F5B" w:rsidP="008C0001">
      <w:pPr>
        <w:bidi/>
        <w:spacing w:line="276" w:lineRule="auto"/>
        <w:rPr>
          <w:rFonts w:asciiTheme="minorBidi" w:hAnsiTheme="minorBidi"/>
          <w:rtl/>
          <w:lang w:val="en-US"/>
        </w:rPr>
      </w:pPr>
    </w:p>
    <w:p w14:paraId="05DBF948" w14:textId="77777777" w:rsidR="00050F5B" w:rsidRPr="00407D80" w:rsidRDefault="00050F5B" w:rsidP="008C0001">
      <w:pPr>
        <w:bidi/>
        <w:spacing w:line="276" w:lineRule="auto"/>
        <w:rPr>
          <w:rFonts w:asciiTheme="minorBidi" w:hAnsiTheme="minorBidi"/>
          <w:rtl/>
          <w:lang w:val="en-US"/>
        </w:rPr>
      </w:pPr>
    </w:p>
    <w:p w14:paraId="365CA74F" w14:textId="67551A5C" w:rsidR="00050F5B" w:rsidRPr="00407D80" w:rsidRDefault="00050F5B" w:rsidP="008C0001">
      <w:pPr>
        <w:bidi/>
        <w:spacing w:line="276" w:lineRule="auto"/>
        <w:rPr>
          <w:rFonts w:asciiTheme="minorBidi" w:hAnsiTheme="minorBidi"/>
          <w:rtl/>
          <w:lang w:val="en-US"/>
        </w:rPr>
      </w:pPr>
      <w:r w:rsidRPr="00407D80">
        <w:rPr>
          <w:rFonts w:asciiTheme="minorBidi" w:hAnsiTheme="minorBidi"/>
          <w:rtl/>
          <w:lang w:val="en-US"/>
        </w:rPr>
        <w:t xml:space="preserve">السنة الدراسية: </w:t>
      </w:r>
      <w:r w:rsidR="008C0001" w:rsidRPr="00407D80">
        <w:rPr>
          <w:rFonts w:asciiTheme="minorBidi" w:hAnsiTheme="minorBidi"/>
          <w:rtl/>
          <w:lang w:val="en-US"/>
        </w:rPr>
        <w:t>أبريل</w:t>
      </w:r>
      <w:r w:rsidR="001220F4" w:rsidRPr="00407D80">
        <w:rPr>
          <w:rFonts w:asciiTheme="minorBidi" w:hAnsiTheme="minorBidi"/>
          <w:rtl/>
          <w:lang w:val="en-US"/>
        </w:rPr>
        <w:t xml:space="preserve"> / </w:t>
      </w:r>
      <w:r w:rsidRPr="00407D80">
        <w:rPr>
          <w:rFonts w:asciiTheme="minorBidi" w:hAnsiTheme="minorBidi"/>
          <w:rtl/>
          <w:lang w:val="en-US"/>
        </w:rPr>
        <w:t>2026</w:t>
      </w:r>
    </w:p>
    <w:p w14:paraId="3D8D1092" w14:textId="77777777" w:rsidR="00050F5B" w:rsidRPr="00407D80" w:rsidRDefault="00050F5B" w:rsidP="008C0001">
      <w:pPr>
        <w:bidi/>
        <w:spacing w:line="276" w:lineRule="auto"/>
        <w:rPr>
          <w:rFonts w:asciiTheme="minorBidi" w:hAnsiTheme="minorBidi"/>
          <w:rtl/>
          <w:lang w:val="en-US"/>
        </w:rPr>
      </w:pPr>
    </w:p>
    <w:p w14:paraId="05365FB8" w14:textId="77777777" w:rsidR="00050F5B" w:rsidRPr="00407D80" w:rsidRDefault="00050F5B" w:rsidP="008C0001">
      <w:pPr>
        <w:bidi/>
        <w:spacing w:line="276" w:lineRule="auto"/>
        <w:rPr>
          <w:rFonts w:asciiTheme="minorBidi" w:hAnsiTheme="minorBidi"/>
          <w:rtl/>
          <w:lang w:val="en-US"/>
        </w:rPr>
      </w:pPr>
    </w:p>
    <w:p w14:paraId="2488CE56" w14:textId="3C779A33" w:rsidR="00AB1D33" w:rsidRPr="00407D80" w:rsidRDefault="00AB1D33" w:rsidP="008C0001">
      <w:pPr>
        <w:bidi/>
        <w:spacing w:line="276" w:lineRule="auto"/>
        <w:jc w:val="center"/>
        <w:rPr>
          <w:rFonts w:asciiTheme="minorBidi" w:hAnsiTheme="minorBidi"/>
          <w:b/>
          <w:bCs/>
          <w:sz w:val="32"/>
          <w:szCs w:val="32"/>
        </w:rPr>
      </w:pPr>
      <w:r w:rsidRPr="00407D80">
        <w:rPr>
          <w:rFonts w:asciiTheme="minorBidi" w:hAnsiTheme="minorBidi"/>
          <w:b/>
          <w:bCs/>
          <w:sz w:val="32"/>
          <w:szCs w:val="32"/>
          <w:rtl/>
        </w:rPr>
        <w:t>جدول المحتويات</w:t>
      </w:r>
    </w:p>
    <w:p w14:paraId="0EE32FF8" w14:textId="77777777" w:rsidR="00A6124C" w:rsidRPr="00407D80" w:rsidRDefault="00A6124C" w:rsidP="00407D80">
      <w:pPr>
        <w:bidi/>
        <w:spacing w:line="276" w:lineRule="auto"/>
        <w:jc w:val="center"/>
        <w:rPr>
          <w:rFonts w:asciiTheme="minorBidi" w:hAnsiTheme="minorBidi"/>
          <w:sz w:val="28"/>
          <w:szCs w:val="28"/>
          <w:rtl/>
        </w:rPr>
      </w:pPr>
    </w:p>
    <w:p w14:paraId="7D2DC571" w14:textId="14633720"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r w:rsidRPr="00407D80">
        <w:rPr>
          <w:rFonts w:asciiTheme="minorBidi" w:hAnsiTheme="minorBidi" w:cstheme="minorBidi"/>
          <w:b w:val="0"/>
          <w:bCs w:val="0"/>
          <w:i w:val="0"/>
          <w:iCs w:val="0"/>
          <w:sz w:val="28"/>
          <w:rtl/>
        </w:rPr>
        <w:fldChar w:fldCharType="begin"/>
      </w:r>
      <w:r w:rsidRPr="00407D80">
        <w:rPr>
          <w:rFonts w:asciiTheme="minorBidi" w:hAnsiTheme="minorBidi" w:cstheme="minorBidi"/>
          <w:b w:val="0"/>
          <w:bCs w:val="0"/>
          <w:i w:val="0"/>
          <w:iCs w:val="0"/>
          <w:sz w:val="28"/>
          <w:rtl/>
        </w:rPr>
        <w:instrText xml:space="preserve"> </w:instrText>
      </w:r>
      <w:r w:rsidRPr="00407D80">
        <w:rPr>
          <w:rFonts w:asciiTheme="minorBidi" w:hAnsiTheme="minorBidi" w:cstheme="minorBidi"/>
          <w:b w:val="0"/>
          <w:bCs w:val="0"/>
          <w:i w:val="0"/>
          <w:iCs w:val="0"/>
          <w:sz w:val="28"/>
        </w:rPr>
        <w:instrText>TOC</w:instrText>
      </w:r>
      <w:r w:rsidRPr="00407D80">
        <w:rPr>
          <w:rFonts w:asciiTheme="minorBidi" w:hAnsiTheme="minorBidi" w:cstheme="minorBidi"/>
          <w:b w:val="0"/>
          <w:bCs w:val="0"/>
          <w:i w:val="0"/>
          <w:iCs w:val="0"/>
          <w:sz w:val="28"/>
          <w:rtl/>
        </w:rPr>
        <w:instrText xml:space="preserve"> \</w:instrText>
      </w:r>
      <w:r w:rsidRPr="00407D80">
        <w:rPr>
          <w:rFonts w:asciiTheme="minorBidi" w:hAnsiTheme="minorBidi" w:cstheme="minorBidi"/>
          <w:b w:val="0"/>
          <w:bCs w:val="0"/>
          <w:i w:val="0"/>
          <w:iCs w:val="0"/>
          <w:sz w:val="28"/>
        </w:rPr>
        <w:instrText>o "1-1" \h \z \u</w:instrText>
      </w:r>
      <w:r w:rsidRPr="00407D80">
        <w:rPr>
          <w:rFonts w:asciiTheme="minorBidi" w:hAnsiTheme="minorBidi" w:cstheme="minorBidi"/>
          <w:b w:val="0"/>
          <w:bCs w:val="0"/>
          <w:i w:val="0"/>
          <w:iCs w:val="0"/>
          <w:sz w:val="28"/>
          <w:rtl/>
        </w:rPr>
        <w:instrText xml:space="preserve"> </w:instrText>
      </w:r>
      <w:r w:rsidRPr="00407D80">
        <w:rPr>
          <w:rFonts w:asciiTheme="minorBidi" w:hAnsiTheme="minorBidi" w:cstheme="minorBidi"/>
          <w:b w:val="0"/>
          <w:bCs w:val="0"/>
          <w:i w:val="0"/>
          <w:iCs w:val="0"/>
          <w:sz w:val="28"/>
          <w:rtl/>
        </w:rPr>
        <w:fldChar w:fldCharType="separate"/>
      </w:r>
      <w:hyperlink w:anchor="_Toc228065394" w:history="1">
        <w:r w:rsidRPr="00407D80">
          <w:rPr>
            <w:rStyle w:val="Hyperlink"/>
            <w:rFonts w:asciiTheme="minorBidi" w:hAnsiTheme="minorBidi" w:cstheme="minorBidi"/>
            <w:i w:val="0"/>
            <w:iCs w:val="0"/>
            <w:noProof/>
            <w:sz w:val="28"/>
            <w:u w:val="none"/>
            <w:rtl/>
          </w:rPr>
          <w:t>قائمة الجداول</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_Toc228065394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4</w:t>
        </w:r>
        <w:r w:rsidRPr="00407D80">
          <w:rPr>
            <w:rFonts w:asciiTheme="minorBidi" w:hAnsiTheme="minorBidi" w:cstheme="minorBidi"/>
            <w:i w:val="0"/>
            <w:iCs w:val="0"/>
            <w:noProof/>
            <w:webHidden/>
            <w:sz w:val="28"/>
          </w:rPr>
          <w:fldChar w:fldCharType="end"/>
        </w:r>
      </w:hyperlink>
    </w:p>
    <w:p w14:paraId="5FFC7C35" w14:textId="48FB7B8D"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395" w:history="1">
        <w:r w:rsidRPr="00407D80">
          <w:rPr>
            <w:rStyle w:val="Hyperlink"/>
            <w:rFonts w:asciiTheme="minorBidi" w:hAnsiTheme="minorBidi" w:cstheme="minorBidi"/>
            <w:i w:val="0"/>
            <w:iCs w:val="0"/>
            <w:noProof/>
            <w:sz w:val="28"/>
            <w:u w:val="none"/>
            <w:rtl/>
          </w:rPr>
          <w:t>المقدمة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_Toc228065395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5</w:t>
        </w:r>
        <w:r w:rsidRPr="00407D80">
          <w:rPr>
            <w:rFonts w:asciiTheme="minorBidi" w:hAnsiTheme="minorBidi" w:cstheme="minorBidi"/>
            <w:i w:val="0"/>
            <w:iCs w:val="0"/>
            <w:noProof/>
            <w:webHidden/>
            <w:sz w:val="28"/>
          </w:rPr>
          <w:fldChar w:fldCharType="end"/>
        </w:r>
      </w:hyperlink>
    </w:p>
    <w:p w14:paraId="7435D657" w14:textId="695DE5B9"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396" w:history="1">
        <w:r w:rsidRPr="00407D80">
          <w:rPr>
            <w:rStyle w:val="Hyperlink"/>
            <w:rFonts w:asciiTheme="minorBidi" w:hAnsiTheme="minorBidi" w:cstheme="minorBidi"/>
            <w:i w:val="0"/>
            <w:iCs w:val="0"/>
            <w:noProof/>
            <w:sz w:val="28"/>
            <w:u w:val="none"/>
            <w:rtl/>
            <w:lang w:val="en-US"/>
          </w:rPr>
          <w:t>الدراسات السابقة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_Toc228065396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5</w:t>
        </w:r>
        <w:r w:rsidRPr="00407D80">
          <w:rPr>
            <w:rFonts w:asciiTheme="minorBidi" w:hAnsiTheme="minorBidi" w:cstheme="minorBidi"/>
            <w:i w:val="0"/>
            <w:iCs w:val="0"/>
            <w:noProof/>
            <w:webHidden/>
            <w:sz w:val="28"/>
          </w:rPr>
          <w:fldChar w:fldCharType="end"/>
        </w:r>
      </w:hyperlink>
    </w:p>
    <w:p w14:paraId="506CC6AF" w14:textId="51467CA9"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397" w:history="1">
        <w:r w:rsidRPr="00407D80">
          <w:rPr>
            <w:rStyle w:val="Hyperlink"/>
            <w:rFonts w:asciiTheme="minorBidi" w:hAnsiTheme="minorBidi" w:cstheme="minorBidi"/>
            <w:i w:val="0"/>
            <w:iCs w:val="0"/>
            <w:noProof/>
            <w:sz w:val="28"/>
            <w:u w:val="none"/>
            <w:rtl/>
          </w:rPr>
          <w:t>التعليق التحليلي على الدراسات السابقة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_Toc228065397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12</w:t>
        </w:r>
        <w:r w:rsidRPr="00407D80">
          <w:rPr>
            <w:rFonts w:asciiTheme="minorBidi" w:hAnsiTheme="minorBidi" w:cstheme="minorBidi"/>
            <w:i w:val="0"/>
            <w:iCs w:val="0"/>
            <w:noProof/>
            <w:webHidden/>
            <w:sz w:val="28"/>
          </w:rPr>
          <w:fldChar w:fldCharType="end"/>
        </w:r>
      </w:hyperlink>
    </w:p>
    <w:p w14:paraId="780F03CF" w14:textId="4A6BA3BC"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398" w:history="1">
        <w:r w:rsidRPr="00407D80">
          <w:rPr>
            <w:rStyle w:val="Hyperlink"/>
            <w:rFonts w:asciiTheme="minorBidi" w:hAnsiTheme="minorBidi" w:cstheme="minorBidi"/>
            <w:i w:val="0"/>
            <w:iCs w:val="0"/>
            <w:noProof/>
            <w:sz w:val="28"/>
            <w:u w:val="none"/>
            <w:rtl/>
          </w:rPr>
          <w:t>مشكلة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_Toc228065398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12</w:t>
        </w:r>
        <w:r w:rsidRPr="00407D80">
          <w:rPr>
            <w:rFonts w:asciiTheme="minorBidi" w:hAnsiTheme="minorBidi" w:cstheme="minorBidi"/>
            <w:i w:val="0"/>
            <w:iCs w:val="0"/>
            <w:noProof/>
            <w:webHidden/>
            <w:sz w:val="28"/>
          </w:rPr>
          <w:fldChar w:fldCharType="end"/>
        </w:r>
      </w:hyperlink>
    </w:p>
    <w:p w14:paraId="73120D0A" w14:textId="393A5946"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399" w:history="1">
        <w:r w:rsidRPr="00407D80">
          <w:rPr>
            <w:rStyle w:val="Hyperlink"/>
            <w:rFonts w:asciiTheme="minorBidi" w:hAnsiTheme="minorBidi" w:cstheme="minorBidi"/>
            <w:i w:val="0"/>
            <w:iCs w:val="0"/>
            <w:noProof/>
            <w:sz w:val="28"/>
            <w:u w:val="none"/>
            <w:rtl/>
          </w:rPr>
          <w:t>أهمية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_Toc228065399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13</w:t>
        </w:r>
        <w:r w:rsidRPr="00407D80">
          <w:rPr>
            <w:rFonts w:asciiTheme="minorBidi" w:hAnsiTheme="minorBidi" w:cstheme="minorBidi"/>
            <w:i w:val="0"/>
            <w:iCs w:val="0"/>
            <w:noProof/>
            <w:webHidden/>
            <w:sz w:val="28"/>
          </w:rPr>
          <w:fldChar w:fldCharType="end"/>
        </w:r>
      </w:hyperlink>
    </w:p>
    <w:p w14:paraId="168B27C1" w14:textId="19AA30EA"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00" w:history="1">
        <w:r w:rsidRPr="00407D80">
          <w:rPr>
            <w:rStyle w:val="Hyperlink"/>
            <w:rFonts w:asciiTheme="minorBidi" w:hAnsiTheme="minorBidi" w:cstheme="minorBidi"/>
            <w:i w:val="0"/>
            <w:iCs w:val="0"/>
            <w:noProof/>
            <w:sz w:val="28"/>
            <w:u w:val="none"/>
            <w:rtl/>
          </w:rPr>
          <w:t>أهداف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_Toc228065400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14</w:t>
        </w:r>
        <w:r w:rsidRPr="00407D80">
          <w:rPr>
            <w:rFonts w:asciiTheme="minorBidi" w:hAnsiTheme="minorBidi" w:cstheme="minorBidi"/>
            <w:i w:val="0"/>
            <w:iCs w:val="0"/>
            <w:noProof/>
            <w:webHidden/>
            <w:sz w:val="28"/>
          </w:rPr>
          <w:fldChar w:fldCharType="end"/>
        </w:r>
      </w:hyperlink>
    </w:p>
    <w:p w14:paraId="7380D8F9" w14:textId="72BD657C"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01" w:history="1">
        <w:r w:rsidRPr="00407D80">
          <w:rPr>
            <w:rStyle w:val="Hyperlink"/>
            <w:rFonts w:asciiTheme="minorBidi" w:hAnsiTheme="minorBidi" w:cstheme="minorBidi"/>
            <w:i w:val="0"/>
            <w:iCs w:val="0"/>
            <w:noProof/>
            <w:sz w:val="28"/>
            <w:u w:val="none"/>
            <w:rtl/>
          </w:rPr>
          <w:t>تساؤلات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_Toc228065401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14</w:t>
        </w:r>
        <w:r w:rsidRPr="00407D80">
          <w:rPr>
            <w:rFonts w:asciiTheme="minorBidi" w:hAnsiTheme="minorBidi" w:cstheme="minorBidi"/>
            <w:i w:val="0"/>
            <w:iCs w:val="0"/>
            <w:noProof/>
            <w:webHidden/>
            <w:sz w:val="28"/>
          </w:rPr>
          <w:fldChar w:fldCharType="end"/>
        </w:r>
      </w:hyperlink>
    </w:p>
    <w:p w14:paraId="3110BBB3" w14:textId="7DBB8450"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02" w:history="1">
        <w:r w:rsidRPr="00407D80">
          <w:rPr>
            <w:rStyle w:val="Hyperlink"/>
            <w:rFonts w:asciiTheme="minorBidi" w:hAnsiTheme="minorBidi" w:cstheme="minorBidi"/>
            <w:i w:val="0"/>
            <w:iCs w:val="0"/>
            <w:noProof/>
            <w:sz w:val="28"/>
            <w:u w:val="none"/>
            <w:rtl/>
          </w:rPr>
          <w:t>مفاهيم الدراسة النظرية والإجرائية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_Toc228065402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14</w:t>
        </w:r>
        <w:r w:rsidRPr="00407D80">
          <w:rPr>
            <w:rFonts w:asciiTheme="minorBidi" w:hAnsiTheme="minorBidi" w:cstheme="minorBidi"/>
            <w:i w:val="0"/>
            <w:iCs w:val="0"/>
            <w:noProof/>
            <w:webHidden/>
            <w:sz w:val="28"/>
          </w:rPr>
          <w:fldChar w:fldCharType="end"/>
        </w:r>
      </w:hyperlink>
    </w:p>
    <w:p w14:paraId="69FD8396" w14:textId="699E161A"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03" w:history="1">
        <w:r w:rsidRPr="00407D80">
          <w:rPr>
            <w:rStyle w:val="Hyperlink"/>
            <w:rFonts w:asciiTheme="minorBidi" w:hAnsiTheme="minorBidi" w:cstheme="minorBidi"/>
            <w:i w:val="0"/>
            <w:iCs w:val="0"/>
            <w:noProof/>
            <w:sz w:val="28"/>
            <w:u w:val="none"/>
            <w:rtl/>
          </w:rPr>
          <w:t>فروض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_Toc228065403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15</w:t>
        </w:r>
        <w:r w:rsidRPr="00407D80">
          <w:rPr>
            <w:rFonts w:asciiTheme="minorBidi" w:hAnsiTheme="minorBidi" w:cstheme="minorBidi"/>
            <w:i w:val="0"/>
            <w:iCs w:val="0"/>
            <w:noProof/>
            <w:webHidden/>
            <w:sz w:val="28"/>
          </w:rPr>
          <w:fldChar w:fldCharType="end"/>
        </w:r>
      </w:hyperlink>
    </w:p>
    <w:p w14:paraId="3DAE0F39" w14:textId="75451E2C"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04" w:history="1">
        <w:r w:rsidRPr="00407D80">
          <w:rPr>
            <w:rStyle w:val="Hyperlink"/>
            <w:rFonts w:asciiTheme="minorBidi" w:hAnsiTheme="minorBidi" w:cstheme="minorBidi"/>
            <w:i w:val="0"/>
            <w:iCs w:val="0"/>
            <w:noProof/>
            <w:sz w:val="28"/>
            <w:u w:val="none"/>
            <w:rtl/>
          </w:rPr>
          <w:t>الإطار النظري للدراسة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_Toc228065404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15</w:t>
        </w:r>
        <w:r w:rsidRPr="00407D80">
          <w:rPr>
            <w:rFonts w:asciiTheme="minorBidi" w:hAnsiTheme="minorBidi" w:cstheme="minorBidi"/>
            <w:i w:val="0"/>
            <w:iCs w:val="0"/>
            <w:noProof/>
            <w:webHidden/>
            <w:sz w:val="28"/>
          </w:rPr>
          <w:fldChar w:fldCharType="end"/>
        </w:r>
      </w:hyperlink>
    </w:p>
    <w:p w14:paraId="598ACF9A" w14:textId="5EA9C20E"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05" w:history="1">
        <w:r w:rsidRPr="00407D80">
          <w:rPr>
            <w:rStyle w:val="Hyperlink"/>
            <w:rFonts w:asciiTheme="minorBidi" w:hAnsiTheme="minorBidi" w:cstheme="minorBidi"/>
            <w:i w:val="0"/>
            <w:iCs w:val="0"/>
            <w:noProof/>
            <w:sz w:val="28"/>
            <w:u w:val="none"/>
            <w:rtl/>
          </w:rPr>
          <w:t>نوعية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_Toc228065405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17</w:t>
        </w:r>
        <w:r w:rsidRPr="00407D80">
          <w:rPr>
            <w:rFonts w:asciiTheme="minorBidi" w:hAnsiTheme="minorBidi" w:cstheme="minorBidi"/>
            <w:i w:val="0"/>
            <w:iCs w:val="0"/>
            <w:noProof/>
            <w:webHidden/>
            <w:sz w:val="28"/>
          </w:rPr>
          <w:fldChar w:fldCharType="end"/>
        </w:r>
      </w:hyperlink>
    </w:p>
    <w:p w14:paraId="3D4B353E" w14:textId="3724DE91"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06" w:history="1">
        <w:r w:rsidRPr="00407D80">
          <w:rPr>
            <w:rStyle w:val="Hyperlink"/>
            <w:rFonts w:asciiTheme="minorBidi" w:hAnsiTheme="minorBidi" w:cstheme="minorBidi"/>
            <w:i w:val="0"/>
            <w:iCs w:val="0"/>
            <w:noProof/>
            <w:sz w:val="28"/>
            <w:u w:val="none"/>
            <w:rtl/>
          </w:rPr>
          <w:t>تحليل الب</w:t>
        </w:r>
        <w:r w:rsidRPr="00407D80">
          <w:rPr>
            <w:rStyle w:val="Hyperlink"/>
            <w:rFonts w:asciiTheme="minorBidi" w:hAnsiTheme="minorBidi" w:cstheme="minorBidi"/>
            <w:i w:val="0"/>
            <w:iCs w:val="0"/>
            <w:noProof/>
            <w:sz w:val="28"/>
            <w:u w:val="none"/>
            <w:rtl/>
          </w:rPr>
          <w:t>ي</w:t>
        </w:r>
        <w:r w:rsidRPr="00407D80">
          <w:rPr>
            <w:rStyle w:val="Hyperlink"/>
            <w:rFonts w:asciiTheme="minorBidi" w:hAnsiTheme="minorBidi" w:cstheme="minorBidi"/>
            <w:i w:val="0"/>
            <w:iCs w:val="0"/>
            <w:noProof/>
            <w:sz w:val="28"/>
            <w:u w:val="none"/>
            <w:rtl/>
          </w:rPr>
          <w:t>ا</w:t>
        </w:r>
        <w:r w:rsidRPr="00407D80">
          <w:rPr>
            <w:rStyle w:val="Hyperlink"/>
            <w:rFonts w:asciiTheme="minorBidi" w:hAnsiTheme="minorBidi" w:cstheme="minorBidi"/>
            <w:i w:val="0"/>
            <w:iCs w:val="0"/>
            <w:noProof/>
            <w:sz w:val="28"/>
            <w:u w:val="none"/>
            <w:rtl/>
          </w:rPr>
          <w:t>ن</w:t>
        </w:r>
        <w:r w:rsidRPr="00407D80">
          <w:rPr>
            <w:rStyle w:val="Hyperlink"/>
            <w:rFonts w:asciiTheme="minorBidi" w:hAnsiTheme="minorBidi" w:cstheme="minorBidi"/>
            <w:i w:val="0"/>
            <w:iCs w:val="0"/>
            <w:noProof/>
            <w:sz w:val="28"/>
            <w:u w:val="none"/>
            <w:rtl/>
          </w:rPr>
          <w:t>ا</w:t>
        </w:r>
        <w:r w:rsidRPr="00407D80">
          <w:rPr>
            <w:rStyle w:val="Hyperlink"/>
            <w:rFonts w:asciiTheme="minorBidi" w:hAnsiTheme="minorBidi" w:cstheme="minorBidi"/>
            <w:i w:val="0"/>
            <w:iCs w:val="0"/>
            <w:noProof/>
            <w:sz w:val="28"/>
            <w:u w:val="none"/>
            <w:rtl/>
          </w:rPr>
          <w:t>ت</w:t>
        </w:r>
        <w:r w:rsidRPr="00407D80">
          <w:rPr>
            <w:rStyle w:val="Hyperlink"/>
            <w:rFonts w:asciiTheme="minorBidi" w:hAnsiTheme="minorBidi" w:cstheme="minorBidi"/>
            <w:i w:val="0"/>
            <w:iCs w:val="0"/>
            <w:noProof/>
            <w:sz w:val="28"/>
            <w:u w:val="none"/>
            <w:rtl/>
          </w:rPr>
          <w:t xml:space="preserve"> واختبار فروض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_Toc228065406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17</w:t>
        </w:r>
        <w:r w:rsidRPr="00407D80">
          <w:rPr>
            <w:rFonts w:asciiTheme="minorBidi" w:hAnsiTheme="minorBidi" w:cstheme="minorBidi"/>
            <w:i w:val="0"/>
            <w:iCs w:val="0"/>
            <w:noProof/>
            <w:webHidden/>
            <w:sz w:val="28"/>
          </w:rPr>
          <w:fldChar w:fldCharType="end"/>
        </w:r>
      </w:hyperlink>
    </w:p>
    <w:p w14:paraId="09464D64" w14:textId="6944F283"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07" w:history="1">
        <w:r w:rsidRPr="00407D80">
          <w:rPr>
            <w:rStyle w:val="Hyperlink"/>
            <w:rFonts w:asciiTheme="minorBidi" w:hAnsiTheme="minorBidi" w:cstheme="minorBidi"/>
            <w:i w:val="0"/>
            <w:iCs w:val="0"/>
            <w:noProof/>
            <w:sz w:val="28"/>
            <w:u w:val="none"/>
            <w:rtl/>
          </w:rPr>
          <w:t>تنقية البيانات وتطبيق سؤال الفرز</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_Toc228065407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17</w:t>
        </w:r>
        <w:r w:rsidRPr="00407D80">
          <w:rPr>
            <w:rFonts w:asciiTheme="minorBidi" w:hAnsiTheme="minorBidi" w:cstheme="minorBidi"/>
            <w:i w:val="0"/>
            <w:iCs w:val="0"/>
            <w:noProof/>
            <w:webHidden/>
            <w:sz w:val="28"/>
          </w:rPr>
          <w:fldChar w:fldCharType="end"/>
        </w:r>
      </w:hyperlink>
    </w:p>
    <w:p w14:paraId="69139BD7" w14:textId="04221136"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08" w:history="1">
        <w:r w:rsidRPr="00407D80">
          <w:rPr>
            <w:rStyle w:val="Hyperlink"/>
            <w:rFonts w:asciiTheme="minorBidi" w:hAnsiTheme="minorBidi" w:cstheme="minorBidi"/>
            <w:i w:val="0"/>
            <w:iCs w:val="0"/>
            <w:noProof/>
            <w:sz w:val="28"/>
            <w:u w:val="none"/>
            <w:rtl/>
          </w:rPr>
          <w:t>وصف الخصائص الديموغرافية لعينة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_Toc228065408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18</w:t>
        </w:r>
        <w:r w:rsidRPr="00407D80">
          <w:rPr>
            <w:rFonts w:asciiTheme="minorBidi" w:hAnsiTheme="minorBidi" w:cstheme="minorBidi"/>
            <w:i w:val="0"/>
            <w:iCs w:val="0"/>
            <w:noProof/>
            <w:webHidden/>
            <w:sz w:val="28"/>
          </w:rPr>
          <w:fldChar w:fldCharType="end"/>
        </w:r>
      </w:hyperlink>
    </w:p>
    <w:p w14:paraId="304E6EE2" w14:textId="24CDF171"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09" w:history="1">
        <w:r w:rsidRPr="00407D80">
          <w:rPr>
            <w:rStyle w:val="Hyperlink"/>
            <w:rFonts w:asciiTheme="minorBidi" w:eastAsia="Sakkal Majalla" w:hAnsiTheme="minorBidi" w:cstheme="minorBidi"/>
            <w:i w:val="0"/>
            <w:iCs w:val="0"/>
            <w:noProof/>
            <w:sz w:val="28"/>
            <w:u w:val="none"/>
            <w:rtl/>
          </w:rPr>
          <w:t>تحليل ثبات المقياس (Reliability Analysis)</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_Toc228065409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21</w:t>
        </w:r>
        <w:r w:rsidRPr="00407D80">
          <w:rPr>
            <w:rFonts w:asciiTheme="minorBidi" w:hAnsiTheme="minorBidi" w:cstheme="minorBidi"/>
            <w:i w:val="0"/>
            <w:iCs w:val="0"/>
            <w:noProof/>
            <w:webHidden/>
            <w:sz w:val="28"/>
          </w:rPr>
          <w:fldChar w:fldCharType="end"/>
        </w:r>
      </w:hyperlink>
    </w:p>
    <w:p w14:paraId="4C009D88" w14:textId="56C1D46E"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10" w:history="1">
        <w:r w:rsidRPr="00407D80">
          <w:rPr>
            <w:rStyle w:val="Hyperlink"/>
            <w:rFonts w:asciiTheme="minorBidi" w:hAnsiTheme="minorBidi" w:cstheme="minorBidi"/>
            <w:i w:val="0"/>
            <w:iCs w:val="0"/>
            <w:noProof/>
            <w:sz w:val="28"/>
            <w:u w:val="none"/>
            <w:rtl/>
          </w:rPr>
          <w:t>صدق الاتساق الداخلي للمقياس (Construct Validity)</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_Toc228065410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22</w:t>
        </w:r>
        <w:r w:rsidRPr="00407D80">
          <w:rPr>
            <w:rFonts w:asciiTheme="minorBidi" w:hAnsiTheme="minorBidi" w:cstheme="minorBidi"/>
            <w:i w:val="0"/>
            <w:iCs w:val="0"/>
            <w:noProof/>
            <w:webHidden/>
            <w:sz w:val="28"/>
          </w:rPr>
          <w:fldChar w:fldCharType="end"/>
        </w:r>
      </w:hyperlink>
    </w:p>
    <w:p w14:paraId="4EA8448B" w14:textId="30A96C84"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11" w:history="1">
        <w:r w:rsidRPr="00407D80">
          <w:rPr>
            <w:rStyle w:val="Hyperlink"/>
            <w:rFonts w:asciiTheme="minorBidi" w:hAnsiTheme="minorBidi" w:cstheme="minorBidi"/>
            <w:i w:val="0"/>
            <w:iCs w:val="0"/>
            <w:noProof/>
            <w:sz w:val="28"/>
            <w:u w:val="none"/>
            <w:rtl/>
          </w:rPr>
          <w:t>الإحصاءات الوصفية على مستوى العبارات</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_Toc228065411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24</w:t>
        </w:r>
        <w:r w:rsidRPr="00407D80">
          <w:rPr>
            <w:rFonts w:asciiTheme="minorBidi" w:hAnsiTheme="minorBidi" w:cstheme="minorBidi"/>
            <w:i w:val="0"/>
            <w:iCs w:val="0"/>
            <w:noProof/>
            <w:webHidden/>
            <w:sz w:val="28"/>
          </w:rPr>
          <w:fldChar w:fldCharType="end"/>
        </w:r>
      </w:hyperlink>
    </w:p>
    <w:p w14:paraId="285A760B" w14:textId="2BB452B8"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12" w:history="1">
        <w:r w:rsidRPr="00407D80">
          <w:rPr>
            <w:rStyle w:val="Hyperlink"/>
            <w:rFonts w:asciiTheme="minorBidi" w:hAnsiTheme="minorBidi" w:cstheme="minorBidi"/>
            <w:i w:val="0"/>
            <w:iCs w:val="0"/>
            <w:noProof/>
            <w:sz w:val="28"/>
            <w:u w:val="none"/>
            <w:rtl/>
          </w:rPr>
          <w:t>الإحصاءات الوصفية على مستوى المحاور وترتيبها</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_Toc228065412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27</w:t>
        </w:r>
        <w:r w:rsidRPr="00407D80">
          <w:rPr>
            <w:rFonts w:asciiTheme="minorBidi" w:hAnsiTheme="minorBidi" w:cstheme="minorBidi"/>
            <w:i w:val="0"/>
            <w:iCs w:val="0"/>
            <w:noProof/>
            <w:webHidden/>
            <w:sz w:val="28"/>
          </w:rPr>
          <w:fldChar w:fldCharType="end"/>
        </w:r>
      </w:hyperlink>
    </w:p>
    <w:p w14:paraId="316F4CE7" w14:textId="6AE06601"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13" w:history="1">
        <w:r w:rsidRPr="00407D80">
          <w:rPr>
            <w:rStyle w:val="Hyperlink"/>
            <w:rFonts w:asciiTheme="minorBidi" w:hAnsiTheme="minorBidi" w:cstheme="minorBidi"/>
            <w:i w:val="0"/>
            <w:iCs w:val="0"/>
            <w:noProof/>
            <w:sz w:val="28"/>
            <w:u w:val="none"/>
            <w:rtl/>
          </w:rPr>
          <w:t>تحليل الارتباط بين متغيرات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_Toc228065413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28</w:t>
        </w:r>
        <w:r w:rsidRPr="00407D80">
          <w:rPr>
            <w:rFonts w:asciiTheme="minorBidi" w:hAnsiTheme="minorBidi" w:cstheme="minorBidi"/>
            <w:i w:val="0"/>
            <w:iCs w:val="0"/>
            <w:noProof/>
            <w:webHidden/>
            <w:sz w:val="28"/>
          </w:rPr>
          <w:fldChar w:fldCharType="end"/>
        </w:r>
      </w:hyperlink>
    </w:p>
    <w:p w14:paraId="15E609A5" w14:textId="1BABFC34"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14" w:history="1">
        <w:r w:rsidRPr="00407D80">
          <w:rPr>
            <w:rStyle w:val="Hyperlink"/>
            <w:rFonts w:asciiTheme="minorBidi" w:hAnsiTheme="minorBidi" w:cstheme="minorBidi"/>
            <w:i w:val="0"/>
            <w:iCs w:val="0"/>
            <w:noProof/>
            <w:sz w:val="28"/>
            <w:u w:val="none"/>
            <w:rtl/>
          </w:rPr>
          <w:t>تحليل الانحدار الخطي المتعدد</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_Toc228065414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29</w:t>
        </w:r>
        <w:r w:rsidRPr="00407D80">
          <w:rPr>
            <w:rFonts w:asciiTheme="minorBidi" w:hAnsiTheme="minorBidi" w:cstheme="minorBidi"/>
            <w:i w:val="0"/>
            <w:iCs w:val="0"/>
            <w:noProof/>
            <w:webHidden/>
            <w:sz w:val="28"/>
          </w:rPr>
          <w:fldChar w:fldCharType="end"/>
        </w:r>
      </w:hyperlink>
    </w:p>
    <w:p w14:paraId="350CBC9C" w14:textId="7CD950C8"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15" w:history="1">
        <w:r w:rsidRPr="00407D80">
          <w:rPr>
            <w:rStyle w:val="Hyperlink"/>
            <w:rFonts w:asciiTheme="minorBidi" w:hAnsiTheme="minorBidi" w:cstheme="minorBidi"/>
            <w:i w:val="0"/>
            <w:iCs w:val="0"/>
            <w:noProof/>
            <w:sz w:val="28"/>
            <w:u w:val="none"/>
            <w:rtl/>
          </w:rPr>
          <w:t>ملخص أبرز نتائج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_Toc228065415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30</w:t>
        </w:r>
        <w:r w:rsidRPr="00407D80">
          <w:rPr>
            <w:rFonts w:asciiTheme="minorBidi" w:hAnsiTheme="minorBidi" w:cstheme="minorBidi"/>
            <w:i w:val="0"/>
            <w:iCs w:val="0"/>
            <w:noProof/>
            <w:webHidden/>
            <w:sz w:val="28"/>
          </w:rPr>
          <w:fldChar w:fldCharType="end"/>
        </w:r>
      </w:hyperlink>
    </w:p>
    <w:p w14:paraId="44AC72F4" w14:textId="466C5AC4"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16" w:history="1">
        <w:r w:rsidRPr="00407D80">
          <w:rPr>
            <w:rStyle w:val="Hyperlink"/>
            <w:rFonts w:asciiTheme="minorBidi" w:hAnsiTheme="minorBidi" w:cstheme="minorBidi"/>
            <w:i w:val="0"/>
            <w:iCs w:val="0"/>
            <w:noProof/>
            <w:sz w:val="28"/>
            <w:u w:val="none"/>
            <w:rtl/>
          </w:rPr>
          <w:t>القيود الإحصائية للدراسة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_Toc228065416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30</w:t>
        </w:r>
        <w:r w:rsidRPr="00407D80">
          <w:rPr>
            <w:rFonts w:asciiTheme="minorBidi" w:hAnsiTheme="minorBidi" w:cstheme="minorBidi"/>
            <w:i w:val="0"/>
            <w:iCs w:val="0"/>
            <w:noProof/>
            <w:webHidden/>
            <w:sz w:val="28"/>
          </w:rPr>
          <w:fldChar w:fldCharType="end"/>
        </w:r>
      </w:hyperlink>
    </w:p>
    <w:p w14:paraId="26C2E305" w14:textId="70226163"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17" w:history="1">
        <w:r w:rsidRPr="00407D80">
          <w:rPr>
            <w:rStyle w:val="Hyperlink"/>
            <w:rFonts w:asciiTheme="minorBidi" w:hAnsiTheme="minorBidi" w:cstheme="minorBidi"/>
            <w:i w:val="0"/>
            <w:iCs w:val="0"/>
            <w:noProof/>
            <w:sz w:val="28"/>
            <w:u w:val="none"/>
            <w:rtl/>
          </w:rPr>
          <w:t>مناقشة نتائج فروض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_Toc228065417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32</w:t>
        </w:r>
        <w:r w:rsidRPr="00407D80">
          <w:rPr>
            <w:rFonts w:asciiTheme="minorBidi" w:hAnsiTheme="minorBidi" w:cstheme="minorBidi"/>
            <w:i w:val="0"/>
            <w:iCs w:val="0"/>
            <w:noProof/>
            <w:webHidden/>
            <w:sz w:val="28"/>
          </w:rPr>
          <w:fldChar w:fldCharType="end"/>
        </w:r>
      </w:hyperlink>
    </w:p>
    <w:p w14:paraId="1D8BEB45" w14:textId="17E44507"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18" w:history="1">
        <w:r w:rsidRPr="00407D80">
          <w:rPr>
            <w:rStyle w:val="Hyperlink"/>
            <w:rFonts w:asciiTheme="minorBidi" w:hAnsiTheme="minorBidi" w:cstheme="minorBidi"/>
            <w:i w:val="0"/>
            <w:iCs w:val="0"/>
            <w:noProof/>
            <w:sz w:val="28"/>
            <w:u w:val="none"/>
            <w:rtl/>
          </w:rPr>
          <w:t>المفارقة المركزية للدراسة وظاهرة الاعتماد القهري</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_Toc228065418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33</w:t>
        </w:r>
        <w:r w:rsidRPr="00407D80">
          <w:rPr>
            <w:rFonts w:asciiTheme="minorBidi" w:hAnsiTheme="minorBidi" w:cstheme="minorBidi"/>
            <w:i w:val="0"/>
            <w:iCs w:val="0"/>
            <w:noProof/>
            <w:webHidden/>
            <w:sz w:val="28"/>
          </w:rPr>
          <w:fldChar w:fldCharType="end"/>
        </w:r>
      </w:hyperlink>
    </w:p>
    <w:p w14:paraId="1BCD6F3D" w14:textId="3B837339"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19" w:history="1">
        <w:r w:rsidRPr="00407D80">
          <w:rPr>
            <w:rStyle w:val="Hyperlink"/>
            <w:rFonts w:asciiTheme="minorBidi" w:eastAsia="Sakkal Majalla" w:hAnsiTheme="minorBidi" w:cstheme="minorBidi"/>
            <w:i w:val="0"/>
            <w:iCs w:val="0"/>
            <w:noProof/>
            <w:sz w:val="28"/>
            <w:u w:val="none"/>
            <w:rtl/>
          </w:rPr>
          <w:t>ربط النتائج بالدراسات السابقة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_Toc228065419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33</w:t>
        </w:r>
        <w:r w:rsidRPr="00407D80">
          <w:rPr>
            <w:rFonts w:asciiTheme="minorBidi" w:hAnsiTheme="minorBidi" w:cstheme="minorBidi"/>
            <w:i w:val="0"/>
            <w:iCs w:val="0"/>
            <w:noProof/>
            <w:webHidden/>
            <w:sz w:val="28"/>
          </w:rPr>
          <w:fldChar w:fldCharType="end"/>
        </w:r>
      </w:hyperlink>
    </w:p>
    <w:p w14:paraId="33314157" w14:textId="5D3A76DC"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20" w:history="1">
        <w:r w:rsidRPr="00407D80">
          <w:rPr>
            <w:rStyle w:val="Hyperlink"/>
            <w:rFonts w:asciiTheme="minorBidi" w:hAnsiTheme="minorBidi" w:cstheme="minorBidi"/>
            <w:i w:val="0"/>
            <w:iCs w:val="0"/>
            <w:noProof/>
            <w:sz w:val="28"/>
            <w:u w:val="none"/>
            <w:rtl/>
          </w:rPr>
          <w:t>الاستنتاجات العامة للدراسة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_Toc228065420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34</w:t>
        </w:r>
        <w:r w:rsidRPr="00407D80">
          <w:rPr>
            <w:rFonts w:asciiTheme="minorBidi" w:hAnsiTheme="minorBidi" w:cstheme="minorBidi"/>
            <w:i w:val="0"/>
            <w:iCs w:val="0"/>
            <w:noProof/>
            <w:webHidden/>
            <w:sz w:val="28"/>
          </w:rPr>
          <w:fldChar w:fldCharType="end"/>
        </w:r>
      </w:hyperlink>
    </w:p>
    <w:p w14:paraId="03A479B4" w14:textId="2D613842"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21" w:history="1">
        <w:r w:rsidRPr="00407D80">
          <w:rPr>
            <w:rStyle w:val="Hyperlink"/>
            <w:rFonts w:asciiTheme="minorBidi" w:hAnsiTheme="minorBidi" w:cstheme="minorBidi"/>
            <w:i w:val="0"/>
            <w:iCs w:val="0"/>
            <w:noProof/>
            <w:sz w:val="28"/>
            <w:u w:val="none"/>
            <w:rtl/>
          </w:rPr>
          <w:t>توصيات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_Toc228065421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35</w:t>
        </w:r>
        <w:r w:rsidRPr="00407D80">
          <w:rPr>
            <w:rFonts w:asciiTheme="minorBidi" w:hAnsiTheme="minorBidi" w:cstheme="minorBidi"/>
            <w:i w:val="0"/>
            <w:iCs w:val="0"/>
            <w:noProof/>
            <w:webHidden/>
            <w:sz w:val="28"/>
          </w:rPr>
          <w:fldChar w:fldCharType="end"/>
        </w:r>
      </w:hyperlink>
    </w:p>
    <w:p w14:paraId="57DDB2B9" w14:textId="3CC20B41"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22" w:history="1">
        <w:r w:rsidRPr="00407D80">
          <w:rPr>
            <w:rStyle w:val="Hyperlink"/>
            <w:rFonts w:asciiTheme="minorBidi" w:hAnsiTheme="minorBidi" w:cstheme="minorBidi"/>
            <w:i w:val="0"/>
            <w:iCs w:val="0"/>
            <w:noProof/>
            <w:sz w:val="28"/>
            <w:u w:val="none"/>
            <w:rtl/>
          </w:rPr>
          <w:t>اقتراحات للدراسات المستقبلية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_Toc228065422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36</w:t>
        </w:r>
        <w:r w:rsidRPr="00407D80">
          <w:rPr>
            <w:rFonts w:asciiTheme="minorBidi" w:hAnsiTheme="minorBidi" w:cstheme="minorBidi"/>
            <w:i w:val="0"/>
            <w:iCs w:val="0"/>
            <w:noProof/>
            <w:webHidden/>
            <w:sz w:val="28"/>
          </w:rPr>
          <w:fldChar w:fldCharType="end"/>
        </w:r>
      </w:hyperlink>
    </w:p>
    <w:p w14:paraId="6F1E5638" w14:textId="5EE2FE9B"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23" w:history="1">
        <w:r w:rsidRPr="00407D80">
          <w:rPr>
            <w:rStyle w:val="Hyperlink"/>
            <w:rFonts w:asciiTheme="minorBidi" w:hAnsiTheme="minorBidi" w:cstheme="minorBidi"/>
            <w:i w:val="0"/>
            <w:iCs w:val="0"/>
            <w:noProof/>
            <w:sz w:val="28"/>
            <w:u w:val="none"/>
            <w:rtl/>
          </w:rPr>
          <w:t>خاتمة الدراسة</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_Toc228065423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36</w:t>
        </w:r>
        <w:r w:rsidRPr="00407D80">
          <w:rPr>
            <w:rFonts w:asciiTheme="minorBidi" w:hAnsiTheme="minorBidi" w:cstheme="minorBidi"/>
            <w:i w:val="0"/>
            <w:iCs w:val="0"/>
            <w:noProof/>
            <w:webHidden/>
            <w:sz w:val="28"/>
          </w:rPr>
          <w:fldChar w:fldCharType="end"/>
        </w:r>
      </w:hyperlink>
    </w:p>
    <w:p w14:paraId="79DE9B93" w14:textId="5B610A2A" w:rsidR="00407D80" w:rsidRPr="00407D80" w:rsidRDefault="00407D80" w:rsidP="00407D80">
      <w:pPr>
        <w:pStyle w:val="TOC1"/>
        <w:tabs>
          <w:tab w:val="right" w:leader="dot" w:pos="9350"/>
        </w:tabs>
        <w:bidi/>
        <w:rPr>
          <w:rFonts w:asciiTheme="minorBidi" w:eastAsiaTheme="minorEastAsia" w:hAnsiTheme="minorBidi" w:cstheme="minorBidi"/>
          <w:b w:val="0"/>
          <w:bCs w:val="0"/>
          <w:i w:val="0"/>
          <w:iCs w:val="0"/>
          <w:noProof/>
          <w:sz w:val="28"/>
        </w:rPr>
      </w:pPr>
      <w:hyperlink w:anchor="_Toc228065424" w:history="1">
        <w:r w:rsidRPr="00407D80">
          <w:rPr>
            <w:rStyle w:val="Hyperlink"/>
            <w:rFonts w:asciiTheme="minorBidi" w:hAnsiTheme="minorBidi" w:cstheme="minorBidi"/>
            <w:i w:val="0"/>
            <w:iCs w:val="0"/>
            <w:noProof/>
            <w:sz w:val="28"/>
            <w:u w:val="none"/>
            <w:rtl/>
          </w:rPr>
          <w:t>قائمة المراجع</w:t>
        </w:r>
        <w:r w:rsidRPr="00407D80">
          <w:rPr>
            <w:rFonts w:asciiTheme="minorBidi" w:hAnsiTheme="minorBidi" w:cstheme="minorBidi"/>
            <w:i w:val="0"/>
            <w:iCs w:val="0"/>
            <w:noProof/>
            <w:webHidden/>
            <w:sz w:val="28"/>
          </w:rPr>
          <w:tab/>
        </w:r>
        <w:r w:rsidRPr="00407D80">
          <w:rPr>
            <w:rFonts w:asciiTheme="minorBidi" w:hAnsiTheme="minorBidi" w:cstheme="minorBidi"/>
            <w:i w:val="0"/>
            <w:iCs w:val="0"/>
            <w:noProof/>
            <w:webHidden/>
            <w:sz w:val="28"/>
          </w:rPr>
          <w:fldChar w:fldCharType="begin"/>
        </w:r>
        <w:r w:rsidRPr="00407D80">
          <w:rPr>
            <w:rFonts w:asciiTheme="minorBidi" w:hAnsiTheme="minorBidi" w:cstheme="minorBidi"/>
            <w:i w:val="0"/>
            <w:iCs w:val="0"/>
            <w:noProof/>
            <w:webHidden/>
            <w:sz w:val="28"/>
          </w:rPr>
          <w:instrText xml:space="preserve"> PAGEREF _Toc228065424 \h </w:instrText>
        </w:r>
        <w:r w:rsidRPr="00407D80">
          <w:rPr>
            <w:rFonts w:asciiTheme="minorBidi" w:hAnsiTheme="minorBidi" w:cstheme="minorBidi"/>
            <w:i w:val="0"/>
            <w:iCs w:val="0"/>
            <w:noProof/>
            <w:webHidden/>
            <w:sz w:val="28"/>
          </w:rPr>
        </w:r>
        <w:r w:rsidRPr="00407D80">
          <w:rPr>
            <w:rFonts w:asciiTheme="minorBidi" w:hAnsiTheme="minorBidi" w:cstheme="minorBidi"/>
            <w:i w:val="0"/>
            <w:iCs w:val="0"/>
            <w:noProof/>
            <w:webHidden/>
            <w:sz w:val="28"/>
          </w:rPr>
          <w:fldChar w:fldCharType="separate"/>
        </w:r>
        <w:r w:rsidRPr="00407D80">
          <w:rPr>
            <w:rFonts w:asciiTheme="minorBidi" w:hAnsiTheme="minorBidi" w:cstheme="minorBidi"/>
            <w:i w:val="0"/>
            <w:iCs w:val="0"/>
            <w:noProof/>
            <w:webHidden/>
            <w:sz w:val="28"/>
          </w:rPr>
          <w:t>38</w:t>
        </w:r>
        <w:r w:rsidRPr="00407D80">
          <w:rPr>
            <w:rFonts w:asciiTheme="minorBidi" w:hAnsiTheme="minorBidi" w:cstheme="minorBidi"/>
            <w:i w:val="0"/>
            <w:iCs w:val="0"/>
            <w:noProof/>
            <w:webHidden/>
            <w:sz w:val="28"/>
          </w:rPr>
          <w:fldChar w:fldCharType="end"/>
        </w:r>
      </w:hyperlink>
    </w:p>
    <w:p w14:paraId="6AE058E6" w14:textId="6C0352B5" w:rsidR="00AB1D33" w:rsidRPr="00407D80" w:rsidRDefault="00407D80" w:rsidP="00407D80">
      <w:pPr>
        <w:bidi/>
        <w:spacing w:line="276" w:lineRule="auto"/>
        <w:rPr>
          <w:rFonts w:asciiTheme="minorBidi" w:hAnsiTheme="minorBidi"/>
          <w:sz w:val="32"/>
          <w:szCs w:val="32"/>
          <w:rtl/>
        </w:rPr>
      </w:pPr>
      <w:r w:rsidRPr="00407D80">
        <w:rPr>
          <w:rFonts w:asciiTheme="minorBidi" w:hAnsiTheme="minorBidi"/>
          <w:sz w:val="28"/>
          <w:szCs w:val="28"/>
          <w:rtl/>
        </w:rPr>
        <w:fldChar w:fldCharType="end"/>
      </w:r>
    </w:p>
    <w:p w14:paraId="6B1CB83B" w14:textId="01B958AA" w:rsidR="00C570C3" w:rsidRPr="00407D80" w:rsidRDefault="00C570C3" w:rsidP="008C0001">
      <w:pPr>
        <w:bidi/>
        <w:spacing w:line="276" w:lineRule="auto"/>
        <w:rPr>
          <w:rFonts w:asciiTheme="minorBidi" w:hAnsiTheme="minorBidi"/>
          <w:sz w:val="32"/>
          <w:szCs w:val="32"/>
          <w:lang w:val="en-US"/>
        </w:rPr>
      </w:pPr>
    </w:p>
    <w:p w14:paraId="4979C33E" w14:textId="77777777" w:rsidR="00575850" w:rsidRPr="00407D80" w:rsidRDefault="00575850" w:rsidP="008C0001">
      <w:pPr>
        <w:bidi/>
        <w:spacing w:line="276" w:lineRule="auto"/>
        <w:rPr>
          <w:rFonts w:asciiTheme="minorBidi" w:hAnsiTheme="minorBidi"/>
          <w:sz w:val="32"/>
          <w:szCs w:val="32"/>
          <w:lang w:val="en-US"/>
        </w:rPr>
      </w:pPr>
    </w:p>
    <w:p w14:paraId="4CDE3E2A" w14:textId="77777777" w:rsidR="00575850" w:rsidRPr="00407D80" w:rsidRDefault="00575850" w:rsidP="008C0001">
      <w:pPr>
        <w:bidi/>
        <w:spacing w:line="276" w:lineRule="auto"/>
        <w:rPr>
          <w:rFonts w:asciiTheme="minorBidi" w:hAnsiTheme="minorBidi"/>
          <w:sz w:val="32"/>
          <w:szCs w:val="32"/>
          <w:lang w:val="en-US"/>
        </w:rPr>
      </w:pPr>
    </w:p>
    <w:p w14:paraId="7AEF96EC" w14:textId="77777777" w:rsidR="00575850" w:rsidRPr="00407D80" w:rsidRDefault="00575850" w:rsidP="008C0001">
      <w:pPr>
        <w:bidi/>
        <w:spacing w:line="276" w:lineRule="auto"/>
        <w:rPr>
          <w:rFonts w:asciiTheme="minorBidi" w:hAnsiTheme="minorBidi"/>
          <w:sz w:val="32"/>
          <w:szCs w:val="32"/>
          <w:lang w:val="en-US"/>
        </w:rPr>
      </w:pPr>
    </w:p>
    <w:p w14:paraId="77C24217" w14:textId="77777777" w:rsidR="00575850" w:rsidRPr="00407D80" w:rsidRDefault="00575850" w:rsidP="008C0001">
      <w:pPr>
        <w:bidi/>
        <w:spacing w:line="276" w:lineRule="auto"/>
        <w:rPr>
          <w:rFonts w:asciiTheme="minorBidi" w:hAnsiTheme="minorBidi"/>
          <w:sz w:val="32"/>
          <w:szCs w:val="32"/>
          <w:lang w:val="en-US"/>
        </w:rPr>
      </w:pPr>
    </w:p>
    <w:p w14:paraId="125E4F14" w14:textId="77777777" w:rsidR="00575850" w:rsidRPr="00407D80" w:rsidRDefault="00575850" w:rsidP="008C0001">
      <w:pPr>
        <w:bidi/>
        <w:spacing w:line="276" w:lineRule="auto"/>
        <w:rPr>
          <w:rFonts w:asciiTheme="minorBidi" w:hAnsiTheme="minorBidi"/>
          <w:sz w:val="32"/>
          <w:szCs w:val="32"/>
          <w:lang w:val="en-US"/>
        </w:rPr>
      </w:pPr>
    </w:p>
    <w:p w14:paraId="44EF55EF" w14:textId="77777777" w:rsidR="00575850" w:rsidRPr="00407D80" w:rsidRDefault="00575850" w:rsidP="008C0001">
      <w:pPr>
        <w:bidi/>
        <w:spacing w:line="276" w:lineRule="auto"/>
        <w:rPr>
          <w:rFonts w:asciiTheme="minorBidi" w:hAnsiTheme="minorBidi"/>
          <w:sz w:val="32"/>
          <w:szCs w:val="32"/>
          <w:lang w:val="en-US"/>
        </w:rPr>
      </w:pPr>
    </w:p>
    <w:p w14:paraId="1198A092" w14:textId="77777777" w:rsidR="00407D80" w:rsidRPr="00407D80" w:rsidRDefault="00407D80" w:rsidP="00407D80">
      <w:pPr>
        <w:pStyle w:val="Heading1"/>
        <w:bidi/>
        <w:spacing w:line="276" w:lineRule="auto"/>
        <w:rPr>
          <w:rFonts w:cstheme="minorBidi"/>
          <w:rtl/>
        </w:rPr>
      </w:pPr>
      <w:bookmarkStart w:id="0" w:name="_Toc224344395"/>
      <w:bookmarkStart w:id="1" w:name="_Toc224416150"/>
      <w:bookmarkStart w:id="2" w:name="_Toc224420467"/>
      <w:bookmarkStart w:id="3" w:name="_Toc224422447"/>
    </w:p>
    <w:p w14:paraId="56C36BC8" w14:textId="77777777" w:rsidR="00407D80" w:rsidRPr="00407D80" w:rsidRDefault="00407D80" w:rsidP="00407D80">
      <w:pPr>
        <w:pStyle w:val="Heading1"/>
        <w:bidi/>
        <w:spacing w:line="276" w:lineRule="auto"/>
        <w:rPr>
          <w:rFonts w:cstheme="minorBidi"/>
          <w:rtl/>
        </w:rPr>
      </w:pPr>
    </w:p>
    <w:p w14:paraId="68BA9747" w14:textId="77777777" w:rsidR="00407D80" w:rsidRPr="00407D80" w:rsidRDefault="00407D80" w:rsidP="00407D80">
      <w:pPr>
        <w:bidi/>
        <w:rPr>
          <w:rFonts w:asciiTheme="minorBidi" w:hAnsiTheme="minorBidi"/>
          <w:rtl/>
        </w:rPr>
      </w:pPr>
    </w:p>
    <w:p w14:paraId="016DA09D" w14:textId="77777777" w:rsidR="00407D80" w:rsidRPr="00407D80" w:rsidRDefault="00407D80" w:rsidP="00407D80">
      <w:pPr>
        <w:pStyle w:val="Heading1"/>
        <w:bidi/>
        <w:spacing w:line="276" w:lineRule="auto"/>
        <w:rPr>
          <w:rFonts w:cstheme="minorBidi"/>
          <w:rtl/>
        </w:rPr>
      </w:pPr>
    </w:p>
    <w:p w14:paraId="6DFDC849" w14:textId="77777777" w:rsidR="00407D80" w:rsidRPr="00407D80" w:rsidRDefault="00407D80" w:rsidP="00407D80">
      <w:pPr>
        <w:pStyle w:val="Heading1"/>
        <w:bidi/>
        <w:spacing w:line="276" w:lineRule="auto"/>
        <w:rPr>
          <w:rFonts w:cstheme="minorBidi"/>
          <w:b w:val="0"/>
          <w:bCs/>
          <w:rtl/>
        </w:rPr>
      </w:pPr>
    </w:p>
    <w:p w14:paraId="2AE0C504" w14:textId="17571400" w:rsidR="00407D80" w:rsidRPr="00407D80" w:rsidRDefault="00407D80" w:rsidP="00407D80">
      <w:pPr>
        <w:pStyle w:val="Heading1"/>
        <w:bidi/>
        <w:jc w:val="center"/>
        <w:rPr>
          <w:rFonts w:cstheme="minorBidi"/>
        </w:rPr>
      </w:pPr>
      <w:r w:rsidRPr="00407D80">
        <w:rPr>
          <w:rFonts w:cstheme="minorBidi"/>
          <w:rtl/>
        </w:rPr>
        <w:br w:type="page"/>
      </w:r>
      <w:bookmarkStart w:id="4" w:name="_Toc228065394"/>
      <w:r w:rsidRPr="00407D80">
        <w:rPr>
          <w:rFonts w:cstheme="minorBidi"/>
          <w:rtl/>
        </w:rPr>
        <w:lastRenderedPageBreak/>
        <w:t>قائمة الجداول</w:t>
      </w:r>
      <w:bookmarkEnd w:id="4"/>
    </w:p>
    <w:p w14:paraId="44D07072" w14:textId="77777777" w:rsidR="00407D80" w:rsidRPr="00407D80" w:rsidRDefault="00407D80" w:rsidP="00407D80">
      <w:pPr>
        <w:bidi/>
        <w:rPr>
          <w:rFonts w:asciiTheme="minorBidi" w:hAnsiTheme="minorBidi"/>
          <w:rtl/>
        </w:rPr>
      </w:pPr>
    </w:p>
    <w:tbl>
      <w:tblPr>
        <w:tblStyle w:val="TableGrid"/>
        <w:bidiVisual/>
        <w:tblW w:w="5265" w:type="pct"/>
        <w:tblInd w:w="-285" w:type="dxa"/>
        <w:tblLook w:val="04A0" w:firstRow="1" w:lastRow="0" w:firstColumn="1" w:lastColumn="0" w:noHBand="0" w:noVBand="1"/>
      </w:tblPr>
      <w:tblGrid>
        <w:gridCol w:w="8112"/>
        <w:gridCol w:w="1734"/>
      </w:tblGrid>
      <w:tr w:rsidR="00407D80" w:rsidRPr="00407D80" w14:paraId="582B50C1" w14:textId="77777777" w:rsidTr="00407D80">
        <w:trPr>
          <w:trHeight w:val="564"/>
        </w:trPr>
        <w:tc>
          <w:tcPr>
            <w:tcW w:w="8112" w:type="dxa"/>
          </w:tcPr>
          <w:p w14:paraId="771A27B5" w14:textId="1B689C79" w:rsidR="00407D80" w:rsidRPr="00407D80" w:rsidRDefault="00407D80" w:rsidP="00407D80">
            <w:pPr>
              <w:bidi/>
              <w:spacing w:before="40" w:after="40" w:line="360" w:lineRule="auto"/>
              <w:ind w:left="113" w:right="113"/>
              <w:jc w:val="center"/>
              <w:rPr>
                <w:rFonts w:asciiTheme="minorBidi" w:hAnsiTheme="minorBidi"/>
                <w:b/>
                <w:bCs/>
                <w:sz w:val="28"/>
                <w:szCs w:val="28"/>
              </w:rPr>
            </w:pPr>
            <w:r w:rsidRPr="00407D80">
              <w:rPr>
                <w:rFonts w:asciiTheme="minorBidi" w:eastAsiaTheme="majorEastAsia" w:hAnsiTheme="minorBidi"/>
                <w:b/>
                <w:bCs/>
                <w:color w:val="000000" w:themeColor="text1"/>
                <w:sz w:val="28"/>
                <w:szCs w:val="28"/>
                <w:rtl/>
              </w:rPr>
              <w:t>اسم الجدول</w:t>
            </w:r>
          </w:p>
        </w:tc>
        <w:tc>
          <w:tcPr>
            <w:tcW w:w="1734" w:type="dxa"/>
          </w:tcPr>
          <w:p w14:paraId="4172476F" w14:textId="4D73AB85" w:rsidR="00407D80" w:rsidRPr="00407D80" w:rsidRDefault="00407D80" w:rsidP="00407D80">
            <w:pPr>
              <w:bidi/>
              <w:spacing w:before="40" w:after="40" w:line="360" w:lineRule="auto"/>
              <w:ind w:left="113" w:right="113"/>
              <w:jc w:val="center"/>
              <w:rPr>
                <w:rFonts w:asciiTheme="minorBidi" w:hAnsiTheme="minorBidi"/>
                <w:b/>
                <w:bCs/>
                <w:sz w:val="28"/>
                <w:szCs w:val="28"/>
              </w:rPr>
            </w:pPr>
            <w:r w:rsidRPr="00407D80">
              <w:rPr>
                <w:rFonts w:asciiTheme="minorBidi" w:eastAsiaTheme="majorEastAsia" w:hAnsiTheme="minorBidi"/>
                <w:b/>
                <w:bCs/>
                <w:color w:val="000000" w:themeColor="text1"/>
                <w:sz w:val="28"/>
                <w:szCs w:val="28"/>
                <w:rtl/>
              </w:rPr>
              <w:t>رقم الصفحة</w:t>
            </w:r>
          </w:p>
        </w:tc>
      </w:tr>
      <w:tr w:rsidR="00407D80" w:rsidRPr="00407D80" w14:paraId="3FF6FD38" w14:textId="77777777" w:rsidTr="00407D80">
        <w:trPr>
          <w:trHeight w:val="507"/>
        </w:trPr>
        <w:tc>
          <w:tcPr>
            <w:tcW w:w="8112" w:type="dxa"/>
          </w:tcPr>
          <w:p w14:paraId="10E460DC" w14:textId="2DBDEAE3"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(1): التوزيع التكراري لأفراد العينة وفقاً للجنس</w:t>
            </w:r>
          </w:p>
        </w:tc>
        <w:tc>
          <w:tcPr>
            <w:tcW w:w="1734" w:type="dxa"/>
          </w:tcPr>
          <w:p w14:paraId="24648960" w14:textId="70046998"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18</w:t>
            </w:r>
          </w:p>
        </w:tc>
      </w:tr>
      <w:tr w:rsidR="00407D80" w:rsidRPr="00407D80" w14:paraId="675AE77F" w14:textId="77777777" w:rsidTr="00407D80">
        <w:trPr>
          <w:trHeight w:val="526"/>
        </w:trPr>
        <w:tc>
          <w:tcPr>
            <w:tcW w:w="8112" w:type="dxa"/>
          </w:tcPr>
          <w:p w14:paraId="6D112F1D" w14:textId="6A7A8465"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w:t>
            </w:r>
            <w:r w:rsidRPr="00407D80">
              <w:rPr>
                <w:rFonts w:asciiTheme="minorBidi" w:eastAsia="Sakkal Majalla" w:hAnsiTheme="minorBidi" w:cstheme="minorBidi"/>
              </w:rPr>
              <w:t>2</w:t>
            </w:r>
            <w:r w:rsidRPr="00407D80">
              <w:rPr>
                <w:rFonts w:asciiTheme="minorBidi" w:eastAsia="Sakkal Majalla" w:hAnsiTheme="minorBidi" w:cstheme="minorBidi"/>
                <w:rtl/>
              </w:rPr>
              <w:t>): التوزيع التكراري لأفراد العينة وفقاً للفئة العمرية</w:t>
            </w:r>
          </w:p>
        </w:tc>
        <w:tc>
          <w:tcPr>
            <w:tcW w:w="1734" w:type="dxa"/>
          </w:tcPr>
          <w:p w14:paraId="47497002" w14:textId="7D2C2626"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18</w:t>
            </w:r>
          </w:p>
        </w:tc>
      </w:tr>
      <w:tr w:rsidR="00407D80" w:rsidRPr="00407D80" w14:paraId="1A6FF379" w14:textId="77777777" w:rsidTr="00407D80">
        <w:trPr>
          <w:trHeight w:val="507"/>
        </w:trPr>
        <w:tc>
          <w:tcPr>
            <w:tcW w:w="8112" w:type="dxa"/>
          </w:tcPr>
          <w:p w14:paraId="51E88D03" w14:textId="565F47F4"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w:t>
            </w:r>
            <w:r w:rsidRPr="00407D80">
              <w:rPr>
                <w:rFonts w:asciiTheme="minorBidi" w:eastAsia="Sakkal Majalla" w:hAnsiTheme="minorBidi" w:cstheme="minorBidi"/>
              </w:rPr>
              <w:t>3</w:t>
            </w:r>
            <w:r w:rsidRPr="00407D80">
              <w:rPr>
                <w:rFonts w:asciiTheme="minorBidi" w:eastAsia="Sakkal Majalla" w:hAnsiTheme="minorBidi" w:cstheme="minorBidi"/>
                <w:rtl/>
              </w:rPr>
              <w:t>): التوزيع التكراري لأفراد العينة وفقاً للمؤهل العلمي</w:t>
            </w:r>
          </w:p>
        </w:tc>
        <w:tc>
          <w:tcPr>
            <w:tcW w:w="1734" w:type="dxa"/>
          </w:tcPr>
          <w:p w14:paraId="61768241" w14:textId="4F3AC417"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18</w:t>
            </w:r>
          </w:p>
        </w:tc>
      </w:tr>
      <w:tr w:rsidR="00407D80" w:rsidRPr="00407D80" w14:paraId="2CC5DB69" w14:textId="77777777" w:rsidTr="00407D80">
        <w:trPr>
          <w:trHeight w:val="526"/>
        </w:trPr>
        <w:tc>
          <w:tcPr>
            <w:tcW w:w="8112" w:type="dxa"/>
          </w:tcPr>
          <w:p w14:paraId="70A163EF" w14:textId="3EB8CA8F"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w:t>
            </w:r>
            <w:r w:rsidRPr="00407D80">
              <w:rPr>
                <w:rFonts w:asciiTheme="minorBidi" w:eastAsia="Sakkal Majalla" w:hAnsiTheme="minorBidi" w:cstheme="minorBidi"/>
              </w:rPr>
              <w:t>4</w:t>
            </w:r>
            <w:r w:rsidRPr="00407D80">
              <w:rPr>
                <w:rFonts w:asciiTheme="minorBidi" w:eastAsia="Sakkal Majalla" w:hAnsiTheme="minorBidi" w:cstheme="minorBidi"/>
                <w:rtl/>
              </w:rPr>
              <w:t>): التوزيع التكراري لأفراد العينة وفقاً للمسمى الوظيفي</w:t>
            </w:r>
          </w:p>
        </w:tc>
        <w:tc>
          <w:tcPr>
            <w:tcW w:w="1734" w:type="dxa"/>
          </w:tcPr>
          <w:p w14:paraId="7A83C913" w14:textId="0E19B487"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19</w:t>
            </w:r>
          </w:p>
        </w:tc>
      </w:tr>
      <w:tr w:rsidR="00407D80" w:rsidRPr="00407D80" w14:paraId="37C986A9" w14:textId="77777777" w:rsidTr="00407D80">
        <w:trPr>
          <w:trHeight w:val="507"/>
        </w:trPr>
        <w:tc>
          <w:tcPr>
            <w:tcW w:w="8112" w:type="dxa"/>
          </w:tcPr>
          <w:p w14:paraId="4D6ADAE1" w14:textId="2033716A"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w:t>
            </w:r>
            <w:r w:rsidRPr="00407D80">
              <w:rPr>
                <w:rFonts w:asciiTheme="minorBidi" w:eastAsia="Sakkal Majalla" w:hAnsiTheme="minorBidi" w:cstheme="minorBidi"/>
              </w:rPr>
              <w:t>5</w:t>
            </w:r>
            <w:r w:rsidRPr="00407D80">
              <w:rPr>
                <w:rFonts w:asciiTheme="minorBidi" w:eastAsia="Sakkal Majalla" w:hAnsiTheme="minorBidi" w:cstheme="minorBidi"/>
                <w:rtl/>
              </w:rPr>
              <w:t>): التوزيع التكراري لأفراد العينة وفقاً لنوع جهة العمل</w:t>
            </w:r>
          </w:p>
        </w:tc>
        <w:tc>
          <w:tcPr>
            <w:tcW w:w="1734" w:type="dxa"/>
          </w:tcPr>
          <w:p w14:paraId="175BCCB9" w14:textId="319D2891"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19</w:t>
            </w:r>
          </w:p>
        </w:tc>
      </w:tr>
      <w:tr w:rsidR="00407D80" w:rsidRPr="00407D80" w14:paraId="6444979B" w14:textId="77777777" w:rsidTr="00407D80">
        <w:trPr>
          <w:trHeight w:val="526"/>
        </w:trPr>
        <w:tc>
          <w:tcPr>
            <w:tcW w:w="8112" w:type="dxa"/>
          </w:tcPr>
          <w:p w14:paraId="311DE63B" w14:textId="0B2AEA70"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w:t>
            </w:r>
            <w:r w:rsidRPr="00407D80">
              <w:rPr>
                <w:rFonts w:asciiTheme="minorBidi" w:eastAsia="Sakkal Majalla" w:hAnsiTheme="minorBidi" w:cstheme="minorBidi"/>
              </w:rPr>
              <w:t>6</w:t>
            </w:r>
            <w:r w:rsidRPr="00407D80">
              <w:rPr>
                <w:rFonts w:asciiTheme="minorBidi" w:eastAsia="Sakkal Majalla" w:hAnsiTheme="minorBidi" w:cstheme="minorBidi"/>
                <w:rtl/>
              </w:rPr>
              <w:t>): التوزيع التكراري لأفراد العينة وفقاً للقسم الوظيفي</w:t>
            </w:r>
          </w:p>
        </w:tc>
        <w:tc>
          <w:tcPr>
            <w:tcW w:w="1734" w:type="dxa"/>
          </w:tcPr>
          <w:p w14:paraId="6316298B" w14:textId="270106FE"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20</w:t>
            </w:r>
          </w:p>
        </w:tc>
      </w:tr>
      <w:tr w:rsidR="00407D80" w:rsidRPr="00407D80" w14:paraId="64854E13" w14:textId="77777777" w:rsidTr="00407D80">
        <w:trPr>
          <w:trHeight w:val="526"/>
        </w:trPr>
        <w:tc>
          <w:tcPr>
            <w:tcW w:w="8112" w:type="dxa"/>
          </w:tcPr>
          <w:p w14:paraId="2644694A" w14:textId="50FFF55B"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w:t>
            </w:r>
            <w:r w:rsidRPr="00407D80">
              <w:rPr>
                <w:rFonts w:asciiTheme="minorBidi" w:eastAsia="Sakkal Majalla" w:hAnsiTheme="minorBidi" w:cstheme="minorBidi"/>
              </w:rPr>
              <w:t>7</w:t>
            </w:r>
            <w:r w:rsidRPr="00407D80">
              <w:rPr>
                <w:rFonts w:asciiTheme="minorBidi" w:eastAsia="Sakkal Majalla" w:hAnsiTheme="minorBidi" w:cstheme="minorBidi"/>
                <w:rtl/>
              </w:rPr>
              <w:t>): التوزيع التكراري لأفراد العينة وفقاً لسنوات الخبرة</w:t>
            </w:r>
          </w:p>
        </w:tc>
        <w:tc>
          <w:tcPr>
            <w:tcW w:w="1734" w:type="dxa"/>
          </w:tcPr>
          <w:p w14:paraId="29881473" w14:textId="62DECC5E"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20</w:t>
            </w:r>
          </w:p>
        </w:tc>
      </w:tr>
      <w:tr w:rsidR="00407D80" w:rsidRPr="00407D80" w14:paraId="2E3F7BDE" w14:textId="77777777" w:rsidTr="00407D80">
        <w:trPr>
          <w:trHeight w:val="507"/>
        </w:trPr>
        <w:tc>
          <w:tcPr>
            <w:tcW w:w="8112" w:type="dxa"/>
          </w:tcPr>
          <w:p w14:paraId="5237DCC4" w14:textId="47DB6C9D"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w:t>
            </w:r>
            <w:r w:rsidRPr="00407D80">
              <w:rPr>
                <w:rFonts w:asciiTheme="minorBidi" w:eastAsia="Sakkal Majalla" w:hAnsiTheme="minorBidi" w:cstheme="minorBidi"/>
              </w:rPr>
              <w:t>8</w:t>
            </w:r>
            <w:r w:rsidRPr="00407D80">
              <w:rPr>
                <w:rFonts w:asciiTheme="minorBidi" w:eastAsia="Sakkal Majalla" w:hAnsiTheme="minorBidi" w:cstheme="minorBidi"/>
                <w:rtl/>
              </w:rPr>
              <w:t>): التوزيع التكراري لأفراد العينة وفقاً لحجم جهة العمل</w:t>
            </w:r>
          </w:p>
        </w:tc>
        <w:tc>
          <w:tcPr>
            <w:tcW w:w="1734" w:type="dxa"/>
          </w:tcPr>
          <w:p w14:paraId="441D2C76" w14:textId="450B3A11"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20</w:t>
            </w:r>
          </w:p>
        </w:tc>
      </w:tr>
      <w:tr w:rsidR="00407D80" w:rsidRPr="00407D80" w14:paraId="4B9133ED" w14:textId="77777777" w:rsidTr="00407D80">
        <w:trPr>
          <w:trHeight w:val="526"/>
        </w:trPr>
        <w:tc>
          <w:tcPr>
            <w:tcW w:w="8112" w:type="dxa"/>
          </w:tcPr>
          <w:p w14:paraId="424390E4" w14:textId="369740BA"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w:t>
            </w:r>
            <w:r w:rsidRPr="00407D80">
              <w:rPr>
                <w:rFonts w:asciiTheme="minorBidi" w:eastAsia="Sakkal Majalla" w:hAnsiTheme="minorBidi" w:cstheme="minorBidi"/>
              </w:rPr>
              <w:t>9</w:t>
            </w:r>
            <w:r w:rsidRPr="00407D80">
              <w:rPr>
                <w:rFonts w:asciiTheme="minorBidi" w:eastAsia="Sakkal Majalla" w:hAnsiTheme="minorBidi" w:cstheme="minorBidi"/>
                <w:rtl/>
              </w:rPr>
              <w:t>): توزيع المنصات الإعلانية المستخدمة (إجابات متعددة)</w:t>
            </w:r>
          </w:p>
        </w:tc>
        <w:tc>
          <w:tcPr>
            <w:tcW w:w="1734" w:type="dxa"/>
          </w:tcPr>
          <w:p w14:paraId="351A4336" w14:textId="7F17ADEE"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21</w:t>
            </w:r>
          </w:p>
        </w:tc>
      </w:tr>
      <w:tr w:rsidR="00407D80" w:rsidRPr="00407D80" w14:paraId="6F11061C" w14:textId="77777777" w:rsidTr="00407D80">
        <w:trPr>
          <w:trHeight w:val="507"/>
        </w:trPr>
        <w:tc>
          <w:tcPr>
            <w:tcW w:w="8112" w:type="dxa"/>
          </w:tcPr>
          <w:p w14:paraId="3E527BB2" w14:textId="5EC4DE5B"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hAnsiTheme="minorBidi" w:cstheme="minorBidi"/>
                <w:rtl/>
              </w:rPr>
              <w:t xml:space="preserve">جدول (10): قيم معامل ألفا </w:t>
            </w:r>
            <w:proofErr w:type="spellStart"/>
            <w:r w:rsidRPr="00407D80">
              <w:rPr>
                <w:rFonts w:asciiTheme="minorBidi" w:hAnsiTheme="minorBidi" w:cstheme="minorBidi"/>
                <w:rtl/>
              </w:rPr>
              <w:t>كرونباخ</w:t>
            </w:r>
            <w:proofErr w:type="spellEnd"/>
            <w:r w:rsidRPr="00407D80">
              <w:rPr>
                <w:rFonts w:asciiTheme="minorBidi" w:hAnsiTheme="minorBidi" w:cstheme="minorBidi"/>
                <w:rtl/>
              </w:rPr>
              <w:t xml:space="preserve"> لمحاور الدراسة</w:t>
            </w:r>
          </w:p>
        </w:tc>
        <w:tc>
          <w:tcPr>
            <w:tcW w:w="1734" w:type="dxa"/>
          </w:tcPr>
          <w:p w14:paraId="7D603653" w14:textId="46C82B0B"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22</w:t>
            </w:r>
          </w:p>
        </w:tc>
      </w:tr>
      <w:tr w:rsidR="00407D80" w:rsidRPr="00407D80" w14:paraId="4360B35E" w14:textId="77777777" w:rsidTr="00407D80">
        <w:trPr>
          <w:trHeight w:val="526"/>
        </w:trPr>
        <w:tc>
          <w:tcPr>
            <w:tcW w:w="8112" w:type="dxa"/>
          </w:tcPr>
          <w:p w14:paraId="3C78614C" w14:textId="7132AD96" w:rsidR="00407D80" w:rsidRPr="00407D80" w:rsidRDefault="00407D80" w:rsidP="00407D80">
            <w:pPr>
              <w:pStyle w:val="Heading2"/>
              <w:bidi/>
              <w:spacing w:line="360" w:lineRule="auto"/>
              <w:ind w:left="113" w:right="113"/>
              <w:rPr>
                <w:rFonts w:asciiTheme="minorBidi" w:eastAsia="Sakkal Majalla" w:hAnsiTheme="minorBidi" w:cstheme="minorBidi"/>
              </w:rPr>
            </w:pPr>
            <w:r w:rsidRPr="00407D80">
              <w:rPr>
                <w:rFonts w:asciiTheme="minorBidi" w:eastAsia="Sakkal Majalla" w:hAnsiTheme="minorBidi" w:cstheme="minorBidi"/>
                <w:rtl/>
              </w:rPr>
              <w:t>جدول (11): معاملات ارتباط العبارات بالدرجة الكلية للمحور</w:t>
            </w:r>
          </w:p>
        </w:tc>
        <w:tc>
          <w:tcPr>
            <w:tcW w:w="1734" w:type="dxa"/>
          </w:tcPr>
          <w:p w14:paraId="71396EE8" w14:textId="05A13003"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22</w:t>
            </w:r>
          </w:p>
        </w:tc>
      </w:tr>
      <w:tr w:rsidR="00407D80" w:rsidRPr="00407D80" w14:paraId="452A459E" w14:textId="77777777" w:rsidTr="00407D80">
        <w:trPr>
          <w:trHeight w:val="507"/>
        </w:trPr>
        <w:tc>
          <w:tcPr>
            <w:tcW w:w="8112" w:type="dxa"/>
          </w:tcPr>
          <w:p w14:paraId="48D7389F" w14:textId="05418F9D"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hAnsiTheme="minorBidi" w:cstheme="minorBidi"/>
                <w:rtl/>
              </w:rPr>
              <w:t>جدول (12): الإحصاءات الوصفية لعبارات المقياس بعد إعادة الترميز</w:t>
            </w:r>
          </w:p>
        </w:tc>
        <w:tc>
          <w:tcPr>
            <w:tcW w:w="1734" w:type="dxa"/>
          </w:tcPr>
          <w:p w14:paraId="03A3FCEA" w14:textId="0F7BF191"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24</w:t>
            </w:r>
          </w:p>
        </w:tc>
      </w:tr>
      <w:tr w:rsidR="00407D80" w:rsidRPr="00407D80" w14:paraId="1FE247FB" w14:textId="77777777" w:rsidTr="00407D80">
        <w:trPr>
          <w:trHeight w:val="526"/>
        </w:trPr>
        <w:tc>
          <w:tcPr>
            <w:tcW w:w="8112" w:type="dxa"/>
          </w:tcPr>
          <w:p w14:paraId="2A721AAB" w14:textId="5B45AD84"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(13): المتوسطات الحسابية والانحرافات المعيارية لمحاور الدراسة وترتيبها</w:t>
            </w:r>
          </w:p>
        </w:tc>
        <w:tc>
          <w:tcPr>
            <w:tcW w:w="1734" w:type="dxa"/>
          </w:tcPr>
          <w:p w14:paraId="7675CA64" w14:textId="6DD57B44"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27</w:t>
            </w:r>
          </w:p>
        </w:tc>
      </w:tr>
      <w:tr w:rsidR="00407D80" w:rsidRPr="00407D80" w14:paraId="4CA79A11" w14:textId="77777777" w:rsidTr="00407D80">
        <w:trPr>
          <w:trHeight w:val="526"/>
        </w:trPr>
        <w:tc>
          <w:tcPr>
            <w:tcW w:w="8112" w:type="dxa"/>
          </w:tcPr>
          <w:p w14:paraId="050E6C50" w14:textId="7199EDC4"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(14): مصفوفة معاملات ارتباط بيرسون بين محاور الدراسة</w:t>
            </w:r>
          </w:p>
        </w:tc>
        <w:tc>
          <w:tcPr>
            <w:tcW w:w="1734" w:type="dxa"/>
          </w:tcPr>
          <w:p w14:paraId="155DDB02" w14:textId="1BF386CE"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28</w:t>
            </w:r>
          </w:p>
        </w:tc>
      </w:tr>
      <w:tr w:rsidR="00407D80" w:rsidRPr="00407D80" w14:paraId="415820A8" w14:textId="77777777" w:rsidTr="00407D80">
        <w:trPr>
          <w:trHeight w:val="507"/>
        </w:trPr>
        <w:tc>
          <w:tcPr>
            <w:tcW w:w="8112" w:type="dxa"/>
          </w:tcPr>
          <w:p w14:paraId="0BCB5ADA" w14:textId="37D1539B"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hAnsiTheme="minorBidi" w:cstheme="minorBidi"/>
                <w:rtl/>
              </w:rPr>
              <w:t>جدول (15): اختبارات دلالة الارتباط بين أزواج المحاور</w:t>
            </w:r>
          </w:p>
        </w:tc>
        <w:tc>
          <w:tcPr>
            <w:tcW w:w="1734" w:type="dxa"/>
          </w:tcPr>
          <w:p w14:paraId="13691505" w14:textId="28702697"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28</w:t>
            </w:r>
          </w:p>
        </w:tc>
      </w:tr>
      <w:tr w:rsidR="00407D80" w:rsidRPr="00407D80" w14:paraId="65F79C8D" w14:textId="77777777" w:rsidTr="00407D80">
        <w:trPr>
          <w:trHeight w:val="526"/>
        </w:trPr>
        <w:tc>
          <w:tcPr>
            <w:tcW w:w="8112" w:type="dxa"/>
          </w:tcPr>
          <w:p w14:paraId="594F1AB8" w14:textId="35350055"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(16): ملخص نموذج الانحدار</w:t>
            </w:r>
          </w:p>
        </w:tc>
        <w:tc>
          <w:tcPr>
            <w:tcW w:w="1734" w:type="dxa"/>
          </w:tcPr>
          <w:p w14:paraId="4AC0EAAC" w14:textId="354E001C"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29</w:t>
            </w:r>
          </w:p>
        </w:tc>
      </w:tr>
      <w:tr w:rsidR="00407D80" w:rsidRPr="00407D80" w14:paraId="3F4E720C" w14:textId="77777777" w:rsidTr="00407D80">
        <w:trPr>
          <w:trHeight w:val="507"/>
        </w:trPr>
        <w:tc>
          <w:tcPr>
            <w:tcW w:w="8112" w:type="dxa"/>
          </w:tcPr>
          <w:p w14:paraId="47D96D76" w14:textId="49139335" w:rsidR="00407D80" w:rsidRPr="00407D80" w:rsidRDefault="00407D80" w:rsidP="00407D80">
            <w:pPr>
              <w:pStyle w:val="Heading2"/>
              <w:bidi/>
              <w:spacing w:line="360" w:lineRule="auto"/>
              <w:ind w:left="113" w:right="113"/>
              <w:rPr>
                <w:rFonts w:asciiTheme="minorBidi" w:hAnsiTheme="minorBidi" w:cstheme="minorBidi"/>
              </w:rPr>
            </w:pPr>
            <w:r w:rsidRPr="00407D80">
              <w:rPr>
                <w:rFonts w:asciiTheme="minorBidi" w:eastAsia="Sakkal Majalla" w:hAnsiTheme="minorBidi" w:cstheme="minorBidi"/>
                <w:rtl/>
              </w:rPr>
              <w:t>جدول (17): معاملات الانحدار للمتغيرات المستقلة</w:t>
            </w:r>
          </w:p>
        </w:tc>
        <w:tc>
          <w:tcPr>
            <w:tcW w:w="1734" w:type="dxa"/>
          </w:tcPr>
          <w:p w14:paraId="7B491F9B" w14:textId="68643F56" w:rsidR="00407D80" w:rsidRPr="00407D80" w:rsidRDefault="00407D80" w:rsidP="00407D80">
            <w:pPr>
              <w:bidi/>
              <w:spacing w:before="40" w:after="40" w:line="360" w:lineRule="auto"/>
              <w:ind w:left="113" w:right="113"/>
              <w:jc w:val="center"/>
              <w:rPr>
                <w:rFonts w:asciiTheme="minorBidi" w:hAnsiTheme="minorBidi"/>
              </w:rPr>
            </w:pPr>
            <w:r w:rsidRPr="00407D80">
              <w:rPr>
                <w:rFonts w:asciiTheme="minorBidi" w:hAnsiTheme="minorBidi"/>
              </w:rPr>
              <w:t>29</w:t>
            </w:r>
          </w:p>
        </w:tc>
      </w:tr>
    </w:tbl>
    <w:p w14:paraId="6C853B14" w14:textId="752F190C" w:rsidR="00407D80" w:rsidRPr="00407D80" w:rsidRDefault="00407D80">
      <w:pPr>
        <w:rPr>
          <w:rFonts w:asciiTheme="minorBidi" w:eastAsiaTheme="majorEastAsia" w:hAnsiTheme="minorBidi"/>
          <w:bCs/>
          <w:color w:val="000000" w:themeColor="text1"/>
          <w:sz w:val="32"/>
          <w:szCs w:val="32"/>
          <w:rtl/>
        </w:rPr>
      </w:pPr>
    </w:p>
    <w:p w14:paraId="64BF311A" w14:textId="77777777" w:rsidR="00407D80" w:rsidRPr="00407D80" w:rsidRDefault="00407D80" w:rsidP="00407D80">
      <w:pPr>
        <w:pStyle w:val="Heading1"/>
        <w:bidi/>
        <w:spacing w:line="276" w:lineRule="auto"/>
        <w:rPr>
          <w:rFonts w:cstheme="minorBidi"/>
          <w:b w:val="0"/>
          <w:bCs/>
          <w:rtl/>
        </w:rPr>
      </w:pPr>
    </w:p>
    <w:p w14:paraId="3F979E40" w14:textId="77777777" w:rsidR="00407D80" w:rsidRPr="00407D80" w:rsidRDefault="00407D80">
      <w:pPr>
        <w:rPr>
          <w:rFonts w:asciiTheme="minorBidi" w:eastAsiaTheme="majorEastAsia" w:hAnsiTheme="minorBidi"/>
          <w:bCs/>
          <w:color w:val="000000" w:themeColor="text1"/>
          <w:sz w:val="32"/>
          <w:szCs w:val="32"/>
          <w:rtl/>
        </w:rPr>
      </w:pPr>
      <w:r w:rsidRPr="00407D80">
        <w:rPr>
          <w:rFonts w:asciiTheme="minorBidi" w:hAnsiTheme="minorBidi"/>
          <w:b/>
          <w:bCs/>
          <w:rtl/>
        </w:rPr>
        <w:br w:type="page"/>
      </w:r>
    </w:p>
    <w:p w14:paraId="0849717A" w14:textId="15CB9ECB" w:rsidR="00C570C3" w:rsidRPr="00407D80" w:rsidRDefault="00C570C3" w:rsidP="00407D80">
      <w:pPr>
        <w:pStyle w:val="Heading1"/>
        <w:bidi/>
        <w:spacing w:line="276" w:lineRule="auto"/>
        <w:rPr>
          <w:rFonts w:cstheme="minorBidi"/>
          <w:b w:val="0"/>
          <w:bCs/>
          <w:rtl/>
        </w:rPr>
      </w:pPr>
      <w:bookmarkStart w:id="5" w:name="_Toc228065395"/>
      <w:r w:rsidRPr="00407D80">
        <w:rPr>
          <w:rFonts w:cstheme="minorBidi"/>
          <w:b w:val="0"/>
          <w:bCs/>
          <w:rtl/>
        </w:rPr>
        <w:lastRenderedPageBreak/>
        <w:t>المقدمة</w:t>
      </w:r>
      <w:bookmarkEnd w:id="0"/>
      <w:bookmarkEnd w:id="1"/>
      <w:bookmarkEnd w:id="2"/>
      <w:bookmarkEnd w:id="3"/>
      <w:bookmarkEnd w:id="5"/>
    </w:p>
    <w:p w14:paraId="19B97548" w14:textId="77777777" w:rsidR="00C570C3" w:rsidRPr="00407D80" w:rsidRDefault="00C570C3" w:rsidP="008C0001">
      <w:pPr>
        <w:bidi/>
        <w:spacing w:line="276" w:lineRule="auto"/>
        <w:rPr>
          <w:rFonts w:asciiTheme="minorBidi" w:hAnsiTheme="minorBidi"/>
          <w:rtl/>
        </w:rPr>
      </w:pPr>
    </w:p>
    <w:p w14:paraId="654CA043" w14:textId="77777777" w:rsidR="00C570C3" w:rsidRPr="00407D80" w:rsidRDefault="00C570C3" w:rsidP="008C0001">
      <w:pPr>
        <w:bidi/>
        <w:spacing w:line="276" w:lineRule="auto"/>
        <w:rPr>
          <w:rFonts w:asciiTheme="minorBidi" w:hAnsiTheme="minorBidi"/>
          <w:rtl/>
        </w:rPr>
      </w:pPr>
    </w:p>
    <w:p w14:paraId="5D808526" w14:textId="027434BD" w:rsidR="00C570C3" w:rsidRPr="00407D80" w:rsidRDefault="00C570C3" w:rsidP="008C0001">
      <w:pPr>
        <w:bidi/>
        <w:spacing w:line="276" w:lineRule="auto"/>
        <w:rPr>
          <w:rFonts w:asciiTheme="minorBidi" w:hAnsiTheme="minorBidi"/>
          <w:rtl/>
        </w:rPr>
      </w:pPr>
      <w:r w:rsidRPr="00407D80">
        <w:rPr>
          <w:rFonts w:asciiTheme="minorBidi" w:hAnsiTheme="minorBidi"/>
          <w:rtl/>
        </w:rPr>
        <w:t>شهد التسويق الرقمي خلال السنوات الأخيرة تطورًا متسارعًا نتيجة التقدم التكنولوجي وانتشار المنصات الرقمية، مما أدى إلى تحول كبير في أساليب الاتصال التسويقي التي تعتمد عليها المؤسسات في الوصول إلى جمهورها المستهدف. وقد أصبحت الإعلانات الرقمية المدفوعة أحد أهم أدوات التسويق المعاصر، حيث تعتمد المؤسسات بشكل متزايد على المنصات الإعلانية الرقمية مثل</w:t>
      </w:r>
      <w:r w:rsidRPr="00407D80">
        <w:rPr>
          <w:rFonts w:asciiTheme="minorBidi" w:hAnsiTheme="minorBidi"/>
        </w:rPr>
        <w:t xml:space="preserve"> Google Ads </w:t>
      </w:r>
      <w:proofErr w:type="gramStart"/>
      <w:r w:rsidRPr="00407D80">
        <w:rPr>
          <w:rFonts w:asciiTheme="minorBidi" w:hAnsiTheme="minorBidi"/>
          <w:rtl/>
        </w:rPr>
        <w:t>و</w:t>
      </w:r>
      <w:r w:rsidR="00CA6BE6" w:rsidRPr="00407D80">
        <w:rPr>
          <w:rFonts w:asciiTheme="minorBidi" w:hAnsiTheme="minorBidi"/>
          <w:lang w:val="en-US"/>
        </w:rPr>
        <w:t xml:space="preserve"> </w:t>
      </w:r>
      <w:r w:rsidRPr="00407D80">
        <w:rPr>
          <w:rFonts w:asciiTheme="minorBidi" w:hAnsiTheme="minorBidi"/>
        </w:rPr>
        <w:t>Meta</w:t>
      </w:r>
      <w:proofErr w:type="gramEnd"/>
      <w:r w:rsidRPr="00407D80">
        <w:rPr>
          <w:rFonts w:asciiTheme="minorBidi" w:hAnsiTheme="minorBidi"/>
        </w:rPr>
        <w:t xml:space="preserve"> Ads</w:t>
      </w:r>
      <w:r w:rsidRPr="00407D80">
        <w:rPr>
          <w:rFonts w:asciiTheme="minorBidi" w:hAnsiTheme="minorBidi"/>
          <w:rtl/>
        </w:rPr>
        <w:t>و</w:t>
      </w:r>
      <w:r w:rsidR="00CA6BE6" w:rsidRPr="00407D80">
        <w:rPr>
          <w:rFonts w:asciiTheme="minorBidi" w:hAnsiTheme="minorBidi"/>
          <w:lang w:val="en-US"/>
        </w:rPr>
        <w:t xml:space="preserve"> </w:t>
      </w:r>
      <w:r w:rsidRPr="00407D80">
        <w:rPr>
          <w:rFonts w:asciiTheme="minorBidi" w:hAnsiTheme="minorBidi"/>
        </w:rPr>
        <w:t>Snapchat Ads</w:t>
      </w:r>
      <w:r w:rsidRPr="00407D80">
        <w:rPr>
          <w:rFonts w:asciiTheme="minorBidi" w:hAnsiTheme="minorBidi"/>
          <w:rtl/>
        </w:rPr>
        <w:t>و</w:t>
      </w:r>
      <w:r w:rsidR="00CA6BE6" w:rsidRPr="00407D80">
        <w:rPr>
          <w:rFonts w:asciiTheme="minorBidi" w:hAnsiTheme="minorBidi"/>
          <w:lang w:val="en-US"/>
        </w:rPr>
        <w:t xml:space="preserve"> </w:t>
      </w:r>
      <w:r w:rsidRPr="00407D80">
        <w:rPr>
          <w:rFonts w:asciiTheme="minorBidi" w:hAnsiTheme="minorBidi"/>
        </w:rPr>
        <w:t>X Ads</w:t>
      </w:r>
      <w:r w:rsidRPr="00407D80">
        <w:rPr>
          <w:rFonts w:asciiTheme="minorBidi" w:hAnsiTheme="minorBidi"/>
          <w:rtl/>
        </w:rPr>
        <w:t>لإدارة الحملات الإعلانية وتحقيق أهدافها التسويقية</w:t>
      </w:r>
      <w:r w:rsidRPr="00407D80">
        <w:rPr>
          <w:rFonts w:asciiTheme="minorBidi" w:hAnsiTheme="minorBidi"/>
        </w:rPr>
        <w:t>.</w:t>
      </w:r>
    </w:p>
    <w:p w14:paraId="2680EAE2" w14:textId="77777777" w:rsidR="00C570C3" w:rsidRPr="00407D80" w:rsidRDefault="00C570C3" w:rsidP="008C0001">
      <w:pPr>
        <w:bidi/>
        <w:spacing w:line="276" w:lineRule="auto"/>
        <w:rPr>
          <w:rFonts w:asciiTheme="minorBidi" w:hAnsiTheme="minorBidi"/>
          <w:rtl/>
        </w:rPr>
      </w:pPr>
    </w:p>
    <w:p w14:paraId="3ABF9F0B" w14:textId="59AC6025" w:rsidR="00C570C3" w:rsidRPr="00407D80" w:rsidRDefault="00C570C3" w:rsidP="008C0001">
      <w:pPr>
        <w:bidi/>
        <w:spacing w:line="276" w:lineRule="auto"/>
        <w:rPr>
          <w:rFonts w:asciiTheme="minorBidi" w:hAnsiTheme="minorBidi"/>
          <w:rtl/>
        </w:rPr>
      </w:pPr>
      <w:r w:rsidRPr="00407D80">
        <w:rPr>
          <w:rFonts w:asciiTheme="minorBidi" w:hAnsiTheme="minorBidi"/>
          <w:rtl/>
        </w:rPr>
        <w:t>ومع هذا التوسع الكبير في الإعلانات الرقمية، أصبحت المنصات الإعلانية توفر مجموعة واسعة من مؤشرات الأداء</w:t>
      </w:r>
      <w:r w:rsidRPr="00407D80">
        <w:rPr>
          <w:rFonts w:asciiTheme="minorBidi" w:hAnsiTheme="minorBidi"/>
        </w:rPr>
        <w:t xml:space="preserve"> (Key Performance Indicators – </w:t>
      </w:r>
      <w:proofErr w:type="gramStart"/>
      <w:r w:rsidRPr="00407D80">
        <w:rPr>
          <w:rFonts w:asciiTheme="minorBidi" w:hAnsiTheme="minorBidi"/>
        </w:rPr>
        <w:t xml:space="preserve">KPIs) </w:t>
      </w:r>
      <w:r w:rsidR="00CA6BE6" w:rsidRPr="00407D80">
        <w:rPr>
          <w:rFonts w:asciiTheme="minorBidi" w:hAnsiTheme="minorBidi"/>
          <w:rtl/>
        </w:rPr>
        <w:t xml:space="preserve"> </w:t>
      </w:r>
      <w:r w:rsidRPr="00407D80">
        <w:rPr>
          <w:rFonts w:asciiTheme="minorBidi" w:hAnsiTheme="minorBidi"/>
          <w:rtl/>
        </w:rPr>
        <w:t>التي</w:t>
      </w:r>
      <w:proofErr w:type="gramEnd"/>
      <w:r w:rsidRPr="00407D80">
        <w:rPr>
          <w:rFonts w:asciiTheme="minorBidi" w:hAnsiTheme="minorBidi"/>
          <w:rtl/>
        </w:rPr>
        <w:t xml:space="preserve"> تساعد المسوقين على تقييم أداء الحملات الإعلانية وتحليل نتائجها. وتشمل هذه المؤشرات مجموعة من المقاييس المهمة مثل معدل النقر إلى الظهور</w:t>
      </w:r>
      <w:r w:rsidR="00CA6BE6" w:rsidRPr="00407D80">
        <w:rPr>
          <w:rFonts w:asciiTheme="minorBidi" w:hAnsiTheme="minorBidi"/>
          <w:rtl/>
        </w:rPr>
        <w:t xml:space="preserve"> </w:t>
      </w:r>
      <w:r w:rsidRPr="00407D80">
        <w:rPr>
          <w:rFonts w:asciiTheme="minorBidi" w:hAnsiTheme="minorBidi"/>
        </w:rPr>
        <w:t>(CTR)</w:t>
      </w:r>
      <w:r w:rsidRPr="00407D80">
        <w:rPr>
          <w:rFonts w:asciiTheme="minorBidi" w:hAnsiTheme="minorBidi"/>
          <w:rtl/>
        </w:rPr>
        <w:t>، وتكلفة النقرة</w:t>
      </w:r>
      <w:r w:rsidR="00CA6BE6" w:rsidRPr="00407D80">
        <w:rPr>
          <w:rFonts w:asciiTheme="minorBidi" w:hAnsiTheme="minorBidi"/>
          <w:rtl/>
        </w:rPr>
        <w:t xml:space="preserve"> </w:t>
      </w:r>
      <w:r w:rsidRPr="00407D80">
        <w:rPr>
          <w:rFonts w:asciiTheme="minorBidi" w:hAnsiTheme="minorBidi"/>
        </w:rPr>
        <w:t>(CPC)</w:t>
      </w:r>
      <w:r w:rsidRPr="00407D80">
        <w:rPr>
          <w:rFonts w:asciiTheme="minorBidi" w:hAnsiTheme="minorBidi"/>
          <w:rtl/>
        </w:rPr>
        <w:t>، ومعدل التحويل</w:t>
      </w:r>
      <w:r w:rsidR="00CA6BE6" w:rsidRPr="00407D80">
        <w:rPr>
          <w:rFonts w:asciiTheme="minorBidi" w:hAnsiTheme="minorBidi"/>
          <w:rtl/>
        </w:rPr>
        <w:t xml:space="preserve"> </w:t>
      </w:r>
      <w:r w:rsidRPr="00407D80">
        <w:rPr>
          <w:rFonts w:asciiTheme="minorBidi" w:hAnsiTheme="minorBidi"/>
        </w:rPr>
        <w:t>(Conversion Rate)</w:t>
      </w:r>
      <w:r w:rsidRPr="00407D80">
        <w:rPr>
          <w:rFonts w:asciiTheme="minorBidi" w:hAnsiTheme="minorBidi"/>
          <w:rtl/>
        </w:rPr>
        <w:t>، والعائد على الاستثمار</w:t>
      </w:r>
      <w:r w:rsidR="00CA6BE6" w:rsidRPr="00407D80">
        <w:rPr>
          <w:rFonts w:asciiTheme="minorBidi" w:hAnsiTheme="minorBidi"/>
          <w:rtl/>
        </w:rPr>
        <w:t xml:space="preserve"> </w:t>
      </w:r>
      <w:r w:rsidRPr="00407D80">
        <w:rPr>
          <w:rFonts w:asciiTheme="minorBidi" w:hAnsiTheme="minorBidi"/>
        </w:rPr>
        <w:t>(ROI)</w:t>
      </w:r>
      <w:r w:rsidRPr="00407D80">
        <w:rPr>
          <w:rFonts w:asciiTheme="minorBidi" w:hAnsiTheme="minorBidi"/>
          <w:rtl/>
        </w:rPr>
        <w:t>، والعائد على الإنفاق الإعلاني</w:t>
      </w:r>
      <w:r w:rsidR="00CA6BE6" w:rsidRPr="00407D80">
        <w:rPr>
          <w:rFonts w:asciiTheme="minorBidi" w:hAnsiTheme="minorBidi"/>
          <w:rtl/>
        </w:rPr>
        <w:t xml:space="preserve"> </w:t>
      </w:r>
      <w:r w:rsidRPr="00407D80">
        <w:rPr>
          <w:rFonts w:asciiTheme="minorBidi" w:hAnsiTheme="minorBidi"/>
        </w:rPr>
        <w:t>(ROAS)</w:t>
      </w:r>
      <w:r w:rsidRPr="00407D80">
        <w:rPr>
          <w:rFonts w:asciiTheme="minorBidi" w:hAnsiTheme="minorBidi"/>
          <w:rtl/>
        </w:rPr>
        <w:t>، وغيرها من المؤشرات التي تستخدم لتقييم فعالية الحملات الإعلانية الرقمية</w:t>
      </w:r>
      <w:r w:rsidRPr="00407D80">
        <w:rPr>
          <w:rFonts w:asciiTheme="minorBidi" w:hAnsiTheme="minorBidi"/>
        </w:rPr>
        <w:t>.</w:t>
      </w:r>
    </w:p>
    <w:p w14:paraId="644532A6" w14:textId="77777777" w:rsidR="00C570C3" w:rsidRPr="00407D80" w:rsidRDefault="00C570C3" w:rsidP="008C0001">
      <w:pPr>
        <w:bidi/>
        <w:spacing w:line="276" w:lineRule="auto"/>
        <w:rPr>
          <w:rFonts w:asciiTheme="minorBidi" w:hAnsiTheme="minorBidi"/>
          <w:rtl/>
        </w:rPr>
      </w:pPr>
    </w:p>
    <w:p w14:paraId="4DB4F959" w14:textId="77777777" w:rsidR="00C570C3" w:rsidRPr="00407D80" w:rsidRDefault="00C570C3" w:rsidP="008C0001">
      <w:pPr>
        <w:bidi/>
        <w:spacing w:line="276" w:lineRule="auto"/>
        <w:rPr>
          <w:rFonts w:asciiTheme="minorBidi" w:hAnsiTheme="minorBidi"/>
          <w:rtl/>
        </w:rPr>
      </w:pPr>
      <w:r w:rsidRPr="00407D80">
        <w:rPr>
          <w:rFonts w:asciiTheme="minorBidi" w:hAnsiTheme="minorBidi"/>
          <w:rtl/>
        </w:rPr>
        <w:t>وقد أصبحت هذه المؤشرات تمثل أداة أساسية يعتمد عليها المسوقون في تحليل الأداء الإعلاني واتخاذ القرارات التسويقية المختلفة، مثل تخصيص الميزانيات الإعلانية، وتحسين استراتيجيات الاستهداف، وتطوير الحملات الإعلانية بما يحقق أفضل النتائج الممكنة. كما ساهمت التطورات في مجال تحليلات التسويق الرقمي في تعزيز الاعتماد على البيانات والمؤشرات الرقمية في دعم عملية اتخاذ القرار داخل المؤسسات</w:t>
      </w:r>
      <w:r w:rsidRPr="00407D80">
        <w:rPr>
          <w:rFonts w:asciiTheme="minorBidi" w:hAnsiTheme="minorBidi"/>
        </w:rPr>
        <w:t>.</w:t>
      </w:r>
    </w:p>
    <w:p w14:paraId="32CEAC84" w14:textId="77777777" w:rsidR="00C570C3" w:rsidRPr="00407D80" w:rsidRDefault="00C570C3" w:rsidP="008C0001">
      <w:pPr>
        <w:bidi/>
        <w:spacing w:line="276" w:lineRule="auto"/>
        <w:rPr>
          <w:rFonts w:asciiTheme="minorBidi" w:hAnsiTheme="minorBidi"/>
          <w:rtl/>
        </w:rPr>
      </w:pPr>
    </w:p>
    <w:p w14:paraId="3DBD0DFC" w14:textId="77777777" w:rsidR="00C570C3" w:rsidRPr="00407D80" w:rsidRDefault="00C570C3" w:rsidP="008C0001">
      <w:pPr>
        <w:bidi/>
        <w:spacing w:line="276" w:lineRule="auto"/>
        <w:rPr>
          <w:rFonts w:asciiTheme="minorBidi" w:hAnsiTheme="minorBidi"/>
          <w:rtl/>
        </w:rPr>
      </w:pPr>
      <w:r w:rsidRPr="00407D80">
        <w:rPr>
          <w:rFonts w:asciiTheme="minorBidi" w:hAnsiTheme="minorBidi"/>
          <w:rtl/>
        </w:rPr>
        <w:t>ومع ذلك، يثير الاعتماد المتزايد على مؤشرات الأداء الرقمية عددًا من التساؤلات المتعلقة بمدى قدرتها على تمثيل الأداء الحقيقي للحملات الإعلانية ومدى كفايتها لدعم القرارات التسويقية الفعالة داخل المؤسسات. إذ إن اختلاف المنصات الرقمية في آليات القياس وتعدد المؤشرات المستخدمة قد يؤدي في بعض الأحيان إلى تعقيد عملية تفسير البيانات، مما قد يؤثر على جودة القرارات التسويقية التي يتم اتخاذها بناءً على هذه المؤشرات</w:t>
      </w:r>
      <w:r w:rsidRPr="00407D80">
        <w:rPr>
          <w:rFonts w:asciiTheme="minorBidi" w:hAnsiTheme="minorBidi"/>
        </w:rPr>
        <w:t>.</w:t>
      </w:r>
    </w:p>
    <w:p w14:paraId="18CE41B5" w14:textId="77777777" w:rsidR="00C570C3" w:rsidRPr="00407D80" w:rsidRDefault="00C570C3" w:rsidP="008C0001">
      <w:pPr>
        <w:bidi/>
        <w:spacing w:line="276" w:lineRule="auto"/>
        <w:rPr>
          <w:rFonts w:asciiTheme="minorBidi" w:hAnsiTheme="minorBidi"/>
          <w:rtl/>
        </w:rPr>
      </w:pPr>
    </w:p>
    <w:p w14:paraId="303FA562" w14:textId="3BBB8955" w:rsidR="00C570C3" w:rsidRPr="00407D80" w:rsidRDefault="00C570C3" w:rsidP="008C0001">
      <w:pPr>
        <w:bidi/>
        <w:spacing w:line="276" w:lineRule="auto"/>
        <w:rPr>
          <w:rFonts w:asciiTheme="minorBidi" w:hAnsiTheme="minorBidi"/>
          <w:rtl/>
        </w:rPr>
      </w:pPr>
      <w:r w:rsidRPr="00407D80">
        <w:rPr>
          <w:rFonts w:asciiTheme="minorBidi" w:hAnsiTheme="minorBidi"/>
          <w:rtl/>
        </w:rPr>
        <w:t>وفي هذا السياق تبرز أهمية دراسة العلاقة بين مؤشرات الأداء المستخدمة في الإعلانات المدفوعة وجودة القرار التسويقي داخل المؤسسات، وذلك من خلال تحليل مدى اعتماد المسوقين على هذه المؤشرات في تقييم الحملات الإعلانية ومدى تأثيرها في دعم عملية اتخاذ القرار التسويقي.</w:t>
      </w:r>
    </w:p>
    <w:p w14:paraId="011C16CF" w14:textId="77777777" w:rsidR="00C570C3" w:rsidRPr="00407D80" w:rsidRDefault="00C570C3" w:rsidP="008C0001">
      <w:pPr>
        <w:bidi/>
        <w:spacing w:line="276" w:lineRule="auto"/>
        <w:rPr>
          <w:rFonts w:asciiTheme="minorBidi" w:hAnsiTheme="minorBidi"/>
          <w:sz w:val="28"/>
          <w:szCs w:val="28"/>
          <w:rtl/>
          <w:lang w:val="en-US"/>
        </w:rPr>
      </w:pPr>
    </w:p>
    <w:p w14:paraId="4785E834" w14:textId="55E24FFA" w:rsidR="00C570C3" w:rsidRPr="00407D80" w:rsidRDefault="001202B3" w:rsidP="00407D80">
      <w:pPr>
        <w:bidi/>
        <w:spacing w:line="276" w:lineRule="auto"/>
        <w:rPr>
          <w:rFonts w:asciiTheme="minorBidi" w:hAnsiTheme="minorBidi"/>
          <w:rtl/>
        </w:rPr>
      </w:pPr>
      <w:r w:rsidRPr="00407D80">
        <w:rPr>
          <w:rFonts w:asciiTheme="minorBidi" w:hAnsiTheme="minorBidi"/>
          <w:rtl/>
        </w:rPr>
        <w:t xml:space="preserve">وقد أكدت العديد من الدراسات الحديثة أهمية مؤشرات الأداء الرقمية في دعم فعالية الحملات الإعلانية واتخاذ القرارات التسويقية المبنية على البيانات، حيث أشارت دراسة </w:t>
      </w:r>
      <w:r w:rsidRPr="00407D80">
        <w:rPr>
          <w:rFonts w:asciiTheme="minorBidi" w:hAnsiTheme="minorBidi"/>
        </w:rPr>
        <w:t>Mintz</w:t>
      </w:r>
      <w:r w:rsidRPr="00407D80">
        <w:rPr>
          <w:rFonts w:asciiTheme="minorBidi" w:hAnsiTheme="minorBidi"/>
          <w:rtl/>
        </w:rPr>
        <w:t xml:space="preserve"> وآخرون (2021) إلى أن اختيار المؤشرات المناسبة يسهم بصورة مباشرة في تحسين جودة القرارات التسويقية، كما أوضحت دراسة </w:t>
      </w:r>
      <w:r w:rsidRPr="00407D80">
        <w:rPr>
          <w:rFonts w:asciiTheme="minorBidi" w:hAnsiTheme="minorBidi"/>
        </w:rPr>
        <w:t>Haverila</w:t>
      </w:r>
      <w:r w:rsidRPr="00407D80">
        <w:rPr>
          <w:rFonts w:asciiTheme="minorBidi" w:hAnsiTheme="minorBidi"/>
          <w:rtl/>
        </w:rPr>
        <w:t xml:space="preserve"> وآخرون (2025) أن جودة البيانات والتحليلات الرقمية تمثل عاملًا رئيسيًا في تعزيز مرونة القرار التسويقي داخل المؤسسات. كذلك بينت دراسة </w:t>
      </w:r>
      <w:r w:rsidRPr="00407D80">
        <w:rPr>
          <w:rFonts w:asciiTheme="minorBidi" w:hAnsiTheme="minorBidi"/>
        </w:rPr>
        <w:t>Ghasemaghaei (2019</w:t>
      </w:r>
      <w:r w:rsidRPr="00407D80">
        <w:rPr>
          <w:rFonts w:asciiTheme="minorBidi" w:hAnsiTheme="minorBidi"/>
          <w:rtl/>
        </w:rPr>
        <w:t>) أن جودة البيانات ودقتها ترتبط ارتباطًا مباشرًا بتحسين جودة القرارات الإدارية والتسويقية، وهو ما يدعم أهمية الدراسة الحالية في البيئة السعودية.</w:t>
      </w:r>
    </w:p>
    <w:p w14:paraId="1FC1A438" w14:textId="77777777" w:rsidR="00C570C3" w:rsidRPr="00407D80" w:rsidRDefault="00C570C3" w:rsidP="008C0001">
      <w:pPr>
        <w:bidi/>
        <w:spacing w:line="276" w:lineRule="auto"/>
        <w:rPr>
          <w:rFonts w:asciiTheme="minorBidi" w:hAnsiTheme="minorBidi"/>
          <w:sz w:val="28"/>
          <w:szCs w:val="28"/>
          <w:rtl/>
          <w:lang w:val="en-US"/>
        </w:rPr>
      </w:pPr>
    </w:p>
    <w:p w14:paraId="558E1B40" w14:textId="77777777" w:rsidR="00C570C3" w:rsidRPr="00407D80" w:rsidRDefault="00C570C3" w:rsidP="008C0001">
      <w:pPr>
        <w:bidi/>
        <w:spacing w:line="276" w:lineRule="auto"/>
        <w:rPr>
          <w:rFonts w:asciiTheme="minorBidi" w:hAnsiTheme="minorBidi"/>
          <w:sz w:val="28"/>
          <w:szCs w:val="28"/>
          <w:rtl/>
          <w:lang w:val="en-US"/>
        </w:rPr>
      </w:pPr>
    </w:p>
    <w:p w14:paraId="0F1A8A2A" w14:textId="62C5B3C3" w:rsidR="00050F5B" w:rsidRPr="00407D80" w:rsidRDefault="00050F5B" w:rsidP="008C0001">
      <w:pPr>
        <w:pStyle w:val="Heading1"/>
        <w:bidi/>
        <w:spacing w:line="276" w:lineRule="auto"/>
        <w:rPr>
          <w:rFonts w:cstheme="minorBidi"/>
          <w:b w:val="0"/>
          <w:bCs/>
          <w:rtl/>
          <w:lang w:val="en-US"/>
        </w:rPr>
      </w:pPr>
      <w:bookmarkStart w:id="6" w:name="_Toc224344396"/>
      <w:bookmarkStart w:id="7" w:name="_Toc224416151"/>
      <w:bookmarkStart w:id="8" w:name="_Toc224420468"/>
      <w:bookmarkStart w:id="9" w:name="_Toc224422448"/>
      <w:bookmarkStart w:id="10" w:name="_Toc228065396"/>
      <w:r w:rsidRPr="00407D80">
        <w:rPr>
          <w:rFonts w:cstheme="minorBidi"/>
          <w:b w:val="0"/>
          <w:bCs/>
          <w:rtl/>
          <w:lang w:val="en-US"/>
        </w:rPr>
        <w:t>الدراسات السابقة</w:t>
      </w:r>
      <w:bookmarkEnd w:id="6"/>
      <w:bookmarkEnd w:id="7"/>
      <w:bookmarkEnd w:id="8"/>
      <w:bookmarkEnd w:id="9"/>
      <w:bookmarkEnd w:id="10"/>
    </w:p>
    <w:p w14:paraId="21B5C837" w14:textId="77777777" w:rsidR="00050F5B" w:rsidRPr="00407D80" w:rsidRDefault="00050F5B" w:rsidP="008C0001">
      <w:pPr>
        <w:bidi/>
        <w:spacing w:line="276" w:lineRule="auto"/>
        <w:rPr>
          <w:rFonts w:asciiTheme="minorBidi" w:hAnsiTheme="minorBidi"/>
          <w:rtl/>
          <w:lang w:val="en-US"/>
        </w:rPr>
      </w:pPr>
    </w:p>
    <w:p w14:paraId="75404860" w14:textId="77777777" w:rsidR="00050F5B" w:rsidRPr="00407D80" w:rsidRDefault="00050F5B" w:rsidP="008C0001">
      <w:pPr>
        <w:bidi/>
        <w:spacing w:line="276" w:lineRule="auto"/>
        <w:rPr>
          <w:rFonts w:asciiTheme="minorBidi" w:hAnsiTheme="minorBidi"/>
          <w:rtl/>
          <w:lang w:val="en-US"/>
        </w:rPr>
      </w:pPr>
    </w:p>
    <w:p w14:paraId="3FF69FCA" w14:textId="00F7A4EB" w:rsidR="00050F5B" w:rsidRPr="00407D80" w:rsidRDefault="00050F5B" w:rsidP="008C0001">
      <w:pPr>
        <w:bidi/>
        <w:spacing w:line="276" w:lineRule="auto"/>
        <w:rPr>
          <w:rFonts w:asciiTheme="minorBidi" w:hAnsiTheme="minorBidi"/>
          <w:rtl/>
          <w:lang w:val="en-US"/>
        </w:rPr>
      </w:pPr>
      <w:r w:rsidRPr="00407D80">
        <w:rPr>
          <w:rFonts w:asciiTheme="minorBidi" w:hAnsiTheme="minorBidi"/>
          <w:rtl/>
          <w:lang w:val="en-US"/>
        </w:rPr>
        <w:t>قسمت الدراسات السابقة على محورين رئيسين:</w:t>
      </w:r>
    </w:p>
    <w:p w14:paraId="07D67141" w14:textId="77777777" w:rsidR="00050F5B" w:rsidRPr="00407D80" w:rsidRDefault="00050F5B" w:rsidP="008C0001">
      <w:pPr>
        <w:bidi/>
        <w:spacing w:line="276" w:lineRule="auto"/>
        <w:rPr>
          <w:rFonts w:asciiTheme="minorBidi" w:hAnsiTheme="minorBidi"/>
          <w:rtl/>
          <w:lang w:val="en-US"/>
        </w:rPr>
      </w:pPr>
    </w:p>
    <w:p w14:paraId="0A53C254" w14:textId="77777777" w:rsidR="00050F5B" w:rsidRPr="00407D80" w:rsidRDefault="00050F5B" w:rsidP="008C0001">
      <w:pPr>
        <w:bidi/>
        <w:spacing w:line="276" w:lineRule="auto"/>
        <w:rPr>
          <w:rFonts w:asciiTheme="minorBidi" w:hAnsiTheme="minorBidi"/>
          <w:rtl/>
          <w:lang w:val="en-US"/>
        </w:rPr>
      </w:pPr>
    </w:p>
    <w:p w14:paraId="5B34A76C" w14:textId="77777777" w:rsidR="00050F5B" w:rsidRPr="00407D80" w:rsidRDefault="00050F5B" w:rsidP="008C0001">
      <w:pPr>
        <w:bidi/>
        <w:spacing w:line="276" w:lineRule="auto"/>
        <w:rPr>
          <w:rFonts w:asciiTheme="minorBidi" w:hAnsiTheme="minorBidi"/>
          <w:sz w:val="28"/>
          <w:szCs w:val="28"/>
          <w:rtl/>
          <w:lang w:val="en-US"/>
        </w:rPr>
      </w:pPr>
      <w:r w:rsidRPr="00407D80">
        <w:rPr>
          <w:rFonts w:asciiTheme="minorBidi" w:hAnsiTheme="minorBidi"/>
          <w:sz w:val="28"/>
          <w:szCs w:val="28"/>
          <w:rtl/>
          <w:lang w:val="en-US"/>
        </w:rPr>
        <w:t>المحور الأول: مؤشرات قياس أداء الحملات الإعلانية الرقمية</w:t>
      </w:r>
    </w:p>
    <w:p w14:paraId="0E07B3A1" w14:textId="77777777" w:rsidR="00050F5B" w:rsidRPr="00407D80" w:rsidRDefault="00050F5B" w:rsidP="008C0001">
      <w:pPr>
        <w:bidi/>
        <w:spacing w:line="276" w:lineRule="auto"/>
        <w:rPr>
          <w:rFonts w:asciiTheme="minorBidi" w:hAnsiTheme="minorBidi"/>
          <w:rtl/>
          <w:lang w:val="en-US"/>
        </w:rPr>
      </w:pPr>
    </w:p>
    <w:p w14:paraId="5882CF59" w14:textId="77777777" w:rsidR="00050F5B" w:rsidRPr="00407D80" w:rsidRDefault="00050F5B" w:rsidP="008C0001">
      <w:pPr>
        <w:bidi/>
        <w:spacing w:line="276" w:lineRule="auto"/>
        <w:rPr>
          <w:rFonts w:asciiTheme="minorBidi" w:hAnsiTheme="minorBidi"/>
          <w:rtl/>
          <w:lang w:val="en-US"/>
        </w:rPr>
      </w:pPr>
      <w:r w:rsidRPr="00407D80">
        <w:rPr>
          <w:rFonts w:asciiTheme="minorBidi" w:hAnsiTheme="minorBidi"/>
          <w:rtl/>
          <w:lang w:val="en-US"/>
        </w:rPr>
        <w:t>ويتناول هذا المحور الدراسات التي ركزت على استخدام مؤشرات الأداء الرئيسية في تقييم فعالية الحملات الإعلانية الرقمية، مثل معدل النقر إلى الظهور</w:t>
      </w:r>
      <w:r w:rsidRPr="00407D80">
        <w:rPr>
          <w:rFonts w:asciiTheme="minorBidi" w:hAnsiTheme="minorBidi"/>
          <w:lang w:val="en-US"/>
        </w:rPr>
        <w:t xml:space="preserve"> (CTR) </w:t>
      </w:r>
      <w:r w:rsidRPr="00407D80">
        <w:rPr>
          <w:rFonts w:asciiTheme="minorBidi" w:hAnsiTheme="minorBidi"/>
          <w:rtl/>
          <w:lang w:val="en-US"/>
        </w:rPr>
        <w:t>وتكلفة النقرة</w:t>
      </w:r>
      <w:r w:rsidRPr="00407D80">
        <w:rPr>
          <w:rFonts w:asciiTheme="minorBidi" w:hAnsiTheme="minorBidi"/>
          <w:lang w:val="en-US"/>
        </w:rPr>
        <w:t xml:space="preserve"> (CPC) </w:t>
      </w:r>
      <w:r w:rsidRPr="00407D80">
        <w:rPr>
          <w:rFonts w:asciiTheme="minorBidi" w:hAnsiTheme="minorBidi"/>
          <w:rtl/>
          <w:lang w:val="en-US"/>
        </w:rPr>
        <w:t>وتكلفة الألف ظهور</w:t>
      </w:r>
      <w:r w:rsidRPr="00407D80">
        <w:rPr>
          <w:rFonts w:asciiTheme="minorBidi" w:hAnsiTheme="minorBidi"/>
          <w:lang w:val="en-US"/>
        </w:rPr>
        <w:t xml:space="preserve"> (CPM) </w:t>
      </w:r>
      <w:r w:rsidRPr="00407D80">
        <w:rPr>
          <w:rFonts w:asciiTheme="minorBidi" w:hAnsiTheme="minorBidi"/>
          <w:rtl/>
          <w:lang w:val="en-US"/>
        </w:rPr>
        <w:t>ومعدل التحويل</w:t>
      </w:r>
      <w:r w:rsidRPr="00407D80">
        <w:rPr>
          <w:rFonts w:asciiTheme="minorBidi" w:hAnsiTheme="minorBidi"/>
          <w:lang w:val="en-US"/>
        </w:rPr>
        <w:t xml:space="preserve"> (Conversion Rate)</w:t>
      </w:r>
      <w:r w:rsidRPr="00407D80">
        <w:rPr>
          <w:rFonts w:asciiTheme="minorBidi" w:hAnsiTheme="minorBidi"/>
          <w:rtl/>
          <w:lang w:val="en-US"/>
        </w:rPr>
        <w:t>، حيث تعد هذه المؤشرات من أكثر المقاييس استخدامًا في منصات الإعلان الرقمي لتقييم أداء الحملات وتحسين استراتيجيات التسويق الرقمي</w:t>
      </w:r>
      <w:r w:rsidRPr="00407D80">
        <w:rPr>
          <w:rFonts w:asciiTheme="minorBidi" w:hAnsiTheme="minorBidi"/>
          <w:lang w:val="en-US"/>
        </w:rPr>
        <w:t>.</w:t>
      </w:r>
    </w:p>
    <w:p w14:paraId="2D597B73" w14:textId="77777777" w:rsidR="00050F5B" w:rsidRPr="00407D80" w:rsidRDefault="00050F5B" w:rsidP="008C0001">
      <w:pPr>
        <w:bidi/>
        <w:spacing w:line="276" w:lineRule="auto"/>
        <w:rPr>
          <w:rFonts w:asciiTheme="minorBidi" w:hAnsiTheme="minorBidi"/>
          <w:rtl/>
          <w:lang w:val="en-US"/>
        </w:rPr>
      </w:pPr>
    </w:p>
    <w:p w14:paraId="5D6F324A" w14:textId="5CE1B6C1" w:rsidR="00050F5B" w:rsidRPr="00407D80" w:rsidRDefault="00050F5B" w:rsidP="008C0001">
      <w:pPr>
        <w:bidi/>
        <w:spacing w:line="276" w:lineRule="auto"/>
        <w:rPr>
          <w:rFonts w:asciiTheme="minorBidi" w:hAnsiTheme="minorBidi"/>
          <w:rtl/>
          <w:lang w:val="en-US"/>
        </w:rPr>
      </w:pPr>
      <w:r w:rsidRPr="00407D80">
        <w:rPr>
          <w:rFonts w:asciiTheme="minorBidi" w:hAnsiTheme="minorBidi"/>
          <w:rtl/>
          <w:lang w:val="en-US"/>
        </w:rPr>
        <w:t>كما تسعى هذه الدراسات إلى تحليل مدى قدرة هذه المؤشرات على قياس الأداء الفعلي للحملات الإعلانية الرقمية، ومدى دقتها في تفسير سلوك المستخدمين وقياس التأثير الحقيقي للإعلانات في تحقيق الأهداف التسويقية المختلفة، مثل زيادة التفاعل أو تحقيق المبيعات أو تعزيز الوعي بالعلامة التجارية.</w:t>
      </w:r>
    </w:p>
    <w:p w14:paraId="5E4A9490" w14:textId="77777777" w:rsidR="007234B8" w:rsidRPr="00407D80" w:rsidRDefault="007234B8" w:rsidP="008C0001">
      <w:pPr>
        <w:bidi/>
        <w:spacing w:line="276" w:lineRule="auto"/>
        <w:rPr>
          <w:rFonts w:asciiTheme="minorBidi" w:hAnsiTheme="minorBidi"/>
          <w:rtl/>
          <w:lang w:val="en-US"/>
        </w:rPr>
      </w:pPr>
    </w:p>
    <w:p w14:paraId="0FE2BD5B" w14:textId="77777777" w:rsidR="00050F5B" w:rsidRPr="00407D80" w:rsidRDefault="00050F5B" w:rsidP="008C0001">
      <w:pPr>
        <w:bidi/>
        <w:spacing w:line="276" w:lineRule="auto"/>
        <w:rPr>
          <w:rFonts w:asciiTheme="minorBidi" w:hAnsiTheme="minorBidi"/>
          <w:rtl/>
        </w:rPr>
      </w:pPr>
    </w:p>
    <w:p w14:paraId="0D6FB16B" w14:textId="51F890C0" w:rsidR="00050F5B" w:rsidRPr="00407D80" w:rsidRDefault="007234B8" w:rsidP="008C0001">
      <w:pPr>
        <w:bidi/>
        <w:spacing w:line="276" w:lineRule="auto"/>
        <w:rPr>
          <w:rFonts w:asciiTheme="minorBidi" w:hAnsiTheme="minorBidi"/>
          <w:rtl/>
          <w:lang w:val="en-US"/>
        </w:rPr>
      </w:pPr>
      <w:r w:rsidRPr="00407D80">
        <w:rPr>
          <w:rFonts w:asciiTheme="minorBidi" w:hAnsiTheme="minorBidi"/>
          <w:rtl/>
          <w:lang w:val="en-US"/>
        </w:rPr>
        <w:t>الدراسات السابقة للمحور الأول:</w:t>
      </w:r>
    </w:p>
    <w:p w14:paraId="497EDA0B" w14:textId="77777777" w:rsidR="00420B46" w:rsidRPr="00407D80" w:rsidRDefault="00420B46" w:rsidP="008C0001">
      <w:pPr>
        <w:bidi/>
        <w:spacing w:line="276" w:lineRule="auto"/>
        <w:rPr>
          <w:rFonts w:asciiTheme="minorBidi" w:hAnsiTheme="minorBidi"/>
          <w:rtl/>
          <w:lang w:val="en-US"/>
        </w:rPr>
      </w:pPr>
    </w:p>
    <w:p w14:paraId="51464C20" w14:textId="77777777" w:rsidR="00420B46" w:rsidRPr="00407D80" w:rsidRDefault="00420B46" w:rsidP="008C0001">
      <w:pPr>
        <w:bidi/>
        <w:spacing w:line="276" w:lineRule="auto"/>
        <w:rPr>
          <w:rFonts w:asciiTheme="minorBidi" w:hAnsiTheme="minorBidi"/>
          <w:rtl/>
          <w:lang w:val="en-US"/>
        </w:rPr>
      </w:pPr>
    </w:p>
    <w:p w14:paraId="31270CA6" w14:textId="090B0E3C" w:rsidR="002A31C2" w:rsidRPr="00407D80" w:rsidRDefault="002A31C2" w:rsidP="008C0001">
      <w:pPr>
        <w:pStyle w:val="ListParagraph"/>
        <w:numPr>
          <w:ilvl w:val="0"/>
          <w:numId w:val="2"/>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Shvets </w:t>
      </w:r>
      <w:r w:rsidRPr="00407D80">
        <w:rPr>
          <w:rFonts w:asciiTheme="minorBidi" w:hAnsiTheme="minorBidi"/>
          <w:rtl/>
        </w:rPr>
        <w:t xml:space="preserve">وآخرون (2024) </w:t>
      </w:r>
      <w:r w:rsidR="00CA6BE6" w:rsidRPr="00407D80">
        <w:rPr>
          <w:rFonts w:asciiTheme="minorBidi" w:hAnsiTheme="minorBidi"/>
          <w:rtl/>
        </w:rPr>
        <w:t>"</w:t>
      </w:r>
      <w:r w:rsidRPr="00407D80">
        <w:rPr>
          <w:rFonts w:asciiTheme="minorBidi" w:hAnsiTheme="minorBidi"/>
          <w:rtl/>
        </w:rPr>
        <w:t>أدوات تحسين ميزانية الحملة الإعلانية في التسويق الرقمي</w:t>
      </w:r>
      <w:r w:rsidR="00CA6BE6" w:rsidRPr="00407D80">
        <w:rPr>
          <w:rFonts w:asciiTheme="minorBidi" w:hAnsiTheme="minorBidi"/>
          <w:rtl/>
        </w:rPr>
        <w:t>"</w:t>
      </w:r>
    </w:p>
    <w:p w14:paraId="421D146C" w14:textId="77777777" w:rsidR="002A31C2" w:rsidRPr="00407D80" w:rsidRDefault="002A31C2" w:rsidP="008C0001">
      <w:pPr>
        <w:bidi/>
        <w:spacing w:line="276" w:lineRule="auto"/>
        <w:rPr>
          <w:rFonts w:asciiTheme="minorBidi" w:hAnsiTheme="minorBidi"/>
          <w:rtl/>
        </w:rPr>
      </w:pPr>
      <w:r w:rsidRPr="00407D80">
        <w:rPr>
          <w:rFonts w:asciiTheme="minorBidi" w:hAnsiTheme="minorBidi"/>
          <w:rtl/>
        </w:rPr>
        <w:t>(</w:t>
      </w:r>
      <w:r w:rsidRPr="00407D80">
        <w:rPr>
          <w:rFonts w:asciiTheme="minorBidi" w:hAnsiTheme="minorBidi"/>
        </w:rPr>
        <w:t>Tools for Optimizing the Budget of an Advertising Campaign in Digital Marketing</w:t>
      </w:r>
      <w:r w:rsidRPr="00407D80">
        <w:rPr>
          <w:rFonts w:asciiTheme="minorBidi" w:hAnsiTheme="minorBidi"/>
          <w:rtl/>
        </w:rPr>
        <w:t>).</w:t>
      </w:r>
    </w:p>
    <w:p w14:paraId="70A53E16" w14:textId="77777777" w:rsidR="002A31C2" w:rsidRPr="00407D80" w:rsidRDefault="002A31C2" w:rsidP="008C0001">
      <w:pPr>
        <w:bidi/>
        <w:spacing w:line="276" w:lineRule="auto"/>
        <w:rPr>
          <w:rFonts w:asciiTheme="minorBidi" w:hAnsiTheme="minorBidi"/>
          <w:rtl/>
        </w:rPr>
      </w:pPr>
    </w:p>
    <w:p w14:paraId="59F54363" w14:textId="79366B31" w:rsidR="002A31C2" w:rsidRPr="00407D80" w:rsidRDefault="002A31C2" w:rsidP="008C0001">
      <w:pPr>
        <w:pStyle w:val="ListParagraph"/>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Shvets</w:t>
      </w:r>
      <w:r w:rsidRPr="00407D80">
        <w:rPr>
          <w:rFonts w:asciiTheme="minorBidi" w:hAnsiTheme="minorBidi"/>
          <w:rtl/>
        </w:rPr>
        <w:t xml:space="preserve"> وآخرون (2024) بعنوان: “أدوات تحسين ميزانية الحملة الإعلانية في التسويق الرقمي” إلى تحليل العوامل المؤثرة في كفاءة الحملات الإعلانية الرقمية وتطوير أدوات كمية تساعد في التنبؤ بنتائج الحملات وتحسين قرارات تخصيص الميزانيات الإعلانية. واعتمدت الدراسة على المنهج التحليلي التطبيقي، وذلك بالتطبيق على تحليل العوامل المؤثرة في كفاءة الحملات الإعلانات الرقمية وتطوير نموذج للتنبؤ بنتائج الحملة وتحسين توزيع الميزانية. وتوصلت نتائج الدراسة إلى أن خصائص الحملة الإعلانية تؤثر بصورة مباشرة في كفاءة الأداء، وأن استخدام الأدوات التحليلية والنماذج التنبؤية يسهم في تحسين قرارات توزيع الميزانية الإعلانية ورفع كفاءة إدارة الحملات الرقمية.</w:t>
      </w:r>
    </w:p>
    <w:p w14:paraId="04AEAC2A" w14:textId="77777777" w:rsidR="002A31C2" w:rsidRPr="00407D80" w:rsidRDefault="002A31C2" w:rsidP="008C0001">
      <w:pPr>
        <w:pStyle w:val="ListParagraph"/>
        <w:bidi/>
        <w:spacing w:line="276" w:lineRule="auto"/>
        <w:rPr>
          <w:rFonts w:asciiTheme="minorBidi" w:hAnsiTheme="minorBidi"/>
          <w:rtl/>
        </w:rPr>
      </w:pPr>
    </w:p>
    <w:p w14:paraId="29E20636" w14:textId="77777777" w:rsidR="002A31C2" w:rsidRPr="00407D80" w:rsidRDefault="002A31C2" w:rsidP="008C0001">
      <w:pPr>
        <w:pStyle w:val="ListParagraph"/>
        <w:bidi/>
        <w:spacing w:line="276" w:lineRule="auto"/>
        <w:rPr>
          <w:rFonts w:asciiTheme="minorBidi" w:hAnsiTheme="minorBidi"/>
        </w:rPr>
      </w:pPr>
    </w:p>
    <w:p w14:paraId="148BCBDC" w14:textId="5A532F15" w:rsidR="00420B46" w:rsidRPr="00407D80" w:rsidRDefault="00420B46" w:rsidP="008C0001">
      <w:pPr>
        <w:pStyle w:val="ListParagraph"/>
        <w:numPr>
          <w:ilvl w:val="0"/>
          <w:numId w:val="2"/>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Almestarihi </w:t>
      </w:r>
      <w:r w:rsidRPr="00407D80">
        <w:rPr>
          <w:rFonts w:asciiTheme="minorBidi" w:hAnsiTheme="minorBidi"/>
          <w:rtl/>
        </w:rPr>
        <w:t xml:space="preserve">وآخرون (2024) </w:t>
      </w:r>
      <w:r w:rsidR="00CA6BE6" w:rsidRPr="00407D80">
        <w:rPr>
          <w:rFonts w:asciiTheme="minorBidi" w:hAnsiTheme="minorBidi"/>
          <w:rtl/>
        </w:rPr>
        <w:t>"</w:t>
      </w:r>
      <w:r w:rsidRPr="00407D80">
        <w:rPr>
          <w:rFonts w:asciiTheme="minorBidi" w:hAnsiTheme="minorBidi"/>
          <w:rtl/>
        </w:rPr>
        <w:t>قياس العائد على الاستثمار في حملات الإعلانات المدفوعة في التسويق الرقمي وأثره على ربحية الأعمال</w:t>
      </w:r>
      <w:r w:rsidR="00CA6BE6" w:rsidRPr="00407D80">
        <w:rPr>
          <w:rFonts w:asciiTheme="minorBidi" w:hAnsiTheme="minorBidi"/>
          <w:rtl/>
        </w:rPr>
        <w:t>"</w:t>
      </w:r>
    </w:p>
    <w:p w14:paraId="521866BA" w14:textId="77777777" w:rsidR="00420B46" w:rsidRPr="00407D80" w:rsidRDefault="00420B46" w:rsidP="008C0001">
      <w:pPr>
        <w:bidi/>
        <w:spacing w:line="276" w:lineRule="auto"/>
        <w:rPr>
          <w:rFonts w:asciiTheme="minorBidi" w:hAnsiTheme="minorBidi"/>
        </w:rPr>
      </w:pPr>
      <w:r w:rsidRPr="00407D80">
        <w:rPr>
          <w:rFonts w:asciiTheme="minorBidi" w:hAnsiTheme="minorBidi"/>
        </w:rPr>
        <w:t>(Measuring the ROI of Paid Advertising Campaigns in Digital Marketing and Its Effect on Business Profitability).</w:t>
      </w:r>
    </w:p>
    <w:p w14:paraId="0D29C311" w14:textId="77777777" w:rsidR="00420B46" w:rsidRPr="00407D80" w:rsidRDefault="00420B46" w:rsidP="008C0001">
      <w:pPr>
        <w:bidi/>
        <w:spacing w:line="276" w:lineRule="auto"/>
        <w:rPr>
          <w:rFonts w:asciiTheme="minorBidi" w:hAnsiTheme="minorBidi"/>
          <w:rtl/>
        </w:rPr>
      </w:pPr>
    </w:p>
    <w:p w14:paraId="4E559C46" w14:textId="03B49BC3" w:rsidR="00420B46"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Almestarihi</w:t>
      </w:r>
      <w:r w:rsidRPr="00407D80">
        <w:rPr>
          <w:rFonts w:asciiTheme="minorBidi" w:hAnsiTheme="minorBidi"/>
          <w:rtl/>
        </w:rPr>
        <w:t xml:space="preserve"> وآخرون (2024) بعنوان: </w:t>
      </w:r>
      <w:r w:rsidR="00CA6BE6" w:rsidRPr="00407D80">
        <w:rPr>
          <w:rFonts w:asciiTheme="minorBidi" w:hAnsiTheme="minorBidi"/>
          <w:rtl/>
        </w:rPr>
        <w:t>"</w:t>
      </w:r>
      <w:r w:rsidRPr="00407D80">
        <w:rPr>
          <w:rFonts w:asciiTheme="minorBidi" w:hAnsiTheme="minorBidi"/>
          <w:rtl/>
        </w:rPr>
        <w:t>قياس العائد على الاستثمار في حملات الإعلانات المدفوعة في التسويق الرقمي وأثره على ربحية الأعمال</w:t>
      </w:r>
      <w:r w:rsidR="00CA6BE6" w:rsidRPr="00407D80">
        <w:rPr>
          <w:rFonts w:asciiTheme="minorBidi" w:hAnsiTheme="minorBidi"/>
          <w:rtl/>
        </w:rPr>
        <w:t>"</w:t>
      </w:r>
      <w:r w:rsidRPr="00407D80">
        <w:rPr>
          <w:rFonts w:asciiTheme="minorBidi" w:hAnsiTheme="minorBidi"/>
          <w:rtl/>
        </w:rPr>
        <w:t xml:space="preserve"> إلى استكشاف أساليب وأدوات قياس العائد على الاستثمار في حملات الإعلانات المدفوعة وبيان أثر ذلك في ربحية الأعمال. واعتمدت الدراسة على المنهج التحليلي، وذلك بالتطبيق على تحليل بيانات من صناعات متعددة لدراسة فعالية الإعلانات المدفوعة في توليد الإيرادات وأثرها في الربحية. وتوصلت نتائج الدراسة إلى أن </w:t>
      </w:r>
      <w:r w:rsidRPr="00407D80">
        <w:rPr>
          <w:rFonts w:asciiTheme="minorBidi" w:hAnsiTheme="minorBidi"/>
          <w:rtl/>
        </w:rPr>
        <w:lastRenderedPageBreak/>
        <w:t>قياس العائد على الاستثمار في الإعلانات المدفوعة عملية متعددة الأبعاد ترتبط بعوامل مثل الإنفاق الإعلاني ومعدلات التحويل والقيمة العمرية للعميل، كما أكدت أهمية تتبع التحويلات بدقة لتقدير الأثر الحقيقي للإعلانات وتحسين القرارات التسويقية.</w:t>
      </w:r>
    </w:p>
    <w:p w14:paraId="20EFBB54" w14:textId="77777777" w:rsidR="002A31C2" w:rsidRPr="00407D80" w:rsidRDefault="002A31C2" w:rsidP="008C0001">
      <w:pPr>
        <w:bidi/>
        <w:spacing w:line="276" w:lineRule="auto"/>
        <w:rPr>
          <w:rFonts w:asciiTheme="minorBidi" w:hAnsiTheme="minorBidi"/>
          <w:rtl/>
        </w:rPr>
      </w:pPr>
    </w:p>
    <w:p w14:paraId="4875DC66" w14:textId="77777777" w:rsidR="002A31C2" w:rsidRPr="00407D80" w:rsidRDefault="002A31C2" w:rsidP="008C0001">
      <w:pPr>
        <w:bidi/>
        <w:spacing w:line="276" w:lineRule="auto"/>
        <w:rPr>
          <w:rFonts w:asciiTheme="minorBidi" w:hAnsiTheme="minorBidi"/>
          <w:rtl/>
        </w:rPr>
      </w:pPr>
    </w:p>
    <w:p w14:paraId="7A271139" w14:textId="61F4A9DD" w:rsidR="002A31C2" w:rsidRPr="00407D80" w:rsidRDefault="002A31C2" w:rsidP="008C0001">
      <w:pPr>
        <w:pStyle w:val="ListParagraph"/>
        <w:numPr>
          <w:ilvl w:val="0"/>
          <w:numId w:val="2"/>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Luzon </w:t>
      </w:r>
      <w:r w:rsidRPr="00407D80">
        <w:rPr>
          <w:rFonts w:asciiTheme="minorBidi" w:hAnsiTheme="minorBidi"/>
          <w:rtl/>
        </w:rPr>
        <w:t xml:space="preserve">وآخرون (2022) </w:t>
      </w:r>
      <w:r w:rsidR="00CA6BE6" w:rsidRPr="00407D80">
        <w:rPr>
          <w:rFonts w:asciiTheme="minorBidi" w:hAnsiTheme="minorBidi"/>
          <w:rtl/>
        </w:rPr>
        <w:t>"</w:t>
      </w:r>
      <w:r w:rsidRPr="00407D80">
        <w:rPr>
          <w:rFonts w:asciiTheme="minorBidi" w:hAnsiTheme="minorBidi"/>
          <w:rtl/>
        </w:rPr>
        <w:t>التخصيص الديناميكي للميزانية في حملات الإعلان عبر وسائل التواصل الاجتماعي: التحسين والتعلّم</w:t>
      </w:r>
      <w:r w:rsidR="00CA6BE6" w:rsidRPr="00407D80">
        <w:rPr>
          <w:rFonts w:asciiTheme="minorBidi" w:hAnsiTheme="minorBidi"/>
          <w:rtl/>
        </w:rPr>
        <w:t>"</w:t>
      </w:r>
    </w:p>
    <w:p w14:paraId="47CCA986" w14:textId="77777777" w:rsidR="002A31C2" w:rsidRPr="00407D80" w:rsidRDefault="002A31C2" w:rsidP="008C0001">
      <w:pPr>
        <w:bidi/>
        <w:spacing w:line="276" w:lineRule="auto"/>
        <w:rPr>
          <w:rFonts w:asciiTheme="minorBidi" w:hAnsiTheme="minorBidi"/>
          <w:rtl/>
        </w:rPr>
      </w:pPr>
      <w:r w:rsidRPr="00407D80">
        <w:rPr>
          <w:rFonts w:asciiTheme="minorBidi" w:hAnsiTheme="minorBidi"/>
          <w:rtl/>
        </w:rPr>
        <w:t>(</w:t>
      </w:r>
      <w:r w:rsidRPr="00407D80">
        <w:rPr>
          <w:rFonts w:asciiTheme="minorBidi" w:hAnsiTheme="minorBidi"/>
        </w:rPr>
        <w:t>Dynamic Budget Allocation for Social Media Advertising Campaigns: Optimization and Learning</w:t>
      </w:r>
      <w:r w:rsidRPr="00407D80">
        <w:rPr>
          <w:rFonts w:asciiTheme="minorBidi" w:hAnsiTheme="minorBidi"/>
          <w:rtl/>
        </w:rPr>
        <w:t>).</w:t>
      </w:r>
    </w:p>
    <w:p w14:paraId="68626CAD" w14:textId="77777777" w:rsidR="002A31C2" w:rsidRPr="00407D80" w:rsidRDefault="002A31C2" w:rsidP="008C0001">
      <w:pPr>
        <w:bidi/>
        <w:spacing w:line="276" w:lineRule="auto"/>
        <w:rPr>
          <w:rFonts w:asciiTheme="minorBidi" w:hAnsiTheme="minorBidi"/>
          <w:rtl/>
        </w:rPr>
      </w:pPr>
    </w:p>
    <w:p w14:paraId="06515B45" w14:textId="09839676" w:rsidR="002A31C2" w:rsidRPr="00407D80" w:rsidRDefault="002A31C2" w:rsidP="008C0001">
      <w:pPr>
        <w:pStyle w:val="ListParagraph"/>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Luzon</w:t>
      </w:r>
      <w:r w:rsidRPr="00407D80">
        <w:rPr>
          <w:rFonts w:asciiTheme="minorBidi" w:hAnsiTheme="minorBidi"/>
          <w:rtl/>
        </w:rPr>
        <w:t xml:space="preserve"> وآخرون (2022) بعنوان: </w:t>
      </w:r>
      <w:r w:rsidR="00CA6BE6" w:rsidRPr="00407D80">
        <w:rPr>
          <w:rFonts w:asciiTheme="minorBidi" w:hAnsiTheme="minorBidi"/>
          <w:rtl/>
        </w:rPr>
        <w:t>"</w:t>
      </w:r>
      <w:r w:rsidRPr="00407D80">
        <w:rPr>
          <w:rFonts w:asciiTheme="minorBidi" w:hAnsiTheme="minorBidi"/>
          <w:rtl/>
        </w:rPr>
        <w:t>التخصيص الديناميكي للميزانية في حملات الإعلان عبر وسائل التواصل الاجتماعي: التحسين والتعلّم</w:t>
      </w:r>
      <w:r w:rsidR="00CA6BE6" w:rsidRPr="00407D80">
        <w:rPr>
          <w:rFonts w:asciiTheme="minorBidi" w:hAnsiTheme="minorBidi"/>
          <w:rtl/>
        </w:rPr>
        <w:t>"</w:t>
      </w:r>
      <w:r w:rsidRPr="00407D80">
        <w:rPr>
          <w:rFonts w:asciiTheme="minorBidi" w:hAnsiTheme="minorBidi"/>
          <w:rtl/>
        </w:rPr>
        <w:t xml:space="preserve"> إلى تطوير نموذج تحليلي لتحسين توزيع الميزانيات الإعلانية في حملات وسائل التواصل الاجتماعي بطريقة ديناميكية بما يرفع كفاءة الأداء التسويقي. واعتمدت الدراسة على المنهج التحليلي التطبيقي، وذلك بالتطبيق على بيانات فعلية واختبارات واقعية </w:t>
      </w:r>
      <w:r w:rsidRPr="00407D80">
        <w:rPr>
          <w:rFonts w:asciiTheme="minorBidi" w:hAnsiTheme="minorBidi"/>
        </w:rPr>
        <w:t>A/B</w:t>
      </w:r>
      <w:r w:rsidRPr="00407D80">
        <w:rPr>
          <w:rFonts w:asciiTheme="minorBidi" w:hAnsiTheme="minorBidi"/>
          <w:rtl/>
        </w:rPr>
        <w:t xml:space="preserve"> لحملات إعلانية عبر وسائل التواصل الاجتماعي بهدف تحسين توزيع الميزانية عبر الوقت. وتوصلت نتائج الدراسة إلى أن التخصيص الديناميكي للميزانية يساعد في تحقيق نتائج أفضل من الأساليب التقليدية، كما يسهم في دعم قرارات أكثر دقة فيما يتعلق بإدارة الموارد الإعلانية وتحسين نتائج الحملات.</w:t>
      </w:r>
    </w:p>
    <w:p w14:paraId="701E4F8F" w14:textId="77777777" w:rsidR="002A31C2" w:rsidRPr="00407D80" w:rsidRDefault="002A31C2" w:rsidP="008C0001">
      <w:pPr>
        <w:pStyle w:val="ListParagraph"/>
        <w:bidi/>
        <w:spacing w:line="276" w:lineRule="auto"/>
        <w:rPr>
          <w:rFonts w:asciiTheme="minorBidi" w:hAnsiTheme="minorBidi"/>
          <w:rtl/>
        </w:rPr>
      </w:pPr>
    </w:p>
    <w:p w14:paraId="62BE726A" w14:textId="77777777" w:rsidR="002A31C2" w:rsidRPr="00407D80" w:rsidRDefault="002A31C2" w:rsidP="008C0001">
      <w:pPr>
        <w:pStyle w:val="ListParagraph"/>
        <w:bidi/>
        <w:spacing w:line="276" w:lineRule="auto"/>
        <w:rPr>
          <w:rFonts w:asciiTheme="minorBidi" w:hAnsiTheme="minorBidi"/>
        </w:rPr>
      </w:pPr>
    </w:p>
    <w:p w14:paraId="421939FB" w14:textId="5E73D587" w:rsidR="002A31C2" w:rsidRPr="00407D80" w:rsidRDefault="002A31C2" w:rsidP="008C0001">
      <w:pPr>
        <w:pStyle w:val="ListParagraph"/>
        <w:numPr>
          <w:ilvl w:val="0"/>
          <w:numId w:val="2"/>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Vollrath </w:t>
      </w:r>
      <w:proofErr w:type="gramStart"/>
      <w:r w:rsidRPr="00407D80">
        <w:rPr>
          <w:rFonts w:asciiTheme="minorBidi" w:hAnsiTheme="minorBidi"/>
          <w:rtl/>
        </w:rPr>
        <w:t>و</w:t>
      </w:r>
      <w:r w:rsidR="00CA6BE6" w:rsidRPr="00407D80">
        <w:rPr>
          <w:rFonts w:asciiTheme="minorBidi" w:hAnsiTheme="minorBidi"/>
          <w:lang w:val="en-US"/>
        </w:rPr>
        <w:t xml:space="preserve"> </w:t>
      </w:r>
      <w:r w:rsidRPr="00407D80">
        <w:rPr>
          <w:rFonts w:asciiTheme="minorBidi" w:hAnsiTheme="minorBidi"/>
        </w:rPr>
        <w:t>Villegas</w:t>
      </w:r>
      <w:proofErr w:type="gramEnd"/>
      <w:r w:rsidRPr="00407D80">
        <w:rPr>
          <w:rFonts w:asciiTheme="minorBidi" w:hAnsiTheme="minorBidi"/>
        </w:rPr>
        <w:t xml:space="preserve"> (2021) </w:t>
      </w:r>
      <w:r w:rsidR="00CA6BE6" w:rsidRPr="00407D80">
        <w:rPr>
          <w:rFonts w:asciiTheme="minorBidi" w:hAnsiTheme="minorBidi"/>
          <w:rtl/>
        </w:rPr>
        <w:t>"</w:t>
      </w:r>
      <w:r w:rsidRPr="00407D80">
        <w:rPr>
          <w:rFonts w:asciiTheme="minorBidi" w:hAnsiTheme="minorBidi"/>
          <w:rtl/>
        </w:rPr>
        <w:t>تجنب قصر النظر في تحليلات التسويق الرقمي: إعادة النظر في رحلة قرار العميل كإطار استراتيجي للتسويق</w:t>
      </w:r>
      <w:r w:rsidR="00CA6BE6" w:rsidRPr="00407D80">
        <w:rPr>
          <w:rFonts w:asciiTheme="minorBidi" w:hAnsiTheme="minorBidi"/>
          <w:rtl/>
        </w:rPr>
        <w:t>"</w:t>
      </w:r>
    </w:p>
    <w:p w14:paraId="5CD217DE" w14:textId="77777777" w:rsidR="002A31C2" w:rsidRPr="00407D80" w:rsidRDefault="002A31C2" w:rsidP="008C0001">
      <w:pPr>
        <w:bidi/>
        <w:spacing w:line="276" w:lineRule="auto"/>
        <w:ind w:left="360"/>
        <w:rPr>
          <w:rFonts w:asciiTheme="minorBidi" w:hAnsiTheme="minorBidi"/>
        </w:rPr>
      </w:pPr>
      <w:r w:rsidRPr="00407D80">
        <w:rPr>
          <w:rFonts w:asciiTheme="minorBidi" w:hAnsiTheme="minorBidi"/>
        </w:rPr>
        <w:t>(Avoiding Digital Marketing Analytics Myopia: Revisiting the Customer Decision Journey as a Strategic Marketing Framework).</w:t>
      </w:r>
    </w:p>
    <w:p w14:paraId="02EA76A5" w14:textId="77777777" w:rsidR="002A31C2" w:rsidRPr="00407D80" w:rsidRDefault="002A31C2" w:rsidP="008C0001">
      <w:pPr>
        <w:bidi/>
        <w:spacing w:line="276" w:lineRule="auto"/>
        <w:rPr>
          <w:rFonts w:asciiTheme="minorBidi" w:hAnsiTheme="minorBidi"/>
          <w:rtl/>
        </w:rPr>
      </w:pPr>
    </w:p>
    <w:p w14:paraId="3F448118" w14:textId="741EC688" w:rsidR="002A31C2"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Vollrath</w:t>
      </w:r>
      <w:r w:rsidRPr="00407D80">
        <w:rPr>
          <w:rFonts w:asciiTheme="minorBidi" w:hAnsiTheme="minorBidi"/>
          <w:rtl/>
        </w:rPr>
        <w:t xml:space="preserve"> و</w:t>
      </w:r>
      <w:r w:rsidRPr="00407D80">
        <w:rPr>
          <w:rFonts w:asciiTheme="minorBidi" w:hAnsiTheme="minorBidi"/>
        </w:rPr>
        <w:t>Villegas (2021</w:t>
      </w:r>
      <w:r w:rsidR="00CA6BE6" w:rsidRPr="00407D80">
        <w:rPr>
          <w:rFonts w:asciiTheme="minorBidi" w:hAnsiTheme="minorBidi"/>
          <w:lang w:val="en-US"/>
        </w:rPr>
        <w:t>)</w:t>
      </w:r>
      <w:r w:rsidRPr="00407D80">
        <w:rPr>
          <w:rFonts w:asciiTheme="minorBidi" w:hAnsiTheme="minorBidi"/>
          <w:rtl/>
        </w:rPr>
        <w:t xml:space="preserve"> بعنوان: </w:t>
      </w:r>
      <w:r w:rsidR="00CA6BE6" w:rsidRPr="00407D80">
        <w:rPr>
          <w:rFonts w:asciiTheme="minorBidi" w:hAnsiTheme="minorBidi"/>
          <w:rtl/>
        </w:rPr>
        <w:t>"</w:t>
      </w:r>
      <w:r w:rsidRPr="00407D80">
        <w:rPr>
          <w:rFonts w:asciiTheme="minorBidi" w:hAnsiTheme="minorBidi"/>
          <w:rtl/>
        </w:rPr>
        <w:t>تجنب قصر النظر في تحليلات التسويق الرقمي: إعادة النظر في رحلة قرار العميل كإطار استراتيجي للتسويق</w:t>
      </w:r>
      <w:r w:rsidR="00CA6BE6" w:rsidRPr="00407D80">
        <w:rPr>
          <w:rFonts w:asciiTheme="minorBidi" w:hAnsiTheme="minorBidi"/>
          <w:rtl/>
        </w:rPr>
        <w:t>"</w:t>
      </w:r>
      <w:r w:rsidRPr="00407D80">
        <w:rPr>
          <w:rFonts w:asciiTheme="minorBidi" w:hAnsiTheme="minorBidi"/>
          <w:rtl/>
        </w:rPr>
        <w:t xml:space="preserve"> إلى بيان أهمية ربط تحليلات التسويق الرقمي بالسياق الاستراتيجي العام للتسويق وعدم الاكتفاء بالاعتماد على المؤشرات الرقمية بصورة منفصلة عن رحلة قرار العميل. واعتمدت الدراسة على المنهج التحليلي المفاهيمي، وذلك من خلال مراجعة الأدبيات التسويقية وربط تحليلات التسويق الرقمي بإطار رحلة قرار العميل. وتوصلت نتائج الدراسة إلى أن التركيز المفرط على بعض مؤشرات الأداء الرقمية قد يؤدي إلى ما يسمى بقصر النظر التحليلي، كما أكدت أهمية تفسير المؤشرات في ضوء الأهداف الاستراتيجية للحملة والمراحل المختلفة لرحلة العميل.</w:t>
      </w:r>
    </w:p>
    <w:p w14:paraId="5193CBF1" w14:textId="77777777" w:rsidR="002A31C2" w:rsidRPr="00407D80" w:rsidRDefault="002A31C2" w:rsidP="008C0001">
      <w:pPr>
        <w:bidi/>
        <w:spacing w:line="276" w:lineRule="auto"/>
        <w:rPr>
          <w:rFonts w:asciiTheme="minorBidi" w:hAnsiTheme="minorBidi"/>
          <w:rtl/>
        </w:rPr>
      </w:pPr>
    </w:p>
    <w:p w14:paraId="6C9FFFFC" w14:textId="77777777" w:rsidR="002A31C2" w:rsidRPr="00407D80" w:rsidRDefault="002A31C2" w:rsidP="008C0001">
      <w:pPr>
        <w:bidi/>
        <w:spacing w:line="276" w:lineRule="auto"/>
        <w:rPr>
          <w:rFonts w:asciiTheme="minorBidi" w:hAnsiTheme="minorBidi"/>
        </w:rPr>
      </w:pPr>
    </w:p>
    <w:p w14:paraId="3B13E32A" w14:textId="670A259C" w:rsidR="00420B46" w:rsidRPr="00407D80" w:rsidRDefault="00420B46" w:rsidP="008C0001">
      <w:pPr>
        <w:pStyle w:val="ListParagraph"/>
        <w:numPr>
          <w:ilvl w:val="0"/>
          <w:numId w:val="2"/>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w:t>
      </w:r>
      <w:r w:rsidR="00144AA6" w:rsidRPr="00407D80">
        <w:rPr>
          <w:rFonts w:asciiTheme="minorBidi" w:hAnsiTheme="minorBidi"/>
        </w:rPr>
        <w:t>Gu</w:t>
      </w:r>
      <w:r w:rsidRPr="00407D80">
        <w:rPr>
          <w:rFonts w:asciiTheme="minorBidi" w:hAnsiTheme="minorBidi"/>
          <w:sz w:val="28"/>
          <w:szCs w:val="28"/>
        </w:rPr>
        <w:t xml:space="preserve"> </w:t>
      </w:r>
      <w:r w:rsidRPr="00407D80">
        <w:rPr>
          <w:rFonts w:asciiTheme="minorBidi" w:hAnsiTheme="minorBidi"/>
          <w:rtl/>
        </w:rPr>
        <w:t xml:space="preserve">وآخرون (2021) </w:t>
      </w:r>
      <w:r w:rsidR="00CA6BE6" w:rsidRPr="00407D80">
        <w:rPr>
          <w:rFonts w:asciiTheme="minorBidi" w:hAnsiTheme="minorBidi"/>
          <w:lang w:val="en-US"/>
        </w:rPr>
        <w:t>"</w:t>
      </w:r>
      <w:r w:rsidRPr="00407D80">
        <w:rPr>
          <w:rFonts w:asciiTheme="minorBidi" w:hAnsiTheme="minorBidi"/>
          <w:rtl/>
        </w:rPr>
        <w:t>تقدير معدل التحويل الحقيقي بعد النقر في الإعلانات الرقمية</w:t>
      </w:r>
      <w:r w:rsidR="00CA6BE6" w:rsidRPr="00407D80">
        <w:rPr>
          <w:rFonts w:asciiTheme="minorBidi" w:hAnsiTheme="minorBidi"/>
          <w:lang w:val="en-US"/>
        </w:rPr>
        <w:t>"</w:t>
      </w:r>
    </w:p>
    <w:p w14:paraId="04FE91E9" w14:textId="77777777" w:rsidR="00420B46" w:rsidRPr="00407D80" w:rsidRDefault="00420B46" w:rsidP="008C0001">
      <w:pPr>
        <w:bidi/>
        <w:spacing w:line="276" w:lineRule="auto"/>
        <w:rPr>
          <w:rFonts w:asciiTheme="minorBidi" w:hAnsiTheme="minorBidi"/>
        </w:rPr>
      </w:pPr>
      <w:r w:rsidRPr="00407D80">
        <w:rPr>
          <w:rFonts w:asciiTheme="minorBidi" w:hAnsiTheme="minorBidi"/>
        </w:rPr>
        <w:t>(Estimating True Post-Click Conversion via Group-Stratified Counterfactual Inference).</w:t>
      </w:r>
    </w:p>
    <w:p w14:paraId="35304E58" w14:textId="77777777" w:rsidR="00420B46" w:rsidRPr="00407D80" w:rsidRDefault="00420B46" w:rsidP="008C0001">
      <w:pPr>
        <w:bidi/>
        <w:spacing w:line="276" w:lineRule="auto"/>
        <w:rPr>
          <w:rFonts w:asciiTheme="minorBidi" w:hAnsiTheme="minorBidi"/>
          <w:rtl/>
        </w:rPr>
      </w:pPr>
    </w:p>
    <w:p w14:paraId="6D2A3482" w14:textId="19AF4C59" w:rsidR="00420B46"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00144AA6" w:rsidRPr="00407D80">
        <w:rPr>
          <w:rFonts w:asciiTheme="minorBidi" w:hAnsiTheme="minorBidi"/>
          <w:sz w:val="22"/>
          <w:szCs w:val="22"/>
        </w:rPr>
        <w:t>Gu</w:t>
      </w:r>
      <w:r w:rsidR="00144AA6" w:rsidRPr="00407D80">
        <w:rPr>
          <w:rFonts w:asciiTheme="minorBidi" w:hAnsiTheme="minorBidi"/>
          <w:rtl/>
        </w:rPr>
        <w:t xml:space="preserve"> </w:t>
      </w:r>
      <w:r w:rsidRPr="00407D80">
        <w:rPr>
          <w:rFonts w:asciiTheme="minorBidi" w:hAnsiTheme="minorBidi"/>
          <w:rtl/>
        </w:rPr>
        <w:t xml:space="preserve">وآخرون (2021) بعنوان: </w:t>
      </w:r>
      <w:r w:rsidR="00CA6BE6" w:rsidRPr="00407D80">
        <w:rPr>
          <w:rFonts w:asciiTheme="minorBidi" w:hAnsiTheme="minorBidi"/>
          <w:lang w:val="en-US"/>
        </w:rPr>
        <w:t>"</w:t>
      </w:r>
      <w:r w:rsidRPr="00407D80">
        <w:rPr>
          <w:rFonts w:asciiTheme="minorBidi" w:hAnsiTheme="minorBidi"/>
          <w:rtl/>
        </w:rPr>
        <w:t>تقدير معدل التحويل الحقيقي بعد النقر في الإعلانات الرقمية</w:t>
      </w:r>
      <w:r w:rsidR="00CA6BE6" w:rsidRPr="00407D80">
        <w:rPr>
          <w:rFonts w:asciiTheme="minorBidi" w:hAnsiTheme="minorBidi"/>
          <w:lang w:val="en-US"/>
        </w:rPr>
        <w:t xml:space="preserve">" </w:t>
      </w:r>
      <w:r w:rsidRPr="00407D80">
        <w:rPr>
          <w:rFonts w:asciiTheme="minorBidi" w:hAnsiTheme="minorBidi"/>
          <w:rtl/>
        </w:rPr>
        <w:t xml:space="preserve">إلى تطوير أسلوب أكثر دقة لقياس التأثير الحقيقي للإعلانات الرقمية من خلال التمييز بين التحويلات الناتجة فعليًا عن التعرض للإعلان والتحويلات التي قد تحدث دون تأثيره. واعتمدت الدراسة على المنهج التحليلي التطبيقي، وذلك بالتطبيق على بيانات إعلانية رقمية واسعة النطاق باستخدام نماذج قائمة على الاستدلال السببي والتعلم الآلي لتقدير الأثر الحقيقي للتعرض الإعلاني. </w:t>
      </w:r>
      <w:r w:rsidRPr="00407D80">
        <w:rPr>
          <w:rFonts w:asciiTheme="minorBidi" w:hAnsiTheme="minorBidi"/>
          <w:rtl/>
        </w:rPr>
        <w:lastRenderedPageBreak/>
        <w:t>وتوصلت نتائج الدراسة إلى أن الاعتماد على بعض مؤشرات الأداء التقليدية قد يؤدي إلى المبالغة في تقدير التأثير الحقيقي للإعلانات، كما أكدت أهمية استخدام نماذج سببية أكثر دقة لفهم فعالية الحملات الإعلانية ودعم القرارات التسويقية.</w:t>
      </w:r>
    </w:p>
    <w:p w14:paraId="22360EC5" w14:textId="77777777" w:rsidR="002A31C2" w:rsidRPr="00407D80" w:rsidRDefault="002A31C2" w:rsidP="008C0001">
      <w:pPr>
        <w:bidi/>
        <w:spacing w:line="276" w:lineRule="auto"/>
        <w:rPr>
          <w:rFonts w:asciiTheme="minorBidi" w:hAnsiTheme="minorBidi"/>
          <w:rtl/>
        </w:rPr>
      </w:pPr>
    </w:p>
    <w:p w14:paraId="2B60F443" w14:textId="77777777" w:rsidR="002A31C2" w:rsidRPr="00407D80" w:rsidRDefault="002A31C2" w:rsidP="008C0001">
      <w:pPr>
        <w:bidi/>
        <w:spacing w:line="276" w:lineRule="auto"/>
        <w:rPr>
          <w:rFonts w:asciiTheme="minorBidi" w:hAnsiTheme="minorBidi"/>
          <w:rtl/>
        </w:rPr>
      </w:pPr>
    </w:p>
    <w:p w14:paraId="072D63EE" w14:textId="43DCA69E" w:rsidR="00420B46" w:rsidRPr="00407D80" w:rsidRDefault="00420B46" w:rsidP="008C0001">
      <w:pPr>
        <w:pStyle w:val="ListParagraph"/>
        <w:numPr>
          <w:ilvl w:val="0"/>
          <w:numId w:val="2"/>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w:t>
      </w:r>
      <w:r w:rsidR="00144AA6" w:rsidRPr="00407D80">
        <w:rPr>
          <w:rFonts w:asciiTheme="minorBidi" w:hAnsiTheme="minorBidi"/>
        </w:rPr>
        <w:t>Murphy</w:t>
      </w:r>
      <w:r w:rsidRPr="00407D80">
        <w:rPr>
          <w:rFonts w:asciiTheme="minorBidi" w:hAnsiTheme="minorBidi"/>
          <w:sz w:val="28"/>
          <w:szCs w:val="28"/>
        </w:rPr>
        <w:t xml:space="preserve"> </w:t>
      </w:r>
      <w:r w:rsidRPr="00407D80">
        <w:rPr>
          <w:rFonts w:asciiTheme="minorBidi" w:hAnsiTheme="minorBidi"/>
          <w:rtl/>
        </w:rPr>
        <w:t xml:space="preserve">وآخرون (2018) </w:t>
      </w:r>
      <w:r w:rsidR="00CA6BE6" w:rsidRPr="00407D80">
        <w:rPr>
          <w:rFonts w:asciiTheme="minorBidi" w:hAnsiTheme="minorBidi"/>
          <w:lang w:val="en-US"/>
        </w:rPr>
        <w:t>"</w:t>
      </w:r>
      <w:r w:rsidRPr="00407D80">
        <w:rPr>
          <w:rFonts w:asciiTheme="minorBidi" w:hAnsiTheme="minorBidi"/>
          <w:rtl/>
        </w:rPr>
        <w:t>تحليلات موقع إلكتروني لحملة إعلانات</w:t>
      </w:r>
      <w:r w:rsidRPr="00407D80">
        <w:rPr>
          <w:rFonts w:asciiTheme="minorBidi" w:hAnsiTheme="minorBidi"/>
        </w:rPr>
        <w:t xml:space="preserve"> Google </w:t>
      </w:r>
      <w:r w:rsidRPr="00407D80">
        <w:rPr>
          <w:rFonts w:asciiTheme="minorBidi" w:hAnsiTheme="minorBidi"/>
          <w:rtl/>
        </w:rPr>
        <w:t>لخدمة الصحة النفسية للرجال: تحليل حملة</w:t>
      </w:r>
      <w:r w:rsidR="00CA6BE6" w:rsidRPr="00407D80">
        <w:rPr>
          <w:rFonts w:asciiTheme="minorBidi" w:hAnsiTheme="minorBidi"/>
          <w:lang w:val="en-US"/>
        </w:rPr>
        <w:t>"</w:t>
      </w:r>
    </w:p>
    <w:p w14:paraId="735F48F2" w14:textId="5D7284E1" w:rsidR="00420B46" w:rsidRPr="00407D80" w:rsidRDefault="00420B46" w:rsidP="008C0001">
      <w:pPr>
        <w:bidi/>
        <w:spacing w:line="276" w:lineRule="auto"/>
        <w:rPr>
          <w:rFonts w:asciiTheme="minorBidi" w:hAnsiTheme="minorBidi"/>
        </w:rPr>
      </w:pPr>
      <w:r w:rsidRPr="00407D80">
        <w:rPr>
          <w:rFonts w:asciiTheme="minorBidi" w:hAnsiTheme="minorBidi"/>
        </w:rPr>
        <w:t xml:space="preserve">(Website Analytics of a Google Ads Campaign for a Men’s Mental Health Service: </w:t>
      </w:r>
      <w:r w:rsidR="00144AA6" w:rsidRPr="00407D80">
        <w:rPr>
          <w:rFonts w:asciiTheme="minorBidi" w:hAnsiTheme="minorBidi"/>
        </w:rPr>
        <w:t xml:space="preserve">Comparative </w:t>
      </w:r>
      <w:r w:rsidRPr="00407D80">
        <w:rPr>
          <w:rFonts w:asciiTheme="minorBidi" w:hAnsiTheme="minorBidi"/>
        </w:rPr>
        <w:t>Analysis).</w:t>
      </w:r>
    </w:p>
    <w:p w14:paraId="297E618E" w14:textId="77777777" w:rsidR="00420B46" w:rsidRPr="00407D80" w:rsidRDefault="00420B46" w:rsidP="008C0001">
      <w:pPr>
        <w:bidi/>
        <w:spacing w:line="276" w:lineRule="auto"/>
        <w:rPr>
          <w:rFonts w:asciiTheme="minorBidi" w:hAnsiTheme="minorBidi"/>
          <w:rtl/>
        </w:rPr>
      </w:pPr>
    </w:p>
    <w:p w14:paraId="43890396" w14:textId="51BF8FB5" w:rsidR="00420B46"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00144AA6" w:rsidRPr="00407D80">
        <w:rPr>
          <w:rFonts w:asciiTheme="minorBidi" w:hAnsiTheme="minorBidi"/>
        </w:rPr>
        <w:t>Murphy</w:t>
      </w:r>
      <w:r w:rsidRPr="00407D80">
        <w:rPr>
          <w:rFonts w:asciiTheme="minorBidi" w:hAnsiTheme="minorBidi"/>
          <w:sz w:val="28"/>
          <w:szCs w:val="28"/>
          <w:rtl/>
        </w:rPr>
        <w:t xml:space="preserve"> </w:t>
      </w:r>
      <w:r w:rsidRPr="00407D80">
        <w:rPr>
          <w:rFonts w:asciiTheme="minorBidi" w:hAnsiTheme="minorBidi"/>
          <w:rtl/>
        </w:rPr>
        <w:t xml:space="preserve">وآخرون (2018) بعنوان: </w:t>
      </w:r>
      <w:r w:rsidR="00CA6BE6" w:rsidRPr="00407D80">
        <w:rPr>
          <w:rFonts w:asciiTheme="minorBidi" w:hAnsiTheme="minorBidi"/>
          <w:lang w:val="en-US"/>
        </w:rPr>
        <w:t>"</w:t>
      </w:r>
      <w:r w:rsidRPr="00407D80">
        <w:rPr>
          <w:rFonts w:asciiTheme="minorBidi" w:hAnsiTheme="minorBidi"/>
          <w:rtl/>
        </w:rPr>
        <w:t xml:space="preserve">تحليلات موقع إلكتروني لحملة إعلانات </w:t>
      </w:r>
      <w:r w:rsidRPr="00407D80">
        <w:rPr>
          <w:rFonts w:asciiTheme="minorBidi" w:hAnsiTheme="minorBidi"/>
        </w:rPr>
        <w:t>Google</w:t>
      </w:r>
      <w:r w:rsidRPr="00407D80">
        <w:rPr>
          <w:rFonts w:asciiTheme="minorBidi" w:hAnsiTheme="minorBidi"/>
          <w:rtl/>
        </w:rPr>
        <w:t xml:space="preserve"> لخدمة الصحة النفسية للرجال: تحليل حملة</w:t>
      </w:r>
      <w:r w:rsidR="00CA6BE6" w:rsidRPr="00407D80">
        <w:rPr>
          <w:rFonts w:asciiTheme="minorBidi" w:hAnsiTheme="minorBidi"/>
          <w:lang w:val="en-US"/>
        </w:rPr>
        <w:t>"</w:t>
      </w:r>
      <w:r w:rsidRPr="00407D80">
        <w:rPr>
          <w:rFonts w:asciiTheme="minorBidi" w:hAnsiTheme="minorBidi"/>
          <w:rtl/>
        </w:rPr>
        <w:t xml:space="preserve"> إلى تقييم أداء حملة إعلانات </w:t>
      </w:r>
      <w:r w:rsidRPr="00407D80">
        <w:rPr>
          <w:rFonts w:asciiTheme="minorBidi" w:hAnsiTheme="minorBidi"/>
        </w:rPr>
        <w:t>Google</w:t>
      </w:r>
      <w:r w:rsidRPr="00407D80">
        <w:rPr>
          <w:rFonts w:asciiTheme="minorBidi" w:hAnsiTheme="minorBidi"/>
          <w:rtl/>
        </w:rPr>
        <w:t xml:space="preserve"> من خلال تحليل بيانات الموقع الإلكتروني ومؤشرات الأداء الخاصة بالحملة الإعلانية. واعتمدت الدراسة على المنهج التحليلي التطبيقي، وذلك بالتطبيق على بيانات حملة </w:t>
      </w:r>
      <w:r w:rsidRPr="00407D80">
        <w:rPr>
          <w:rFonts w:asciiTheme="minorBidi" w:hAnsiTheme="minorBidi"/>
        </w:rPr>
        <w:t>Google Ads</w:t>
      </w:r>
      <w:r w:rsidRPr="00407D80">
        <w:rPr>
          <w:rFonts w:asciiTheme="minorBidi" w:hAnsiTheme="minorBidi"/>
          <w:rtl/>
        </w:rPr>
        <w:t xml:space="preserve"> وبيانات </w:t>
      </w:r>
      <w:r w:rsidRPr="00407D80">
        <w:rPr>
          <w:rFonts w:asciiTheme="minorBidi" w:hAnsiTheme="minorBidi"/>
        </w:rPr>
        <w:t>Google Analytics</w:t>
      </w:r>
      <w:r w:rsidRPr="00407D80">
        <w:rPr>
          <w:rFonts w:asciiTheme="minorBidi" w:hAnsiTheme="minorBidi"/>
          <w:rtl/>
        </w:rPr>
        <w:t>، مع مقارنة سلوك المستخدمين خلال فترة الحملة وبعدها. وتوصلت نتائج الدراسة إلى أن الحملة أدت إلى زيادة عدد زيارات الموقع بأكثر من خمسة أضعاف، إلا أن مستوى التفاعل كان أقل من الزوار القادمين من مصادر أخرى، مما يدل على أن ارتفاع بعض المؤشرات لا يعني بالضرورة تحقيق قيمة تسويقية عالية، ويؤكد أهمية قراءة مؤشرات الأداء بصورة تكاملية.</w:t>
      </w:r>
    </w:p>
    <w:p w14:paraId="288D7C31" w14:textId="77777777" w:rsidR="002A31C2" w:rsidRPr="00407D80" w:rsidRDefault="002A31C2" w:rsidP="008C0001">
      <w:pPr>
        <w:bidi/>
        <w:spacing w:line="276" w:lineRule="auto"/>
        <w:rPr>
          <w:rFonts w:asciiTheme="minorBidi" w:hAnsiTheme="minorBidi"/>
          <w:rtl/>
        </w:rPr>
      </w:pPr>
    </w:p>
    <w:p w14:paraId="0280F7F0" w14:textId="77777777" w:rsidR="002A31C2" w:rsidRPr="00407D80" w:rsidRDefault="002A31C2" w:rsidP="008C0001">
      <w:pPr>
        <w:bidi/>
        <w:spacing w:line="276" w:lineRule="auto"/>
        <w:rPr>
          <w:rFonts w:asciiTheme="minorBidi" w:hAnsiTheme="minorBidi"/>
          <w:rtl/>
        </w:rPr>
      </w:pPr>
    </w:p>
    <w:p w14:paraId="7A5B6F86" w14:textId="44CFD4E4" w:rsidR="00420B46" w:rsidRPr="00407D80" w:rsidRDefault="00420B46" w:rsidP="008C0001">
      <w:pPr>
        <w:pStyle w:val="ListParagraph"/>
        <w:numPr>
          <w:ilvl w:val="0"/>
          <w:numId w:val="2"/>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w:t>
      </w:r>
      <w:r w:rsidR="00144AA6" w:rsidRPr="00407D80">
        <w:rPr>
          <w:rFonts w:asciiTheme="minorBidi" w:hAnsiTheme="minorBidi"/>
        </w:rPr>
        <w:t>Berman</w:t>
      </w:r>
      <w:r w:rsidRPr="00407D80">
        <w:rPr>
          <w:rFonts w:asciiTheme="minorBidi" w:hAnsiTheme="minorBidi"/>
          <w:sz w:val="28"/>
          <w:szCs w:val="28"/>
        </w:rPr>
        <w:t xml:space="preserve"> </w:t>
      </w:r>
      <w:r w:rsidRPr="00407D80">
        <w:rPr>
          <w:rFonts w:asciiTheme="minorBidi" w:hAnsiTheme="minorBidi"/>
          <w:rtl/>
        </w:rPr>
        <w:t xml:space="preserve">وآخرون (2018) </w:t>
      </w:r>
      <w:r w:rsidR="00CA6BE6" w:rsidRPr="00407D80">
        <w:rPr>
          <w:rFonts w:asciiTheme="minorBidi" w:hAnsiTheme="minorBidi"/>
          <w:lang w:val="en-US"/>
        </w:rPr>
        <w:t>"</w:t>
      </w:r>
      <w:r w:rsidRPr="00407D80">
        <w:rPr>
          <w:rFonts w:asciiTheme="minorBidi" w:hAnsiTheme="minorBidi"/>
          <w:rtl/>
        </w:rPr>
        <w:t>ما بعد اللمسة الأخيرة: الإسناد في الإعلان عبر الإنترنت</w:t>
      </w:r>
      <w:r w:rsidR="00CA6BE6" w:rsidRPr="00407D80">
        <w:rPr>
          <w:rFonts w:asciiTheme="minorBidi" w:hAnsiTheme="minorBidi"/>
          <w:lang w:val="en-US"/>
        </w:rPr>
        <w:t>"</w:t>
      </w:r>
    </w:p>
    <w:p w14:paraId="20D26650" w14:textId="77777777" w:rsidR="00420B46" w:rsidRPr="00407D80" w:rsidRDefault="00420B46" w:rsidP="008C0001">
      <w:pPr>
        <w:bidi/>
        <w:spacing w:line="276" w:lineRule="auto"/>
        <w:rPr>
          <w:rFonts w:asciiTheme="minorBidi" w:hAnsiTheme="minorBidi"/>
        </w:rPr>
      </w:pPr>
      <w:r w:rsidRPr="00407D80">
        <w:rPr>
          <w:rFonts w:asciiTheme="minorBidi" w:hAnsiTheme="minorBidi"/>
        </w:rPr>
        <w:t>(Beyond the Last Touch: Attribution in Online Advertising).</w:t>
      </w:r>
    </w:p>
    <w:p w14:paraId="42ABBDA4" w14:textId="77777777" w:rsidR="00420B46" w:rsidRPr="00407D80" w:rsidRDefault="00420B46" w:rsidP="008C0001">
      <w:pPr>
        <w:bidi/>
        <w:spacing w:line="276" w:lineRule="auto"/>
        <w:rPr>
          <w:rFonts w:asciiTheme="minorBidi" w:hAnsiTheme="minorBidi"/>
          <w:rtl/>
        </w:rPr>
      </w:pPr>
    </w:p>
    <w:p w14:paraId="5C11D7C6" w14:textId="48A1BD95" w:rsidR="002A31C2"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00144AA6" w:rsidRPr="00407D80">
        <w:rPr>
          <w:rFonts w:asciiTheme="minorBidi" w:hAnsiTheme="minorBidi"/>
        </w:rPr>
        <w:t>Berman</w:t>
      </w:r>
      <w:r w:rsidRPr="00407D80">
        <w:rPr>
          <w:rFonts w:asciiTheme="minorBidi" w:hAnsiTheme="minorBidi"/>
          <w:sz w:val="28"/>
          <w:szCs w:val="28"/>
          <w:rtl/>
        </w:rPr>
        <w:t xml:space="preserve"> </w:t>
      </w:r>
      <w:r w:rsidRPr="00407D80">
        <w:rPr>
          <w:rFonts w:asciiTheme="minorBidi" w:hAnsiTheme="minorBidi"/>
          <w:rtl/>
        </w:rPr>
        <w:t xml:space="preserve">وآخرون (2018) بعنوان: </w:t>
      </w:r>
      <w:r w:rsidR="00CA6BE6" w:rsidRPr="00407D80">
        <w:rPr>
          <w:rFonts w:asciiTheme="minorBidi" w:hAnsiTheme="minorBidi"/>
          <w:lang w:val="en-US"/>
        </w:rPr>
        <w:t>"</w:t>
      </w:r>
      <w:r w:rsidRPr="00407D80">
        <w:rPr>
          <w:rFonts w:asciiTheme="minorBidi" w:hAnsiTheme="minorBidi"/>
          <w:rtl/>
        </w:rPr>
        <w:t>ما بعد اللمسة الأخيرة: الإسناد في الإعلان عبر الإنترنت</w:t>
      </w:r>
      <w:r w:rsidR="00CA6BE6" w:rsidRPr="00407D80">
        <w:rPr>
          <w:rFonts w:asciiTheme="minorBidi" w:hAnsiTheme="minorBidi"/>
          <w:lang w:val="en-US"/>
        </w:rPr>
        <w:t>"</w:t>
      </w:r>
      <w:r w:rsidRPr="00407D80">
        <w:rPr>
          <w:rFonts w:asciiTheme="minorBidi" w:hAnsiTheme="minorBidi"/>
          <w:rtl/>
        </w:rPr>
        <w:t xml:space="preserve"> إلى تطوير فهم أكثر دقة لآليات إسناد نتائج التحويل في الإعلان عبر الإنترنت بدلًا من الاعتماد على نموذج اللمسة الأخيرة فقط. واعتمدت الدراسة على المنهج التحليلي التطبيقي، وذلك بالتطبيق على بيانات إعلانية رقمية واسعة النطاق وتحليلها باستخدام نماذج سببية لقياس الأثر الإضافي الحقيقي للتعرض الإعلاني على التحويلات. وتوصلت نتائج الدراسة إلى أن الاعتماد على نموذج الإسناد الأخير قد يؤدي إلى تقدير غير دقيق لقيمة الأداء بين القنوات الإعلانية المختلفة، كما أن استخدام نماذج إسناد أكثر شمولًا يساعد في تحسين فهم مؤشرات الأداء ودعم قرارات أكثر دقة في توزيع الميزانيات الإعلانية.</w:t>
      </w:r>
    </w:p>
    <w:p w14:paraId="5BA7B193" w14:textId="77777777" w:rsidR="002A31C2" w:rsidRPr="00407D80" w:rsidRDefault="002A31C2" w:rsidP="008C0001">
      <w:pPr>
        <w:bidi/>
        <w:spacing w:line="276" w:lineRule="auto"/>
        <w:rPr>
          <w:rFonts w:asciiTheme="minorBidi" w:hAnsiTheme="minorBidi"/>
          <w:rtl/>
        </w:rPr>
      </w:pPr>
    </w:p>
    <w:p w14:paraId="16F24BBD" w14:textId="77777777" w:rsidR="002A31C2" w:rsidRPr="00407D80" w:rsidRDefault="002A31C2" w:rsidP="008C0001">
      <w:pPr>
        <w:bidi/>
        <w:spacing w:line="276" w:lineRule="auto"/>
        <w:rPr>
          <w:rFonts w:asciiTheme="minorBidi" w:hAnsiTheme="minorBidi"/>
          <w:rtl/>
        </w:rPr>
      </w:pPr>
    </w:p>
    <w:p w14:paraId="68506222" w14:textId="4B099379" w:rsidR="002A31C2" w:rsidRPr="00407D80" w:rsidRDefault="002A31C2" w:rsidP="008C0001">
      <w:pPr>
        <w:pStyle w:val="ListParagraph"/>
        <w:numPr>
          <w:ilvl w:val="0"/>
          <w:numId w:val="2"/>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Fulgoni </w:t>
      </w:r>
      <w:r w:rsidRPr="00407D80">
        <w:rPr>
          <w:rFonts w:asciiTheme="minorBidi" w:hAnsiTheme="minorBidi"/>
          <w:rtl/>
        </w:rPr>
        <w:t>و</w:t>
      </w:r>
      <w:r w:rsidRPr="00407D80">
        <w:rPr>
          <w:rFonts w:asciiTheme="minorBidi" w:hAnsiTheme="minorBidi"/>
        </w:rPr>
        <w:t>Lipsman (2017)</w:t>
      </w:r>
      <w:r w:rsidR="00CA6BE6" w:rsidRPr="00407D80">
        <w:rPr>
          <w:rFonts w:asciiTheme="minorBidi" w:hAnsiTheme="minorBidi"/>
          <w:rtl/>
          <w:lang w:val="en-US"/>
        </w:rPr>
        <w:t xml:space="preserve"> "</w:t>
      </w:r>
      <w:r w:rsidRPr="00407D80">
        <w:rPr>
          <w:rFonts w:asciiTheme="minorBidi" w:hAnsiTheme="minorBidi"/>
          <w:rtl/>
        </w:rPr>
        <w:t>هل تستخدم مؤشرات الإعلان عبر الهاتف المحمول الصحيحة؟</w:t>
      </w:r>
      <w:r w:rsidR="00CA6BE6" w:rsidRPr="00407D80">
        <w:rPr>
          <w:rFonts w:asciiTheme="minorBidi" w:hAnsiTheme="minorBidi"/>
          <w:rtl/>
        </w:rPr>
        <w:t>"</w:t>
      </w:r>
    </w:p>
    <w:p w14:paraId="6ED18F56" w14:textId="77777777" w:rsidR="002A31C2" w:rsidRPr="00407D80" w:rsidRDefault="002A31C2" w:rsidP="008C0001">
      <w:pPr>
        <w:bidi/>
        <w:spacing w:line="276" w:lineRule="auto"/>
        <w:ind w:left="360"/>
        <w:rPr>
          <w:rFonts w:asciiTheme="minorBidi" w:hAnsiTheme="minorBidi"/>
        </w:rPr>
      </w:pPr>
      <w:r w:rsidRPr="00407D80">
        <w:rPr>
          <w:rFonts w:asciiTheme="minorBidi" w:hAnsiTheme="minorBidi"/>
        </w:rPr>
        <w:t>(Are You Using the Right Mobile Advertising Metrics?).</w:t>
      </w:r>
    </w:p>
    <w:p w14:paraId="7874C00A" w14:textId="77777777" w:rsidR="002A31C2" w:rsidRPr="00407D80" w:rsidRDefault="002A31C2" w:rsidP="008C0001">
      <w:pPr>
        <w:bidi/>
        <w:spacing w:line="276" w:lineRule="auto"/>
        <w:rPr>
          <w:rFonts w:asciiTheme="minorBidi" w:hAnsiTheme="minorBidi"/>
          <w:rtl/>
        </w:rPr>
      </w:pPr>
    </w:p>
    <w:p w14:paraId="7029B357" w14:textId="6DB92B5D" w:rsidR="002A31C2"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Fulgoni</w:t>
      </w:r>
      <w:r w:rsidRPr="00407D80">
        <w:rPr>
          <w:rFonts w:asciiTheme="minorBidi" w:hAnsiTheme="minorBidi"/>
          <w:rtl/>
        </w:rPr>
        <w:t xml:space="preserve"> و</w:t>
      </w:r>
      <w:r w:rsidRPr="00407D80">
        <w:rPr>
          <w:rFonts w:asciiTheme="minorBidi" w:hAnsiTheme="minorBidi"/>
        </w:rPr>
        <w:t>Lipsman (2017</w:t>
      </w:r>
      <w:r w:rsidR="002D4DD9" w:rsidRPr="00407D80">
        <w:rPr>
          <w:rFonts w:asciiTheme="minorBidi" w:hAnsiTheme="minorBidi"/>
          <w:lang w:val="en-US"/>
        </w:rPr>
        <w:t>)</w:t>
      </w:r>
      <w:r w:rsidRPr="00407D80">
        <w:rPr>
          <w:rFonts w:asciiTheme="minorBidi" w:hAnsiTheme="minorBidi"/>
          <w:rtl/>
        </w:rPr>
        <w:t xml:space="preserve"> بعنوان: </w:t>
      </w:r>
      <w:r w:rsidR="00CA6BE6" w:rsidRPr="00407D80">
        <w:rPr>
          <w:rFonts w:asciiTheme="minorBidi" w:hAnsiTheme="minorBidi"/>
          <w:rtl/>
        </w:rPr>
        <w:t>"</w:t>
      </w:r>
      <w:r w:rsidRPr="00407D80">
        <w:rPr>
          <w:rFonts w:asciiTheme="minorBidi" w:hAnsiTheme="minorBidi"/>
          <w:rtl/>
        </w:rPr>
        <w:t>هل تستخدم مؤشرات الإعلان عبر الهاتف المحمول الصحيحة؟</w:t>
      </w:r>
      <w:r w:rsidR="00CA6BE6" w:rsidRPr="00407D80">
        <w:rPr>
          <w:rFonts w:asciiTheme="minorBidi" w:hAnsiTheme="minorBidi"/>
          <w:rtl/>
        </w:rPr>
        <w:t>"</w:t>
      </w:r>
      <w:r w:rsidRPr="00407D80">
        <w:rPr>
          <w:rFonts w:asciiTheme="minorBidi" w:hAnsiTheme="minorBidi"/>
          <w:rtl/>
        </w:rPr>
        <w:t xml:space="preserve"> إلى تحليل مؤشرات الأداء المستخدمة في تقييم الإعلانات عبر الأجهزة المحمولة وبيان مدى ملاءمتها في قياس فعالية الحملات الإعلانية الرقمية. واعتمدت الدراسة على المنهج التحليلي، وذلك من خلال تحليل مؤشرات أداء الإعلان عبر الهاتف المحمول في سياق الإعلان متعدد المنصات ومناقشة مدى ملاءمة المؤشرات التقليدية لهذا النوع من الإعلانات. وتوصلت نتائج الدراسة إلى أن بعض المقاييس التقليدية قد لا تعكس التأثير الحقيقي للإعلانات عبر الهاتف المحمول، كما أكدت ضرورة استخدام مقاييس أكثر ملاءمة لفهم فعالية الإعلان الرقمي بصورة أدق.</w:t>
      </w:r>
    </w:p>
    <w:p w14:paraId="736364EF" w14:textId="77777777" w:rsidR="002A31C2" w:rsidRPr="00407D80" w:rsidRDefault="002A31C2" w:rsidP="008C0001">
      <w:pPr>
        <w:bidi/>
        <w:spacing w:line="276" w:lineRule="auto"/>
        <w:rPr>
          <w:rFonts w:asciiTheme="minorBidi" w:hAnsiTheme="minorBidi"/>
          <w:rtl/>
        </w:rPr>
      </w:pPr>
    </w:p>
    <w:p w14:paraId="50B8CEC6" w14:textId="77777777" w:rsidR="002A31C2" w:rsidRPr="00407D80" w:rsidRDefault="002A31C2" w:rsidP="008C0001">
      <w:pPr>
        <w:bidi/>
        <w:spacing w:line="276" w:lineRule="auto"/>
        <w:rPr>
          <w:rFonts w:asciiTheme="minorBidi" w:hAnsiTheme="minorBidi"/>
          <w:rtl/>
        </w:rPr>
      </w:pPr>
    </w:p>
    <w:p w14:paraId="5CDDDFAB" w14:textId="77777777" w:rsidR="007234B8" w:rsidRPr="00407D80" w:rsidRDefault="007234B8" w:rsidP="008C0001">
      <w:pPr>
        <w:bidi/>
        <w:spacing w:line="276" w:lineRule="auto"/>
        <w:rPr>
          <w:rFonts w:asciiTheme="minorBidi" w:hAnsiTheme="minorBidi"/>
          <w:rtl/>
        </w:rPr>
      </w:pPr>
    </w:p>
    <w:p w14:paraId="47F5AFA8" w14:textId="77777777" w:rsidR="007234B8" w:rsidRPr="00407D80" w:rsidRDefault="007234B8" w:rsidP="008C0001">
      <w:pPr>
        <w:bidi/>
        <w:spacing w:line="276" w:lineRule="auto"/>
        <w:rPr>
          <w:rFonts w:asciiTheme="minorBidi" w:hAnsiTheme="minorBidi"/>
          <w:rtl/>
        </w:rPr>
      </w:pPr>
    </w:p>
    <w:p w14:paraId="6DB0C29E" w14:textId="77777777" w:rsidR="007234B8" w:rsidRPr="00407D80" w:rsidRDefault="007234B8" w:rsidP="008C0001">
      <w:pPr>
        <w:bidi/>
        <w:spacing w:line="276" w:lineRule="auto"/>
        <w:rPr>
          <w:rFonts w:asciiTheme="minorBidi" w:hAnsiTheme="minorBidi"/>
          <w:rtl/>
        </w:rPr>
      </w:pPr>
    </w:p>
    <w:p w14:paraId="130F6E40" w14:textId="77777777" w:rsidR="007234B8" w:rsidRPr="00407D80" w:rsidRDefault="007234B8" w:rsidP="008C0001">
      <w:pPr>
        <w:bidi/>
        <w:spacing w:line="276" w:lineRule="auto"/>
        <w:rPr>
          <w:rFonts w:asciiTheme="minorBidi" w:hAnsiTheme="minorBidi"/>
          <w:rtl/>
        </w:rPr>
      </w:pPr>
    </w:p>
    <w:p w14:paraId="7DCA5F91" w14:textId="77777777" w:rsidR="007234B8" w:rsidRPr="00407D80" w:rsidRDefault="007234B8" w:rsidP="008C0001">
      <w:pPr>
        <w:bidi/>
        <w:spacing w:line="276" w:lineRule="auto"/>
        <w:rPr>
          <w:rFonts w:asciiTheme="minorBidi" w:hAnsiTheme="minorBidi"/>
          <w:sz w:val="28"/>
          <w:szCs w:val="28"/>
          <w:rtl/>
        </w:rPr>
      </w:pPr>
      <w:r w:rsidRPr="00407D80">
        <w:rPr>
          <w:rFonts w:asciiTheme="minorBidi" w:hAnsiTheme="minorBidi"/>
          <w:sz w:val="28"/>
          <w:szCs w:val="28"/>
          <w:rtl/>
        </w:rPr>
        <w:t>المحور الثاني: تحليلات التسويق الرقمي وعلاقتها بجودة القرار التسويقي</w:t>
      </w:r>
    </w:p>
    <w:p w14:paraId="57C140A6" w14:textId="77777777" w:rsidR="007234B8" w:rsidRPr="00407D80" w:rsidRDefault="007234B8" w:rsidP="008C0001">
      <w:pPr>
        <w:bidi/>
        <w:spacing w:line="276" w:lineRule="auto"/>
        <w:rPr>
          <w:rFonts w:asciiTheme="minorBidi" w:hAnsiTheme="minorBidi"/>
          <w:rtl/>
        </w:rPr>
      </w:pPr>
    </w:p>
    <w:p w14:paraId="2BDA0DA0" w14:textId="77777777" w:rsidR="007234B8" w:rsidRPr="00407D80" w:rsidRDefault="007234B8" w:rsidP="008C0001">
      <w:pPr>
        <w:bidi/>
        <w:spacing w:line="276" w:lineRule="auto"/>
        <w:rPr>
          <w:rFonts w:asciiTheme="minorBidi" w:hAnsiTheme="minorBidi"/>
          <w:rtl/>
        </w:rPr>
      </w:pPr>
      <w:r w:rsidRPr="00407D80">
        <w:rPr>
          <w:rFonts w:asciiTheme="minorBidi" w:hAnsiTheme="minorBidi"/>
          <w:rtl/>
        </w:rPr>
        <w:t>يتناول هذا المحور الدراسات التي ركزت على دور تحليلات التسويق الرقمي في دعم عملية اتخاذ القرار التسويقي داخل المؤسسات، حيث تعتمد الشركات الحديثة بشكل متزايد على تحليل البيانات الرقمية ومؤشرات الأداء التسويقي لفهم سلوك المستهلكين وتقييم فعالية الحملات الإعلانية المختلفة. كما تساعد تحليلات التسويق الرقمي في تحويل البيانات الناتجة عن تفاعل المستخدمين مع الإعلانات الرقمية والمنصات المختلفة إلى معلومات يمكن الاستفادة منها في تحسين جودة القرارات التسويقية</w:t>
      </w:r>
      <w:r w:rsidRPr="00407D80">
        <w:rPr>
          <w:rFonts w:asciiTheme="minorBidi" w:hAnsiTheme="minorBidi"/>
        </w:rPr>
        <w:t>.</w:t>
      </w:r>
    </w:p>
    <w:p w14:paraId="67498D7D" w14:textId="77777777" w:rsidR="007234B8" w:rsidRPr="00407D80" w:rsidRDefault="007234B8" w:rsidP="008C0001">
      <w:pPr>
        <w:bidi/>
        <w:spacing w:line="276" w:lineRule="auto"/>
        <w:rPr>
          <w:rFonts w:asciiTheme="minorBidi" w:hAnsiTheme="minorBidi"/>
          <w:rtl/>
        </w:rPr>
      </w:pPr>
    </w:p>
    <w:p w14:paraId="0BC5D080" w14:textId="77777777" w:rsidR="007234B8" w:rsidRPr="00407D80" w:rsidRDefault="007234B8" w:rsidP="008C0001">
      <w:pPr>
        <w:bidi/>
        <w:spacing w:line="276" w:lineRule="auto"/>
        <w:rPr>
          <w:rFonts w:asciiTheme="minorBidi" w:hAnsiTheme="minorBidi"/>
          <w:rtl/>
        </w:rPr>
      </w:pPr>
      <w:r w:rsidRPr="00407D80">
        <w:rPr>
          <w:rFonts w:asciiTheme="minorBidi" w:hAnsiTheme="minorBidi"/>
          <w:rtl/>
        </w:rPr>
        <w:t>وتعد مؤشرات الأداء الرقمية مثل معدل النقر إلى الظهور</w:t>
      </w:r>
      <w:r w:rsidRPr="00407D80">
        <w:rPr>
          <w:rFonts w:asciiTheme="minorBidi" w:hAnsiTheme="minorBidi"/>
        </w:rPr>
        <w:t xml:space="preserve"> (CTR) </w:t>
      </w:r>
      <w:r w:rsidRPr="00407D80">
        <w:rPr>
          <w:rFonts w:asciiTheme="minorBidi" w:hAnsiTheme="minorBidi"/>
          <w:rtl/>
        </w:rPr>
        <w:t>وتكلفة النقرة</w:t>
      </w:r>
      <w:r w:rsidRPr="00407D80">
        <w:rPr>
          <w:rFonts w:asciiTheme="minorBidi" w:hAnsiTheme="minorBidi"/>
        </w:rPr>
        <w:t xml:space="preserve"> (CPC) </w:t>
      </w:r>
      <w:r w:rsidRPr="00407D80">
        <w:rPr>
          <w:rFonts w:asciiTheme="minorBidi" w:hAnsiTheme="minorBidi"/>
          <w:rtl/>
        </w:rPr>
        <w:t>ومعدل التحويل</w:t>
      </w:r>
      <w:r w:rsidRPr="00407D80">
        <w:rPr>
          <w:rFonts w:asciiTheme="minorBidi" w:hAnsiTheme="minorBidi"/>
        </w:rPr>
        <w:t xml:space="preserve"> (Conversion Rate) </w:t>
      </w:r>
      <w:r w:rsidRPr="00407D80">
        <w:rPr>
          <w:rFonts w:asciiTheme="minorBidi" w:hAnsiTheme="minorBidi"/>
          <w:rtl/>
        </w:rPr>
        <w:t>والعائد على الاستثمار</w:t>
      </w:r>
      <w:r w:rsidRPr="00407D80">
        <w:rPr>
          <w:rFonts w:asciiTheme="minorBidi" w:hAnsiTheme="minorBidi"/>
        </w:rPr>
        <w:t xml:space="preserve"> (ROI) </w:t>
      </w:r>
      <w:r w:rsidRPr="00407D80">
        <w:rPr>
          <w:rFonts w:asciiTheme="minorBidi" w:hAnsiTheme="minorBidi"/>
          <w:rtl/>
        </w:rPr>
        <w:t>من الأدوات الأساسية التي يعتمد عليها المسوقون في تحليل الأداء واتخاذ القرارات التسويقية المبنية على البيانات. لذلك تسعى العديد من الدراسات إلى تحليل العلاقة بين استخدام تحليلات التسويق الرقمي ومؤشرات الأداء من جهة، وجودة القرارات التسويقية المتعلقة بتخصيص الميزانيات الإعلانية وتحسين استراتيجيات الحملات التسويقية من جهة أخرى</w:t>
      </w:r>
      <w:r w:rsidRPr="00407D80">
        <w:rPr>
          <w:rFonts w:asciiTheme="minorBidi" w:hAnsiTheme="minorBidi"/>
        </w:rPr>
        <w:t>.</w:t>
      </w:r>
    </w:p>
    <w:p w14:paraId="3EDC7B0B" w14:textId="77777777" w:rsidR="007234B8" w:rsidRPr="00407D80" w:rsidRDefault="007234B8" w:rsidP="008C0001">
      <w:pPr>
        <w:bidi/>
        <w:spacing w:line="276" w:lineRule="auto"/>
        <w:rPr>
          <w:rFonts w:asciiTheme="minorBidi" w:hAnsiTheme="minorBidi"/>
          <w:rtl/>
        </w:rPr>
      </w:pPr>
    </w:p>
    <w:p w14:paraId="2B6925D8" w14:textId="3D090E8C" w:rsidR="007234B8" w:rsidRPr="00407D80" w:rsidRDefault="007234B8" w:rsidP="008C0001">
      <w:pPr>
        <w:bidi/>
        <w:spacing w:line="276" w:lineRule="auto"/>
        <w:rPr>
          <w:rFonts w:asciiTheme="minorBidi" w:hAnsiTheme="minorBidi"/>
          <w:rtl/>
        </w:rPr>
      </w:pPr>
    </w:p>
    <w:p w14:paraId="7BDDA8EE" w14:textId="77777777" w:rsidR="007234B8" w:rsidRPr="00407D80" w:rsidRDefault="007234B8" w:rsidP="008C0001">
      <w:pPr>
        <w:bidi/>
        <w:spacing w:line="276" w:lineRule="auto"/>
        <w:rPr>
          <w:rFonts w:asciiTheme="minorBidi" w:hAnsiTheme="minorBidi"/>
          <w:rtl/>
        </w:rPr>
      </w:pPr>
    </w:p>
    <w:p w14:paraId="01A6AE06" w14:textId="7A2D75B1" w:rsidR="007234B8" w:rsidRPr="00407D80" w:rsidRDefault="007234B8" w:rsidP="008C0001">
      <w:pPr>
        <w:bidi/>
        <w:spacing w:line="276" w:lineRule="auto"/>
        <w:rPr>
          <w:rFonts w:asciiTheme="minorBidi" w:hAnsiTheme="minorBidi"/>
          <w:rtl/>
        </w:rPr>
      </w:pPr>
      <w:r w:rsidRPr="00407D80">
        <w:rPr>
          <w:rFonts w:asciiTheme="minorBidi" w:hAnsiTheme="minorBidi"/>
          <w:rtl/>
        </w:rPr>
        <w:t>الدراسات السابقة للمحور الثاني:</w:t>
      </w:r>
    </w:p>
    <w:p w14:paraId="726EBD85" w14:textId="77777777" w:rsidR="007234B8" w:rsidRPr="00407D80" w:rsidRDefault="007234B8" w:rsidP="008C0001">
      <w:pPr>
        <w:bidi/>
        <w:spacing w:line="276" w:lineRule="auto"/>
        <w:rPr>
          <w:rFonts w:asciiTheme="minorBidi" w:hAnsiTheme="minorBidi"/>
          <w:rtl/>
        </w:rPr>
      </w:pPr>
    </w:p>
    <w:p w14:paraId="14E19FC2" w14:textId="37A3FFCD" w:rsidR="007234B8" w:rsidRPr="00407D80" w:rsidRDefault="007234B8" w:rsidP="008C0001">
      <w:pPr>
        <w:bidi/>
        <w:spacing w:line="276" w:lineRule="auto"/>
        <w:rPr>
          <w:rFonts w:asciiTheme="minorBidi" w:hAnsiTheme="minorBidi"/>
          <w:rtl/>
        </w:rPr>
      </w:pPr>
    </w:p>
    <w:p w14:paraId="3FA1DE99" w14:textId="4AE8C830" w:rsidR="002A31C2" w:rsidRPr="00407D80" w:rsidRDefault="002A31C2" w:rsidP="008C0001">
      <w:pPr>
        <w:pStyle w:val="ListParagraph"/>
        <w:numPr>
          <w:ilvl w:val="0"/>
          <w:numId w:val="9"/>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Bajrami </w:t>
      </w:r>
      <w:r w:rsidRPr="00407D80">
        <w:rPr>
          <w:rFonts w:asciiTheme="minorBidi" w:hAnsiTheme="minorBidi"/>
          <w:rtl/>
        </w:rPr>
        <w:t>وآخرون (2025</w:t>
      </w:r>
      <w:r w:rsidR="00CA6BE6" w:rsidRPr="00407D80">
        <w:rPr>
          <w:rFonts w:asciiTheme="minorBidi" w:hAnsiTheme="minorBidi"/>
          <w:rtl/>
        </w:rPr>
        <w:t>)</w:t>
      </w:r>
      <w:r w:rsidRPr="00407D80">
        <w:rPr>
          <w:rFonts w:asciiTheme="minorBidi" w:hAnsiTheme="minorBidi"/>
          <w:rtl/>
        </w:rPr>
        <w:t xml:space="preserve"> </w:t>
      </w:r>
      <w:r w:rsidR="00CA6BE6" w:rsidRPr="00407D80">
        <w:rPr>
          <w:rFonts w:asciiTheme="minorBidi" w:hAnsiTheme="minorBidi"/>
          <w:rtl/>
        </w:rPr>
        <w:t>"</w:t>
      </w:r>
      <w:r w:rsidRPr="00407D80">
        <w:rPr>
          <w:rFonts w:asciiTheme="minorBidi" w:hAnsiTheme="minorBidi"/>
          <w:rtl/>
        </w:rPr>
        <w:t>تأثير تحليلات البيانات الضخمة على اتخاذ القرار في التسويق الرقمي</w:t>
      </w:r>
      <w:r w:rsidR="00CA6BE6" w:rsidRPr="00407D80">
        <w:rPr>
          <w:rFonts w:asciiTheme="minorBidi" w:hAnsiTheme="minorBidi"/>
          <w:rtl/>
        </w:rPr>
        <w:t>"</w:t>
      </w:r>
    </w:p>
    <w:p w14:paraId="3FE5675A" w14:textId="77777777" w:rsidR="002A31C2" w:rsidRPr="00407D80" w:rsidRDefault="002A31C2" w:rsidP="008C0001">
      <w:pPr>
        <w:bidi/>
        <w:spacing w:line="276" w:lineRule="auto"/>
        <w:rPr>
          <w:rFonts w:asciiTheme="minorBidi" w:hAnsiTheme="minorBidi"/>
        </w:rPr>
      </w:pPr>
      <w:r w:rsidRPr="00407D80">
        <w:rPr>
          <w:rFonts w:asciiTheme="minorBidi" w:hAnsiTheme="minorBidi"/>
        </w:rPr>
        <w:t>(The Impact of Big Data Analytics on Digital Marketing Decision-Making: A Comprehensive Analysis).</w:t>
      </w:r>
    </w:p>
    <w:p w14:paraId="5EBAC461" w14:textId="77777777" w:rsidR="002A31C2" w:rsidRPr="00407D80" w:rsidRDefault="002A31C2" w:rsidP="008C0001">
      <w:pPr>
        <w:bidi/>
        <w:spacing w:line="276" w:lineRule="auto"/>
        <w:rPr>
          <w:rFonts w:asciiTheme="minorBidi" w:hAnsiTheme="minorBidi"/>
          <w:rtl/>
        </w:rPr>
      </w:pPr>
    </w:p>
    <w:p w14:paraId="43DD91C5" w14:textId="67B9C648" w:rsidR="002A31C2"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Bajrami</w:t>
      </w:r>
      <w:r w:rsidRPr="00407D80">
        <w:rPr>
          <w:rFonts w:asciiTheme="minorBidi" w:hAnsiTheme="minorBidi"/>
          <w:rtl/>
        </w:rPr>
        <w:t xml:space="preserve"> وآخرون (2025) بعنوان: </w:t>
      </w:r>
      <w:r w:rsidR="00CA6BE6" w:rsidRPr="00407D80">
        <w:rPr>
          <w:rFonts w:asciiTheme="minorBidi" w:hAnsiTheme="minorBidi"/>
          <w:rtl/>
        </w:rPr>
        <w:t>"</w:t>
      </w:r>
      <w:r w:rsidRPr="00407D80">
        <w:rPr>
          <w:rFonts w:asciiTheme="minorBidi" w:hAnsiTheme="minorBidi"/>
          <w:rtl/>
        </w:rPr>
        <w:t>تأثير تحليلات البيانات الضخمة على اتخاذ القرار في التسويق الرقمي</w:t>
      </w:r>
      <w:r w:rsidR="00CA6BE6" w:rsidRPr="00407D80">
        <w:rPr>
          <w:rFonts w:asciiTheme="minorBidi" w:hAnsiTheme="minorBidi"/>
          <w:rtl/>
        </w:rPr>
        <w:t>"</w:t>
      </w:r>
      <w:r w:rsidRPr="00407D80">
        <w:rPr>
          <w:rFonts w:asciiTheme="minorBidi" w:hAnsiTheme="minorBidi"/>
          <w:rtl/>
        </w:rPr>
        <w:t xml:space="preserve"> إلى تحليل دور تحليلات البيانات الضخمة في دعم عملية اتخاذ القرار في مجال التسويق الرقمي. واعتمدت الدراسة على المنهج التحليلي التطبيقي، وذلك بالتطبيق على بيانات تم جمعها من عينة مكونة من (230) متخصصًا في التسويق الرقمي في عدد من القطاعات الاقتصادية المختلفة. واستخدمت الدراسة أساليب تحليل إحصائي متقدمة مثل تحليل التجميع (</w:t>
      </w:r>
      <w:r w:rsidRPr="00407D80">
        <w:rPr>
          <w:rFonts w:asciiTheme="minorBidi" w:hAnsiTheme="minorBidi"/>
        </w:rPr>
        <w:t>K-means</w:t>
      </w:r>
      <w:r w:rsidRPr="00407D80">
        <w:rPr>
          <w:rFonts w:asciiTheme="minorBidi" w:hAnsiTheme="minorBidi"/>
          <w:rtl/>
        </w:rPr>
        <w:t>) والانحدار اللوجستي لدراسة العلاقة بين استخدام تحليلات البيانات وتحسين جودة القرارات التسويقية. وتوصلت نتائج الدراسة إلى أن استخدام تحليلات البيانات الضخمة يسهم بشكل كبير في تحسين دقة الاستهداف الإعلاني ورفع كفاءة الحملات التسويقية، كما يساعد في تحسين قرارات تخصيص الميزانيات الإعلانية وتحقيق نتائج تسويقية أكثر فاعلية.</w:t>
      </w:r>
    </w:p>
    <w:p w14:paraId="4F6B05C8" w14:textId="77777777" w:rsidR="002A31C2" w:rsidRPr="00407D80" w:rsidRDefault="002A31C2" w:rsidP="008C0001">
      <w:pPr>
        <w:bidi/>
        <w:spacing w:line="276" w:lineRule="auto"/>
        <w:rPr>
          <w:rFonts w:asciiTheme="minorBidi" w:hAnsiTheme="minorBidi"/>
          <w:rtl/>
        </w:rPr>
      </w:pPr>
    </w:p>
    <w:p w14:paraId="46991D0B" w14:textId="77777777" w:rsidR="002A31C2" w:rsidRPr="00407D80" w:rsidRDefault="002A31C2" w:rsidP="008C0001">
      <w:pPr>
        <w:bidi/>
        <w:spacing w:line="276" w:lineRule="auto"/>
        <w:rPr>
          <w:rFonts w:asciiTheme="minorBidi" w:hAnsiTheme="minorBidi"/>
          <w:rtl/>
        </w:rPr>
      </w:pPr>
    </w:p>
    <w:p w14:paraId="4BF211A3" w14:textId="519AD567" w:rsidR="002A31C2" w:rsidRPr="00407D80" w:rsidRDefault="002A31C2" w:rsidP="008C0001">
      <w:pPr>
        <w:pStyle w:val="ListParagraph"/>
        <w:numPr>
          <w:ilvl w:val="0"/>
          <w:numId w:val="9"/>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Haverila </w:t>
      </w:r>
      <w:r w:rsidRPr="00407D80">
        <w:rPr>
          <w:rFonts w:asciiTheme="minorBidi" w:hAnsiTheme="minorBidi"/>
          <w:rtl/>
        </w:rPr>
        <w:t>وآخرون (</w:t>
      </w:r>
      <w:r w:rsidR="00144AA6" w:rsidRPr="00407D80">
        <w:rPr>
          <w:rFonts w:asciiTheme="minorBidi" w:hAnsiTheme="minorBidi"/>
          <w:lang w:val="en-US"/>
        </w:rPr>
        <w:t>2025</w:t>
      </w:r>
      <w:r w:rsidR="00CA6BE6" w:rsidRPr="00407D80">
        <w:rPr>
          <w:rFonts w:asciiTheme="minorBidi" w:hAnsiTheme="minorBidi"/>
          <w:rtl/>
        </w:rPr>
        <w:t>)</w:t>
      </w:r>
      <w:r w:rsidRPr="00407D80">
        <w:rPr>
          <w:rFonts w:asciiTheme="minorBidi" w:hAnsiTheme="minorBidi"/>
          <w:rtl/>
        </w:rPr>
        <w:t xml:space="preserve"> </w:t>
      </w:r>
      <w:r w:rsidR="00CA6BE6" w:rsidRPr="00407D80">
        <w:rPr>
          <w:rFonts w:asciiTheme="minorBidi" w:hAnsiTheme="minorBidi"/>
          <w:rtl/>
        </w:rPr>
        <w:t>"</w:t>
      </w:r>
      <w:r w:rsidRPr="00407D80">
        <w:rPr>
          <w:rFonts w:asciiTheme="minorBidi" w:hAnsiTheme="minorBidi"/>
          <w:rtl/>
        </w:rPr>
        <w:t>العلاقة بين جودة تحليلات التسويق القائمة على البيانات الضخمة والمرونة التسويقية للشركات</w:t>
      </w:r>
      <w:r w:rsidR="00CA6BE6" w:rsidRPr="00407D80">
        <w:rPr>
          <w:rFonts w:asciiTheme="minorBidi" w:hAnsiTheme="minorBidi"/>
          <w:rtl/>
        </w:rPr>
        <w:t>"</w:t>
      </w:r>
    </w:p>
    <w:p w14:paraId="209B6B37" w14:textId="77777777" w:rsidR="002A31C2" w:rsidRPr="00407D80" w:rsidRDefault="002A31C2" w:rsidP="008C0001">
      <w:pPr>
        <w:bidi/>
        <w:spacing w:line="276" w:lineRule="auto"/>
        <w:rPr>
          <w:rFonts w:asciiTheme="minorBidi" w:hAnsiTheme="minorBidi"/>
        </w:rPr>
      </w:pPr>
      <w:r w:rsidRPr="00407D80">
        <w:rPr>
          <w:rFonts w:asciiTheme="minorBidi" w:hAnsiTheme="minorBidi"/>
        </w:rPr>
        <w:t>(The Relationship Between the Quality of Big Data Marketing Analytics and Marketing Agility of Firms).</w:t>
      </w:r>
    </w:p>
    <w:p w14:paraId="056CDE06" w14:textId="77777777" w:rsidR="002A31C2" w:rsidRPr="00407D80" w:rsidRDefault="002A31C2" w:rsidP="008C0001">
      <w:pPr>
        <w:bidi/>
        <w:spacing w:line="276" w:lineRule="auto"/>
        <w:rPr>
          <w:rFonts w:asciiTheme="minorBidi" w:hAnsiTheme="minorBidi"/>
          <w:rtl/>
        </w:rPr>
      </w:pPr>
    </w:p>
    <w:p w14:paraId="34B78B37" w14:textId="5364423B" w:rsidR="002A31C2"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Haverila</w:t>
      </w:r>
      <w:r w:rsidRPr="00407D80">
        <w:rPr>
          <w:rFonts w:asciiTheme="minorBidi" w:hAnsiTheme="minorBidi"/>
          <w:rtl/>
        </w:rPr>
        <w:t xml:space="preserve"> وآخرون (</w:t>
      </w:r>
      <w:r w:rsidR="00144AA6" w:rsidRPr="00407D80">
        <w:rPr>
          <w:rFonts w:asciiTheme="minorBidi" w:hAnsiTheme="minorBidi"/>
          <w:lang w:val="en-US"/>
        </w:rPr>
        <w:t>2025</w:t>
      </w:r>
      <w:r w:rsidRPr="00407D80">
        <w:rPr>
          <w:rFonts w:asciiTheme="minorBidi" w:hAnsiTheme="minorBidi"/>
          <w:rtl/>
        </w:rPr>
        <w:t>) بعنوان: “العلاقة بين جودة تحليلات التسويق القائمة على البيانات الضخمة والمرونة التسويقية للشركات” إلى تحليل تأثير جودة تحليلات التسويق القائمة على البيانات الضخمة في تعزيز قدرة الشركات على اتخاذ قرارات تسويقية مرنة وسريعة. واعتمدت الدراسة على المنهج التحليلي التطبيقي، وذلك بالتطبيق على بيانات استقصائية تم جمعها من عينة مكونة من (236) من المتخصصين في التسويق في عدد من الشركات في أمريكا الشمالية. وتم استخدام نماذج المعادلات الهيكلية لتحليل العلاقة بين جودة البيانات وجودة أدوات التحليل والمرونة التسويقية للشركات. وتوصلت نتائج الدراسة إلى أن جودة البيانات وجودة أدوات التحليل تمثلان عاملين رئيسين في تحسين قدرة المؤسسات على اتخاذ قرارات تسويقية أكثر فاعلية، خصوصًا فيما يتعلق بتعديل الحملات التسويقية وتخصيص الموارد التسويقية بناءً على نتائج التحليل الرقمي.</w:t>
      </w:r>
    </w:p>
    <w:p w14:paraId="299F7A24" w14:textId="77777777" w:rsidR="002A31C2" w:rsidRPr="00407D80" w:rsidRDefault="002A31C2" w:rsidP="008C0001">
      <w:pPr>
        <w:bidi/>
        <w:spacing w:line="276" w:lineRule="auto"/>
        <w:rPr>
          <w:rFonts w:asciiTheme="minorBidi" w:hAnsiTheme="minorBidi"/>
          <w:rtl/>
        </w:rPr>
      </w:pPr>
    </w:p>
    <w:p w14:paraId="1564BD6B" w14:textId="77777777" w:rsidR="002A31C2" w:rsidRPr="00407D80" w:rsidRDefault="002A31C2" w:rsidP="008C0001">
      <w:pPr>
        <w:bidi/>
        <w:spacing w:line="276" w:lineRule="auto"/>
        <w:rPr>
          <w:rFonts w:asciiTheme="minorBidi" w:hAnsiTheme="minorBidi"/>
          <w:rtl/>
        </w:rPr>
      </w:pPr>
    </w:p>
    <w:p w14:paraId="65053BA2" w14:textId="17F8D878" w:rsidR="002A31C2" w:rsidRPr="00407D80" w:rsidRDefault="002A31C2" w:rsidP="008C0001">
      <w:pPr>
        <w:pStyle w:val="ListParagraph"/>
        <w:numPr>
          <w:ilvl w:val="0"/>
          <w:numId w:val="9"/>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Al Adwan </w:t>
      </w:r>
      <w:r w:rsidRPr="00407D80">
        <w:rPr>
          <w:rFonts w:asciiTheme="minorBidi" w:hAnsiTheme="minorBidi"/>
          <w:rtl/>
        </w:rPr>
        <w:t>وآخرون (2023</w:t>
      </w:r>
      <w:r w:rsidR="00CA6BE6" w:rsidRPr="00407D80">
        <w:rPr>
          <w:rFonts w:asciiTheme="minorBidi" w:hAnsiTheme="minorBidi"/>
          <w:rtl/>
        </w:rPr>
        <w:t>)</w:t>
      </w:r>
      <w:r w:rsidRPr="00407D80">
        <w:rPr>
          <w:rFonts w:asciiTheme="minorBidi" w:hAnsiTheme="minorBidi"/>
          <w:rtl/>
        </w:rPr>
        <w:t xml:space="preserve"> </w:t>
      </w:r>
      <w:r w:rsidR="00CA6BE6" w:rsidRPr="00407D80">
        <w:rPr>
          <w:rFonts w:asciiTheme="minorBidi" w:hAnsiTheme="minorBidi"/>
          <w:rtl/>
        </w:rPr>
        <w:t>"</w:t>
      </w:r>
      <w:r w:rsidRPr="00407D80">
        <w:rPr>
          <w:rFonts w:asciiTheme="minorBidi" w:hAnsiTheme="minorBidi"/>
          <w:rtl/>
        </w:rPr>
        <w:t>تحليلات البيانات في التسويق الرقمي لتتبع فعالية الحملات وإرشاد الاستراتيجيات التسويقية</w:t>
      </w:r>
      <w:r w:rsidR="00CA6BE6" w:rsidRPr="00407D80">
        <w:rPr>
          <w:rFonts w:asciiTheme="minorBidi" w:hAnsiTheme="minorBidi"/>
          <w:rtl/>
        </w:rPr>
        <w:t>"</w:t>
      </w:r>
    </w:p>
    <w:p w14:paraId="14CD94B7" w14:textId="77777777" w:rsidR="002A31C2" w:rsidRPr="00407D80" w:rsidRDefault="002A31C2" w:rsidP="008C0001">
      <w:pPr>
        <w:bidi/>
        <w:spacing w:line="276" w:lineRule="auto"/>
        <w:rPr>
          <w:rFonts w:asciiTheme="minorBidi" w:hAnsiTheme="minorBidi"/>
        </w:rPr>
      </w:pPr>
      <w:r w:rsidRPr="00407D80">
        <w:rPr>
          <w:rFonts w:asciiTheme="minorBidi" w:hAnsiTheme="minorBidi"/>
        </w:rPr>
        <w:t>(Data Analytics in Digital Marketing for Tracking the Effectiveness of Campaigns and Inform Strategy).</w:t>
      </w:r>
    </w:p>
    <w:p w14:paraId="2DCEE24F" w14:textId="77777777" w:rsidR="002A31C2" w:rsidRPr="00407D80" w:rsidRDefault="002A31C2" w:rsidP="008C0001">
      <w:pPr>
        <w:bidi/>
        <w:spacing w:line="276" w:lineRule="auto"/>
        <w:rPr>
          <w:rFonts w:asciiTheme="minorBidi" w:hAnsiTheme="minorBidi"/>
          <w:rtl/>
        </w:rPr>
      </w:pPr>
    </w:p>
    <w:p w14:paraId="447C9E62" w14:textId="275B4E2E" w:rsidR="00D70449"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Al Adwan</w:t>
      </w:r>
      <w:r w:rsidRPr="00407D80">
        <w:rPr>
          <w:rFonts w:asciiTheme="minorBidi" w:hAnsiTheme="minorBidi"/>
          <w:rtl/>
        </w:rPr>
        <w:t xml:space="preserve"> وآخرون (2023) بعنوان: </w:t>
      </w:r>
      <w:r w:rsidR="00CA6BE6" w:rsidRPr="00407D80">
        <w:rPr>
          <w:rFonts w:asciiTheme="minorBidi" w:hAnsiTheme="minorBidi"/>
          <w:rtl/>
        </w:rPr>
        <w:t>"</w:t>
      </w:r>
      <w:r w:rsidRPr="00407D80">
        <w:rPr>
          <w:rFonts w:asciiTheme="minorBidi" w:hAnsiTheme="minorBidi"/>
          <w:rtl/>
        </w:rPr>
        <w:t>تحليلات البيانات في التسويق الرقمي لتتبع فعالية الحملات وإرشاد الاستراتيجيات التسويقية</w:t>
      </w:r>
      <w:r w:rsidR="00CA6BE6" w:rsidRPr="00407D80">
        <w:rPr>
          <w:rFonts w:asciiTheme="minorBidi" w:hAnsiTheme="minorBidi"/>
          <w:rtl/>
        </w:rPr>
        <w:t>"</w:t>
      </w:r>
      <w:r w:rsidRPr="00407D80">
        <w:rPr>
          <w:rFonts w:asciiTheme="minorBidi" w:hAnsiTheme="minorBidi"/>
          <w:rtl/>
        </w:rPr>
        <w:t xml:space="preserve"> إلى تحليل دور تحليلات البيانات الرقمية في دعم عملية اتخاذ القرار التسويقي وتحسين فعالية الحملات الرقمية. واعتمدت الدراسة على المنهج التحليلي التطبيقي، وذلك بالتطبيق على بيانات استقصائية تم جمعها من عينة مكونة من (240) من المتخصصين في التسويق الرقمي والعاملين في مجال التجارة الإلكترونية والإعلام الرقمي. وتم استخدام نماذج المعادلات الهيكلية لتحليل العلاقة بين استخدام أدوات تحليلات البيانات وتحسين فعالية القرارات التسويقية. وتوصلت نتائج الدراسة إلى وجود علاقة إيجابية بين استخدام تحليلات البيانات الرقمية وتحسين جودة القرارات التسويقية، حيث تسهم هذه التحليلات في تحسين الاستهداف الإعلاني وتطوير الاستراتيجيات التسويقية المبنية على البيانات.</w:t>
      </w:r>
    </w:p>
    <w:p w14:paraId="3206DE54" w14:textId="77777777" w:rsidR="00D70449" w:rsidRPr="00407D80" w:rsidRDefault="00D70449" w:rsidP="008C0001">
      <w:pPr>
        <w:bidi/>
        <w:spacing w:line="276" w:lineRule="auto"/>
        <w:rPr>
          <w:rFonts w:asciiTheme="minorBidi" w:hAnsiTheme="minorBidi"/>
          <w:rtl/>
        </w:rPr>
      </w:pPr>
    </w:p>
    <w:p w14:paraId="20180216" w14:textId="77777777" w:rsidR="002A31C2" w:rsidRPr="00407D80" w:rsidRDefault="002A31C2" w:rsidP="008C0001">
      <w:pPr>
        <w:bidi/>
        <w:spacing w:line="276" w:lineRule="auto"/>
        <w:rPr>
          <w:rFonts w:asciiTheme="minorBidi" w:hAnsiTheme="minorBidi"/>
          <w:rtl/>
        </w:rPr>
      </w:pPr>
    </w:p>
    <w:p w14:paraId="48D67164" w14:textId="55A419AD" w:rsidR="002A31C2" w:rsidRPr="00407D80" w:rsidRDefault="002A31C2" w:rsidP="008C0001">
      <w:pPr>
        <w:pStyle w:val="ListParagraph"/>
        <w:numPr>
          <w:ilvl w:val="0"/>
          <w:numId w:val="9"/>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Mintz </w:t>
      </w:r>
      <w:r w:rsidRPr="00407D80">
        <w:rPr>
          <w:rFonts w:asciiTheme="minorBidi" w:hAnsiTheme="minorBidi"/>
          <w:rtl/>
        </w:rPr>
        <w:t>وآخرون (2021</w:t>
      </w:r>
      <w:r w:rsidR="00CA6BE6" w:rsidRPr="00407D80">
        <w:rPr>
          <w:rFonts w:asciiTheme="minorBidi" w:hAnsiTheme="minorBidi"/>
          <w:rtl/>
        </w:rPr>
        <w:t>)</w:t>
      </w:r>
      <w:r w:rsidRPr="00407D80">
        <w:rPr>
          <w:rFonts w:asciiTheme="minorBidi" w:hAnsiTheme="minorBidi"/>
          <w:rtl/>
        </w:rPr>
        <w:t xml:space="preserve"> </w:t>
      </w:r>
      <w:r w:rsidR="00CA6BE6" w:rsidRPr="00407D80">
        <w:rPr>
          <w:rFonts w:asciiTheme="minorBidi" w:hAnsiTheme="minorBidi"/>
          <w:rtl/>
        </w:rPr>
        <w:t>"</w:t>
      </w:r>
      <w:r w:rsidRPr="00407D80">
        <w:rPr>
          <w:rFonts w:asciiTheme="minorBidi" w:hAnsiTheme="minorBidi"/>
          <w:rtl/>
        </w:rPr>
        <w:t>المؤشرات المناسبة لاتخاذ قرارات المزيج التسويقي</w:t>
      </w:r>
      <w:r w:rsidR="00CA6BE6" w:rsidRPr="00407D80">
        <w:rPr>
          <w:rFonts w:asciiTheme="minorBidi" w:hAnsiTheme="minorBidi"/>
          <w:rtl/>
        </w:rPr>
        <w:t>"</w:t>
      </w:r>
    </w:p>
    <w:p w14:paraId="65C8EFFA" w14:textId="77777777" w:rsidR="002A31C2" w:rsidRPr="00407D80" w:rsidRDefault="002A31C2" w:rsidP="008C0001">
      <w:pPr>
        <w:bidi/>
        <w:spacing w:line="276" w:lineRule="auto"/>
        <w:rPr>
          <w:rFonts w:asciiTheme="minorBidi" w:hAnsiTheme="minorBidi"/>
        </w:rPr>
      </w:pPr>
      <w:r w:rsidRPr="00407D80">
        <w:rPr>
          <w:rFonts w:asciiTheme="minorBidi" w:hAnsiTheme="minorBidi"/>
        </w:rPr>
        <w:t>(The Right Metrics for Marketing-Mix Decisions).</w:t>
      </w:r>
    </w:p>
    <w:p w14:paraId="68AB442D" w14:textId="77777777" w:rsidR="002A31C2" w:rsidRPr="00407D80" w:rsidRDefault="002A31C2" w:rsidP="008C0001">
      <w:pPr>
        <w:bidi/>
        <w:spacing w:line="276" w:lineRule="auto"/>
        <w:rPr>
          <w:rFonts w:asciiTheme="minorBidi" w:hAnsiTheme="minorBidi"/>
          <w:rtl/>
        </w:rPr>
      </w:pPr>
    </w:p>
    <w:p w14:paraId="513847E6" w14:textId="1AAE02DF" w:rsidR="002A31C2"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Mintz</w:t>
      </w:r>
      <w:r w:rsidRPr="00407D80">
        <w:rPr>
          <w:rFonts w:asciiTheme="minorBidi" w:hAnsiTheme="minorBidi"/>
          <w:rtl/>
        </w:rPr>
        <w:t xml:space="preserve"> وآخرون (2021) بعنوان: </w:t>
      </w:r>
      <w:r w:rsidR="00CA6BE6" w:rsidRPr="00407D80">
        <w:rPr>
          <w:rFonts w:asciiTheme="minorBidi" w:hAnsiTheme="minorBidi"/>
          <w:rtl/>
        </w:rPr>
        <w:t>"</w:t>
      </w:r>
      <w:r w:rsidRPr="00407D80">
        <w:rPr>
          <w:rFonts w:asciiTheme="minorBidi" w:hAnsiTheme="minorBidi"/>
          <w:rtl/>
        </w:rPr>
        <w:t>المؤشرات المناسبة لاتخاذ قرارات المزيج التسويقي</w:t>
      </w:r>
      <w:r w:rsidR="00CA6BE6" w:rsidRPr="00407D80">
        <w:rPr>
          <w:rFonts w:asciiTheme="minorBidi" w:hAnsiTheme="minorBidi"/>
          <w:rtl/>
        </w:rPr>
        <w:t>"</w:t>
      </w:r>
      <w:r w:rsidRPr="00407D80">
        <w:rPr>
          <w:rFonts w:asciiTheme="minorBidi" w:hAnsiTheme="minorBidi"/>
          <w:rtl/>
        </w:rPr>
        <w:t xml:space="preserve"> إلى تحديد المؤشرات التسويقية الأكثر فاعلية في دعم قرارات المزيج التسويقي وتحسين الأداء التسويقي. واعتمدت الدراسة على تحليل قرارات تسويقية اتخذها عدد من المديرين في مؤسسات مختلفة، حيث تم تحليل (1287) قرارًا تسويقيًا اتخذها (439) مديرًا في عدد من الشركات. وتوصلت نتائج الدراسة إلى أن المؤشرات المرتبطة بسلوك العملاء مثل الوعي بالعلامة التجارية ونية التوصية بها تعد أكثر تأثيرًا في تحسين جودة القرارات التسويقية مقارنة بالمؤشرات المالية التقليدية، كما أكدت الدراسة أن اختيار المؤشرات المناسبة يسهم بشكل كبير في تحسين فعالية الاستراتيجيات التسويقية.</w:t>
      </w:r>
    </w:p>
    <w:p w14:paraId="38CCEBD4" w14:textId="77777777" w:rsidR="002A31C2" w:rsidRPr="00407D80" w:rsidRDefault="002A31C2" w:rsidP="008C0001">
      <w:pPr>
        <w:bidi/>
        <w:spacing w:line="276" w:lineRule="auto"/>
        <w:rPr>
          <w:rFonts w:asciiTheme="minorBidi" w:hAnsiTheme="minorBidi"/>
          <w:rtl/>
        </w:rPr>
      </w:pPr>
    </w:p>
    <w:p w14:paraId="031DD731" w14:textId="77777777" w:rsidR="002A31C2" w:rsidRPr="00407D80" w:rsidRDefault="002A31C2" w:rsidP="008C0001">
      <w:pPr>
        <w:bidi/>
        <w:spacing w:line="276" w:lineRule="auto"/>
        <w:rPr>
          <w:rFonts w:asciiTheme="minorBidi" w:hAnsiTheme="minorBidi"/>
          <w:rtl/>
        </w:rPr>
      </w:pPr>
    </w:p>
    <w:p w14:paraId="486A3BC6" w14:textId="7532B83C" w:rsidR="002A31C2" w:rsidRPr="00407D80" w:rsidRDefault="002A31C2" w:rsidP="008C0001">
      <w:pPr>
        <w:pStyle w:val="ListParagraph"/>
        <w:numPr>
          <w:ilvl w:val="0"/>
          <w:numId w:val="9"/>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Bayer </w:t>
      </w:r>
      <w:r w:rsidRPr="00407D80">
        <w:rPr>
          <w:rFonts w:asciiTheme="minorBidi" w:hAnsiTheme="minorBidi"/>
          <w:rtl/>
        </w:rPr>
        <w:t>وآخرون (2020</w:t>
      </w:r>
      <w:r w:rsidR="00CA6BE6" w:rsidRPr="00407D80">
        <w:rPr>
          <w:rFonts w:asciiTheme="minorBidi" w:hAnsiTheme="minorBidi"/>
          <w:rtl/>
        </w:rPr>
        <w:t>)</w:t>
      </w:r>
      <w:r w:rsidRPr="00407D80">
        <w:rPr>
          <w:rFonts w:asciiTheme="minorBidi" w:hAnsiTheme="minorBidi"/>
          <w:rtl/>
        </w:rPr>
        <w:t xml:space="preserve"> </w:t>
      </w:r>
      <w:r w:rsidR="00CA6BE6" w:rsidRPr="00407D80">
        <w:rPr>
          <w:rFonts w:asciiTheme="minorBidi" w:hAnsiTheme="minorBidi"/>
          <w:rtl/>
        </w:rPr>
        <w:t>"</w:t>
      </w:r>
      <w:r w:rsidRPr="00407D80">
        <w:rPr>
          <w:rFonts w:asciiTheme="minorBidi" w:hAnsiTheme="minorBidi"/>
          <w:rtl/>
        </w:rPr>
        <w:t>تأثير الإعلانات الرقمية مقارنة بالإعلانات التقليدية على أداء الشركات وقيمتها السوقية</w:t>
      </w:r>
      <w:r w:rsidR="00CA6BE6" w:rsidRPr="00407D80">
        <w:rPr>
          <w:rFonts w:asciiTheme="minorBidi" w:hAnsiTheme="minorBidi"/>
          <w:rtl/>
        </w:rPr>
        <w:t>"</w:t>
      </w:r>
    </w:p>
    <w:p w14:paraId="2E83FA77" w14:textId="77777777" w:rsidR="002A31C2" w:rsidRPr="00407D80" w:rsidRDefault="002A31C2" w:rsidP="008C0001">
      <w:pPr>
        <w:bidi/>
        <w:spacing w:line="276" w:lineRule="auto"/>
        <w:rPr>
          <w:rFonts w:asciiTheme="minorBidi" w:hAnsiTheme="minorBidi"/>
        </w:rPr>
      </w:pPr>
      <w:r w:rsidRPr="00407D80">
        <w:rPr>
          <w:rFonts w:asciiTheme="minorBidi" w:hAnsiTheme="minorBidi"/>
        </w:rPr>
        <w:t>(The Impact of Online Display Advertising and Paid Search Advertising Relative to Offline Advertising on Firm Performance and Firm Value).</w:t>
      </w:r>
    </w:p>
    <w:p w14:paraId="182C7CE0" w14:textId="77777777" w:rsidR="002A31C2" w:rsidRPr="00407D80" w:rsidRDefault="002A31C2" w:rsidP="008C0001">
      <w:pPr>
        <w:bidi/>
        <w:spacing w:line="276" w:lineRule="auto"/>
        <w:rPr>
          <w:rFonts w:asciiTheme="minorBidi" w:hAnsiTheme="minorBidi"/>
          <w:rtl/>
        </w:rPr>
      </w:pPr>
    </w:p>
    <w:p w14:paraId="0CEB21B3" w14:textId="4C9E026C" w:rsidR="002A31C2"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Bayer</w:t>
      </w:r>
      <w:r w:rsidRPr="00407D80">
        <w:rPr>
          <w:rFonts w:asciiTheme="minorBidi" w:hAnsiTheme="minorBidi"/>
          <w:rtl/>
        </w:rPr>
        <w:t xml:space="preserve"> وآخرون (2020) بعنوان: </w:t>
      </w:r>
      <w:r w:rsidR="00CA6BE6" w:rsidRPr="00407D80">
        <w:rPr>
          <w:rFonts w:asciiTheme="minorBidi" w:hAnsiTheme="minorBidi"/>
          <w:rtl/>
        </w:rPr>
        <w:t>"</w:t>
      </w:r>
      <w:r w:rsidRPr="00407D80">
        <w:rPr>
          <w:rFonts w:asciiTheme="minorBidi" w:hAnsiTheme="minorBidi"/>
          <w:rtl/>
        </w:rPr>
        <w:t>تأثير الإعلانات الرقمية مقارنة بالإعلانات التقليدية على أداء الشركات وقيمتها السوقية</w:t>
      </w:r>
      <w:r w:rsidR="00CA6BE6" w:rsidRPr="00407D80">
        <w:rPr>
          <w:rFonts w:asciiTheme="minorBidi" w:hAnsiTheme="minorBidi"/>
          <w:rtl/>
        </w:rPr>
        <w:t>"</w:t>
      </w:r>
      <w:r w:rsidRPr="00407D80">
        <w:rPr>
          <w:rFonts w:asciiTheme="minorBidi" w:hAnsiTheme="minorBidi"/>
          <w:rtl/>
        </w:rPr>
        <w:t xml:space="preserve"> إلى تحليل أثر الإعلانات الرقمية، مثل إعلانات البحث المدفوعة والإعلانات المصورة عبر الإنترنت، في أداء الشركات ونتائجها المالية. واعتمدت الدراسة على تحليل بيانات لوحية (</w:t>
      </w:r>
      <w:r w:rsidRPr="00407D80">
        <w:rPr>
          <w:rFonts w:asciiTheme="minorBidi" w:hAnsiTheme="minorBidi"/>
        </w:rPr>
        <w:t>Panel Data</w:t>
      </w:r>
      <w:r w:rsidRPr="00407D80">
        <w:rPr>
          <w:rFonts w:asciiTheme="minorBidi" w:hAnsiTheme="minorBidi"/>
          <w:rtl/>
        </w:rPr>
        <w:t>) لعدد من الشركات بلغ (1651) شركة خلال فترة زمنية امتدت لسبع سنوات. وتوصلت نتائج الدراسة إلى أن الإعلانات الرقمية، خصوصًا إعلانات البحث المدفوعة، ترتبط بزيادة المبيعات بشكل ملحوظ، كما أن الإعلانات المصورة تسهم في تعزيز قيمة الشركة على المدى الطويل، مما يدعم قرارات تخصيص الميزانيات التسويقية بين القنوات المختلفة.</w:t>
      </w:r>
    </w:p>
    <w:p w14:paraId="7B3DD52C" w14:textId="77777777" w:rsidR="002A31C2" w:rsidRPr="00407D80" w:rsidRDefault="002A31C2" w:rsidP="008C0001">
      <w:pPr>
        <w:bidi/>
        <w:spacing w:line="276" w:lineRule="auto"/>
        <w:rPr>
          <w:rFonts w:asciiTheme="minorBidi" w:hAnsiTheme="minorBidi"/>
          <w:rtl/>
        </w:rPr>
      </w:pPr>
    </w:p>
    <w:p w14:paraId="2DDD4034" w14:textId="77777777" w:rsidR="002A31C2" w:rsidRPr="00407D80" w:rsidRDefault="002A31C2" w:rsidP="008C0001">
      <w:pPr>
        <w:bidi/>
        <w:spacing w:line="276" w:lineRule="auto"/>
        <w:rPr>
          <w:rFonts w:asciiTheme="minorBidi" w:hAnsiTheme="minorBidi"/>
          <w:rtl/>
        </w:rPr>
      </w:pPr>
    </w:p>
    <w:p w14:paraId="0287FC1C" w14:textId="5A89042B" w:rsidR="002A31C2" w:rsidRPr="00407D80" w:rsidRDefault="002A31C2" w:rsidP="008C0001">
      <w:pPr>
        <w:pStyle w:val="ListParagraph"/>
        <w:numPr>
          <w:ilvl w:val="0"/>
          <w:numId w:val="9"/>
        </w:numPr>
        <w:bidi/>
        <w:spacing w:line="276" w:lineRule="auto"/>
        <w:rPr>
          <w:rFonts w:asciiTheme="minorBidi" w:hAnsiTheme="minorBidi"/>
          <w:rtl/>
        </w:rPr>
      </w:pPr>
      <w:proofErr w:type="gramStart"/>
      <w:r w:rsidRPr="00407D80">
        <w:rPr>
          <w:rFonts w:asciiTheme="minorBidi" w:hAnsiTheme="minorBidi"/>
          <w:rtl/>
        </w:rPr>
        <w:t xml:space="preserve">دراسة </w:t>
      </w:r>
      <w:r w:rsidRPr="00407D80">
        <w:rPr>
          <w:rFonts w:asciiTheme="minorBidi" w:hAnsiTheme="minorBidi"/>
        </w:rPr>
        <w:t xml:space="preserve"> Saura</w:t>
      </w:r>
      <w:proofErr w:type="gramEnd"/>
      <w:r w:rsidRPr="00407D80">
        <w:rPr>
          <w:rFonts w:asciiTheme="minorBidi" w:hAnsiTheme="minorBidi"/>
        </w:rPr>
        <w:t xml:space="preserve"> (202</w:t>
      </w:r>
      <w:r w:rsidR="00144AA6" w:rsidRPr="00407D80">
        <w:rPr>
          <w:rFonts w:asciiTheme="minorBidi" w:hAnsiTheme="minorBidi"/>
          <w:lang w:val="en-US"/>
        </w:rPr>
        <w:t>1</w:t>
      </w:r>
      <w:r w:rsidRPr="00407D80">
        <w:rPr>
          <w:rFonts w:asciiTheme="minorBidi" w:hAnsiTheme="minorBidi"/>
        </w:rPr>
        <w:t>)</w:t>
      </w:r>
      <w:r w:rsidRPr="00407D80">
        <w:rPr>
          <w:rFonts w:asciiTheme="minorBidi" w:hAnsiTheme="minorBidi"/>
          <w:rtl/>
        </w:rPr>
        <w:t xml:space="preserve"> </w:t>
      </w:r>
      <w:r w:rsidR="00CA6BE6" w:rsidRPr="00407D80">
        <w:rPr>
          <w:rFonts w:asciiTheme="minorBidi" w:hAnsiTheme="minorBidi"/>
          <w:rtl/>
        </w:rPr>
        <w:t>"</w:t>
      </w:r>
      <w:r w:rsidRPr="00407D80">
        <w:rPr>
          <w:rFonts w:asciiTheme="minorBidi" w:hAnsiTheme="minorBidi"/>
          <w:rtl/>
        </w:rPr>
        <w:t>استخدام علوم البيانات في التسويق الرقمي: الإطار والأساليب ومؤشرات الأداء</w:t>
      </w:r>
      <w:r w:rsidR="00CA6BE6" w:rsidRPr="00407D80">
        <w:rPr>
          <w:rFonts w:asciiTheme="minorBidi" w:hAnsiTheme="minorBidi"/>
          <w:rtl/>
        </w:rPr>
        <w:t>"</w:t>
      </w:r>
    </w:p>
    <w:p w14:paraId="35DF5D58" w14:textId="77777777" w:rsidR="002A31C2" w:rsidRPr="00407D80" w:rsidRDefault="002A31C2" w:rsidP="008C0001">
      <w:pPr>
        <w:bidi/>
        <w:spacing w:line="276" w:lineRule="auto"/>
        <w:rPr>
          <w:rFonts w:asciiTheme="minorBidi" w:hAnsiTheme="minorBidi"/>
        </w:rPr>
      </w:pPr>
      <w:r w:rsidRPr="00407D80">
        <w:rPr>
          <w:rFonts w:asciiTheme="minorBidi" w:hAnsiTheme="minorBidi"/>
        </w:rPr>
        <w:t>(Using Data Sciences in Digital Marketing: Framework, Methods, and Performance Metrics).</w:t>
      </w:r>
    </w:p>
    <w:p w14:paraId="550CC206" w14:textId="77777777" w:rsidR="002A31C2" w:rsidRPr="00407D80" w:rsidRDefault="002A31C2" w:rsidP="008C0001">
      <w:pPr>
        <w:bidi/>
        <w:spacing w:line="276" w:lineRule="auto"/>
        <w:rPr>
          <w:rFonts w:asciiTheme="minorBidi" w:hAnsiTheme="minorBidi"/>
          <w:rtl/>
        </w:rPr>
      </w:pPr>
    </w:p>
    <w:p w14:paraId="6E664D43" w14:textId="3AD2CDF0" w:rsidR="002A31C2"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Saura (202</w:t>
      </w:r>
      <w:r w:rsidR="00144AA6" w:rsidRPr="00407D80">
        <w:rPr>
          <w:rFonts w:asciiTheme="minorBidi" w:hAnsiTheme="minorBidi"/>
          <w:lang w:val="en-US"/>
        </w:rPr>
        <w:t>1</w:t>
      </w:r>
      <w:r w:rsidR="00CA6BE6" w:rsidRPr="00407D80">
        <w:rPr>
          <w:rFonts w:asciiTheme="minorBidi" w:hAnsiTheme="minorBidi"/>
          <w:lang w:val="en-US"/>
        </w:rPr>
        <w:t>)</w:t>
      </w:r>
      <w:r w:rsidRPr="00407D80">
        <w:rPr>
          <w:rFonts w:asciiTheme="minorBidi" w:hAnsiTheme="minorBidi"/>
          <w:rtl/>
        </w:rPr>
        <w:t xml:space="preserve"> بعنوان: </w:t>
      </w:r>
      <w:r w:rsidR="00CA6BE6" w:rsidRPr="00407D80">
        <w:rPr>
          <w:rFonts w:asciiTheme="minorBidi" w:hAnsiTheme="minorBidi"/>
          <w:lang w:val="en-US"/>
        </w:rPr>
        <w:t>"</w:t>
      </w:r>
      <w:r w:rsidRPr="00407D80">
        <w:rPr>
          <w:rFonts w:asciiTheme="minorBidi" w:hAnsiTheme="minorBidi"/>
          <w:rtl/>
        </w:rPr>
        <w:t>استخدام علوم البيانات في التسويق الرقمي: الإطار والأساليب ومؤشرات الأداء</w:t>
      </w:r>
      <w:r w:rsidR="00CA6BE6" w:rsidRPr="00407D80">
        <w:rPr>
          <w:rFonts w:asciiTheme="minorBidi" w:hAnsiTheme="minorBidi"/>
          <w:lang w:val="en-US"/>
        </w:rPr>
        <w:t>"</w:t>
      </w:r>
      <w:r w:rsidRPr="00407D80">
        <w:rPr>
          <w:rFonts w:asciiTheme="minorBidi" w:hAnsiTheme="minorBidi"/>
          <w:rtl/>
        </w:rPr>
        <w:t xml:space="preserve"> إلى استعراض دور علوم البيانات وأساليب التحليل المتقدمة في تطوير استراتيجيات التسويق الرقمي وتحسين عملية اتخاذ القرار التسويقي. واعتمدت الدراسة على المنهج التحليلي النظري من خلال مراجعة الأدبيات العلمية المتعلقة باستخدام تقنيات تحليل البيانات مثل التنقيب في البيانات والتعلم الآلي في مجال التسويق الرقمي. وتوصلت الدراسة إلى أن استخدام أدوات تحليل البيانات يسهم في تحويل البيانات الرقمية إلى معلومات استراتيجية يمكن استخدامها في تحسين قرارات الاستهداف والتخصيص التسويقي وتخصيص الموارد التسويقية بصورة أكثر كفاءة.</w:t>
      </w:r>
    </w:p>
    <w:p w14:paraId="05C8E197" w14:textId="77777777" w:rsidR="002A31C2" w:rsidRPr="00407D80" w:rsidRDefault="002A31C2" w:rsidP="008C0001">
      <w:pPr>
        <w:bidi/>
        <w:spacing w:line="276" w:lineRule="auto"/>
        <w:rPr>
          <w:rFonts w:asciiTheme="minorBidi" w:hAnsiTheme="minorBidi"/>
          <w:rtl/>
        </w:rPr>
      </w:pPr>
    </w:p>
    <w:p w14:paraId="6CA46267" w14:textId="77777777" w:rsidR="002A31C2" w:rsidRPr="00407D80" w:rsidRDefault="002A31C2" w:rsidP="008C0001">
      <w:pPr>
        <w:bidi/>
        <w:spacing w:line="276" w:lineRule="auto"/>
        <w:rPr>
          <w:rFonts w:asciiTheme="minorBidi" w:hAnsiTheme="minorBidi"/>
          <w:rtl/>
        </w:rPr>
      </w:pPr>
    </w:p>
    <w:p w14:paraId="078CD39D" w14:textId="62AB0493" w:rsidR="002A31C2" w:rsidRPr="00407D80" w:rsidRDefault="002A31C2" w:rsidP="008C0001">
      <w:pPr>
        <w:pStyle w:val="ListParagraph"/>
        <w:numPr>
          <w:ilvl w:val="0"/>
          <w:numId w:val="9"/>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Ghasemaghaei (2019</w:t>
      </w:r>
      <w:proofErr w:type="gramStart"/>
      <w:r w:rsidRPr="00407D80">
        <w:rPr>
          <w:rFonts w:asciiTheme="minorBidi" w:hAnsiTheme="minorBidi"/>
        </w:rPr>
        <w:t>)</w:t>
      </w:r>
      <w:r w:rsidR="00A6124C" w:rsidRPr="00407D80">
        <w:rPr>
          <w:rFonts w:asciiTheme="minorBidi" w:hAnsiTheme="minorBidi"/>
          <w:lang w:val="en-US"/>
        </w:rPr>
        <w:t xml:space="preserve"> </w:t>
      </w:r>
      <w:r w:rsidRPr="00407D80">
        <w:rPr>
          <w:rFonts w:asciiTheme="minorBidi" w:hAnsiTheme="minorBidi"/>
          <w:rtl/>
        </w:rPr>
        <w:t xml:space="preserve"> </w:t>
      </w:r>
      <w:r w:rsidR="00CA6BE6" w:rsidRPr="00407D80">
        <w:rPr>
          <w:rFonts w:asciiTheme="minorBidi" w:hAnsiTheme="minorBidi"/>
          <w:lang w:val="en-US"/>
        </w:rPr>
        <w:t>"</w:t>
      </w:r>
      <w:proofErr w:type="gramEnd"/>
      <w:r w:rsidRPr="00407D80">
        <w:rPr>
          <w:rFonts w:asciiTheme="minorBidi" w:hAnsiTheme="minorBidi"/>
          <w:rtl/>
        </w:rPr>
        <w:t>هل يمكن للبيانات الضخمة تحسين جودة القرارات في المؤسسات؟ دور جودة البيانات وقدرات التحليل</w:t>
      </w:r>
      <w:r w:rsidR="00CA6BE6" w:rsidRPr="00407D80">
        <w:rPr>
          <w:rFonts w:asciiTheme="minorBidi" w:hAnsiTheme="minorBidi"/>
          <w:lang w:val="en-US"/>
        </w:rPr>
        <w:t>"</w:t>
      </w:r>
    </w:p>
    <w:p w14:paraId="409EF285" w14:textId="1E138B06" w:rsidR="002A31C2" w:rsidRPr="00407D80" w:rsidRDefault="002A31C2" w:rsidP="008C0001">
      <w:pPr>
        <w:bidi/>
        <w:spacing w:line="276" w:lineRule="auto"/>
        <w:rPr>
          <w:rFonts w:asciiTheme="minorBidi" w:hAnsiTheme="minorBidi"/>
        </w:rPr>
      </w:pPr>
      <w:r w:rsidRPr="00407D80">
        <w:rPr>
          <w:rFonts w:asciiTheme="minorBidi" w:hAnsiTheme="minorBidi"/>
        </w:rPr>
        <w:t>(</w:t>
      </w:r>
      <w:r w:rsidR="00144AA6" w:rsidRPr="00407D80">
        <w:rPr>
          <w:rFonts w:asciiTheme="minorBidi" w:hAnsiTheme="minorBidi"/>
        </w:rPr>
        <w:t>Can big data improve firm decision quality? The role of data quality and data diagnosticity</w:t>
      </w:r>
      <w:r w:rsidRPr="00407D80">
        <w:rPr>
          <w:rFonts w:asciiTheme="minorBidi" w:hAnsiTheme="minorBidi"/>
        </w:rPr>
        <w:t>).</w:t>
      </w:r>
    </w:p>
    <w:p w14:paraId="2CCAB2E8" w14:textId="77777777" w:rsidR="002A31C2" w:rsidRPr="00407D80" w:rsidRDefault="002A31C2" w:rsidP="008C0001">
      <w:pPr>
        <w:bidi/>
        <w:spacing w:line="276" w:lineRule="auto"/>
        <w:rPr>
          <w:rFonts w:asciiTheme="minorBidi" w:hAnsiTheme="minorBidi"/>
          <w:rtl/>
        </w:rPr>
      </w:pPr>
    </w:p>
    <w:p w14:paraId="72895F83" w14:textId="7C6626A4" w:rsidR="002A31C2"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Ghasemaghaei (2019</w:t>
      </w:r>
      <w:r w:rsidR="00CA6BE6" w:rsidRPr="00407D80">
        <w:rPr>
          <w:rFonts w:asciiTheme="minorBidi" w:hAnsiTheme="minorBidi"/>
          <w:lang w:val="en-US"/>
        </w:rPr>
        <w:t>)</w:t>
      </w:r>
      <w:r w:rsidRPr="00407D80">
        <w:rPr>
          <w:rFonts w:asciiTheme="minorBidi" w:hAnsiTheme="minorBidi"/>
          <w:rtl/>
        </w:rPr>
        <w:t xml:space="preserve"> بعنوان: </w:t>
      </w:r>
      <w:r w:rsidR="00CA6BE6" w:rsidRPr="00407D80">
        <w:rPr>
          <w:rFonts w:asciiTheme="minorBidi" w:hAnsiTheme="minorBidi"/>
          <w:lang w:val="en-US"/>
        </w:rPr>
        <w:t>"</w:t>
      </w:r>
      <w:r w:rsidRPr="00407D80">
        <w:rPr>
          <w:rFonts w:asciiTheme="minorBidi" w:hAnsiTheme="minorBidi"/>
          <w:rtl/>
        </w:rPr>
        <w:t>هل يمكن للبيانات الضخمة تحسين جودة القرارات في المؤسسات؟ دور جودة البيانات وقدرات التحليل</w:t>
      </w:r>
      <w:r w:rsidR="00CA6BE6" w:rsidRPr="00407D80">
        <w:rPr>
          <w:rFonts w:asciiTheme="minorBidi" w:hAnsiTheme="minorBidi"/>
          <w:lang w:val="en-US"/>
        </w:rPr>
        <w:t>"</w:t>
      </w:r>
      <w:r w:rsidRPr="00407D80">
        <w:rPr>
          <w:rFonts w:asciiTheme="minorBidi" w:hAnsiTheme="minorBidi"/>
          <w:rtl/>
        </w:rPr>
        <w:t xml:space="preserve"> إلى تحليل تأثير استخدام تحليلات البيانات الضخمة على جودة القرارات الإدارية داخل المؤسسات. واعتمدت الدراسة على المنهج التحليلي التطبيقي من خلال تحليل بيانات تم جمعها من عدد من الشركات التي تستخدم أدوات تحليل البيانات في أنشطتها التسويقية. وتوصلت نتائج الدراسة إلى أن توفر بيانات دقيقة وموثوقة إلى جانب امتلاك المؤسسات لقدرات تحليلية متقدمة يسهم بشكل كبير في تحسين جودة القرارات الإدارية والتسويقية، خصوصًا فيما يتعلق بتخصيص الموارد وتطوير الاستراتيجيات التسويقية المبنية على البيانات.</w:t>
      </w:r>
    </w:p>
    <w:p w14:paraId="050A729B" w14:textId="77777777" w:rsidR="002A31C2" w:rsidRPr="00407D80" w:rsidRDefault="002A31C2" w:rsidP="008C0001">
      <w:pPr>
        <w:bidi/>
        <w:spacing w:line="276" w:lineRule="auto"/>
        <w:rPr>
          <w:rFonts w:asciiTheme="minorBidi" w:hAnsiTheme="minorBidi"/>
          <w:rtl/>
        </w:rPr>
      </w:pPr>
    </w:p>
    <w:p w14:paraId="3C57E821" w14:textId="77777777" w:rsidR="002A31C2" w:rsidRPr="00407D80" w:rsidRDefault="002A31C2" w:rsidP="008C0001">
      <w:pPr>
        <w:bidi/>
        <w:spacing w:line="276" w:lineRule="auto"/>
        <w:rPr>
          <w:rFonts w:asciiTheme="minorBidi" w:hAnsiTheme="minorBidi"/>
          <w:rtl/>
        </w:rPr>
      </w:pPr>
    </w:p>
    <w:p w14:paraId="5344E616" w14:textId="38D57DC1" w:rsidR="002A31C2" w:rsidRPr="00407D80" w:rsidRDefault="002A31C2" w:rsidP="008C0001">
      <w:pPr>
        <w:pStyle w:val="ListParagraph"/>
        <w:numPr>
          <w:ilvl w:val="0"/>
          <w:numId w:val="9"/>
        </w:numPr>
        <w:bidi/>
        <w:spacing w:line="276" w:lineRule="auto"/>
        <w:rPr>
          <w:rFonts w:asciiTheme="minorBidi" w:hAnsiTheme="minorBidi"/>
          <w:rtl/>
        </w:rPr>
      </w:pPr>
      <w:r w:rsidRPr="00407D80">
        <w:rPr>
          <w:rFonts w:asciiTheme="minorBidi" w:hAnsiTheme="minorBidi"/>
          <w:rtl/>
        </w:rPr>
        <w:t>دراسة</w:t>
      </w:r>
      <w:r w:rsidRPr="00407D80">
        <w:rPr>
          <w:rFonts w:asciiTheme="minorBidi" w:hAnsiTheme="minorBidi"/>
        </w:rPr>
        <w:t xml:space="preserve"> Wedel </w:t>
      </w:r>
      <w:r w:rsidRPr="00407D80">
        <w:rPr>
          <w:rFonts w:asciiTheme="minorBidi" w:hAnsiTheme="minorBidi"/>
          <w:rtl/>
        </w:rPr>
        <w:t>و</w:t>
      </w:r>
      <w:r w:rsidRPr="00407D80">
        <w:rPr>
          <w:rFonts w:asciiTheme="minorBidi" w:hAnsiTheme="minorBidi"/>
        </w:rPr>
        <w:t>Kannan (2016)</w:t>
      </w:r>
      <w:r w:rsidRPr="00407D80">
        <w:rPr>
          <w:rFonts w:asciiTheme="minorBidi" w:hAnsiTheme="minorBidi"/>
          <w:rtl/>
        </w:rPr>
        <w:t xml:space="preserve"> </w:t>
      </w:r>
      <w:r w:rsidR="00CA6BE6" w:rsidRPr="00407D80">
        <w:rPr>
          <w:rFonts w:asciiTheme="minorBidi" w:hAnsiTheme="minorBidi"/>
          <w:lang w:val="en-US"/>
        </w:rPr>
        <w:t>"</w:t>
      </w:r>
      <w:r w:rsidRPr="00407D80">
        <w:rPr>
          <w:rFonts w:asciiTheme="minorBidi" w:hAnsiTheme="minorBidi"/>
          <w:rtl/>
        </w:rPr>
        <w:t>تحليلات التسويق في البيئات الغنية بالبيانات</w:t>
      </w:r>
      <w:r w:rsidR="00CA6BE6" w:rsidRPr="00407D80">
        <w:rPr>
          <w:rFonts w:asciiTheme="minorBidi" w:hAnsiTheme="minorBidi"/>
          <w:lang w:val="en-US"/>
        </w:rPr>
        <w:t>"</w:t>
      </w:r>
    </w:p>
    <w:p w14:paraId="153BAA51" w14:textId="77777777" w:rsidR="002A31C2" w:rsidRPr="00407D80" w:rsidRDefault="002A31C2" w:rsidP="008C0001">
      <w:pPr>
        <w:bidi/>
        <w:spacing w:line="276" w:lineRule="auto"/>
        <w:rPr>
          <w:rFonts w:asciiTheme="minorBidi" w:hAnsiTheme="minorBidi"/>
        </w:rPr>
      </w:pPr>
      <w:r w:rsidRPr="00407D80">
        <w:rPr>
          <w:rFonts w:asciiTheme="minorBidi" w:hAnsiTheme="minorBidi"/>
        </w:rPr>
        <w:t>(Marketing Analytics for Data-Rich Environments).</w:t>
      </w:r>
    </w:p>
    <w:p w14:paraId="2D01B47A" w14:textId="77777777" w:rsidR="002A31C2" w:rsidRPr="00407D80" w:rsidRDefault="002A31C2" w:rsidP="008C0001">
      <w:pPr>
        <w:bidi/>
        <w:spacing w:line="276" w:lineRule="auto"/>
        <w:rPr>
          <w:rFonts w:asciiTheme="minorBidi" w:hAnsiTheme="minorBidi"/>
          <w:rtl/>
        </w:rPr>
      </w:pPr>
    </w:p>
    <w:p w14:paraId="744BFB19" w14:textId="09D42A8C" w:rsidR="002A31C2" w:rsidRPr="00407D80" w:rsidRDefault="002A31C2" w:rsidP="008C0001">
      <w:pPr>
        <w:bidi/>
        <w:spacing w:line="276" w:lineRule="auto"/>
        <w:rPr>
          <w:rFonts w:asciiTheme="minorBidi" w:hAnsiTheme="minorBidi"/>
          <w:rtl/>
        </w:rPr>
      </w:pPr>
      <w:r w:rsidRPr="00407D80">
        <w:rPr>
          <w:rFonts w:asciiTheme="minorBidi" w:hAnsiTheme="minorBidi"/>
          <w:rtl/>
        </w:rPr>
        <w:t xml:space="preserve">هدفت دراسة </w:t>
      </w:r>
      <w:r w:rsidRPr="00407D80">
        <w:rPr>
          <w:rFonts w:asciiTheme="minorBidi" w:hAnsiTheme="minorBidi"/>
        </w:rPr>
        <w:t>Wedel</w:t>
      </w:r>
      <w:r w:rsidRPr="00407D80">
        <w:rPr>
          <w:rFonts w:asciiTheme="minorBidi" w:hAnsiTheme="minorBidi"/>
          <w:rtl/>
        </w:rPr>
        <w:t xml:space="preserve"> و</w:t>
      </w:r>
      <w:r w:rsidRPr="00407D80">
        <w:rPr>
          <w:rFonts w:asciiTheme="minorBidi" w:hAnsiTheme="minorBidi"/>
        </w:rPr>
        <w:t>Kannan (2016</w:t>
      </w:r>
      <w:r w:rsidR="00CA6BE6" w:rsidRPr="00407D80">
        <w:rPr>
          <w:rFonts w:asciiTheme="minorBidi" w:hAnsiTheme="minorBidi"/>
          <w:lang w:val="en-US"/>
        </w:rPr>
        <w:t>)</w:t>
      </w:r>
      <w:r w:rsidRPr="00407D80">
        <w:rPr>
          <w:rFonts w:asciiTheme="minorBidi" w:hAnsiTheme="minorBidi"/>
          <w:rtl/>
        </w:rPr>
        <w:t xml:space="preserve"> بعنوان: </w:t>
      </w:r>
      <w:r w:rsidR="00CA6BE6" w:rsidRPr="00407D80">
        <w:rPr>
          <w:rFonts w:asciiTheme="minorBidi" w:hAnsiTheme="minorBidi"/>
          <w:lang w:val="en-US"/>
        </w:rPr>
        <w:t>"</w:t>
      </w:r>
      <w:r w:rsidRPr="00407D80">
        <w:rPr>
          <w:rFonts w:asciiTheme="minorBidi" w:hAnsiTheme="minorBidi"/>
          <w:rtl/>
        </w:rPr>
        <w:t>تحليلات التسويق في البيئات الغنية بالبيانات</w:t>
      </w:r>
      <w:r w:rsidR="00CA6BE6" w:rsidRPr="00407D80">
        <w:rPr>
          <w:rFonts w:asciiTheme="minorBidi" w:hAnsiTheme="minorBidi"/>
          <w:lang w:val="en-US"/>
        </w:rPr>
        <w:t>"</w:t>
      </w:r>
      <w:r w:rsidRPr="00407D80">
        <w:rPr>
          <w:rFonts w:asciiTheme="minorBidi" w:hAnsiTheme="minorBidi"/>
          <w:rtl/>
        </w:rPr>
        <w:t xml:space="preserve"> إلى توضيح الدور المتزايد لتحليلات التسويق في دعم القرارات التسويقية في ظل توافر كميات كبيرة من البيانات الرقمية. واعتمدت الدراسة على المنهج التحليلي النظري من خلال مراجعة الأدبيات العلمية المتعلقة بتحليلات التسويق واستخدام البيانات الضخمة في </w:t>
      </w:r>
      <w:r w:rsidRPr="00407D80">
        <w:rPr>
          <w:rFonts w:asciiTheme="minorBidi" w:hAnsiTheme="minorBidi"/>
          <w:rtl/>
        </w:rPr>
        <w:lastRenderedPageBreak/>
        <w:t>فهم سلوك المستهلكين وتطوير الاستراتيجيات التسويقية. وتوصلت الدراسة إلى أن تحليلات التسويق أصبحت عنصرًا أساسيًا في عملية اتخاذ القرار داخل المؤسسات، حيث تساعد في تحويل البيانات الرقمية إلى رؤى استراتيجية تدعم قرارات الاستهداف والتخصيص وتخصيص الميزانيات التسويقية بصورة أكثر دقة.</w:t>
      </w:r>
    </w:p>
    <w:p w14:paraId="71E62D53" w14:textId="77777777" w:rsidR="002A31C2" w:rsidRPr="00407D80" w:rsidRDefault="002A31C2" w:rsidP="008C0001">
      <w:pPr>
        <w:bidi/>
        <w:spacing w:line="276" w:lineRule="auto"/>
        <w:rPr>
          <w:rFonts w:asciiTheme="minorBidi" w:hAnsiTheme="minorBidi"/>
          <w:lang w:val="en-US"/>
        </w:rPr>
      </w:pPr>
    </w:p>
    <w:p w14:paraId="687EFDC2" w14:textId="77777777" w:rsidR="002A31C2" w:rsidRPr="00407D80" w:rsidRDefault="002A31C2" w:rsidP="008C0001">
      <w:pPr>
        <w:bidi/>
        <w:spacing w:line="276" w:lineRule="auto"/>
        <w:rPr>
          <w:rFonts w:asciiTheme="minorBidi" w:hAnsiTheme="minorBidi"/>
          <w:rtl/>
        </w:rPr>
      </w:pPr>
    </w:p>
    <w:p w14:paraId="6FB8E978" w14:textId="77777777" w:rsidR="002A31C2" w:rsidRPr="00407D80" w:rsidRDefault="002A31C2" w:rsidP="008C0001">
      <w:pPr>
        <w:bidi/>
        <w:spacing w:line="276" w:lineRule="auto"/>
        <w:rPr>
          <w:rFonts w:asciiTheme="minorBidi" w:hAnsiTheme="minorBidi"/>
          <w:rtl/>
        </w:rPr>
      </w:pPr>
    </w:p>
    <w:p w14:paraId="70D6480C" w14:textId="77777777" w:rsidR="00D70449" w:rsidRPr="00407D80" w:rsidRDefault="00D70449" w:rsidP="008C0001">
      <w:pPr>
        <w:pStyle w:val="Heading1"/>
        <w:bidi/>
        <w:spacing w:line="276" w:lineRule="auto"/>
        <w:rPr>
          <w:rFonts w:cstheme="minorBidi"/>
          <w:b w:val="0"/>
          <w:bCs/>
          <w:rtl/>
        </w:rPr>
      </w:pPr>
      <w:bookmarkStart w:id="11" w:name="_Toc224344397"/>
      <w:bookmarkStart w:id="12" w:name="_Toc224416152"/>
      <w:bookmarkStart w:id="13" w:name="_Toc224420469"/>
      <w:bookmarkStart w:id="14" w:name="_Toc224422449"/>
      <w:bookmarkStart w:id="15" w:name="_Toc228065397"/>
      <w:r w:rsidRPr="00407D80">
        <w:rPr>
          <w:rFonts w:cstheme="minorBidi"/>
          <w:b w:val="0"/>
          <w:bCs/>
          <w:rtl/>
        </w:rPr>
        <w:t>التعليق التحليلي على الدراسات السابقة</w:t>
      </w:r>
      <w:bookmarkEnd w:id="11"/>
      <w:bookmarkEnd w:id="12"/>
      <w:bookmarkEnd w:id="13"/>
      <w:bookmarkEnd w:id="14"/>
      <w:bookmarkEnd w:id="15"/>
    </w:p>
    <w:p w14:paraId="6796EF2A" w14:textId="77777777" w:rsidR="00D70449" w:rsidRPr="00407D80" w:rsidRDefault="00D70449" w:rsidP="008C0001">
      <w:pPr>
        <w:bidi/>
        <w:spacing w:line="276" w:lineRule="auto"/>
        <w:rPr>
          <w:rFonts w:asciiTheme="minorBidi" w:hAnsiTheme="minorBidi"/>
          <w:rtl/>
        </w:rPr>
      </w:pPr>
    </w:p>
    <w:p w14:paraId="5642153E" w14:textId="629E9382" w:rsidR="003B284B" w:rsidRPr="00407D80" w:rsidRDefault="003B284B" w:rsidP="008C0001">
      <w:pPr>
        <w:bidi/>
        <w:spacing w:line="276" w:lineRule="auto"/>
        <w:rPr>
          <w:rFonts w:asciiTheme="minorBidi" w:hAnsiTheme="minorBidi"/>
          <w:rtl/>
        </w:rPr>
      </w:pPr>
      <w:r w:rsidRPr="00407D80">
        <w:rPr>
          <w:rFonts w:asciiTheme="minorBidi" w:hAnsiTheme="minorBidi"/>
          <w:rtl/>
        </w:rPr>
        <w:t>يتضح من خلال استعراض الدراسات السابقة أن موضوع مؤشرات الأداء في الإعلانات الرقمية يحظى باهتمام متزايد في الأدبيات التسويقية الحديثة، نظراً للدور المتنامي الذي تلعبه الإعلانات الرقمية في استراتيجيات التسويق المعاصرة. فقد ركزت العديد من الدراسات على تحليل مؤشرات الأداء المستخدمة في تقييم الحملات الإعلانية الرقمية، مثل معدل النقر</w:t>
      </w:r>
      <w:r w:rsidRPr="00407D80">
        <w:rPr>
          <w:rFonts w:asciiTheme="minorBidi" w:hAnsiTheme="minorBidi"/>
        </w:rPr>
        <w:t xml:space="preserve"> (CTR)</w:t>
      </w:r>
      <w:r w:rsidRPr="00407D80">
        <w:rPr>
          <w:rFonts w:asciiTheme="minorBidi" w:hAnsiTheme="minorBidi"/>
          <w:rtl/>
        </w:rPr>
        <w:t>، وتكلفة النقرة</w:t>
      </w:r>
      <w:r w:rsidRPr="00407D80">
        <w:rPr>
          <w:rFonts w:asciiTheme="minorBidi" w:hAnsiTheme="minorBidi"/>
        </w:rPr>
        <w:t xml:space="preserve"> (CPC</w:t>
      </w:r>
      <w:proofErr w:type="gramStart"/>
      <w:r w:rsidRPr="00407D80">
        <w:rPr>
          <w:rFonts w:asciiTheme="minorBidi" w:hAnsiTheme="minorBidi"/>
        </w:rPr>
        <w:t>)</w:t>
      </w:r>
      <w:r w:rsidR="00CA6BE6" w:rsidRPr="00407D80">
        <w:rPr>
          <w:rFonts w:asciiTheme="minorBidi" w:hAnsiTheme="minorBidi"/>
          <w:lang w:val="en-US"/>
        </w:rPr>
        <w:t xml:space="preserve"> </w:t>
      </w:r>
      <w:r w:rsidRPr="00407D80">
        <w:rPr>
          <w:rFonts w:asciiTheme="minorBidi" w:hAnsiTheme="minorBidi"/>
          <w:rtl/>
        </w:rPr>
        <w:t>،</w:t>
      </w:r>
      <w:proofErr w:type="gramEnd"/>
      <w:r w:rsidRPr="00407D80">
        <w:rPr>
          <w:rFonts w:asciiTheme="minorBidi" w:hAnsiTheme="minorBidi"/>
          <w:rtl/>
        </w:rPr>
        <w:t xml:space="preserve"> ومعدل التحويل</w:t>
      </w:r>
      <w:r w:rsidRPr="00407D80">
        <w:rPr>
          <w:rFonts w:asciiTheme="minorBidi" w:hAnsiTheme="minorBidi"/>
        </w:rPr>
        <w:t xml:space="preserve"> (Conversion Rate)</w:t>
      </w:r>
      <w:r w:rsidR="00CA6BE6" w:rsidRPr="00407D80">
        <w:rPr>
          <w:rFonts w:asciiTheme="minorBidi" w:hAnsiTheme="minorBidi"/>
          <w:lang w:val="en-US"/>
        </w:rPr>
        <w:t xml:space="preserve"> </w:t>
      </w:r>
      <w:r w:rsidRPr="00407D80">
        <w:rPr>
          <w:rFonts w:asciiTheme="minorBidi" w:hAnsiTheme="minorBidi"/>
          <w:rtl/>
        </w:rPr>
        <w:t>، والعائد على الإنفاق الإعلاني</w:t>
      </w:r>
      <w:r w:rsidRPr="00407D80">
        <w:rPr>
          <w:rFonts w:asciiTheme="minorBidi" w:hAnsiTheme="minorBidi"/>
        </w:rPr>
        <w:t xml:space="preserve"> (ROAS)</w:t>
      </w:r>
      <w:r w:rsidR="00CA6BE6" w:rsidRPr="00407D80">
        <w:rPr>
          <w:rFonts w:asciiTheme="minorBidi" w:hAnsiTheme="minorBidi"/>
          <w:lang w:val="en-US"/>
        </w:rPr>
        <w:t xml:space="preserve"> </w:t>
      </w:r>
      <w:r w:rsidRPr="00407D80">
        <w:rPr>
          <w:rFonts w:asciiTheme="minorBidi" w:hAnsiTheme="minorBidi"/>
          <w:rtl/>
        </w:rPr>
        <w:t>، والعائد على الاستثمار</w:t>
      </w:r>
      <w:r w:rsidR="00CA6BE6" w:rsidRPr="00407D80">
        <w:rPr>
          <w:rFonts w:asciiTheme="minorBidi" w:hAnsiTheme="minorBidi"/>
          <w:lang w:val="en-US"/>
        </w:rPr>
        <w:t xml:space="preserve"> </w:t>
      </w:r>
      <w:r w:rsidRPr="00407D80">
        <w:rPr>
          <w:rFonts w:asciiTheme="minorBidi" w:hAnsiTheme="minorBidi"/>
        </w:rPr>
        <w:t xml:space="preserve"> (ROI)</w:t>
      </w:r>
      <w:r w:rsidRPr="00407D80">
        <w:rPr>
          <w:rFonts w:asciiTheme="minorBidi" w:hAnsiTheme="minorBidi"/>
          <w:rtl/>
        </w:rPr>
        <w:t>، باعتبارها أدوات مهمة لقياس كفاءة الحملات الإعلانية وتحليل نتائجها التسويقية</w:t>
      </w:r>
      <w:r w:rsidRPr="00407D80">
        <w:rPr>
          <w:rFonts w:asciiTheme="minorBidi" w:hAnsiTheme="minorBidi"/>
        </w:rPr>
        <w:t>.</w:t>
      </w:r>
    </w:p>
    <w:p w14:paraId="4035D70C" w14:textId="77777777" w:rsidR="003B284B" w:rsidRPr="00407D80" w:rsidRDefault="003B284B" w:rsidP="008C0001">
      <w:pPr>
        <w:bidi/>
        <w:spacing w:line="276" w:lineRule="auto"/>
        <w:rPr>
          <w:rFonts w:asciiTheme="minorBidi" w:hAnsiTheme="minorBidi"/>
          <w:rtl/>
        </w:rPr>
      </w:pPr>
    </w:p>
    <w:p w14:paraId="6C87B3EF"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كما أشارت مجموعة من الدراسات إلى الدور المتزايد للتحليلات التسويقية والبيانات الرقمية في دعم عملية اتخاذ القرار التسويقي داخل المؤسسات، حيث تساعد هذه البيانات المسوقين ومديري الحملات الإعلانية على فهم أداء الحملات الإعلانية بشكل أفضل، وتحديد نقاط القوة والضعف فيها، واتخاذ القرارات المناسبة المتعلقة بتحسين الاستراتيجيات التسويقية أو إعادة توزيع الميزانيات الإعلانية</w:t>
      </w:r>
      <w:r w:rsidRPr="00407D80">
        <w:rPr>
          <w:rFonts w:asciiTheme="minorBidi" w:hAnsiTheme="minorBidi"/>
        </w:rPr>
        <w:t>.</w:t>
      </w:r>
    </w:p>
    <w:p w14:paraId="2D0ECA17" w14:textId="77777777" w:rsidR="003B284B" w:rsidRPr="00407D80" w:rsidRDefault="003B284B" w:rsidP="008C0001">
      <w:pPr>
        <w:bidi/>
        <w:spacing w:line="276" w:lineRule="auto"/>
        <w:rPr>
          <w:rFonts w:asciiTheme="minorBidi" w:hAnsiTheme="minorBidi"/>
          <w:rtl/>
        </w:rPr>
      </w:pPr>
    </w:p>
    <w:p w14:paraId="2B6BAE59"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وفي المقابل، أوضحت بعض الدراسات أن الاعتماد المتزايد على البيانات والمؤشرات الرقمية في تقييم الأداء التسويقي قد يواجه عدداً من التحديات، خاصة في ظل تعدد مصادر البيانات واختلاف طرق قياس الأداء بين المنصات الرقمية المختلفة. فقد تختلف آليات احتساب مؤشرات الأداء بين منصات الإعلانات الرقمية نتيجة اختلاف نماذج التتبع ونوافذ الإسناد وأساليب احتساب التحويلات، الأمر الذي قد يؤدي إلى اختلاف النتائج التي تقدمها هذه المنصات حول أداء الحملات الإعلانية</w:t>
      </w:r>
      <w:r w:rsidRPr="00407D80">
        <w:rPr>
          <w:rFonts w:asciiTheme="minorBidi" w:hAnsiTheme="minorBidi"/>
        </w:rPr>
        <w:t>.</w:t>
      </w:r>
    </w:p>
    <w:p w14:paraId="5D0C4593" w14:textId="77777777" w:rsidR="003B284B" w:rsidRPr="00407D80" w:rsidRDefault="003B284B" w:rsidP="008C0001">
      <w:pPr>
        <w:bidi/>
        <w:spacing w:line="276" w:lineRule="auto"/>
        <w:rPr>
          <w:rFonts w:asciiTheme="minorBidi" w:hAnsiTheme="minorBidi"/>
          <w:rtl/>
        </w:rPr>
      </w:pPr>
    </w:p>
    <w:p w14:paraId="40ECEBAF" w14:textId="3AD60FEA" w:rsidR="003B284B" w:rsidRPr="00407D80" w:rsidRDefault="003B284B" w:rsidP="008C0001">
      <w:pPr>
        <w:bidi/>
        <w:spacing w:line="276" w:lineRule="auto"/>
        <w:rPr>
          <w:rFonts w:asciiTheme="minorBidi" w:hAnsiTheme="minorBidi"/>
          <w:rtl/>
        </w:rPr>
      </w:pPr>
      <w:r w:rsidRPr="00407D80">
        <w:rPr>
          <w:rFonts w:asciiTheme="minorBidi" w:hAnsiTheme="minorBidi"/>
          <w:rtl/>
        </w:rPr>
        <w:t>وعلى الرغم من تناول العديد من الدراسات السابقة لمؤشرات الأداء في الإعلانات الرقمية ودورها في تقييم الحملات الإعلانية، إلا أن معظمها ركز على استخدام هذه المؤشرات في قياس أداء الحملات الإعلانية أو تحليل نتائجها التسويقية، دون التعمق بشكل كافٍ في مدى دقة المؤشرات التي تقدمها منصات الإعلانات الرقمية المختلفة ومدى اعتماد المسوقين عليها في اتخاذ القرارات التسويقية. ومن هنا تأتي أهمية الدراسة الحالية في محاولة تحليل العلاقة بين مؤشرات الأداء في الإعلانات المدفوعة وجودة القرار التسويقي لدى المتخصصين في مجال التسويق الرقمي.</w:t>
      </w:r>
    </w:p>
    <w:p w14:paraId="7CB868C8" w14:textId="77777777" w:rsidR="003B284B" w:rsidRPr="00407D80" w:rsidRDefault="003B284B" w:rsidP="008C0001">
      <w:pPr>
        <w:bidi/>
        <w:spacing w:line="276" w:lineRule="auto"/>
        <w:rPr>
          <w:rFonts w:asciiTheme="minorBidi" w:hAnsiTheme="minorBidi"/>
          <w:rtl/>
        </w:rPr>
      </w:pPr>
    </w:p>
    <w:p w14:paraId="13E9D6CB" w14:textId="285B61C7" w:rsidR="00014BBB" w:rsidRPr="00407D80" w:rsidRDefault="00014BBB" w:rsidP="008C0001">
      <w:pPr>
        <w:pStyle w:val="Heading1"/>
        <w:bidi/>
        <w:spacing w:line="276" w:lineRule="auto"/>
        <w:rPr>
          <w:rFonts w:cstheme="minorBidi"/>
          <w:b w:val="0"/>
          <w:bCs/>
          <w:rtl/>
        </w:rPr>
      </w:pPr>
      <w:bookmarkStart w:id="16" w:name="_Toc224344398"/>
      <w:bookmarkStart w:id="17" w:name="_Toc224416153"/>
      <w:bookmarkStart w:id="18" w:name="_Toc224420470"/>
      <w:bookmarkStart w:id="19" w:name="_Toc224422450"/>
      <w:bookmarkStart w:id="20" w:name="_Toc228065398"/>
      <w:r w:rsidRPr="00407D80">
        <w:rPr>
          <w:rFonts w:cstheme="minorBidi"/>
          <w:b w:val="0"/>
          <w:bCs/>
          <w:rtl/>
        </w:rPr>
        <w:t>مشكلة الدراسة</w:t>
      </w:r>
      <w:bookmarkEnd w:id="16"/>
      <w:bookmarkEnd w:id="17"/>
      <w:bookmarkEnd w:id="18"/>
      <w:bookmarkEnd w:id="19"/>
      <w:bookmarkEnd w:id="20"/>
    </w:p>
    <w:p w14:paraId="0CE1F401" w14:textId="77777777" w:rsidR="00014BBB" w:rsidRPr="00407D80" w:rsidRDefault="00014BBB" w:rsidP="008C0001">
      <w:pPr>
        <w:bidi/>
        <w:spacing w:line="276" w:lineRule="auto"/>
        <w:rPr>
          <w:rFonts w:asciiTheme="minorBidi" w:hAnsiTheme="minorBidi"/>
          <w:rtl/>
        </w:rPr>
      </w:pPr>
    </w:p>
    <w:p w14:paraId="4A304EB6"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أصبحت الإعلانات الرقمية من أهم أدوات التسويق التي تعتمد عليها المؤسسات في الترويج لمنتجاتها وخدماتها والوصول إلى الجمهور المستهدف، حيث توفر منصات الإعلانات الرقمية مجموعة واسعة من مؤشرات الأداء التي تساعد المسوقين على تقييم أداء الحملات الإعلانية وتحليل نتائجها. وتعد هذه المؤشرات من الأدوات الأساسية التي يعتمد عليها المسوقون في اتخاذ القرارات المتعلقة بإدارة الحملات الإعلانية وتحسين أدائها</w:t>
      </w:r>
      <w:r w:rsidRPr="00407D80">
        <w:rPr>
          <w:rFonts w:asciiTheme="minorBidi" w:hAnsiTheme="minorBidi"/>
        </w:rPr>
        <w:t>.</w:t>
      </w:r>
    </w:p>
    <w:p w14:paraId="3A488B76" w14:textId="77777777" w:rsidR="003B284B" w:rsidRPr="00407D80" w:rsidRDefault="003B284B" w:rsidP="008C0001">
      <w:pPr>
        <w:bidi/>
        <w:spacing w:line="276" w:lineRule="auto"/>
        <w:rPr>
          <w:rFonts w:asciiTheme="minorBidi" w:hAnsiTheme="minorBidi"/>
          <w:rtl/>
        </w:rPr>
      </w:pPr>
    </w:p>
    <w:p w14:paraId="0C1B0490"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lastRenderedPageBreak/>
        <w:t>ويعتمد المسوقون ومديرو الحملات الإعلانية بشكل متزايد على مؤشرات الأداء التي توفرها منصات الإعلانات الرقمية مثل معدل النقر وتكلفة النقرة ومعدل التحويل والعائد على الإنفاق الإعلاني، وذلك لتقييم فعالية الحملات الإعلانية وتحديد مدى نجاحها في تحقيق الأهداف التسويقية. إلا أن الاعتماد الكبير على هذه المؤشرات يثير تساؤلات حول مدى دقتها في تمثيل الأداء الحقيقي للحملات الإعلانية</w:t>
      </w:r>
      <w:r w:rsidRPr="00407D80">
        <w:rPr>
          <w:rFonts w:asciiTheme="minorBidi" w:hAnsiTheme="minorBidi"/>
        </w:rPr>
        <w:t>.</w:t>
      </w:r>
    </w:p>
    <w:p w14:paraId="038AC1DD" w14:textId="77777777" w:rsidR="003B284B" w:rsidRPr="00407D80" w:rsidRDefault="003B284B" w:rsidP="008C0001">
      <w:pPr>
        <w:bidi/>
        <w:spacing w:line="276" w:lineRule="auto"/>
        <w:rPr>
          <w:rFonts w:asciiTheme="minorBidi" w:hAnsiTheme="minorBidi"/>
          <w:rtl/>
        </w:rPr>
      </w:pPr>
    </w:p>
    <w:p w14:paraId="7D3BDB93"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كما أن اختلاف آليات احتساب مؤشرات الأداء بين منصات الإعلانات الرقمية المختلفة نتيجة اختلاف نماذج التتبع ونوافذ الإسناد وأساليب احتساب التحويلات قد يؤدي إلى اختلاف النتائج التي تقدمها هذه المنصات حول أداء الحملات الإعلانية، الأمر الذي قد يؤثر على تفسير المسوقين لهذه البيانات وعلى جودة القرارات التسويقية التي يتم اتخاذها بناءً عليها</w:t>
      </w:r>
      <w:r w:rsidRPr="00407D80">
        <w:rPr>
          <w:rFonts w:asciiTheme="minorBidi" w:hAnsiTheme="minorBidi"/>
        </w:rPr>
        <w:t>.</w:t>
      </w:r>
    </w:p>
    <w:p w14:paraId="7C63A19E" w14:textId="77777777" w:rsidR="003B284B" w:rsidRPr="00407D80" w:rsidRDefault="003B284B" w:rsidP="008C0001">
      <w:pPr>
        <w:bidi/>
        <w:spacing w:line="276" w:lineRule="auto"/>
        <w:rPr>
          <w:rFonts w:asciiTheme="minorBidi" w:hAnsiTheme="minorBidi"/>
          <w:rtl/>
        </w:rPr>
      </w:pPr>
    </w:p>
    <w:p w14:paraId="10941FBF" w14:textId="153C171F" w:rsidR="00D70449" w:rsidRPr="00407D80" w:rsidRDefault="003B284B" w:rsidP="008C0001">
      <w:pPr>
        <w:bidi/>
        <w:spacing w:line="276" w:lineRule="auto"/>
        <w:rPr>
          <w:rFonts w:asciiTheme="minorBidi" w:hAnsiTheme="minorBidi"/>
          <w:rtl/>
        </w:rPr>
      </w:pPr>
      <w:r w:rsidRPr="00407D80">
        <w:rPr>
          <w:rFonts w:asciiTheme="minorBidi" w:hAnsiTheme="minorBidi"/>
          <w:rtl/>
        </w:rPr>
        <w:t>ومن هنا تبرز مشكلة الدراسة في محاولة فهم مدى اعتماد المسوقين على مؤشرات الأداء التي توفرها منصات الإعلانات الرقمية في تقييم الحملات الإعلانية واتخاذ القرارات التسويقية، بالإضافة إلى تحليل مدى تأثير هذه المؤشرات على جودة القرارات التسويقية داخل المؤسسات.</w:t>
      </w:r>
    </w:p>
    <w:p w14:paraId="3D4D7367" w14:textId="77777777" w:rsidR="005E5FC8" w:rsidRPr="00407D80" w:rsidRDefault="005E5FC8" w:rsidP="008C0001">
      <w:pPr>
        <w:bidi/>
        <w:spacing w:line="276" w:lineRule="auto"/>
        <w:rPr>
          <w:rFonts w:asciiTheme="minorBidi" w:hAnsiTheme="minorBidi"/>
          <w:rtl/>
        </w:rPr>
      </w:pPr>
    </w:p>
    <w:p w14:paraId="1F12AB76" w14:textId="5F511533" w:rsidR="00D70449" w:rsidRPr="00407D80" w:rsidRDefault="00D70449" w:rsidP="008C0001">
      <w:pPr>
        <w:pStyle w:val="Heading1"/>
        <w:bidi/>
        <w:spacing w:line="276" w:lineRule="auto"/>
        <w:rPr>
          <w:rFonts w:cstheme="minorBidi"/>
          <w:b w:val="0"/>
          <w:bCs/>
          <w:rtl/>
        </w:rPr>
      </w:pPr>
      <w:bookmarkStart w:id="21" w:name="_Toc224344399"/>
      <w:bookmarkStart w:id="22" w:name="_Toc224416154"/>
      <w:bookmarkStart w:id="23" w:name="_Toc224420471"/>
      <w:bookmarkStart w:id="24" w:name="_Toc224422451"/>
      <w:bookmarkStart w:id="25" w:name="_Toc228065399"/>
      <w:r w:rsidRPr="00407D80">
        <w:rPr>
          <w:rFonts w:cstheme="minorBidi"/>
          <w:b w:val="0"/>
          <w:bCs/>
          <w:rtl/>
        </w:rPr>
        <w:t>أهمية الدراسة</w:t>
      </w:r>
      <w:bookmarkEnd w:id="21"/>
      <w:bookmarkEnd w:id="22"/>
      <w:bookmarkEnd w:id="23"/>
      <w:bookmarkEnd w:id="24"/>
      <w:bookmarkEnd w:id="25"/>
    </w:p>
    <w:p w14:paraId="0C0F6EC7" w14:textId="77777777" w:rsidR="00D70449" w:rsidRPr="00407D80" w:rsidRDefault="00D70449" w:rsidP="008C0001">
      <w:pPr>
        <w:bidi/>
        <w:spacing w:line="276" w:lineRule="auto"/>
        <w:rPr>
          <w:rFonts w:asciiTheme="minorBidi" w:hAnsiTheme="minorBidi"/>
          <w:rtl/>
        </w:rPr>
      </w:pPr>
    </w:p>
    <w:p w14:paraId="47197DDE" w14:textId="77777777" w:rsidR="00D70449" w:rsidRPr="00407D80" w:rsidRDefault="00D70449" w:rsidP="008C0001">
      <w:pPr>
        <w:bidi/>
        <w:spacing w:line="276" w:lineRule="auto"/>
        <w:rPr>
          <w:rFonts w:asciiTheme="minorBidi" w:hAnsiTheme="minorBidi"/>
          <w:rtl/>
        </w:rPr>
      </w:pPr>
      <w:r w:rsidRPr="00407D80">
        <w:rPr>
          <w:rFonts w:asciiTheme="minorBidi" w:hAnsiTheme="minorBidi"/>
          <w:rtl/>
        </w:rPr>
        <w:t>تتمثل أهمية هذه الدراسة في تناولها لموضوع مؤشرات الأداء في الإعلانات المدفوعة ودورها في تحسين جودة القرار التسويقي في بيئة التسويق الرقمي، حيث أصبحت المؤسسات تعتمد بشكل متزايد على البيانات والتحليلات الرقمية في تقييم الحملات الإعلانية واتخاذ القرارات التسويقية المختلفة</w:t>
      </w:r>
      <w:r w:rsidRPr="00407D80">
        <w:rPr>
          <w:rFonts w:asciiTheme="minorBidi" w:hAnsiTheme="minorBidi"/>
        </w:rPr>
        <w:t>.</w:t>
      </w:r>
    </w:p>
    <w:p w14:paraId="37FE829E" w14:textId="77777777" w:rsidR="00D70449" w:rsidRPr="00407D80" w:rsidRDefault="00D70449" w:rsidP="008C0001">
      <w:pPr>
        <w:bidi/>
        <w:spacing w:line="276" w:lineRule="auto"/>
        <w:rPr>
          <w:rFonts w:asciiTheme="minorBidi" w:hAnsiTheme="minorBidi"/>
          <w:rtl/>
        </w:rPr>
      </w:pPr>
    </w:p>
    <w:p w14:paraId="39E5C07D" w14:textId="77777777" w:rsidR="00D70449" w:rsidRPr="00407D80" w:rsidRDefault="00D70449" w:rsidP="008C0001">
      <w:pPr>
        <w:bidi/>
        <w:spacing w:line="276" w:lineRule="auto"/>
        <w:rPr>
          <w:rFonts w:asciiTheme="minorBidi" w:hAnsiTheme="minorBidi"/>
          <w:rtl/>
        </w:rPr>
      </w:pPr>
      <w:r w:rsidRPr="00407D80">
        <w:rPr>
          <w:rFonts w:asciiTheme="minorBidi" w:hAnsiTheme="minorBidi"/>
          <w:rtl/>
        </w:rPr>
        <w:t>وتنبع أهمية هذه الدراسة من جانبين رئيسيين هما</w:t>
      </w:r>
      <w:r w:rsidRPr="00407D80">
        <w:rPr>
          <w:rFonts w:asciiTheme="minorBidi" w:hAnsiTheme="minorBidi"/>
        </w:rPr>
        <w:t>:</w:t>
      </w:r>
    </w:p>
    <w:p w14:paraId="3E165420" w14:textId="77777777" w:rsidR="00D70449" w:rsidRPr="00407D80" w:rsidRDefault="00D70449" w:rsidP="008C0001">
      <w:pPr>
        <w:bidi/>
        <w:spacing w:line="276" w:lineRule="auto"/>
        <w:rPr>
          <w:rFonts w:asciiTheme="minorBidi" w:hAnsiTheme="minorBidi"/>
          <w:rtl/>
        </w:rPr>
      </w:pPr>
    </w:p>
    <w:p w14:paraId="79A62BDC" w14:textId="77777777" w:rsidR="00D70449" w:rsidRPr="00407D80" w:rsidRDefault="00D70449" w:rsidP="008C0001">
      <w:pPr>
        <w:bidi/>
        <w:spacing w:line="276" w:lineRule="auto"/>
        <w:rPr>
          <w:rFonts w:asciiTheme="minorBidi" w:hAnsiTheme="minorBidi"/>
          <w:rtl/>
        </w:rPr>
      </w:pPr>
      <w:r w:rsidRPr="00407D80">
        <w:rPr>
          <w:rFonts w:asciiTheme="minorBidi" w:hAnsiTheme="minorBidi"/>
          <w:rtl/>
        </w:rPr>
        <w:t>الأهمية النظرية</w:t>
      </w:r>
      <w:r w:rsidRPr="00407D80">
        <w:rPr>
          <w:rFonts w:asciiTheme="minorBidi" w:hAnsiTheme="minorBidi"/>
        </w:rPr>
        <w:t>:</w:t>
      </w:r>
    </w:p>
    <w:p w14:paraId="0A07AC6B" w14:textId="77777777" w:rsidR="00D70449" w:rsidRPr="00407D80" w:rsidRDefault="00D70449" w:rsidP="008C0001">
      <w:pPr>
        <w:bidi/>
        <w:spacing w:line="276" w:lineRule="auto"/>
        <w:rPr>
          <w:rFonts w:asciiTheme="minorBidi" w:hAnsiTheme="minorBidi"/>
          <w:rtl/>
        </w:rPr>
      </w:pPr>
    </w:p>
    <w:p w14:paraId="76ED87C3" w14:textId="1CB9DDD1" w:rsidR="00D70449" w:rsidRPr="00407D80" w:rsidRDefault="00D70449" w:rsidP="008C0001">
      <w:pPr>
        <w:bidi/>
        <w:spacing w:line="276" w:lineRule="auto"/>
        <w:rPr>
          <w:rFonts w:asciiTheme="minorBidi" w:hAnsiTheme="minorBidi"/>
          <w:rtl/>
        </w:rPr>
      </w:pPr>
      <w:r w:rsidRPr="00407D80">
        <w:rPr>
          <w:rFonts w:asciiTheme="minorBidi" w:hAnsiTheme="minorBidi"/>
          <w:rtl/>
        </w:rPr>
        <w:t>تسهم هذه الدراسة في إثراء الأدبيات العلمية في مجال التسويق الرقمي من خلال تحليل العلاقة بين مؤشرات الأداء في الإعلانات المدفوعة وجودة القرار التسويقي، كما تقدم إطارًا علميًا يساعد على فهم كيفية توظيف مؤشرات الأداء الرقمية مثل معدل النقر إلى الظهور</w:t>
      </w:r>
      <w:r w:rsidRPr="00407D80">
        <w:rPr>
          <w:rFonts w:asciiTheme="minorBidi" w:hAnsiTheme="minorBidi"/>
        </w:rPr>
        <w:t xml:space="preserve"> (CTR</w:t>
      </w:r>
      <w:proofErr w:type="gramStart"/>
      <w:r w:rsidRPr="00407D80">
        <w:rPr>
          <w:rFonts w:asciiTheme="minorBidi" w:hAnsiTheme="minorBidi"/>
        </w:rPr>
        <w:t>)</w:t>
      </w:r>
      <w:r w:rsidR="002D4DD9" w:rsidRPr="00407D80">
        <w:rPr>
          <w:rFonts w:asciiTheme="minorBidi" w:hAnsiTheme="minorBidi"/>
          <w:lang w:val="en-US"/>
        </w:rPr>
        <w:t xml:space="preserve"> </w:t>
      </w:r>
      <w:r w:rsidRPr="00407D80">
        <w:rPr>
          <w:rFonts w:asciiTheme="minorBidi" w:hAnsiTheme="minorBidi"/>
          <w:rtl/>
        </w:rPr>
        <w:t>،</w:t>
      </w:r>
      <w:proofErr w:type="gramEnd"/>
      <w:r w:rsidRPr="00407D80">
        <w:rPr>
          <w:rFonts w:asciiTheme="minorBidi" w:hAnsiTheme="minorBidi"/>
          <w:rtl/>
        </w:rPr>
        <w:t xml:space="preserve"> وتكلفة النقرة</w:t>
      </w:r>
      <w:r w:rsidRPr="00407D80">
        <w:rPr>
          <w:rFonts w:asciiTheme="minorBidi" w:hAnsiTheme="minorBidi"/>
        </w:rPr>
        <w:t xml:space="preserve"> (CPC)</w:t>
      </w:r>
      <w:r w:rsidR="002D4DD9" w:rsidRPr="00407D80">
        <w:rPr>
          <w:rFonts w:asciiTheme="minorBidi" w:hAnsiTheme="minorBidi"/>
          <w:lang w:val="en-US"/>
        </w:rPr>
        <w:t xml:space="preserve"> </w:t>
      </w:r>
      <w:r w:rsidRPr="00407D80">
        <w:rPr>
          <w:rFonts w:asciiTheme="minorBidi" w:hAnsiTheme="minorBidi"/>
          <w:rtl/>
        </w:rPr>
        <w:t>، ومعدل التحويل</w:t>
      </w:r>
      <w:r w:rsidRPr="00407D80">
        <w:rPr>
          <w:rFonts w:asciiTheme="minorBidi" w:hAnsiTheme="minorBidi"/>
        </w:rPr>
        <w:t xml:space="preserve"> (Conversion Rate)</w:t>
      </w:r>
      <w:r w:rsidR="002D4DD9" w:rsidRPr="00407D80">
        <w:rPr>
          <w:rFonts w:asciiTheme="minorBidi" w:hAnsiTheme="minorBidi"/>
          <w:lang w:val="en-US"/>
        </w:rPr>
        <w:t xml:space="preserve"> </w:t>
      </w:r>
      <w:r w:rsidRPr="00407D80">
        <w:rPr>
          <w:rFonts w:asciiTheme="minorBidi" w:hAnsiTheme="minorBidi"/>
          <w:rtl/>
        </w:rPr>
        <w:t>، والعائد على الاستثمار</w:t>
      </w:r>
      <w:r w:rsidRPr="00407D80">
        <w:rPr>
          <w:rFonts w:asciiTheme="minorBidi" w:hAnsiTheme="minorBidi"/>
        </w:rPr>
        <w:t xml:space="preserve"> (ROI) </w:t>
      </w:r>
      <w:r w:rsidRPr="00407D80">
        <w:rPr>
          <w:rFonts w:asciiTheme="minorBidi" w:hAnsiTheme="minorBidi"/>
          <w:rtl/>
        </w:rPr>
        <w:t>في دعم عملية اتخاذ القرار التسويقي</w:t>
      </w:r>
      <w:r w:rsidRPr="00407D80">
        <w:rPr>
          <w:rFonts w:asciiTheme="minorBidi" w:hAnsiTheme="minorBidi"/>
        </w:rPr>
        <w:t>.</w:t>
      </w:r>
    </w:p>
    <w:p w14:paraId="117E32F6" w14:textId="77777777" w:rsidR="00D70449" w:rsidRPr="00407D80" w:rsidRDefault="00D70449" w:rsidP="008C0001">
      <w:pPr>
        <w:bidi/>
        <w:spacing w:line="276" w:lineRule="auto"/>
        <w:rPr>
          <w:rFonts w:asciiTheme="minorBidi" w:hAnsiTheme="minorBidi"/>
          <w:rtl/>
        </w:rPr>
      </w:pPr>
    </w:p>
    <w:p w14:paraId="3175C93B" w14:textId="77777777" w:rsidR="00D70449" w:rsidRPr="00407D80" w:rsidRDefault="00D70449" w:rsidP="008C0001">
      <w:pPr>
        <w:bidi/>
        <w:spacing w:line="276" w:lineRule="auto"/>
        <w:rPr>
          <w:rFonts w:asciiTheme="minorBidi" w:hAnsiTheme="minorBidi"/>
          <w:rtl/>
        </w:rPr>
      </w:pPr>
      <w:r w:rsidRPr="00407D80">
        <w:rPr>
          <w:rFonts w:asciiTheme="minorBidi" w:hAnsiTheme="minorBidi"/>
          <w:rtl/>
        </w:rPr>
        <w:t>الأهمية التطبيقية</w:t>
      </w:r>
      <w:r w:rsidRPr="00407D80">
        <w:rPr>
          <w:rFonts w:asciiTheme="minorBidi" w:hAnsiTheme="minorBidi"/>
        </w:rPr>
        <w:t>:</w:t>
      </w:r>
    </w:p>
    <w:p w14:paraId="17EFEEF0" w14:textId="77777777" w:rsidR="00D70449" w:rsidRPr="00407D80" w:rsidRDefault="00D70449" w:rsidP="008C0001">
      <w:pPr>
        <w:bidi/>
        <w:spacing w:line="276" w:lineRule="auto"/>
        <w:rPr>
          <w:rFonts w:asciiTheme="minorBidi" w:hAnsiTheme="minorBidi"/>
          <w:rtl/>
        </w:rPr>
      </w:pPr>
    </w:p>
    <w:p w14:paraId="1B191622" w14:textId="0EB5A950" w:rsidR="00D70449" w:rsidRPr="00407D80" w:rsidRDefault="00D70449" w:rsidP="008C0001">
      <w:pPr>
        <w:bidi/>
        <w:spacing w:line="276" w:lineRule="auto"/>
        <w:rPr>
          <w:rFonts w:asciiTheme="minorBidi" w:hAnsiTheme="minorBidi"/>
          <w:rtl/>
        </w:rPr>
      </w:pPr>
      <w:r w:rsidRPr="00407D80">
        <w:rPr>
          <w:rFonts w:asciiTheme="minorBidi" w:hAnsiTheme="minorBidi"/>
          <w:rtl/>
        </w:rPr>
        <w:t>تكمن الأهمية التطبيقية لهذه الدراسة في تقديم نتائج يمكن أن يستفيد منها المسوقون ومديرو الحملات الإعلانية الرقمية في المؤسسات المختلفة، حيث تساعد نتائج الدراسة في توضيح دور مؤشرات الأداء في تحسين جودة القرارات التسويقية المتعلقة بتخصيص الميزانيات الإعلانية وتطوير استراتيجيات التسويق الرقمي وتحسين كفاءة الحملات الإعلانية المدفوعة.</w:t>
      </w:r>
    </w:p>
    <w:p w14:paraId="2ED4EB75" w14:textId="77777777" w:rsidR="00D70449" w:rsidRPr="00407D80" w:rsidRDefault="00D70449" w:rsidP="008C0001">
      <w:pPr>
        <w:bidi/>
        <w:spacing w:line="276" w:lineRule="auto"/>
        <w:rPr>
          <w:rFonts w:asciiTheme="minorBidi" w:hAnsiTheme="minorBidi"/>
          <w:rtl/>
        </w:rPr>
      </w:pPr>
    </w:p>
    <w:p w14:paraId="3F3F0DF9" w14:textId="77777777" w:rsidR="00D70449" w:rsidRPr="00407D80" w:rsidRDefault="00D70449" w:rsidP="008C0001">
      <w:pPr>
        <w:bidi/>
        <w:spacing w:line="276" w:lineRule="auto"/>
        <w:rPr>
          <w:rFonts w:asciiTheme="minorBidi" w:hAnsiTheme="minorBidi"/>
          <w:rtl/>
        </w:rPr>
      </w:pPr>
    </w:p>
    <w:p w14:paraId="340E381B" w14:textId="77777777" w:rsidR="00D70449" w:rsidRPr="00407D80" w:rsidRDefault="00D70449" w:rsidP="008C0001">
      <w:pPr>
        <w:bidi/>
        <w:spacing w:line="276" w:lineRule="auto"/>
        <w:rPr>
          <w:rFonts w:asciiTheme="minorBidi" w:hAnsiTheme="minorBidi"/>
          <w:rtl/>
        </w:rPr>
      </w:pPr>
    </w:p>
    <w:p w14:paraId="15FFFB0D" w14:textId="77777777" w:rsidR="00D70449" w:rsidRPr="00407D80" w:rsidRDefault="00D70449" w:rsidP="008C0001">
      <w:pPr>
        <w:bidi/>
        <w:spacing w:line="276" w:lineRule="auto"/>
        <w:rPr>
          <w:rFonts w:asciiTheme="minorBidi" w:hAnsiTheme="minorBidi"/>
          <w:rtl/>
        </w:rPr>
      </w:pPr>
    </w:p>
    <w:p w14:paraId="52E83515" w14:textId="77777777" w:rsidR="00D70449" w:rsidRPr="00407D80" w:rsidRDefault="00D70449" w:rsidP="008C0001">
      <w:pPr>
        <w:pStyle w:val="Heading1"/>
        <w:bidi/>
        <w:spacing w:line="276" w:lineRule="auto"/>
        <w:rPr>
          <w:rFonts w:cstheme="minorBidi"/>
          <w:b w:val="0"/>
          <w:bCs/>
          <w:rtl/>
        </w:rPr>
      </w:pPr>
      <w:bookmarkStart w:id="26" w:name="_Toc224344400"/>
      <w:bookmarkStart w:id="27" w:name="_Toc224416155"/>
      <w:bookmarkStart w:id="28" w:name="_Toc224420472"/>
      <w:bookmarkStart w:id="29" w:name="_Toc224422452"/>
      <w:bookmarkStart w:id="30" w:name="_Toc228065400"/>
      <w:r w:rsidRPr="00407D80">
        <w:rPr>
          <w:rFonts w:cstheme="minorBidi"/>
          <w:b w:val="0"/>
          <w:bCs/>
          <w:rtl/>
        </w:rPr>
        <w:lastRenderedPageBreak/>
        <w:t>أهداف الدراسة</w:t>
      </w:r>
      <w:bookmarkEnd w:id="26"/>
      <w:bookmarkEnd w:id="27"/>
      <w:bookmarkEnd w:id="28"/>
      <w:bookmarkEnd w:id="29"/>
      <w:bookmarkEnd w:id="30"/>
    </w:p>
    <w:p w14:paraId="3149499C" w14:textId="77777777" w:rsidR="00D70449" w:rsidRPr="00407D80" w:rsidRDefault="00D70449" w:rsidP="008C0001">
      <w:pPr>
        <w:bidi/>
        <w:spacing w:line="276" w:lineRule="auto"/>
        <w:rPr>
          <w:rFonts w:asciiTheme="minorBidi" w:hAnsiTheme="minorBidi"/>
          <w:rtl/>
        </w:rPr>
      </w:pPr>
    </w:p>
    <w:p w14:paraId="66C745C4" w14:textId="77777777" w:rsidR="00C570C3" w:rsidRPr="00407D80" w:rsidRDefault="00C570C3" w:rsidP="008C0001">
      <w:pPr>
        <w:bidi/>
        <w:spacing w:line="276" w:lineRule="auto"/>
        <w:rPr>
          <w:rFonts w:asciiTheme="minorBidi" w:hAnsiTheme="minorBidi"/>
          <w:rtl/>
        </w:rPr>
      </w:pPr>
      <w:r w:rsidRPr="00407D80">
        <w:rPr>
          <w:rFonts w:asciiTheme="minorBidi" w:hAnsiTheme="minorBidi"/>
          <w:rtl/>
        </w:rPr>
        <w:t>تهدف هذه الدراسة إلى تحقيق مجموعة من الأهداف، من أبرزها</w:t>
      </w:r>
      <w:r w:rsidRPr="00407D80">
        <w:rPr>
          <w:rFonts w:asciiTheme="minorBidi" w:hAnsiTheme="minorBidi"/>
        </w:rPr>
        <w:t>:</w:t>
      </w:r>
    </w:p>
    <w:p w14:paraId="29B1F11F" w14:textId="77777777" w:rsidR="00C570C3" w:rsidRPr="00407D80" w:rsidRDefault="00C570C3" w:rsidP="008C0001">
      <w:pPr>
        <w:bidi/>
        <w:spacing w:line="276" w:lineRule="auto"/>
        <w:rPr>
          <w:rFonts w:asciiTheme="minorBidi" w:hAnsiTheme="minorBidi"/>
          <w:rtl/>
        </w:rPr>
      </w:pPr>
    </w:p>
    <w:p w14:paraId="05CC64F2" w14:textId="77777777" w:rsidR="00C570C3" w:rsidRPr="00407D80" w:rsidRDefault="00C570C3" w:rsidP="008C0001">
      <w:pPr>
        <w:bidi/>
        <w:spacing w:line="276" w:lineRule="auto"/>
        <w:rPr>
          <w:rFonts w:asciiTheme="minorBidi" w:hAnsiTheme="minorBidi"/>
          <w:rtl/>
        </w:rPr>
      </w:pPr>
      <w:r w:rsidRPr="00407D80">
        <w:rPr>
          <w:rFonts w:asciiTheme="minorBidi" w:hAnsiTheme="minorBidi"/>
        </w:rPr>
        <w:tab/>
        <w:t>1.</w:t>
      </w:r>
      <w:r w:rsidRPr="00407D80">
        <w:rPr>
          <w:rFonts w:asciiTheme="minorBidi" w:hAnsiTheme="minorBidi"/>
        </w:rPr>
        <w:tab/>
      </w:r>
      <w:r w:rsidRPr="00407D80">
        <w:rPr>
          <w:rFonts w:asciiTheme="minorBidi" w:hAnsiTheme="minorBidi"/>
          <w:rtl/>
        </w:rPr>
        <w:t>التعرف على دور مؤشرات الأداء في الإعلانات المدفوعة في تقييم فعالية الحملات الإعلانية الرقمية</w:t>
      </w:r>
      <w:r w:rsidRPr="00407D80">
        <w:rPr>
          <w:rFonts w:asciiTheme="minorBidi" w:hAnsiTheme="minorBidi"/>
        </w:rPr>
        <w:t>.</w:t>
      </w:r>
    </w:p>
    <w:p w14:paraId="0D494B3E" w14:textId="77777777" w:rsidR="00C570C3" w:rsidRPr="00407D80" w:rsidRDefault="00C570C3" w:rsidP="008C0001">
      <w:pPr>
        <w:bidi/>
        <w:spacing w:line="276" w:lineRule="auto"/>
        <w:rPr>
          <w:rFonts w:asciiTheme="minorBidi" w:hAnsiTheme="minorBidi"/>
          <w:rtl/>
        </w:rPr>
      </w:pPr>
      <w:r w:rsidRPr="00407D80">
        <w:rPr>
          <w:rFonts w:asciiTheme="minorBidi" w:hAnsiTheme="minorBidi"/>
        </w:rPr>
        <w:tab/>
        <w:t>2.</w:t>
      </w:r>
      <w:r w:rsidRPr="00407D80">
        <w:rPr>
          <w:rFonts w:asciiTheme="minorBidi" w:hAnsiTheme="minorBidi"/>
        </w:rPr>
        <w:tab/>
      </w:r>
      <w:r w:rsidRPr="00407D80">
        <w:rPr>
          <w:rFonts w:asciiTheme="minorBidi" w:hAnsiTheme="minorBidi"/>
          <w:rtl/>
        </w:rPr>
        <w:t>تحليل مدى اعتماد المسوقين على مؤشرات الأداء التي تقدمها منصات الإعلانات الرقمية في اتخاذ القرارات التسويقية</w:t>
      </w:r>
      <w:r w:rsidRPr="00407D80">
        <w:rPr>
          <w:rFonts w:asciiTheme="minorBidi" w:hAnsiTheme="minorBidi"/>
        </w:rPr>
        <w:t>.</w:t>
      </w:r>
    </w:p>
    <w:p w14:paraId="4FD84D42" w14:textId="77777777" w:rsidR="00C570C3" w:rsidRPr="00407D80" w:rsidRDefault="00C570C3" w:rsidP="008C0001">
      <w:pPr>
        <w:bidi/>
        <w:spacing w:line="276" w:lineRule="auto"/>
        <w:rPr>
          <w:rFonts w:asciiTheme="minorBidi" w:hAnsiTheme="minorBidi"/>
          <w:rtl/>
        </w:rPr>
      </w:pPr>
      <w:r w:rsidRPr="00407D80">
        <w:rPr>
          <w:rFonts w:asciiTheme="minorBidi" w:hAnsiTheme="minorBidi"/>
        </w:rPr>
        <w:tab/>
        <w:t>3.</w:t>
      </w:r>
      <w:r w:rsidRPr="00407D80">
        <w:rPr>
          <w:rFonts w:asciiTheme="minorBidi" w:hAnsiTheme="minorBidi"/>
        </w:rPr>
        <w:tab/>
      </w:r>
      <w:r w:rsidRPr="00407D80">
        <w:rPr>
          <w:rFonts w:asciiTheme="minorBidi" w:hAnsiTheme="minorBidi"/>
          <w:rtl/>
        </w:rPr>
        <w:t>دراسة مدى دقة مؤشرات الأداء التي توفرها منصات الإعلانات الرقمية في عكس الأداء الحقيقي للحملات الإعلانية</w:t>
      </w:r>
      <w:r w:rsidRPr="00407D80">
        <w:rPr>
          <w:rFonts w:asciiTheme="minorBidi" w:hAnsiTheme="minorBidi"/>
        </w:rPr>
        <w:t>.</w:t>
      </w:r>
    </w:p>
    <w:p w14:paraId="3818BE9C" w14:textId="77777777" w:rsidR="00C570C3" w:rsidRPr="00407D80" w:rsidRDefault="00C570C3" w:rsidP="008C0001">
      <w:pPr>
        <w:bidi/>
        <w:spacing w:line="276" w:lineRule="auto"/>
        <w:rPr>
          <w:rFonts w:asciiTheme="minorBidi" w:hAnsiTheme="minorBidi"/>
          <w:rtl/>
        </w:rPr>
      </w:pPr>
      <w:r w:rsidRPr="00407D80">
        <w:rPr>
          <w:rFonts w:asciiTheme="minorBidi" w:hAnsiTheme="minorBidi"/>
        </w:rPr>
        <w:tab/>
        <w:t>4.</w:t>
      </w:r>
      <w:r w:rsidRPr="00407D80">
        <w:rPr>
          <w:rFonts w:asciiTheme="minorBidi" w:hAnsiTheme="minorBidi"/>
        </w:rPr>
        <w:tab/>
      </w:r>
      <w:r w:rsidRPr="00407D80">
        <w:rPr>
          <w:rFonts w:asciiTheme="minorBidi" w:hAnsiTheme="minorBidi"/>
          <w:rtl/>
        </w:rPr>
        <w:t>تحليل العلاقة بين مؤشرات الأداء في الإعلانات المدفوعة وجودة القرار التسويقي لدى المسوقين</w:t>
      </w:r>
      <w:r w:rsidRPr="00407D80">
        <w:rPr>
          <w:rFonts w:asciiTheme="minorBidi" w:hAnsiTheme="minorBidi"/>
        </w:rPr>
        <w:t>.</w:t>
      </w:r>
    </w:p>
    <w:p w14:paraId="497F133A" w14:textId="28553426" w:rsidR="00D70449" w:rsidRPr="00407D80" w:rsidRDefault="00C570C3" w:rsidP="008C0001">
      <w:pPr>
        <w:bidi/>
        <w:spacing w:line="276" w:lineRule="auto"/>
        <w:rPr>
          <w:rFonts w:asciiTheme="minorBidi" w:hAnsiTheme="minorBidi"/>
          <w:rtl/>
        </w:rPr>
      </w:pPr>
      <w:r w:rsidRPr="00407D80">
        <w:rPr>
          <w:rFonts w:asciiTheme="minorBidi" w:hAnsiTheme="minorBidi"/>
          <w:rtl/>
        </w:rPr>
        <w:tab/>
        <w:t>5.</w:t>
      </w:r>
      <w:r w:rsidRPr="00407D80">
        <w:rPr>
          <w:rFonts w:asciiTheme="minorBidi" w:hAnsiTheme="minorBidi"/>
          <w:rtl/>
        </w:rPr>
        <w:tab/>
        <w:t>التعرف على التحديات التي قد تواجه المسوقين عند الاعتماد على مؤشرات الأداء في تقييم الحملات الإعلانية الرقمية.</w:t>
      </w:r>
    </w:p>
    <w:p w14:paraId="2B118145" w14:textId="376D8519" w:rsidR="00D70449" w:rsidRPr="00407D80" w:rsidRDefault="00D70449" w:rsidP="008C0001">
      <w:pPr>
        <w:bidi/>
        <w:spacing w:line="276" w:lineRule="auto"/>
        <w:rPr>
          <w:rFonts w:asciiTheme="minorBidi" w:hAnsiTheme="minorBidi"/>
          <w:rtl/>
        </w:rPr>
      </w:pPr>
    </w:p>
    <w:p w14:paraId="7DFF220E" w14:textId="77777777" w:rsidR="00D70449" w:rsidRPr="00407D80" w:rsidRDefault="00D70449" w:rsidP="008C0001">
      <w:pPr>
        <w:bidi/>
        <w:spacing w:line="276" w:lineRule="auto"/>
        <w:rPr>
          <w:rFonts w:asciiTheme="minorBidi" w:hAnsiTheme="minorBidi"/>
          <w:rtl/>
        </w:rPr>
      </w:pPr>
    </w:p>
    <w:p w14:paraId="54317594" w14:textId="13C14C9D" w:rsidR="00D70449" w:rsidRPr="00407D80" w:rsidRDefault="00D70449" w:rsidP="008C0001">
      <w:pPr>
        <w:bidi/>
        <w:spacing w:line="276" w:lineRule="auto"/>
        <w:rPr>
          <w:rFonts w:asciiTheme="minorBidi" w:hAnsiTheme="minorBidi"/>
          <w:rtl/>
        </w:rPr>
      </w:pPr>
    </w:p>
    <w:p w14:paraId="42FFDA2F" w14:textId="77777777" w:rsidR="00D70449" w:rsidRPr="00407D80" w:rsidRDefault="00D70449" w:rsidP="008C0001">
      <w:pPr>
        <w:bidi/>
        <w:spacing w:line="276" w:lineRule="auto"/>
        <w:rPr>
          <w:rFonts w:asciiTheme="minorBidi" w:hAnsiTheme="minorBidi"/>
          <w:rtl/>
        </w:rPr>
      </w:pPr>
    </w:p>
    <w:p w14:paraId="59990ECE" w14:textId="77777777" w:rsidR="00D70449" w:rsidRPr="00407D80" w:rsidRDefault="00D70449" w:rsidP="008C0001">
      <w:pPr>
        <w:bidi/>
        <w:spacing w:line="276" w:lineRule="auto"/>
        <w:rPr>
          <w:rFonts w:asciiTheme="minorBidi" w:hAnsiTheme="minorBidi"/>
          <w:rtl/>
        </w:rPr>
      </w:pPr>
    </w:p>
    <w:p w14:paraId="5FD9CD66" w14:textId="77777777" w:rsidR="00D70449" w:rsidRPr="00407D80" w:rsidRDefault="00D70449" w:rsidP="008C0001">
      <w:pPr>
        <w:pStyle w:val="Heading1"/>
        <w:bidi/>
        <w:spacing w:line="276" w:lineRule="auto"/>
        <w:rPr>
          <w:rFonts w:cstheme="minorBidi"/>
          <w:b w:val="0"/>
          <w:bCs/>
          <w:rtl/>
        </w:rPr>
      </w:pPr>
      <w:bookmarkStart w:id="31" w:name="_Toc224344401"/>
      <w:bookmarkStart w:id="32" w:name="_Toc224416156"/>
      <w:bookmarkStart w:id="33" w:name="_Toc224420473"/>
      <w:bookmarkStart w:id="34" w:name="_Toc224422453"/>
      <w:bookmarkStart w:id="35" w:name="_Toc228065401"/>
      <w:r w:rsidRPr="00407D80">
        <w:rPr>
          <w:rFonts w:cstheme="minorBidi"/>
          <w:b w:val="0"/>
          <w:bCs/>
          <w:rtl/>
        </w:rPr>
        <w:t>تساؤلات الدراسة</w:t>
      </w:r>
      <w:bookmarkEnd w:id="31"/>
      <w:bookmarkEnd w:id="32"/>
      <w:bookmarkEnd w:id="33"/>
      <w:bookmarkEnd w:id="34"/>
      <w:bookmarkEnd w:id="35"/>
    </w:p>
    <w:p w14:paraId="41A9B6B8" w14:textId="77777777" w:rsidR="00D70449" w:rsidRPr="00407D80" w:rsidRDefault="00D70449" w:rsidP="008C0001">
      <w:pPr>
        <w:bidi/>
        <w:spacing w:line="276" w:lineRule="auto"/>
        <w:rPr>
          <w:rFonts w:asciiTheme="minorBidi" w:hAnsiTheme="minorBidi"/>
          <w:rtl/>
        </w:rPr>
      </w:pPr>
    </w:p>
    <w:p w14:paraId="799AB89C" w14:textId="77777777" w:rsidR="00C570C3" w:rsidRPr="00407D80" w:rsidRDefault="00C570C3" w:rsidP="008C0001">
      <w:pPr>
        <w:bidi/>
        <w:spacing w:line="276" w:lineRule="auto"/>
        <w:rPr>
          <w:rFonts w:asciiTheme="minorBidi" w:hAnsiTheme="minorBidi"/>
          <w:rtl/>
        </w:rPr>
      </w:pPr>
      <w:r w:rsidRPr="00407D80">
        <w:rPr>
          <w:rFonts w:asciiTheme="minorBidi" w:hAnsiTheme="minorBidi"/>
          <w:rtl/>
        </w:rPr>
        <w:t>تسعى هذه الدراسة إلى الإجابة عن مجموعة من التساؤلات، من أهمها</w:t>
      </w:r>
      <w:r w:rsidRPr="00407D80">
        <w:rPr>
          <w:rFonts w:asciiTheme="minorBidi" w:hAnsiTheme="minorBidi"/>
        </w:rPr>
        <w:t>:</w:t>
      </w:r>
    </w:p>
    <w:p w14:paraId="2617514F" w14:textId="77777777" w:rsidR="00C570C3" w:rsidRPr="00407D80" w:rsidRDefault="00C570C3" w:rsidP="008C0001">
      <w:pPr>
        <w:bidi/>
        <w:spacing w:line="276" w:lineRule="auto"/>
        <w:rPr>
          <w:rFonts w:asciiTheme="minorBidi" w:hAnsiTheme="minorBidi"/>
          <w:rtl/>
        </w:rPr>
      </w:pPr>
    </w:p>
    <w:p w14:paraId="3FA924CB" w14:textId="77777777" w:rsidR="00C570C3" w:rsidRPr="00407D80" w:rsidRDefault="00C570C3" w:rsidP="008C0001">
      <w:pPr>
        <w:bidi/>
        <w:spacing w:line="276" w:lineRule="auto"/>
        <w:rPr>
          <w:rFonts w:asciiTheme="minorBidi" w:hAnsiTheme="minorBidi"/>
          <w:rtl/>
        </w:rPr>
      </w:pPr>
      <w:r w:rsidRPr="00407D80">
        <w:rPr>
          <w:rFonts w:asciiTheme="minorBidi" w:hAnsiTheme="minorBidi"/>
        </w:rPr>
        <w:tab/>
        <w:t>1.</w:t>
      </w:r>
      <w:r w:rsidRPr="00407D80">
        <w:rPr>
          <w:rFonts w:asciiTheme="minorBidi" w:hAnsiTheme="minorBidi"/>
        </w:rPr>
        <w:tab/>
      </w:r>
      <w:r w:rsidRPr="00407D80">
        <w:rPr>
          <w:rFonts w:asciiTheme="minorBidi" w:hAnsiTheme="minorBidi"/>
          <w:rtl/>
        </w:rPr>
        <w:t>ما دور مؤشرات الأداء في تقييم فعالية الحملات الإعلانية الرقمية؟</w:t>
      </w:r>
    </w:p>
    <w:p w14:paraId="56F55DC8" w14:textId="77777777" w:rsidR="00C570C3" w:rsidRPr="00407D80" w:rsidRDefault="00C570C3" w:rsidP="008C0001">
      <w:pPr>
        <w:bidi/>
        <w:spacing w:line="276" w:lineRule="auto"/>
        <w:rPr>
          <w:rFonts w:asciiTheme="minorBidi" w:hAnsiTheme="minorBidi"/>
          <w:rtl/>
        </w:rPr>
      </w:pPr>
      <w:r w:rsidRPr="00407D80">
        <w:rPr>
          <w:rFonts w:asciiTheme="minorBidi" w:hAnsiTheme="minorBidi"/>
        </w:rPr>
        <w:tab/>
        <w:t>2.</w:t>
      </w:r>
      <w:r w:rsidRPr="00407D80">
        <w:rPr>
          <w:rFonts w:asciiTheme="minorBidi" w:hAnsiTheme="minorBidi"/>
        </w:rPr>
        <w:tab/>
      </w:r>
      <w:r w:rsidRPr="00407D80">
        <w:rPr>
          <w:rFonts w:asciiTheme="minorBidi" w:hAnsiTheme="minorBidi"/>
          <w:rtl/>
        </w:rPr>
        <w:t>إلى أي مدى يعتمد المسوقون على مؤشرات الأداء التي تقدمها منصات الإعلانات الرقمية في اتخاذ القرارات التسويقية؟</w:t>
      </w:r>
    </w:p>
    <w:p w14:paraId="1E1B99ED" w14:textId="77777777" w:rsidR="00C570C3" w:rsidRPr="00407D80" w:rsidRDefault="00C570C3" w:rsidP="008C0001">
      <w:pPr>
        <w:bidi/>
        <w:spacing w:line="276" w:lineRule="auto"/>
        <w:rPr>
          <w:rFonts w:asciiTheme="minorBidi" w:hAnsiTheme="minorBidi"/>
          <w:rtl/>
        </w:rPr>
      </w:pPr>
      <w:r w:rsidRPr="00407D80">
        <w:rPr>
          <w:rFonts w:asciiTheme="minorBidi" w:hAnsiTheme="minorBidi"/>
        </w:rPr>
        <w:tab/>
        <w:t>3.</w:t>
      </w:r>
      <w:r w:rsidRPr="00407D80">
        <w:rPr>
          <w:rFonts w:asciiTheme="minorBidi" w:hAnsiTheme="minorBidi"/>
        </w:rPr>
        <w:tab/>
      </w:r>
      <w:r w:rsidRPr="00407D80">
        <w:rPr>
          <w:rFonts w:asciiTheme="minorBidi" w:hAnsiTheme="minorBidi"/>
          <w:rtl/>
        </w:rPr>
        <w:t>ما مدى دقة مؤشرات الأداء التي توفرها منصات الإعلانات الرقمية في عكس الأداء الحقيقي للحملات الإعلانية؟</w:t>
      </w:r>
    </w:p>
    <w:p w14:paraId="23ECCB87" w14:textId="77777777" w:rsidR="00C570C3" w:rsidRPr="00407D80" w:rsidRDefault="00C570C3" w:rsidP="008C0001">
      <w:pPr>
        <w:bidi/>
        <w:spacing w:line="276" w:lineRule="auto"/>
        <w:rPr>
          <w:rFonts w:asciiTheme="minorBidi" w:hAnsiTheme="minorBidi"/>
          <w:rtl/>
        </w:rPr>
      </w:pPr>
      <w:r w:rsidRPr="00407D80">
        <w:rPr>
          <w:rFonts w:asciiTheme="minorBidi" w:hAnsiTheme="minorBidi"/>
        </w:rPr>
        <w:tab/>
        <w:t>4.</w:t>
      </w:r>
      <w:r w:rsidRPr="00407D80">
        <w:rPr>
          <w:rFonts w:asciiTheme="minorBidi" w:hAnsiTheme="minorBidi"/>
        </w:rPr>
        <w:tab/>
      </w:r>
      <w:r w:rsidRPr="00407D80">
        <w:rPr>
          <w:rFonts w:asciiTheme="minorBidi" w:hAnsiTheme="minorBidi"/>
          <w:rtl/>
        </w:rPr>
        <w:t>ما العلاقة بين مؤشرات الأداء في الإعلانات المدفوعة وجودة القرار التسويقي لدى المسوقين؟</w:t>
      </w:r>
    </w:p>
    <w:p w14:paraId="2995759D" w14:textId="4E48B6E2" w:rsidR="00D70449" w:rsidRPr="00407D80" w:rsidRDefault="00C570C3" w:rsidP="008C0001">
      <w:pPr>
        <w:bidi/>
        <w:spacing w:line="276" w:lineRule="auto"/>
        <w:rPr>
          <w:rFonts w:asciiTheme="minorBidi" w:hAnsiTheme="minorBidi"/>
          <w:rtl/>
        </w:rPr>
      </w:pPr>
      <w:r w:rsidRPr="00407D80">
        <w:rPr>
          <w:rFonts w:asciiTheme="minorBidi" w:hAnsiTheme="minorBidi"/>
          <w:rtl/>
        </w:rPr>
        <w:tab/>
        <w:t>5.</w:t>
      </w:r>
      <w:r w:rsidRPr="00407D80">
        <w:rPr>
          <w:rFonts w:asciiTheme="minorBidi" w:hAnsiTheme="minorBidi"/>
          <w:rtl/>
        </w:rPr>
        <w:tab/>
        <w:t>ما أبرز التحديات التي تواجه المسوقين عند الاعتماد على مؤشرات الأداء في تقييم الحملات الإعلانية الرقمية؟</w:t>
      </w:r>
    </w:p>
    <w:p w14:paraId="2148FAA2" w14:textId="77777777" w:rsidR="00D70449" w:rsidRPr="00407D80" w:rsidRDefault="00D70449" w:rsidP="008C0001">
      <w:pPr>
        <w:bidi/>
        <w:spacing w:line="276" w:lineRule="auto"/>
        <w:rPr>
          <w:rFonts w:asciiTheme="minorBidi" w:hAnsiTheme="minorBidi"/>
          <w:rtl/>
        </w:rPr>
      </w:pPr>
    </w:p>
    <w:p w14:paraId="5868181B" w14:textId="77777777" w:rsidR="00D70449" w:rsidRPr="00407D80" w:rsidRDefault="00D70449" w:rsidP="008C0001">
      <w:pPr>
        <w:bidi/>
        <w:spacing w:line="276" w:lineRule="auto"/>
        <w:rPr>
          <w:rFonts w:asciiTheme="minorBidi" w:hAnsiTheme="minorBidi"/>
          <w:rtl/>
        </w:rPr>
      </w:pPr>
    </w:p>
    <w:p w14:paraId="60302B4D" w14:textId="77777777" w:rsidR="003B284B" w:rsidRPr="00407D80" w:rsidRDefault="003B284B" w:rsidP="008C0001">
      <w:pPr>
        <w:pStyle w:val="Heading1"/>
        <w:bidi/>
        <w:spacing w:line="276" w:lineRule="auto"/>
        <w:rPr>
          <w:rFonts w:cstheme="minorBidi"/>
          <w:b w:val="0"/>
          <w:bCs/>
          <w:rtl/>
        </w:rPr>
      </w:pPr>
      <w:bookmarkStart w:id="36" w:name="_Toc224416157"/>
      <w:bookmarkStart w:id="37" w:name="_Toc224420474"/>
      <w:bookmarkStart w:id="38" w:name="_Toc224422454"/>
      <w:bookmarkStart w:id="39" w:name="_Toc228065402"/>
      <w:r w:rsidRPr="00407D80">
        <w:rPr>
          <w:rFonts w:cstheme="minorBidi"/>
          <w:b w:val="0"/>
          <w:bCs/>
          <w:rtl/>
        </w:rPr>
        <w:t>مفاهيم الدراسة النظرية والإجرائية</w:t>
      </w:r>
      <w:bookmarkEnd w:id="36"/>
      <w:bookmarkEnd w:id="37"/>
      <w:bookmarkEnd w:id="38"/>
      <w:bookmarkEnd w:id="39"/>
    </w:p>
    <w:p w14:paraId="32FA0AC1" w14:textId="77777777" w:rsidR="003B284B" w:rsidRPr="00407D80" w:rsidRDefault="003B284B" w:rsidP="008C0001">
      <w:pPr>
        <w:bidi/>
        <w:spacing w:line="276" w:lineRule="auto"/>
        <w:rPr>
          <w:rFonts w:asciiTheme="minorBidi" w:hAnsiTheme="minorBidi"/>
          <w:rtl/>
        </w:rPr>
      </w:pPr>
    </w:p>
    <w:p w14:paraId="3D7B6987"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تعتمد هذه الدراسة على عدد من المفاهيم الأساسية المرتبطة بمتغيرات الدراسة، ومن أهمها</w:t>
      </w:r>
      <w:r w:rsidRPr="00407D80">
        <w:rPr>
          <w:rFonts w:asciiTheme="minorBidi" w:hAnsiTheme="minorBidi"/>
        </w:rPr>
        <w:t>:</w:t>
      </w:r>
    </w:p>
    <w:p w14:paraId="428C2A99" w14:textId="77777777" w:rsidR="003B284B" w:rsidRPr="00407D80" w:rsidRDefault="003B284B" w:rsidP="008C0001">
      <w:pPr>
        <w:bidi/>
        <w:spacing w:line="276" w:lineRule="auto"/>
        <w:rPr>
          <w:rFonts w:asciiTheme="minorBidi" w:hAnsiTheme="minorBidi"/>
          <w:rtl/>
        </w:rPr>
      </w:pPr>
    </w:p>
    <w:p w14:paraId="164AFF29"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مؤشرات الأداء في الإعلانات الرقمية</w:t>
      </w:r>
    </w:p>
    <w:p w14:paraId="3C3234D2" w14:textId="77777777" w:rsidR="003B284B" w:rsidRPr="00407D80" w:rsidRDefault="003B284B" w:rsidP="008C0001">
      <w:pPr>
        <w:bidi/>
        <w:spacing w:line="276" w:lineRule="auto"/>
        <w:rPr>
          <w:rFonts w:asciiTheme="minorBidi" w:hAnsiTheme="minorBidi"/>
          <w:rtl/>
        </w:rPr>
      </w:pPr>
    </w:p>
    <w:p w14:paraId="562B779F" w14:textId="10F8AA5A" w:rsidR="003B284B" w:rsidRPr="00407D80" w:rsidRDefault="003B284B" w:rsidP="008C0001">
      <w:pPr>
        <w:bidi/>
        <w:spacing w:line="276" w:lineRule="auto"/>
        <w:rPr>
          <w:rFonts w:asciiTheme="minorBidi" w:hAnsiTheme="minorBidi"/>
          <w:rtl/>
        </w:rPr>
      </w:pPr>
      <w:r w:rsidRPr="00407D80">
        <w:rPr>
          <w:rFonts w:asciiTheme="minorBidi" w:hAnsiTheme="minorBidi"/>
          <w:rtl/>
        </w:rPr>
        <w:lastRenderedPageBreak/>
        <w:t>ويقصد بها مجموعة المقاييس الرقمية التي تستخدم لتقييم أداء الحملات الإعلانية على المنصات الرقمية، مثل معدل النقر</w:t>
      </w:r>
      <w:r w:rsidRPr="00407D80">
        <w:rPr>
          <w:rFonts w:asciiTheme="minorBidi" w:hAnsiTheme="minorBidi"/>
        </w:rPr>
        <w:t xml:space="preserve"> (CTR)</w:t>
      </w:r>
      <w:r w:rsidRPr="00407D80">
        <w:rPr>
          <w:rFonts w:asciiTheme="minorBidi" w:hAnsiTheme="minorBidi"/>
          <w:rtl/>
        </w:rPr>
        <w:t>، وتكلفة النقرة</w:t>
      </w:r>
      <w:r w:rsidRPr="00407D80">
        <w:rPr>
          <w:rFonts w:asciiTheme="minorBidi" w:hAnsiTheme="minorBidi"/>
        </w:rPr>
        <w:t xml:space="preserve"> (CPC</w:t>
      </w:r>
      <w:proofErr w:type="gramStart"/>
      <w:r w:rsidRPr="00407D80">
        <w:rPr>
          <w:rFonts w:asciiTheme="minorBidi" w:hAnsiTheme="minorBidi"/>
        </w:rPr>
        <w:t>)</w:t>
      </w:r>
      <w:r w:rsidR="002D4DD9" w:rsidRPr="00407D80">
        <w:rPr>
          <w:rFonts w:asciiTheme="minorBidi" w:hAnsiTheme="minorBidi"/>
          <w:lang w:val="en-US"/>
        </w:rPr>
        <w:t xml:space="preserve"> </w:t>
      </w:r>
      <w:r w:rsidRPr="00407D80">
        <w:rPr>
          <w:rFonts w:asciiTheme="minorBidi" w:hAnsiTheme="minorBidi"/>
          <w:rtl/>
        </w:rPr>
        <w:t>،</w:t>
      </w:r>
      <w:proofErr w:type="gramEnd"/>
      <w:r w:rsidRPr="00407D80">
        <w:rPr>
          <w:rFonts w:asciiTheme="minorBidi" w:hAnsiTheme="minorBidi"/>
          <w:rtl/>
        </w:rPr>
        <w:t xml:space="preserve"> ومعدل التحويل</w:t>
      </w:r>
      <w:r w:rsidRPr="00407D80">
        <w:rPr>
          <w:rFonts w:asciiTheme="minorBidi" w:hAnsiTheme="minorBidi"/>
        </w:rPr>
        <w:t xml:space="preserve"> (Conversion Rate)</w:t>
      </w:r>
      <w:r w:rsidR="002D4DD9" w:rsidRPr="00407D80">
        <w:rPr>
          <w:rFonts w:asciiTheme="minorBidi" w:hAnsiTheme="minorBidi"/>
          <w:lang w:val="en-US"/>
        </w:rPr>
        <w:t xml:space="preserve"> </w:t>
      </w:r>
      <w:r w:rsidRPr="00407D80">
        <w:rPr>
          <w:rFonts w:asciiTheme="minorBidi" w:hAnsiTheme="minorBidi"/>
          <w:rtl/>
        </w:rPr>
        <w:t>، والعائد على الإنفاق الإعلاني</w:t>
      </w:r>
      <w:r w:rsidRPr="00407D80">
        <w:rPr>
          <w:rFonts w:asciiTheme="minorBidi" w:hAnsiTheme="minorBidi"/>
        </w:rPr>
        <w:t xml:space="preserve"> (ROAS)</w:t>
      </w:r>
      <w:r w:rsidR="002D4DD9" w:rsidRPr="00407D80">
        <w:rPr>
          <w:rFonts w:asciiTheme="minorBidi" w:hAnsiTheme="minorBidi"/>
          <w:lang w:val="en-US"/>
        </w:rPr>
        <w:t xml:space="preserve"> </w:t>
      </w:r>
      <w:r w:rsidRPr="00407D80">
        <w:rPr>
          <w:rFonts w:asciiTheme="minorBidi" w:hAnsiTheme="minorBidi"/>
          <w:rtl/>
        </w:rPr>
        <w:t>، والعائد على الاستثمار</w:t>
      </w:r>
      <w:r w:rsidRPr="00407D80">
        <w:rPr>
          <w:rFonts w:asciiTheme="minorBidi" w:hAnsiTheme="minorBidi"/>
        </w:rPr>
        <w:t xml:space="preserve"> (ROI)</w:t>
      </w:r>
      <w:r w:rsidRPr="00407D80">
        <w:rPr>
          <w:rFonts w:asciiTheme="minorBidi" w:hAnsiTheme="minorBidi"/>
          <w:rtl/>
        </w:rPr>
        <w:t>، والتي تساعد المسوقين في تحليل نتائج الحملات الإعلانية وقياس مدى فعاليتها</w:t>
      </w:r>
      <w:r w:rsidRPr="00407D80">
        <w:rPr>
          <w:rFonts w:asciiTheme="minorBidi" w:hAnsiTheme="minorBidi"/>
        </w:rPr>
        <w:t>.</w:t>
      </w:r>
    </w:p>
    <w:p w14:paraId="5C9903A6" w14:textId="77777777" w:rsidR="003B284B" w:rsidRPr="00407D80" w:rsidRDefault="003B284B" w:rsidP="008C0001">
      <w:pPr>
        <w:bidi/>
        <w:spacing w:line="276" w:lineRule="auto"/>
        <w:rPr>
          <w:rFonts w:asciiTheme="minorBidi" w:hAnsiTheme="minorBidi"/>
          <w:rtl/>
        </w:rPr>
      </w:pPr>
    </w:p>
    <w:p w14:paraId="752DDEED"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جودة القرار التسويقي</w:t>
      </w:r>
    </w:p>
    <w:p w14:paraId="329D6CFB" w14:textId="77777777" w:rsidR="003B284B" w:rsidRPr="00407D80" w:rsidRDefault="003B284B" w:rsidP="008C0001">
      <w:pPr>
        <w:bidi/>
        <w:spacing w:line="276" w:lineRule="auto"/>
        <w:rPr>
          <w:rFonts w:asciiTheme="minorBidi" w:hAnsiTheme="minorBidi"/>
          <w:rtl/>
        </w:rPr>
      </w:pPr>
    </w:p>
    <w:p w14:paraId="7BCE3250"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ويقصد بها قدرة متخذي القرار في المؤسسات على اتخاذ قرارات تسويقية فعالة تستند إلى تحليل دقيق للبيانات والمؤشرات المتاحة، بما يسهم في تحسين أداء الحملات التسويقية وتحقيق الأهداف التسويقية للمؤسسة</w:t>
      </w:r>
      <w:r w:rsidRPr="00407D80">
        <w:rPr>
          <w:rFonts w:asciiTheme="minorBidi" w:hAnsiTheme="minorBidi"/>
        </w:rPr>
        <w:t>.</w:t>
      </w:r>
    </w:p>
    <w:p w14:paraId="306D2FF5" w14:textId="77777777" w:rsidR="003B284B" w:rsidRPr="00407D80" w:rsidRDefault="003B284B" w:rsidP="008C0001">
      <w:pPr>
        <w:bidi/>
        <w:spacing w:line="276" w:lineRule="auto"/>
        <w:rPr>
          <w:rFonts w:asciiTheme="minorBidi" w:hAnsiTheme="minorBidi"/>
          <w:rtl/>
        </w:rPr>
      </w:pPr>
    </w:p>
    <w:p w14:paraId="67D59E72"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الإعلانات المدفوعة</w:t>
      </w:r>
    </w:p>
    <w:p w14:paraId="010A2565" w14:textId="77777777" w:rsidR="003B284B" w:rsidRPr="00407D80" w:rsidRDefault="003B284B" w:rsidP="008C0001">
      <w:pPr>
        <w:bidi/>
        <w:spacing w:line="276" w:lineRule="auto"/>
        <w:rPr>
          <w:rFonts w:asciiTheme="minorBidi" w:hAnsiTheme="minorBidi"/>
          <w:rtl/>
        </w:rPr>
      </w:pPr>
    </w:p>
    <w:p w14:paraId="6E237C62" w14:textId="092C7075" w:rsidR="00D70449" w:rsidRPr="00407D80" w:rsidRDefault="003B284B" w:rsidP="008C0001">
      <w:pPr>
        <w:bidi/>
        <w:spacing w:line="276" w:lineRule="auto"/>
        <w:rPr>
          <w:rFonts w:asciiTheme="minorBidi" w:hAnsiTheme="minorBidi"/>
          <w:rtl/>
        </w:rPr>
      </w:pPr>
      <w:r w:rsidRPr="00407D80">
        <w:rPr>
          <w:rFonts w:asciiTheme="minorBidi" w:hAnsiTheme="minorBidi"/>
          <w:rtl/>
        </w:rPr>
        <w:t>ويقصد بها الإعلانات التي يتم عرضها على المنصات الرقمية مقابل دفع مبالغ مالية، مثل الإعلانات على منصات التواصل الاجتماعي ومحركات البحث، والتي تستهدف الوصول إلى جمهور محدد بناءً على خصائص ديموغرافية أو سلوكية معينة.</w:t>
      </w:r>
    </w:p>
    <w:p w14:paraId="05E3DE45" w14:textId="77777777" w:rsidR="003B284B" w:rsidRPr="00407D80" w:rsidRDefault="003B284B" w:rsidP="008C0001">
      <w:pPr>
        <w:pStyle w:val="Heading1"/>
        <w:bidi/>
        <w:spacing w:line="276" w:lineRule="auto"/>
        <w:rPr>
          <w:rFonts w:cstheme="minorBidi"/>
          <w:b w:val="0"/>
          <w:rtl/>
        </w:rPr>
      </w:pPr>
      <w:bookmarkStart w:id="40" w:name="_Toc224344402"/>
    </w:p>
    <w:p w14:paraId="361F68CD" w14:textId="10FE4684" w:rsidR="00A75B8D" w:rsidRPr="00407D80" w:rsidRDefault="00A75B8D" w:rsidP="008C0001">
      <w:pPr>
        <w:pStyle w:val="Heading1"/>
        <w:bidi/>
        <w:spacing w:line="276" w:lineRule="auto"/>
        <w:rPr>
          <w:rFonts w:cstheme="minorBidi"/>
          <w:b w:val="0"/>
          <w:bCs/>
          <w:rtl/>
        </w:rPr>
      </w:pPr>
      <w:bookmarkStart w:id="41" w:name="_Toc224416158"/>
      <w:bookmarkStart w:id="42" w:name="_Toc224420475"/>
      <w:bookmarkStart w:id="43" w:name="_Toc224422455"/>
      <w:bookmarkStart w:id="44" w:name="_Toc228065403"/>
      <w:r w:rsidRPr="00407D80">
        <w:rPr>
          <w:rFonts w:cstheme="minorBidi"/>
          <w:b w:val="0"/>
          <w:bCs/>
          <w:rtl/>
        </w:rPr>
        <w:t>فروض الدراسة</w:t>
      </w:r>
      <w:bookmarkEnd w:id="40"/>
      <w:bookmarkEnd w:id="41"/>
      <w:bookmarkEnd w:id="42"/>
      <w:bookmarkEnd w:id="43"/>
      <w:bookmarkEnd w:id="44"/>
    </w:p>
    <w:p w14:paraId="6E0447BA" w14:textId="77777777" w:rsidR="00A75B8D" w:rsidRPr="00407D80" w:rsidRDefault="00A75B8D" w:rsidP="008C0001">
      <w:pPr>
        <w:bidi/>
        <w:spacing w:line="276" w:lineRule="auto"/>
        <w:rPr>
          <w:rFonts w:asciiTheme="minorBidi" w:hAnsiTheme="minorBidi"/>
          <w:rtl/>
        </w:rPr>
      </w:pPr>
    </w:p>
    <w:p w14:paraId="18403555" w14:textId="77777777" w:rsidR="00014BBB" w:rsidRPr="00407D80" w:rsidRDefault="00014BBB" w:rsidP="008C0001">
      <w:pPr>
        <w:bidi/>
        <w:spacing w:line="276" w:lineRule="auto"/>
        <w:rPr>
          <w:rFonts w:asciiTheme="minorBidi" w:hAnsiTheme="minorBidi"/>
          <w:rtl/>
        </w:rPr>
      </w:pPr>
      <w:r w:rsidRPr="00407D80">
        <w:rPr>
          <w:rFonts w:asciiTheme="minorBidi" w:hAnsiTheme="minorBidi"/>
          <w:rtl/>
        </w:rPr>
        <w:t>بناءً على مشكلة الدراسة وتساؤلاتها يمكن صياغة الفروض التالية</w:t>
      </w:r>
      <w:r w:rsidRPr="00407D80">
        <w:rPr>
          <w:rFonts w:asciiTheme="minorBidi" w:hAnsiTheme="minorBidi"/>
        </w:rPr>
        <w:t>:</w:t>
      </w:r>
    </w:p>
    <w:p w14:paraId="724ABD31" w14:textId="77777777" w:rsidR="00014BBB" w:rsidRPr="00407D80" w:rsidRDefault="00014BBB" w:rsidP="008C0001">
      <w:pPr>
        <w:bidi/>
        <w:spacing w:line="276" w:lineRule="auto"/>
        <w:rPr>
          <w:rFonts w:asciiTheme="minorBidi" w:hAnsiTheme="minorBidi"/>
          <w:rtl/>
        </w:rPr>
      </w:pPr>
    </w:p>
    <w:p w14:paraId="3848ED4C" w14:textId="77777777" w:rsidR="00014BBB" w:rsidRPr="00407D80" w:rsidRDefault="00014BBB" w:rsidP="008C0001">
      <w:pPr>
        <w:bidi/>
        <w:spacing w:line="276" w:lineRule="auto"/>
        <w:rPr>
          <w:rFonts w:asciiTheme="minorBidi" w:hAnsiTheme="minorBidi"/>
          <w:rtl/>
        </w:rPr>
      </w:pPr>
      <w:r w:rsidRPr="00407D80">
        <w:rPr>
          <w:rFonts w:asciiTheme="minorBidi" w:hAnsiTheme="minorBidi"/>
          <w:rtl/>
        </w:rPr>
        <w:t>الفرضية الرئيسية</w:t>
      </w:r>
      <w:r w:rsidRPr="00407D80">
        <w:rPr>
          <w:rFonts w:asciiTheme="minorBidi" w:hAnsiTheme="minorBidi"/>
        </w:rPr>
        <w:t>:</w:t>
      </w:r>
    </w:p>
    <w:p w14:paraId="60C4570C" w14:textId="77777777" w:rsidR="00014BBB" w:rsidRPr="00407D80" w:rsidRDefault="00014BBB" w:rsidP="008C0001">
      <w:pPr>
        <w:bidi/>
        <w:spacing w:line="276" w:lineRule="auto"/>
        <w:rPr>
          <w:rFonts w:asciiTheme="minorBidi" w:hAnsiTheme="minorBidi"/>
          <w:rtl/>
        </w:rPr>
      </w:pPr>
    </w:p>
    <w:p w14:paraId="01FADCD8" w14:textId="77777777" w:rsidR="00C570C3" w:rsidRPr="00407D80" w:rsidRDefault="00C570C3" w:rsidP="008C0001">
      <w:pPr>
        <w:bidi/>
        <w:spacing w:line="276" w:lineRule="auto"/>
        <w:rPr>
          <w:rFonts w:asciiTheme="minorBidi" w:hAnsiTheme="minorBidi"/>
          <w:rtl/>
        </w:rPr>
      </w:pPr>
      <w:r w:rsidRPr="00407D80">
        <w:rPr>
          <w:rFonts w:asciiTheme="minorBidi" w:hAnsiTheme="minorBidi"/>
          <w:rtl/>
        </w:rPr>
        <w:t>توجد علاقة ذات دلالة إحصائية بين دقة مؤشرات الأداء التي تقدمها منصات الإعلانات الرقمية وجودة القرار التسويقي لدى المسوقين</w:t>
      </w:r>
      <w:r w:rsidRPr="00407D80">
        <w:rPr>
          <w:rFonts w:asciiTheme="minorBidi" w:hAnsiTheme="minorBidi"/>
        </w:rPr>
        <w:t>.</w:t>
      </w:r>
    </w:p>
    <w:p w14:paraId="0FF6FAF3" w14:textId="77777777" w:rsidR="00C570C3" w:rsidRPr="00407D80" w:rsidRDefault="00C570C3" w:rsidP="008C0001">
      <w:pPr>
        <w:bidi/>
        <w:spacing w:line="276" w:lineRule="auto"/>
        <w:rPr>
          <w:rFonts w:asciiTheme="minorBidi" w:hAnsiTheme="minorBidi"/>
          <w:rtl/>
        </w:rPr>
      </w:pPr>
    </w:p>
    <w:p w14:paraId="110603C4" w14:textId="77777777" w:rsidR="00C570C3" w:rsidRPr="00407D80" w:rsidRDefault="00C570C3" w:rsidP="008C0001">
      <w:pPr>
        <w:bidi/>
        <w:spacing w:line="276" w:lineRule="auto"/>
        <w:rPr>
          <w:rFonts w:asciiTheme="minorBidi" w:hAnsiTheme="minorBidi"/>
          <w:rtl/>
        </w:rPr>
      </w:pPr>
      <w:r w:rsidRPr="00407D80">
        <w:rPr>
          <w:rFonts w:asciiTheme="minorBidi" w:hAnsiTheme="minorBidi"/>
          <w:rtl/>
        </w:rPr>
        <w:t>الفروض الفرعية</w:t>
      </w:r>
      <w:r w:rsidRPr="00407D80">
        <w:rPr>
          <w:rFonts w:asciiTheme="minorBidi" w:hAnsiTheme="minorBidi"/>
        </w:rPr>
        <w:t>:</w:t>
      </w:r>
    </w:p>
    <w:p w14:paraId="2ECB2542" w14:textId="77777777" w:rsidR="00C570C3" w:rsidRPr="00407D80" w:rsidRDefault="00C570C3" w:rsidP="008C0001">
      <w:pPr>
        <w:bidi/>
        <w:spacing w:line="276" w:lineRule="auto"/>
        <w:rPr>
          <w:rFonts w:asciiTheme="minorBidi" w:hAnsiTheme="minorBidi"/>
          <w:rtl/>
        </w:rPr>
      </w:pPr>
      <w:r w:rsidRPr="00407D80">
        <w:rPr>
          <w:rFonts w:asciiTheme="minorBidi" w:hAnsiTheme="minorBidi"/>
        </w:rPr>
        <w:tab/>
        <w:t>1.</w:t>
      </w:r>
      <w:r w:rsidRPr="00407D80">
        <w:rPr>
          <w:rFonts w:asciiTheme="minorBidi" w:hAnsiTheme="minorBidi"/>
        </w:rPr>
        <w:tab/>
      </w:r>
      <w:r w:rsidRPr="00407D80">
        <w:rPr>
          <w:rFonts w:asciiTheme="minorBidi" w:hAnsiTheme="minorBidi"/>
          <w:rtl/>
        </w:rPr>
        <w:t>توجد علاقة ذات دلالة إحصائية بين مدى اعتماد المسوقين على مؤشرات الأداء التي تقدمها منصات الإعلانات الرقمية وجودة القرارات التسويقية</w:t>
      </w:r>
      <w:r w:rsidRPr="00407D80">
        <w:rPr>
          <w:rFonts w:asciiTheme="minorBidi" w:hAnsiTheme="minorBidi"/>
        </w:rPr>
        <w:t>.</w:t>
      </w:r>
    </w:p>
    <w:p w14:paraId="42613183" w14:textId="77777777" w:rsidR="00C570C3" w:rsidRPr="00407D80" w:rsidRDefault="00C570C3" w:rsidP="008C0001">
      <w:pPr>
        <w:bidi/>
        <w:spacing w:line="276" w:lineRule="auto"/>
        <w:rPr>
          <w:rFonts w:asciiTheme="minorBidi" w:hAnsiTheme="minorBidi"/>
          <w:rtl/>
        </w:rPr>
      </w:pPr>
      <w:r w:rsidRPr="00407D80">
        <w:rPr>
          <w:rFonts w:asciiTheme="minorBidi" w:hAnsiTheme="minorBidi"/>
        </w:rPr>
        <w:tab/>
        <w:t>2.</w:t>
      </w:r>
      <w:r w:rsidRPr="00407D80">
        <w:rPr>
          <w:rFonts w:asciiTheme="minorBidi" w:hAnsiTheme="minorBidi"/>
        </w:rPr>
        <w:tab/>
      </w:r>
      <w:r w:rsidRPr="00407D80">
        <w:rPr>
          <w:rFonts w:asciiTheme="minorBidi" w:hAnsiTheme="minorBidi"/>
          <w:rtl/>
        </w:rPr>
        <w:t>تؤثر دقة مؤشرات الأداء التي تقدمها منصات الإعلانات الرقمية على القرارات المتعلقة بإدارة الحملات الإعلانية</w:t>
      </w:r>
      <w:r w:rsidRPr="00407D80">
        <w:rPr>
          <w:rFonts w:asciiTheme="minorBidi" w:hAnsiTheme="minorBidi"/>
        </w:rPr>
        <w:t>.</w:t>
      </w:r>
    </w:p>
    <w:p w14:paraId="5ED150ED" w14:textId="25B554F2" w:rsidR="00D70449" w:rsidRPr="00407D80" w:rsidRDefault="00C570C3" w:rsidP="008C0001">
      <w:pPr>
        <w:bidi/>
        <w:spacing w:line="276" w:lineRule="auto"/>
        <w:rPr>
          <w:rFonts w:asciiTheme="minorBidi" w:hAnsiTheme="minorBidi"/>
          <w:rtl/>
        </w:rPr>
      </w:pPr>
      <w:r w:rsidRPr="00407D80">
        <w:rPr>
          <w:rFonts w:asciiTheme="minorBidi" w:hAnsiTheme="minorBidi"/>
          <w:rtl/>
        </w:rPr>
        <w:tab/>
        <w:t>3.</w:t>
      </w:r>
      <w:r w:rsidRPr="00407D80">
        <w:rPr>
          <w:rFonts w:asciiTheme="minorBidi" w:hAnsiTheme="minorBidi"/>
          <w:rtl/>
        </w:rPr>
        <w:tab/>
        <w:t>توجد علاقة ذات دلالة إحصائية بين مستوى ثقة المسوقين في مؤشرات الأداء التي تقدمها منصات الإعلانات الرقمية وجودة القرار التسويقي.</w:t>
      </w:r>
    </w:p>
    <w:p w14:paraId="569623BA" w14:textId="77777777" w:rsidR="00D70449" w:rsidRPr="00407D80" w:rsidRDefault="00D70449" w:rsidP="008C0001">
      <w:pPr>
        <w:bidi/>
        <w:spacing w:line="276" w:lineRule="auto"/>
        <w:rPr>
          <w:rFonts w:asciiTheme="minorBidi" w:hAnsiTheme="minorBidi"/>
          <w:rtl/>
        </w:rPr>
      </w:pPr>
    </w:p>
    <w:p w14:paraId="74D9E088" w14:textId="77777777" w:rsidR="00D70449" w:rsidRPr="00407D80" w:rsidRDefault="00D70449" w:rsidP="008C0001">
      <w:pPr>
        <w:bidi/>
        <w:spacing w:line="276" w:lineRule="auto"/>
        <w:rPr>
          <w:rFonts w:asciiTheme="minorBidi" w:hAnsiTheme="minorBidi"/>
          <w:rtl/>
        </w:rPr>
      </w:pPr>
    </w:p>
    <w:p w14:paraId="1FC2E165" w14:textId="77777777" w:rsidR="00D70449" w:rsidRPr="00407D80" w:rsidRDefault="00D70449" w:rsidP="008C0001">
      <w:pPr>
        <w:bidi/>
        <w:spacing w:line="276" w:lineRule="auto"/>
        <w:rPr>
          <w:rFonts w:asciiTheme="minorBidi" w:hAnsiTheme="minorBidi"/>
          <w:rtl/>
        </w:rPr>
      </w:pPr>
    </w:p>
    <w:p w14:paraId="484CA52D" w14:textId="77777777" w:rsidR="00D70449" w:rsidRPr="00407D80" w:rsidRDefault="00D70449" w:rsidP="008C0001">
      <w:pPr>
        <w:bidi/>
        <w:spacing w:line="276" w:lineRule="auto"/>
        <w:rPr>
          <w:rFonts w:asciiTheme="minorBidi" w:hAnsiTheme="minorBidi"/>
          <w:rtl/>
        </w:rPr>
      </w:pPr>
    </w:p>
    <w:p w14:paraId="4FA99DA2" w14:textId="77777777" w:rsidR="00D70449" w:rsidRPr="00407D80" w:rsidRDefault="00D70449" w:rsidP="008C0001">
      <w:pPr>
        <w:bidi/>
        <w:spacing w:line="276" w:lineRule="auto"/>
        <w:rPr>
          <w:rFonts w:asciiTheme="minorBidi" w:hAnsiTheme="minorBidi"/>
          <w:rtl/>
        </w:rPr>
      </w:pPr>
    </w:p>
    <w:p w14:paraId="6DCD74DC" w14:textId="77777777" w:rsidR="00A75B8D" w:rsidRPr="00407D80" w:rsidRDefault="00A75B8D" w:rsidP="008C0001">
      <w:pPr>
        <w:pStyle w:val="Heading1"/>
        <w:bidi/>
        <w:spacing w:line="276" w:lineRule="auto"/>
        <w:rPr>
          <w:rFonts w:cstheme="minorBidi"/>
          <w:b w:val="0"/>
          <w:bCs/>
          <w:rtl/>
        </w:rPr>
      </w:pPr>
      <w:bookmarkStart w:id="45" w:name="_Toc224344403"/>
      <w:bookmarkStart w:id="46" w:name="_Toc224416159"/>
      <w:bookmarkStart w:id="47" w:name="_Toc224420476"/>
      <w:bookmarkStart w:id="48" w:name="_Toc224422456"/>
      <w:bookmarkStart w:id="49" w:name="_Toc228065404"/>
      <w:r w:rsidRPr="00407D80">
        <w:rPr>
          <w:rFonts w:cstheme="minorBidi"/>
          <w:b w:val="0"/>
          <w:bCs/>
          <w:rtl/>
        </w:rPr>
        <w:t>الإطار النظري للدراسة</w:t>
      </w:r>
      <w:bookmarkEnd w:id="45"/>
      <w:bookmarkEnd w:id="46"/>
      <w:bookmarkEnd w:id="47"/>
      <w:bookmarkEnd w:id="48"/>
      <w:bookmarkEnd w:id="49"/>
    </w:p>
    <w:p w14:paraId="7E09130E" w14:textId="77777777" w:rsidR="00A75B8D" w:rsidRPr="00407D80" w:rsidRDefault="00A75B8D" w:rsidP="008C0001">
      <w:pPr>
        <w:bidi/>
        <w:spacing w:line="276" w:lineRule="auto"/>
        <w:rPr>
          <w:rFonts w:asciiTheme="minorBidi" w:hAnsiTheme="minorBidi"/>
          <w:rtl/>
        </w:rPr>
      </w:pPr>
    </w:p>
    <w:p w14:paraId="3A1D5DEE" w14:textId="31777031" w:rsidR="003B284B" w:rsidRPr="00407D80" w:rsidRDefault="003B284B" w:rsidP="008C0001">
      <w:pPr>
        <w:bidi/>
        <w:spacing w:line="276" w:lineRule="auto"/>
        <w:rPr>
          <w:rFonts w:asciiTheme="minorBidi" w:hAnsiTheme="minorBidi"/>
          <w:rtl/>
        </w:rPr>
      </w:pPr>
      <w:r w:rsidRPr="00407D80">
        <w:rPr>
          <w:rFonts w:asciiTheme="minorBidi" w:hAnsiTheme="minorBidi"/>
          <w:rtl/>
        </w:rPr>
        <w:lastRenderedPageBreak/>
        <w:t>تعد الإعلانات الرقمية من أهم أدوات التسويق الحديثة التي تعتمد عليها المؤسسات في الترويج لمنتجاتها وخدماتها والوصول إلى الجمهور المستهدف. ومع التطور الكبير في تقنيات التسويق الرقمي، أصبحت البيانات والتحليلات التسويقية تلعب دوراً أساسياً في تقييم أداء الحملات الإعلانية وتحسين كفاءتها التسويقية</w:t>
      </w:r>
      <w:r w:rsidRPr="00407D80">
        <w:rPr>
          <w:rFonts w:asciiTheme="minorBidi" w:hAnsiTheme="minorBidi"/>
        </w:rPr>
        <w:t>.</w:t>
      </w:r>
    </w:p>
    <w:p w14:paraId="524768ED" w14:textId="4E17C64A" w:rsidR="001202B3" w:rsidRPr="00407D80" w:rsidRDefault="001202B3" w:rsidP="008C0001">
      <w:pPr>
        <w:pStyle w:val="p1"/>
        <w:bidi/>
        <w:spacing w:line="276" w:lineRule="auto"/>
        <w:rPr>
          <w:rFonts w:asciiTheme="minorBidi" w:hAnsiTheme="minorBidi" w:cstheme="minorBidi"/>
          <w:rtl/>
        </w:rPr>
      </w:pPr>
      <w:r w:rsidRPr="00407D80">
        <w:rPr>
          <w:rFonts w:asciiTheme="minorBidi" w:hAnsiTheme="minorBidi" w:cstheme="minorBidi"/>
          <w:rtl/>
        </w:rPr>
        <w:t xml:space="preserve">ويستند الإطار النظري لهذه الدراسة إلى </w:t>
      </w:r>
      <w:r w:rsidRPr="00407D80">
        <w:rPr>
          <w:rStyle w:val="s1"/>
          <w:rFonts w:asciiTheme="minorBidi" w:hAnsiTheme="minorBidi" w:cstheme="minorBidi"/>
          <w:rtl/>
        </w:rPr>
        <w:t>نظرية اتخاذ القرار المبني على البيانات (</w:t>
      </w:r>
      <w:r w:rsidRPr="00407D80">
        <w:rPr>
          <w:rStyle w:val="s1"/>
          <w:rFonts w:asciiTheme="minorBidi" w:hAnsiTheme="minorBidi" w:cstheme="minorBidi"/>
        </w:rPr>
        <w:t>Data Driven Decision Making Theory</w:t>
      </w:r>
      <w:r w:rsidRPr="00407D80">
        <w:rPr>
          <w:rStyle w:val="s1"/>
          <w:rFonts w:asciiTheme="minorBidi" w:hAnsiTheme="minorBidi" w:cstheme="minorBidi"/>
          <w:rtl/>
        </w:rPr>
        <w:t>)</w:t>
      </w:r>
      <w:r w:rsidRPr="00407D80">
        <w:rPr>
          <w:rFonts w:asciiTheme="minorBidi" w:hAnsiTheme="minorBidi" w:cstheme="minorBidi"/>
          <w:rtl/>
        </w:rPr>
        <w:t>، والتي تفترض أن جودة القرارات التسويقية تتحسن كلما استندت إلى بيانات دقيقة ومؤشرات أداء موثوقة وقابلة للتفسير. وتعد هذه النظرية مناسبة لطبيعة الدراسة الحالية؛ نظراً لاعتماد المسوقين بصورة متزايدة على مؤشرات الأداء الرقمية في تقييم الحملات الإعلانية واتخاذ القرارات المتعلقة بتخصيص الميزانيات وتحسين الأداء.</w:t>
      </w:r>
    </w:p>
    <w:p w14:paraId="13A94848" w14:textId="13EF653F" w:rsidR="003B284B" w:rsidRPr="00407D80" w:rsidRDefault="003B284B" w:rsidP="008C0001">
      <w:pPr>
        <w:bidi/>
        <w:spacing w:line="276" w:lineRule="auto"/>
        <w:rPr>
          <w:rFonts w:asciiTheme="minorBidi" w:hAnsiTheme="minorBidi"/>
          <w:rtl/>
        </w:rPr>
      </w:pPr>
      <w:r w:rsidRPr="00407D80">
        <w:rPr>
          <w:rFonts w:asciiTheme="minorBidi" w:hAnsiTheme="minorBidi"/>
          <w:rtl/>
        </w:rPr>
        <w:t>وتعتمد الإعلانات الرقمية بشكل كبير على مجموعة من مؤشرات الأداء التي تستخدم لقياس مدى نجاح الحملات الإعلانية وتقييم فعاليتها. ومن أبرز هذه المؤشرات: معدل النقر</w:t>
      </w:r>
      <w:r w:rsidRPr="00407D80">
        <w:rPr>
          <w:rFonts w:asciiTheme="minorBidi" w:hAnsiTheme="minorBidi"/>
        </w:rPr>
        <w:t xml:space="preserve"> (Click Through Rate - CTR</w:t>
      </w:r>
      <w:proofErr w:type="gramStart"/>
      <w:r w:rsidRPr="00407D80">
        <w:rPr>
          <w:rFonts w:asciiTheme="minorBidi" w:hAnsiTheme="minorBidi"/>
        </w:rPr>
        <w:t>)</w:t>
      </w:r>
      <w:r w:rsidR="002D4DD9" w:rsidRPr="00407D80">
        <w:rPr>
          <w:rFonts w:asciiTheme="minorBidi" w:hAnsiTheme="minorBidi"/>
          <w:lang w:val="en-US"/>
        </w:rPr>
        <w:t xml:space="preserve"> </w:t>
      </w:r>
      <w:r w:rsidRPr="00407D80">
        <w:rPr>
          <w:rFonts w:asciiTheme="minorBidi" w:hAnsiTheme="minorBidi"/>
          <w:rtl/>
        </w:rPr>
        <w:t>،</w:t>
      </w:r>
      <w:proofErr w:type="gramEnd"/>
      <w:r w:rsidRPr="00407D80">
        <w:rPr>
          <w:rFonts w:asciiTheme="minorBidi" w:hAnsiTheme="minorBidi"/>
          <w:rtl/>
        </w:rPr>
        <w:t xml:space="preserve"> وتكلفة النقرة</w:t>
      </w:r>
      <w:r w:rsidRPr="00407D80">
        <w:rPr>
          <w:rFonts w:asciiTheme="minorBidi" w:hAnsiTheme="minorBidi"/>
        </w:rPr>
        <w:t xml:space="preserve"> (Cost Per Click - CPC)</w:t>
      </w:r>
      <w:r w:rsidRPr="00407D80">
        <w:rPr>
          <w:rFonts w:asciiTheme="minorBidi" w:hAnsiTheme="minorBidi"/>
          <w:rtl/>
        </w:rPr>
        <w:t>، ومعدل التحويل</w:t>
      </w:r>
      <w:r w:rsidRPr="00407D80">
        <w:rPr>
          <w:rFonts w:asciiTheme="minorBidi" w:hAnsiTheme="minorBidi"/>
        </w:rPr>
        <w:t xml:space="preserve"> (Conversion Rate)</w:t>
      </w:r>
      <w:r w:rsidR="002D4DD9" w:rsidRPr="00407D80">
        <w:rPr>
          <w:rFonts w:asciiTheme="minorBidi" w:hAnsiTheme="minorBidi"/>
          <w:lang w:val="en-US"/>
        </w:rPr>
        <w:t xml:space="preserve"> </w:t>
      </w:r>
      <w:r w:rsidRPr="00407D80">
        <w:rPr>
          <w:rFonts w:asciiTheme="minorBidi" w:hAnsiTheme="minorBidi"/>
          <w:rtl/>
        </w:rPr>
        <w:t>، والعائد على الإنفاق الإعلاني</w:t>
      </w:r>
      <w:r w:rsidRPr="00407D80">
        <w:rPr>
          <w:rFonts w:asciiTheme="minorBidi" w:hAnsiTheme="minorBidi"/>
        </w:rPr>
        <w:t xml:space="preserve"> (Return on Ad Spend - ROAS)</w:t>
      </w:r>
      <w:r w:rsidRPr="00407D80">
        <w:rPr>
          <w:rFonts w:asciiTheme="minorBidi" w:hAnsiTheme="minorBidi"/>
          <w:rtl/>
        </w:rPr>
        <w:t>، والعائد على الاستثمار</w:t>
      </w:r>
      <w:r w:rsidRPr="00407D80">
        <w:rPr>
          <w:rFonts w:asciiTheme="minorBidi" w:hAnsiTheme="minorBidi"/>
        </w:rPr>
        <w:t xml:space="preserve"> (Return on Investment - ROI). </w:t>
      </w:r>
      <w:r w:rsidRPr="00407D80">
        <w:rPr>
          <w:rFonts w:asciiTheme="minorBidi" w:hAnsiTheme="minorBidi"/>
          <w:rtl/>
        </w:rPr>
        <w:t>وتستخدم هذه المؤشرات على نطاق واسع من قبل المسوقين ومديري الحملات الإعلانية لتحليل أداء الحملات الإعلانية واتخاذ القرارات المتعلقة بتحسين الاستراتيجيات التسويقية أو تعديل الحملات الإعلانية</w:t>
      </w:r>
      <w:r w:rsidRPr="00407D80">
        <w:rPr>
          <w:rFonts w:asciiTheme="minorBidi" w:hAnsiTheme="minorBidi"/>
        </w:rPr>
        <w:t>.</w:t>
      </w:r>
    </w:p>
    <w:p w14:paraId="6046BD4F" w14:textId="77777777" w:rsidR="003B284B" w:rsidRPr="00407D80" w:rsidRDefault="003B284B" w:rsidP="008C0001">
      <w:pPr>
        <w:bidi/>
        <w:spacing w:line="276" w:lineRule="auto"/>
        <w:rPr>
          <w:rFonts w:asciiTheme="minorBidi" w:hAnsiTheme="minorBidi"/>
          <w:rtl/>
        </w:rPr>
      </w:pPr>
    </w:p>
    <w:p w14:paraId="14D960A9"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كما تلعب التحليلات التسويقية دوراً مهماً في دعم عملية اتخاذ القرار التسويقي داخل المؤسسات، حيث تساعد البيانات والمؤشرات الرقمية المسوقين على فهم سلوك العملاء وتحليل أداء الحملات التسويقية واتخاذ قرارات أكثر دقة وفعالية</w:t>
      </w:r>
      <w:r w:rsidRPr="00407D80">
        <w:rPr>
          <w:rFonts w:asciiTheme="minorBidi" w:hAnsiTheme="minorBidi"/>
        </w:rPr>
        <w:t>.</w:t>
      </w:r>
    </w:p>
    <w:p w14:paraId="725DE884" w14:textId="77777777" w:rsidR="003B284B" w:rsidRPr="00407D80" w:rsidRDefault="003B284B" w:rsidP="008C0001">
      <w:pPr>
        <w:bidi/>
        <w:spacing w:line="276" w:lineRule="auto"/>
        <w:rPr>
          <w:rFonts w:asciiTheme="minorBidi" w:hAnsiTheme="minorBidi"/>
          <w:rtl/>
        </w:rPr>
      </w:pPr>
    </w:p>
    <w:p w14:paraId="69CA61DD" w14:textId="17AE07D7" w:rsidR="00D70449" w:rsidRPr="00407D80" w:rsidRDefault="003B284B" w:rsidP="008C0001">
      <w:pPr>
        <w:bidi/>
        <w:spacing w:line="276" w:lineRule="auto"/>
        <w:rPr>
          <w:rFonts w:asciiTheme="minorBidi" w:hAnsiTheme="minorBidi"/>
          <w:rtl/>
        </w:rPr>
      </w:pPr>
      <w:r w:rsidRPr="00407D80">
        <w:rPr>
          <w:rFonts w:asciiTheme="minorBidi" w:hAnsiTheme="minorBidi"/>
          <w:rtl/>
        </w:rPr>
        <w:t>ومع ذلك، فإن الاعتماد على مؤشرات الأداء الرقمية يواجه عدداً من التحديات، حيث تختلف آليات احتساب هذه المؤشرات بين منصات الإعلانات الرقمية المختلفة نتيجة اختلاف نماذج التتبع ونوافذ الإسناد وأساليب احتساب التحويلات. وقد يؤدي ذلك إلى اختلاف النتائج التي تقدمها المنصات حول أداء الحملات الإعلانية، الأمر الذي قد يؤثر على تفسير المسوقين لهذه البيانات، وبالتالي على جودة القرارات التسويقية التي يتم اتخاذها بناءً على هذه المؤشرات.</w:t>
      </w:r>
    </w:p>
    <w:p w14:paraId="26E3F51E" w14:textId="77777777" w:rsidR="00D70449" w:rsidRPr="00407D80" w:rsidRDefault="00D70449" w:rsidP="008C0001">
      <w:pPr>
        <w:bidi/>
        <w:spacing w:line="276" w:lineRule="auto"/>
        <w:rPr>
          <w:rFonts w:asciiTheme="minorBidi" w:hAnsiTheme="minorBidi"/>
          <w:rtl/>
          <w:lang w:val="en-US"/>
        </w:rPr>
      </w:pPr>
    </w:p>
    <w:p w14:paraId="21F3E5BA" w14:textId="77777777" w:rsidR="003B284B" w:rsidRPr="00407D80" w:rsidRDefault="003B284B" w:rsidP="008C0001">
      <w:pPr>
        <w:bidi/>
        <w:spacing w:line="276" w:lineRule="auto"/>
        <w:rPr>
          <w:rFonts w:asciiTheme="minorBidi" w:hAnsiTheme="minorBidi"/>
          <w:rtl/>
          <w:lang w:val="en-US"/>
        </w:rPr>
      </w:pPr>
    </w:p>
    <w:p w14:paraId="7EA657CE" w14:textId="77777777" w:rsidR="003B284B" w:rsidRPr="00407D80" w:rsidRDefault="003B284B" w:rsidP="008C0001">
      <w:pPr>
        <w:bidi/>
        <w:spacing w:line="276" w:lineRule="auto"/>
        <w:rPr>
          <w:rFonts w:asciiTheme="minorBidi" w:hAnsiTheme="minorBidi"/>
          <w:b/>
          <w:bCs/>
          <w:sz w:val="32"/>
          <w:szCs w:val="32"/>
          <w:rtl/>
        </w:rPr>
      </w:pPr>
      <w:r w:rsidRPr="00407D80">
        <w:rPr>
          <w:rFonts w:asciiTheme="minorBidi" w:hAnsiTheme="minorBidi"/>
          <w:b/>
          <w:bCs/>
          <w:sz w:val="32"/>
          <w:szCs w:val="32"/>
          <w:rtl/>
        </w:rPr>
        <w:t>الإطار المنهجي للدراسة</w:t>
      </w:r>
    </w:p>
    <w:p w14:paraId="1FB683A0" w14:textId="77777777" w:rsidR="00D70449" w:rsidRPr="00407D80" w:rsidRDefault="00D70449" w:rsidP="008C0001">
      <w:pPr>
        <w:bidi/>
        <w:spacing w:line="276" w:lineRule="auto"/>
        <w:rPr>
          <w:rFonts w:asciiTheme="minorBidi" w:hAnsiTheme="minorBidi"/>
          <w:rtl/>
        </w:rPr>
      </w:pPr>
    </w:p>
    <w:p w14:paraId="0144D5D4"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منهج الدراسة</w:t>
      </w:r>
    </w:p>
    <w:p w14:paraId="48CBD3B9" w14:textId="77777777" w:rsidR="003B284B" w:rsidRPr="00407D80" w:rsidRDefault="003B284B" w:rsidP="008C0001">
      <w:pPr>
        <w:bidi/>
        <w:spacing w:line="276" w:lineRule="auto"/>
        <w:rPr>
          <w:rFonts w:asciiTheme="minorBidi" w:hAnsiTheme="minorBidi"/>
          <w:rtl/>
        </w:rPr>
      </w:pPr>
    </w:p>
    <w:p w14:paraId="0D4888B1" w14:textId="4993D349" w:rsidR="003B284B" w:rsidRPr="00407D80" w:rsidRDefault="001202B3" w:rsidP="008C0001">
      <w:pPr>
        <w:bidi/>
        <w:spacing w:line="276" w:lineRule="auto"/>
        <w:rPr>
          <w:rFonts w:asciiTheme="minorBidi" w:hAnsiTheme="minorBidi"/>
          <w:rtl/>
        </w:rPr>
      </w:pPr>
      <w:r w:rsidRPr="00407D80">
        <w:rPr>
          <w:rFonts w:asciiTheme="minorBidi" w:hAnsiTheme="minorBidi"/>
          <w:rtl/>
        </w:rPr>
        <w:t xml:space="preserve">تعتمد هذه الدراسة على منهج المسح الوصفي، لملاءمته لطبيعة الدراسة وأهدافها، حيث يهدف إلى جمع البيانات من عينة ممثلة من المسوقين السعوديين وتحليل آرائهم واتجاهاتهم نحو مدى دقة مؤشرات الأداء في الإعلانات المدفوعة وتأثيرها على جودة القرار التسويقي. </w:t>
      </w:r>
    </w:p>
    <w:p w14:paraId="530D8AD4" w14:textId="77777777" w:rsidR="001202B3" w:rsidRPr="00407D80" w:rsidRDefault="001202B3" w:rsidP="008C0001">
      <w:pPr>
        <w:bidi/>
        <w:spacing w:line="276" w:lineRule="auto"/>
        <w:rPr>
          <w:rFonts w:asciiTheme="minorBidi" w:hAnsiTheme="minorBidi"/>
          <w:rtl/>
        </w:rPr>
      </w:pPr>
    </w:p>
    <w:p w14:paraId="32B097AA"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مجتمع الدراسة</w:t>
      </w:r>
    </w:p>
    <w:p w14:paraId="3BB7126D" w14:textId="77777777" w:rsidR="003B284B" w:rsidRPr="00407D80" w:rsidRDefault="003B284B" w:rsidP="008C0001">
      <w:pPr>
        <w:bidi/>
        <w:spacing w:line="276" w:lineRule="auto"/>
        <w:rPr>
          <w:rFonts w:asciiTheme="minorBidi" w:hAnsiTheme="minorBidi"/>
          <w:rtl/>
        </w:rPr>
      </w:pPr>
    </w:p>
    <w:p w14:paraId="794AA5E1"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يتمثل مجتمع الدراسة في العاملين في مجال التسويق الرقمي ومديري الحملات الإعلانية في المؤسسات التي تعتمد على الإعلانات الرقمية في الترويج لمنتجاتها أو خدماتها، وذلك نظراً لدورهم المباشر في تحليل مؤشرات الأداء الخاصة بالحملات الإعلانية الرقمية واتخاذ القرارات التسويقية بناءً عليها</w:t>
      </w:r>
      <w:r w:rsidRPr="00407D80">
        <w:rPr>
          <w:rFonts w:asciiTheme="minorBidi" w:hAnsiTheme="minorBidi"/>
        </w:rPr>
        <w:t>.</w:t>
      </w:r>
    </w:p>
    <w:p w14:paraId="3FCA911D" w14:textId="77777777" w:rsidR="003B284B" w:rsidRPr="00407D80" w:rsidRDefault="003B284B" w:rsidP="008C0001">
      <w:pPr>
        <w:bidi/>
        <w:spacing w:line="276" w:lineRule="auto"/>
        <w:rPr>
          <w:rFonts w:asciiTheme="minorBidi" w:hAnsiTheme="minorBidi"/>
          <w:rtl/>
        </w:rPr>
      </w:pPr>
    </w:p>
    <w:p w14:paraId="592DE06C"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عينة الدراسة</w:t>
      </w:r>
    </w:p>
    <w:p w14:paraId="500775BC" w14:textId="77777777" w:rsidR="003B284B" w:rsidRPr="00407D80" w:rsidRDefault="003B284B" w:rsidP="008C0001">
      <w:pPr>
        <w:bidi/>
        <w:spacing w:line="276" w:lineRule="auto"/>
        <w:rPr>
          <w:rFonts w:asciiTheme="minorBidi" w:hAnsiTheme="minorBidi"/>
          <w:rtl/>
        </w:rPr>
      </w:pPr>
    </w:p>
    <w:p w14:paraId="493C99B8"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تمثل عينة الدراسة مجموعة من العاملين في مجال التسويق الرقمي ومديري الحملات الإعلانية الذين لديهم خبرة في إدارة الحملات الإعلانية الرقمية وتحليل مؤشرات الأداء الخاصة بها</w:t>
      </w:r>
      <w:r w:rsidRPr="00407D80">
        <w:rPr>
          <w:rFonts w:asciiTheme="minorBidi" w:hAnsiTheme="minorBidi"/>
        </w:rPr>
        <w:t>.</w:t>
      </w:r>
    </w:p>
    <w:p w14:paraId="34E1FB51" w14:textId="77777777" w:rsidR="003B284B" w:rsidRPr="00407D80" w:rsidRDefault="003B284B" w:rsidP="008C0001">
      <w:pPr>
        <w:bidi/>
        <w:spacing w:line="276" w:lineRule="auto"/>
        <w:rPr>
          <w:rFonts w:asciiTheme="minorBidi" w:hAnsiTheme="minorBidi"/>
          <w:rtl/>
        </w:rPr>
      </w:pPr>
    </w:p>
    <w:p w14:paraId="5C73133D" w14:textId="77777777" w:rsidR="003B284B" w:rsidRPr="00407D80" w:rsidRDefault="003B284B" w:rsidP="008C0001">
      <w:pPr>
        <w:bidi/>
        <w:spacing w:line="276" w:lineRule="auto"/>
        <w:rPr>
          <w:rFonts w:asciiTheme="minorBidi" w:hAnsiTheme="minorBidi"/>
          <w:rtl/>
        </w:rPr>
      </w:pPr>
      <w:r w:rsidRPr="00407D80">
        <w:rPr>
          <w:rFonts w:asciiTheme="minorBidi" w:hAnsiTheme="minorBidi"/>
          <w:rtl/>
        </w:rPr>
        <w:t>أدوات جمع البيانات</w:t>
      </w:r>
    </w:p>
    <w:p w14:paraId="45B5E992" w14:textId="77777777" w:rsidR="003B284B" w:rsidRPr="00407D80" w:rsidRDefault="003B284B" w:rsidP="008C0001">
      <w:pPr>
        <w:bidi/>
        <w:spacing w:line="276" w:lineRule="auto"/>
        <w:rPr>
          <w:rFonts w:asciiTheme="minorBidi" w:hAnsiTheme="minorBidi"/>
          <w:rtl/>
        </w:rPr>
      </w:pPr>
    </w:p>
    <w:p w14:paraId="4BD231FD" w14:textId="6ECE5AC8" w:rsidR="00D70449" w:rsidRPr="00407D80" w:rsidRDefault="003B284B" w:rsidP="008C0001">
      <w:pPr>
        <w:bidi/>
        <w:spacing w:line="276" w:lineRule="auto"/>
        <w:rPr>
          <w:rFonts w:asciiTheme="minorBidi" w:hAnsiTheme="minorBidi"/>
          <w:rtl/>
        </w:rPr>
      </w:pPr>
      <w:r w:rsidRPr="00407D80">
        <w:rPr>
          <w:rFonts w:asciiTheme="minorBidi" w:hAnsiTheme="minorBidi"/>
          <w:rtl/>
        </w:rPr>
        <w:t>تعتمد الدراسة على الاستبانة كأداة رئيسية لجمع البيانات، حيث سيتم تصميم استبانة موجهة إلى العاملين في مجال التسويق الرقمي ومديري الحملات الإعلانية بهدف قياس درجة اعتمادهم على مؤشرات الأداء التي توفرها منصات الإعلانات الرقمية، بالإضافة إلى قياس مدى تأثير هذه المؤشرات على جودة القرارات التسويقية المتعلقة بإدارة الحملات الإعلانية.</w:t>
      </w:r>
    </w:p>
    <w:p w14:paraId="48BF5E92" w14:textId="77777777" w:rsidR="00D70449" w:rsidRPr="00407D80" w:rsidRDefault="00D70449" w:rsidP="008C0001">
      <w:pPr>
        <w:bidi/>
        <w:spacing w:line="276" w:lineRule="auto"/>
        <w:rPr>
          <w:rFonts w:asciiTheme="minorBidi" w:hAnsiTheme="minorBidi"/>
          <w:rtl/>
        </w:rPr>
      </w:pPr>
    </w:p>
    <w:p w14:paraId="284DFB0F" w14:textId="11847496" w:rsidR="00D70449" w:rsidRPr="00407D80" w:rsidRDefault="003B284B" w:rsidP="008C0001">
      <w:pPr>
        <w:bidi/>
        <w:spacing w:line="276" w:lineRule="auto"/>
        <w:rPr>
          <w:rFonts w:asciiTheme="minorBidi" w:hAnsiTheme="minorBidi"/>
          <w:rtl/>
        </w:rPr>
      </w:pPr>
      <w:r w:rsidRPr="00407D80">
        <w:rPr>
          <w:rFonts w:asciiTheme="minorBidi" w:hAnsiTheme="minorBidi"/>
          <w:rtl/>
        </w:rPr>
        <w:t>وسيتم استخدام مقياس ليكرت الخماسي (</w:t>
      </w:r>
      <w:r w:rsidRPr="00407D80">
        <w:rPr>
          <w:rFonts w:asciiTheme="minorBidi" w:hAnsiTheme="minorBidi"/>
        </w:rPr>
        <w:t>Likert Scale</w:t>
      </w:r>
      <w:r w:rsidRPr="00407D80">
        <w:rPr>
          <w:rFonts w:asciiTheme="minorBidi" w:hAnsiTheme="minorBidi"/>
          <w:rtl/>
        </w:rPr>
        <w:t>) لقياس استجابات المبحوثين تجاه عبارات الاستبانة، حيث تتدرج الإجابات بين (أوافق بشدة) و(لا أوافق بشدة). كما سيتم تحليل البيانات التي يتم جمعها باستخدام الأساليب الإحصائية المناسبة مثل المتوسطات الحسابية والانحرافات المعيارية واختبار الارتباط والانحدار الإحصائي، وذلك لاختبار فروض الدراسة وتحليل العلاقة بين متغيراتها.</w:t>
      </w:r>
    </w:p>
    <w:p w14:paraId="6A4D3443" w14:textId="77777777" w:rsidR="003B284B" w:rsidRPr="00407D80" w:rsidRDefault="003B284B" w:rsidP="008C0001">
      <w:pPr>
        <w:bidi/>
        <w:spacing w:line="276" w:lineRule="auto"/>
        <w:rPr>
          <w:rFonts w:asciiTheme="minorBidi" w:hAnsiTheme="minorBidi"/>
          <w:rtl/>
        </w:rPr>
      </w:pPr>
    </w:p>
    <w:p w14:paraId="451B07EA" w14:textId="77777777" w:rsidR="00A75B8D" w:rsidRPr="00407D80" w:rsidRDefault="00A75B8D" w:rsidP="008C0001">
      <w:pPr>
        <w:pStyle w:val="Heading1"/>
        <w:bidi/>
        <w:spacing w:line="276" w:lineRule="auto"/>
        <w:rPr>
          <w:rFonts w:cstheme="minorBidi"/>
          <w:b w:val="0"/>
          <w:bCs/>
          <w:rtl/>
        </w:rPr>
      </w:pPr>
      <w:bookmarkStart w:id="50" w:name="_Toc224344404"/>
      <w:bookmarkStart w:id="51" w:name="_Toc224416160"/>
      <w:bookmarkStart w:id="52" w:name="_Toc224420477"/>
      <w:bookmarkStart w:id="53" w:name="_Toc224422457"/>
      <w:bookmarkStart w:id="54" w:name="_Toc228065405"/>
      <w:r w:rsidRPr="00407D80">
        <w:rPr>
          <w:rFonts w:cstheme="minorBidi"/>
          <w:b w:val="0"/>
          <w:bCs/>
          <w:rtl/>
        </w:rPr>
        <w:t>نوعية الدراسة</w:t>
      </w:r>
      <w:bookmarkEnd w:id="50"/>
      <w:bookmarkEnd w:id="51"/>
      <w:bookmarkEnd w:id="52"/>
      <w:bookmarkEnd w:id="53"/>
      <w:bookmarkEnd w:id="54"/>
    </w:p>
    <w:p w14:paraId="390B7207" w14:textId="77777777" w:rsidR="00A75B8D" w:rsidRPr="00407D80" w:rsidRDefault="00A75B8D" w:rsidP="008C0001">
      <w:pPr>
        <w:bidi/>
        <w:spacing w:line="276" w:lineRule="auto"/>
        <w:rPr>
          <w:rFonts w:asciiTheme="minorBidi" w:hAnsiTheme="minorBidi"/>
          <w:rtl/>
        </w:rPr>
      </w:pPr>
    </w:p>
    <w:p w14:paraId="6DD468E3" w14:textId="77777777" w:rsidR="00407D80" w:rsidRPr="00407D80" w:rsidRDefault="00A75B8D" w:rsidP="00407D80">
      <w:pPr>
        <w:bidi/>
        <w:spacing w:line="276" w:lineRule="auto"/>
        <w:rPr>
          <w:rFonts w:asciiTheme="minorBidi" w:hAnsiTheme="minorBidi"/>
          <w:rtl/>
        </w:rPr>
      </w:pPr>
      <w:r w:rsidRPr="00407D80">
        <w:rPr>
          <w:rFonts w:asciiTheme="minorBidi" w:hAnsiTheme="minorBidi"/>
          <w:rtl/>
        </w:rPr>
        <w:t>تنتمي هذه الدراسة إلى الدراسات الوصفية التحليلية، حيث تهدف إلى وصف وتحليل العلاقة بين استخدام مؤشرات الأداء في الإعلانات المدفوعة وجودة القرار التسويقي. وتعتمد الدراسة على المنهج الوصفي التحليلي لدراسة الظاهرة محل البحث من خلال تحليل البيانات والمعلومات المتعلقة باستخدام مؤشرات الأداء في الحملات الإعلانية الرقمية وتأثيرها على عملية اتخاذ القرار التسويقي.</w:t>
      </w:r>
      <w:bookmarkStart w:id="55" w:name="_Toc224344406"/>
      <w:bookmarkStart w:id="56" w:name="_Toc224416161"/>
      <w:bookmarkStart w:id="57" w:name="_Toc224420478"/>
      <w:bookmarkStart w:id="58" w:name="_Toc224422458"/>
    </w:p>
    <w:p w14:paraId="36699403" w14:textId="77777777" w:rsidR="00407D80" w:rsidRPr="00407D80" w:rsidRDefault="00407D80" w:rsidP="00407D80">
      <w:pPr>
        <w:bidi/>
        <w:spacing w:line="276" w:lineRule="auto"/>
        <w:rPr>
          <w:rFonts w:asciiTheme="minorBidi" w:hAnsiTheme="minorBidi"/>
          <w:rtl/>
        </w:rPr>
      </w:pPr>
    </w:p>
    <w:p w14:paraId="7A2282D0" w14:textId="4CB427D9" w:rsidR="008C0001" w:rsidRPr="00407D80" w:rsidRDefault="008C0001" w:rsidP="00407D80">
      <w:pPr>
        <w:pStyle w:val="Heading1"/>
        <w:bidi/>
        <w:rPr>
          <w:rFonts w:cstheme="minorBidi"/>
          <w:bCs/>
        </w:rPr>
      </w:pPr>
      <w:bookmarkStart w:id="59" w:name="_Toc228065406"/>
      <w:r w:rsidRPr="00407D80">
        <w:rPr>
          <w:rFonts w:cstheme="minorBidi"/>
          <w:bCs/>
          <w:rtl/>
        </w:rPr>
        <w:t>تحليل البيانات واختبار فروض الدراسة</w:t>
      </w:r>
      <w:bookmarkEnd w:id="59"/>
    </w:p>
    <w:p w14:paraId="1901634B" w14:textId="59DC488C" w:rsidR="008C0001" w:rsidRPr="00407D80" w:rsidRDefault="008C0001" w:rsidP="008C0001">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يستعرض هذا </w:t>
      </w:r>
      <w:r w:rsidR="00407D80" w:rsidRPr="00407D80">
        <w:rPr>
          <w:rFonts w:asciiTheme="minorBidi" w:eastAsia="Sakkal Majalla" w:hAnsiTheme="minorBidi"/>
          <w:color w:val="000000"/>
          <w:rtl/>
        </w:rPr>
        <w:t>القسم</w:t>
      </w:r>
      <w:r w:rsidRPr="00407D80">
        <w:rPr>
          <w:rFonts w:asciiTheme="minorBidi" w:eastAsia="Sakkal Majalla" w:hAnsiTheme="minorBidi"/>
          <w:color w:val="000000"/>
          <w:rtl/>
        </w:rPr>
        <w:t xml:space="preserve"> النتائج الإحصائية التي تم التوصل إليها من خلال تحليل بيانات الاستبانة التي تم توزيعها على المتخصصين العاملين في مجال الإعلانات الرقمية المدفوعة في السوق السعودي، وذلك بهدف اختبار فروض الدراسة المتعلقة بتأثير مؤشرات الأداء التي تعرضها المنصات الإعلانية على جودة القرار التسويقي. ويتناول </w:t>
      </w:r>
      <w:r w:rsidR="00407D80" w:rsidRPr="00407D80">
        <w:rPr>
          <w:rFonts w:asciiTheme="minorBidi" w:eastAsia="Sakkal Majalla" w:hAnsiTheme="minorBidi"/>
          <w:color w:val="000000"/>
          <w:rtl/>
        </w:rPr>
        <w:t>القسم</w:t>
      </w:r>
      <w:r w:rsidRPr="00407D80">
        <w:rPr>
          <w:rFonts w:asciiTheme="minorBidi" w:eastAsia="Sakkal Majalla" w:hAnsiTheme="minorBidi"/>
          <w:color w:val="000000"/>
          <w:rtl/>
        </w:rPr>
        <w:t xml:space="preserve"> أربعة محاور رئيسية، حيث يبدأ بوصف خصائص عينة الدراسة، ثم ينتقل إلى التحليل الإحصائي الوصفي لاستجابات أفراد العينة على عبارات المقياس، ثم اختبار ثبات المقياس وصدقه، وينتهي بتحليل الارتباط والانحدار لاختبار فروض الدراسة.</w:t>
      </w:r>
    </w:p>
    <w:p w14:paraId="654B064A" w14:textId="77777777" w:rsidR="008C0001" w:rsidRPr="00407D80" w:rsidRDefault="008C0001" w:rsidP="008C0001">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وقد جرى تنفيذ التحليل الإحصائي وفقاً للمنهجية الكمية المعتمدة في الدراسات السلوكية، باستخدام الأساليب الإحصائية المتعارف عليها في علوم التسويق والإدارة، بما يضمن سلامة الاستدلال العلمي ودقة التفسير. كما تم استخدام برنامج الحزمة الإحصائية للعلوم الاجتماعية (SPSS) في معالجة البيانات وإجراء الاختبارات الإحصائية المطلوبة، باعتباره من أكثر البرامج استخداماً في البحوث التسويقية والاجتماعية.</w:t>
      </w:r>
    </w:p>
    <w:p w14:paraId="0A3D411E" w14:textId="0E6B4C88" w:rsidR="008C0001" w:rsidRPr="00407D80" w:rsidRDefault="008C0001" w:rsidP="00407D80">
      <w:pPr>
        <w:pStyle w:val="Heading1"/>
        <w:bidi/>
        <w:rPr>
          <w:rFonts w:cstheme="minorBidi"/>
          <w:b w:val="0"/>
          <w:bCs/>
        </w:rPr>
      </w:pPr>
      <w:bookmarkStart w:id="60" w:name="_Toc228065407"/>
      <w:r w:rsidRPr="00407D80">
        <w:rPr>
          <w:rFonts w:cstheme="minorBidi"/>
          <w:b w:val="0"/>
          <w:bCs/>
          <w:rtl/>
        </w:rPr>
        <w:t>تنقية البيانات وتطبيق سؤال الفرز</w:t>
      </w:r>
      <w:bookmarkEnd w:id="60"/>
    </w:p>
    <w:p w14:paraId="6AF7D584" w14:textId="647F781B"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بلغ إجمالي الاستجابات المستلمة عبر استبانة جوجل (Google Forms) 60 استجابة. وانطلاقاً من ضرورة ضمان أن تكون نتائج الدراسة معبرة فعلاً عن الفئة المستهدفة، وهم المتخصصون الذين يتعاملون مع مؤشرات الأداء الإعلاني ويتخذون </w:t>
      </w:r>
      <w:r w:rsidRPr="00407D80">
        <w:rPr>
          <w:rFonts w:asciiTheme="minorBidi" w:eastAsia="Sakkal Majalla" w:hAnsiTheme="minorBidi"/>
          <w:color w:val="000000"/>
          <w:rtl/>
        </w:rPr>
        <w:lastRenderedPageBreak/>
        <w:t>قرارات تسويقية مبنية عليها، فقد تضمنت الاستبانة سؤال فرز إلزامي في بدايتها ونصه: "هل يتضمن دورك الوظيفي تحليل أداء الحملات الإعلانية المدفوعة، أو مراجعة نتائجها، أو اتخاذ قرارات تسويقية مبنية عليها؟".</w:t>
      </w:r>
    </w:p>
    <w:p w14:paraId="40C71CF1"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وبتطبيق هذا السؤال، تم استبعاد 29 استجابة لمن أجابوا </w:t>
      </w:r>
      <w:proofErr w:type="gramStart"/>
      <w:r w:rsidRPr="00407D80">
        <w:rPr>
          <w:rFonts w:asciiTheme="minorBidi" w:eastAsia="Sakkal Majalla" w:hAnsiTheme="minorBidi"/>
          <w:color w:val="000000"/>
          <w:rtl/>
        </w:rPr>
        <w:t>بـ"</w:t>
      </w:r>
      <w:proofErr w:type="gramEnd"/>
      <w:r w:rsidRPr="00407D80">
        <w:rPr>
          <w:rFonts w:asciiTheme="minorBidi" w:eastAsia="Sakkal Majalla" w:hAnsiTheme="minorBidi"/>
          <w:color w:val="000000"/>
          <w:rtl/>
        </w:rPr>
        <w:t>لا"، حيث إن إدراجها في التحليل كان سيؤدي إلى تشويش في النتائج لكونها صادرة عن أفراد لا يملكون الإطار المرجعي العملي الكافي للحكم على دقة المؤشرات. وبذلك بلغ حجم العينة الفعلي للتحليل (ن = 31) استجابة صالحة، وتمثل هذه الاستجابات نسبة 51.7% من إجمالي الردود المستلمة. ويعد هذا الإجراء ضرورياً للحفاظ على سلامة النتائج، حيث إن جودة العينة في الدراسات المتخصصة تعد أهم من حجمها.</w:t>
      </w:r>
    </w:p>
    <w:p w14:paraId="31AE2A49" w14:textId="1773403D" w:rsidR="008C0001" w:rsidRPr="00407D80" w:rsidRDefault="008C0001" w:rsidP="00407D80">
      <w:pPr>
        <w:pStyle w:val="Heading1"/>
        <w:bidi/>
        <w:rPr>
          <w:rFonts w:cstheme="minorBidi"/>
          <w:b w:val="0"/>
          <w:bCs/>
        </w:rPr>
      </w:pPr>
      <w:bookmarkStart w:id="61" w:name="_Toc228065408"/>
      <w:r w:rsidRPr="00407D80">
        <w:rPr>
          <w:rFonts w:cstheme="minorBidi"/>
          <w:b w:val="0"/>
          <w:bCs/>
          <w:rtl/>
        </w:rPr>
        <w:t>وصف الخصائص الديموغرافية لعينة الدراسة</w:t>
      </w:r>
      <w:bookmarkEnd w:id="61"/>
    </w:p>
    <w:p w14:paraId="0198F91B"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يقدم هذا القسم وصفاً لأبرز الخصائص الديموغرافية والوظيفية لأفراد عينة الدراسة، باستخدام التكرارات والنسب المئوية، وذلك بهدف بناء فهم سياقي لخلفيات المستجيبين قبل الانتقال إلى تحليل استجاباتهم على فقرات المقياس. وتشمل هذه الخصائص الجنس، والفئة العمرية، والمؤهل العلمي، والمسمى الوظيفي، ونوع جهة العمل، والقسم الوظيفي، وسنوات الخبرة، وحجم جهة العمل، والمنصات الإعلانية المستخدمة.</w:t>
      </w:r>
    </w:p>
    <w:p w14:paraId="64993854" w14:textId="2F091CB0"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w:t>
      </w:r>
      <w:r w:rsidR="00407D80" w:rsidRPr="00407D80">
        <w:rPr>
          <w:rFonts w:asciiTheme="minorBidi" w:eastAsia="Sakkal Majalla" w:hAnsiTheme="minorBidi" w:cstheme="minorBidi"/>
          <w:rtl/>
        </w:rPr>
        <w:t>1</w:t>
      </w:r>
      <w:r w:rsidRPr="00407D80">
        <w:rPr>
          <w:rFonts w:asciiTheme="minorBidi" w:eastAsia="Sakkal Majalla" w:hAnsiTheme="minorBidi" w:cstheme="minorBidi"/>
          <w:rtl/>
        </w:rPr>
        <w:t>): التوزيع التكراري لأفراد العينة وفقاً للجنس</w:t>
      </w:r>
    </w:p>
    <w:tbl>
      <w:tblPr>
        <w:tblStyle w:val="TableGrid"/>
        <w:bidiVisual/>
        <w:tblW w:w="5000" w:type="pct"/>
        <w:jc w:val="center"/>
        <w:tblLook w:val="04A0" w:firstRow="1" w:lastRow="0" w:firstColumn="1" w:lastColumn="0" w:noHBand="0" w:noVBand="1"/>
      </w:tblPr>
      <w:tblGrid>
        <w:gridCol w:w="3114"/>
        <w:gridCol w:w="3115"/>
        <w:gridCol w:w="3115"/>
      </w:tblGrid>
      <w:tr w:rsidR="008C0001" w:rsidRPr="00407D80" w14:paraId="3914147E"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512DF3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الجنس</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2009E0C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التكرار</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3600003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النسبة المئوية</w:t>
            </w:r>
          </w:p>
        </w:tc>
      </w:tr>
      <w:tr w:rsidR="008C0001" w:rsidRPr="00407D80" w14:paraId="2DE28F0D"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5263048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أنثى</w:t>
            </w:r>
          </w:p>
        </w:tc>
        <w:tc>
          <w:tcPr>
            <w:tcW w:w="2835" w:type="dxa"/>
            <w:tcBorders>
              <w:top w:val="single" w:sz="6" w:space="0" w:color="000000"/>
              <w:left w:val="single" w:sz="6" w:space="0" w:color="000000"/>
              <w:bottom w:val="single" w:sz="6" w:space="0" w:color="000000"/>
              <w:right w:val="single" w:sz="6" w:space="0" w:color="000000"/>
            </w:tcBorders>
            <w:vAlign w:val="center"/>
          </w:tcPr>
          <w:p w14:paraId="3BB2B32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16</w:t>
            </w:r>
          </w:p>
        </w:tc>
        <w:tc>
          <w:tcPr>
            <w:tcW w:w="2835" w:type="dxa"/>
            <w:tcBorders>
              <w:top w:val="single" w:sz="6" w:space="0" w:color="000000"/>
              <w:left w:val="single" w:sz="6" w:space="0" w:color="000000"/>
              <w:bottom w:val="single" w:sz="6" w:space="0" w:color="000000"/>
              <w:right w:val="single" w:sz="6" w:space="0" w:color="000000"/>
            </w:tcBorders>
            <w:vAlign w:val="center"/>
          </w:tcPr>
          <w:p w14:paraId="519074E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51.61%</w:t>
            </w:r>
          </w:p>
        </w:tc>
      </w:tr>
      <w:tr w:rsidR="008C0001" w:rsidRPr="00407D80" w14:paraId="767B2D35"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6796AF3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ذكر</w:t>
            </w:r>
          </w:p>
        </w:tc>
        <w:tc>
          <w:tcPr>
            <w:tcW w:w="2835" w:type="dxa"/>
            <w:tcBorders>
              <w:top w:val="single" w:sz="6" w:space="0" w:color="000000"/>
              <w:left w:val="single" w:sz="6" w:space="0" w:color="000000"/>
              <w:bottom w:val="single" w:sz="6" w:space="0" w:color="000000"/>
              <w:right w:val="single" w:sz="6" w:space="0" w:color="000000"/>
            </w:tcBorders>
            <w:vAlign w:val="center"/>
          </w:tcPr>
          <w:p w14:paraId="1ACD252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15</w:t>
            </w:r>
          </w:p>
        </w:tc>
        <w:tc>
          <w:tcPr>
            <w:tcW w:w="2835" w:type="dxa"/>
            <w:tcBorders>
              <w:top w:val="single" w:sz="6" w:space="0" w:color="000000"/>
              <w:left w:val="single" w:sz="6" w:space="0" w:color="000000"/>
              <w:bottom w:val="single" w:sz="6" w:space="0" w:color="000000"/>
              <w:right w:val="single" w:sz="6" w:space="0" w:color="000000"/>
            </w:tcBorders>
            <w:vAlign w:val="center"/>
          </w:tcPr>
          <w:p w14:paraId="4B1818C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48.39%</w:t>
            </w:r>
          </w:p>
        </w:tc>
      </w:tr>
      <w:tr w:rsidR="008C0001" w:rsidRPr="00407D80" w14:paraId="395B5CBE"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6E823CD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الإجمالي</w:t>
            </w:r>
          </w:p>
        </w:tc>
        <w:tc>
          <w:tcPr>
            <w:tcW w:w="2835" w:type="dxa"/>
            <w:tcBorders>
              <w:top w:val="single" w:sz="6" w:space="0" w:color="000000"/>
              <w:left w:val="single" w:sz="6" w:space="0" w:color="000000"/>
              <w:bottom w:val="single" w:sz="6" w:space="0" w:color="000000"/>
              <w:right w:val="single" w:sz="6" w:space="0" w:color="000000"/>
            </w:tcBorders>
            <w:vAlign w:val="center"/>
          </w:tcPr>
          <w:p w14:paraId="156413C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31</w:t>
            </w:r>
          </w:p>
        </w:tc>
        <w:tc>
          <w:tcPr>
            <w:tcW w:w="2835" w:type="dxa"/>
            <w:tcBorders>
              <w:top w:val="single" w:sz="6" w:space="0" w:color="000000"/>
              <w:left w:val="single" w:sz="6" w:space="0" w:color="000000"/>
              <w:bottom w:val="single" w:sz="6" w:space="0" w:color="000000"/>
              <w:right w:val="single" w:sz="6" w:space="0" w:color="000000"/>
            </w:tcBorders>
            <w:vAlign w:val="center"/>
          </w:tcPr>
          <w:p w14:paraId="3B57FB9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100.00%</w:t>
            </w:r>
          </w:p>
        </w:tc>
      </w:tr>
    </w:tbl>
    <w:p w14:paraId="0101C828" w14:textId="5204AAE5"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يتضح من الجدول (</w:t>
      </w:r>
      <w:r w:rsidR="00407D80" w:rsidRPr="00407D80">
        <w:rPr>
          <w:rFonts w:asciiTheme="minorBidi" w:eastAsia="Sakkal Majalla" w:hAnsiTheme="minorBidi"/>
          <w:color w:val="000000"/>
          <w:lang w:val="en-US"/>
        </w:rPr>
        <w:t>1</w:t>
      </w:r>
      <w:r w:rsidRPr="00407D80">
        <w:rPr>
          <w:rFonts w:asciiTheme="minorBidi" w:eastAsia="Sakkal Majalla" w:hAnsiTheme="minorBidi"/>
          <w:color w:val="000000"/>
          <w:rtl/>
        </w:rPr>
        <w:t>) أن عينة الدراسة جاءت متوازنة تقريباً من حيث التوزيع الجنسي، حيث بلغت نسبة الإناث 51.61%، ونسبة الذكور 48.39%. ويشير هذا التوازن إلى انعكاس واقعي لطبيعة سوق العمل في قطاع التسويق الرقمي، الذي شهد في السنوات الأخيرة دخولاً متنامياً للكفاءات النسائية، وهو ما يعزز موضوعية النتائج وعدم تحيزها لجنس بعينه.</w:t>
      </w:r>
    </w:p>
    <w:p w14:paraId="3C6865EC" w14:textId="277F0BEF"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w:t>
      </w:r>
      <w:r w:rsidR="00407D80" w:rsidRPr="00407D80">
        <w:rPr>
          <w:rFonts w:asciiTheme="minorBidi" w:eastAsia="Sakkal Majalla" w:hAnsiTheme="minorBidi" w:cstheme="minorBidi"/>
          <w:lang w:val="en-US"/>
        </w:rPr>
        <w:t>2</w:t>
      </w:r>
      <w:r w:rsidRPr="00407D80">
        <w:rPr>
          <w:rFonts w:asciiTheme="minorBidi" w:eastAsia="Sakkal Majalla" w:hAnsiTheme="minorBidi" w:cstheme="minorBidi"/>
          <w:rtl/>
        </w:rPr>
        <w:t>): التوزيع التكراري لأفراد العينة وفقاً للفئة العمرية</w:t>
      </w:r>
    </w:p>
    <w:tbl>
      <w:tblPr>
        <w:tblStyle w:val="TableGrid"/>
        <w:bidiVisual/>
        <w:tblW w:w="5000" w:type="pct"/>
        <w:jc w:val="center"/>
        <w:tblLook w:val="04A0" w:firstRow="1" w:lastRow="0" w:firstColumn="1" w:lastColumn="0" w:noHBand="0" w:noVBand="1"/>
      </w:tblPr>
      <w:tblGrid>
        <w:gridCol w:w="3114"/>
        <w:gridCol w:w="3115"/>
        <w:gridCol w:w="3115"/>
      </w:tblGrid>
      <w:tr w:rsidR="008C0001" w:rsidRPr="00407D80" w14:paraId="64F7A545"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0C1ADBD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الفئة العمرية</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7D70828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التكرار</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04C2A1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النسبة المئوية</w:t>
            </w:r>
          </w:p>
        </w:tc>
      </w:tr>
      <w:tr w:rsidR="008C0001" w:rsidRPr="00407D80" w14:paraId="3168A12C"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0B8C3E0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 36 إلى أقل من 45 سنة</w:t>
            </w:r>
          </w:p>
        </w:tc>
        <w:tc>
          <w:tcPr>
            <w:tcW w:w="2835" w:type="dxa"/>
            <w:tcBorders>
              <w:top w:val="single" w:sz="6" w:space="0" w:color="000000"/>
              <w:left w:val="single" w:sz="6" w:space="0" w:color="000000"/>
              <w:bottom w:val="single" w:sz="6" w:space="0" w:color="000000"/>
              <w:right w:val="single" w:sz="6" w:space="0" w:color="000000"/>
            </w:tcBorders>
            <w:vAlign w:val="center"/>
          </w:tcPr>
          <w:p w14:paraId="1E33827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16</w:t>
            </w:r>
          </w:p>
        </w:tc>
        <w:tc>
          <w:tcPr>
            <w:tcW w:w="2835" w:type="dxa"/>
            <w:tcBorders>
              <w:top w:val="single" w:sz="6" w:space="0" w:color="000000"/>
              <w:left w:val="single" w:sz="6" w:space="0" w:color="000000"/>
              <w:bottom w:val="single" w:sz="6" w:space="0" w:color="000000"/>
              <w:right w:val="single" w:sz="6" w:space="0" w:color="000000"/>
            </w:tcBorders>
            <w:vAlign w:val="center"/>
          </w:tcPr>
          <w:p w14:paraId="3920910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51.61%</w:t>
            </w:r>
          </w:p>
        </w:tc>
      </w:tr>
      <w:tr w:rsidR="008C0001" w:rsidRPr="00407D80" w14:paraId="1ADBDB9A"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15FBD07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 26 إلى أقل من 35 سنة</w:t>
            </w:r>
          </w:p>
        </w:tc>
        <w:tc>
          <w:tcPr>
            <w:tcW w:w="2835" w:type="dxa"/>
            <w:tcBorders>
              <w:top w:val="single" w:sz="6" w:space="0" w:color="000000"/>
              <w:left w:val="single" w:sz="6" w:space="0" w:color="000000"/>
              <w:bottom w:val="single" w:sz="6" w:space="0" w:color="000000"/>
              <w:right w:val="single" w:sz="6" w:space="0" w:color="000000"/>
            </w:tcBorders>
            <w:vAlign w:val="center"/>
          </w:tcPr>
          <w:p w14:paraId="7879BAB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w:t>
            </w:r>
          </w:p>
        </w:tc>
        <w:tc>
          <w:tcPr>
            <w:tcW w:w="2835" w:type="dxa"/>
            <w:tcBorders>
              <w:top w:val="single" w:sz="6" w:space="0" w:color="000000"/>
              <w:left w:val="single" w:sz="6" w:space="0" w:color="000000"/>
              <w:bottom w:val="single" w:sz="6" w:space="0" w:color="000000"/>
              <w:right w:val="single" w:sz="6" w:space="0" w:color="000000"/>
            </w:tcBorders>
            <w:vAlign w:val="center"/>
          </w:tcPr>
          <w:p w14:paraId="70FC51D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32.26%</w:t>
            </w:r>
          </w:p>
        </w:tc>
      </w:tr>
      <w:tr w:rsidR="008C0001" w:rsidRPr="00407D80" w14:paraId="5E535FCD"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7F84759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أقل من 25 سنة</w:t>
            </w:r>
          </w:p>
        </w:tc>
        <w:tc>
          <w:tcPr>
            <w:tcW w:w="2835" w:type="dxa"/>
            <w:tcBorders>
              <w:top w:val="single" w:sz="6" w:space="0" w:color="000000"/>
              <w:left w:val="single" w:sz="6" w:space="0" w:color="000000"/>
              <w:bottom w:val="single" w:sz="6" w:space="0" w:color="000000"/>
              <w:right w:val="single" w:sz="6" w:space="0" w:color="000000"/>
            </w:tcBorders>
            <w:vAlign w:val="center"/>
          </w:tcPr>
          <w:p w14:paraId="17A0091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w:t>
            </w:r>
          </w:p>
        </w:tc>
        <w:tc>
          <w:tcPr>
            <w:tcW w:w="2835" w:type="dxa"/>
            <w:tcBorders>
              <w:top w:val="single" w:sz="6" w:space="0" w:color="000000"/>
              <w:left w:val="single" w:sz="6" w:space="0" w:color="000000"/>
              <w:bottom w:val="single" w:sz="6" w:space="0" w:color="000000"/>
              <w:right w:val="single" w:sz="6" w:space="0" w:color="000000"/>
            </w:tcBorders>
            <w:vAlign w:val="center"/>
          </w:tcPr>
          <w:p w14:paraId="718A365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9.68%</w:t>
            </w:r>
          </w:p>
        </w:tc>
      </w:tr>
      <w:tr w:rsidR="008C0001" w:rsidRPr="00407D80" w14:paraId="3954BE92"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3F8F1E4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46 سنة فأكثر</w:t>
            </w:r>
          </w:p>
        </w:tc>
        <w:tc>
          <w:tcPr>
            <w:tcW w:w="2835" w:type="dxa"/>
            <w:tcBorders>
              <w:top w:val="single" w:sz="6" w:space="0" w:color="000000"/>
              <w:left w:val="single" w:sz="6" w:space="0" w:color="000000"/>
              <w:bottom w:val="single" w:sz="6" w:space="0" w:color="000000"/>
              <w:right w:val="single" w:sz="6" w:space="0" w:color="000000"/>
            </w:tcBorders>
            <w:vAlign w:val="center"/>
          </w:tcPr>
          <w:p w14:paraId="708A603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2835" w:type="dxa"/>
            <w:tcBorders>
              <w:top w:val="single" w:sz="6" w:space="0" w:color="000000"/>
              <w:left w:val="single" w:sz="6" w:space="0" w:color="000000"/>
              <w:bottom w:val="single" w:sz="6" w:space="0" w:color="000000"/>
              <w:right w:val="single" w:sz="6" w:space="0" w:color="000000"/>
            </w:tcBorders>
            <w:vAlign w:val="center"/>
          </w:tcPr>
          <w:p w14:paraId="0799FB9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6.45%</w:t>
            </w:r>
          </w:p>
        </w:tc>
      </w:tr>
      <w:tr w:rsidR="008C0001" w:rsidRPr="00407D80" w14:paraId="663A9A30"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031FB92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الإجمالي</w:t>
            </w:r>
          </w:p>
        </w:tc>
        <w:tc>
          <w:tcPr>
            <w:tcW w:w="2835" w:type="dxa"/>
            <w:tcBorders>
              <w:top w:val="single" w:sz="6" w:space="0" w:color="000000"/>
              <w:left w:val="single" w:sz="6" w:space="0" w:color="000000"/>
              <w:bottom w:val="single" w:sz="6" w:space="0" w:color="000000"/>
              <w:right w:val="single" w:sz="6" w:space="0" w:color="000000"/>
            </w:tcBorders>
            <w:vAlign w:val="center"/>
          </w:tcPr>
          <w:p w14:paraId="730F36B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31</w:t>
            </w:r>
          </w:p>
        </w:tc>
        <w:tc>
          <w:tcPr>
            <w:tcW w:w="2835" w:type="dxa"/>
            <w:tcBorders>
              <w:top w:val="single" w:sz="6" w:space="0" w:color="000000"/>
              <w:left w:val="single" w:sz="6" w:space="0" w:color="000000"/>
              <w:bottom w:val="single" w:sz="6" w:space="0" w:color="000000"/>
              <w:right w:val="single" w:sz="6" w:space="0" w:color="000000"/>
            </w:tcBorders>
            <w:vAlign w:val="center"/>
          </w:tcPr>
          <w:p w14:paraId="29B37FC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100.00%</w:t>
            </w:r>
          </w:p>
        </w:tc>
      </w:tr>
    </w:tbl>
    <w:p w14:paraId="7139FE8C" w14:textId="376D5640"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يتبين من الجدول (</w:t>
      </w:r>
      <w:r w:rsidR="00407D80" w:rsidRPr="00407D80">
        <w:rPr>
          <w:rFonts w:asciiTheme="minorBidi" w:eastAsia="Sakkal Majalla" w:hAnsiTheme="minorBidi"/>
          <w:color w:val="000000"/>
          <w:lang w:val="en-US"/>
        </w:rPr>
        <w:t>2</w:t>
      </w:r>
      <w:r w:rsidRPr="00407D80">
        <w:rPr>
          <w:rFonts w:asciiTheme="minorBidi" w:eastAsia="Sakkal Majalla" w:hAnsiTheme="minorBidi"/>
          <w:color w:val="000000"/>
          <w:rtl/>
        </w:rPr>
        <w:t>) أن الغالبية العظمى من المستجيبين تتركز في الفئتين العمريتين (36 إلى 45 سنة) بنسبة 51.61%، و(26 إلى 35 سنة) بنسبة 32.26%، وبذلك تستحوذ هاتان الفئتان مجتمعتين على نحو 83.87% من إجمالي العينة. ويعد ذلك مؤشراً إيجابياً لجودة البيانات المجمعة، حيث يدل على أن المستجيبين هم في مرحلة النضج المهني، ويجمعون بين الخبرة العملية المتراكمة والتعامل المتقدم مع منصات الإعلان الرقمي، مما يضفي على إجاباتهم وزناً تحليلياً مرتفعاً.</w:t>
      </w:r>
    </w:p>
    <w:p w14:paraId="58E73C44" w14:textId="2D4E42CC"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w:t>
      </w:r>
      <w:r w:rsidR="00407D80" w:rsidRPr="00407D80">
        <w:rPr>
          <w:rFonts w:asciiTheme="minorBidi" w:eastAsia="Sakkal Majalla" w:hAnsiTheme="minorBidi" w:cstheme="minorBidi"/>
          <w:lang w:val="en-US"/>
        </w:rPr>
        <w:t>3</w:t>
      </w:r>
      <w:r w:rsidRPr="00407D80">
        <w:rPr>
          <w:rFonts w:asciiTheme="minorBidi" w:eastAsia="Sakkal Majalla" w:hAnsiTheme="minorBidi" w:cstheme="minorBidi"/>
          <w:rtl/>
        </w:rPr>
        <w:t>): التوزيع التكراري لأفراد العينة وفقاً للمؤهل العلمي</w:t>
      </w:r>
    </w:p>
    <w:tbl>
      <w:tblPr>
        <w:tblStyle w:val="TableGrid"/>
        <w:bidiVisual/>
        <w:tblW w:w="5000" w:type="pct"/>
        <w:jc w:val="center"/>
        <w:tblLook w:val="04A0" w:firstRow="1" w:lastRow="0" w:firstColumn="1" w:lastColumn="0" w:noHBand="0" w:noVBand="1"/>
      </w:tblPr>
      <w:tblGrid>
        <w:gridCol w:w="3114"/>
        <w:gridCol w:w="3115"/>
        <w:gridCol w:w="3115"/>
      </w:tblGrid>
      <w:tr w:rsidR="008C0001" w:rsidRPr="00407D80" w14:paraId="45645559"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39FFDCD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المؤهل العلمي</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27C7D94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التكرار</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38E85DD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النسبة المئوية</w:t>
            </w:r>
          </w:p>
        </w:tc>
      </w:tr>
      <w:tr w:rsidR="008C0001" w:rsidRPr="00407D80" w14:paraId="38C6695A"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352B0E2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بكالوريوس</w:t>
            </w:r>
          </w:p>
        </w:tc>
        <w:tc>
          <w:tcPr>
            <w:tcW w:w="2835" w:type="dxa"/>
            <w:tcBorders>
              <w:top w:val="single" w:sz="6" w:space="0" w:color="000000"/>
              <w:left w:val="single" w:sz="6" w:space="0" w:color="000000"/>
              <w:bottom w:val="single" w:sz="6" w:space="0" w:color="000000"/>
              <w:right w:val="single" w:sz="6" w:space="0" w:color="000000"/>
            </w:tcBorders>
            <w:vAlign w:val="center"/>
          </w:tcPr>
          <w:p w14:paraId="4FCB9BD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20</w:t>
            </w:r>
          </w:p>
        </w:tc>
        <w:tc>
          <w:tcPr>
            <w:tcW w:w="2835" w:type="dxa"/>
            <w:tcBorders>
              <w:top w:val="single" w:sz="6" w:space="0" w:color="000000"/>
              <w:left w:val="single" w:sz="6" w:space="0" w:color="000000"/>
              <w:bottom w:val="single" w:sz="6" w:space="0" w:color="000000"/>
              <w:right w:val="single" w:sz="6" w:space="0" w:color="000000"/>
            </w:tcBorders>
            <w:vAlign w:val="center"/>
          </w:tcPr>
          <w:p w14:paraId="5125F8C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64.52%</w:t>
            </w:r>
          </w:p>
        </w:tc>
      </w:tr>
      <w:tr w:rsidR="008C0001" w:rsidRPr="00407D80" w14:paraId="68522517"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2EC460D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lastRenderedPageBreak/>
              <w:t>ماجستير</w:t>
            </w:r>
          </w:p>
        </w:tc>
        <w:tc>
          <w:tcPr>
            <w:tcW w:w="2835" w:type="dxa"/>
            <w:tcBorders>
              <w:top w:val="single" w:sz="6" w:space="0" w:color="000000"/>
              <w:left w:val="single" w:sz="6" w:space="0" w:color="000000"/>
              <w:bottom w:val="single" w:sz="6" w:space="0" w:color="000000"/>
              <w:right w:val="single" w:sz="6" w:space="0" w:color="000000"/>
            </w:tcBorders>
            <w:vAlign w:val="center"/>
          </w:tcPr>
          <w:p w14:paraId="3EC4B67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8</w:t>
            </w:r>
          </w:p>
        </w:tc>
        <w:tc>
          <w:tcPr>
            <w:tcW w:w="2835" w:type="dxa"/>
            <w:tcBorders>
              <w:top w:val="single" w:sz="6" w:space="0" w:color="000000"/>
              <w:left w:val="single" w:sz="6" w:space="0" w:color="000000"/>
              <w:bottom w:val="single" w:sz="6" w:space="0" w:color="000000"/>
              <w:right w:val="single" w:sz="6" w:space="0" w:color="000000"/>
            </w:tcBorders>
            <w:vAlign w:val="center"/>
          </w:tcPr>
          <w:p w14:paraId="1B996F5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25.81%</w:t>
            </w:r>
          </w:p>
        </w:tc>
      </w:tr>
      <w:tr w:rsidR="008C0001" w:rsidRPr="00407D80" w14:paraId="25E11E05"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3265C92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الدبلوم أو أقل</w:t>
            </w:r>
          </w:p>
        </w:tc>
        <w:tc>
          <w:tcPr>
            <w:tcW w:w="2835" w:type="dxa"/>
            <w:tcBorders>
              <w:top w:val="single" w:sz="6" w:space="0" w:color="000000"/>
              <w:left w:val="single" w:sz="6" w:space="0" w:color="000000"/>
              <w:bottom w:val="single" w:sz="6" w:space="0" w:color="000000"/>
              <w:right w:val="single" w:sz="6" w:space="0" w:color="000000"/>
            </w:tcBorders>
            <w:vAlign w:val="center"/>
          </w:tcPr>
          <w:p w14:paraId="05E3E42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2835" w:type="dxa"/>
            <w:tcBorders>
              <w:top w:val="single" w:sz="6" w:space="0" w:color="000000"/>
              <w:left w:val="single" w:sz="6" w:space="0" w:color="000000"/>
              <w:bottom w:val="single" w:sz="6" w:space="0" w:color="000000"/>
              <w:right w:val="single" w:sz="6" w:space="0" w:color="000000"/>
            </w:tcBorders>
            <w:vAlign w:val="center"/>
          </w:tcPr>
          <w:p w14:paraId="12B431A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6.45%</w:t>
            </w:r>
          </w:p>
        </w:tc>
      </w:tr>
      <w:tr w:rsidR="008C0001" w:rsidRPr="00407D80" w14:paraId="66773434"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48497D8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دكتوراه</w:t>
            </w:r>
          </w:p>
        </w:tc>
        <w:tc>
          <w:tcPr>
            <w:tcW w:w="2835" w:type="dxa"/>
            <w:tcBorders>
              <w:top w:val="single" w:sz="6" w:space="0" w:color="000000"/>
              <w:left w:val="single" w:sz="6" w:space="0" w:color="000000"/>
              <w:bottom w:val="single" w:sz="6" w:space="0" w:color="000000"/>
              <w:right w:val="single" w:sz="6" w:space="0" w:color="000000"/>
            </w:tcBorders>
            <w:vAlign w:val="center"/>
          </w:tcPr>
          <w:p w14:paraId="4662A55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2835" w:type="dxa"/>
            <w:tcBorders>
              <w:top w:val="single" w:sz="6" w:space="0" w:color="000000"/>
              <w:left w:val="single" w:sz="6" w:space="0" w:color="000000"/>
              <w:bottom w:val="single" w:sz="6" w:space="0" w:color="000000"/>
              <w:right w:val="single" w:sz="6" w:space="0" w:color="000000"/>
            </w:tcBorders>
            <w:vAlign w:val="center"/>
          </w:tcPr>
          <w:p w14:paraId="516D3AD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3.23%</w:t>
            </w:r>
          </w:p>
        </w:tc>
      </w:tr>
      <w:tr w:rsidR="008C0001" w:rsidRPr="00407D80" w14:paraId="7CA59456"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061A908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الإجمالي</w:t>
            </w:r>
          </w:p>
        </w:tc>
        <w:tc>
          <w:tcPr>
            <w:tcW w:w="2835" w:type="dxa"/>
            <w:tcBorders>
              <w:top w:val="single" w:sz="6" w:space="0" w:color="000000"/>
              <w:left w:val="single" w:sz="6" w:space="0" w:color="000000"/>
              <w:bottom w:val="single" w:sz="6" w:space="0" w:color="000000"/>
              <w:right w:val="single" w:sz="6" w:space="0" w:color="000000"/>
            </w:tcBorders>
            <w:vAlign w:val="center"/>
          </w:tcPr>
          <w:p w14:paraId="4427322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31</w:t>
            </w:r>
          </w:p>
        </w:tc>
        <w:tc>
          <w:tcPr>
            <w:tcW w:w="2835" w:type="dxa"/>
            <w:tcBorders>
              <w:top w:val="single" w:sz="6" w:space="0" w:color="000000"/>
              <w:left w:val="single" w:sz="6" w:space="0" w:color="000000"/>
              <w:bottom w:val="single" w:sz="6" w:space="0" w:color="000000"/>
              <w:right w:val="single" w:sz="6" w:space="0" w:color="000000"/>
            </w:tcBorders>
            <w:vAlign w:val="center"/>
          </w:tcPr>
          <w:p w14:paraId="2EBBFB5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100.00%</w:t>
            </w:r>
          </w:p>
        </w:tc>
      </w:tr>
    </w:tbl>
    <w:p w14:paraId="7738AABD" w14:textId="01ABFC79"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يكشف الجدول (</w:t>
      </w:r>
      <w:r w:rsidR="00407D80" w:rsidRPr="00407D80">
        <w:rPr>
          <w:rFonts w:asciiTheme="minorBidi" w:eastAsia="Sakkal Majalla" w:hAnsiTheme="minorBidi"/>
          <w:color w:val="000000"/>
          <w:lang w:val="en-US"/>
        </w:rPr>
        <w:t>3</w:t>
      </w:r>
      <w:r w:rsidRPr="00407D80">
        <w:rPr>
          <w:rFonts w:asciiTheme="minorBidi" w:eastAsia="Sakkal Majalla" w:hAnsiTheme="minorBidi"/>
          <w:color w:val="000000"/>
          <w:rtl/>
        </w:rPr>
        <w:t>) عن ارتفاع المستوى التعليمي لأفراد العينة بشكل لافت، حيث بلغت نسبة حملة شهادة البكالوريوس 64.52%، فيما بلغت نسبة حملة الدراسات العليا (ماجستير ودكتوراه) مجتمعةً 29.04%، أي أن نحو 93.55% من العينة يحملون مؤهلاً جامعياً أو أعلى. ويعكس هذا الواقع طبيعة مهنة التسويق الرقمي التي تتطلب أساساً أكاديمياً متيناً في تحليل البيانات والسلوك الاستهلاكي، كما يدعم مصداقية الاستجابات على مقياس متخصص يستلزم فهماً تقنياً واضحاً للمؤشرات الإعلانية.</w:t>
      </w:r>
    </w:p>
    <w:p w14:paraId="53FB0C78" w14:textId="55517904"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w:t>
      </w:r>
      <w:r w:rsidR="00407D80" w:rsidRPr="00407D80">
        <w:rPr>
          <w:rFonts w:asciiTheme="minorBidi" w:eastAsia="Sakkal Majalla" w:hAnsiTheme="minorBidi" w:cstheme="minorBidi"/>
          <w:lang w:val="en-US"/>
        </w:rPr>
        <w:t>4</w:t>
      </w:r>
      <w:r w:rsidRPr="00407D80">
        <w:rPr>
          <w:rFonts w:asciiTheme="minorBidi" w:eastAsia="Sakkal Majalla" w:hAnsiTheme="minorBidi" w:cstheme="minorBidi"/>
          <w:rtl/>
        </w:rPr>
        <w:t>): التوزيع التكراري لأفراد العينة وفقاً للمسمى الوظيفي</w:t>
      </w:r>
    </w:p>
    <w:tbl>
      <w:tblPr>
        <w:tblStyle w:val="TableGrid"/>
        <w:bidiVisual/>
        <w:tblW w:w="5000" w:type="pct"/>
        <w:jc w:val="center"/>
        <w:tblLook w:val="04A0" w:firstRow="1" w:lastRow="0" w:firstColumn="1" w:lastColumn="0" w:noHBand="0" w:noVBand="1"/>
      </w:tblPr>
      <w:tblGrid>
        <w:gridCol w:w="3114"/>
        <w:gridCol w:w="3115"/>
        <w:gridCol w:w="3115"/>
      </w:tblGrid>
      <w:tr w:rsidR="008C0001" w:rsidRPr="00407D80" w14:paraId="14C35900"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11A428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المسمى الوظيفي</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4776A38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التكرار</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2D6B9F1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النسبة المئوية</w:t>
            </w:r>
          </w:p>
        </w:tc>
      </w:tr>
      <w:tr w:rsidR="008C0001" w:rsidRPr="00407D80" w14:paraId="3ECD7EFB"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253A237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مدير تسويق</w:t>
            </w:r>
          </w:p>
        </w:tc>
        <w:tc>
          <w:tcPr>
            <w:tcW w:w="2835" w:type="dxa"/>
            <w:tcBorders>
              <w:top w:val="single" w:sz="6" w:space="0" w:color="000000"/>
              <w:left w:val="single" w:sz="6" w:space="0" w:color="000000"/>
              <w:bottom w:val="single" w:sz="6" w:space="0" w:color="000000"/>
              <w:right w:val="single" w:sz="6" w:space="0" w:color="000000"/>
            </w:tcBorders>
            <w:vAlign w:val="center"/>
          </w:tcPr>
          <w:p w14:paraId="426ED36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7</w:t>
            </w:r>
          </w:p>
        </w:tc>
        <w:tc>
          <w:tcPr>
            <w:tcW w:w="2835" w:type="dxa"/>
            <w:tcBorders>
              <w:top w:val="single" w:sz="6" w:space="0" w:color="000000"/>
              <w:left w:val="single" w:sz="6" w:space="0" w:color="000000"/>
              <w:bottom w:val="single" w:sz="6" w:space="0" w:color="000000"/>
              <w:right w:val="single" w:sz="6" w:space="0" w:color="000000"/>
            </w:tcBorders>
            <w:vAlign w:val="center"/>
          </w:tcPr>
          <w:p w14:paraId="30B22F4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22.58%</w:t>
            </w:r>
          </w:p>
        </w:tc>
      </w:tr>
      <w:tr w:rsidR="008C0001" w:rsidRPr="00407D80" w14:paraId="2561718D"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6C8D2D2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أخصائي تسويق رقمي</w:t>
            </w:r>
          </w:p>
        </w:tc>
        <w:tc>
          <w:tcPr>
            <w:tcW w:w="2835" w:type="dxa"/>
            <w:tcBorders>
              <w:top w:val="single" w:sz="6" w:space="0" w:color="000000"/>
              <w:left w:val="single" w:sz="6" w:space="0" w:color="000000"/>
              <w:bottom w:val="single" w:sz="6" w:space="0" w:color="000000"/>
              <w:right w:val="single" w:sz="6" w:space="0" w:color="000000"/>
            </w:tcBorders>
            <w:vAlign w:val="center"/>
          </w:tcPr>
          <w:p w14:paraId="7F097C4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7</w:t>
            </w:r>
          </w:p>
        </w:tc>
        <w:tc>
          <w:tcPr>
            <w:tcW w:w="2835" w:type="dxa"/>
            <w:tcBorders>
              <w:top w:val="single" w:sz="6" w:space="0" w:color="000000"/>
              <w:left w:val="single" w:sz="6" w:space="0" w:color="000000"/>
              <w:bottom w:val="single" w:sz="6" w:space="0" w:color="000000"/>
              <w:right w:val="single" w:sz="6" w:space="0" w:color="000000"/>
            </w:tcBorders>
            <w:vAlign w:val="center"/>
          </w:tcPr>
          <w:p w14:paraId="29F133E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22.58%</w:t>
            </w:r>
          </w:p>
        </w:tc>
      </w:tr>
      <w:tr w:rsidR="008C0001" w:rsidRPr="00407D80" w14:paraId="3ECD3262"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264DE40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مدير تسويق رقمي</w:t>
            </w:r>
          </w:p>
        </w:tc>
        <w:tc>
          <w:tcPr>
            <w:tcW w:w="2835" w:type="dxa"/>
            <w:tcBorders>
              <w:top w:val="single" w:sz="6" w:space="0" w:color="000000"/>
              <w:left w:val="single" w:sz="6" w:space="0" w:color="000000"/>
              <w:bottom w:val="single" w:sz="6" w:space="0" w:color="000000"/>
              <w:right w:val="single" w:sz="6" w:space="0" w:color="000000"/>
            </w:tcBorders>
            <w:vAlign w:val="center"/>
          </w:tcPr>
          <w:p w14:paraId="15317DB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w:t>
            </w:r>
          </w:p>
        </w:tc>
        <w:tc>
          <w:tcPr>
            <w:tcW w:w="2835" w:type="dxa"/>
            <w:tcBorders>
              <w:top w:val="single" w:sz="6" w:space="0" w:color="000000"/>
              <w:left w:val="single" w:sz="6" w:space="0" w:color="000000"/>
              <w:bottom w:val="single" w:sz="6" w:space="0" w:color="000000"/>
              <w:right w:val="single" w:sz="6" w:space="0" w:color="000000"/>
            </w:tcBorders>
            <w:vAlign w:val="center"/>
          </w:tcPr>
          <w:p w14:paraId="26AFBC0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12.90%</w:t>
            </w:r>
          </w:p>
        </w:tc>
      </w:tr>
      <w:tr w:rsidR="008C0001" w:rsidRPr="00407D80" w14:paraId="225FDEB5"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6112AB4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مدير حملات إعلانية</w:t>
            </w:r>
          </w:p>
        </w:tc>
        <w:tc>
          <w:tcPr>
            <w:tcW w:w="2835" w:type="dxa"/>
            <w:tcBorders>
              <w:top w:val="single" w:sz="6" w:space="0" w:color="000000"/>
              <w:left w:val="single" w:sz="6" w:space="0" w:color="000000"/>
              <w:bottom w:val="single" w:sz="6" w:space="0" w:color="000000"/>
              <w:right w:val="single" w:sz="6" w:space="0" w:color="000000"/>
            </w:tcBorders>
            <w:vAlign w:val="center"/>
          </w:tcPr>
          <w:p w14:paraId="244175D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w:t>
            </w:r>
          </w:p>
        </w:tc>
        <w:tc>
          <w:tcPr>
            <w:tcW w:w="2835" w:type="dxa"/>
            <w:tcBorders>
              <w:top w:val="single" w:sz="6" w:space="0" w:color="000000"/>
              <w:left w:val="single" w:sz="6" w:space="0" w:color="000000"/>
              <w:bottom w:val="single" w:sz="6" w:space="0" w:color="000000"/>
              <w:right w:val="single" w:sz="6" w:space="0" w:color="000000"/>
            </w:tcBorders>
            <w:vAlign w:val="center"/>
          </w:tcPr>
          <w:p w14:paraId="7E51C78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9.68%</w:t>
            </w:r>
          </w:p>
        </w:tc>
      </w:tr>
      <w:tr w:rsidR="008C0001" w:rsidRPr="00407D80" w14:paraId="74F87442"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52EF91C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مدير عام</w:t>
            </w:r>
          </w:p>
        </w:tc>
        <w:tc>
          <w:tcPr>
            <w:tcW w:w="2835" w:type="dxa"/>
            <w:tcBorders>
              <w:top w:val="single" w:sz="6" w:space="0" w:color="000000"/>
              <w:left w:val="single" w:sz="6" w:space="0" w:color="000000"/>
              <w:bottom w:val="single" w:sz="6" w:space="0" w:color="000000"/>
              <w:right w:val="single" w:sz="6" w:space="0" w:color="000000"/>
            </w:tcBorders>
            <w:vAlign w:val="center"/>
          </w:tcPr>
          <w:p w14:paraId="4BB973B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w:t>
            </w:r>
          </w:p>
        </w:tc>
        <w:tc>
          <w:tcPr>
            <w:tcW w:w="2835" w:type="dxa"/>
            <w:tcBorders>
              <w:top w:val="single" w:sz="6" w:space="0" w:color="000000"/>
              <w:left w:val="single" w:sz="6" w:space="0" w:color="000000"/>
              <w:bottom w:val="single" w:sz="6" w:space="0" w:color="000000"/>
              <w:right w:val="single" w:sz="6" w:space="0" w:color="000000"/>
            </w:tcBorders>
            <w:vAlign w:val="center"/>
          </w:tcPr>
          <w:p w14:paraId="2497F75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9.68%</w:t>
            </w:r>
          </w:p>
        </w:tc>
      </w:tr>
      <w:tr w:rsidR="008C0001" w:rsidRPr="00407D80" w14:paraId="38DD2CC9"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7A90F5E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الرئيس التنفيذي للتسويق</w:t>
            </w:r>
          </w:p>
        </w:tc>
        <w:tc>
          <w:tcPr>
            <w:tcW w:w="2835" w:type="dxa"/>
            <w:tcBorders>
              <w:top w:val="single" w:sz="6" w:space="0" w:color="000000"/>
              <w:left w:val="single" w:sz="6" w:space="0" w:color="000000"/>
              <w:bottom w:val="single" w:sz="6" w:space="0" w:color="000000"/>
              <w:right w:val="single" w:sz="6" w:space="0" w:color="000000"/>
            </w:tcBorders>
            <w:vAlign w:val="center"/>
          </w:tcPr>
          <w:p w14:paraId="26363E0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2835" w:type="dxa"/>
            <w:tcBorders>
              <w:top w:val="single" w:sz="6" w:space="0" w:color="000000"/>
              <w:left w:val="single" w:sz="6" w:space="0" w:color="000000"/>
              <w:bottom w:val="single" w:sz="6" w:space="0" w:color="000000"/>
              <w:right w:val="single" w:sz="6" w:space="0" w:color="000000"/>
            </w:tcBorders>
            <w:vAlign w:val="center"/>
          </w:tcPr>
          <w:p w14:paraId="09F5E19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6.45%</w:t>
            </w:r>
          </w:p>
        </w:tc>
      </w:tr>
      <w:tr w:rsidR="008C0001" w:rsidRPr="00407D80" w14:paraId="56E63D00"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180BF25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مؤسس / شريك لوكالة تسويقية</w:t>
            </w:r>
          </w:p>
        </w:tc>
        <w:tc>
          <w:tcPr>
            <w:tcW w:w="2835" w:type="dxa"/>
            <w:tcBorders>
              <w:top w:val="single" w:sz="6" w:space="0" w:color="000000"/>
              <w:left w:val="single" w:sz="6" w:space="0" w:color="000000"/>
              <w:bottom w:val="single" w:sz="6" w:space="0" w:color="000000"/>
              <w:right w:val="single" w:sz="6" w:space="0" w:color="000000"/>
            </w:tcBorders>
            <w:vAlign w:val="center"/>
          </w:tcPr>
          <w:p w14:paraId="1D5BB1F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2835" w:type="dxa"/>
            <w:tcBorders>
              <w:top w:val="single" w:sz="6" w:space="0" w:color="000000"/>
              <w:left w:val="single" w:sz="6" w:space="0" w:color="000000"/>
              <w:bottom w:val="single" w:sz="6" w:space="0" w:color="000000"/>
              <w:right w:val="single" w:sz="6" w:space="0" w:color="000000"/>
            </w:tcBorders>
            <w:vAlign w:val="center"/>
          </w:tcPr>
          <w:p w14:paraId="61C8295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3.23%</w:t>
            </w:r>
          </w:p>
        </w:tc>
      </w:tr>
      <w:tr w:rsidR="008C0001" w:rsidRPr="00407D80" w14:paraId="35663011"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59BF1FC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تسويق أونلاين</w:t>
            </w:r>
          </w:p>
        </w:tc>
        <w:tc>
          <w:tcPr>
            <w:tcW w:w="2835" w:type="dxa"/>
            <w:tcBorders>
              <w:top w:val="single" w:sz="6" w:space="0" w:color="000000"/>
              <w:left w:val="single" w:sz="6" w:space="0" w:color="000000"/>
              <w:bottom w:val="single" w:sz="6" w:space="0" w:color="000000"/>
              <w:right w:val="single" w:sz="6" w:space="0" w:color="000000"/>
            </w:tcBorders>
            <w:vAlign w:val="center"/>
          </w:tcPr>
          <w:p w14:paraId="143251D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2835" w:type="dxa"/>
            <w:tcBorders>
              <w:top w:val="single" w:sz="6" w:space="0" w:color="000000"/>
              <w:left w:val="single" w:sz="6" w:space="0" w:color="000000"/>
              <w:bottom w:val="single" w:sz="6" w:space="0" w:color="000000"/>
              <w:right w:val="single" w:sz="6" w:space="0" w:color="000000"/>
            </w:tcBorders>
            <w:vAlign w:val="center"/>
          </w:tcPr>
          <w:p w14:paraId="697B2C7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3.23%</w:t>
            </w:r>
          </w:p>
        </w:tc>
      </w:tr>
      <w:tr w:rsidR="008C0001" w:rsidRPr="00407D80" w14:paraId="309E7E5D"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2C4EDDA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أخصائي</w:t>
            </w:r>
          </w:p>
        </w:tc>
        <w:tc>
          <w:tcPr>
            <w:tcW w:w="2835" w:type="dxa"/>
            <w:tcBorders>
              <w:top w:val="single" w:sz="6" w:space="0" w:color="000000"/>
              <w:left w:val="single" w:sz="6" w:space="0" w:color="000000"/>
              <w:bottom w:val="single" w:sz="6" w:space="0" w:color="000000"/>
              <w:right w:val="single" w:sz="6" w:space="0" w:color="000000"/>
            </w:tcBorders>
            <w:vAlign w:val="center"/>
          </w:tcPr>
          <w:p w14:paraId="689A5BE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2835" w:type="dxa"/>
            <w:tcBorders>
              <w:top w:val="single" w:sz="6" w:space="0" w:color="000000"/>
              <w:left w:val="single" w:sz="6" w:space="0" w:color="000000"/>
              <w:bottom w:val="single" w:sz="6" w:space="0" w:color="000000"/>
              <w:right w:val="single" w:sz="6" w:space="0" w:color="000000"/>
            </w:tcBorders>
            <w:vAlign w:val="center"/>
          </w:tcPr>
          <w:p w14:paraId="04C5BAD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3.23%</w:t>
            </w:r>
          </w:p>
        </w:tc>
      </w:tr>
      <w:tr w:rsidR="008C0001" w:rsidRPr="00407D80" w14:paraId="5EB1DDE4"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4B62739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نائب الرئيس للتسويق</w:t>
            </w:r>
          </w:p>
        </w:tc>
        <w:tc>
          <w:tcPr>
            <w:tcW w:w="2835" w:type="dxa"/>
            <w:tcBorders>
              <w:top w:val="single" w:sz="6" w:space="0" w:color="000000"/>
              <w:left w:val="single" w:sz="6" w:space="0" w:color="000000"/>
              <w:bottom w:val="single" w:sz="6" w:space="0" w:color="000000"/>
              <w:right w:val="single" w:sz="6" w:space="0" w:color="000000"/>
            </w:tcBorders>
            <w:vAlign w:val="center"/>
          </w:tcPr>
          <w:p w14:paraId="1AF9AF2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2835" w:type="dxa"/>
            <w:tcBorders>
              <w:top w:val="single" w:sz="6" w:space="0" w:color="000000"/>
              <w:left w:val="single" w:sz="6" w:space="0" w:color="000000"/>
              <w:bottom w:val="single" w:sz="6" w:space="0" w:color="000000"/>
              <w:right w:val="single" w:sz="6" w:space="0" w:color="000000"/>
            </w:tcBorders>
            <w:vAlign w:val="center"/>
          </w:tcPr>
          <w:p w14:paraId="77C1BE6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3.23%</w:t>
            </w:r>
          </w:p>
        </w:tc>
      </w:tr>
      <w:tr w:rsidR="008C0001" w:rsidRPr="00407D80" w14:paraId="410A54B3"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689A4C7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أخصائي إعلانات رقمية</w:t>
            </w:r>
          </w:p>
        </w:tc>
        <w:tc>
          <w:tcPr>
            <w:tcW w:w="2835" w:type="dxa"/>
            <w:tcBorders>
              <w:top w:val="single" w:sz="6" w:space="0" w:color="000000"/>
              <w:left w:val="single" w:sz="6" w:space="0" w:color="000000"/>
              <w:bottom w:val="single" w:sz="6" w:space="0" w:color="000000"/>
              <w:right w:val="single" w:sz="6" w:space="0" w:color="000000"/>
            </w:tcBorders>
            <w:vAlign w:val="center"/>
          </w:tcPr>
          <w:p w14:paraId="02746CD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2835" w:type="dxa"/>
            <w:tcBorders>
              <w:top w:val="single" w:sz="6" w:space="0" w:color="000000"/>
              <w:left w:val="single" w:sz="6" w:space="0" w:color="000000"/>
              <w:bottom w:val="single" w:sz="6" w:space="0" w:color="000000"/>
              <w:right w:val="single" w:sz="6" w:space="0" w:color="000000"/>
            </w:tcBorders>
            <w:vAlign w:val="center"/>
          </w:tcPr>
          <w:p w14:paraId="478128E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3.23%</w:t>
            </w:r>
          </w:p>
        </w:tc>
      </w:tr>
      <w:tr w:rsidR="008C0001" w:rsidRPr="00407D80" w14:paraId="0899B0EB"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4460256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الإجمالي</w:t>
            </w:r>
          </w:p>
        </w:tc>
        <w:tc>
          <w:tcPr>
            <w:tcW w:w="2835" w:type="dxa"/>
            <w:tcBorders>
              <w:top w:val="single" w:sz="6" w:space="0" w:color="000000"/>
              <w:left w:val="single" w:sz="6" w:space="0" w:color="000000"/>
              <w:bottom w:val="single" w:sz="6" w:space="0" w:color="000000"/>
              <w:right w:val="single" w:sz="6" w:space="0" w:color="000000"/>
            </w:tcBorders>
            <w:vAlign w:val="center"/>
          </w:tcPr>
          <w:p w14:paraId="3787BA1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31</w:t>
            </w:r>
          </w:p>
        </w:tc>
        <w:tc>
          <w:tcPr>
            <w:tcW w:w="2835" w:type="dxa"/>
            <w:tcBorders>
              <w:top w:val="single" w:sz="6" w:space="0" w:color="000000"/>
              <w:left w:val="single" w:sz="6" w:space="0" w:color="000000"/>
              <w:bottom w:val="single" w:sz="6" w:space="0" w:color="000000"/>
              <w:right w:val="single" w:sz="6" w:space="0" w:color="000000"/>
            </w:tcBorders>
            <w:vAlign w:val="center"/>
          </w:tcPr>
          <w:p w14:paraId="6CFB87E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100.00%</w:t>
            </w:r>
          </w:p>
        </w:tc>
      </w:tr>
    </w:tbl>
    <w:p w14:paraId="0B24CE90" w14:textId="59C6E67E"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تكشف نتائج الجدول (</w:t>
      </w:r>
      <w:r w:rsidR="00407D80" w:rsidRPr="00407D80">
        <w:rPr>
          <w:rFonts w:asciiTheme="minorBidi" w:eastAsia="Sakkal Majalla" w:hAnsiTheme="minorBidi"/>
          <w:color w:val="000000"/>
          <w:lang w:val="en-US"/>
        </w:rPr>
        <w:t>4</w:t>
      </w:r>
      <w:r w:rsidRPr="00407D80">
        <w:rPr>
          <w:rFonts w:asciiTheme="minorBidi" w:eastAsia="Sakkal Majalla" w:hAnsiTheme="minorBidi"/>
          <w:color w:val="000000"/>
          <w:rtl/>
        </w:rPr>
        <w:t>) عن تنوع كبير في المسميات الوظيفية لأفراد العينة، مع غلبة واضحة للأدوار التسويقية ذات العلاقة المباشرة بموضوع الدراسة، حيث يحتل (مدير التسويق) و(أخصائي التسويق الرقمي) المرتبة الأولى بنسبة 22.58% لكل منهما، يليهما (مدير التسويق الرقمي) بنسبة 12.90%. كما تضمنت العينة أدواراً قيادية عليا مثل (الرئيس التنفيذي للتسويق) و(نائب الرئيس للتسويق). ويعد هذا التنوع نقطة قوة منهجية، حيث إنه يجمع بين الرؤية الاستراتيجية على المستوى الإداري والخبرة التشغيلية على المستوى الأخصائي، وهو ما يثري التحليل ويعزز شمولية النتائج.</w:t>
      </w:r>
    </w:p>
    <w:p w14:paraId="1E151DB7" w14:textId="1C62A6D2"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w:t>
      </w:r>
      <w:r w:rsidR="00407D80" w:rsidRPr="00407D80">
        <w:rPr>
          <w:rFonts w:asciiTheme="minorBidi" w:eastAsia="Sakkal Majalla" w:hAnsiTheme="minorBidi" w:cstheme="minorBidi"/>
          <w:lang w:val="en-US"/>
        </w:rPr>
        <w:t>5</w:t>
      </w:r>
      <w:r w:rsidRPr="00407D80">
        <w:rPr>
          <w:rFonts w:asciiTheme="minorBidi" w:eastAsia="Sakkal Majalla" w:hAnsiTheme="minorBidi" w:cstheme="minorBidi"/>
          <w:rtl/>
        </w:rPr>
        <w:t>): التوزيع التكراري لأفراد العينة وفقاً لنوع جهة العمل</w:t>
      </w:r>
    </w:p>
    <w:tbl>
      <w:tblPr>
        <w:tblStyle w:val="TableGrid"/>
        <w:bidiVisual/>
        <w:tblW w:w="5000" w:type="pct"/>
        <w:jc w:val="center"/>
        <w:tblLook w:val="04A0" w:firstRow="1" w:lastRow="0" w:firstColumn="1" w:lastColumn="0" w:noHBand="0" w:noVBand="1"/>
      </w:tblPr>
      <w:tblGrid>
        <w:gridCol w:w="3114"/>
        <w:gridCol w:w="3115"/>
        <w:gridCol w:w="3115"/>
      </w:tblGrid>
      <w:tr w:rsidR="008C0001" w:rsidRPr="00407D80" w14:paraId="362D0F3E"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2B21C03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نوع جهة العمل</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48D6A89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التكرار</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E0E505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النسبة المئوية</w:t>
            </w:r>
          </w:p>
        </w:tc>
      </w:tr>
      <w:tr w:rsidR="008C0001" w:rsidRPr="00407D80" w14:paraId="69F06ACF"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79AE9E4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شركة خاصة</w:t>
            </w:r>
          </w:p>
        </w:tc>
        <w:tc>
          <w:tcPr>
            <w:tcW w:w="2835" w:type="dxa"/>
            <w:tcBorders>
              <w:top w:val="single" w:sz="6" w:space="0" w:color="000000"/>
              <w:left w:val="single" w:sz="6" w:space="0" w:color="000000"/>
              <w:bottom w:val="single" w:sz="6" w:space="0" w:color="000000"/>
              <w:right w:val="single" w:sz="6" w:space="0" w:color="000000"/>
            </w:tcBorders>
            <w:vAlign w:val="center"/>
          </w:tcPr>
          <w:p w14:paraId="3AFA108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17</w:t>
            </w:r>
          </w:p>
        </w:tc>
        <w:tc>
          <w:tcPr>
            <w:tcW w:w="2835" w:type="dxa"/>
            <w:tcBorders>
              <w:top w:val="single" w:sz="6" w:space="0" w:color="000000"/>
              <w:left w:val="single" w:sz="6" w:space="0" w:color="000000"/>
              <w:bottom w:val="single" w:sz="6" w:space="0" w:color="000000"/>
              <w:right w:val="single" w:sz="6" w:space="0" w:color="000000"/>
            </w:tcBorders>
            <w:vAlign w:val="center"/>
          </w:tcPr>
          <w:p w14:paraId="265A1BF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54.84%</w:t>
            </w:r>
          </w:p>
        </w:tc>
      </w:tr>
      <w:tr w:rsidR="008C0001" w:rsidRPr="00407D80" w14:paraId="53E6F5C6"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473E865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وكالة تسويق / إعلان</w:t>
            </w:r>
          </w:p>
        </w:tc>
        <w:tc>
          <w:tcPr>
            <w:tcW w:w="2835" w:type="dxa"/>
            <w:tcBorders>
              <w:top w:val="single" w:sz="6" w:space="0" w:color="000000"/>
              <w:left w:val="single" w:sz="6" w:space="0" w:color="000000"/>
              <w:bottom w:val="single" w:sz="6" w:space="0" w:color="000000"/>
              <w:right w:val="single" w:sz="6" w:space="0" w:color="000000"/>
            </w:tcBorders>
            <w:vAlign w:val="center"/>
          </w:tcPr>
          <w:p w14:paraId="44B50DE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2835" w:type="dxa"/>
            <w:tcBorders>
              <w:top w:val="single" w:sz="6" w:space="0" w:color="000000"/>
              <w:left w:val="single" w:sz="6" w:space="0" w:color="000000"/>
              <w:bottom w:val="single" w:sz="6" w:space="0" w:color="000000"/>
              <w:right w:val="single" w:sz="6" w:space="0" w:color="000000"/>
            </w:tcBorders>
            <w:vAlign w:val="center"/>
          </w:tcPr>
          <w:p w14:paraId="70E31D4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16.13%</w:t>
            </w:r>
          </w:p>
        </w:tc>
      </w:tr>
      <w:tr w:rsidR="008C0001" w:rsidRPr="00407D80" w14:paraId="1C173D6A"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5E6F83C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جهة حكومية</w:t>
            </w:r>
          </w:p>
        </w:tc>
        <w:tc>
          <w:tcPr>
            <w:tcW w:w="2835" w:type="dxa"/>
            <w:tcBorders>
              <w:top w:val="single" w:sz="6" w:space="0" w:color="000000"/>
              <w:left w:val="single" w:sz="6" w:space="0" w:color="000000"/>
              <w:bottom w:val="single" w:sz="6" w:space="0" w:color="000000"/>
              <w:right w:val="single" w:sz="6" w:space="0" w:color="000000"/>
            </w:tcBorders>
            <w:vAlign w:val="center"/>
          </w:tcPr>
          <w:p w14:paraId="771F0A6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2835" w:type="dxa"/>
            <w:tcBorders>
              <w:top w:val="single" w:sz="6" w:space="0" w:color="000000"/>
              <w:left w:val="single" w:sz="6" w:space="0" w:color="000000"/>
              <w:bottom w:val="single" w:sz="6" w:space="0" w:color="000000"/>
              <w:right w:val="single" w:sz="6" w:space="0" w:color="000000"/>
            </w:tcBorders>
            <w:vAlign w:val="center"/>
          </w:tcPr>
          <w:p w14:paraId="7CDF42E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16.13%</w:t>
            </w:r>
          </w:p>
        </w:tc>
      </w:tr>
      <w:tr w:rsidR="008C0001" w:rsidRPr="00407D80" w14:paraId="42A7294A"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429BD1B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lastRenderedPageBreak/>
              <w:t>عمل حر (</w:t>
            </w:r>
            <w:proofErr w:type="spellStart"/>
            <w:r w:rsidRPr="00407D80">
              <w:rPr>
                <w:rFonts w:asciiTheme="minorBidi" w:eastAsia="Sakkal Majalla" w:hAnsiTheme="minorBidi"/>
                <w:color w:val="000000"/>
                <w:sz w:val="24"/>
                <w:szCs w:val="24"/>
                <w:rtl/>
              </w:rPr>
              <w:t>Freelance</w:t>
            </w:r>
            <w:proofErr w:type="spellEnd"/>
            <w:r w:rsidRPr="00407D80">
              <w:rPr>
                <w:rFonts w:asciiTheme="minorBidi" w:eastAsia="Sakkal Majalla" w:hAnsiTheme="minorBidi"/>
                <w:color w:val="000000"/>
                <w:sz w:val="24"/>
                <w:szCs w:val="24"/>
                <w:rtl/>
              </w:rPr>
              <w:t>)</w:t>
            </w:r>
          </w:p>
        </w:tc>
        <w:tc>
          <w:tcPr>
            <w:tcW w:w="2835" w:type="dxa"/>
            <w:tcBorders>
              <w:top w:val="single" w:sz="6" w:space="0" w:color="000000"/>
              <w:left w:val="single" w:sz="6" w:space="0" w:color="000000"/>
              <w:bottom w:val="single" w:sz="6" w:space="0" w:color="000000"/>
              <w:right w:val="single" w:sz="6" w:space="0" w:color="000000"/>
            </w:tcBorders>
            <w:vAlign w:val="center"/>
          </w:tcPr>
          <w:p w14:paraId="6EC93AE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w:t>
            </w:r>
          </w:p>
        </w:tc>
        <w:tc>
          <w:tcPr>
            <w:tcW w:w="2835" w:type="dxa"/>
            <w:tcBorders>
              <w:top w:val="single" w:sz="6" w:space="0" w:color="000000"/>
              <w:left w:val="single" w:sz="6" w:space="0" w:color="000000"/>
              <w:bottom w:val="single" w:sz="6" w:space="0" w:color="000000"/>
              <w:right w:val="single" w:sz="6" w:space="0" w:color="000000"/>
            </w:tcBorders>
            <w:vAlign w:val="center"/>
          </w:tcPr>
          <w:p w14:paraId="38E4F56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12.90%</w:t>
            </w:r>
          </w:p>
        </w:tc>
      </w:tr>
      <w:tr w:rsidR="008C0001" w:rsidRPr="00407D80" w14:paraId="0E96523A"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21E7D08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الإجمالي</w:t>
            </w:r>
          </w:p>
        </w:tc>
        <w:tc>
          <w:tcPr>
            <w:tcW w:w="2835" w:type="dxa"/>
            <w:tcBorders>
              <w:top w:val="single" w:sz="6" w:space="0" w:color="000000"/>
              <w:left w:val="single" w:sz="6" w:space="0" w:color="000000"/>
              <w:bottom w:val="single" w:sz="6" w:space="0" w:color="000000"/>
              <w:right w:val="single" w:sz="6" w:space="0" w:color="000000"/>
            </w:tcBorders>
            <w:vAlign w:val="center"/>
          </w:tcPr>
          <w:p w14:paraId="553894C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31</w:t>
            </w:r>
          </w:p>
        </w:tc>
        <w:tc>
          <w:tcPr>
            <w:tcW w:w="2835" w:type="dxa"/>
            <w:tcBorders>
              <w:top w:val="single" w:sz="6" w:space="0" w:color="000000"/>
              <w:left w:val="single" w:sz="6" w:space="0" w:color="000000"/>
              <w:bottom w:val="single" w:sz="6" w:space="0" w:color="000000"/>
              <w:right w:val="single" w:sz="6" w:space="0" w:color="000000"/>
            </w:tcBorders>
            <w:vAlign w:val="center"/>
          </w:tcPr>
          <w:p w14:paraId="76B165A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100.00%</w:t>
            </w:r>
          </w:p>
        </w:tc>
      </w:tr>
    </w:tbl>
    <w:p w14:paraId="37DD2D59" w14:textId="0074C78F"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يبين الجدول (</w:t>
      </w:r>
      <w:r w:rsidR="00407D80" w:rsidRPr="00407D80">
        <w:rPr>
          <w:rFonts w:asciiTheme="minorBidi" w:eastAsia="Sakkal Majalla" w:hAnsiTheme="minorBidi"/>
          <w:color w:val="000000"/>
          <w:lang w:val="en-US"/>
        </w:rPr>
        <w:t>5</w:t>
      </w:r>
      <w:r w:rsidRPr="00407D80">
        <w:rPr>
          <w:rFonts w:asciiTheme="minorBidi" w:eastAsia="Sakkal Majalla" w:hAnsiTheme="minorBidi"/>
          <w:color w:val="000000"/>
          <w:rtl/>
        </w:rPr>
        <w:t>) أن أكثر من نصف أفراد العينة بنسبة 54.84% يعملون في الشركات الخاصة، وهي القطاع الأكثر استثماراً في الإعلانات المدفوعة بحكم طبيعة منافسته في السوق. ويمثل العاملون في وكالات التسويق والإعلان والجهات الحكومية نسبة 16.13% لكل منهما، فيما يمثل العمل الحر (</w:t>
      </w:r>
      <w:proofErr w:type="spellStart"/>
      <w:r w:rsidRPr="00407D80">
        <w:rPr>
          <w:rFonts w:asciiTheme="minorBidi" w:eastAsia="Sakkal Majalla" w:hAnsiTheme="minorBidi"/>
          <w:color w:val="000000"/>
          <w:rtl/>
        </w:rPr>
        <w:t>Freelance</w:t>
      </w:r>
      <w:proofErr w:type="spellEnd"/>
      <w:r w:rsidRPr="00407D80">
        <w:rPr>
          <w:rFonts w:asciiTheme="minorBidi" w:eastAsia="Sakkal Majalla" w:hAnsiTheme="minorBidi"/>
          <w:color w:val="000000"/>
          <w:rtl/>
        </w:rPr>
        <w:t>) نحو 12.90%. ويتيح هذا التوزيع المتعدد القطاعات تعميم النتائج على بيئات تسويقية مختلفة الأهداف والميزانيات الإعلانية.</w:t>
      </w:r>
    </w:p>
    <w:p w14:paraId="3B21849A" w14:textId="153AA9CC"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w:t>
      </w:r>
      <w:r w:rsidR="00407D80" w:rsidRPr="00407D80">
        <w:rPr>
          <w:rFonts w:asciiTheme="minorBidi" w:eastAsia="Sakkal Majalla" w:hAnsiTheme="minorBidi" w:cstheme="minorBidi"/>
          <w:lang w:val="en-US"/>
        </w:rPr>
        <w:t>6</w:t>
      </w:r>
      <w:r w:rsidRPr="00407D80">
        <w:rPr>
          <w:rFonts w:asciiTheme="minorBidi" w:eastAsia="Sakkal Majalla" w:hAnsiTheme="minorBidi" w:cstheme="minorBidi"/>
          <w:rtl/>
        </w:rPr>
        <w:t>): التوزيع التكراري لأفراد العينة وفقاً للقسم الوظيفي</w:t>
      </w:r>
    </w:p>
    <w:tbl>
      <w:tblPr>
        <w:tblStyle w:val="TableGrid"/>
        <w:bidiVisual/>
        <w:tblW w:w="5000" w:type="pct"/>
        <w:jc w:val="center"/>
        <w:tblLook w:val="04A0" w:firstRow="1" w:lastRow="0" w:firstColumn="1" w:lastColumn="0" w:noHBand="0" w:noVBand="1"/>
      </w:tblPr>
      <w:tblGrid>
        <w:gridCol w:w="3114"/>
        <w:gridCol w:w="3115"/>
        <w:gridCol w:w="3115"/>
      </w:tblGrid>
      <w:tr w:rsidR="008C0001" w:rsidRPr="00407D80" w14:paraId="2C12AE30"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0FE8D68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القسم/التخصص الوظيفي</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727B811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التكرار</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07142D1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النسبة المئوية</w:t>
            </w:r>
          </w:p>
        </w:tc>
      </w:tr>
      <w:tr w:rsidR="008C0001" w:rsidRPr="00407D80" w14:paraId="26A93ECD"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63B1315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إدارة التسويق</w:t>
            </w:r>
          </w:p>
        </w:tc>
        <w:tc>
          <w:tcPr>
            <w:tcW w:w="2835" w:type="dxa"/>
            <w:tcBorders>
              <w:top w:val="single" w:sz="6" w:space="0" w:color="000000"/>
              <w:left w:val="single" w:sz="6" w:space="0" w:color="000000"/>
              <w:bottom w:val="single" w:sz="6" w:space="0" w:color="000000"/>
              <w:right w:val="single" w:sz="6" w:space="0" w:color="000000"/>
            </w:tcBorders>
            <w:vAlign w:val="center"/>
          </w:tcPr>
          <w:p w14:paraId="1FBDCE0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8</w:t>
            </w:r>
          </w:p>
        </w:tc>
        <w:tc>
          <w:tcPr>
            <w:tcW w:w="2835" w:type="dxa"/>
            <w:tcBorders>
              <w:top w:val="single" w:sz="6" w:space="0" w:color="000000"/>
              <w:left w:val="single" w:sz="6" w:space="0" w:color="000000"/>
              <w:bottom w:val="single" w:sz="6" w:space="0" w:color="000000"/>
              <w:right w:val="single" w:sz="6" w:space="0" w:color="000000"/>
            </w:tcBorders>
            <w:vAlign w:val="center"/>
          </w:tcPr>
          <w:p w14:paraId="4F951DE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25.81%</w:t>
            </w:r>
          </w:p>
        </w:tc>
      </w:tr>
      <w:tr w:rsidR="008C0001" w:rsidRPr="00407D80" w14:paraId="4914909C"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45DAF91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التسويق الرقمي</w:t>
            </w:r>
          </w:p>
        </w:tc>
        <w:tc>
          <w:tcPr>
            <w:tcW w:w="2835" w:type="dxa"/>
            <w:tcBorders>
              <w:top w:val="single" w:sz="6" w:space="0" w:color="000000"/>
              <w:left w:val="single" w:sz="6" w:space="0" w:color="000000"/>
              <w:bottom w:val="single" w:sz="6" w:space="0" w:color="000000"/>
              <w:right w:val="single" w:sz="6" w:space="0" w:color="000000"/>
            </w:tcBorders>
            <w:vAlign w:val="center"/>
          </w:tcPr>
          <w:p w14:paraId="7C91DCA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8</w:t>
            </w:r>
          </w:p>
        </w:tc>
        <w:tc>
          <w:tcPr>
            <w:tcW w:w="2835" w:type="dxa"/>
            <w:tcBorders>
              <w:top w:val="single" w:sz="6" w:space="0" w:color="000000"/>
              <w:left w:val="single" w:sz="6" w:space="0" w:color="000000"/>
              <w:bottom w:val="single" w:sz="6" w:space="0" w:color="000000"/>
              <w:right w:val="single" w:sz="6" w:space="0" w:color="000000"/>
            </w:tcBorders>
            <w:vAlign w:val="center"/>
          </w:tcPr>
          <w:p w14:paraId="02CB374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25.81%</w:t>
            </w:r>
          </w:p>
        </w:tc>
      </w:tr>
      <w:tr w:rsidR="008C0001" w:rsidRPr="00407D80" w14:paraId="23522B78"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34FC872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إدارة المشاريع</w:t>
            </w:r>
          </w:p>
        </w:tc>
        <w:tc>
          <w:tcPr>
            <w:tcW w:w="2835" w:type="dxa"/>
            <w:tcBorders>
              <w:top w:val="single" w:sz="6" w:space="0" w:color="000000"/>
              <w:left w:val="single" w:sz="6" w:space="0" w:color="000000"/>
              <w:bottom w:val="single" w:sz="6" w:space="0" w:color="000000"/>
              <w:right w:val="single" w:sz="6" w:space="0" w:color="000000"/>
            </w:tcBorders>
            <w:vAlign w:val="center"/>
          </w:tcPr>
          <w:p w14:paraId="56D9521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7</w:t>
            </w:r>
          </w:p>
        </w:tc>
        <w:tc>
          <w:tcPr>
            <w:tcW w:w="2835" w:type="dxa"/>
            <w:tcBorders>
              <w:top w:val="single" w:sz="6" w:space="0" w:color="000000"/>
              <w:left w:val="single" w:sz="6" w:space="0" w:color="000000"/>
              <w:bottom w:val="single" w:sz="6" w:space="0" w:color="000000"/>
              <w:right w:val="single" w:sz="6" w:space="0" w:color="000000"/>
            </w:tcBorders>
            <w:vAlign w:val="center"/>
          </w:tcPr>
          <w:p w14:paraId="6A2EDFF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22.58%</w:t>
            </w:r>
          </w:p>
        </w:tc>
      </w:tr>
      <w:tr w:rsidR="008C0001" w:rsidRPr="00407D80" w14:paraId="46070108"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225A6B4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الإعلانات المدفوعة</w:t>
            </w:r>
          </w:p>
        </w:tc>
        <w:tc>
          <w:tcPr>
            <w:tcW w:w="2835" w:type="dxa"/>
            <w:tcBorders>
              <w:top w:val="single" w:sz="6" w:space="0" w:color="000000"/>
              <w:left w:val="single" w:sz="6" w:space="0" w:color="000000"/>
              <w:bottom w:val="single" w:sz="6" w:space="0" w:color="000000"/>
              <w:right w:val="single" w:sz="6" w:space="0" w:color="000000"/>
            </w:tcBorders>
            <w:vAlign w:val="center"/>
          </w:tcPr>
          <w:p w14:paraId="01D2E7C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2835" w:type="dxa"/>
            <w:tcBorders>
              <w:top w:val="single" w:sz="6" w:space="0" w:color="000000"/>
              <w:left w:val="single" w:sz="6" w:space="0" w:color="000000"/>
              <w:bottom w:val="single" w:sz="6" w:space="0" w:color="000000"/>
              <w:right w:val="single" w:sz="6" w:space="0" w:color="000000"/>
            </w:tcBorders>
            <w:vAlign w:val="center"/>
          </w:tcPr>
          <w:p w14:paraId="1312745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16.13%</w:t>
            </w:r>
          </w:p>
        </w:tc>
      </w:tr>
      <w:tr w:rsidR="008C0001" w:rsidRPr="00407D80" w14:paraId="42D5C14B"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15BF7A4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الإدارة التنفيذية / القيادية</w:t>
            </w:r>
          </w:p>
        </w:tc>
        <w:tc>
          <w:tcPr>
            <w:tcW w:w="2835" w:type="dxa"/>
            <w:tcBorders>
              <w:top w:val="single" w:sz="6" w:space="0" w:color="000000"/>
              <w:left w:val="single" w:sz="6" w:space="0" w:color="000000"/>
              <w:bottom w:val="single" w:sz="6" w:space="0" w:color="000000"/>
              <w:right w:val="single" w:sz="6" w:space="0" w:color="000000"/>
            </w:tcBorders>
            <w:vAlign w:val="center"/>
          </w:tcPr>
          <w:p w14:paraId="6DC3D97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2835" w:type="dxa"/>
            <w:tcBorders>
              <w:top w:val="single" w:sz="6" w:space="0" w:color="000000"/>
              <w:left w:val="single" w:sz="6" w:space="0" w:color="000000"/>
              <w:bottom w:val="single" w:sz="6" w:space="0" w:color="000000"/>
              <w:right w:val="single" w:sz="6" w:space="0" w:color="000000"/>
            </w:tcBorders>
            <w:vAlign w:val="center"/>
          </w:tcPr>
          <w:p w14:paraId="0D7B00A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6.45%</w:t>
            </w:r>
          </w:p>
        </w:tc>
      </w:tr>
      <w:tr w:rsidR="008C0001" w:rsidRPr="00407D80" w14:paraId="048FC1D2"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1D6528E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الأداء والتحليلات</w:t>
            </w:r>
          </w:p>
        </w:tc>
        <w:tc>
          <w:tcPr>
            <w:tcW w:w="2835" w:type="dxa"/>
            <w:tcBorders>
              <w:top w:val="single" w:sz="6" w:space="0" w:color="000000"/>
              <w:left w:val="single" w:sz="6" w:space="0" w:color="000000"/>
              <w:bottom w:val="single" w:sz="6" w:space="0" w:color="000000"/>
              <w:right w:val="single" w:sz="6" w:space="0" w:color="000000"/>
            </w:tcBorders>
            <w:vAlign w:val="center"/>
          </w:tcPr>
          <w:p w14:paraId="4CDFB4E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2835" w:type="dxa"/>
            <w:tcBorders>
              <w:top w:val="single" w:sz="6" w:space="0" w:color="000000"/>
              <w:left w:val="single" w:sz="6" w:space="0" w:color="000000"/>
              <w:bottom w:val="single" w:sz="6" w:space="0" w:color="000000"/>
              <w:right w:val="single" w:sz="6" w:space="0" w:color="000000"/>
            </w:tcBorders>
            <w:vAlign w:val="center"/>
          </w:tcPr>
          <w:p w14:paraId="3D2D0E7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3.23%</w:t>
            </w:r>
          </w:p>
        </w:tc>
      </w:tr>
      <w:tr w:rsidR="008C0001" w:rsidRPr="00407D80" w14:paraId="5F3097AB"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1A0B54A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الإجمالي</w:t>
            </w:r>
          </w:p>
        </w:tc>
        <w:tc>
          <w:tcPr>
            <w:tcW w:w="2835" w:type="dxa"/>
            <w:tcBorders>
              <w:top w:val="single" w:sz="6" w:space="0" w:color="000000"/>
              <w:left w:val="single" w:sz="6" w:space="0" w:color="000000"/>
              <w:bottom w:val="single" w:sz="6" w:space="0" w:color="000000"/>
              <w:right w:val="single" w:sz="6" w:space="0" w:color="000000"/>
            </w:tcBorders>
            <w:vAlign w:val="center"/>
          </w:tcPr>
          <w:p w14:paraId="3FBC645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31</w:t>
            </w:r>
          </w:p>
        </w:tc>
        <w:tc>
          <w:tcPr>
            <w:tcW w:w="2835" w:type="dxa"/>
            <w:tcBorders>
              <w:top w:val="single" w:sz="6" w:space="0" w:color="000000"/>
              <w:left w:val="single" w:sz="6" w:space="0" w:color="000000"/>
              <w:bottom w:val="single" w:sz="6" w:space="0" w:color="000000"/>
              <w:right w:val="single" w:sz="6" w:space="0" w:color="000000"/>
            </w:tcBorders>
            <w:vAlign w:val="center"/>
          </w:tcPr>
          <w:p w14:paraId="3961276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100.00%</w:t>
            </w:r>
          </w:p>
        </w:tc>
      </w:tr>
    </w:tbl>
    <w:p w14:paraId="66375662" w14:textId="4802E898"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يظهر الجدول (</w:t>
      </w:r>
      <w:r w:rsidR="00407D80" w:rsidRPr="00407D80">
        <w:rPr>
          <w:rFonts w:asciiTheme="minorBidi" w:eastAsia="Sakkal Majalla" w:hAnsiTheme="minorBidi"/>
          <w:color w:val="000000"/>
          <w:lang w:val="en-US"/>
        </w:rPr>
        <w:t>6</w:t>
      </w:r>
      <w:r w:rsidRPr="00407D80">
        <w:rPr>
          <w:rFonts w:asciiTheme="minorBidi" w:eastAsia="Sakkal Majalla" w:hAnsiTheme="minorBidi"/>
          <w:color w:val="000000"/>
          <w:rtl/>
        </w:rPr>
        <w:t>) تركز العينة في الأقسام ذات الصلة المباشرة بموضوع البحث، وهي إدارة التسويق بنسبة 25.81%، والتسويق الرقمي بنسبة 25.81%، وإدارة المشاريع بنسبة 22.58%، والإعلانات المدفوعة بنسبة 16.13%. ويصل مجموع المستجيبين العاملين في الأقسام الإعلانية والتسويقية إلى نحو 96.77% من العينة، وهو ما يعزز الصلاحية البيئية للاستبانة، حيث إن الإجابات صادرة عن أفراد يتعاملون مع مؤشرات الأداء بصورة يومية وليس بصورة نظرية.</w:t>
      </w:r>
    </w:p>
    <w:p w14:paraId="73F9D094" w14:textId="0A59A066"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w:t>
      </w:r>
      <w:r w:rsidR="00407D80" w:rsidRPr="00407D80">
        <w:rPr>
          <w:rFonts w:asciiTheme="minorBidi" w:eastAsia="Sakkal Majalla" w:hAnsiTheme="minorBidi" w:cstheme="minorBidi"/>
          <w:lang w:val="en-US"/>
        </w:rPr>
        <w:t>7</w:t>
      </w:r>
      <w:r w:rsidRPr="00407D80">
        <w:rPr>
          <w:rFonts w:asciiTheme="minorBidi" w:eastAsia="Sakkal Majalla" w:hAnsiTheme="minorBidi" w:cstheme="minorBidi"/>
          <w:rtl/>
        </w:rPr>
        <w:t>): التوزيع التكراري لأفراد العينة وفقاً لسنوات الخبرة</w:t>
      </w:r>
    </w:p>
    <w:tbl>
      <w:tblPr>
        <w:tblStyle w:val="TableGrid"/>
        <w:bidiVisual/>
        <w:tblW w:w="5000" w:type="pct"/>
        <w:jc w:val="center"/>
        <w:tblLook w:val="04A0" w:firstRow="1" w:lastRow="0" w:firstColumn="1" w:lastColumn="0" w:noHBand="0" w:noVBand="1"/>
      </w:tblPr>
      <w:tblGrid>
        <w:gridCol w:w="3114"/>
        <w:gridCol w:w="3115"/>
        <w:gridCol w:w="3115"/>
      </w:tblGrid>
      <w:tr w:rsidR="008C0001" w:rsidRPr="00407D80" w14:paraId="35C53BF8"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51C3BBF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سنوات الخبرة</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5D0E084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التكرار</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7E5FA18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النسبة المئوية</w:t>
            </w:r>
          </w:p>
        </w:tc>
      </w:tr>
      <w:tr w:rsidR="008C0001" w:rsidRPr="00407D80" w14:paraId="43435E07"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6A9A774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أكثر من 10 سنوات</w:t>
            </w:r>
          </w:p>
        </w:tc>
        <w:tc>
          <w:tcPr>
            <w:tcW w:w="2835" w:type="dxa"/>
            <w:tcBorders>
              <w:top w:val="single" w:sz="6" w:space="0" w:color="000000"/>
              <w:left w:val="single" w:sz="6" w:space="0" w:color="000000"/>
              <w:bottom w:val="single" w:sz="6" w:space="0" w:color="000000"/>
              <w:right w:val="single" w:sz="6" w:space="0" w:color="000000"/>
            </w:tcBorders>
            <w:vAlign w:val="center"/>
          </w:tcPr>
          <w:p w14:paraId="42DEC4F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8</w:t>
            </w:r>
          </w:p>
        </w:tc>
        <w:tc>
          <w:tcPr>
            <w:tcW w:w="2835" w:type="dxa"/>
            <w:tcBorders>
              <w:top w:val="single" w:sz="6" w:space="0" w:color="000000"/>
              <w:left w:val="single" w:sz="6" w:space="0" w:color="000000"/>
              <w:bottom w:val="single" w:sz="6" w:space="0" w:color="000000"/>
              <w:right w:val="single" w:sz="6" w:space="0" w:color="000000"/>
            </w:tcBorders>
            <w:vAlign w:val="center"/>
          </w:tcPr>
          <w:p w14:paraId="77383B2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25.81%</w:t>
            </w:r>
          </w:p>
        </w:tc>
      </w:tr>
      <w:tr w:rsidR="008C0001" w:rsidRPr="00407D80" w14:paraId="08B929F6"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0A7B186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 4 إلى 6 سنوات</w:t>
            </w:r>
          </w:p>
        </w:tc>
        <w:tc>
          <w:tcPr>
            <w:tcW w:w="2835" w:type="dxa"/>
            <w:tcBorders>
              <w:top w:val="single" w:sz="6" w:space="0" w:color="000000"/>
              <w:left w:val="single" w:sz="6" w:space="0" w:color="000000"/>
              <w:bottom w:val="single" w:sz="6" w:space="0" w:color="000000"/>
              <w:right w:val="single" w:sz="6" w:space="0" w:color="000000"/>
            </w:tcBorders>
            <w:vAlign w:val="center"/>
          </w:tcPr>
          <w:p w14:paraId="2F62C89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7</w:t>
            </w:r>
          </w:p>
        </w:tc>
        <w:tc>
          <w:tcPr>
            <w:tcW w:w="2835" w:type="dxa"/>
            <w:tcBorders>
              <w:top w:val="single" w:sz="6" w:space="0" w:color="000000"/>
              <w:left w:val="single" w:sz="6" w:space="0" w:color="000000"/>
              <w:bottom w:val="single" w:sz="6" w:space="0" w:color="000000"/>
              <w:right w:val="single" w:sz="6" w:space="0" w:color="000000"/>
            </w:tcBorders>
            <w:vAlign w:val="center"/>
          </w:tcPr>
          <w:p w14:paraId="7BB5CE5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22.58%</w:t>
            </w:r>
          </w:p>
        </w:tc>
      </w:tr>
      <w:tr w:rsidR="008C0001" w:rsidRPr="00407D80" w14:paraId="7BA68337"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428B73B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 1 إلى 3 سنوات</w:t>
            </w:r>
          </w:p>
        </w:tc>
        <w:tc>
          <w:tcPr>
            <w:tcW w:w="2835" w:type="dxa"/>
            <w:tcBorders>
              <w:top w:val="single" w:sz="6" w:space="0" w:color="000000"/>
              <w:left w:val="single" w:sz="6" w:space="0" w:color="000000"/>
              <w:bottom w:val="single" w:sz="6" w:space="0" w:color="000000"/>
              <w:right w:val="single" w:sz="6" w:space="0" w:color="000000"/>
            </w:tcBorders>
            <w:vAlign w:val="center"/>
          </w:tcPr>
          <w:p w14:paraId="7AE434C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7</w:t>
            </w:r>
          </w:p>
        </w:tc>
        <w:tc>
          <w:tcPr>
            <w:tcW w:w="2835" w:type="dxa"/>
            <w:tcBorders>
              <w:top w:val="single" w:sz="6" w:space="0" w:color="000000"/>
              <w:left w:val="single" w:sz="6" w:space="0" w:color="000000"/>
              <w:bottom w:val="single" w:sz="6" w:space="0" w:color="000000"/>
              <w:right w:val="single" w:sz="6" w:space="0" w:color="000000"/>
            </w:tcBorders>
            <w:vAlign w:val="center"/>
          </w:tcPr>
          <w:p w14:paraId="1FC8F68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22.58%</w:t>
            </w:r>
          </w:p>
        </w:tc>
      </w:tr>
      <w:tr w:rsidR="008C0001" w:rsidRPr="00407D80" w14:paraId="2DA86DA6"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3E04BD9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 7 إلى 10 سنوات</w:t>
            </w:r>
          </w:p>
        </w:tc>
        <w:tc>
          <w:tcPr>
            <w:tcW w:w="2835" w:type="dxa"/>
            <w:tcBorders>
              <w:top w:val="single" w:sz="6" w:space="0" w:color="000000"/>
              <w:left w:val="single" w:sz="6" w:space="0" w:color="000000"/>
              <w:bottom w:val="single" w:sz="6" w:space="0" w:color="000000"/>
              <w:right w:val="single" w:sz="6" w:space="0" w:color="000000"/>
            </w:tcBorders>
            <w:vAlign w:val="center"/>
          </w:tcPr>
          <w:p w14:paraId="56E9C67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w:t>
            </w:r>
          </w:p>
        </w:tc>
        <w:tc>
          <w:tcPr>
            <w:tcW w:w="2835" w:type="dxa"/>
            <w:tcBorders>
              <w:top w:val="single" w:sz="6" w:space="0" w:color="000000"/>
              <w:left w:val="single" w:sz="6" w:space="0" w:color="000000"/>
              <w:bottom w:val="single" w:sz="6" w:space="0" w:color="000000"/>
              <w:right w:val="single" w:sz="6" w:space="0" w:color="000000"/>
            </w:tcBorders>
            <w:vAlign w:val="center"/>
          </w:tcPr>
          <w:p w14:paraId="6170563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19.35%</w:t>
            </w:r>
          </w:p>
        </w:tc>
      </w:tr>
      <w:tr w:rsidR="008C0001" w:rsidRPr="00407D80" w14:paraId="3055647C"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318341D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أقل من سنة</w:t>
            </w:r>
          </w:p>
        </w:tc>
        <w:tc>
          <w:tcPr>
            <w:tcW w:w="2835" w:type="dxa"/>
            <w:tcBorders>
              <w:top w:val="single" w:sz="6" w:space="0" w:color="000000"/>
              <w:left w:val="single" w:sz="6" w:space="0" w:color="000000"/>
              <w:bottom w:val="single" w:sz="6" w:space="0" w:color="000000"/>
              <w:right w:val="single" w:sz="6" w:space="0" w:color="000000"/>
            </w:tcBorders>
            <w:vAlign w:val="center"/>
          </w:tcPr>
          <w:p w14:paraId="138181F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w:t>
            </w:r>
          </w:p>
        </w:tc>
        <w:tc>
          <w:tcPr>
            <w:tcW w:w="2835" w:type="dxa"/>
            <w:tcBorders>
              <w:top w:val="single" w:sz="6" w:space="0" w:color="000000"/>
              <w:left w:val="single" w:sz="6" w:space="0" w:color="000000"/>
              <w:bottom w:val="single" w:sz="6" w:space="0" w:color="000000"/>
              <w:right w:val="single" w:sz="6" w:space="0" w:color="000000"/>
            </w:tcBorders>
            <w:vAlign w:val="center"/>
          </w:tcPr>
          <w:p w14:paraId="6A64992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9.68%</w:t>
            </w:r>
          </w:p>
        </w:tc>
      </w:tr>
      <w:tr w:rsidR="008C0001" w:rsidRPr="00407D80" w14:paraId="34B96135"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56FCBCA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الإجمالي</w:t>
            </w:r>
          </w:p>
        </w:tc>
        <w:tc>
          <w:tcPr>
            <w:tcW w:w="2835" w:type="dxa"/>
            <w:tcBorders>
              <w:top w:val="single" w:sz="6" w:space="0" w:color="000000"/>
              <w:left w:val="single" w:sz="6" w:space="0" w:color="000000"/>
              <w:bottom w:val="single" w:sz="6" w:space="0" w:color="000000"/>
              <w:right w:val="single" w:sz="6" w:space="0" w:color="000000"/>
            </w:tcBorders>
            <w:vAlign w:val="center"/>
          </w:tcPr>
          <w:p w14:paraId="38DEBAD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31</w:t>
            </w:r>
          </w:p>
        </w:tc>
        <w:tc>
          <w:tcPr>
            <w:tcW w:w="2835" w:type="dxa"/>
            <w:tcBorders>
              <w:top w:val="single" w:sz="6" w:space="0" w:color="000000"/>
              <w:left w:val="single" w:sz="6" w:space="0" w:color="000000"/>
              <w:bottom w:val="single" w:sz="6" w:space="0" w:color="000000"/>
              <w:right w:val="single" w:sz="6" w:space="0" w:color="000000"/>
            </w:tcBorders>
            <w:vAlign w:val="center"/>
          </w:tcPr>
          <w:p w14:paraId="53B3D32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100.00%</w:t>
            </w:r>
          </w:p>
        </w:tc>
      </w:tr>
    </w:tbl>
    <w:p w14:paraId="46D2EB65" w14:textId="46DC22F5"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تكشف بيانات الجدول (</w:t>
      </w:r>
      <w:r w:rsidR="00407D80" w:rsidRPr="00407D80">
        <w:rPr>
          <w:rFonts w:asciiTheme="minorBidi" w:eastAsia="Sakkal Majalla" w:hAnsiTheme="minorBidi"/>
          <w:color w:val="000000"/>
          <w:lang w:val="en-US"/>
        </w:rPr>
        <w:t>7</w:t>
      </w:r>
      <w:r w:rsidRPr="00407D80">
        <w:rPr>
          <w:rFonts w:asciiTheme="minorBidi" w:eastAsia="Sakkal Majalla" w:hAnsiTheme="minorBidi"/>
          <w:color w:val="000000"/>
          <w:rtl/>
        </w:rPr>
        <w:t>) أن نحو 67.74% من أفراد العينة يمتلكون خبرة تتجاوز أربع سنوات في المجال، فيما تستحوذ فئة (أكثر من 10 سنوات) على النسبة الأعلى بنسبة 25.81%. ويعد هذا التراكم الخبراتي عنصراً حاسماً في موثوقية الاستجابات، حيث إن الحكم على دقة مؤشرات الأداء وعلى الفجوة بين أرقام المنصة والنتائج الفعلية يتطلب خبرة كافية في إدارة عدد متعدد من الحملات وتتبع نتائجها على مدار سنوات.</w:t>
      </w:r>
    </w:p>
    <w:p w14:paraId="3B58D6B4" w14:textId="77777777" w:rsidR="00407D80" w:rsidRPr="00407D80" w:rsidRDefault="00407D80" w:rsidP="00407D80">
      <w:pPr>
        <w:pStyle w:val="Heading2"/>
        <w:bidi/>
        <w:rPr>
          <w:rFonts w:asciiTheme="minorBidi" w:eastAsia="Sakkal Majalla" w:hAnsiTheme="minorBidi" w:cstheme="minorBidi"/>
        </w:rPr>
      </w:pPr>
    </w:p>
    <w:p w14:paraId="249D63ED" w14:textId="0A82147E"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w:t>
      </w:r>
      <w:r w:rsidR="00407D80" w:rsidRPr="00407D80">
        <w:rPr>
          <w:rFonts w:asciiTheme="minorBidi" w:eastAsia="Sakkal Majalla" w:hAnsiTheme="minorBidi" w:cstheme="minorBidi"/>
          <w:lang w:val="en-US"/>
        </w:rPr>
        <w:t>8</w:t>
      </w:r>
      <w:r w:rsidRPr="00407D80">
        <w:rPr>
          <w:rFonts w:asciiTheme="minorBidi" w:eastAsia="Sakkal Majalla" w:hAnsiTheme="minorBidi" w:cstheme="minorBidi"/>
          <w:rtl/>
        </w:rPr>
        <w:t>): التوزيع التكراري لأفراد العينة وفقاً لحجم جهة العمل</w:t>
      </w:r>
    </w:p>
    <w:tbl>
      <w:tblPr>
        <w:tblStyle w:val="TableGrid"/>
        <w:bidiVisual/>
        <w:tblW w:w="5000" w:type="pct"/>
        <w:jc w:val="center"/>
        <w:tblLook w:val="04A0" w:firstRow="1" w:lastRow="0" w:firstColumn="1" w:lastColumn="0" w:noHBand="0" w:noVBand="1"/>
      </w:tblPr>
      <w:tblGrid>
        <w:gridCol w:w="3114"/>
        <w:gridCol w:w="3115"/>
        <w:gridCol w:w="3115"/>
      </w:tblGrid>
      <w:tr w:rsidR="008C0001" w:rsidRPr="00407D80" w14:paraId="2FFDFA0F"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450F339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حجم الجهة</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733B266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التكرار</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3F3D5BF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النسبة المئوية</w:t>
            </w:r>
          </w:p>
        </w:tc>
      </w:tr>
      <w:tr w:rsidR="008C0001" w:rsidRPr="00407D80" w14:paraId="2D289E50"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3D6ED76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كبيرة (أكثر من 51) موظف</w:t>
            </w:r>
          </w:p>
        </w:tc>
        <w:tc>
          <w:tcPr>
            <w:tcW w:w="2835" w:type="dxa"/>
            <w:tcBorders>
              <w:top w:val="single" w:sz="6" w:space="0" w:color="000000"/>
              <w:left w:val="single" w:sz="6" w:space="0" w:color="000000"/>
              <w:bottom w:val="single" w:sz="6" w:space="0" w:color="000000"/>
              <w:right w:val="single" w:sz="6" w:space="0" w:color="000000"/>
            </w:tcBorders>
            <w:vAlign w:val="center"/>
          </w:tcPr>
          <w:p w14:paraId="604B89D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18</w:t>
            </w:r>
          </w:p>
        </w:tc>
        <w:tc>
          <w:tcPr>
            <w:tcW w:w="2835" w:type="dxa"/>
            <w:tcBorders>
              <w:top w:val="single" w:sz="6" w:space="0" w:color="000000"/>
              <w:left w:val="single" w:sz="6" w:space="0" w:color="000000"/>
              <w:bottom w:val="single" w:sz="6" w:space="0" w:color="000000"/>
              <w:right w:val="single" w:sz="6" w:space="0" w:color="000000"/>
            </w:tcBorders>
            <w:vAlign w:val="center"/>
          </w:tcPr>
          <w:p w14:paraId="4CF34EF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58.06%</w:t>
            </w:r>
          </w:p>
        </w:tc>
      </w:tr>
      <w:tr w:rsidR="008C0001" w:rsidRPr="00407D80" w14:paraId="6A6B4FDA"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0A4E3B5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متوسطة (11-50) موظف</w:t>
            </w:r>
          </w:p>
        </w:tc>
        <w:tc>
          <w:tcPr>
            <w:tcW w:w="2835" w:type="dxa"/>
            <w:tcBorders>
              <w:top w:val="single" w:sz="6" w:space="0" w:color="000000"/>
              <w:left w:val="single" w:sz="6" w:space="0" w:color="000000"/>
              <w:bottom w:val="single" w:sz="6" w:space="0" w:color="000000"/>
              <w:right w:val="single" w:sz="6" w:space="0" w:color="000000"/>
            </w:tcBorders>
            <w:vAlign w:val="center"/>
          </w:tcPr>
          <w:p w14:paraId="7646DE4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7</w:t>
            </w:r>
          </w:p>
        </w:tc>
        <w:tc>
          <w:tcPr>
            <w:tcW w:w="2835" w:type="dxa"/>
            <w:tcBorders>
              <w:top w:val="single" w:sz="6" w:space="0" w:color="000000"/>
              <w:left w:val="single" w:sz="6" w:space="0" w:color="000000"/>
              <w:bottom w:val="single" w:sz="6" w:space="0" w:color="000000"/>
              <w:right w:val="single" w:sz="6" w:space="0" w:color="000000"/>
            </w:tcBorders>
            <w:vAlign w:val="center"/>
          </w:tcPr>
          <w:p w14:paraId="17CB398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22.58%</w:t>
            </w:r>
          </w:p>
        </w:tc>
      </w:tr>
      <w:tr w:rsidR="008C0001" w:rsidRPr="00407D80" w14:paraId="215D45F9"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31E34D8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صغيرة (1-10) موظفين</w:t>
            </w:r>
          </w:p>
        </w:tc>
        <w:tc>
          <w:tcPr>
            <w:tcW w:w="2835" w:type="dxa"/>
            <w:tcBorders>
              <w:top w:val="single" w:sz="6" w:space="0" w:color="000000"/>
              <w:left w:val="single" w:sz="6" w:space="0" w:color="000000"/>
              <w:bottom w:val="single" w:sz="6" w:space="0" w:color="000000"/>
              <w:right w:val="single" w:sz="6" w:space="0" w:color="000000"/>
            </w:tcBorders>
            <w:vAlign w:val="center"/>
          </w:tcPr>
          <w:p w14:paraId="78227DD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w:t>
            </w:r>
          </w:p>
        </w:tc>
        <w:tc>
          <w:tcPr>
            <w:tcW w:w="2835" w:type="dxa"/>
            <w:tcBorders>
              <w:top w:val="single" w:sz="6" w:space="0" w:color="000000"/>
              <w:left w:val="single" w:sz="6" w:space="0" w:color="000000"/>
              <w:bottom w:val="single" w:sz="6" w:space="0" w:color="000000"/>
              <w:right w:val="single" w:sz="6" w:space="0" w:color="000000"/>
            </w:tcBorders>
            <w:vAlign w:val="center"/>
          </w:tcPr>
          <w:p w14:paraId="5E41E78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19.35%</w:t>
            </w:r>
          </w:p>
        </w:tc>
      </w:tr>
      <w:tr w:rsidR="008C0001" w:rsidRPr="00407D80" w14:paraId="2BF16A14"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12521FF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الإجمالي</w:t>
            </w:r>
          </w:p>
        </w:tc>
        <w:tc>
          <w:tcPr>
            <w:tcW w:w="2835" w:type="dxa"/>
            <w:tcBorders>
              <w:top w:val="single" w:sz="6" w:space="0" w:color="000000"/>
              <w:left w:val="single" w:sz="6" w:space="0" w:color="000000"/>
              <w:bottom w:val="single" w:sz="6" w:space="0" w:color="000000"/>
              <w:right w:val="single" w:sz="6" w:space="0" w:color="000000"/>
            </w:tcBorders>
            <w:vAlign w:val="center"/>
          </w:tcPr>
          <w:p w14:paraId="73A0737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31</w:t>
            </w:r>
          </w:p>
        </w:tc>
        <w:tc>
          <w:tcPr>
            <w:tcW w:w="2835" w:type="dxa"/>
            <w:tcBorders>
              <w:top w:val="single" w:sz="6" w:space="0" w:color="000000"/>
              <w:left w:val="single" w:sz="6" w:space="0" w:color="000000"/>
              <w:bottom w:val="single" w:sz="6" w:space="0" w:color="000000"/>
              <w:right w:val="single" w:sz="6" w:space="0" w:color="000000"/>
            </w:tcBorders>
            <w:vAlign w:val="center"/>
          </w:tcPr>
          <w:p w14:paraId="6D7B3D7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100.00%</w:t>
            </w:r>
          </w:p>
        </w:tc>
      </w:tr>
    </w:tbl>
    <w:p w14:paraId="677F3A22" w14:textId="28ED67B8"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يتضح من الجدول (</w:t>
      </w:r>
      <w:r w:rsidR="00407D80" w:rsidRPr="00407D80">
        <w:rPr>
          <w:rFonts w:asciiTheme="minorBidi" w:eastAsia="Sakkal Majalla" w:hAnsiTheme="minorBidi"/>
          <w:color w:val="000000"/>
          <w:lang w:val="en-US"/>
        </w:rPr>
        <w:t>8</w:t>
      </w:r>
      <w:r w:rsidRPr="00407D80">
        <w:rPr>
          <w:rFonts w:asciiTheme="minorBidi" w:eastAsia="Sakkal Majalla" w:hAnsiTheme="minorBidi"/>
          <w:color w:val="000000"/>
          <w:rtl/>
        </w:rPr>
        <w:t>) أن غالبية أفراد العينة بنسبة 58.06% يعملون في جهات كبيرة الحجم (أكثر من 51 موظفاً)، وأن نحو 41.94% يعملون في جهات صغيرة ومتوسطة. ويتيح هذا التنوع النظر إلى ظاهرة الاعتماد على مؤشرات الأداء عبر سياقات تنظيمية مختلفة، تختلف فيها مستويات النضج التسويقي والميزانيات الإعلانية المخصصة.</w:t>
      </w:r>
    </w:p>
    <w:p w14:paraId="16E62563" w14:textId="37B138DF"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w:t>
      </w:r>
      <w:r w:rsidR="00407D80" w:rsidRPr="00407D80">
        <w:rPr>
          <w:rFonts w:asciiTheme="minorBidi" w:eastAsia="Sakkal Majalla" w:hAnsiTheme="minorBidi" w:cstheme="minorBidi"/>
          <w:lang w:val="en-US"/>
        </w:rPr>
        <w:t>9</w:t>
      </w:r>
      <w:r w:rsidRPr="00407D80">
        <w:rPr>
          <w:rFonts w:asciiTheme="minorBidi" w:eastAsia="Sakkal Majalla" w:hAnsiTheme="minorBidi" w:cstheme="minorBidi"/>
          <w:rtl/>
        </w:rPr>
        <w:t>): توزيع المنصات الإعلانية المستخدمة (إجابات متعددة)</w:t>
      </w:r>
    </w:p>
    <w:tbl>
      <w:tblPr>
        <w:tblStyle w:val="TableGrid"/>
        <w:bidiVisual/>
        <w:tblW w:w="5000" w:type="pct"/>
        <w:jc w:val="center"/>
        <w:tblLook w:val="04A0" w:firstRow="1" w:lastRow="0" w:firstColumn="1" w:lastColumn="0" w:noHBand="0" w:noVBand="1"/>
      </w:tblPr>
      <w:tblGrid>
        <w:gridCol w:w="3114"/>
        <w:gridCol w:w="3115"/>
        <w:gridCol w:w="3115"/>
      </w:tblGrid>
      <w:tr w:rsidR="008C0001" w:rsidRPr="00407D80" w14:paraId="0CC2222C"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1635042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المنصة الإعلانية</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0AEE41E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عدد المستخدمين</w:t>
            </w:r>
          </w:p>
        </w:tc>
        <w:tc>
          <w:tcPr>
            <w:tcW w:w="2835"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7163626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النسبة من العينة</w:t>
            </w:r>
          </w:p>
        </w:tc>
      </w:tr>
      <w:tr w:rsidR="008C0001" w:rsidRPr="00407D80" w14:paraId="7BA00815"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0EA59A13" w14:textId="77777777" w:rsidR="008C0001" w:rsidRPr="00407D80" w:rsidRDefault="008C0001" w:rsidP="008C0001">
            <w:pPr>
              <w:bidi/>
              <w:spacing w:before="40" w:after="40" w:line="276" w:lineRule="auto"/>
              <w:jc w:val="center"/>
              <w:rPr>
                <w:rFonts w:asciiTheme="minorBidi" w:hAnsiTheme="minorBidi"/>
              </w:rPr>
            </w:pPr>
            <w:proofErr w:type="spellStart"/>
            <w:r w:rsidRPr="00407D80">
              <w:rPr>
                <w:rFonts w:asciiTheme="minorBidi" w:eastAsia="Sakkal Majalla" w:hAnsiTheme="minorBidi"/>
                <w:color w:val="000000"/>
                <w:sz w:val="24"/>
                <w:szCs w:val="24"/>
                <w:rtl/>
              </w:rPr>
              <w:t>TikTok</w:t>
            </w:r>
            <w:proofErr w:type="spellEnd"/>
            <w:r w:rsidRPr="00407D80">
              <w:rPr>
                <w:rFonts w:asciiTheme="minorBidi" w:eastAsia="Sakkal Majalla" w:hAnsiTheme="minorBidi"/>
                <w:color w:val="000000"/>
                <w:sz w:val="24"/>
                <w:szCs w:val="24"/>
                <w:rtl/>
              </w:rPr>
              <w:t xml:space="preserve"> </w:t>
            </w:r>
            <w:proofErr w:type="spellStart"/>
            <w:r w:rsidRPr="00407D80">
              <w:rPr>
                <w:rFonts w:asciiTheme="minorBidi" w:eastAsia="Sakkal Majalla" w:hAnsiTheme="minorBidi"/>
                <w:color w:val="000000"/>
                <w:sz w:val="24"/>
                <w:szCs w:val="24"/>
                <w:rtl/>
              </w:rPr>
              <w:t>Ads</w:t>
            </w:r>
            <w:proofErr w:type="spellEnd"/>
          </w:p>
        </w:tc>
        <w:tc>
          <w:tcPr>
            <w:tcW w:w="2835" w:type="dxa"/>
            <w:tcBorders>
              <w:top w:val="single" w:sz="6" w:space="0" w:color="000000"/>
              <w:left w:val="single" w:sz="6" w:space="0" w:color="000000"/>
              <w:bottom w:val="single" w:sz="6" w:space="0" w:color="000000"/>
              <w:right w:val="single" w:sz="6" w:space="0" w:color="000000"/>
            </w:tcBorders>
            <w:vAlign w:val="center"/>
          </w:tcPr>
          <w:p w14:paraId="0214853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21</w:t>
            </w:r>
          </w:p>
        </w:tc>
        <w:tc>
          <w:tcPr>
            <w:tcW w:w="2835" w:type="dxa"/>
            <w:tcBorders>
              <w:top w:val="single" w:sz="6" w:space="0" w:color="000000"/>
              <w:left w:val="single" w:sz="6" w:space="0" w:color="000000"/>
              <w:bottom w:val="single" w:sz="6" w:space="0" w:color="000000"/>
              <w:right w:val="single" w:sz="6" w:space="0" w:color="000000"/>
            </w:tcBorders>
            <w:vAlign w:val="center"/>
          </w:tcPr>
          <w:p w14:paraId="6846B52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67.74%</w:t>
            </w:r>
          </w:p>
        </w:tc>
      </w:tr>
      <w:tr w:rsidR="008C0001" w:rsidRPr="00407D80" w14:paraId="0C587FCF"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456314F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 xml:space="preserve">Google </w:t>
            </w:r>
            <w:proofErr w:type="spellStart"/>
            <w:r w:rsidRPr="00407D80">
              <w:rPr>
                <w:rFonts w:asciiTheme="minorBidi" w:eastAsia="Sakkal Majalla" w:hAnsiTheme="minorBidi"/>
                <w:color w:val="000000"/>
                <w:sz w:val="24"/>
                <w:szCs w:val="24"/>
                <w:rtl/>
              </w:rPr>
              <w:t>Ads</w:t>
            </w:r>
            <w:proofErr w:type="spellEnd"/>
          </w:p>
        </w:tc>
        <w:tc>
          <w:tcPr>
            <w:tcW w:w="2835" w:type="dxa"/>
            <w:tcBorders>
              <w:top w:val="single" w:sz="6" w:space="0" w:color="000000"/>
              <w:left w:val="single" w:sz="6" w:space="0" w:color="000000"/>
              <w:bottom w:val="single" w:sz="6" w:space="0" w:color="000000"/>
              <w:right w:val="single" w:sz="6" w:space="0" w:color="000000"/>
            </w:tcBorders>
            <w:vAlign w:val="center"/>
          </w:tcPr>
          <w:p w14:paraId="052789E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20</w:t>
            </w:r>
          </w:p>
        </w:tc>
        <w:tc>
          <w:tcPr>
            <w:tcW w:w="2835" w:type="dxa"/>
            <w:tcBorders>
              <w:top w:val="single" w:sz="6" w:space="0" w:color="000000"/>
              <w:left w:val="single" w:sz="6" w:space="0" w:color="000000"/>
              <w:bottom w:val="single" w:sz="6" w:space="0" w:color="000000"/>
              <w:right w:val="single" w:sz="6" w:space="0" w:color="000000"/>
            </w:tcBorders>
            <w:vAlign w:val="center"/>
          </w:tcPr>
          <w:p w14:paraId="58E2B57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64.52%</w:t>
            </w:r>
          </w:p>
        </w:tc>
      </w:tr>
      <w:tr w:rsidR="008C0001" w:rsidRPr="00407D80" w14:paraId="74CFB6E1"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3A2BD90E" w14:textId="77777777" w:rsidR="008C0001" w:rsidRPr="00407D80" w:rsidRDefault="008C0001" w:rsidP="008C0001">
            <w:pPr>
              <w:bidi/>
              <w:spacing w:before="40" w:after="40" w:line="276" w:lineRule="auto"/>
              <w:jc w:val="center"/>
              <w:rPr>
                <w:rFonts w:asciiTheme="minorBidi" w:hAnsiTheme="minorBidi"/>
              </w:rPr>
            </w:pPr>
            <w:proofErr w:type="spellStart"/>
            <w:r w:rsidRPr="00407D80">
              <w:rPr>
                <w:rFonts w:asciiTheme="minorBidi" w:eastAsia="Sakkal Majalla" w:hAnsiTheme="minorBidi"/>
                <w:color w:val="000000"/>
                <w:sz w:val="24"/>
                <w:szCs w:val="24"/>
                <w:rtl/>
              </w:rPr>
              <w:t>Snapchat</w:t>
            </w:r>
            <w:proofErr w:type="spellEnd"/>
            <w:r w:rsidRPr="00407D80">
              <w:rPr>
                <w:rFonts w:asciiTheme="minorBidi" w:eastAsia="Sakkal Majalla" w:hAnsiTheme="minorBidi"/>
                <w:color w:val="000000"/>
                <w:sz w:val="24"/>
                <w:szCs w:val="24"/>
                <w:rtl/>
              </w:rPr>
              <w:t xml:space="preserve"> </w:t>
            </w:r>
            <w:proofErr w:type="spellStart"/>
            <w:r w:rsidRPr="00407D80">
              <w:rPr>
                <w:rFonts w:asciiTheme="minorBidi" w:eastAsia="Sakkal Majalla" w:hAnsiTheme="minorBidi"/>
                <w:color w:val="000000"/>
                <w:sz w:val="24"/>
                <w:szCs w:val="24"/>
                <w:rtl/>
              </w:rPr>
              <w:t>Ads</w:t>
            </w:r>
            <w:proofErr w:type="spellEnd"/>
          </w:p>
        </w:tc>
        <w:tc>
          <w:tcPr>
            <w:tcW w:w="2835" w:type="dxa"/>
            <w:tcBorders>
              <w:top w:val="single" w:sz="6" w:space="0" w:color="000000"/>
              <w:left w:val="single" w:sz="6" w:space="0" w:color="000000"/>
              <w:bottom w:val="single" w:sz="6" w:space="0" w:color="000000"/>
              <w:right w:val="single" w:sz="6" w:space="0" w:color="000000"/>
            </w:tcBorders>
            <w:vAlign w:val="center"/>
          </w:tcPr>
          <w:p w14:paraId="3F32B20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18</w:t>
            </w:r>
          </w:p>
        </w:tc>
        <w:tc>
          <w:tcPr>
            <w:tcW w:w="2835" w:type="dxa"/>
            <w:tcBorders>
              <w:top w:val="single" w:sz="6" w:space="0" w:color="000000"/>
              <w:left w:val="single" w:sz="6" w:space="0" w:color="000000"/>
              <w:bottom w:val="single" w:sz="6" w:space="0" w:color="000000"/>
              <w:right w:val="single" w:sz="6" w:space="0" w:color="000000"/>
            </w:tcBorders>
            <w:vAlign w:val="center"/>
          </w:tcPr>
          <w:p w14:paraId="16E5468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58.06%</w:t>
            </w:r>
          </w:p>
        </w:tc>
      </w:tr>
      <w:tr w:rsidR="008C0001" w:rsidRPr="00407D80" w14:paraId="70AEF149"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5FA7D00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 xml:space="preserve">X </w:t>
            </w:r>
            <w:proofErr w:type="spellStart"/>
            <w:r w:rsidRPr="00407D80">
              <w:rPr>
                <w:rFonts w:asciiTheme="minorBidi" w:eastAsia="Sakkal Majalla" w:hAnsiTheme="minorBidi"/>
                <w:color w:val="000000"/>
                <w:sz w:val="24"/>
                <w:szCs w:val="24"/>
                <w:rtl/>
              </w:rPr>
              <w:t>Ads</w:t>
            </w:r>
            <w:proofErr w:type="spellEnd"/>
          </w:p>
        </w:tc>
        <w:tc>
          <w:tcPr>
            <w:tcW w:w="2835" w:type="dxa"/>
            <w:tcBorders>
              <w:top w:val="single" w:sz="6" w:space="0" w:color="000000"/>
              <w:left w:val="single" w:sz="6" w:space="0" w:color="000000"/>
              <w:bottom w:val="single" w:sz="6" w:space="0" w:color="000000"/>
              <w:right w:val="single" w:sz="6" w:space="0" w:color="000000"/>
            </w:tcBorders>
            <w:vAlign w:val="center"/>
          </w:tcPr>
          <w:p w14:paraId="43E43A7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18</w:t>
            </w:r>
          </w:p>
        </w:tc>
        <w:tc>
          <w:tcPr>
            <w:tcW w:w="2835" w:type="dxa"/>
            <w:tcBorders>
              <w:top w:val="single" w:sz="6" w:space="0" w:color="000000"/>
              <w:left w:val="single" w:sz="6" w:space="0" w:color="000000"/>
              <w:bottom w:val="single" w:sz="6" w:space="0" w:color="000000"/>
              <w:right w:val="single" w:sz="6" w:space="0" w:color="000000"/>
            </w:tcBorders>
            <w:vAlign w:val="center"/>
          </w:tcPr>
          <w:p w14:paraId="25A2C6B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58.06%</w:t>
            </w:r>
          </w:p>
        </w:tc>
      </w:tr>
      <w:tr w:rsidR="008C0001" w:rsidRPr="00407D80" w14:paraId="6563D353"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026B794E" w14:textId="77777777" w:rsidR="008C0001" w:rsidRPr="00407D80" w:rsidRDefault="008C0001" w:rsidP="008C0001">
            <w:pPr>
              <w:bidi/>
              <w:spacing w:before="40" w:after="40" w:line="276" w:lineRule="auto"/>
              <w:jc w:val="center"/>
              <w:rPr>
                <w:rFonts w:asciiTheme="minorBidi" w:hAnsiTheme="minorBidi"/>
              </w:rPr>
            </w:pPr>
            <w:proofErr w:type="spellStart"/>
            <w:r w:rsidRPr="00407D80">
              <w:rPr>
                <w:rFonts w:asciiTheme="minorBidi" w:eastAsia="Sakkal Majalla" w:hAnsiTheme="minorBidi"/>
                <w:color w:val="000000"/>
                <w:sz w:val="24"/>
                <w:szCs w:val="24"/>
                <w:rtl/>
              </w:rPr>
              <w:t>Meta</w:t>
            </w:r>
            <w:proofErr w:type="spellEnd"/>
            <w:r w:rsidRPr="00407D80">
              <w:rPr>
                <w:rFonts w:asciiTheme="minorBidi" w:eastAsia="Sakkal Majalla" w:hAnsiTheme="minorBidi"/>
                <w:color w:val="000000"/>
                <w:sz w:val="24"/>
                <w:szCs w:val="24"/>
                <w:rtl/>
              </w:rPr>
              <w:t xml:space="preserve"> </w:t>
            </w:r>
            <w:proofErr w:type="spellStart"/>
            <w:r w:rsidRPr="00407D80">
              <w:rPr>
                <w:rFonts w:asciiTheme="minorBidi" w:eastAsia="Sakkal Majalla" w:hAnsiTheme="minorBidi"/>
                <w:color w:val="000000"/>
                <w:sz w:val="24"/>
                <w:szCs w:val="24"/>
                <w:rtl/>
              </w:rPr>
              <w:t>Ads</w:t>
            </w:r>
            <w:proofErr w:type="spellEnd"/>
          </w:p>
        </w:tc>
        <w:tc>
          <w:tcPr>
            <w:tcW w:w="2835" w:type="dxa"/>
            <w:tcBorders>
              <w:top w:val="single" w:sz="6" w:space="0" w:color="000000"/>
              <w:left w:val="single" w:sz="6" w:space="0" w:color="000000"/>
              <w:bottom w:val="single" w:sz="6" w:space="0" w:color="000000"/>
              <w:right w:val="single" w:sz="6" w:space="0" w:color="000000"/>
            </w:tcBorders>
            <w:vAlign w:val="center"/>
          </w:tcPr>
          <w:p w14:paraId="70195B8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14</w:t>
            </w:r>
          </w:p>
        </w:tc>
        <w:tc>
          <w:tcPr>
            <w:tcW w:w="2835" w:type="dxa"/>
            <w:tcBorders>
              <w:top w:val="single" w:sz="6" w:space="0" w:color="000000"/>
              <w:left w:val="single" w:sz="6" w:space="0" w:color="000000"/>
              <w:bottom w:val="single" w:sz="6" w:space="0" w:color="000000"/>
              <w:right w:val="single" w:sz="6" w:space="0" w:color="000000"/>
            </w:tcBorders>
            <w:vAlign w:val="center"/>
          </w:tcPr>
          <w:p w14:paraId="17D8709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45.16%</w:t>
            </w:r>
          </w:p>
        </w:tc>
      </w:tr>
      <w:tr w:rsidR="008C0001" w:rsidRPr="00407D80" w14:paraId="62F3D7EB"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41AF1721" w14:textId="77777777" w:rsidR="008C0001" w:rsidRPr="00407D80" w:rsidRDefault="008C0001" w:rsidP="008C0001">
            <w:pPr>
              <w:bidi/>
              <w:spacing w:before="40" w:after="40" w:line="276" w:lineRule="auto"/>
              <w:jc w:val="center"/>
              <w:rPr>
                <w:rFonts w:asciiTheme="minorBidi" w:hAnsiTheme="minorBidi"/>
              </w:rPr>
            </w:pPr>
            <w:proofErr w:type="spellStart"/>
            <w:r w:rsidRPr="00407D80">
              <w:rPr>
                <w:rFonts w:asciiTheme="minorBidi" w:eastAsia="Sakkal Majalla" w:hAnsiTheme="minorBidi"/>
                <w:color w:val="000000"/>
                <w:sz w:val="24"/>
                <w:szCs w:val="24"/>
                <w:rtl/>
              </w:rPr>
              <w:t>LinkedIn</w:t>
            </w:r>
            <w:proofErr w:type="spellEnd"/>
            <w:r w:rsidRPr="00407D80">
              <w:rPr>
                <w:rFonts w:asciiTheme="minorBidi" w:eastAsia="Sakkal Majalla" w:hAnsiTheme="minorBidi"/>
                <w:color w:val="000000"/>
                <w:sz w:val="24"/>
                <w:szCs w:val="24"/>
                <w:rtl/>
              </w:rPr>
              <w:t xml:space="preserve"> </w:t>
            </w:r>
            <w:proofErr w:type="spellStart"/>
            <w:r w:rsidRPr="00407D80">
              <w:rPr>
                <w:rFonts w:asciiTheme="minorBidi" w:eastAsia="Sakkal Majalla" w:hAnsiTheme="minorBidi"/>
                <w:color w:val="000000"/>
                <w:sz w:val="24"/>
                <w:szCs w:val="24"/>
                <w:rtl/>
              </w:rPr>
              <w:t>Ads</w:t>
            </w:r>
            <w:proofErr w:type="spellEnd"/>
          </w:p>
        </w:tc>
        <w:tc>
          <w:tcPr>
            <w:tcW w:w="2835" w:type="dxa"/>
            <w:tcBorders>
              <w:top w:val="single" w:sz="6" w:space="0" w:color="000000"/>
              <w:left w:val="single" w:sz="6" w:space="0" w:color="000000"/>
              <w:bottom w:val="single" w:sz="6" w:space="0" w:color="000000"/>
              <w:right w:val="single" w:sz="6" w:space="0" w:color="000000"/>
            </w:tcBorders>
            <w:vAlign w:val="center"/>
          </w:tcPr>
          <w:p w14:paraId="7517301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14</w:t>
            </w:r>
          </w:p>
        </w:tc>
        <w:tc>
          <w:tcPr>
            <w:tcW w:w="2835" w:type="dxa"/>
            <w:tcBorders>
              <w:top w:val="single" w:sz="6" w:space="0" w:color="000000"/>
              <w:left w:val="single" w:sz="6" w:space="0" w:color="000000"/>
              <w:bottom w:val="single" w:sz="6" w:space="0" w:color="000000"/>
              <w:right w:val="single" w:sz="6" w:space="0" w:color="000000"/>
            </w:tcBorders>
            <w:vAlign w:val="center"/>
          </w:tcPr>
          <w:p w14:paraId="159DD4A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45.16%</w:t>
            </w:r>
          </w:p>
        </w:tc>
      </w:tr>
      <w:tr w:rsidR="008C0001" w:rsidRPr="00407D80" w14:paraId="3214D4D7"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3FAF36A0" w14:textId="77777777" w:rsidR="008C0001" w:rsidRPr="00407D80" w:rsidRDefault="008C0001" w:rsidP="008C0001">
            <w:pPr>
              <w:bidi/>
              <w:spacing w:before="40" w:after="40" w:line="276" w:lineRule="auto"/>
              <w:jc w:val="center"/>
              <w:rPr>
                <w:rFonts w:asciiTheme="minorBidi" w:hAnsiTheme="minorBidi"/>
              </w:rPr>
            </w:pPr>
            <w:proofErr w:type="spellStart"/>
            <w:r w:rsidRPr="00407D80">
              <w:rPr>
                <w:rFonts w:asciiTheme="minorBidi" w:eastAsia="Sakkal Majalla" w:hAnsiTheme="minorBidi"/>
                <w:color w:val="000000"/>
                <w:sz w:val="24"/>
                <w:szCs w:val="24"/>
                <w:rtl/>
              </w:rPr>
              <w:t>Programmatic</w:t>
            </w:r>
            <w:proofErr w:type="spellEnd"/>
            <w:r w:rsidRPr="00407D80">
              <w:rPr>
                <w:rFonts w:asciiTheme="minorBidi" w:eastAsia="Sakkal Majalla" w:hAnsiTheme="minorBidi"/>
                <w:color w:val="000000"/>
                <w:sz w:val="24"/>
                <w:szCs w:val="24"/>
                <w:rtl/>
              </w:rPr>
              <w:t xml:space="preserve"> </w:t>
            </w:r>
            <w:proofErr w:type="spellStart"/>
            <w:r w:rsidRPr="00407D80">
              <w:rPr>
                <w:rFonts w:asciiTheme="minorBidi" w:eastAsia="Sakkal Majalla" w:hAnsiTheme="minorBidi"/>
                <w:color w:val="000000"/>
                <w:sz w:val="24"/>
                <w:szCs w:val="24"/>
                <w:rtl/>
              </w:rPr>
              <w:t>Ads</w:t>
            </w:r>
            <w:proofErr w:type="spellEnd"/>
          </w:p>
        </w:tc>
        <w:tc>
          <w:tcPr>
            <w:tcW w:w="2835" w:type="dxa"/>
            <w:tcBorders>
              <w:top w:val="single" w:sz="6" w:space="0" w:color="000000"/>
              <w:left w:val="single" w:sz="6" w:space="0" w:color="000000"/>
              <w:bottom w:val="single" w:sz="6" w:space="0" w:color="000000"/>
              <w:right w:val="single" w:sz="6" w:space="0" w:color="000000"/>
            </w:tcBorders>
            <w:vAlign w:val="center"/>
          </w:tcPr>
          <w:p w14:paraId="3FCF735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w:t>
            </w:r>
          </w:p>
        </w:tc>
        <w:tc>
          <w:tcPr>
            <w:tcW w:w="2835" w:type="dxa"/>
            <w:tcBorders>
              <w:top w:val="single" w:sz="6" w:space="0" w:color="000000"/>
              <w:left w:val="single" w:sz="6" w:space="0" w:color="000000"/>
              <w:bottom w:val="single" w:sz="6" w:space="0" w:color="000000"/>
              <w:right w:val="single" w:sz="6" w:space="0" w:color="000000"/>
            </w:tcBorders>
            <w:vAlign w:val="center"/>
          </w:tcPr>
          <w:p w14:paraId="1487A01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32.26%</w:t>
            </w:r>
          </w:p>
        </w:tc>
      </w:tr>
      <w:tr w:rsidR="008C0001" w:rsidRPr="00407D80" w14:paraId="24765C26" w14:textId="77777777" w:rsidTr="001E0ECE">
        <w:trPr>
          <w:jc w:val="center"/>
        </w:trPr>
        <w:tc>
          <w:tcPr>
            <w:tcW w:w="2835" w:type="dxa"/>
            <w:tcBorders>
              <w:top w:val="single" w:sz="6" w:space="0" w:color="000000"/>
              <w:left w:val="single" w:sz="6" w:space="0" w:color="000000"/>
              <w:bottom w:val="single" w:sz="6" w:space="0" w:color="000000"/>
              <w:right w:val="single" w:sz="6" w:space="0" w:color="000000"/>
            </w:tcBorders>
            <w:vAlign w:val="center"/>
          </w:tcPr>
          <w:p w14:paraId="64361113" w14:textId="77777777" w:rsidR="008C0001" w:rsidRPr="00407D80" w:rsidRDefault="008C0001" w:rsidP="008C0001">
            <w:pPr>
              <w:bidi/>
              <w:spacing w:before="40" w:after="40" w:line="276" w:lineRule="auto"/>
              <w:jc w:val="center"/>
              <w:rPr>
                <w:rFonts w:asciiTheme="minorBidi" w:hAnsiTheme="minorBidi"/>
              </w:rPr>
            </w:pPr>
            <w:proofErr w:type="spellStart"/>
            <w:r w:rsidRPr="00407D80">
              <w:rPr>
                <w:rFonts w:asciiTheme="minorBidi" w:eastAsia="Sakkal Majalla" w:hAnsiTheme="minorBidi"/>
                <w:color w:val="000000"/>
                <w:sz w:val="24"/>
                <w:szCs w:val="24"/>
                <w:rtl/>
              </w:rPr>
              <w:t>Retail</w:t>
            </w:r>
            <w:proofErr w:type="spellEnd"/>
            <w:r w:rsidRPr="00407D80">
              <w:rPr>
                <w:rFonts w:asciiTheme="minorBidi" w:eastAsia="Sakkal Majalla" w:hAnsiTheme="minorBidi"/>
                <w:color w:val="000000"/>
                <w:sz w:val="24"/>
                <w:szCs w:val="24"/>
                <w:rtl/>
              </w:rPr>
              <w:t xml:space="preserve"> </w:t>
            </w:r>
            <w:proofErr w:type="spellStart"/>
            <w:r w:rsidRPr="00407D80">
              <w:rPr>
                <w:rFonts w:asciiTheme="minorBidi" w:eastAsia="Sakkal Majalla" w:hAnsiTheme="minorBidi"/>
                <w:color w:val="000000"/>
                <w:sz w:val="24"/>
                <w:szCs w:val="24"/>
                <w:rtl/>
              </w:rPr>
              <w:t>Media</w:t>
            </w:r>
            <w:proofErr w:type="spellEnd"/>
            <w:r w:rsidRPr="00407D80">
              <w:rPr>
                <w:rFonts w:asciiTheme="minorBidi" w:eastAsia="Sakkal Majalla" w:hAnsiTheme="minorBidi"/>
                <w:color w:val="000000"/>
                <w:sz w:val="24"/>
                <w:szCs w:val="24"/>
                <w:rtl/>
              </w:rPr>
              <w:t xml:space="preserve"> / </w:t>
            </w:r>
            <w:proofErr w:type="spellStart"/>
            <w:r w:rsidRPr="00407D80">
              <w:rPr>
                <w:rFonts w:asciiTheme="minorBidi" w:eastAsia="Sakkal Majalla" w:hAnsiTheme="minorBidi"/>
                <w:color w:val="000000"/>
                <w:sz w:val="24"/>
                <w:szCs w:val="24"/>
                <w:rtl/>
              </w:rPr>
              <w:t>Marketplace</w:t>
            </w:r>
            <w:proofErr w:type="spellEnd"/>
            <w:r w:rsidRPr="00407D80">
              <w:rPr>
                <w:rFonts w:asciiTheme="minorBidi" w:eastAsia="Sakkal Majalla" w:hAnsiTheme="minorBidi"/>
                <w:color w:val="000000"/>
                <w:sz w:val="24"/>
                <w:szCs w:val="24"/>
                <w:rtl/>
              </w:rPr>
              <w:t xml:space="preserve"> </w:t>
            </w:r>
            <w:proofErr w:type="spellStart"/>
            <w:r w:rsidRPr="00407D80">
              <w:rPr>
                <w:rFonts w:asciiTheme="minorBidi" w:eastAsia="Sakkal Majalla" w:hAnsiTheme="minorBidi"/>
                <w:color w:val="000000"/>
                <w:sz w:val="24"/>
                <w:szCs w:val="24"/>
                <w:rtl/>
              </w:rPr>
              <w:t>Ads</w:t>
            </w:r>
            <w:proofErr w:type="spellEnd"/>
          </w:p>
        </w:tc>
        <w:tc>
          <w:tcPr>
            <w:tcW w:w="2835" w:type="dxa"/>
            <w:tcBorders>
              <w:top w:val="single" w:sz="6" w:space="0" w:color="000000"/>
              <w:left w:val="single" w:sz="6" w:space="0" w:color="000000"/>
              <w:bottom w:val="single" w:sz="6" w:space="0" w:color="000000"/>
              <w:right w:val="single" w:sz="6" w:space="0" w:color="000000"/>
            </w:tcBorders>
            <w:vAlign w:val="center"/>
          </w:tcPr>
          <w:p w14:paraId="0939DEF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w:t>
            </w:r>
          </w:p>
        </w:tc>
        <w:tc>
          <w:tcPr>
            <w:tcW w:w="2835" w:type="dxa"/>
            <w:tcBorders>
              <w:top w:val="single" w:sz="6" w:space="0" w:color="000000"/>
              <w:left w:val="single" w:sz="6" w:space="0" w:color="000000"/>
              <w:bottom w:val="single" w:sz="6" w:space="0" w:color="000000"/>
              <w:right w:val="single" w:sz="6" w:space="0" w:color="000000"/>
            </w:tcBorders>
            <w:vAlign w:val="center"/>
          </w:tcPr>
          <w:p w14:paraId="0C2C8EF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12.90%</w:t>
            </w:r>
          </w:p>
        </w:tc>
      </w:tr>
    </w:tbl>
    <w:p w14:paraId="6BB9E848" w14:textId="77777777" w:rsidR="008C0001" w:rsidRPr="00407D80" w:rsidRDefault="008C0001" w:rsidP="00407D80">
      <w:pPr>
        <w:bidi/>
        <w:spacing w:before="120" w:after="120" w:line="276" w:lineRule="auto"/>
        <w:rPr>
          <w:rFonts w:asciiTheme="minorBidi" w:hAnsiTheme="minorBidi"/>
        </w:rPr>
      </w:pPr>
      <w:r w:rsidRPr="00407D80">
        <w:rPr>
          <w:rFonts w:asciiTheme="minorBidi" w:eastAsia="Sakkal Majalla" w:hAnsiTheme="minorBidi"/>
          <w:color w:val="000000"/>
          <w:rtl/>
        </w:rPr>
        <w:t>* النسب لا تجمع إلى 100% لأن السؤال متعدد الإجابات.</w:t>
      </w:r>
    </w:p>
    <w:p w14:paraId="56110120" w14:textId="2E720CD2"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يكشف الجدول (</w:t>
      </w:r>
      <w:r w:rsidR="00407D80" w:rsidRPr="00407D80">
        <w:rPr>
          <w:rFonts w:asciiTheme="minorBidi" w:eastAsia="Sakkal Majalla" w:hAnsiTheme="minorBidi"/>
          <w:color w:val="000000"/>
          <w:lang w:val="en-US"/>
        </w:rPr>
        <w:t>9</w:t>
      </w:r>
      <w:r w:rsidRPr="00407D80">
        <w:rPr>
          <w:rFonts w:asciiTheme="minorBidi" w:eastAsia="Sakkal Majalla" w:hAnsiTheme="minorBidi"/>
          <w:color w:val="000000"/>
          <w:rtl/>
        </w:rPr>
        <w:t xml:space="preserve">) أن منصة </w:t>
      </w:r>
      <w:proofErr w:type="spellStart"/>
      <w:r w:rsidRPr="00407D80">
        <w:rPr>
          <w:rFonts w:asciiTheme="minorBidi" w:eastAsia="Sakkal Majalla" w:hAnsiTheme="minorBidi"/>
          <w:color w:val="000000"/>
          <w:rtl/>
        </w:rPr>
        <w:t>TikTok</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Ads</w:t>
      </w:r>
      <w:proofErr w:type="spellEnd"/>
      <w:r w:rsidRPr="00407D80">
        <w:rPr>
          <w:rFonts w:asciiTheme="minorBidi" w:eastAsia="Sakkal Majalla" w:hAnsiTheme="minorBidi"/>
          <w:color w:val="000000"/>
          <w:rtl/>
        </w:rPr>
        <w:t xml:space="preserve"> هي الأكثر استخداماً بين أفراد العينة بنسبة 67.74%، تليها Google </w:t>
      </w:r>
      <w:proofErr w:type="spellStart"/>
      <w:r w:rsidRPr="00407D80">
        <w:rPr>
          <w:rFonts w:asciiTheme="minorBidi" w:eastAsia="Sakkal Majalla" w:hAnsiTheme="minorBidi"/>
          <w:color w:val="000000"/>
          <w:rtl/>
        </w:rPr>
        <w:t>Ads</w:t>
      </w:r>
      <w:proofErr w:type="spellEnd"/>
      <w:r w:rsidRPr="00407D80">
        <w:rPr>
          <w:rFonts w:asciiTheme="minorBidi" w:eastAsia="Sakkal Majalla" w:hAnsiTheme="minorBidi"/>
          <w:color w:val="000000"/>
          <w:rtl/>
        </w:rPr>
        <w:t xml:space="preserve"> بنسبة 64.52%، ثم </w:t>
      </w:r>
      <w:proofErr w:type="spellStart"/>
      <w:r w:rsidRPr="00407D80">
        <w:rPr>
          <w:rFonts w:asciiTheme="minorBidi" w:eastAsia="Sakkal Majalla" w:hAnsiTheme="minorBidi"/>
          <w:color w:val="000000"/>
          <w:rtl/>
        </w:rPr>
        <w:t>Snapchat</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Ads</w:t>
      </w:r>
      <w:proofErr w:type="spellEnd"/>
      <w:r w:rsidRPr="00407D80">
        <w:rPr>
          <w:rFonts w:asciiTheme="minorBidi" w:eastAsia="Sakkal Majalla" w:hAnsiTheme="minorBidi"/>
          <w:color w:val="000000"/>
          <w:rtl/>
        </w:rPr>
        <w:t xml:space="preserve"> </w:t>
      </w:r>
      <w:proofErr w:type="gramStart"/>
      <w:r w:rsidRPr="00407D80">
        <w:rPr>
          <w:rFonts w:asciiTheme="minorBidi" w:eastAsia="Sakkal Majalla" w:hAnsiTheme="minorBidi"/>
          <w:color w:val="000000"/>
          <w:rtl/>
        </w:rPr>
        <w:t>و X</w:t>
      </w:r>
      <w:proofErr w:type="gram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Ads</w:t>
      </w:r>
      <w:proofErr w:type="spellEnd"/>
      <w:r w:rsidRPr="00407D80">
        <w:rPr>
          <w:rFonts w:asciiTheme="minorBidi" w:eastAsia="Sakkal Majalla" w:hAnsiTheme="minorBidi"/>
          <w:color w:val="000000"/>
          <w:rtl/>
        </w:rPr>
        <w:t xml:space="preserve"> بنسبة 58.06% لكل منهما، فيما تستخدم </w:t>
      </w:r>
      <w:proofErr w:type="spellStart"/>
      <w:r w:rsidRPr="00407D80">
        <w:rPr>
          <w:rFonts w:asciiTheme="minorBidi" w:eastAsia="Sakkal Majalla" w:hAnsiTheme="minorBidi"/>
          <w:color w:val="000000"/>
          <w:rtl/>
        </w:rPr>
        <w:t>Meta</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Ads</w:t>
      </w:r>
      <w:proofErr w:type="spellEnd"/>
      <w:r w:rsidRPr="00407D80">
        <w:rPr>
          <w:rFonts w:asciiTheme="minorBidi" w:eastAsia="Sakkal Majalla" w:hAnsiTheme="minorBidi"/>
          <w:color w:val="000000"/>
          <w:rtl/>
        </w:rPr>
        <w:t xml:space="preserve"> و </w:t>
      </w:r>
      <w:proofErr w:type="spellStart"/>
      <w:r w:rsidRPr="00407D80">
        <w:rPr>
          <w:rFonts w:asciiTheme="minorBidi" w:eastAsia="Sakkal Majalla" w:hAnsiTheme="minorBidi"/>
          <w:color w:val="000000"/>
          <w:rtl/>
        </w:rPr>
        <w:t>LinkedIn</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Ads</w:t>
      </w:r>
      <w:proofErr w:type="spellEnd"/>
      <w:r w:rsidRPr="00407D80">
        <w:rPr>
          <w:rFonts w:asciiTheme="minorBidi" w:eastAsia="Sakkal Majalla" w:hAnsiTheme="minorBidi"/>
          <w:color w:val="000000"/>
          <w:rtl/>
        </w:rPr>
        <w:t xml:space="preserve"> نسبة 45.16% من العينة. ويعكس هذا التوزيع طبيعة السوق الإعلاني السعودي الذي تحظى فيه المنصات قصيرة المحتوى المرئي (</w:t>
      </w:r>
      <w:proofErr w:type="spellStart"/>
      <w:r w:rsidRPr="00407D80">
        <w:rPr>
          <w:rFonts w:asciiTheme="minorBidi" w:eastAsia="Sakkal Majalla" w:hAnsiTheme="minorBidi"/>
          <w:color w:val="000000"/>
          <w:rtl/>
        </w:rPr>
        <w:t>TikTok</w:t>
      </w:r>
      <w:proofErr w:type="spellEnd"/>
      <w:r w:rsidRPr="00407D80">
        <w:rPr>
          <w:rFonts w:asciiTheme="minorBidi" w:eastAsia="Sakkal Majalla" w:hAnsiTheme="minorBidi"/>
          <w:color w:val="000000"/>
          <w:rtl/>
        </w:rPr>
        <w:t xml:space="preserve"> </w:t>
      </w:r>
      <w:proofErr w:type="gramStart"/>
      <w:r w:rsidRPr="00407D80">
        <w:rPr>
          <w:rFonts w:asciiTheme="minorBidi" w:eastAsia="Sakkal Majalla" w:hAnsiTheme="minorBidi"/>
          <w:color w:val="000000"/>
          <w:rtl/>
        </w:rPr>
        <w:t xml:space="preserve">و </w:t>
      </w:r>
      <w:proofErr w:type="spellStart"/>
      <w:r w:rsidRPr="00407D80">
        <w:rPr>
          <w:rFonts w:asciiTheme="minorBidi" w:eastAsia="Sakkal Majalla" w:hAnsiTheme="minorBidi"/>
          <w:color w:val="000000"/>
          <w:rtl/>
        </w:rPr>
        <w:t>Snapchat</w:t>
      </w:r>
      <w:proofErr w:type="spellEnd"/>
      <w:proofErr w:type="gramEnd"/>
      <w:r w:rsidRPr="00407D80">
        <w:rPr>
          <w:rFonts w:asciiTheme="minorBidi" w:eastAsia="Sakkal Majalla" w:hAnsiTheme="minorBidi"/>
          <w:color w:val="000000"/>
          <w:rtl/>
        </w:rPr>
        <w:t>) بحضور قوي مقارنة بالأسواق الغربية. كما يدل على أن المستجيبين يتعاملون في الغالب مع أكثر من منصة واحدة، مما يعرضهم مباشرة لظاهرة اختلاف دقة المؤشرات بين المنصات، وهي إحدى الفروض الجوهرية للدراسة.</w:t>
      </w:r>
    </w:p>
    <w:p w14:paraId="656502E9" w14:textId="5ED6F39A" w:rsidR="008C0001" w:rsidRPr="00407D80" w:rsidRDefault="008C0001" w:rsidP="00407D80">
      <w:pPr>
        <w:pStyle w:val="Heading1"/>
        <w:bidi/>
        <w:rPr>
          <w:rFonts w:cstheme="minorBidi"/>
        </w:rPr>
      </w:pPr>
      <w:bookmarkStart w:id="62" w:name="_Toc228065409"/>
      <w:r w:rsidRPr="00407D80">
        <w:rPr>
          <w:rFonts w:eastAsia="Sakkal Majalla" w:cstheme="minorBidi"/>
          <w:rtl/>
        </w:rPr>
        <w:t>تحليل ثبات المقياس (Reliability Analysis)</w:t>
      </w:r>
      <w:bookmarkEnd w:id="62"/>
    </w:p>
    <w:p w14:paraId="6F2DA020"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تم استخدام معامل ألفا </w:t>
      </w:r>
      <w:proofErr w:type="spellStart"/>
      <w:r w:rsidRPr="00407D80">
        <w:rPr>
          <w:rFonts w:asciiTheme="minorBidi" w:eastAsia="Sakkal Majalla" w:hAnsiTheme="minorBidi"/>
          <w:color w:val="000000"/>
          <w:rtl/>
        </w:rPr>
        <w:t>كرونباخ</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Cronbach's</w:t>
      </w:r>
      <w:proofErr w:type="spellEnd"/>
      <w:r w:rsidRPr="00407D80">
        <w:rPr>
          <w:rFonts w:asciiTheme="minorBidi" w:eastAsia="Sakkal Majalla" w:hAnsiTheme="minorBidi"/>
          <w:color w:val="000000"/>
          <w:rtl/>
        </w:rPr>
        <w:t xml:space="preserve"> Alpha) للتحقق من ثبات المقياس بمحاوره الأربعة وفقراته الاثنتين والعشرين. ويعد هذا المعامل من أكثر مؤشرات الثبات شيوعاً في الدراسات السلوكية، حيث تتراوح قيمته بين الصفر والواحد الصحيح. وتشير قيم المعامل التي تساوي 0.70 أو تزيد عنه إلى ثبات مقبول إلى جيد لأغراض البحث الأكاديمي وفقاً لمعايير </w:t>
      </w:r>
      <w:proofErr w:type="spellStart"/>
      <w:r w:rsidRPr="00407D80">
        <w:rPr>
          <w:rFonts w:asciiTheme="minorBidi" w:eastAsia="Sakkal Majalla" w:hAnsiTheme="minorBidi"/>
          <w:color w:val="000000"/>
          <w:rtl/>
        </w:rPr>
        <w:t>Nunnally</w:t>
      </w:r>
      <w:proofErr w:type="spellEnd"/>
      <w:r w:rsidRPr="00407D80">
        <w:rPr>
          <w:rFonts w:asciiTheme="minorBidi" w:eastAsia="Sakkal Majalla" w:hAnsiTheme="minorBidi"/>
          <w:color w:val="000000"/>
          <w:rtl/>
        </w:rPr>
        <w:t xml:space="preserve"> (1978)، فيما تعد القيم بين (0.60 إلى 0.70) مقبولة في الدراسات الاستكشافية. وتجدر الإشارة إلى </w:t>
      </w:r>
      <w:r w:rsidRPr="00407D80">
        <w:rPr>
          <w:rFonts w:asciiTheme="minorBidi" w:eastAsia="Sakkal Majalla" w:hAnsiTheme="minorBidi"/>
          <w:color w:val="000000"/>
          <w:rtl/>
        </w:rPr>
        <w:lastRenderedPageBreak/>
        <w:t>أن العبارات ذات الاتجاه المعاكس قد تم إعادة ترميزها (</w:t>
      </w:r>
      <w:proofErr w:type="spellStart"/>
      <w:r w:rsidRPr="00407D80">
        <w:rPr>
          <w:rFonts w:asciiTheme="minorBidi" w:eastAsia="Sakkal Majalla" w:hAnsiTheme="minorBidi"/>
          <w:color w:val="000000"/>
          <w:rtl/>
        </w:rPr>
        <w:t>Reverse</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Coding</w:t>
      </w:r>
      <w:proofErr w:type="spellEnd"/>
      <w:r w:rsidRPr="00407D80">
        <w:rPr>
          <w:rFonts w:asciiTheme="minorBidi" w:eastAsia="Sakkal Majalla" w:hAnsiTheme="minorBidi"/>
          <w:color w:val="000000"/>
          <w:rtl/>
        </w:rPr>
        <w:t>) قبل احتساب المعامل لضمان توافق الاتجاه المفاهيمي.</w:t>
      </w:r>
    </w:p>
    <w:p w14:paraId="4464D2A7" w14:textId="6862A86E" w:rsidR="008C0001" w:rsidRPr="00407D80" w:rsidRDefault="008C0001" w:rsidP="00407D80">
      <w:pPr>
        <w:pStyle w:val="Heading2"/>
        <w:bidi/>
        <w:rPr>
          <w:rFonts w:asciiTheme="minorBidi" w:hAnsiTheme="minorBidi" w:cstheme="minorBidi"/>
        </w:rPr>
      </w:pPr>
      <w:r w:rsidRPr="00407D80">
        <w:rPr>
          <w:rFonts w:asciiTheme="minorBidi" w:hAnsiTheme="minorBidi" w:cstheme="minorBidi"/>
          <w:rtl/>
        </w:rPr>
        <w:t xml:space="preserve">جدول (10): قيم معامل ألفا </w:t>
      </w:r>
      <w:proofErr w:type="spellStart"/>
      <w:r w:rsidRPr="00407D80">
        <w:rPr>
          <w:rFonts w:asciiTheme="minorBidi" w:hAnsiTheme="minorBidi" w:cstheme="minorBidi"/>
          <w:rtl/>
        </w:rPr>
        <w:t>كرونباخ</w:t>
      </w:r>
      <w:proofErr w:type="spellEnd"/>
      <w:r w:rsidRPr="00407D80">
        <w:rPr>
          <w:rFonts w:asciiTheme="minorBidi" w:hAnsiTheme="minorBidi" w:cstheme="minorBidi"/>
          <w:rtl/>
        </w:rPr>
        <w:t xml:space="preserve"> لمحاور الدراسة</w:t>
      </w:r>
    </w:p>
    <w:tbl>
      <w:tblPr>
        <w:tblStyle w:val="TableGrid"/>
        <w:bidiVisual/>
        <w:tblW w:w="5000" w:type="pct"/>
        <w:jc w:val="center"/>
        <w:tblLook w:val="04A0" w:firstRow="1" w:lastRow="0" w:firstColumn="1" w:lastColumn="0" w:noHBand="0" w:noVBand="1"/>
      </w:tblPr>
      <w:tblGrid>
        <w:gridCol w:w="2336"/>
        <w:gridCol w:w="2336"/>
        <w:gridCol w:w="2336"/>
        <w:gridCol w:w="2336"/>
      </w:tblGrid>
      <w:tr w:rsidR="008C0001" w:rsidRPr="00407D80" w14:paraId="4707D302"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AF2213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w:t>
            </w:r>
          </w:p>
        </w:tc>
        <w:tc>
          <w:tcPr>
            <w:tcW w:w="2126"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5F11EE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عدد العبارات</w:t>
            </w:r>
          </w:p>
        </w:tc>
        <w:tc>
          <w:tcPr>
            <w:tcW w:w="2126"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E3C9CA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 xml:space="preserve">معامل ألفا </w:t>
            </w:r>
            <w:proofErr w:type="spellStart"/>
            <w:r w:rsidRPr="00407D80">
              <w:rPr>
                <w:rFonts w:asciiTheme="minorBidi" w:eastAsia="Sakkal Majalla" w:hAnsiTheme="minorBidi"/>
                <w:color w:val="000000"/>
                <w:sz w:val="24"/>
                <w:szCs w:val="24"/>
                <w:rtl/>
              </w:rPr>
              <w:t>كرونباخ</w:t>
            </w:r>
            <w:proofErr w:type="spellEnd"/>
          </w:p>
        </w:tc>
        <w:tc>
          <w:tcPr>
            <w:tcW w:w="2126"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265286B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مستوى الثبات</w:t>
            </w:r>
          </w:p>
        </w:tc>
      </w:tr>
      <w:tr w:rsidR="008C0001" w:rsidRPr="00407D80" w14:paraId="1F251ADD"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vAlign w:val="center"/>
          </w:tcPr>
          <w:p w14:paraId="1236BF1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 دقة مؤشرات الأداء</w:t>
            </w:r>
          </w:p>
        </w:tc>
        <w:tc>
          <w:tcPr>
            <w:tcW w:w="2126" w:type="dxa"/>
            <w:tcBorders>
              <w:top w:val="single" w:sz="6" w:space="0" w:color="000000"/>
              <w:left w:val="single" w:sz="6" w:space="0" w:color="000000"/>
              <w:bottom w:val="single" w:sz="6" w:space="0" w:color="000000"/>
              <w:right w:val="single" w:sz="6" w:space="0" w:color="000000"/>
            </w:tcBorders>
            <w:vAlign w:val="center"/>
          </w:tcPr>
          <w:p w14:paraId="594E3E4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w:t>
            </w:r>
          </w:p>
        </w:tc>
        <w:tc>
          <w:tcPr>
            <w:tcW w:w="2126" w:type="dxa"/>
            <w:tcBorders>
              <w:top w:val="single" w:sz="6" w:space="0" w:color="000000"/>
              <w:left w:val="single" w:sz="6" w:space="0" w:color="000000"/>
              <w:bottom w:val="single" w:sz="6" w:space="0" w:color="000000"/>
              <w:right w:val="single" w:sz="6" w:space="0" w:color="000000"/>
            </w:tcBorders>
            <w:vAlign w:val="center"/>
          </w:tcPr>
          <w:p w14:paraId="29B92BD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0.712</w:t>
            </w:r>
          </w:p>
        </w:tc>
        <w:tc>
          <w:tcPr>
            <w:tcW w:w="2126" w:type="dxa"/>
            <w:tcBorders>
              <w:top w:val="single" w:sz="6" w:space="0" w:color="000000"/>
              <w:left w:val="single" w:sz="6" w:space="0" w:color="000000"/>
              <w:bottom w:val="single" w:sz="6" w:space="0" w:color="000000"/>
              <w:right w:val="single" w:sz="6" w:space="0" w:color="000000"/>
            </w:tcBorders>
            <w:vAlign w:val="center"/>
          </w:tcPr>
          <w:p w14:paraId="3FD3104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جيدة</w:t>
            </w:r>
          </w:p>
        </w:tc>
      </w:tr>
      <w:tr w:rsidR="008C0001" w:rsidRPr="00407D80" w14:paraId="5F34A4B9"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vAlign w:val="center"/>
          </w:tcPr>
          <w:p w14:paraId="6D844F4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 الثقة في بيانات المنصات</w:t>
            </w:r>
          </w:p>
        </w:tc>
        <w:tc>
          <w:tcPr>
            <w:tcW w:w="2126" w:type="dxa"/>
            <w:tcBorders>
              <w:top w:val="single" w:sz="6" w:space="0" w:color="000000"/>
              <w:left w:val="single" w:sz="6" w:space="0" w:color="000000"/>
              <w:bottom w:val="single" w:sz="6" w:space="0" w:color="000000"/>
              <w:right w:val="single" w:sz="6" w:space="0" w:color="000000"/>
            </w:tcBorders>
            <w:vAlign w:val="center"/>
          </w:tcPr>
          <w:p w14:paraId="07E30D9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2126" w:type="dxa"/>
            <w:tcBorders>
              <w:top w:val="single" w:sz="6" w:space="0" w:color="000000"/>
              <w:left w:val="single" w:sz="6" w:space="0" w:color="000000"/>
              <w:bottom w:val="single" w:sz="6" w:space="0" w:color="000000"/>
              <w:right w:val="single" w:sz="6" w:space="0" w:color="000000"/>
            </w:tcBorders>
            <w:vAlign w:val="center"/>
          </w:tcPr>
          <w:p w14:paraId="2C8D6B2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0.580</w:t>
            </w:r>
          </w:p>
        </w:tc>
        <w:tc>
          <w:tcPr>
            <w:tcW w:w="2126" w:type="dxa"/>
            <w:tcBorders>
              <w:top w:val="single" w:sz="6" w:space="0" w:color="000000"/>
              <w:left w:val="single" w:sz="6" w:space="0" w:color="000000"/>
              <w:bottom w:val="single" w:sz="6" w:space="0" w:color="000000"/>
              <w:right w:val="single" w:sz="6" w:space="0" w:color="000000"/>
            </w:tcBorders>
            <w:vAlign w:val="center"/>
          </w:tcPr>
          <w:p w14:paraId="485425A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ضعيفة</w:t>
            </w:r>
          </w:p>
        </w:tc>
      </w:tr>
      <w:tr w:rsidR="008C0001" w:rsidRPr="00407D80" w14:paraId="6A83E02F"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vAlign w:val="center"/>
          </w:tcPr>
          <w:p w14:paraId="01A0242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 تأثير المؤشرات على القرار التسويقي</w:t>
            </w:r>
          </w:p>
        </w:tc>
        <w:tc>
          <w:tcPr>
            <w:tcW w:w="2126" w:type="dxa"/>
            <w:tcBorders>
              <w:top w:val="single" w:sz="6" w:space="0" w:color="000000"/>
              <w:left w:val="single" w:sz="6" w:space="0" w:color="000000"/>
              <w:bottom w:val="single" w:sz="6" w:space="0" w:color="000000"/>
              <w:right w:val="single" w:sz="6" w:space="0" w:color="000000"/>
            </w:tcBorders>
            <w:vAlign w:val="center"/>
          </w:tcPr>
          <w:p w14:paraId="7796AE1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w:t>
            </w:r>
          </w:p>
        </w:tc>
        <w:tc>
          <w:tcPr>
            <w:tcW w:w="2126" w:type="dxa"/>
            <w:tcBorders>
              <w:top w:val="single" w:sz="6" w:space="0" w:color="000000"/>
              <w:left w:val="single" w:sz="6" w:space="0" w:color="000000"/>
              <w:bottom w:val="single" w:sz="6" w:space="0" w:color="000000"/>
              <w:right w:val="single" w:sz="6" w:space="0" w:color="000000"/>
            </w:tcBorders>
            <w:vAlign w:val="center"/>
          </w:tcPr>
          <w:p w14:paraId="6AA0EF8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0.862</w:t>
            </w:r>
          </w:p>
        </w:tc>
        <w:tc>
          <w:tcPr>
            <w:tcW w:w="2126" w:type="dxa"/>
            <w:tcBorders>
              <w:top w:val="single" w:sz="6" w:space="0" w:color="000000"/>
              <w:left w:val="single" w:sz="6" w:space="0" w:color="000000"/>
              <w:bottom w:val="single" w:sz="6" w:space="0" w:color="000000"/>
              <w:right w:val="single" w:sz="6" w:space="0" w:color="000000"/>
            </w:tcBorders>
            <w:vAlign w:val="center"/>
          </w:tcPr>
          <w:p w14:paraId="3B13327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جيدة جداً</w:t>
            </w:r>
          </w:p>
        </w:tc>
      </w:tr>
      <w:tr w:rsidR="008C0001" w:rsidRPr="00407D80" w14:paraId="4703F6C8"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vAlign w:val="center"/>
          </w:tcPr>
          <w:p w14:paraId="603C6CE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 مقارنة الأرقام بالنتائج الفعلية</w:t>
            </w:r>
          </w:p>
        </w:tc>
        <w:tc>
          <w:tcPr>
            <w:tcW w:w="2126" w:type="dxa"/>
            <w:tcBorders>
              <w:top w:val="single" w:sz="6" w:space="0" w:color="000000"/>
              <w:left w:val="single" w:sz="6" w:space="0" w:color="000000"/>
              <w:bottom w:val="single" w:sz="6" w:space="0" w:color="000000"/>
              <w:right w:val="single" w:sz="6" w:space="0" w:color="000000"/>
            </w:tcBorders>
            <w:vAlign w:val="center"/>
          </w:tcPr>
          <w:p w14:paraId="092B91A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2126" w:type="dxa"/>
            <w:tcBorders>
              <w:top w:val="single" w:sz="6" w:space="0" w:color="000000"/>
              <w:left w:val="single" w:sz="6" w:space="0" w:color="000000"/>
              <w:bottom w:val="single" w:sz="6" w:space="0" w:color="000000"/>
              <w:right w:val="single" w:sz="6" w:space="0" w:color="000000"/>
            </w:tcBorders>
            <w:vAlign w:val="center"/>
          </w:tcPr>
          <w:p w14:paraId="677E4C3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0.657</w:t>
            </w:r>
          </w:p>
        </w:tc>
        <w:tc>
          <w:tcPr>
            <w:tcW w:w="2126" w:type="dxa"/>
            <w:tcBorders>
              <w:top w:val="single" w:sz="6" w:space="0" w:color="000000"/>
              <w:left w:val="single" w:sz="6" w:space="0" w:color="000000"/>
              <w:bottom w:val="single" w:sz="6" w:space="0" w:color="000000"/>
              <w:right w:val="single" w:sz="6" w:space="0" w:color="000000"/>
            </w:tcBorders>
            <w:vAlign w:val="center"/>
          </w:tcPr>
          <w:p w14:paraId="733EB07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مقبولة</w:t>
            </w:r>
          </w:p>
        </w:tc>
      </w:tr>
      <w:tr w:rsidR="008C0001" w:rsidRPr="00407D80" w14:paraId="0722482D"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vAlign w:val="center"/>
          </w:tcPr>
          <w:p w14:paraId="7E1F29C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المقياس الكلي</w:t>
            </w:r>
          </w:p>
        </w:tc>
        <w:tc>
          <w:tcPr>
            <w:tcW w:w="2126" w:type="dxa"/>
            <w:tcBorders>
              <w:top w:val="single" w:sz="6" w:space="0" w:color="000000"/>
              <w:left w:val="single" w:sz="6" w:space="0" w:color="000000"/>
              <w:bottom w:val="single" w:sz="6" w:space="0" w:color="000000"/>
              <w:right w:val="single" w:sz="6" w:space="0" w:color="000000"/>
            </w:tcBorders>
            <w:vAlign w:val="center"/>
          </w:tcPr>
          <w:p w14:paraId="0C91957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22</w:t>
            </w:r>
          </w:p>
        </w:tc>
        <w:tc>
          <w:tcPr>
            <w:tcW w:w="2126" w:type="dxa"/>
            <w:tcBorders>
              <w:top w:val="single" w:sz="6" w:space="0" w:color="000000"/>
              <w:left w:val="single" w:sz="6" w:space="0" w:color="000000"/>
              <w:bottom w:val="single" w:sz="6" w:space="0" w:color="000000"/>
              <w:right w:val="single" w:sz="6" w:space="0" w:color="000000"/>
            </w:tcBorders>
            <w:vAlign w:val="center"/>
          </w:tcPr>
          <w:p w14:paraId="481F296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0.742</w:t>
            </w:r>
          </w:p>
        </w:tc>
        <w:tc>
          <w:tcPr>
            <w:tcW w:w="2126" w:type="dxa"/>
            <w:tcBorders>
              <w:top w:val="single" w:sz="6" w:space="0" w:color="000000"/>
              <w:left w:val="single" w:sz="6" w:space="0" w:color="000000"/>
              <w:bottom w:val="single" w:sz="6" w:space="0" w:color="000000"/>
              <w:right w:val="single" w:sz="6" w:space="0" w:color="000000"/>
            </w:tcBorders>
            <w:vAlign w:val="center"/>
          </w:tcPr>
          <w:p w14:paraId="6E8533D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جيدة</w:t>
            </w:r>
          </w:p>
        </w:tc>
      </w:tr>
    </w:tbl>
    <w:p w14:paraId="49379913" w14:textId="2BE4837E"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يتضح من الجدول (10) أن قيمة معامل ألفا </w:t>
      </w:r>
      <w:proofErr w:type="spellStart"/>
      <w:r w:rsidRPr="00407D80">
        <w:rPr>
          <w:rFonts w:asciiTheme="minorBidi" w:eastAsia="Sakkal Majalla" w:hAnsiTheme="minorBidi"/>
          <w:color w:val="000000"/>
          <w:rtl/>
        </w:rPr>
        <w:t>كرونباخ</w:t>
      </w:r>
      <w:proofErr w:type="spellEnd"/>
      <w:r w:rsidRPr="00407D80">
        <w:rPr>
          <w:rFonts w:asciiTheme="minorBidi" w:eastAsia="Sakkal Majalla" w:hAnsiTheme="minorBidi"/>
          <w:color w:val="000000"/>
          <w:rtl/>
        </w:rPr>
        <w:t xml:space="preserve"> للمقياس الكلي بلغت 0.742، وهي قيمة تتجاوز الحد الأدنى المقبول أكاديمياً (0.70)، مما يدل على أن المقياس يتمتع بدرجة ثبات جيدة، وأن العبارات تقيس ما وضعت لقياسه باتساق مرضٍ.</w:t>
      </w:r>
    </w:p>
    <w:p w14:paraId="74F8469D"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وعلى مستوى المحاور الفرعية، حقق المحور الثالث المتعلق بتأثير المؤشرات على القرار التسويقي أعلى معامل ثبات بقيمة (α = 0.862)، وهي قيمة تشير إلى ثبات داخلي جيد جداً. ويعني ذلك أن العبارات الست التي يتكون منها هذا المحور متسقة بدرجة عالية، وتقيس بناءً نظرياً واحداً متماسكاً، وهو الاستخدام الفعلي لمؤشرات المنصة في صناعة القرار التسويقي.</w:t>
      </w:r>
    </w:p>
    <w:p w14:paraId="73B9F7A2"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وحقق المحور الأول المتعلق بدقة مؤشرات الأداء معامل ثبات بلغ (α = 0.712)، وهي قيمة جيدة تتجاوز الحد الأدنى المقبول. كما حقق المحور الرابع المتعلق بمقارنة الأرقام بالنتائج الفعلية معامل ثبات بقيمة (α = 0.657)، وهي قيمة مقبولة في حدود الدراسات الاستكشافية، وقد يعزى انخفاضها النسبي إلى أن هذا المحور يجمع بين عبارات تقيس التطابق المباشر للأرقام وعبارات تقيس السلوك </w:t>
      </w:r>
      <w:proofErr w:type="spellStart"/>
      <w:r w:rsidRPr="00407D80">
        <w:rPr>
          <w:rFonts w:asciiTheme="minorBidi" w:eastAsia="Sakkal Majalla" w:hAnsiTheme="minorBidi"/>
          <w:color w:val="000000"/>
          <w:rtl/>
        </w:rPr>
        <w:t>التحققي</w:t>
      </w:r>
      <w:proofErr w:type="spellEnd"/>
      <w:r w:rsidRPr="00407D80">
        <w:rPr>
          <w:rFonts w:asciiTheme="minorBidi" w:eastAsia="Sakkal Majalla" w:hAnsiTheme="minorBidi"/>
          <w:color w:val="000000"/>
          <w:rtl/>
        </w:rPr>
        <w:t xml:space="preserve"> للممارس.</w:t>
      </w:r>
    </w:p>
    <w:p w14:paraId="405DF2C5"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أما المحور الثاني المتعلق بالثقة في بيانات المنصات فقد سجل معامل ثبات منخفضاً نسبياً بقيمة (α = 0.580)، وهي قيمة دون الحد المرغوب أكاديمياً. وعند فحص ارتباطات العبارة بالدرجة الكلية للمحور تبين أن إحدى عبارات هذا المحور ينخفض ارتباطها بالدرجة الكلية انخفاضاً ملحوظاً، مما يدفع إلى احتمال أنها تقيس بعداً فرعياً مختلفاً داخل بناء (الثقة)، وقد يعود ذلك إلى أن مفهوم الثقة في البيانات يحمل في طياته أبعاداً متعددة، وهي الثقة المعيارية، والثقة الإجرائية، والثقة الانتقادية، وهو ما يمثل قيداً منهجياً تجدر الإشارة إليه عند تفسير النتائج المتعلقة بهذا المحور تحديداً.</w:t>
      </w:r>
    </w:p>
    <w:p w14:paraId="6F373F36" w14:textId="252E220E" w:rsidR="008C0001" w:rsidRPr="00407D80" w:rsidRDefault="008C0001" w:rsidP="00407D80">
      <w:pPr>
        <w:pStyle w:val="Heading1"/>
        <w:bidi/>
        <w:rPr>
          <w:rFonts w:cstheme="minorBidi"/>
          <w:b w:val="0"/>
          <w:bCs/>
        </w:rPr>
      </w:pPr>
      <w:bookmarkStart w:id="63" w:name="_Toc228065410"/>
      <w:r w:rsidRPr="00407D80">
        <w:rPr>
          <w:rFonts w:cstheme="minorBidi"/>
          <w:b w:val="0"/>
          <w:bCs/>
          <w:rtl/>
        </w:rPr>
        <w:t>صدق الاتساق الداخلي للمقياس (</w:t>
      </w:r>
      <w:proofErr w:type="spellStart"/>
      <w:r w:rsidRPr="00407D80">
        <w:rPr>
          <w:rFonts w:cstheme="minorBidi"/>
          <w:b w:val="0"/>
          <w:bCs/>
          <w:rtl/>
        </w:rPr>
        <w:t>Construct</w:t>
      </w:r>
      <w:proofErr w:type="spellEnd"/>
      <w:r w:rsidRPr="00407D80">
        <w:rPr>
          <w:rFonts w:cstheme="minorBidi"/>
          <w:b w:val="0"/>
          <w:bCs/>
          <w:rtl/>
        </w:rPr>
        <w:t xml:space="preserve"> </w:t>
      </w:r>
      <w:proofErr w:type="spellStart"/>
      <w:r w:rsidRPr="00407D80">
        <w:rPr>
          <w:rFonts w:cstheme="minorBidi"/>
          <w:b w:val="0"/>
          <w:bCs/>
          <w:rtl/>
        </w:rPr>
        <w:t>Validity</w:t>
      </w:r>
      <w:proofErr w:type="spellEnd"/>
      <w:r w:rsidRPr="00407D80">
        <w:rPr>
          <w:rFonts w:cstheme="minorBidi"/>
          <w:b w:val="0"/>
          <w:bCs/>
          <w:rtl/>
        </w:rPr>
        <w:t>)</w:t>
      </w:r>
      <w:bookmarkEnd w:id="63"/>
    </w:p>
    <w:p w14:paraId="3580FE0B"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تم التحقق من صدق الاتساق الداخلي للمقياس من خلال احتساب معامل ارتباط بيرسون بين درجة كل عبارة والدرجة الكلية للمحور الذي تنتمي إليه، بعد استبعاد العبارة نفسها من المجموع لتجنب التضخيم الكاذب للارتباط. ويعد المقياس صادقاً داخلياً حين تكون معاملات الارتباط دالة إحصائياً عند مستوى (0.05) أو أقل، وذات قيم تتجاوز (0.30) كحد أدنى وفقاً للممارسات الإحصائية المعتمدة في البحوث السلوكية.</w:t>
      </w:r>
    </w:p>
    <w:p w14:paraId="3211AA8C" w14:textId="77777777" w:rsidR="00407D80" w:rsidRPr="00407D80" w:rsidRDefault="00407D80" w:rsidP="00407D80">
      <w:pPr>
        <w:pStyle w:val="Heading2"/>
        <w:bidi/>
        <w:rPr>
          <w:rFonts w:asciiTheme="minorBidi" w:eastAsia="Sakkal Majalla" w:hAnsiTheme="minorBidi" w:cstheme="minorBidi"/>
        </w:rPr>
      </w:pPr>
    </w:p>
    <w:p w14:paraId="309EB68D" w14:textId="3A10D03E" w:rsidR="008C0001" w:rsidRPr="00407D80" w:rsidRDefault="008C0001" w:rsidP="00407D80">
      <w:pPr>
        <w:pStyle w:val="Heading2"/>
        <w:bidi/>
        <w:rPr>
          <w:rFonts w:asciiTheme="minorBidi" w:eastAsia="Sakkal Majalla" w:hAnsiTheme="minorBidi" w:cstheme="minorBidi"/>
        </w:rPr>
      </w:pPr>
      <w:r w:rsidRPr="00407D80">
        <w:rPr>
          <w:rFonts w:asciiTheme="minorBidi" w:eastAsia="Sakkal Majalla" w:hAnsiTheme="minorBidi" w:cstheme="minorBidi"/>
          <w:rtl/>
        </w:rPr>
        <w:t>جدول (11): معاملات ارتباط العبارات بالدرجة الكلية للمحور</w:t>
      </w:r>
    </w:p>
    <w:p w14:paraId="2C3EA338" w14:textId="77777777" w:rsidR="00407D80" w:rsidRPr="00407D80" w:rsidRDefault="00407D80" w:rsidP="00407D80">
      <w:pPr>
        <w:bidi/>
        <w:rPr>
          <w:rFonts w:asciiTheme="minorBidi" w:hAnsiTheme="minorBidi"/>
        </w:rPr>
      </w:pPr>
    </w:p>
    <w:tbl>
      <w:tblPr>
        <w:tblStyle w:val="TableGrid"/>
        <w:bidiVisual/>
        <w:tblW w:w="5000" w:type="pct"/>
        <w:jc w:val="center"/>
        <w:tblLook w:val="04A0" w:firstRow="1" w:lastRow="0" w:firstColumn="1" w:lastColumn="0" w:noHBand="0" w:noVBand="1"/>
      </w:tblPr>
      <w:tblGrid>
        <w:gridCol w:w="1868"/>
        <w:gridCol w:w="1869"/>
        <w:gridCol w:w="1869"/>
        <w:gridCol w:w="1869"/>
        <w:gridCol w:w="1869"/>
      </w:tblGrid>
      <w:tr w:rsidR="008C0001" w:rsidRPr="00407D80" w14:paraId="27B71AA3"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53CE0EC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231A7E3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العبارة</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4A685F6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معامل الارتباط (r)</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21214D2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القيمة الاحتمالية (p)</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1598F33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مستوى الدلالة</w:t>
            </w:r>
          </w:p>
        </w:tc>
      </w:tr>
      <w:tr w:rsidR="008C0001" w:rsidRPr="00407D80" w14:paraId="211CDE33"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3685A5A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701" w:type="dxa"/>
            <w:tcBorders>
              <w:top w:val="single" w:sz="6" w:space="0" w:color="000000"/>
              <w:left w:val="single" w:sz="6" w:space="0" w:color="000000"/>
              <w:bottom w:val="single" w:sz="6" w:space="0" w:color="000000"/>
              <w:right w:val="single" w:sz="6" w:space="0" w:color="000000"/>
            </w:tcBorders>
            <w:vAlign w:val="center"/>
          </w:tcPr>
          <w:p w14:paraId="4030A14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1701" w:type="dxa"/>
            <w:tcBorders>
              <w:top w:val="single" w:sz="6" w:space="0" w:color="000000"/>
              <w:left w:val="single" w:sz="6" w:space="0" w:color="000000"/>
              <w:bottom w:val="single" w:sz="6" w:space="0" w:color="000000"/>
              <w:right w:val="single" w:sz="6" w:space="0" w:color="000000"/>
            </w:tcBorders>
            <w:vAlign w:val="center"/>
          </w:tcPr>
          <w:p w14:paraId="24A70D3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0.285</w:t>
            </w:r>
          </w:p>
        </w:tc>
        <w:tc>
          <w:tcPr>
            <w:tcW w:w="1701" w:type="dxa"/>
            <w:tcBorders>
              <w:top w:val="single" w:sz="6" w:space="0" w:color="000000"/>
              <w:left w:val="single" w:sz="6" w:space="0" w:color="000000"/>
              <w:bottom w:val="single" w:sz="6" w:space="0" w:color="000000"/>
              <w:right w:val="single" w:sz="6" w:space="0" w:color="000000"/>
            </w:tcBorders>
            <w:vAlign w:val="center"/>
          </w:tcPr>
          <w:p w14:paraId="37B1A45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0.1205</w:t>
            </w:r>
          </w:p>
        </w:tc>
        <w:tc>
          <w:tcPr>
            <w:tcW w:w="1701" w:type="dxa"/>
            <w:tcBorders>
              <w:top w:val="single" w:sz="6" w:space="0" w:color="000000"/>
              <w:left w:val="single" w:sz="6" w:space="0" w:color="000000"/>
              <w:bottom w:val="single" w:sz="6" w:space="0" w:color="000000"/>
              <w:right w:val="single" w:sz="6" w:space="0" w:color="000000"/>
            </w:tcBorders>
            <w:vAlign w:val="center"/>
          </w:tcPr>
          <w:p w14:paraId="34FB208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غير دالة</w:t>
            </w:r>
          </w:p>
        </w:tc>
      </w:tr>
      <w:tr w:rsidR="008C0001" w:rsidRPr="00407D80" w14:paraId="2F21512B"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6B85129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701" w:type="dxa"/>
            <w:tcBorders>
              <w:top w:val="single" w:sz="6" w:space="0" w:color="000000"/>
              <w:left w:val="single" w:sz="6" w:space="0" w:color="000000"/>
              <w:bottom w:val="single" w:sz="6" w:space="0" w:color="000000"/>
              <w:right w:val="single" w:sz="6" w:space="0" w:color="000000"/>
            </w:tcBorders>
            <w:vAlign w:val="center"/>
          </w:tcPr>
          <w:p w14:paraId="6B27BA7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6E2978A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0.353</w:t>
            </w:r>
          </w:p>
        </w:tc>
        <w:tc>
          <w:tcPr>
            <w:tcW w:w="1701" w:type="dxa"/>
            <w:tcBorders>
              <w:top w:val="single" w:sz="6" w:space="0" w:color="000000"/>
              <w:left w:val="single" w:sz="6" w:space="0" w:color="000000"/>
              <w:bottom w:val="single" w:sz="6" w:space="0" w:color="000000"/>
              <w:right w:val="single" w:sz="6" w:space="0" w:color="000000"/>
            </w:tcBorders>
            <w:vAlign w:val="center"/>
          </w:tcPr>
          <w:p w14:paraId="4807015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0.0513</w:t>
            </w:r>
          </w:p>
        </w:tc>
        <w:tc>
          <w:tcPr>
            <w:tcW w:w="1701" w:type="dxa"/>
            <w:tcBorders>
              <w:top w:val="single" w:sz="6" w:space="0" w:color="000000"/>
              <w:left w:val="single" w:sz="6" w:space="0" w:color="000000"/>
              <w:bottom w:val="single" w:sz="6" w:space="0" w:color="000000"/>
              <w:right w:val="single" w:sz="6" w:space="0" w:color="000000"/>
            </w:tcBorders>
            <w:vAlign w:val="center"/>
          </w:tcPr>
          <w:p w14:paraId="4FCAB8D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غير دالة</w:t>
            </w:r>
          </w:p>
        </w:tc>
      </w:tr>
      <w:tr w:rsidR="008C0001" w:rsidRPr="00407D80" w14:paraId="64AB05F0"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2C33A24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701" w:type="dxa"/>
            <w:tcBorders>
              <w:top w:val="single" w:sz="6" w:space="0" w:color="000000"/>
              <w:left w:val="single" w:sz="6" w:space="0" w:color="000000"/>
              <w:bottom w:val="single" w:sz="6" w:space="0" w:color="000000"/>
              <w:right w:val="single" w:sz="6" w:space="0" w:color="000000"/>
            </w:tcBorders>
            <w:vAlign w:val="center"/>
          </w:tcPr>
          <w:p w14:paraId="53E57ED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w:t>
            </w:r>
          </w:p>
        </w:tc>
        <w:tc>
          <w:tcPr>
            <w:tcW w:w="1701" w:type="dxa"/>
            <w:tcBorders>
              <w:top w:val="single" w:sz="6" w:space="0" w:color="000000"/>
              <w:left w:val="single" w:sz="6" w:space="0" w:color="000000"/>
              <w:bottom w:val="single" w:sz="6" w:space="0" w:color="000000"/>
              <w:right w:val="single" w:sz="6" w:space="0" w:color="000000"/>
            </w:tcBorders>
            <w:vAlign w:val="center"/>
          </w:tcPr>
          <w:p w14:paraId="263F0FE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0.538</w:t>
            </w:r>
          </w:p>
        </w:tc>
        <w:tc>
          <w:tcPr>
            <w:tcW w:w="1701" w:type="dxa"/>
            <w:tcBorders>
              <w:top w:val="single" w:sz="6" w:space="0" w:color="000000"/>
              <w:left w:val="single" w:sz="6" w:space="0" w:color="000000"/>
              <w:bottom w:val="single" w:sz="6" w:space="0" w:color="000000"/>
              <w:right w:val="single" w:sz="6" w:space="0" w:color="000000"/>
            </w:tcBorders>
            <w:vAlign w:val="center"/>
          </w:tcPr>
          <w:p w14:paraId="5C5149E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0.0018</w:t>
            </w:r>
          </w:p>
        </w:tc>
        <w:tc>
          <w:tcPr>
            <w:tcW w:w="1701" w:type="dxa"/>
            <w:tcBorders>
              <w:top w:val="single" w:sz="6" w:space="0" w:color="000000"/>
              <w:left w:val="single" w:sz="6" w:space="0" w:color="000000"/>
              <w:bottom w:val="single" w:sz="6" w:space="0" w:color="000000"/>
              <w:right w:val="single" w:sz="6" w:space="0" w:color="000000"/>
            </w:tcBorders>
            <w:vAlign w:val="center"/>
          </w:tcPr>
          <w:p w14:paraId="358C5BD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63F9D87E"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100FBE0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701" w:type="dxa"/>
            <w:tcBorders>
              <w:top w:val="single" w:sz="6" w:space="0" w:color="000000"/>
              <w:left w:val="single" w:sz="6" w:space="0" w:color="000000"/>
              <w:bottom w:val="single" w:sz="6" w:space="0" w:color="000000"/>
              <w:right w:val="single" w:sz="6" w:space="0" w:color="000000"/>
            </w:tcBorders>
            <w:vAlign w:val="center"/>
          </w:tcPr>
          <w:p w14:paraId="46FAC7D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w:t>
            </w:r>
          </w:p>
        </w:tc>
        <w:tc>
          <w:tcPr>
            <w:tcW w:w="1701" w:type="dxa"/>
            <w:tcBorders>
              <w:top w:val="single" w:sz="6" w:space="0" w:color="000000"/>
              <w:left w:val="single" w:sz="6" w:space="0" w:color="000000"/>
              <w:bottom w:val="single" w:sz="6" w:space="0" w:color="000000"/>
              <w:right w:val="single" w:sz="6" w:space="0" w:color="000000"/>
            </w:tcBorders>
            <w:vAlign w:val="center"/>
          </w:tcPr>
          <w:p w14:paraId="1DD1A27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0.571</w:t>
            </w:r>
          </w:p>
        </w:tc>
        <w:tc>
          <w:tcPr>
            <w:tcW w:w="1701" w:type="dxa"/>
            <w:tcBorders>
              <w:top w:val="single" w:sz="6" w:space="0" w:color="000000"/>
              <w:left w:val="single" w:sz="6" w:space="0" w:color="000000"/>
              <w:bottom w:val="single" w:sz="6" w:space="0" w:color="000000"/>
              <w:right w:val="single" w:sz="6" w:space="0" w:color="000000"/>
            </w:tcBorders>
            <w:vAlign w:val="center"/>
          </w:tcPr>
          <w:p w14:paraId="0E53099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0.0008</w:t>
            </w:r>
          </w:p>
        </w:tc>
        <w:tc>
          <w:tcPr>
            <w:tcW w:w="1701" w:type="dxa"/>
            <w:tcBorders>
              <w:top w:val="single" w:sz="6" w:space="0" w:color="000000"/>
              <w:left w:val="single" w:sz="6" w:space="0" w:color="000000"/>
              <w:bottom w:val="single" w:sz="6" w:space="0" w:color="000000"/>
              <w:right w:val="single" w:sz="6" w:space="0" w:color="000000"/>
            </w:tcBorders>
            <w:vAlign w:val="center"/>
          </w:tcPr>
          <w:p w14:paraId="22A30B6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5DA77C53"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02F344B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701" w:type="dxa"/>
            <w:tcBorders>
              <w:top w:val="single" w:sz="6" w:space="0" w:color="000000"/>
              <w:left w:val="single" w:sz="6" w:space="0" w:color="000000"/>
              <w:bottom w:val="single" w:sz="6" w:space="0" w:color="000000"/>
              <w:right w:val="single" w:sz="6" w:space="0" w:color="000000"/>
            </w:tcBorders>
            <w:vAlign w:val="center"/>
          </w:tcPr>
          <w:p w14:paraId="499F423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1701" w:type="dxa"/>
            <w:tcBorders>
              <w:top w:val="single" w:sz="6" w:space="0" w:color="000000"/>
              <w:left w:val="single" w:sz="6" w:space="0" w:color="000000"/>
              <w:bottom w:val="single" w:sz="6" w:space="0" w:color="000000"/>
              <w:right w:val="single" w:sz="6" w:space="0" w:color="000000"/>
            </w:tcBorders>
            <w:vAlign w:val="center"/>
          </w:tcPr>
          <w:p w14:paraId="7DBC4B3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0.581</w:t>
            </w:r>
          </w:p>
        </w:tc>
        <w:tc>
          <w:tcPr>
            <w:tcW w:w="1701" w:type="dxa"/>
            <w:tcBorders>
              <w:top w:val="single" w:sz="6" w:space="0" w:color="000000"/>
              <w:left w:val="single" w:sz="6" w:space="0" w:color="000000"/>
              <w:bottom w:val="single" w:sz="6" w:space="0" w:color="000000"/>
              <w:right w:val="single" w:sz="6" w:space="0" w:color="000000"/>
            </w:tcBorders>
            <w:vAlign w:val="center"/>
          </w:tcPr>
          <w:p w14:paraId="3B9E6AE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0.0006</w:t>
            </w:r>
          </w:p>
        </w:tc>
        <w:tc>
          <w:tcPr>
            <w:tcW w:w="1701" w:type="dxa"/>
            <w:tcBorders>
              <w:top w:val="single" w:sz="6" w:space="0" w:color="000000"/>
              <w:left w:val="single" w:sz="6" w:space="0" w:color="000000"/>
              <w:bottom w:val="single" w:sz="6" w:space="0" w:color="000000"/>
              <w:right w:val="single" w:sz="6" w:space="0" w:color="000000"/>
            </w:tcBorders>
            <w:vAlign w:val="center"/>
          </w:tcPr>
          <w:p w14:paraId="4777E56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6F388CF9"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7D595DE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701" w:type="dxa"/>
            <w:tcBorders>
              <w:top w:val="single" w:sz="6" w:space="0" w:color="000000"/>
              <w:left w:val="single" w:sz="6" w:space="0" w:color="000000"/>
              <w:bottom w:val="single" w:sz="6" w:space="0" w:color="000000"/>
              <w:right w:val="single" w:sz="6" w:space="0" w:color="000000"/>
            </w:tcBorders>
            <w:vAlign w:val="center"/>
          </w:tcPr>
          <w:p w14:paraId="6875753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w:t>
            </w:r>
          </w:p>
        </w:tc>
        <w:tc>
          <w:tcPr>
            <w:tcW w:w="1701" w:type="dxa"/>
            <w:tcBorders>
              <w:top w:val="single" w:sz="6" w:space="0" w:color="000000"/>
              <w:left w:val="single" w:sz="6" w:space="0" w:color="000000"/>
              <w:bottom w:val="single" w:sz="6" w:space="0" w:color="000000"/>
              <w:right w:val="single" w:sz="6" w:space="0" w:color="000000"/>
            </w:tcBorders>
            <w:vAlign w:val="center"/>
          </w:tcPr>
          <w:p w14:paraId="7D1F6FB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0.386</w:t>
            </w:r>
          </w:p>
        </w:tc>
        <w:tc>
          <w:tcPr>
            <w:tcW w:w="1701" w:type="dxa"/>
            <w:tcBorders>
              <w:top w:val="single" w:sz="6" w:space="0" w:color="000000"/>
              <w:left w:val="single" w:sz="6" w:space="0" w:color="000000"/>
              <w:bottom w:val="single" w:sz="6" w:space="0" w:color="000000"/>
              <w:right w:val="single" w:sz="6" w:space="0" w:color="000000"/>
            </w:tcBorders>
            <w:vAlign w:val="center"/>
          </w:tcPr>
          <w:p w14:paraId="3A0D8F0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0.0319</w:t>
            </w:r>
          </w:p>
        </w:tc>
        <w:tc>
          <w:tcPr>
            <w:tcW w:w="1701" w:type="dxa"/>
            <w:tcBorders>
              <w:top w:val="single" w:sz="6" w:space="0" w:color="000000"/>
              <w:left w:val="single" w:sz="6" w:space="0" w:color="000000"/>
              <w:bottom w:val="single" w:sz="6" w:space="0" w:color="000000"/>
              <w:right w:val="single" w:sz="6" w:space="0" w:color="000000"/>
            </w:tcBorders>
            <w:vAlign w:val="center"/>
          </w:tcPr>
          <w:p w14:paraId="3535E25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0.05</w:t>
            </w:r>
          </w:p>
        </w:tc>
      </w:tr>
      <w:tr w:rsidR="008C0001" w:rsidRPr="00407D80" w14:paraId="388377C7"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6785323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701" w:type="dxa"/>
            <w:tcBorders>
              <w:top w:val="single" w:sz="6" w:space="0" w:color="000000"/>
              <w:left w:val="single" w:sz="6" w:space="0" w:color="000000"/>
              <w:bottom w:val="single" w:sz="6" w:space="0" w:color="000000"/>
              <w:right w:val="single" w:sz="6" w:space="0" w:color="000000"/>
            </w:tcBorders>
            <w:vAlign w:val="center"/>
          </w:tcPr>
          <w:p w14:paraId="7BE3D79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1701" w:type="dxa"/>
            <w:tcBorders>
              <w:top w:val="single" w:sz="6" w:space="0" w:color="000000"/>
              <w:left w:val="single" w:sz="6" w:space="0" w:color="000000"/>
              <w:bottom w:val="single" w:sz="6" w:space="0" w:color="000000"/>
              <w:right w:val="single" w:sz="6" w:space="0" w:color="000000"/>
            </w:tcBorders>
            <w:vAlign w:val="center"/>
          </w:tcPr>
          <w:p w14:paraId="6ED1DE5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0.349</w:t>
            </w:r>
          </w:p>
        </w:tc>
        <w:tc>
          <w:tcPr>
            <w:tcW w:w="1701" w:type="dxa"/>
            <w:tcBorders>
              <w:top w:val="single" w:sz="6" w:space="0" w:color="000000"/>
              <w:left w:val="single" w:sz="6" w:space="0" w:color="000000"/>
              <w:bottom w:val="single" w:sz="6" w:space="0" w:color="000000"/>
              <w:right w:val="single" w:sz="6" w:space="0" w:color="000000"/>
            </w:tcBorders>
            <w:vAlign w:val="center"/>
          </w:tcPr>
          <w:p w14:paraId="044BBBC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0.0545</w:t>
            </w:r>
          </w:p>
        </w:tc>
        <w:tc>
          <w:tcPr>
            <w:tcW w:w="1701" w:type="dxa"/>
            <w:tcBorders>
              <w:top w:val="single" w:sz="6" w:space="0" w:color="000000"/>
              <w:left w:val="single" w:sz="6" w:space="0" w:color="000000"/>
              <w:bottom w:val="single" w:sz="6" w:space="0" w:color="000000"/>
              <w:right w:val="single" w:sz="6" w:space="0" w:color="000000"/>
            </w:tcBorders>
            <w:vAlign w:val="center"/>
          </w:tcPr>
          <w:p w14:paraId="6870554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غير دالة</w:t>
            </w:r>
          </w:p>
        </w:tc>
      </w:tr>
      <w:tr w:rsidR="008C0001" w:rsidRPr="00407D80" w14:paraId="33114A2F"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2696ECF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701" w:type="dxa"/>
            <w:tcBorders>
              <w:top w:val="single" w:sz="6" w:space="0" w:color="000000"/>
              <w:left w:val="single" w:sz="6" w:space="0" w:color="000000"/>
              <w:bottom w:val="single" w:sz="6" w:space="0" w:color="000000"/>
              <w:right w:val="single" w:sz="6" w:space="0" w:color="000000"/>
            </w:tcBorders>
            <w:vAlign w:val="center"/>
          </w:tcPr>
          <w:p w14:paraId="070E0AF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40C6640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0.046</w:t>
            </w:r>
          </w:p>
        </w:tc>
        <w:tc>
          <w:tcPr>
            <w:tcW w:w="1701" w:type="dxa"/>
            <w:tcBorders>
              <w:top w:val="single" w:sz="6" w:space="0" w:color="000000"/>
              <w:left w:val="single" w:sz="6" w:space="0" w:color="000000"/>
              <w:bottom w:val="single" w:sz="6" w:space="0" w:color="000000"/>
              <w:right w:val="single" w:sz="6" w:space="0" w:color="000000"/>
            </w:tcBorders>
            <w:vAlign w:val="center"/>
          </w:tcPr>
          <w:p w14:paraId="15F8BF1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0.8060</w:t>
            </w:r>
          </w:p>
        </w:tc>
        <w:tc>
          <w:tcPr>
            <w:tcW w:w="1701" w:type="dxa"/>
            <w:tcBorders>
              <w:top w:val="single" w:sz="6" w:space="0" w:color="000000"/>
              <w:left w:val="single" w:sz="6" w:space="0" w:color="000000"/>
              <w:bottom w:val="single" w:sz="6" w:space="0" w:color="000000"/>
              <w:right w:val="single" w:sz="6" w:space="0" w:color="000000"/>
            </w:tcBorders>
            <w:vAlign w:val="center"/>
          </w:tcPr>
          <w:p w14:paraId="02C74E3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غير دالة</w:t>
            </w:r>
          </w:p>
        </w:tc>
      </w:tr>
      <w:tr w:rsidR="008C0001" w:rsidRPr="00407D80" w14:paraId="580B0E2A"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3957C69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701" w:type="dxa"/>
            <w:tcBorders>
              <w:top w:val="single" w:sz="6" w:space="0" w:color="000000"/>
              <w:left w:val="single" w:sz="6" w:space="0" w:color="000000"/>
              <w:bottom w:val="single" w:sz="6" w:space="0" w:color="000000"/>
              <w:right w:val="single" w:sz="6" w:space="0" w:color="000000"/>
            </w:tcBorders>
            <w:vAlign w:val="center"/>
          </w:tcPr>
          <w:p w14:paraId="776B683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w:t>
            </w:r>
          </w:p>
        </w:tc>
        <w:tc>
          <w:tcPr>
            <w:tcW w:w="1701" w:type="dxa"/>
            <w:tcBorders>
              <w:top w:val="single" w:sz="6" w:space="0" w:color="000000"/>
              <w:left w:val="single" w:sz="6" w:space="0" w:color="000000"/>
              <w:bottom w:val="single" w:sz="6" w:space="0" w:color="000000"/>
              <w:right w:val="single" w:sz="6" w:space="0" w:color="000000"/>
            </w:tcBorders>
            <w:vAlign w:val="center"/>
          </w:tcPr>
          <w:p w14:paraId="6E894D5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0.310</w:t>
            </w:r>
          </w:p>
        </w:tc>
        <w:tc>
          <w:tcPr>
            <w:tcW w:w="1701" w:type="dxa"/>
            <w:tcBorders>
              <w:top w:val="single" w:sz="6" w:space="0" w:color="000000"/>
              <w:left w:val="single" w:sz="6" w:space="0" w:color="000000"/>
              <w:bottom w:val="single" w:sz="6" w:space="0" w:color="000000"/>
              <w:right w:val="single" w:sz="6" w:space="0" w:color="000000"/>
            </w:tcBorders>
            <w:vAlign w:val="center"/>
          </w:tcPr>
          <w:p w14:paraId="2468A9C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0.0893</w:t>
            </w:r>
          </w:p>
        </w:tc>
        <w:tc>
          <w:tcPr>
            <w:tcW w:w="1701" w:type="dxa"/>
            <w:tcBorders>
              <w:top w:val="single" w:sz="6" w:space="0" w:color="000000"/>
              <w:left w:val="single" w:sz="6" w:space="0" w:color="000000"/>
              <w:bottom w:val="single" w:sz="6" w:space="0" w:color="000000"/>
              <w:right w:val="single" w:sz="6" w:space="0" w:color="000000"/>
            </w:tcBorders>
            <w:vAlign w:val="center"/>
          </w:tcPr>
          <w:p w14:paraId="5E46AA9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غير دالة</w:t>
            </w:r>
          </w:p>
        </w:tc>
      </w:tr>
      <w:tr w:rsidR="008C0001" w:rsidRPr="00407D80" w14:paraId="356075B6"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3B2B3AA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701" w:type="dxa"/>
            <w:tcBorders>
              <w:top w:val="single" w:sz="6" w:space="0" w:color="000000"/>
              <w:left w:val="single" w:sz="6" w:space="0" w:color="000000"/>
              <w:bottom w:val="single" w:sz="6" w:space="0" w:color="000000"/>
              <w:right w:val="single" w:sz="6" w:space="0" w:color="000000"/>
            </w:tcBorders>
            <w:vAlign w:val="center"/>
          </w:tcPr>
          <w:p w14:paraId="0475C08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w:t>
            </w:r>
          </w:p>
        </w:tc>
        <w:tc>
          <w:tcPr>
            <w:tcW w:w="1701" w:type="dxa"/>
            <w:tcBorders>
              <w:top w:val="single" w:sz="6" w:space="0" w:color="000000"/>
              <w:left w:val="single" w:sz="6" w:space="0" w:color="000000"/>
              <w:bottom w:val="single" w:sz="6" w:space="0" w:color="000000"/>
              <w:right w:val="single" w:sz="6" w:space="0" w:color="000000"/>
            </w:tcBorders>
            <w:vAlign w:val="center"/>
          </w:tcPr>
          <w:p w14:paraId="3467ED2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0.511</w:t>
            </w:r>
          </w:p>
        </w:tc>
        <w:tc>
          <w:tcPr>
            <w:tcW w:w="1701" w:type="dxa"/>
            <w:tcBorders>
              <w:top w:val="single" w:sz="6" w:space="0" w:color="000000"/>
              <w:left w:val="single" w:sz="6" w:space="0" w:color="000000"/>
              <w:bottom w:val="single" w:sz="6" w:space="0" w:color="000000"/>
              <w:right w:val="single" w:sz="6" w:space="0" w:color="000000"/>
            </w:tcBorders>
            <w:vAlign w:val="center"/>
          </w:tcPr>
          <w:p w14:paraId="120209E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0.0033</w:t>
            </w:r>
          </w:p>
        </w:tc>
        <w:tc>
          <w:tcPr>
            <w:tcW w:w="1701" w:type="dxa"/>
            <w:tcBorders>
              <w:top w:val="single" w:sz="6" w:space="0" w:color="000000"/>
              <w:left w:val="single" w:sz="6" w:space="0" w:color="000000"/>
              <w:bottom w:val="single" w:sz="6" w:space="0" w:color="000000"/>
              <w:right w:val="single" w:sz="6" w:space="0" w:color="000000"/>
            </w:tcBorders>
            <w:vAlign w:val="center"/>
          </w:tcPr>
          <w:p w14:paraId="734190E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6E9C410F"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50909CC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701" w:type="dxa"/>
            <w:tcBorders>
              <w:top w:val="single" w:sz="6" w:space="0" w:color="000000"/>
              <w:left w:val="single" w:sz="6" w:space="0" w:color="000000"/>
              <w:bottom w:val="single" w:sz="6" w:space="0" w:color="000000"/>
              <w:right w:val="single" w:sz="6" w:space="0" w:color="000000"/>
            </w:tcBorders>
            <w:vAlign w:val="center"/>
          </w:tcPr>
          <w:p w14:paraId="56DAAFE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1701" w:type="dxa"/>
            <w:tcBorders>
              <w:top w:val="single" w:sz="6" w:space="0" w:color="000000"/>
              <w:left w:val="single" w:sz="6" w:space="0" w:color="000000"/>
              <w:bottom w:val="single" w:sz="6" w:space="0" w:color="000000"/>
              <w:right w:val="single" w:sz="6" w:space="0" w:color="000000"/>
            </w:tcBorders>
            <w:vAlign w:val="center"/>
          </w:tcPr>
          <w:p w14:paraId="1E9BA45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0.532</w:t>
            </w:r>
          </w:p>
        </w:tc>
        <w:tc>
          <w:tcPr>
            <w:tcW w:w="1701" w:type="dxa"/>
            <w:tcBorders>
              <w:top w:val="single" w:sz="6" w:space="0" w:color="000000"/>
              <w:left w:val="single" w:sz="6" w:space="0" w:color="000000"/>
              <w:bottom w:val="single" w:sz="6" w:space="0" w:color="000000"/>
              <w:right w:val="single" w:sz="6" w:space="0" w:color="000000"/>
            </w:tcBorders>
            <w:vAlign w:val="center"/>
          </w:tcPr>
          <w:p w14:paraId="53FD3D0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0.0021</w:t>
            </w:r>
          </w:p>
        </w:tc>
        <w:tc>
          <w:tcPr>
            <w:tcW w:w="1701" w:type="dxa"/>
            <w:tcBorders>
              <w:top w:val="single" w:sz="6" w:space="0" w:color="000000"/>
              <w:left w:val="single" w:sz="6" w:space="0" w:color="000000"/>
              <w:bottom w:val="single" w:sz="6" w:space="0" w:color="000000"/>
              <w:right w:val="single" w:sz="6" w:space="0" w:color="000000"/>
            </w:tcBorders>
            <w:vAlign w:val="center"/>
          </w:tcPr>
          <w:p w14:paraId="351B2D0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18145391"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7B78C78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701" w:type="dxa"/>
            <w:tcBorders>
              <w:top w:val="single" w:sz="6" w:space="0" w:color="000000"/>
              <w:left w:val="single" w:sz="6" w:space="0" w:color="000000"/>
              <w:bottom w:val="single" w:sz="6" w:space="0" w:color="000000"/>
              <w:right w:val="single" w:sz="6" w:space="0" w:color="000000"/>
            </w:tcBorders>
            <w:vAlign w:val="center"/>
          </w:tcPr>
          <w:p w14:paraId="638B28E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1701" w:type="dxa"/>
            <w:tcBorders>
              <w:top w:val="single" w:sz="6" w:space="0" w:color="000000"/>
              <w:left w:val="single" w:sz="6" w:space="0" w:color="000000"/>
              <w:bottom w:val="single" w:sz="6" w:space="0" w:color="000000"/>
              <w:right w:val="single" w:sz="6" w:space="0" w:color="000000"/>
            </w:tcBorders>
            <w:vAlign w:val="center"/>
          </w:tcPr>
          <w:p w14:paraId="6CAC51C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0.535</w:t>
            </w:r>
          </w:p>
        </w:tc>
        <w:tc>
          <w:tcPr>
            <w:tcW w:w="1701" w:type="dxa"/>
            <w:tcBorders>
              <w:top w:val="single" w:sz="6" w:space="0" w:color="000000"/>
              <w:left w:val="single" w:sz="6" w:space="0" w:color="000000"/>
              <w:bottom w:val="single" w:sz="6" w:space="0" w:color="000000"/>
              <w:right w:val="single" w:sz="6" w:space="0" w:color="000000"/>
            </w:tcBorders>
            <w:vAlign w:val="center"/>
          </w:tcPr>
          <w:p w14:paraId="29C9F37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0.0019</w:t>
            </w:r>
          </w:p>
        </w:tc>
        <w:tc>
          <w:tcPr>
            <w:tcW w:w="1701" w:type="dxa"/>
            <w:tcBorders>
              <w:top w:val="single" w:sz="6" w:space="0" w:color="000000"/>
              <w:left w:val="single" w:sz="6" w:space="0" w:color="000000"/>
              <w:bottom w:val="single" w:sz="6" w:space="0" w:color="000000"/>
              <w:right w:val="single" w:sz="6" w:space="0" w:color="000000"/>
            </w:tcBorders>
            <w:vAlign w:val="center"/>
          </w:tcPr>
          <w:p w14:paraId="438D201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25ED0843"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5ED6B34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701" w:type="dxa"/>
            <w:tcBorders>
              <w:top w:val="single" w:sz="6" w:space="0" w:color="000000"/>
              <w:left w:val="single" w:sz="6" w:space="0" w:color="000000"/>
              <w:bottom w:val="single" w:sz="6" w:space="0" w:color="000000"/>
              <w:right w:val="single" w:sz="6" w:space="0" w:color="000000"/>
            </w:tcBorders>
            <w:vAlign w:val="center"/>
          </w:tcPr>
          <w:p w14:paraId="6DA856D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6E18BB8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0.549</w:t>
            </w:r>
          </w:p>
        </w:tc>
        <w:tc>
          <w:tcPr>
            <w:tcW w:w="1701" w:type="dxa"/>
            <w:tcBorders>
              <w:top w:val="single" w:sz="6" w:space="0" w:color="000000"/>
              <w:left w:val="single" w:sz="6" w:space="0" w:color="000000"/>
              <w:bottom w:val="single" w:sz="6" w:space="0" w:color="000000"/>
              <w:right w:val="single" w:sz="6" w:space="0" w:color="000000"/>
            </w:tcBorders>
            <w:vAlign w:val="center"/>
          </w:tcPr>
          <w:p w14:paraId="45DF8EF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0.0014</w:t>
            </w:r>
          </w:p>
        </w:tc>
        <w:tc>
          <w:tcPr>
            <w:tcW w:w="1701" w:type="dxa"/>
            <w:tcBorders>
              <w:top w:val="single" w:sz="6" w:space="0" w:color="000000"/>
              <w:left w:val="single" w:sz="6" w:space="0" w:color="000000"/>
              <w:bottom w:val="single" w:sz="6" w:space="0" w:color="000000"/>
              <w:right w:val="single" w:sz="6" w:space="0" w:color="000000"/>
            </w:tcBorders>
            <w:vAlign w:val="center"/>
          </w:tcPr>
          <w:p w14:paraId="2C7BD6D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2EB69B54"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1162C13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701" w:type="dxa"/>
            <w:tcBorders>
              <w:top w:val="single" w:sz="6" w:space="0" w:color="000000"/>
              <w:left w:val="single" w:sz="6" w:space="0" w:color="000000"/>
              <w:bottom w:val="single" w:sz="6" w:space="0" w:color="000000"/>
              <w:right w:val="single" w:sz="6" w:space="0" w:color="000000"/>
            </w:tcBorders>
            <w:vAlign w:val="center"/>
          </w:tcPr>
          <w:p w14:paraId="149C254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w:t>
            </w:r>
          </w:p>
        </w:tc>
        <w:tc>
          <w:tcPr>
            <w:tcW w:w="1701" w:type="dxa"/>
            <w:tcBorders>
              <w:top w:val="single" w:sz="6" w:space="0" w:color="000000"/>
              <w:left w:val="single" w:sz="6" w:space="0" w:color="000000"/>
              <w:bottom w:val="single" w:sz="6" w:space="0" w:color="000000"/>
              <w:right w:val="single" w:sz="6" w:space="0" w:color="000000"/>
            </w:tcBorders>
            <w:vAlign w:val="center"/>
          </w:tcPr>
          <w:p w14:paraId="454E6EF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0.800</w:t>
            </w:r>
          </w:p>
        </w:tc>
        <w:tc>
          <w:tcPr>
            <w:tcW w:w="1701" w:type="dxa"/>
            <w:tcBorders>
              <w:top w:val="single" w:sz="6" w:space="0" w:color="000000"/>
              <w:left w:val="single" w:sz="6" w:space="0" w:color="000000"/>
              <w:bottom w:val="single" w:sz="6" w:space="0" w:color="000000"/>
              <w:right w:val="single" w:sz="6" w:space="0" w:color="000000"/>
            </w:tcBorders>
            <w:vAlign w:val="center"/>
          </w:tcPr>
          <w:p w14:paraId="6D036AE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0.0000</w:t>
            </w:r>
          </w:p>
        </w:tc>
        <w:tc>
          <w:tcPr>
            <w:tcW w:w="1701" w:type="dxa"/>
            <w:tcBorders>
              <w:top w:val="single" w:sz="6" w:space="0" w:color="000000"/>
              <w:left w:val="single" w:sz="6" w:space="0" w:color="000000"/>
              <w:bottom w:val="single" w:sz="6" w:space="0" w:color="000000"/>
              <w:right w:val="single" w:sz="6" w:space="0" w:color="000000"/>
            </w:tcBorders>
            <w:vAlign w:val="center"/>
          </w:tcPr>
          <w:p w14:paraId="3728AE6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7BDABFD4"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2E71A20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701" w:type="dxa"/>
            <w:tcBorders>
              <w:top w:val="single" w:sz="6" w:space="0" w:color="000000"/>
              <w:left w:val="single" w:sz="6" w:space="0" w:color="000000"/>
              <w:bottom w:val="single" w:sz="6" w:space="0" w:color="000000"/>
              <w:right w:val="single" w:sz="6" w:space="0" w:color="000000"/>
            </w:tcBorders>
            <w:vAlign w:val="center"/>
          </w:tcPr>
          <w:p w14:paraId="5862EA4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w:t>
            </w:r>
          </w:p>
        </w:tc>
        <w:tc>
          <w:tcPr>
            <w:tcW w:w="1701" w:type="dxa"/>
            <w:tcBorders>
              <w:top w:val="single" w:sz="6" w:space="0" w:color="000000"/>
              <w:left w:val="single" w:sz="6" w:space="0" w:color="000000"/>
              <w:bottom w:val="single" w:sz="6" w:space="0" w:color="000000"/>
              <w:right w:val="single" w:sz="6" w:space="0" w:color="000000"/>
            </w:tcBorders>
            <w:vAlign w:val="center"/>
          </w:tcPr>
          <w:p w14:paraId="65C33F1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0.702</w:t>
            </w:r>
          </w:p>
        </w:tc>
        <w:tc>
          <w:tcPr>
            <w:tcW w:w="1701" w:type="dxa"/>
            <w:tcBorders>
              <w:top w:val="single" w:sz="6" w:space="0" w:color="000000"/>
              <w:left w:val="single" w:sz="6" w:space="0" w:color="000000"/>
              <w:bottom w:val="single" w:sz="6" w:space="0" w:color="000000"/>
              <w:right w:val="single" w:sz="6" w:space="0" w:color="000000"/>
            </w:tcBorders>
            <w:vAlign w:val="center"/>
          </w:tcPr>
          <w:p w14:paraId="0E57911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0.0000</w:t>
            </w:r>
          </w:p>
        </w:tc>
        <w:tc>
          <w:tcPr>
            <w:tcW w:w="1701" w:type="dxa"/>
            <w:tcBorders>
              <w:top w:val="single" w:sz="6" w:space="0" w:color="000000"/>
              <w:left w:val="single" w:sz="6" w:space="0" w:color="000000"/>
              <w:bottom w:val="single" w:sz="6" w:space="0" w:color="000000"/>
              <w:right w:val="single" w:sz="6" w:space="0" w:color="000000"/>
            </w:tcBorders>
            <w:vAlign w:val="center"/>
          </w:tcPr>
          <w:p w14:paraId="506633B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114B2823"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11FE2BB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701" w:type="dxa"/>
            <w:tcBorders>
              <w:top w:val="single" w:sz="6" w:space="0" w:color="000000"/>
              <w:left w:val="single" w:sz="6" w:space="0" w:color="000000"/>
              <w:bottom w:val="single" w:sz="6" w:space="0" w:color="000000"/>
              <w:right w:val="single" w:sz="6" w:space="0" w:color="000000"/>
            </w:tcBorders>
            <w:vAlign w:val="center"/>
          </w:tcPr>
          <w:p w14:paraId="5EE0D81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1701" w:type="dxa"/>
            <w:tcBorders>
              <w:top w:val="single" w:sz="6" w:space="0" w:color="000000"/>
              <w:left w:val="single" w:sz="6" w:space="0" w:color="000000"/>
              <w:bottom w:val="single" w:sz="6" w:space="0" w:color="000000"/>
              <w:right w:val="single" w:sz="6" w:space="0" w:color="000000"/>
            </w:tcBorders>
            <w:vAlign w:val="center"/>
          </w:tcPr>
          <w:p w14:paraId="72CEA97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0.779</w:t>
            </w:r>
          </w:p>
        </w:tc>
        <w:tc>
          <w:tcPr>
            <w:tcW w:w="1701" w:type="dxa"/>
            <w:tcBorders>
              <w:top w:val="single" w:sz="6" w:space="0" w:color="000000"/>
              <w:left w:val="single" w:sz="6" w:space="0" w:color="000000"/>
              <w:bottom w:val="single" w:sz="6" w:space="0" w:color="000000"/>
              <w:right w:val="single" w:sz="6" w:space="0" w:color="000000"/>
            </w:tcBorders>
            <w:vAlign w:val="center"/>
          </w:tcPr>
          <w:p w14:paraId="7D47520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0.0000</w:t>
            </w:r>
          </w:p>
        </w:tc>
        <w:tc>
          <w:tcPr>
            <w:tcW w:w="1701" w:type="dxa"/>
            <w:tcBorders>
              <w:top w:val="single" w:sz="6" w:space="0" w:color="000000"/>
              <w:left w:val="single" w:sz="6" w:space="0" w:color="000000"/>
              <w:bottom w:val="single" w:sz="6" w:space="0" w:color="000000"/>
              <w:right w:val="single" w:sz="6" w:space="0" w:color="000000"/>
            </w:tcBorders>
            <w:vAlign w:val="center"/>
          </w:tcPr>
          <w:p w14:paraId="3421D73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7BD81871"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0B4F8C8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701" w:type="dxa"/>
            <w:tcBorders>
              <w:top w:val="single" w:sz="6" w:space="0" w:color="000000"/>
              <w:left w:val="single" w:sz="6" w:space="0" w:color="000000"/>
              <w:bottom w:val="single" w:sz="6" w:space="0" w:color="000000"/>
              <w:right w:val="single" w:sz="6" w:space="0" w:color="000000"/>
            </w:tcBorders>
            <w:vAlign w:val="center"/>
          </w:tcPr>
          <w:p w14:paraId="05CFBBC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w:t>
            </w:r>
          </w:p>
        </w:tc>
        <w:tc>
          <w:tcPr>
            <w:tcW w:w="1701" w:type="dxa"/>
            <w:tcBorders>
              <w:top w:val="single" w:sz="6" w:space="0" w:color="000000"/>
              <w:left w:val="single" w:sz="6" w:space="0" w:color="000000"/>
              <w:bottom w:val="single" w:sz="6" w:space="0" w:color="000000"/>
              <w:right w:val="single" w:sz="6" w:space="0" w:color="000000"/>
            </w:tcBorders>
            <w:vAlign w:val="center"/>
          </w:tcPr>
          <w:p w14:paraId="0D64019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0.689</w:t>
            </w:r>
          </w:p>
        </w:tc>
        <w:tc>
          <w:tcPr>
            <w:tcW w:w="1701" w:type="dxa"/>
            <w:tcBorders>
              <w:top w:val="single" w:sz="6" w:space="0" w:color="000000"/>
              <w:left w:val="single" w:sz="6" w:space="0" w:color="000000"/>
              <w:bottom w:val="single" w:sz="6" w:space="0" w:color="000000"/>
              <w:right w:val="single" w:sz="6" w:space="0" w:color="000000"/>
            </w:tcBorders>
            <w:vAlign w:val="center"/>
          </w:tcPr>
          <w:p w14:paraId="509CA83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0.0000</w:t>
            </w:r>
          </w:p>
        </w:tc>
        <w:tc>
          <w:tcPr>
            <w:tcW w:w="1701" w:type="dxa"/>
            <w:tcBorders>
              <w:top w:val="single" w:sz="6" w:space="0" w:color="000000"/>
              <w:left w:val="single" w:sz="6" w:space="0" w:color="000000"/>
              <w:bottom w:val="single" w:sz="6" w:space="0" w:color="000000"/>
              <w:right w:val="single" w:sz="6" w:space="0" w:color="000000"/>
            </w:tcBorders>
            <w:vAlign w:val="center"/>
          </w:tcPr>
          <w:p w14:paraId="24EEE51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79C5D0E6"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2C2EACE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c>
          <w:tcPr>
            <w:tcW w:w="1701" w:type="dxa"/>
            <w:tcBorders>
              <w:top w:val="single" w:sz="6" w:space="0" w:color="000000"/>
              <w:left w:val="single" w:sz="6" w:space="0" w:color="000000"/>
              <w:bottom w:val="single" w:sz="6" w:space="0" w:color="000000"/>
              <w:right w:val="single" w:sz="6" w:space="0" w:color="000000"/>
            </w:tcBorders>
            <w:vAlign w:val="center"/>
          </w:tcPr>
          <w:p w14:paraId="15AAD0B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1701" w:type="dxa"/>
            <w:tcBorders>
              <w:top w:val="single" w:sz="6" w:space="0" w:color="000000"/>
              <w:left w:val="single" w:sz="6" w:space="0" w:color="000000"/>
              <w:bottom w:val="single" w:sz="6" w:space="0" w:color="000000"/>
              <w:right w:val="single" w:sz="6" w:space="0" w:color="000000"/>
            </w:tcBorders>
            <w:vAlign w:val="center"/>
          </w:tcPr>
          <w:p w14:paraId="5516A17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0.394</w:t>
            </w:r>
          </w:p>
        </w:tc>
        <w:tc>
          <w:tcPr>
            <w:tcW w:w="1701" w:type="dxa"/>
            <w:tcBorders>
              <w:top w:val="single" w:sz="6" w:space="0" w:color="000000"/>
              <w:left w:val="single" w:sz="6" w:space="0" w:color="000000"/>
              <w:bottom w:val="single" w:sz="6" w:space="0" w:color="000000"/>
              <w:right w:val="single" w:sz="6" w:space="0" w:color="000000"/>
            </w:tcBorders>
            <w:vAlign w:val="center"/>
          </w:tcPr>
          <w:p w14:paraId="603C9AD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0.0282</w:t>
            </w:r>
          </w:p>
        </w:tc>
        <w:tc>
          <w:tcPr>
            <w:tcW w:w="1701" w:type="dxa"/>
            <w:tcBorders>
              <w:top w:val="single" w:sz="6" w:space="0" w:color="000000"/>
              <w:left w:val="single" w:sz="6" w:space="0" w:color="000000"/>
              <w:bottom w:val="single" w:sz="6" w:space="0" w:color="000000"/>
              <w:right w:val="single" w:sz="6" w:space="0" w:color="000000"/>
            </w:tcBorders>
            <w:vAlign w:val="center"/>
          </w:tcPr>
          <w:p w14:paraId="100DBAD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0.05</w:t>
            </w:r>
          </w:p>
        </w:tc>
      </w:tr>
      <w:tr w:rsidR="008C0001" w:rsidRPr="00407D80" w14:paraId="2FF2B64B"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34EBFEF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c>
          <w:tcPr>
            <w:tcW w:w="1701" w:type="dxa"/>
            <w:tcBorders>
              <w:top w:val="single" w:sz="6" w:space="0" w:color="000000"/>
              <w:left w:val="single" w:sz="6" w:space="0" w:color="000000"/>
              <w:bottom w:val="single" w:sz="6" w:space="0" w:color="000000"/>
              <w:right w:val="single" w:sz="6" w:space="0" w:color="000000"/>
            </w:tcBorders>
            <w:vAlign w:val="center"/>
          </w:tcPr>
          <w:p w14:paraId="5CA21E6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527638B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0.515</w:t>
            </w:r>
          </w:p>
        </w:tc>
        <w:tc>
          <w:tcPr>
            <w:tcW w:w="1701" w:type="dxa"/>
            <w:tcBorders>
              <w:top w:val="single" w:sz="6" w:space="0" w:color="000000"/>
              <w:left w:val="single" w:sz="6" w:space="0" w:color="000000"/>
              <w:bottom w:val="single" w:sz="6" w:space="0" w:color="000000"/>
              <w:right w:val="single" w:sz="6" w:space="0" w:color="000000"/>
            </w:tcBorders>
            <w:vAlign w:val="center"/>
          </w:tcPr>
          <w:p w14:paraId="1C6B1E7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0.0030</w:t>
            </w:r>
          </w:p>
        </w:tc>
        <w:tc>
          <w:tcPr>
            <w:tcW w:w="1701" w:type="dxa"/>
            <w:tcBorders>
              <w:top w:val="single" w:sz="6" w:space="0" w:color="000000"/>
              <w:left w:val="single" w:sz="6" w:space="0" w:color="000000"/>
              <w:bottom w:val="single" w:sz="6" w:space="0" w:color="000000"/>
              <w:right w:val="single" w:sz="6" w:space="0" w:color="000000"/>
            </w:tcBorders>
            <w:vAlign w:val="center"/>
          </w:tcPr>
          <w:p w14:paraId="547BE45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77B68BBE"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0D481DF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c>
          <w:tcPr>
            <w:tcW w:w="1701" w:type="dxa"/>
            <w:tcBorders>
              <w:top w:val="single" w:sz="6" w:space="0" w:color="000000"/>
              <w:left w:val="single" w:sz="6" w:space="0" w:color="000000"/>
              <w:bottom w:val="single" w:sz="6" w:space="0" w:color="000000"/>
              <w:right w:val="single" w:sz="6" w:space="0" w:color="000000"/>
            </w:tcBorders>
            <w:vAlign w:val="center"/>
          </w:tcPr>
          <w:p w14:paraId="22B126A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w:t>
            </w:r>
          </w:p>
        </w:tc>
        <w:tc>
          <w:tcPr>
            <w:tcW w:w="1701" w:type="dxa"/>
            <w:tcBorders>
              <w:top w:val="single" w:sz="6" w:space="0" w:color="000000"/>
              <w:left w:val="single" w:sz="6" w:space="0" w:color="000000"/>
              <w:bottom w:val="single" w:sz="6" w:space="0" w:color="000000"/>
              <w:right w:val="single" w:sz="6" w:space="0" w:color="000000"/>
            </w:tcBorders>
            <w:vAlign w:val="center"/>
          </w:tcPr>
          <w:p w14:paraId="0123A8F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0.330</w:t>
            </w:r>
          </w:p>
        </w:tc>
        <w:tc>
          <w:tcPr>
            <w:tcW w:w="1701" w:type="dxa"/>
            <w:tcBorders>
              <w:top w:val="single" w:sz="6" w:space="0" w:color="000000"/>
              <w:left w:val="single" w:sz="6" w:space="0" w:color="000000"/>
              <w:bottom w:val="single" w:sz="6" w:space="0" w:color="000000"/>
              <w:right w:val="single" w:sz="6" w:space="0" w:color="000000"/>
            </w:tcBorders>
            <w:vAlign w:val="center"/>
          </w:tcPr>
          <w:p w14:paraId="5014A66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0.0702</w:t>
            </w:r>
          </w:p>
        </w:tc>
        <w:tc>
          <w:tcPr>
            <w:tcW w:w="1701" w:type="dxa"/>
            <w:tcBorders>
              <w:top w:val="single" w:sz="6" w:space="0" w:color="000000"/>
              <w:left w:val="single" w:sz="6" w:space="0" w:color="000000"/>
              <w:bottom w:val="single" w:sz="6" w:space="0" w:color="000000"/>
              <w:right w:val="single" w:sz="6" w:space="0" w:color="000000"/>
            </w:tcBorders>
            <w:vAlign w:val="center"/>
          </w:tcPr>
          <w:p w14:paraId="433F8AA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غير دالة</w:t>
            </w:r>
          </w:p>
        </w:tc>
      </w:tr>
      <w:tr w:rsidR="008C0001" w:rsidRPr="00407D80" w14:paraId="6F6D097E"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311BF3E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c>
          <w:tcPr>
            <w:tcW w:w="1701" w:type="dxa"/>
            <w:tcBorders>
              <w:top w:val="single" w:sz="6" w:space="0" w:color="000000"/>
              <w:left w:val="single" w:sz="6" w:space="0" w:color="000000"/>
              <w:bottom w:val="single" w:sz="6" w:space="0" w:color="000000"/>
              <w:right w:val="single" w:sz="6" w:space="0" w:color="000000"/>
            </w:tcBorders>
            <w:vAlign w:val="center"/>
          </w:tcPr>
          <w:p w14:paraId="1867E25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w:t>
            </w:r>
          </w:p>
        </w:tc>
        <w:tc>
          <w:tcPr>
            <w:tcW w:w="1701" w:type="dxa"/>
            <w:tcBorders>
              <w:top w:val="single" w:sz="6" w:space="0" w:color="000000"/>
              <w:left w:val="single" w:sz="6" w:space="0" w:color="000000"/>
              <w:bottom w:val="single" w:sz="6" w:space="0" w:color="000000"/>
              <w:right w:val="single" w:sz="6" w:space="0" w:color="000000"/>
            </w:tcBorders>
            <w:vAlign w:val="center"/>
          </w:tcPr>
          <w:p w14:paraId="646226A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0.528</w:t>
            </w:r>
          </w:p>
        </w:tc>
        <w:tc>
          <w:tcPr>
            <w:tcW w:w="1701" w:type="dxa"/>
            <w:tcBorders>
              <w:top w:val="single" w:sz="6" w:space="0" w:color="000000"/>
              <w:left w:val="single" w:sz="6" w:space="0" w:color="000000"/>
              <w:bottom w:val="single" w:sz="6" w:space="0" w:color="000000"/>
              <w:right w:val="single" w:sz="6" w:space="0" w:color="000000"/>
            </w:tcBorders>
            <w:vAlign w:val="center"/>
          </w:tcPr>
          <w:p w14:paraId="2470A2D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0.0022</w:t>
            </w:r>
          </w:p>
        </w:tc>
        <w:tc>
          <w:tcPr>
            <w:tcW w:w="1701" w:type="dxa"/>
            <w:tcBorders>
              <w:top w:val="single" w:sz="6" w:space="0" w:color="000000"/>
              <w:left w:val="single" w:sz="6" w:space="0" w:color="000000"/>
              <w:bottom w:val="single" w:sz="6" w:space="0" w:color="000000"/>
              <w:right w:val="single" w:sz="6" w:space="0" w:color="000000"/>
            </w:tcBorders>
            <w:vAlign w:val="center"/>
          </w:tcPr>
          <w:p w14:paraId="1024D0D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3DC2E56B"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45121FD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c>
          <w:tcPr>
            <w:tcW w:w="1701" w:type="dxa"/>
            <w:tcBorders>
              <w:top w:val="single" w:sz="6" w:space="0" w:color="000000"/>
              <w:left w:val="single" w:sz="6" w:space="0" w:color="000000"/>
              <w:bottom w:val="single" w:sz="6" w:space="0" w:color="000000"/>
              <w:right w:val="single" w:sz="6" w:space="0" w:color="000000"/>
            </w:tcBorders>
            <w:vAlign w:val="center"/>
          </w:tcPr>
          <w:p w14:paraId="635D02C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1701" w:type="dxa"/>
            <w:tcBorders>
              <w:top w:val="single" w:sz="6" w:space="0" w:color="000000"/>
              <w:left w:val="single" w:sz="6" w:space="0" w:color="000000"/>
              <w:bottom w:val="single" w:sz="6" w:space="0" w:color="000000"/>
              <w:right w:val="single" w:sz="6" w:space="0" w:color="000000"/>
            </w:tcBorders>
            <w:vAlign w:val="center"/>
          </w:tcPr>
          <w:p w14:paraId="02406D8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0.327</w:t>
            </w:r>
          </w:p>
        </w:tc>
        <w:tc>
          <w:tcPr>
            <w:tcW w:w="1701" w:type="dxa"/>
            <w:tcBorders>
              <w:top w:val="single" w:sz="6" w:space="0" w:color="000000"/>
              <w:left w:val="single" w:sz="6" w:space="0" w:color="000000"/>
              <w:bottom w:val="single" w:sz="6" w:space="0" w:color="000000"/>
              <w:right w:val="single" w:sz="6" w:space="0" w:color="000000"/>
            </w:tcBorders>
            <w:vAlign w:val="center"/>
          </w:tcPr>
          <w:p w14:paraId="7CB78B3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0.0722</w:t>
            </w:r>
          </w:p>
        </w:tc>
        <w:tc>
          <w:tcPr>
            <w:tcW w:w="1701" w:type="dxa"/>
            <w:tcBorders>
              <w:top w:val="single" w:sz="6" w:space="0" w:color="000000"/>
              <w:left w:val="single" w:sz="6" w:space="0" w:color="000000"/>
              <w:bottom w:val="single" w:sz="6" w:space="0" w:color="000000"/>
              <w:right w:val="single" w:sz="6" w:space="0" w:color="000000"/>
            </w:tcBorders>
            <w:vAlign w:val="center"/>
          </w:tcPr>
          <w:p w14:paraId="2864CAC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غير دالة</w:t>
            </w:r>
          </w:p>
        </w:tc>
      </w:tr>
    </w:tbl>
    <w:p w14:paraId="78E80027" w14:textId="0EAF9AD6"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يتبين من الجدول (11) أن غالبية معاملات ارتباط العبارات بالدرجة الكلية للمحور التي تنتمي إليها جاءت دالة إحصائياً عند مستويات (0.01) و(0.05)، مما يدل على أن العبارات تتسق مع البناء النظري الذي صمم المقياس لقياسه. وقد سجلت عبارات المحور الثالث أعلى معاملات الارتباط حيث تراوحت بين (0.535) و(0.800)، تلتها عبارات المحور الأول، وهو ما ينسجم مع نتائج تحليل ألفا </w:t>
      </w:r>
      <w:proofErr w:type="spellStart"/>
      <w:r w:rsidRPr="00407D80">
        <w:rPr>
          <w:rFonts w:asciiTheme="minorBidi" w:eastAsia="Sakkal Majalla" w:hAnsiTheme="minorBidi"/>
          <w:color w:val="000000"/>
          <w:rtl/>
        </w:rPr>
        <w:t>كرونباخ</w:t>
      </w:r>
      <w:proofErr w:type="spellEnd"/>
      <w:r w:rsidRPr="00407D80">
        <w:rPr>
          <w:rFonts w:asciiTheme="minorBidi" w:eastAsia="Sakkal Majalla" w:hAnsiTheme="minorBidi"/>
          <w:color w:val="000000"/>
          <w:rtl/>
        </w:rPr>
        <w:t>.</w:t>
      </w:r>
    </w:p>
    <w:p w14:paraId="775AC08A"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وفي المقابل، تم رصد بعض العبارات بمعاملات ارتباط أقل من (0.30) أو غير دالة، وأبرزها عبارة (أعتمد على بيانات المنصة بشكل مباشر عند تقييم أداء الحملة) حيث بلغ معامل الارتباط (r = 0.046) و(p = 0.806) في المحور الثاني، </w:t>
      </w:r>
      <w:r w:rsidRPr="00407D80">
        <w:rPr>
          <w:rFonts w:asciiTheme="minorBidi" w:eastAsia="Sakkal Majalla" w:hAnsiTheme="minorBidi"/>
          <w:color w:val="000000"/>
          <w:rtl/>
        </w:rPr>
        <w:lastRenderedPageBreak/>
        <w:t>الأمر الذي يعزز الملاحظة المنهجية المشار إليها بشأن تعدد أبعاد بناء الثقة. ومع ذلك، تم الاحتفاظ بهذه العبارات في التحليل الكلي لأغراض الاتساق التركيبي، مع الإشارة إلى محدوديتها في التفسير.</w:t>
      </w:r>
    </w:p>
    <w:p w14:paraId="6F996F62" w14:textId="529A89F1" w:rsidR="008C0001" w:rsidRPr="00407D80" w:rsidRDefault="008C0001" w:rsidP="00407D80">
      <w:pPr>
        <w:pStyle w:val="Heading1"/>
        <w:bidi/>
        <w:rPr>
          <w:rFonts w:cstheme="minorBidi"/>
          <w:b w:val="0"/>
          <w:bCs/>
        </w:rPr>
      </w:pPr>
      <w:bookmarkStart w:id="64" w:name="_Toc228065411"/>
      <w:r w:rsidRPr="00407D80">
        <w:rPr>
          <w:rFonts w:cstheme="minorBidi"/>
          <w:b w:val="0"/>
          <w:bCs/>
          <w:rtl/>
        </w:rPr>
        <w:t>الإحصاءات الوصفية على مستوى العبارات</w:t>
      </w:r>
      <w:bookmarkEnd w:id="64"/>
    </w:p>
    <w:p w14:paraId="6C52E92D"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لاحتساب الأهمية النسبية لكل عبارة، تم اعتماد التدريج الخماسي (</w:t>
      </w:r>
      <w:proofErr w:type="spellStart"/>
      <w:r w:rsidRPr="00407D80">
        <w:rPr>
          <w:rFonts w:asciiTheme="minorBidi" w:eastAsia="Sakkal Majalla" w:hAnsiTheme="minorBidi"/>
          <w:color w:val="000000"/>
          <w:rtl/>
        </w:rPr>
        <w:t>Likert</w:t>
      </w:r>
      <w:proofErr w:type="spellEnd"/>
      <w:r w:rsidRPr="00407D80">
        <w:rPr>
          <w:rFonts w:asciiTheme="minorBidi" w:eastAsia="Sakkal Majalla" w:hAnsiTheme="minorBidi"/>
          <w:color w:val="000000"/>
          <w:rtl/>
        </w:rPr>
        <w:t>) المعاد ترميزه عددياً، حيث (1 = لا أوافق بشدة، 5 = أوافق بشدة)، مع إعادة ترميز العبارات السلبية لتتوافق مع الاتجاه المفاهيمي للمحور، وتظهر بعلامة (R) في الجدول. وقد تم اعتماد التصنيف التالي لمستوى الأهمية بناءً على المتوسط الحسابي:</w:t>
      </w:r>
    </w:p>
    <w:p w14:paraId="43C856D0" w14:textId="77777777" w:rsidR="008C0001" w:rsidRPr="00407D80" w:rsidRDefault="008C0001" w:rsidP="00407D80">
      <w:pPr>
        <w:bidi/>
        <w:spacing w:before="120" w:after="40" w:line="276" w:lineRule="auto"/>
        <w:ind w:firstLine="283"/>
        <w:rPr>
          <w:rFonts w:asciiTheme="minorBidi" w:hAnsiTheme="minorBidi"/>
        </w:rPr>
      </w:pPr>
      <w:r w:rsidRPr="00407D80">
        <w:rPr>
          <w:rFonts w:asciiTheme="minorBidi" w:eastAsia="Sakkal Majalla" w:hAnsiTheme="minorBidi"/>
          <w:color w:val="000000"/>
          <w:sz w:val="28"/>
          <w:szCs w:val="28"/>
          <w:rtl/>
        </w:rPr>
        <w:t>• من 1.00 إلى 1.79: منخفضة جداً.</w:t>
      </w:r>
    </w:p>
    <w:p w14:paraId="77B73FF4" w14:textId="77777777" w:rsidR="008C0001" w:rsidRPr="00407D80" w:rsidRDefault="008C0001" w:rsidP="00407D80">
      <w:pPr>
        <w:bidi/>
        <w:spacing w:before="120" w:after="40" w:line="276" w:lineRule="auto"/>
        <w:ind w:firstLine="283"/>
        <w:rPr>
          <w:rFonts w:asciiTheme="minorBidi" w:hAnsiTheme="minorBidi"/>
        </w:rPr>
      </w:pPr>
      <w:r w:rsidRPr="00407D80">
        <w:rPr>
          <w:rFonts w:asciiTheme="minorBidi" w:eastAsia="Sakkal Majalla" w:hAnsiTheme="minorBidi"/>
          <w:color w:val="000000"/>
          <w:sz w:val="28"/>
          <w:szCs w:val="28"/>
          <w:rtl/>
        </w:rPr>
        <w:t>• من 1.80 إلى 2.59: منخفضة.</w:t>
      </w:r>
    </w:p>
    <w:p w14:paraId="4C1D5E0A" w14:textId="77777777" w:rsidR="008C0001" w:rsidRPr="00407D80" w:rsidRDefault="008C0001" w:rsidP="00407D80">
      <w:pPr>
        <w:bidi/>
        <w:spacing w:before="120" w:after="40" w:line="276" w:lineRule="auto"/>
        <w:ind w:firstLine="283"/>
        <w:rPr>
          <w:rFonts w:asciiTheme="minorBidi" w:hAnsiTheme="minorBidi"/>
        </w:rPr>
      </w:pPr>
      <w:r w:rsidRPr="00407D80">
        <w:rPr>
          <w:rFonts w:asciiTheme="minorBidi" w:eastAsia="Sakkal Majalla" w:hAnsiTheme="minorBidi"/>
          <w:color w:val="000000"/>
          <w:sz w:val="28"/>
          <w:szCs w:val="28"/>
          <w:rtl/>
        </w:rPr>
        <w:t>• من 2.60 إلى 3.39: متوسطة.</w:t>
      </w:r>
    </w:p>
    <w:p w14:paraId="1DAD7CC7" w14:textId="77777777" w:rsidR="008C0001" w:rsidRPr="00407D80" w:rsidRDefault="008C0001" w:rsidP="00407D80">
      <w:pPr>
        <w:bidi/>
        <w:spacing w:before="120" w:after="40" w:line="276" w:lineRule="auto"/>
        <w:ind w:firstLine="283"/>
        <w:rPr>
          <w:rFonts w:asciiTheme="minorBidi" w:hAnsiTheme="minorBidi"/>
        </w:rPr>
      </w:pPr>
      <w:r w:rsidRPr="00407D80">
        <w:rPr>
          <w:rFonts w:asciiTheme="minorBidi" w:eastAsia="Sakkal Majalla" w:hAnsiTheme="minorBidi"/>
          <w:color w:val="000000"/>
          <w:sz w:val="28"/>
          <w:szCs w:val="28"/>
          <w:rtl/>
        </w:rPr>
        <w:t>• من 3.40 إلى 4.19: مرتفعة.</w:t>
      </w:r>
    </w:p>
    <w:p w14:paraId="23989B49" w14:textId="77777777" w:rsidR="008C0001" w:rsidRPr="00407D80" w:rsidRDefault="008C0001" w:rsidP="00407D80">
      <w:pPr>
        <w:bidi/>
        <w:spacing w:before="120" w:after="40" w:line="276" w:lineRule="auto"/>
        <w:ind w:firstLine="283"/>
        <w:rPr>
          <w:rFonts w:asciiTheme="minorBidi" w:hAnsiTheme="minorBidi"/>
        </w:rPr>
      </w:pPr>
      <w:r w:rsidRPr="00407D80">
        <w:rPr>
          <w:rFonts w:asciiTheme="minorBidi" w:eastAsia="Sakkal Majalla" w:hAnsiTheme="minorBidi"/>
          <w:color w:val="000000"/>
          <w:sz w:val="28"/>
          <w:szCs w:val="28"/>
          <w:rtl/>
        </w:rPr>
        <w:t>• من 4.20 إلى 5.00: مرتفعة جداً.</w:t>
      </w:r>
    </w:p>
    <w:p w14:paraId="308A13D1" w14:textId="01D3CE9A" w:rsidR="008C0001" w:rsidRPr="00407D80" w:rsidRDefault="008C0001" w:rsidP="00407D80">
      <w:pPr>
        <w:pStyle w:val="Heading2"/>
        <w:bidi/>
        <w:rPr>
          <w:rFonts w:asciiTheme="minorBidi" w:hAnsiTheme="minorBidi" w:cstheme="minorBidi"/>
        </w:rPr>
      </w:pPr>
      <w:r w:rsidRPr="00407D80">
        <w:rPr>
          <w:rFonts w:asciiTheme="minorBidi" w:hAnsiTheme="minorBidi" w:cstheme="minorBidi"/>
          <w:rtl/>
        </w:rPr>
        <w:t>جدول (12): الإحصاءات الوصفية لعبارات المقياس بعد إعادة الترميز</w:t>
      </w:r>
    </w:p>
    <w:tbl>
      <w:tblPr>
        <w:tblStyle w:val="TableGrid"/>
        <w:bidiVisual/>
        <w:tblW w:w="5000" w:type="pct"/>
        <w:jc w:val="center"/>
        <w:tblLook w:val="04A0" w:firstRow="1" w:lastRow="0" w:firstColumn="1" w:lastColumn="0" w:noHBand="0" w:noVBand="1"/>
      </w:tblPr>
      <w:tblGrid>
        <w:gridCol w:w="1553"/>
        <w:gridCol w:w="1553"/>
        <w:gridCol w:w="1582"/>
        <w:gridCol w:w="1552"/>
        <w:gridCol w:w="1552"/>
        <w:gridCol w:w="1552"/>
      </w:tblGrid>
      <w:tr w:rsidR="008C0001" w:rsidRPr="00407D80" w14:paraId="18D61389"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3C26F9A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3E44C63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رقم العبارة</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F746B6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نص العبارة</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048C58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المتوسط</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2CDA82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الانحراف المعياري</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06B996A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الأهمية</w:t>
            </w:r>
          </w:p>
        </w:tc>
      </w:tr>
      <w:tr w:rsidR="008C0001" w:rsidRPr="00407D80" w14:paraId="328B024A"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67B83A7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417" w:type="dxa"/>
            <w:tcBorders>
              <w:top w:val="single" w:sz="6" w:space="0" w:color="000000"/>
              <w:left w:val="single" w:sz="6" w:space="0" w:color="000000"/>
              <w:bottom w:val="single" w:sz="6" w:space="0" w:color="000000"/>
              <w:right w:val="single" w:sz="6" w:space="0" w:color="000000"/>
            </w:tcBorders>
            <w:vAlign w:val="center"/>
          </w:tcPr>
          <w:p w14:paraId="21A712C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1417" w:type="dxa"/>
            <w:tcBorders>
              <w:top w:val="single" w:sz="6" w:space="0" w:color="000000"/>
              <w:left w:val="single" w:sz="6" w:space="0" w:color="000000"/>
              <w:bottom w:val="single" w:sz="6" w:space="0" w:color="000000"/>
              <w:right w:val="single" w:sz="6" w:space="0" w:color="000000"/>
            </w:tcBorders>
            <w:vAlign w:val="center"/>
          </w:tcPr>
          <w:p w14:paraId="21888E0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أرى أن الأرقام التي يتم عرضها في المنصات الإعلانية تعكس الأداء الفعلي للحملات بشكل دقيق.</w:t>
            </w:r>
          </w:p>
        </w:tc>
        <w:tc>
          <w:tcPr>
            <w:tcW w:w="1417" w:type="dxa"/>
            <w:tcBorders>
              <w:top w:val="single" w:sz="6" w:space="0" w:color="000000"/>
              <w:left w:val="single" w:sz="6" w:space="0" w:color="000000"/>
              <w:bottom w:val="single" w:sz="6" w:space="0" w:color="000000"/>
              <w:right w:val="single" w:sz="6" w:space="0" w:color="000000"/>
            </w:tcBorders>
            <w:vAlign w:val="center"/>
          </w:tcPr>
          <w:p w14:paraId="0EBD505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3.516</w:t>
            </w:r>
          </w:p>
        </w:tc>
        <w:tc>
          <w:tcPr>
            <w:tcW w:w="1417" w:type="dxa"/>
            <w:tcBorders>
              <w:top w:val="single" w:sz="6" w:space="0" w:color="000000"/>
              <w:left w:val="single" w:sz="6" w:space="0" w:color="000000"/>
              <w:bottom w:val="single" w:sz="6" w:space="0" w:color="000000"/>
              <w:right w:val="single" w:sz="6" w:space="0" w:color="000000"/>
            </w:tcBorders>
            <w:vAlign w:val="center"/>
          </w:tcPr>
          <w:p w14:paraId="0FBF595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0.996</w:t>
            </w:r>
          </w:p>
        </w:tc>
        <w:tc>
          <w:tcPr>
            <w:tcW w:w="1417" w:type="dxa"/>
            <w:tcBorders>
              <w:top w:val="single" w:sz="6" w:space="0" w:color="000000"/>
              <w:left w:val="single" w:sz="6" w:space="0" w:color="000000"/>
              <w:bottom w:val="single" w:sz="6" w:space="0" w:color="000000"/>
              <w:right w:val="single" w:sz="6" w:space="0" w:color="000000"/>
            </w:tcBorders>
            <w:vAlign w:val="center"/>
          </w:tcPr>
          <w:p w14:paraId="3AD2581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مرتفعة</w:t>
            </w:r>
          </w:p>
        </w:tc>
      </w:tr>
      <w:tr w:rsidR="008C0001" w:rsidRPr="00407D80" w14:paraId="23ABE56C"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19E39BB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417" w:type="dxa"/>
            <w:tcBorders>
              <w:top w:val="single" w:sz="6" w:space="0" w:color="000000"/>
              <w:left w:val="single" w:sz="6" w:space="0" w:color="000000"/>
              <w:bottom w:val="single" w:sz="6" w:space="0" w:color="000000"/>
              <w:right w:val="single" w:sz="6" w:space="0" w:color="000000"/>
            </w:tcBorders>
            <w:vAlign w:val="center"/>
          </w:tcPr>
          <w:p w14:paraId="4BDA66B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14A4730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تتوافق نتائج المنصة غالباً مع النتائج الفعلية التي تتحقق على أرض الواقع.</w:t>
            </w:r>
          </w:p>
        </w:tc>
        <w:tc>
          <w:tcPr>
            <w:tcW w:w="1417" w:type="dxa"/>
            <w:tcBorders>
              <w:top w:val="single" w:sz="6" w:space="0" w:color="000000"/>
              <w:left w:val="single" w:sz="6" w:space="0" w:color="000000"/>
              <w:bottom w:val="single" w:sz="6" w:space="0" w:color="000000"/>
              <w:right w:val="single" w:sz="6" w:space="0" w:color="000000"/>
            </w:tcBorders>
            <w:vAlign w:val="center"/>
          </w:tcPr>
          <w:p w14:paraId="03DC70A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3.419</w:t>
            </w:r>
          </w:p>
        </w:tc>
        <w:tc>
          <w:tcPr>
            <w:tcW w:w="1417" w:type="dxa"/>
            <w:tcBorders>
              <w:top w:val="single" w:sz="6" w:space="0" w:color="000000"/>
              <w:left w:val="single" w:sz="6" w:space="0" w:color="000000"/>
              <w:bottom w:val="single" w:sz="6" w:space="0" w:color="000000"/>
              <w:right w:val="single" w:sz="6" w:space="0" w:color="000000"/>
            </w:tcBorders>
            <w:vAlign w:val="center"/>
          </w:tcPr>
          <w:p w14:paraId="3ADADCE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1.025</w:t>
            </w:r>
          </w:p>
        </w:tc>
        <w:tc>
          <w:tcPr>
            <w:tcW w:w="1417" w:type="dxa"/>
            <w:tcBorders>
              <w:top w:val="single" w:sz="6" w:space="0" w:color="000000"/>
              <w:left w:val="single" w:sz="6" w:space="0" w:color="000000"/>
              <w:bottom w:val="single" w:sz="6" w:space="0" w:color="000000"/>
              <w:right w:val="single" w:sz="6" w:space="0" w:color="000000"/>
            </w:tcBorders>
            <w:vAlign w:val="center"/>
          </w:tcPr>
          <w:p w14:paraId="795A98F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مرتفعة</w:t>
            </w:r>
          </w:p>
        </w:tc>
      </w:tr>
      <w:tr w:rsidR="008C0001" w:rsidRPr="00407D80" w14:paraId="711E5D01"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148D2D0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417" w:type="dxa"/>
            <w:tcBorders>
              <w:top w:val="single" w:sz="6" w:space="0" w:color="000000"/>
              <w:left w:val="single" w:sz="6" w:space="0" w:color="000000"/>
              <w:bottom w:val="single" w:sz="6" w:space="0" w:color="000000"/>
              <w:right w:val="single" w:sz="6" w:space="0" w:color="000000"/>
            </w:tcBorders>
            <w:vAlign w:val="center"/>
          </w:tcPr>
          <w:p w14:paraId="0705931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 (R)</w:t>
            </w:r>
          </w:p>
        </w:tc>
        <w:tc>
          <w:tcPr>
            <w:tcW w:w="1417" w:type="dxa"/>
            <w:tcBorders>
              <w:top w:val="single" w:sz="6" w:space="0" w:color="000000"/>
              <w:left w:val="single" w:sz="6" w:space="0" w:color="000000"/>
              <w:bottom w:val="single" w:sz="6" w:space="0" w:color="000000"/>
              <w:right w:val="single" w:sz="6" w:space="0" w:color="000000"/>
            </w:tcBorders>
            <w:vAlign w:val="center"/>
          </w:tcPr>
          <w:p w14:paraId="7BE833D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ألاحظ أحياناً وجود اختلاف بين نتائج المنصة والنتائج الفعلية للحملة.</w:t>
            </w:r>
          </w:p>
        </w:tc>
        <w:tc>
          <w:tcPr>
            <w:tcW w:w="1417" w:type="dxa"/>
            <w:tcBorders>
              <w:top w:val="single" w:sz="6" w:space="0" w:color="000000"/>
              <w:left w:val="single" w:sz="6" w:space="0" w:color="000000"/>
              <w:bottom w:val="single" w:sz="6" w:space="0" w:color="000000"/>
              <w:right w:val="single" w:sz="6" w:space="0" w:color="000000"/>
            </w:tcBorders>
            <w:vAlign w:val="center"/>
          </w:tcPr>
          <w:p w14:paraId="1618B2B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2.258</w:t>
            </w:r>
          </w:p>
        </w:tc>
        <w:tc>
          <w:tcPr>
            <w:tcW w:w="1417" w:type="dxa"/>
            <w:tcBorders>
              <w:top w:val="single" w:sz="6" w:space="0" w:color="000000"/>
              <w:left w:val="single" w:sz="6" w:space="0" w:color="000000"/>
              <w:bottom w:val="single" w:sz="6" w:space="0" w:color="000000"/>
              <w:right w:val="single" w:sz="6" w:space="0" w:color="000000"/>
            </w:tcBorders>
            <w:vAlign w:val="center"/>
          </w:tcPr>
          <w:p w14:paraId="4C8BFB2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0.855</w:t>
            </w:r>
          </w:p>
        </w:tc>
        <w:tc>
          <w:tcPr>
            <w:tcW w:w="1417" w:type="dxa"/>
            <w:tcBorders>
              <w:top w:val="single" w:sz="6" w:space="0" w:color="000000"/>
              <w:left w:val="single" w:sz="6" w:space="0" w:color="000000"/>
              <w:bottom w:val="single" w:sz="6" w:space="0" w:color="000000"/>
              <w:right w:val="single" w:sz="6" w:space="0" w:color="000000"/>
            </w:tcBorders>
            <w:vAlign w:val="center"/>
          </w:tcPr>
          <w:p w14:paraId="312EF29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r w:rsidR="008C0001" w:rsidRPr="00407D80" w14:paraId="45F18994"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34E2E5C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417" w:type="dxa"/>
            <w:tcBorders>
              <w:top w:val="single" w:sz="6" w:space="0" w:color="000000"/>
              <w:left w:val="single" w:sz="6" w:space="0" w:color="000000"/>
              <w:bottom w:val="single" w:sz="6" w:space="0" w:color="000000"/>
              <w:right w:val="single" w:sz="6" w:space="0" w:color="000000"/>
            </w:tcBorders>
            <w:vAlign w:val="center"/>
          </w:tcPr>
          <w:p w14:paraId="7F94D04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 (R)</w:t>
            </w:r>
          </w:p>
        </w:tc>
        <w:tc>
          <w:tcPr>
            <w:tcW w:w="1417" w:type="dxa"/>
            <w:tcBorders>
              <w:top w:val="single" w:sz="6" w:space="0" w:color="000000"/>
              <w:left w:val="single" w:sz="6" w:space="0" w:color="000000"/>
              <w:bottom w:val="single" w:sz="6" w:space="0" w:color="000000"/>
              <w:right w:val="single" w:sz="6" w:space="0" w:color="000000"/>
            </w:tcBorders>
            <w:vAlign w:val="center"/>
          </w:tcPr>
          <w:p w14:paraId="0B07830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تختلف دقة مؤشرات الأداء من منصة إعلانية إلى أخرى.</w:t>
            </w:r>
          </w:p>
        </w:tc>
        <w:tc>
          <w:tcPr>
            <w:tcW w:w="1417" w:type="dxa"/>
            <w:tcBorders>
              <w:top w:val="single" w:sz="6" w:space="0" w:color="000000"/>
              <w:left w:val="single" w:sz="6" w:space="0" w:color="000000"/>
              <w:bottom w:val="single" w:sz="6" w:space="0" w:color="000000"/>
              <w:right w:val="single" w:sz="6" w:space="0" w:color="000000"/>
            </w:tcBorders>
            <w:vAlign w:val="center"/>
          </w:tcPr>
          <w:p w14:paraId="3A3B270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1.806</w:t>
            </w:r>
          </w:p>
        </w:tc>
        <w:tc>
          <w:tcPr>
            <w:tcW w:w="1417" w:type="dxa"/>
            <w:tcBorders>
              <w:top w:val="single" w:sz="6" w:space="0" w:color="000000"/>
              <w:left w:val="single" w:sz="6" w:space="0" w:color="000000"/>
              <w:bottom w:val="single" w:sz="6" w:space="0" w:color="000000"/>
              <w:right w:val="single" w:sz="6" w:space="0" w:color="000000"/>
            </w:tcBorders>
            <w:vAlign w:val="center"/>
          </w:tcPr>
          <w:p w14:paraId="0A54C57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0.873</w:t>
            </w:r>
          </w:p>
        </w:tc>
        <w:tc>
          <w:tcPr>
            <w:tcW w:w="1417" w:type="dxa"/>
            <w:tcBorders>
              <w:top w:val="single" w:sz="6" w:space="0" w:color="000000"/>
              <w:left w:val="single" w:sz="6" w:space="0" w:color="000000"/>
              <w:bottom w:val="single" w:sz="6" w:space="0" w:color="000000"/>
              <w:right w:val="single" w:sz="6" w:space="0" w:color="000000"/>
            </w:tcBorders>
            <w:vAlign w:val="center"/>
          </w:tcPr>
          <w:p w14:paraId="7128D14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r w:rsidR="008C0001" w:rsidRPr="00407D80" w14:paraId="71EFE3EF"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5E37C51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lastRenderedPageBreak/>
              <w:t>المحور الأول</w:t>
            </w:r>
          </w:p>
        </w:tc>
        <w:tc>
          <w:tcPr>
            <w:tcW w:w="1417" w:type="dxa"/>
            <w:tcBorders>
              <w:top w:val="single" w:sz="6" w:space="0" w:color="000000"/>
              <w:left w:val="single" w:sz="6" w:space="0" w:color="000000"/>
              <w:bottom w:val="single" w:sz="6" w:space="0" w:color="000000"/>
              <w:right w:val="single" w:sz="6" w:space="0" w:color="000000"/>
            </w:tcBorders>
            <w:vAlign w:val="center"/>
          </w:tcPr>
          <w:p w14:paraId="1C91B4E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 (R)</w:t>
            </w:r>
          </w:p>
        </w:tc>
        <w:tc>
          <w:tcPr>
            <w:tcW w:w="1417" w:type="dxa"/>
            <w:tcBorders>
              <w:top w:val="single" w:sz="6" w:space="0" w:color="000000"/>
              <w:left w:val="single" w:sz="6" w:space="0" w:color="000000"/>
              <w:bottom w:val="single" w:sz="6" w:space="0" w:color="000000"/>
              <w:right w:val="single" w:sz="6" w:space="0" w:color="000000"/>
            </w:tcBorders>
            <w:vAlign w:val="center"/>
          </w:tcPr>
          <w:p w14:paraId="1CD6448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بعض المؤشرات قد تعطي انطباعاً غير دقيق عن نجاح الحملة.</w:t>
            </w:r>
          </w:p>
        </w:tc>
        <w:tc>
          <w:tcPr>
            <w:tcW w:w="1417" w:type="dxa"/>
            <w:tcBorders>
              <w:top w:val="single" w:sz="6" w:space="0" w:color="000000"/>
              <w:left w:val="single" w:sz="6" w:space="0" w:color="000000"/>
              <w:bottom w:val="single" w:sz="6" w:space="0" w:color="000000"/>
              <w:right w:val="single" w:sz="6" w:space="0" w:color="000000"/>
            </w:tcBorders>
            <w:vAlign w:val="center"/>
          </w:tcPr>
          <w:p w14:paraId="630EFE5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2.065</w:t>
            </w:r>
          </w:p>
        </w:tc>
        <w:tc>
          <w:tcPr>
            <w:tcW w:w="1417" w:type="dxa"/>
            <w:tcBorders>
              <w:top w:val="single" w:sz="6" w:space="0" w:color="000000"/>
              <w:left w:val="single" w:sz="6" w:space="0" w:color="000000"/>
              <w:bottom w:val="single" w:sz="6" w:space="0" w:color="000000"/>
              <w:right w:val="single" w:sz="6" w:space="0" w:color="000000"/>
            </w:tcBorders>
            <w:vAlign w:val="center"/>
          </w:tcPr>
          <w:p w14:paraId="5140955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1.063</w:t>
            </w:r>
          </w:p>
        </w:tc>
        <w:tc>
          <w:tcPr>
            <w:tcW w:w="1417" w:type="dxa"/>
            <w:tcBorders>
              <w:top w:val="single" w:sz="6" w:space="0" w:color="000000"/>
              <w:left w:val="single" w:sz="6" w:space="0" w:color="000000"/>
              <w:bottom w:val="single" w:sz="6" w:space="0" w:color="000000"/>
              <w:right w:val="single" w:sz="6" w:space="0" w:color="000000"/>
            </w:tcBorders>
            <w:vAlign w:val="center"/>
          </w:tcPr>
          <w:p w14:paraId="35AE11D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r w:rsidR="008C0001" w:rsidRPr="00407D80" w14:paraId="66D26DEE"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1B083ED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417" w:type="dxa"/>
            <w:tcBorders>
              <w:top w:val="single" w:sz="6" w:space="0" w:color="000000"/>
              <w:left w:val="single" w:sz="6" w:space="0" w:color="000000"/>
              <w:bottom w:val="single" w:sz="6" w:space="0" w:color="000000"/>
              <w:right w:val="single" w:sz="6" w:space="0" w:color="000000"/>
            </w:tcBorders>
            <w:vAlign w:val="center"/>
          </w:tcPr>
          <w:p w14:paraId="265E762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 (R)</w:t>
            </w:r>
          </w:p>
        </w:tc>
        <w:tc>
          <w:tcPr>
            <w:tcW w:w="1417" w:type="dxa"/>
            <w:tcBorders>
              <w:top w:val="single" w:sz="6" w:space="0" w:color="000000"/>
              <w:left w:val="single" w:sz="6" w:space="0" w:color="000000"/>
              <w:bottom w:val="single" w:sz="6" w:space="0" w:color="000000"/>
              <w:right w:val="single" w:sz="6" w:space="0" w:color="000000"/>
            </w:tcBorders>
            <w:vAlign w:val="center"/>
          </w:tcPr>
          <w:p w14:paraId="10E664D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تؤثر آلية الإسناد (</w:t>
            </w:r>
            <w:proofErr w:type="spellStart"/>
            <w:r w:rsidRPr="00407D80">
              <w:rPr>
                <w:rFonts w:asciiTheme="minorBidi" w:eastAsia="Sakkal Majalla" w:hAnsiTheme="minorBidi"/>
                <w:color w:val="000000"/>
                <w:sz w:val="24"/>
                <w:szCs w:val="24"/>
                <w:rtl/>
              </w:rPr>
              <w:t>Attribution</w:t>
            </w:r>
            <w:proofErr w:type="spellEnd"/>
            <w:r w:rsidRPr="00407D80">
              <w:rPr>
                <w:rFonts w:asciiTheme="minorBidi" w:eastAsia="Sakkal Majalla" w:hAnsiTheme="minorBidi"/>
                <w:color w:val="000000"/>
                <w:sz w:val="24"/>
                <w:szCs w:val="24"/>
                <w:rtl/>
              </w:rPr>
              <w:t xml:space="preserve"> </w:t>
            </w:r>
            <w:proofErr w:type="spellStart"/>
            <w:r w:rsidRPr="00407D80">
              <w:rPr>
                <w:rFonts w:asciiTheme="minorBidi" w:eastAsia="Sakkal Majalla" w:hAnsiTheme="minorBidi"/>
                <w:color w:val="000000"/>
                <w:sz w:val="24"/>
                <w:szCs w:val="24"/>
                <w:rtl/>
              </w:rPr>
              <w:t>Window</w:t>
            </w:r>
            <w:proofErr w:type="spellEnd"/>
            <w:r w:rsidRPr="00407D80">
              <w:rPr>
                <w:rFonts w:asciiTheme="minorBidi" w:eastAsia="Sakkal Majalla" w:hAnsiTheme="minorBidi"/>
                <w:color w:val="000000"/>
                <w:sz w:val="24"/>
                <w:szCs w:val="24"/>
                <w:rtl/>
              </w:rPr>
              <w:t>) في دقة الأرقام المعروضة.</w:t>
            </w:r>
          </w:p>
        </w:tc>
        <w:tc>
          <w:tcPr>
            <w:tcW w:w="1417" w:type="dxa"/>
            <w:tcBorders>
              <w:top w:val="single" w:sz="6" w:space="0" w:color="000000"/>
              <w:left w:val="single" w:sz="6" w:space="0" w:color="000000"/>
              <w:bottom w:val="single" w:sz="6" w:space="0" w:color="000000"/>
              <w:right w:val="single" w:sz="6" w:space="0" w:color="000000"/>
            </w:tcBorders>
            <w:vAlign w:val="center"/>
          </w:tcPr>
          <w:p w14:paraId="71B692C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2.226</w:t>
            </w:r>
          </w:p>
        </w:tc>
        <w:tc>
          <w:tcPr>
            <w:tcW w:w="1417" w:type="dxa"/>
            <w:tcBorders>
              <w:top w:val="single" w:sz="6" w:space="0" w:color="000000"/>
              <w:left w:val="single" w:sz="6" w:space="0" w:color="000000"/>
              <w:bottom w:val="single" w:sz="6" w:space="0" w:color="000000"/>
              <w:right w:val="single" w:sz="6" w:space="0" w:color="000000"/>
            </w:tcBorders>
            <w:vAlign w:val="center"/>
          </w:tcPr>
          <w:p w14:paraId="042A730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1.055</w:t>
            </w:r>
          </w:p>
        </w:tc>
        <w:tc>
          <w:tcPr>
            <w:tcW w:w="1417" w:type="dxa"/>
            <w:tcBorders>
              <w:top w:val="single" w:sz="6" w:space="0" w:color="000000"/>
              <w:left w:val="single" w:sz="6" w:space="0" w:color="000000"/>
              <w:bottom w:val="single" w:sz="6" w:space="0" w:color="000000"/>
              <w:right w:val="single" w:sz="6" w:space="0" w:color="000000"/>
            </w:tcBorders>
            <w:vAlign w:val="center"/>
          </w:tcPr>
          <w:p w14:paraId="6B8BA1F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r w:rsidR="008C0001" w:rsidRPr="00407D80" w14:paraId="0F408E19"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31D0299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417" w:type="dxa"/>
            <w:tcBorders>
              <w:top w:val="single" w:sz="6" w:space="0" w:color="000000"/>
              <w:left w:val="single" w:sz="6" w:space="0" w:color="000000"/>
              <w:bottom w:val="single" w:sz="6" w:space="0" w:color="000000"/>
              <w:right w:val="single" w:sz="6" w:space="0" w:color="000000"/>
            </w:tcBorders>
            <w:vAlign w:val="center"/>
          </w:tcPr>
          <w:p w14:paraId="19D84F7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1417" w:type="dxa"/>
            <w:tcBorders>
              <w:top w:val="single" w:sz="6" w:space="0" w:color="000000"/>
              <w:left w:val="single" w:sz="6" w:space="0" w:color="000000"/>
              <w:bottom w:val="single" w:sz="6" w:space="0" w:color="000000"/>
              <w:right w:val="single" w:sz="6" w:space="0" w:color="000000"/>
            </w:tcBorders>
            <w:vAlign w:val="center"/>
          </w:tcPr>
          <w:p w14:paraId="1A6C3D6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أثق في الأرقام التي تعرضها المنصات الإعلانية عند اتخاذ القرار التسويقي.</w:t>
            </w:r>
          </w:p>
        </w:tc>
        <w:tc>
          <w:tcPr>
            <w:tcW w:w="1417" w:type="dxa"/>
            <w:tcBorders>
              <w:top w:val="single" w:sz="6" w:space="0" w:color="000000"/>
              <w:left w:val="single" w:sz="6" w:space="0" w:color="000000"/>
              <w:bottom w:val="single" w:sz="6" w:space="0" w:color="000000"/>
              <w:right w:val="single" w:sz="6" w:space="0" w:color="000000"/>
            </w:tcBorders>
            <w:vAlign w:val="center"/>
          </w:tcPr>
          <w:p w14:paraId="457C575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3.355</w:t>
            </w:r>
          </w:p>
        </w:tc>
        <w:tc>
          <w:tcPr>
            <w:tcW w:w="1417" w:type="dxa"/>
            <w:tcBorders>
              <w:top w:val="single" w:sz="6" w:space="0" w:color="000000"/>
              <w:left w:val="single" w:sz="6" w:space="0" w:color="000000"/>
              <w:bottom w:val="single" w:sz="6" w:space="0" w:color="000000"/>
              <w:right w:val="single" w:sz="6" w:space="0" w:color="000000"/>
            </w:tcBorders>
            <w:vAlign w:val="center"/>
          </w:tcPr>
          <w:p w14:paraId="4E302E1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0.798</w:t>
            </w:r>
          </w:p>
        </w:tc>
        <w:tc>
          <w:tcPr>
            <w:tcW w:w="1417" w:type="dxa"/>
            <w:tcBorders>
              <w:top w:val="single" w:sz="6" w:space="0" w:color="000000"/>
              <w:left w:val="single" w:sz="6" w:space="0" w:color="000000"/>
              <w:bottom w:val="single" w:sz="6" w:space="0" w:color="000000"/>
              <w:right w:val="single" w:sz="6" w:space="0" w:color="000000"/>
            </w:tcBorders>
            <w:vAlign w:val="center"/>
          </w:tcPr>
          <w:p w14:paraId="29647DF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متوسطة</w:t>
            </w:r>
          </w:p>
        </w:tc>
      </w:tr>
      <w:tr w:rsidR="008C0001" w:rsidRPr="00407D80" w14:paraId="7E3006FF"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3A981F1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417" w:type="dxa"/>
            <w:tcBorders>
              <w:top w:val="single" w:sz="6" w:space="0" w:color="000000"/>
              <w:left w:val="single" w:sz="6" w:space="0" w:color="000000"/>
              <w:bottom w:val="single" w:sz="6" w:space="0" w:color="000000"/>
              <w:right w:val="single" w:sz="6" w:space="0" w:color="000000"/>
            </w:tcBorders>
            <w:vAlign w:val="center"/>
          </w:tcPr>
          <w:p w14:paraId="78EE60B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6C00593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أعتمد على بيانات المنصة بشكل مباشر عند تقييم أداء الحملة.</w:t>
            </w:r>
          </w:p>
        </w:tc>
        <w:tc>
          <w:tcPr>
            <w:tcW w:w="1417" w:type="dxa"/>
            <w:tcBorders>
              <w:top w:val="single" w:sz="6" w:space="0" w:color="000000"/>
              <w:left w:val="single" w:sz="6" w:space="0" w:color="000000"/>
              <w:bottom w:val="single" w:sz="6" w:space="0" w:color="000000"/>
              <w:right w:val="single" w:sz="6" w:space="0" w:color="000000"/>
            </w:tcBorders>
            <w:vAlign w:val="center"/>
          </w:tcPr>
          <w:p w14:paraId="646C6B9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3.452</w:t>
            </w:r>
          </w:p>
        </w:tc>
        <w:tc>
          <w:tcPr>
            <w:tcW w:w="1417" w:type="dxa"/>
            <w:tcBorders>
              <w:top w:val="single" w:sz="6" w:space="0" w:color="000000"/>
              <w:left w:val="single" w:sz="6" w:space="0" w:color="000000"/>
              <w:bottom w:val="single" w:sz="6" w:space="0" w:color="000000"/>
              <w:right w:val="single" w:sz="6" w:space="0" w:color="000000"/>
            </w:tcBorders>
            <w:vAlign w:val="center"/>
          </w:tcPr>
          <w:p w14:paraId="2E67CE5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0.925</w:t>
            </w:r>
          </w:p>
        </w:tc>
        <w:tc>
          <w:tcPr>
            <w:tcW w:w="1417" w:type="dxa"/>
            <w:tcBorders>
              <w:top w:val="single" w:sz="6" w:space="0" w:color="000000"/>
              <w:left w:val="single" w:sz="6" w:space="0" w:color="000000"/>
              <w:bottom w:val="single" w:sz="6" w:space="0" w:color="000000"/>
              <w:right w:val="single" w:sz="6" w:space="0" w:color="000000"/>
            </w:tcBorders>
            <w:vAlign w:val="center"/>
          </w:tcPr>
          <w:p w14:paraId="5F6343E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مرتفعة</w:t>
            </w:r>
          </w:p>
        </w:tc>
      </w:tr>
      <w:tr w:rsidR="008C0001" w:rsidRPr="00407D80" w14:paraId="05802C55"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138952E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417" w:type="dxa"/>
            <w:tcBorders>
              <w:top w:val="single" w:sz="6" w:space="0" w:color="000000"/>
              <w:left w:val="single" w:sz="6" w:space="0" w:color="000000"/>
              <w:bottom w:val="single" w:sz="6" w:space="0" w:color="000000"/>
              <w:right w:val="single" w:sz="6" w:space="0" w:color="000000"/>
            </w:tcBorders>
            <w:vAlign w:val="center"/>
          </w:tcPr>
          <w:p w14:paraId="163F5CB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 (R)</w:t>
            </w:r>
          </w:p>
        </w:tc>
        <w:tc>
          <w:tcPr>
            <w:tcW w:w="1417" w:type="dxa"/>
            <w:tcBorders>
              <w:top w:val="single" w:sz="6" w:space="0" w:color="000000"/>
              <w:left w:val="single" w:sz="6" w:space="0" w:color="000000"/>
              <w:bottom w:val="single" w:sz="6" w:space="0" w:color="000000"/>
              <w:right w:val="single" w:sz="6" w:space="0" w:color="000000"/>
            </w:tcBorders>
            <w:vAlign w:val="center"/>
          </w:tcPr>
          <w:p w14:paraId="17D398D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أحتاج إلى التحقق من الأرقام باستخدام أدوات أخرى قبل اتخاذ القرار.</w:t>
            </w:r>
          </w:p>
        </w:tc>
        <w:tc>
          <w:tcPr>
            <w:tcW w:w="1417" w:type="dxa"/>
            <w:tcBorders>
              <w:top w:val="single" w:sz="6" w:space="0" w:color="000000"/>
              <w:left w:val="single" w:sz="6" w:space="0" w:color="000000"/>
              <w:bottom w:val="single" w:sz="6" w:space="0" w:color="000000"/>
              <w:right w:val="single" w:sz="6" w:space="0" w:color="000000"/>
            </w:tcBorders>
            <w:vAlign w:val="center"/>
          </w:tcPr>
          <w:p w14:paraId="2B9A4B5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1.806</w:t>
            </w:r>
          </w:p>
        </w:tc>
        <w:tc>
          <w:tcPr>
            <w:tcW w:w="1417" w:type="dxa"/>
            <w:tcBorders>
              <w:top w:val="single" w:sz="6" w:space="0" w:color="000000"/>
              <w:left w:val="single" w:sz="6" w:space="0" w:color="000000"/>
              <w:bottom w:val="single" w:sz="6" w:space="0" w:color="000000"/>
              <w:right w:val="single" w:sz="6" w:space="0" w:color="000000"/>
            </w:tcBorders>
            <w:vAlign w:val="center"/>
          </w:tcPr>
          <w:p w14:paraId="5949120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0.749</w:t>
            </w:r>
          </w:p>
        </w:tc>
        <w:tc>
          <w:tcPr>
            <w:tcW w:w="1417" w:type="dxa"/>
            <w:tcBorders>
              <w:top w:val="single" w:sz="6" w:space="0" w:color="000000"/>
              <w:left w:val="single" w:sz="6" w:space="0" w:color="000000"/>
              <w:bottom w:val="single" w:sz="6" w:space="0" w:color="000000"/>
              <w:right w:val="single" w:sz="6" w:space="0" w:color="000000"/>
            </w:tcBorders>
            <w:vAlign w:val="center"/>
          </w:tcPr>
          <w:p w14:paraId="6345BD6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r w:rsidR="008C0001" w:rsidRPr="00407D80" w14:paraId="3BF23A6E"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21315B6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417" w:type="dxa"/>
            <w:tcBorders>
              <w:top w:val="single" w:sz="6" w:space="0" w:color="000000"/>
              <w:left w:val="single" w:sz="6" w:space="0" w:color="000000"/>
              <w:bottom w:val="single" w:sz="6" w:space="0" w:color="000000"/>
              <w:right w:val="single" w:sz="6" w:space="0" w:color="000000"/>
            </w:tcBorders>
            <w:vAlign w:val="center"/>
          </w:tcPr>
          <w:p w14:paraId="7D8D0DF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 (R)</w:t>
            </w:r>
          </w:p>
        </w:tc>
        <w:tc>
          <w:tcPr>
            <w:tcW w:w="1417" w:type="dxa"/>
            <w:tcBorders>
              <w:top w:val="single" w:sz="6" w:space="0" w:color="000000"/>
              <w:left w:val="single" w:sz="6" w:space="0" w:color="000000"/>
              <w:bottom w:val="single" w:sz="6" w:space="0" w:color="000000"/>
              <w:right w:val="single" w:sz="6" w:space="0" w:color="000000"/>
            </w:tcBorders>
            <w:vAlign w:val="center"/>
          </w:tcPr>
          <w:p w14:paraId="275D540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تقل ثقتي في بيانات المنصة عند وجود اختلاف مع النتائج الفعلية.</w:t>
            </w:r>
          </w:p>
        </w:tc>
        <w:tc>
          <w:tcPr>
            <w:tcW w:w="1417" w:type="dxa"/>
            <w:tcBorders>
              <w:top w:val="single" w:sz="6" w:space="0" w:color="000000"/>
              <w:left w:val="single" w:sz="6" w:space="0" w:color="000000"/>
              <w:bottom w:val="single" w:sz="6" w:space="0" w:color="000000"/>
              <w:right w:val="single" w:sz="6" w:space="0" w:color="000000"/>
            </w:tcBorders>
            <w:vAlign w:val="center"/>
          </w:tcPr>
          <w:p w14:paraId="426DA3A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2.194</w:t>
            </w:r>
          </w:p>
        </w:tc>
        <w:tc>
          <w:tcPr>
            <w:tcW w:w="1417" w:type="dxa"/>
            <w:tcBorders>
              <w:top w:val="single" w:sz="6" w:space="0" w:color="000000"/>
              <w:left w:val="single" w:sz="6" w:space="0" w:color="000000"/>
              <w:bottom w:val="single" w:sz="6" w:space="0" w:color="000000"/>
              <w:right w:val="single" w:sz="6" w:space="0" w:color="000000"/>
            </w:tcBorders>
            <w:vAlign w:val="center"/>
          </w:tcPr>
          <w:p w14:paraId="032B207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0.980</w:t>
            </w:r>
          </w:p>
        </w:tc>
        <w:tc>
          <w:tcPr>
            <w:tcW w:w="1417" w:type="dxa"/>
            <w:tcBorders>
              <w:top w:val="single" w:sz="6" w:space="0" w:color="000000"/>
              <w:left w:val="single" w:sz="6" w:space="0" w:color="000000"/>
              <w:bottom w:val="single" w:sz="6" w:space="0" w:color="000000"/>
              <w:right w:val="single" w:sz="6" w:space="0" w:color="000000"/>
            </w:tcBorders>
            <w:vAlign w:val="center"/>
          </w:tcPr>
          <w:p w14:paraId="2889724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r w:rsidR="008C0001" w:rsidRPr="00407D80" w14:paraId="35184CE8"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56B86B9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417" w:type="dxa"/>
            <w:tcBorders>
              <w:top w:val="single" w:sz="6" w:space="0" w:color="000000"/>
              <w:left w:val="single" w:sz="6" w:space="0" w:color="000000"/>
              <w:bottom w:val="single" w:sz="6" w:space="0" w:color="000000"/>
              <w:right w:val="single" w:sz="6" w:space="0" w:color="000000"/>
            </w:tcBorders>
            <w:vAlign w:val="center"/>
          </w:tcPr>
          <w:p w14:paraId="7C058E8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 (R)</w:t>
            </w:r>
          </w:p>
        </w:tc>
        <w:tc>
          <w:tcPr>
            <w:tcW w:w="1417" w:type="dxa"/>
            <w:tcBorders>
              <w:top w:val="single" w:sz="6" w:space="0" w:color="000000"/>
              <w:left w:val="single" w:sz="6" w:space="0" w:color="000000"/>
              <w:bottom w:val="single" w:sz="6" w:space="0" w:color="000000"/>
              <w:right w:val="single" w:sz="6" w:space="0" w:color="000000"/>
            </w:tcBorders>
            <w:vAlign w:val="center"/>
          </w:tcPr>
          <w:p w14:paraId="7C3A7E4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أرى أن جزء من الأرقام المعروضة في المنصة قد تكون مبالغاً فيها.</w:t>
            </w:r>
          </w:p>
        </w:tc>
        <w:tc>
          <w:tcPr>
            <w:tcW w:w="1417" w:type="dxa"/>
            <w:tcBorders>
              <w:top w:val="single" w:sz="6" w:space="0" w:color="000000"/>
              <w:left w:val="single" w:sz="6" w:space="0" w:color="000000"/>
              <w:bottom w:val="single" w:sz="6" w:space="0" w:color="000000"/>
              <w:right w:val="single" w:sz="6" w:space="0" w:color="000000"/>
            </w:tcBorders>
            <w:vAlign w:val="center"/>
          </w:tcPr>
          <w:p w14:paraId="6B0A64F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2.129</w:t>
            </w:r>
          </w:p>
        </w:tc>
        <w:tc>
          <w:tcPr>
            <w:tcW w:w="1417" w:type="dxa"/>
            <w:tcBorders>
              <w:top w:val="single" w:sz="6" w:space="0" w:color="000000"/>
              <w:left w:val="single" w:sz="6" w:space="0" w:color="000000"/>
              <w:bottom w:val="single" w:sz="6" w:space="0" w:color="000000"/>
              <w:right w:val="single" w:sz="6" w:space="0" w:color="000000"/>
            </w:tcBorders>
            <w:vAlign w:val="center"/>
          </w:tcPr>
          <w:p w14:paraId="08CF6FF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0.991</w:t>
            </w:r>
          </w:p>
        </w:tc>
        <w:tc>
          <w:tcPr>
            <w:tcW w:w="1417" w:type="dxa"/>
            <w:tcBorders>
              <w:top w:val="single" w:sz="6" w:space="0" w:color="000000"/>
              <w:left w:val="single" w:sz="6" w:space="0" w:color="000000"/>
              <w:bottom w:val="single" w:sz="6" w:space="0" w:color="000000"/>
              <w:right w:val="single" w:sz="6" w:space="0" w:color="000000"/>
            </w:tcBorders>
            <w:vAlign w:val="center"/>
          </w:tcPr>
          <w:p w14:paraId="1906CDF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r w:rsidR="008C0001" w:rsidRPr="00407D80" w14:paraId="65892D03"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004B216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417" w:type="dxa"/>
            <w:tcBorders>
              <w:top w:val="single" w:sz="6" w:space="0" w:color="000000"/>
              <w:left w:val="single" w:sz="6" w:space="0" w:color="000000"/>
              <w:bottom w:val="single" w:sz="6" w:space="0" w:color="000000"/>
              <w:right w:val="single" w:sz="6" w:space="0" w:color="000000"/>
            </w:tcBorders>
            <w:vAlign w:val="center"/>
          </w:tcPr>
          <w:p w14:paraId="5D4CF39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1417" w:type="dxa"/>
            <w:tcBorders>
              <w:top w:val="single" w:sz="6" w:space="0" w:color="000000"/>
              <w:left w:val="single" w:sz="6" w:space="0" w:color="000000"/>
              <w:bottom w:val="single" w:sz="6" w:space="0" w:color="000000"/>
              <w:right w:val="single" w:sz="6" w:space="0" w:color="000000"/>
            </w:tcBorders>
            <w:vAlign w:val="center"/>
          </w:tcPr>
          <w:p w14:paraId="6C2A924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 xml:space="preserve">تساعدني بيانات المنصة في اتخاذ قرارات تتعلق </w:t>
            </w:r>
            <w:r w:rsidRPr="00407D80">
              <w:rPr>
                <w:rFonts w:asciiTheme="minorBidi" w:eastAsia="Sakkal Majalla" w:hAnsiTheme="minorBidi"/>
                <w:color w:val="000000"/>
                <w:sz w:val="24"/>
                <w:szCs w:val="24"/>
                <w:rtl/>
              </w:rPr>
              <w:lastRenderedPageBreak/>
              <w:t>بالميزانية الإعلانية.</w:t>
            </w:r>
          </w:p>
        </w:tc>
        <w:tc>
          <w:tcPr>
            <w:tcW w:w="1417" w:type="dxa"/>
            <w:tcBorders>
              <w:top w:val="single" w:sz="6" w:space="0" w:color="000000"/>
              <w:left w:val="single" w:sz="6" w:space="0" w:color="000000"/>
              <w:bottom w:val="single" w:sz="6" w:space="0" w:color="000000"/>
              <w:right w:val="single" w:sz="6" w:space="0" w:color="000000"/>
            </w:tcBorders>
            <w:vAlign w:val="center"/>
          </w:tcPr>
          <w:p w14:paraId="383B41A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lastRenderedPageBreak/>
              <w:t>3.871</w:t>
            </w:r>
          </w:p>
        </w:tc>
        <w:tc>
          <w:tcPr>
            <w:tcW w:w="1417" w:type="dxa"/>
            <w:tcBorders>
              <w:top w:val="single" w:sz="6" w:space="0" w:color="000000"/>
              <w:left w:val="single" w:sz="6" w:space="0" w:color="000000"/>
              <w:bottom w:val="single" w:sz="6" w:space="0" w:color="000000"/>
              <w:right w:val="single" w:sz="6" w:space="0" w:color="000000"/>
            </w:tcBorders>
            <w:vAlign w:val="center"/>
          </w:tcPr>
          <w:p w14:paraId="5453828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0.846</w:t>
            </w:r>
          </w:p>
        </w:tc>
        <w:tc>
          <w:tcPr>
            <w:tcW w:w="1417" w:type="dxa"/>
            <w:tcBorders>
              <w:top w:val="single" w:sz="6" w:space="0" w:color="000000"/>
              <w:left w:val="single" w:sz="6" w:space="0" w:color="000000"/>
              <w:bottom w:val="single" w:sz="6" w:space="0" w:color="000000"/>
              <w:right w:val="single" w:sz="6" w:space="0" w:color="000000"/>
            </w:tcBorders>
            <w:vAlign w:val="center"/>
          </w:tcPr>
          <w:p w14:paraId="22C4735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مرتفعة</w:t>
            </w:r>
          </w:p>
        </w:tc>
      </w:tr>
      <w:tr w:rsidR="008C0001" w:rsidRPr="00407D80" w14:paraId="56EC35E3"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5A90C19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417" w:type="dxa"/>
            <w:tcBorders>
              <w:top w:val="single" w:sz="6" w:space="0" w:color="000000"/>
              <w:left w:val="single" w:sz="6" w:space="0" w:color="000000"/>
              <w:bottom w:val="single" w:sz="6" w:space="0" w:color="000000"/>
              <w:right w:val="single" w:sz="6" w:space="0" w:color="000000"/>
            </w:tcBorders>
            <w:vAlign w:val="center"/>
          </w:tcPr>
          <w:p w14:paraId="7E5F1D6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21F82C6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أستخدم مؤشرات الأداء عند تعديل الجمهور المستهدف.</w:t>
            </w:r>
          </w:p>
        </w:tc>
        <w:tc>
          <w:tcPr>
            <w:tcW w:w="1417" w:type="dxa"/>
            <w:tcBorders>
              <w:top w:val="single" w:sz="6" w:space="0" w:color="000000"/>
              <w:left w:val="single" w:sz="6" w:space="0" w:color="000000"/>
              <w:bottom w:val="single" w:sz="6" w:space="0" w:color="000000"/>
              <w:right w:val="single" w:sz="6" w:space="0" w:color="000000"/>
            </w:tcBorders>
            <w:vAlign w:val="center"/>
          </w:tcPr>
          <w:p w14:paraId="48CC043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4.161</w:t>
            </w:r>
          </w:p>
        </w:tc>
        <w:tc>
          <w:tcPr>
            <w:tcW w:w="1417" w:type="dxa"/>
            <w:tcBorders>
              <w:top w:val="single" w:sz="6" w:space="0" w:color="000000"/>
              <w:left w:val="single" w:sz="6" w:space="0" w:color="000000"/>
              <w:bottom w:val="single" w:sz="6" w:space="0" w:color="000000"/>
              <w:right w:val="single" w:sz="6" w:space="0" w:color="000000"/>
            </w:tcBorders>
            <w:vAlign w:val="center"/>
          </w:tcPr>
          <w:p w14:paraId="55CAB6E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0.969</w:t>
            </w:r>
          </w:p>
        </w:tc>
        <w:tc>
          <w:tcPr>
            <w:tcW w:w="1417" w:type="dxa"/>
            <w:tcBorders>
              <w:top w:val="single" w:sz="6" w:space="0" w:color="000000"/>
              <w:left w:val="single" w:sz="6" w:space="0" w:color="000000"/>
              <w:bottom w:val="single" w:sz="6" w:space="0" w:color="000000"/>
              <w:right w:val="single" w:sz="6" w:space="0" w:color="000000"/>
            </w:tcBorders>
            <w:vAlign w:val="center"/>
          </w:tcPr>
          <w:p w14:paraId="5CD79E9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مرتفعة</w:t>
            </w:r>
          </w:p>
        </w:tc>
      </w:tr>
      <w:tr w:rsidR="008C0001" w:rsidRPr="00407D80" w14:paraId="02F8CBBA"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3EDC2B4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417" w:type="dxa"/>
            <w:tcBorders>
              <w:top w:val="single" w:sz="6" w:space="0" w:color="000000"/>
              <w:left w:val="single" w:sz="6" w:space="0" w:color="000000"/>
              <w:bottom w:val="single" w:sz="6" w:space="0" w:color="000000"/>
              <w:right w:val="single" w:sz="6" w:space="0" w:color="000000"/>
            </w:tcBorders>
            <w:vAlign w:val="center"/>
          </w:tcPr>
          <w:p w14:paraId="1F75B05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w:t>
            </w:r>
          </w:p>
        </w:tc>
        <w:tc>
          <w:tcPr>
            <w:tcW w:w="1417" w:type="dxa"/>
            <w:tcBorders>
              <w:top w:val="single" w:sz="6" w:space="0" w:color="000000"/>
              <w:left w:val="single" w:sz="6" w:space="0" w:color="000000"/>
              <w:bottom w:val="single" w:sz="6" w:space="0" w:color="000000"/>
              <w:right w:val="single" w:sz="6" w:space="0" w:color="000000"/>
            </w:tcBorders>
            <w:vAlign w:val="center"/>
          </w:tcPr>
          <w:p w14:paraId="00F9E5A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أستفيد من نتائج المنصة في تحسين المحتوى الإعلاني.</w:t>
            </w:r>
          </w:p>
        </w:tc>
        <w:tc>
          <w:tcPr>
            <w:tcW w:w="1417" w:type="dxa"/>
            <w:tcBorders>
              <w:top w:val="single" w:sz="6" w:space="0" w:color="000000"/>
              <w:left w:val="single" w:sz="6" w:space="0" w:color="000000"/>
              <w:bottom w:val="single" w:sz="6" w:space="0" w:color="000000"/>
              <w:right w:val="single" w:sz="6" w:space="0" w:color="000000"/>
            </w:tcBorders>
            <w:vAlign w:val="center"/>
          </w:tcPr>
          <w:p w14:paraId="0DEAE89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4.226</w:t>
            </w:r>
          </w:p>
        </w:tc>
        <w:tc>
          <w:tcPr>
            <w:tcW w:w="1417" w:type="dxa"/>
            <w:tcBorders>
              <w:top w:val="single" w:sz="6" w:space="0" w:color="000000"/>
              <w:left w:val="single" w:sz="6" w:space="0" w:color="000000"/>
              <w:bottom w:val="single" w:sz="6" w:space="0" w:color="000000"/>
              <w:right w:val="single" w:sz="6" w:space="0" w:color="000000"/>
            </w:tcBorders>
            <w:vAlign w:val="center"/>
          </w:tcPr>
          <w:p w14:paraId="07E8DA6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0.617</w:t>
            </w:r>
          </w:p>
        </w:tc>
        <w:tc>
          <w:tcPr>
            <w:tcW w:w="1417" w:type="dxa"/>
            <w:tcBorders>
              <w:top w:val="single" w:sz="6" w:space="0" w:color="000000"/>
              <w:left w:val="single" w:sz="6" w:space="0" w:color="000000"/>
              <w:bottom w:val="single" w:sz="6" w:space="0" w:color="000000"/>
              <w:right w:val="single" w:sz="6" w:space="0" w:color="000000"/>
            </w:tcBorders>
            <w:vAlign w:val="center"/>
          </w:tcPr>
          <w:p w14:paraId="0B1014C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مرتفعة جداً</w:t>
            </w:r>
          </w:p>
        </w:tc>
      </w:tr>
      <w:tr w:rsidR="008C0001" w:rsidRPr="00407D80" w14:paraId="75EA8C5E"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1DAC62B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417" w:type="dxa"/>
            <w:tcBorders>
              <w:top w:val="single" w:sz="6" w:space="0" w:color="000000"/>
              <w:left w:val="single" w:sz="6" w:space="0" w:color="000000"/>
              <w:bottom w:val="single" w:sz="6" w:space="0" w:color="000000"/>
              <w:right w:val="single" w:sz="6" w:space="0" w:color="000000"/>
            </w:tcBorders>
            <w:vAlign w:val="center"/>
          </w:tcPr>
          <w:p w14:paraId="7953FB4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w:t>
            </w:r>
          </w:p>
        </w:tc>
        <w:tc>
          <w:tcPr>
            <w:tcW w:w="1417" w:type="dxa"/>
            <w:tcBorders>
              <w:top w:val="single" w:sz="6" w:space="0" w:color="000000"/>
              <w:left w:val="single" w:sz="6" w:space="0" w:color="000000"/>
              <w:bottom w:val="single" w:sz="6" w:space="0" w:color="000000"/>
              <w:right w:val="single" w:sz="6" w:space="0" w:color="000000"/>
            </w:tcBorders>
            <w:vAlign w:val="center"/>
          </w:tcPr>
          <w:p w14:paraId="25DAF3F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تؤثر دقة الأرقام بشكل مباشر في جودة القرار التسويقي.</w:t>
            </w:r>
          </w:p>
        </w:tc>
        <w:tc>
          <w:tcPr>
            <w:tcW w:w="1417" w:type="dxa"/>
            <w:tcBorders>
              <w:top w:val="single" w:sz="6" w:space="0" w:color="000000"/>
              <w:left w:val="single" w:sz="6" w:space="0" w:color="000000"/>
              <w:bottom w:val="single" w:sz="6" w:space="0" w:color="000000"/>
              <w:right w:val="single" w:sz="6" w:space="0" w:color="000000"/>
            </w:tcBorders>
            <w:vAlign w:val="center"/>
          </w:tcPr>
          <w:p w14:paraId="5BCE635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4.129</w:t>
            </w:r>
          </w:p>
        </w:tc>
        <w:tc>
          <w:tcPr>
            <w:tcW w:w="1417" w:type="dxa"/>
            <w:tcBorders>
              <w:top w:val="single" w:sz="6" w:space="0" w:color="000000"/>
              <w:left w:val="single" w:sz="6" w:space="0" w:color="000000"/>
              <w:bottom w:val="single" w:sz="6" w:space="0" w:color="000000"/>
              <w:right w:val="single" w:sz="6" w:space="0" w:color="000000"/>
            </w:tcBorders>
            <w:vAlign w:val="center"/>
          </w:tcPr>
          <w:p w14:paraId="17C69A5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0.718</w:t>
            </w:r>
          </w:p>
        </w:tc>
        <w:tc>
          <w:tcPr>
            <w:tcW w:w="1417" w:type="dxa"/>
            <w:tcBorders>
              <w:top w:val="single" w:sz="6" w:space="0" w:color="000000"/>
              <w:left w:val="single" w:sz="6" w:space="0" w:color="000000"/>
              <w:bottom w:val="single" w:sz="6" w:space="0" w:color="000000"/>
              <w:right w:val="single" w:sz="6" w:space="0" w:color="000000"/>
            </w:tcBorders>
            <w:vAlign w:val="center"/>
          </w:tcPr>
          <w:p w14:paraId="391BADE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مرتفعة</w:t>
            </w:r>
          </w:p>
        </w:tc>
      </w:tr>
      <w:tr w:rsidR="008C0001" w:rsidRPr="00407D80" w14:paraId="60127EC5"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4217E71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417" w:type="dxa"/>
            <w:tcBorders>
              <w:top w:val="single" w:sz="6" w:space="0" w:color="000000"/>
              <w:left w:val="single" w:sz="6" w:space="0" w:color="000000"/>
              <w:bottom w:val="single" w:sz="6" w:space="0" w:color="000000"/>
              <w:right w:val="single" w:sz="6" w:space="0" w:color="000000"/>
            </w:tcBorders>
            <w:vAlign w:val="center"/>
          </w:tcPr>
          <w:p w14:paraId="2A0A0BD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1417" w:type="dxa"/>
            <w:tcBorders>
              <w:top w:val="single" w:sz="6" w:space="0" w:color="000000"/>
              <w:left w:val="single" w:sz="6" w:space="0" w:color="000000"/>
              <w:bottom w:val="single" w:sz="6" w:space="0" w:color="000000"/>
              <w:right w:val="single" w:sz="6" w:space="0" w:color="000000"/>
            </w:tcBorders>
            <w:vAlign w:val="center"/>
          </w:tcPr>
          <w:p w14:paraId="5E751BC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كلما كانت الأرقام أكثر دقة، كان القرار التسويقي أفضل.</w:t>
            </w:r>
          </w:p>
        </w:tc>
        <w:tc>
          <w:tcPr>
            <w:tcW w:w="1417" w:type="dxa"/>
            <w:tcBorders>
              <w:top w:val="single" w:sz="6" w:space="0" w:color="000000"/>
              <w:left w:val="single" w:sz="6" w:space="0" w:color="000000"/>
              <w:bottom w:val="single" w:sz="6" w:space="0" w:color="000000"/>
              <w:right w:val="single" w:sz="6" w:space="0" w:color="000000"/>
            </w:tcBorders>
            <w:vAlign w:val="center"/>
          </w:tcPr>
          <w:p w14:paraId="4DB8B2D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4.323</w:t>
            </w:r>
          </w:p>
        </w:tc>
        <w:tc>
          <w:tcPr>
            <w:tcW w:w="1417" w:type="dxa"/>
            <w:tcBorders>
              <w:top w:val="single" w:sz="6" w:space="0" w:color="000000"/>
              <w:left w:val="single" w:sz="6" w:space="0" w:color="000000"/>
              <w:bottom w:val="single" w:sz="6" w:space="0" w:color="000000"/>
              <w:right w:val="single" w:sz="6" w:space="0" w:color="000000"/>
            </w:tcBorders>
            <w:vAlign w:val="center"/>
          </w:tcPr>
          <w:p w14:paraId="41B17F0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0.748</w:t>
            </w:r>
          </w:p>
        </w:tc>
        <w:tc>
          <w:tcPr>
            <w:tcW w:w="1417" w:type="dxa"/>
            <w:tcBorders>
              <w:top w:val="single" w:sz="6" w:space="0" w:color="000000"/>
              <w:left w:val="single" w:sz="6" w:space="0" w:color="000000"/>
              <w:bottom w:val="single" w:sz="6" w:space="0" w:color="000000"/>
              <w:right w:val="single" w:sz="6" w:space="0" w:color="000000"/>
            </w:tcBorders>
            <w:vAlign w:val="center"/>
          </w:tcPr>
          <w:p w14:paraId="51630DB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مرتفعة جداً</w:t>
            </w:r>
          </w:p>
        </w:tc>
      </w:tr>
      <w:tr w:rsidR="008C0001" w:rsidRPr="00407D80" w14:paraId="535C6B7B"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4096427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417" w:type="dxa"/>
            <w:tcBorders>
              <w:top w:val="single" w:sz="6" w:space="0" w:color="000000"/>
              <w:left w:val="single" w:sz="6" w:space="0" w:color="000000"/>
              <w:bottom w:val="single" w:sz="6" w:space="0" w:color="000000"/>
              <w:right w:val="single" w:sz="6" w:space="0" w:color="000000"/>
            </w:tcBorders>
            <w:vAlign w:val="center"/>
          </w:tcPr>
          <w:p w14:paraId="5F81264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w:t>
            </w:r>
          </w:p>
        </w:tc>
        <w:tc>
          <w:tcPr>
            <w:tcW w:w="1417" w:type="dxa"/>
            <w:tcBorders>
              <w:top w:val="single" w:sz="6" w:space="0" w:color="000000"/>
              <w:left w:val="single" w:sz="6" w:space="0" w:color="000000"/>
              <w:bottom w:val="single" w:sz="6" w:space="0" w:color="000000"/>
              <w:right w:val="single" w:sz="6" w:space="0" w:color="000000"/>
            </w:tcBorders>
            <w:vAlign w:val="center"/>
          </w:tcPr>
          <w:p w14:paraId="78A6311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تساعد مؤشرات الأداء في تقليل القرارات المبنية على الحدس الشخصي.</w:t>
            </w:r>
          </w:p>
        </w:tc>
        <w:tc>
          <w:tcPr>
            <w:tcW w:w="1417" w:type="dxa"/>
            <w:tcBorders>
              <w:top w:val="single" w:sz="6" w:space="0" w:color="000000"/>
              <w:left w:val="single" w:sz="6" w:space="0" w:color="000000"/>
              <w:bottom w:val="single" w:sz="6" w:space="0" w:color="000000"/>
              <w:right w:val="single" w:sz="6" w:space="0" w:color="000000"/>
            </w:tcBorders>
            <w:vAlign w:val="center"/>
          </w:tcPr>
          <w:p w14:paraId="1AB6C54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4.194</w:t>
            </w:r>
          </w:p>
        </w:tc>
        <w:tc>
          <w:tcPr>
            <w:tcW w:w="1417" w:type="dxa"/>
            <w:tcBorders>
              <w:top w:val="single" w:sz="6" w:space="0" w:color="000000"/>
              <w:left w:val="single" w:sz="6" w:space="0" w:color="000000"/>
              <w:bottom w:val="single" w:sz="6" w:space="0" w:color="000000"/>
              <w:right w:val="single" w:sz="6" w:space="0" w:color="000000"/>
            </w:tcBorders>
            <w:vAlign w:val="center"/>
          </w:tcPr>
          <w:p w14:paraId="70BC1BC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0.946</w:t>
            </w:r>
          </w:p>
        </w:tc>
        <w:tc>
          <w:tcPr>
            <w:tcW w:w="1417" w:type="dxa"/>
            <w:tcBorders>
              <w:top w:val="single" w:sz="6" w:space="0" w:color="000000"/>
              <w:left w:val="single" w:sz="6" w:space="0" w:color="000000"/>
              <w:bottom w:val="single" w:sz="6" w:space="0" w:color="000000"/>
              <w:right w:val="single" w:sz="6" w:space="0" w:color="000000"/>
            </w:tcBorders>
            <w:vAlign w:val="center"/>
          </w:tcPr>
          <w:p w14:paraId="7B825DF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مرتفعة</w:t>
            </w:r>
          </w:p>
        </w:tc>
      </w:tr>
      <w:tr w:rsidR="008C0001" w:rsidRPr="00407D80" w14:paraId="2BDBCF74"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1B942CE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c>
          <w:tcPr>
            <w:tcW w:w="1417" w:type="dxa"/>
            <w:tcBorders>
              <w:top w:val="single" w:sz="6" w:space="0" w:color="000000"/>
              <w:left w:val="single" w:sz="6" w:space="0" w:color="000000"/>
              <w:bottom w:val="single" w:sz="6" w:space="0" w:color="000000"/>
              <w:right w:val="single" w:sz="6" w:space="0" w:color="000000"/>
            </w:tcBorders>
            <w:vAlign w:val="center"/>
          </w:tcPr>
          <w:p w14:paraId="1E8C080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1417" w:type="dxa"/>
            <w:tcBorders>
              <w:top w:val="single" w:sz="6" w:space="0" w:color="000000"/>
              <w:left w:val="single" w:sz="6" w:space="0" w:color="000000"/>
              <w:bottom w:val="single" w:sz="6" w:space="0" w:color="000000"/>
              <w:right w:val="single" w:sz="6" w:space="0" w:color="000000"/>
            </w:tcBorders>
            <w:vAlign w:val="center"/>
          </w:tcPr>
          <w:p w14:paraId="7D1D4B3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عدد التحويلات في المنصة يتوافق مع النتائج الفعلية.</w:t>
            </w:r>
          </w:p>
        </w:tc>
        <w:tc>
          <w:tcPr>
            <w:tcW w:w="1417" w:type="dxa"/>
            <w:tcBorders>
              <w:top w:val="single" w:sz="6" w:space="0" w:color="000000"/>
              <w:left w:val="single" w:sz="6" w:space="0" w:color="000000"/>
              <w:bottom w:val="single" w:sz="6" w:space="0" w:color="000000"/>
              <w:right w:val="single" w:sz="6" w:space="0" w:color="000000"/>
            </w:tcBorders>
            <w:vAlign w:val="center"/>
          </w:tcPr>
          <w:p w14:paraId="67DB3FD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3.613</w:t>
            </w:r>
          </w:p>
        </w:tc>
        <w:tc>
          <w:tcPr>
            <w:tcW w:w="1417" w:type="dxa"/>
            <w:tcBorders>
              <w:top w:val="single" w:sz="6" w:space="0" w:color="000000"/>
              <w:left w:val="single" w:sz="6" w:space="0" w:color="000000"/>
              <w:bottom w:val="single" w:sz="6" w:space="0" w:color="000000"/>
              <w:right w:val="single" w:sz="6" w:space="0" w:color="000000"/>
            </w:tcBorders>
            <w:vAlign w:val="center"/>
          </w:tcPr>
          <w:p w14:paraId="612C0FA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0.919</w:t>
            </w:r>
          </w:p>
        </w:tc>
        <w:tc>
          <w:tcPr>
            <w:tcW w:w="1417" w:type="dxa"/>
            <w:tcBorders>
              <w:top w:val="single" w:sz="6" w:space="0" w:color="000000"/>
              <w:left w:val="single" w:sz="6" w:space="0" w:color="000000"/>
              <w:bottom w:val="single" w:sz="6" w:space="0" w:color="000000"/>
              <w:right w:val="single" w:sz="6" w:space="0" w:color="000000"/>
            </w:tcBorders>
            <w:vAlign w:val="center"/>
          </w:tcPr>
          <w:p w14:paraId="7261C55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مرتفعة</w:t>
            </w:r>
          </w:p>
        </w:tc>
      </w:tr>
      <w:tr w:rsidR="008C0001" w:rsidRPr="00407D80" w14:paraId="4C34403D"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2AB267F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c>
          <w:tcPr>
            <w:tcW w:w="1417" w:type="dxa"/>
            <w:tcBorders>
              <w:top w:val="single" w:sz="6" w:space="0" w:color="000000"/>
              <w:left w:val="single" w:sz="6" w:space="0" w:color="000000"/>
              <w:bottom w:val="single" w:sz="6" w:space="0" w:color="000000"/>
              <w:right w:val="single" w:sz="6" w:space="0" w:color="000000"/>
            </w:tcBorders>
            <w:vAlign w:val="center"/>
          </w:tcPr>
          <w:p w14:paraId="194A310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4E471D3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العائد على الإنفاق الإعلاني (ROAS) في المنصة يعكس العائد الحقيقي.</w:t>
            </w:r>
          </w:p>
        </w:tc>
        <w:tc>
          <w:tcPr>
            <w:tcW w:w="1417" w:type="dxa"/>
            <w:tcBorders>
              <w:top w:val="single" w:sz="6" w:space="0" w:color="000000"/>
              <w:left w:val="single" w:sz="6" w:space="0" w:color="000000"/>
              <w:bottom w:val="single" w:sz="6" w:space="0" w:color="000000"/>
              <w:right w:val="single" w:sz="6" w:space="0" w:color="000000"/>
            </w:tcBorders>
            <w:vAlign w:val="center"/>
          </w:tcPr>
          <w:p w14:paraId="19390B7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3.290</w:t>
            </w:r>
          </w:p>
        </w:tc>
        <w:tc>
          <w:tcPr>
            <w:tcW w:w="1417" w:type="dxa"/>
            <w:tcBorders>
              <w:top w:val="single" w:sz="6" w:space="0" w:color="000000"/>
              <w:left w:val="single" w:sz="6" w:space="0" w:color="000000"/>
              <w:bottom w:val="single" w:sz="6" w:space="0" w:color="000000"/>
              <w:right w:val="single" w:sz="6" w:space="0" w:color="000000"/>
            </w:tcBorders>
            <w:vAlign w:val="center"/>
          </w:tcPr>
          <w:p w14:paraId="3C78D1E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1.039</w:t>
            </w:r>
          </w:p>
        </w:tc>
        <w:tc>
          <w:tcPr>
            <w:tcW w:w="1417" w:type="dxa"/>
            <w:tcBorders>
              <w:top w:val="single" w:sz="6" w:space="0" w:color="000000"/>
              <w:left w:val="single" w:sz="6" w:space="0" w:color="000000"/>
              <w:bottom w:val="single" w:sz="6" w:space="0" w:color="000000"/>
              <w:right w:val="single" w:sz="6" w:space="0" w:color="000000"/>
            </w:tcBorders>
            <w:vAlign w:val="center"/>
          </w:tcPr>
          <w:p w14:paraId="021A762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متوسطة</w:t>
            </w:r>
          </w:p>
        </w:tc>
      </w:tr>
      <w:tr w:rsidR="008C0001" w:rsidRPr="00407D80" w14:paraId="494572DB"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0B913E3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c>
          <w:tcPr>
            <w:tcW w:w="1417" w:type="dxa"/>
            <w:tcBorders>
              <w:top w:val="single" w:sz="6" w:space="0" w:color="000000"/>
              <w:left w:val="single" w:sz="6" w:space="0" w:color="000000"/>
              <w:bottom w:val="single" w:sz="6" w:space="0" w:color="000000"/>
              <w:right w:val="single" w:sz="6" w:space="0" w:color="000000"/>
            </w:tcBorders>
            <w:vAlign w:val="center"/>
          </w:tcPr>
          <w:p w14:paraId="5E0D0E4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 (R)</w:t>
            </w:r>
          </w:p>
        </w:tc>
        <w:tc>
          <w:tcPr>
            <w:tcW w:w="1417" w:type="dxa"/>
            <w:tcBorders>
              <w:top w:val="single" w:sz="6" w:space="0" w:color="000000"/>
              <w:left w:val="single" w:sz="6" w:space="0" w:color="000000"/>
              <w:bottom w:val="single" w:sz="6" w:space="0" w:color="000000"/>
              <w:right w:val="single" w:sz="6" w:space="0" w:color="000000"/>
            </w:tcBorders>
            <w:vAlign w:val="center"/>
          </w:tcPr>
          <w:p w14:paraId="35E9F0D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توجد فروقات واضحة أحياناً بين أرقام المنصة والنتائج الفعلية.</w:t>
            </w:r>
          </w:p>
        </w:tc>
        <w:tc>
          <w:tcPr>
            <w:tcW w:w="1417" w:type="dxa"/>
            <w:tcBorders>
              <w:top w:val="single" w:sz="6" w:space="0" w:color="000000"/>
              <w:left w:val="single" w:sz="6" w:space="0" w:color="000000"/>
              <w:bottom w:val="single" w:sz="6" w:space="0" w:color="000000"/>
              <w:right w:val="single" w:sz="6" w:space="0" w:color="000000"/>
            </w:tcBorders>
            <w:vAlign w:val="center"/>
          </w:tcPr>
          <w:p w14:paraId="6AC95EA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2.290</w:t>
            </w:r>
          </w:p>
        </w:tc>
        <w:tc>
          <w:tcPr>
            <w:tcW w:w="1417" w:type="dxa"/>
            <w:tcBorders>
              <w:top w:val="single" w:sz="6" w:space="0" w:color="000000"/>
              <w:left w:val="single" w:sz="6" w:space="0" w:color="000000"/>
              <w:bottom w:val="single" w:sz="6" w:space="0" w:color="000000"/>
              <w:right w:val="single" w:sz="6" w:space="0" w:color="000000"/>
            </w:tcBorders>
            <w:vAlign w:val="center"/>
          </w:tcPr>
          <w:p w14:paraId="4A40A10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0.902</w:t>
            </w:r>
          </w:p>
        </w:tc>
        <w:tc>
          <w:tcPr>
            <w:tcW w:w="1417" w:type="dxa"/>
            <w:tcBorders>
              <w:top w:val="single" w:sz="6" w:space="0" w:color="000000"/>
              <w:left w:val="single" w:sz="6" w:space="0" w:color="000000"/>
              <w:bottom w:val="single" w:sz="6" w:space="0" w:color="000000"/>
              <w:right w:val="single" w:sz="6" w:space="0" w:color="000000"/>
            </w:tcBorders>
            <w:vAlign w:val="center"/>
          </w:tcPr>
          <w:p w14:paraId="2C6F6A1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r w:rsidR="008C0001" w:rsidRPr="00407D80" w14:paraId="16A71C3F"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0854237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c>
          <w:tcPr>
            <w:tcW w:w="1417" w:type="dxa"/>
            <w:tcBorders>
              <w:top w:val="single" w:sz="6" w:space="0" w:color="000000"/>
              <w:left w:val="single" w:sz="6" w:space="0" w:color="000000"/>
              <w:bottom w:val="single" w:sz="6" w:space="0" w:color="000000"/>
              <w:right w:val="single" w:sz="6" w:space="0" w:color="000000"/>
            </w:tcBorders>
            <w:vAlign w:val="center"/>
          </w:tcPr>
          <w:p w14:paraId="1EE2236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 (R)</w:t>
            </w:r>
          </w:p>
        </w:tc>
        <w:tc>
          <w:tcPr>
            <w:tcW w:w="1417" w:type="dxa"/>
            <w:tcBorders>
              <w:top w:val="single" w:sz="6" w:space="0" w:color="000000"/>
              <w:left w:val="single" w:sz="6" w:space="0" w:color="000000"/>
              <w:bottom w:val="single" w:sz="6" w:space="0" w:color="000000"/>
              <w:right w:val="single" w:sz="6" w:space="0" w:color="000000"/>
            </w:tcBorders>
            <w:vAlign w:val="center"/>
          </w:tcPr>
          <w:p w14:paraId="64756B6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 xml:space="preserve">أحرص على مقارنة بيانات المنصة مع </w:t>
            </w:r>
            <w:r w:rsidRPr="00407D80">
              <w:rPr>
                <w:rFonts w:asciiTheme="minorBidi" w:eastAsia="Sakkal Majalla" w:hAnsiTheme="minorBidi"/>
                <w:color w:val="000000"/>
                <w:sz w:val="24"/>
                <w:szCs w:val="24"/>
                <w:rtl/>
              </w:rPr>
              <w:lastRenderedPageBreak/>
              <w:t>البيانات الداخلية قبل اتخاذ القرار.</w:t>
            </w:r>
          </w:p>
        </w:tc>
        <w:tc>
          <w:tcPr>
            <w:tcW w:w="1417" w:type="dxa"/>
            <w:tcBorders>
              <w:top w:val="single" w:sz="6" w:space="0" w:color="000000"/>
              <w:left w:val="single" w:sz="6" w:space="0" w:color="000000"/>
              <w:bottom w:val="single" w:sz="6" w:space="0" w:color="000000"/>
              <w:right w:val="single" w:sz="6" w:space="0" w:color="000000"/>
            </w:tcBorders>
            <w:vAlign w:val="center"/>
          </w:tcPr>
          <w:p w14:paraId="07A63CB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lastRenderedPageBreak/>
              <w:t>1.677</w:t>
            </w:r>
          </w:p>
        </w:tc>
        <w:tc>
          <w:tcPr>
            <w:tcW w:w="1417" w:type="dxa"/>
            <w:tcBorders>
              <w:top w:val="single" w:sz="6" w:space="0" w:color="000000"/>
              <w:left w:val="single" w:sz="6" w:space="0" w:color="000000"/>
              <w:bottom w:val="single" w:sz="6" w:space="0" w:color="000000"/>
              <w:right w:val="single" w:sz="6" w:space="0" w:color="000000"/>
            </w:tcBorders>
            <w:vAlign w:val="center"/>
          </w:tcPr>
          <w:p w14:paraId="0F73FA5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0.702</w:t>
            </w:r>
          </w:p>
        </w:tc>
        <w:tc>
          <w:tcPr>
            <w:tcW w:w="1417" w:type="dxa"/>
            <w:tcBorders>
              <w:top w:val="single" w:sz="6" w:space="0" w:color="000000"/>
              <w:left w:val="single" w:sz="6" w:space="0" w:color="000000"/>
              <w:bottom w:val="single" w:sz="6" w:space="0" w:color="000000"/>
              <w:right w:val="single" w:sz="6" w:space="0" w:color="000000"/>
            </w:tcBorders>
            <w:vAlign w:val="center"/>
          </w:tcPr>
          <w:p w14:paraId="6F57CED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 جداً</w:t>
            </w:r>
          </w:p>
        </w:tc>
      </w:tr>
      <w:tr w:rsidR="008C0001" w:rsidRPr="00407D80" w14:paraId="160735D2"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23F3666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c>
          <w:tcPr>
            <w:tcW w:w="1417" w:type="dxa"/>
            <w:tcBorders>
              <w:top w:val="single" w:sz="6" w:space="0" w:color="000000"/>
              <w:left w:val="single" w:sz="6" w:space="0" w:color="000000"/>
              <w:bottom w:val="single" w:sz="6" w:space="0" w:color="000000"/>
              <w:right w:val="single" w:sz="6" w:space="0" w:color="000000"/>
            </w:tcBorders>
            <w:vAlign w:val="center"/>
          </w:tcPr>
          <w:p w14:paraId="4BABEB6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 (R)</w:t>
            </w:r>
          </w:p>
        </w:tc>
        <w:tc>
          <w:tcPr>
            <w:tcW w:w="1417" w:type="dxa"/>
            <w:tcBorders>
              <w:top w:val="single" w:sz="6" w:space="0" w:color="000000"/>
              <w:left w:val="single" w:sz="6" w:space="0" w:color="000000"/>
              <w:bottom w:val="single" w:sz="6" w:space="0" w:color="000000"/>
              <w:right w:val="single" w:sz="6" w:space="0" w:color="000000"/>
            </w:tcBorders>
            <w:vAlign w:val="center"/>
          </w:tcPr>
          <w:p w14:paraId="1D73EAC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 xml:space="preserve">أعتمد على أنظمة أخرى مثل CRM أو </w:t>
            </w:r>
            <w:proofErr w:type="spellStart"/>
            <w:r w:rsidRPr="00407D80">
              <w:rPr>
                <w:rFonts w:asciiTheme="minorBidi" w:eastAsia="Sakkal Majalla" w:hAnsiTheme="minorBidi"/>
                <w:color w:val="000000"/>
                <w:sz w:val="24"/>
                <w:szCs w:val="24"/>
                <w:rtl/>
              </w:rPr>
              <w:t>Analytics</w:t>
            </w:r>
            <w:proofErr w:type="spellEnd"/>
            <w:r w:rsidRPr="00407D80">
              <w:rPr>
                <w:rFonts w:asciiTheme="minorBidi" w:eastAsia="Sakkal Majalla" w:hAnsiTheme="minorBidi"/>
                <w:color w:val="000000"/>
                <w:sz w:val="24"/>
                <w:szCs w:val="24"/>
                <w:rtl/>
              </w:rPr>
              <w:t xml:space="preserve"> للتحقق من صحة النتائج.</w:t>
            </w:r>
          </w:p>
        </w:tc>
        <w:tc>
          <w:tcPr>
            <w:tcW w:w="1417" w:type="dxa"/>
            <w:tcBorders>
              <w:top w:val="single" w:sz="6" w:space="0" w:color="000000"/>
              <w:left w:val="single" w:sz="6" w:space="0" w:color="000000"/>
              <w:bottom w:val="single" w:sz="6" w:space="0" w:color="000000"/>
              <w:right w:val="single" w:sz="6" w:space="0" w:color="000000"/>
            </w:tcBorders>
            <w:vAlign w:val="center"/>
          </w:tcPr>
          <w:p w14:paraId="0301910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1.806</w:t>
            </w:r>
          </w:p>
        </w:tc>
        <w:tc>
          <w:tcPr>
            <w:tcW w:w="1417" w:type="dxa"/>
            <w:tcBorders>
              <w:top w:val="single" w:sz="6" w:space="0" w:color="000000"/>
              <w:left w:val="single" w:sz="6" w:space="0" w:color="000000"/>
              <w:bottom w:val="single" w:sz="6" w:space="0" w:color="000000"/>
              <w:right w:val="single" w:sz="6" w:space="0" w:color="000000"/>
            </w:tcBorders>
            <w:vAlign w:val="center"/>
          </w:tcPr>
          <w:p w14:paraId="6E25AC1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0.946</w:t>
            </w:r>
          </w:p>
        </w:tc>
        <w:tc>
          <w:tcPr>
            <w:tcW w:w="1417" w:type="dxa"/>
            <w:tcBorders>
              <w:top w:val="single" w:sz="6" w:space="0" w:color="000000"/>
              <w:left w:val="single" w:sz="6" w:space="0" w:color="000000"/>
              <w:bottom w:val="single" w:sz="6" w:space="0" w:color="000000"/>
              <w:right w:val="single" w:sz="6" w:space="0" w:color="000000"/>
            </w:tcBorders>
            <w:vAlign w:val="center"/>
          </w:tcPr>
          <w:p w14:paraId="36487D9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bl>
    <w:p w14:paraId="2DA86799" w14:textId="77777777" w:rsidR="008C0001" w:rsidRPr="00407D80" w:rsidRDefault="008C0001" w:rsidP="00407D80">
      <w:pPr>
        <w:bidi/>
        <w:spacing w:before="120" w:after="160" w:line="276" w:lineRule="auto"/>
        <w:rPr>
          <w:rFonts w:asciiTheme="minorBidi" w:hAnsiTheme="minorBidi"/>
        </w:rPr>
      </w:pPr>
      <w:r w:rsidRPr="00407D80">
        <w:rPr>
          <w:rFonts w:asciiTheme="minorBidi" w:eastAsia="Sakkal Majalla" w:hAnsiTheme="minorBidi"/>
          <w:color w:val="000000"/>
          <w:rtl/>
        </w:rPr>
        <w:t>* (R) = عبارة معاد ترميزها بحيث يتوافق اتجاهها مع اتجاه المحور.</w:t>
      </w:r>
    </w:p>
    <w:p w14:paraId="309B15CD" w14:textId="2A16B065" w:rsidR="008C0001" w:rsidRPr="00407D80" w:rsidRDefault="008C0001" w:rsidP="00407D80">
      <w:pPr>
        <w:pStyle w:val="Heading1"/>
        <w:bidi/>
        <w:rPr>
          <w:rFonts w:cstheme="minorBidi"/>
          <w:b w:val="0"/>
          <w:bCs/>
        </w:rPr>
      </w:pPr>
      <w:bookmarkStart w:id="65" w:name="_Toc228065412"/>
      <w:r w:rsidRPr="00407D80">
        <w:rPr>
          <w:rFonts w:cstheme="minorBidi"/>
          <w:b w:val="0"/>
          <w:bCs/>
          <w:rtl/>
        </w:rPr>
        <w:t>الإحصاءات الوصفية على مستوى المحاور وترتيبها</w:t>
      </w:r>
      <w:bookmarkEnd w:id="65"/>
    </w:p>
    <w:p w14:paraId="48A01C4F"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يمثل هذا القسم جوهر القراءة الوصفية للنتائج، حيث يجمع متوسطات العبارات في درجة كلية لكل محور، ثم يرتبها وفق الأهمية النسبية. ويتيح ذلك رؤية الصورة الكلية لاتجاهات أفراد العينة تجاه أبعاد الظاهرة المدروسة.</w:t>
      </w:r>
    </w:p>
    <w:p w14:paraId="416ADD70" w14:textId="35A988AB"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(13): المتوسطات الحسابية والانحرافات المعيارية لمحاور الدراسة وترتيبها</w:t>
      </w:r>
    </w:p>
    <w:tbl>
      <w:tblPr>
        <w:tblStyle w:val="TableGrid"/>
        <w:bidiVisual/>
        <w:tblW w:w="5000" w:type="pct"/>
        <w:jc w:val="center"/>
        <w:tblLook w:val="04A0" w:firstRow="1" w:lastRow="0" w:firstColumn="1" w:lastColumn="0" w:noHBand="0" w:noVBand="1"/>
      </w:tblPr>
      <w:tblGrid>
        <w:gridCol w:w="1558"/>
        <w:gridCol w:w="1558"/>
        <w:gridCol w:w="1557"/>
        <w:gridCol w:w="1557"/>
        <w:gridCol w:w="1557"/>
        <w:gridCol w:w="1557"/>
      </w:tblGrid>
      <w:tr w:rsidR="008C0001" w:rsidRPr="00407D80" w14:paraId="03C55FB3"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3BBDEA4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الترتيب</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7FD08DE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7EE11CB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عدد العبارات</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1D17F9C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المتوسط</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3BD69BB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الانحراف المعياري</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3320937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الأهمية النسبية</w:t>
            </w:r>
          </w:p>
        </w:tc>
      </w:tr>
      <w:tr w:rsidR="008C0001" w:rsidRPr="00407D80" w14:paraId="09F56C0D"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45F4FCF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w:t>
            </w:r>
          </w:p>
        </w:tc>
        <w:tc>
          <w:tcPr>
            <w:tcW w:w="1417" w:type="dxa"/>
            <w:tcBorders>
              <w:top w:val="single" w:sz="6" w:space="0" w:color="000000"/>
              <w:left w:val="single" w:sz="6" w:space="0" w:color="000000"/>
              <w:bottom w:val="single" w:sz="6" w:space="0" w:color="000000"/>
              <w:right w:val="single" w:sz="6" w:space="0" w:color="000000"/>
            </w:tcBorders>
            <w:vAlign w:val="center"/>
          </w:tcPr>
          <w:p w14:paraId="629A612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 تأثير المؤشرات على القرار التسويقي</w:t>
            </w:r>
          </w:p>
        </w:tc>
        <w:tc>
          <w:tcPr>
            <w:tcW w:w="1417" w:type="dxa"/>
            <w:tcBorders>
              <w:top w:val="single" w:sz="6" w:space="0" w:color="000000"/>
              <w:left w:val="single" w:sz="6" w:space="0" w:color="000000"/>
              <w:bottom w:val="single" w:sz="6" w:space="0" w:color="000000"/>
              <w:right w:val="single" w:sz="6" w:space="0" w:color="000000"/>
            </w:tcBorders>
            <w:vAlign w:val="center"/>
          </w:tcPr>
          <w:p w14:paraId="578D2C6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w:t>
            </w:r>
          </w:p>
        </w:tc>
        <w:tc>
          <w:tcPr>
            <w:tcW w:w="1417" w:type="dxa"/>
            <w:tcBorders>
              <w:top w:val="single" w:sz="6" w:space="0" w:color="000000"/>
              <w:left w:val="single" w:sz="6" w:space="0" w:color="000000"/>
              <w:bottom w:val="single" w:sz="6" w:space="0" w:color="000000"/>
              <w:right w:val="single" w:sz="6" w:space="0" w:color="000000"/>
            </w:tcBorders>
            <w:vAlign w:val="center"/>
          </w:tcPr>
          <w:p w14:paraId="5DEDE14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4.151</w:t>
            </w:r>
          </w:p>
        </w:tc>
        <w:tc>
          <w:tcPr>
            <w:tcW w:w="1417" w:type="dxa"/>
            <w:tcBorders>
              <w:top w:val="single" w:sz="6" w:space="0" w:color="000000"/>
              <w:left w:val="single" w:sz="6" w:space="0" w:color="000000"/>
              <w:bottom w:val="single" w:sz="6" w:space="0" w:color="000000"/>
              <w:right w:val="single" w:sz="6" w:space="0" w:color="000000"/>
            </w:tcBorders>
            <w:vAlign w:val="center"/>
          </w:tcPr>
          <w:p w14:paraId="09E7796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0.629</w:t>
            </w:r>
          </w:p>
        </w:tc>
        <w:tc>
          <w:tcPr>
            <w:tcW w:w="1417" w:type="dxa"/>
            <w:tcBorders>
              <w:top w:val="single" w:sz="6" w:space="0" w:color="000000"/>
              <w:left w:val="single" w:sz="6" w:space="0" w:color="000000"/>
              <w:bottom w:val="single" w:sz="6" w:space="0" w:color="000000"/>
              <w:right w:val="single" w:sz="6" w:space="0" w:color="000000"/>
            </w:tcBorders>
            <w:vAlign w:val="center"/>
          </w:tcPr>
          <w:p w14:paraId="1028D80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مرتفعة</w:t>
            </w:r>
          </w:p>
        </w:tc>
      </w:tr>
      <w:tr w:rsidR="008C0001" w:rsidRPr="00407D80" w14:paraId="387F1791"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273EF5D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3569AE5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 الثقة في بيانات المنصات</w:t>
            </w:r>
          </w:p>
        </w:tc>
        <w:tc>
          <w:tcPr>
            <w:tcW w:w="1417" w:type="dxa"/>
            <w:tcBorders>
              <w:top w:val="single" w:sz="6" w:space="0" w:color="000000"/>
              <w:left w:val="single" w:sz="6" w:space="0" w:color="000000"/>
              <w:bottom w:val="single" w:sz="6" w:space="0" w:color="000000"/>
              <w:right w:val="single" w:sz="6" w:space="0" w:color="000000"/>
            </w:tcBorders>
            <w:vAlign w:val="center"/>
          </w:tcPr>
          <w:p w14:paraId="32512D4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1417" w:type="dxa"/>
            <w:tcBorders>
              <w:top w:val="single" w:sz="6" w:space="0" w:color="000000"/>
              <w:left w:val="single" w:sz="6" w:space="0" w:color="000000"/>
              <w:bottom w:val="single" w:sz="6" w:space="0" w:color="000000"/>
              <w:right w:val="single" w:sz="6" w:space="0" w:color="000000"/>
            </w:tcBorders>
            <w:vAlign w:val="center"/>
          </w:tcPr>
          <w:p w14:paraId="6F4293B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2.587</w:t>
            </w:r>
          </w:p>
        </w:tc>
        <w:tc>
          <w:tcPr>
            <w:tcW w:w="1417" w:type="dxa"/>
            <w:tcBorders>
              <w:top w:val="single" w:sz="6" w:space="0" w:color="000000"/>
              <w:left w:val="single" w:sz="6" w:space="0" w:color="000000"/>
              <w:bottom w:val="single" w:sz="6" w:space="0" w:color="000000"/>
              <w:right w:val="single" w:sz="6" w:space="0" w:color="000000"/>
            </w:tcBorders>
            <w:vAlign w:val="center"/>
          </w:tcPr>
          <w:p w14:paraId="6829EA0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0.546</w:t>
            </w:r>
          </w:p>
        </w:tc>
        <w:tc>
          <w:tcPr>
            <w:tcW w:w="1417" w:type="dxa"/>
            <w:tcBorders>
              <w:top w:val="single" w:sz="6" w:space="0" w:color="000000"/>
              <w:left w:val="single" w:sz="6" w:space="0" w:color="000000"/>
              <w:bottom w:val="single" w:sz="6" w:space="0" w:color="000000"/>
              <w:right w:val="single" w:sz="6" w:space="0" w:color="000000"/>
            </w:tcBorders>
            <w:vAlign w:val="center"/>
          </w:tcPr>
          <w:p w14:paraId="2B034BC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r w:rsidR="008C0001" w:rsidRPr="00407D80" w14:paraId="19C6838A"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7EB7DC5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3</w:t>
            </w:r>
          </w:p>
        </w:tc>
        <w:tc>
          <w:tcPr>
            <w:tcW w:w="1417" w:type="dxa"/>
            <w:tcBorders>
              <w:top w:val="single" w:sz="6" w:space="0" w:color="000000"/>
              <w:left w:val="single" w:sz="6" w:space="0" w:color="000000"/>
              <w:bottom w:val="single" w:sz="6" w:space="0" w:color="000000"/>
              <w:right w:val="single" w:sz="6" w:space="0" w:color="000000"/>
            </w:tcBorders>
            <w:vAlign w:val="center"/>
          </w:tcPr>
          <w:p w14:paraId="6E8C8DB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 دقة مؤشرات الأداء</w:t>
            </w:r>
          </w:p>
        </w:tc>
        <w:tc>
          <w:tcPr>
            <w:tcW w:w="1417" w:type="dxa"/>
            <w:tcBorders>
              <w:top w:val="single" w:sz="6" w:space="0" w:color="000000"/>
              <w:left w:val="single" w:sz="6" w:space="0" w:color="000000"/>
              <w:bottom w:val="single" w:sz="6" w:space="0" w:color="000000"/>
              <w:right w:val="single" w:sz="6" w:space="0" w:color="000000"/>
            </w:tcBorders>
            <w:vAlign w:val="center"/>
          </w:tcPr>
          <w:p w14:paraId="21262BA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6</w:t>
            </w:r>
          </w:p>
        </w:tc>
        <w:tc>
          <w:tcPr>
            <w:tcW w:w="1417" w:type="dxa"/>
            <w:tcBorders>
              <w:top w:val="single" w:sz="6" w:space="0" w:color="000000"/>
              <w:left w:val="single" w:sz="6" w:space="0" w:color="000000"/>
              <w:bottom w:val="single" w:sz="6" w:space="0" w:color="000000"/>
              <w:right w:val="single" w:sz="6" w:space="0" w:color="000000"/>
            </w:tcBorders>
            <w:vAlign w:val="center"/>
          </w:tcPr>
          <w:p w14:paraId="5065951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2.548</w:t>
            </w:r>
          </w:p>
        </w:tc>
        <w:tc>
          <w:tcPr>
            <w:tcW w:w="1417" w:type="dxa"/>
            <w:tcBorders>
              <w:top w:val="single" w:sz="6" w:space="0" w:color="000000"/>
              <w:left w:val="single" w:sz="6" w:space="0" w:color="000000"/>
              <w:bottom w:val="single" w:sz="6" w:space="0" w:color="000000"/>
              <w:right w:val="single" w:sz="6" w:space="0" w:color="000000"/>
            </w:tcBorders>
            <w:vAlign w:val="center"/>
          </w:tcPr>
          <w:p w14:paraId="64154AA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0.628</w:t>
            </w:r>
          </w:p>
        </w:tc>
        <w:tc>
          <w:tcPr>
            <w:tcW w:w="1417" w:type="dxa"/>
            <w:tcBorders>
              <w:top w:val="single" w:sz="6" w:space="0" w:color="000000"/>
              <w:left w:val="single" w:sz="6" w:space="0" w:color="000000"/>
              <w:bottom w:val="single" w:sz="6" w:space="0" w:color="000000"/>
              <w:right w:val="single" w:sz="6" w:space="0" w:color="000000"/>
            </w:tcBorders>
            <w:vAlign w:val="center"/>
          </w:tcPr>
          <w:p w14:paraId="1FDDC47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r w:rsidR="008C0001" w:rsidRPr="00407D80" w14:paraId="7BCF1DF0"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6FB1001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4</w:t>
            </w:r>
          </w:p>
        </w:tc>
        <w:tc>
          <w:tcPr>
            <w:tcW w:w="1417" w:type="dxa"/>
            <w:tcBorders>
              <w:top w:val="single" w:sz="6" w:space="0" w:color="000000"/>
              <w:left w:val="single" w:sz="6" w:space="0" w:color="000000"/>
              <w:bottom w:val="single" w:sz="6" w:space="0" w:color="000000"/>
              <w:right w:val="single" w:sz="6" w:space="0" w:color="000000"/>
            </w:tcBorders>
            <w:vAlign w:val="center"/>
          </w:tcPr>
          <w:p w14:paraId="745DBD6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 مقارنة الأرقام بالنتائج الفعلية</w:t>
            </w:r>
          </w:p>
        </w:tc>
        <w:tc>
          <w:tcPr>
            <w:tcW w:w="1417" w:type="dxa"/>
            <w:tcBorders>
              <w:top w:val="single" w:sz="6" w:space="0" w:color="000000"/>
              <w:left w:val="single" w:sz="6" w:space="0" w:color="000000"/>
              <w:bottom w:val="single" w:sz="6" w:space="0" w:color="000000"/>
              <w:right w:val="single" w:sz="6" w:space="0" w:color="000000"/>
            </w:tcBorders>
            <w:vAlign w:val="center"/>
          </w:tcPr>
          <w:p w14:paraId="4B38489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w:t>
            </w:r>
          </w:p>
        </w:tc>
        <w:tc>
          <w:tcPr>
            <w:tcW w:w="1417" w:type="dxa"/>
            <w:tcBorders>
              <w:top w:val="single" w:sz="6" w:space="0" w:color="000000"/>
              <w:left w:val="single" w:sz="6" w:space="0" w:color="000000"/>
              <w:bottom w:val="single" w:sz="6" w:space="0" w:color="000000"/>
              <w:right w:val="single" w:sz="6" w:space="0" w:color="000000"/>
            </w:tcBorders>
            <w:vAlign w:val="center"/>
          </w:tcPr>
          <w:p w14:paraId="49450AB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2.535</w:t>
            </w:r>
          </w:p>
        </w:tc>
        <w:tc>
          <w:tcPr>
            <w:tcW w:w="1417" w:type="dxa"/>
            <w:tcBorders>
              <w:top w:val="single" w:sz="6" w:space="0" w:color="000000"/>
              <w:left w:val="single" w:sz="6" w:space="0" w:color="000000"/>
              <w:bottom w:val="single" w:sz="6" w:space="0" w:color="000000"/>
              <w:right w:val="single" w:sz="6" w:space="0" w:color="000000"/>
            </w:tcBorders>
            <w:vAlign w:val="center"/>
          </w:tcPr>
          <w:p w14:paraId="78B9DE9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0.590</w:t>
            </w:r>
          </w:p>
        </w:tc>
        <w:tc>
          <w:tcPr>
            <w:tcW w:w="1417" w:type="dxa"/>
            <w:tcBorders>
              <w:top w:val="single" w:sz="6" w:space="0" w:color="000000"/>
              <w:left w:val="single" w:sz="6" w:space="0" w:color="000000"/>
              <w:bottom w:val="single" w:sz="6" w:space="0" w:color="000000"/>
              <w:right w:val="single" w:sz="6" w:space="0" w:color="000000"/>
            </w:tcBorders>
            <w:vAlign w:val="center"/>
          </w:tcPr>
          <w:p w14:paraId="0D9DDA5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منخفضة</w:t>
            </w:r>
          </w:p>
        </w:tc>
      </w:tr>
      <w:tr w:rsidR="008C0001" w:rsidRPr="00407D80" w14:paraId="03B1D996"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53BC7F9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w:t>
            </w:r>
          </w:p>
        </w:tc>
        <w:tc>
          <w:tcPr>
            <w:tcW w:w="1417" w:type="dxa"/>
            <w:tcBorders>
              <w:top w:val="single" w:sz="6" w:space="0" w:color="000000"/>
              <w:left w:val="single" w:sz="6" w:space="0" w:color="000000"/>
              <w:bottom w:val="single" w:sz="6" w:space="0" w:color="000000"/>
              <w:right w:val="single" w:sz="6" w:space="0" w:color="000000"/>
            </w:tcBorders>
            <w:vAlign w:val="center"/>
          </w:tcPr>
          <w:p w14:paraId="0176AF6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المقياس الكلي</w:t>
            </w:r>
          </w:p>
        </w:tc>
        <w:tc>
          <w:tcPr>
            <w:tcW w:w="1417" w:type="dxa"/>
            <w:tcBorders>
              <w:top w:val="single" w:sz="6" w:space="0" w:color="000000"/>
              <w:left w:val="single" w:sz="6" w:space="0" w:color="000000"/>
              <w:bottom w:val="single" w:sz="6" w:space="0" w:color="000000"/>
              <w:right w:val="single" w:sz="6" w:space="0" w:color="000000"/>
            </w:tcBorders>
            <w:vAlign w:val="center"/>
          </w:tcPr>
          <w:p w14:paraId="4134A29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22</w:t>
            </w:r>
          </w:p>
        </w:tc>
        <w:tc>
          <w:tcPr>
            <w:tcW w:w="1417" w:type="dxa"/>
            <w:tcBorders>
              <w:top w:val="single" w:sz="6" w:space="0" w:color="000000"/>
              <w:left w:val="single" w:sz="6" w:space="0" w:color="000000"/>
              <w:bottom w:val="single" w:sz="6" w:space="0" w:color="000000"/>
              <w:right w:val="single" w:sz="6" w:space="0" w:color="000000"/>
            </w:tcBorders>
            <w:vAlign w:val="center"/>
          </w:tcPr>
          <w:p w14:paraId="1B4E6B5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2.991</w:t>
            </w:r>
          </w:p>
        </w:tc>
        <w:tc>
          <w:tcPr>
            <w:tcW w:w="1417" w:type="dxa"/>
            <w:tcBorders>
              <w:top w:val="single" w:sz="6" w:space="0" w:color="000000"/>
              <w:left w:val="single" w:sz="6" w:space="0" w:color="000000"/>
              <w:bottom w:val="single" w:sz="6" w:space="0" w:color="000000"/>
              <w:right w:val="single" w:sz="6" w:space="0" w:color="000000"/>
            </w:tcBorders>
            <w:vAlign w:val="center"/>
          </w:tcPr>
          <w:p w14:paraId="2A7826B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0.356</w:t>
            </w:r>
          </w:p>
        </w:tc>
        <w:tc>
          <w:tcPr>
            <w:tcW w:w="1417" w:type="dxa"/>
            <w:tcBorders>
              <w:top w:val="single" w:sz="6" w:space="0" w:color="000000"/>
              <w:left w:val="single" w:sz="6" w:space="0" w:color="000000"/>
              <w:bottom w:val="single" w:sz="6" w:space="0" w:color="000000"/>
              <w:right w:val="single" w:sz="6" w:space="0" w:color="000000"/>
            </w:tcBorders>
            <w:vAlign w:val="center"/>
          </w:tcPr>
          <w:p w14:paraId="5E732DD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متوسطة</w:t>
            </w:r>
          </w:p>
        </w:tc>
      </w:tr>
    </w:tbl>
    <w:p w14:paraId="58F5127A" w14:textId="43ECCDBB"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تكشف نتائج الجدول (13) عن أنماط ذات دلالة بحثية بالغة الأهمية، يمكن قراءتها على النحو التالي:</w:t>
      </w:r>
    </w:p>
    <w:p w14:paraId="4CD2BAFF"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أولاً: احتل المحور الثالث المتعلق بتأثير المؤشرات على القرار التسويقي المرتبة الأولى بمتوسط حسابي بلغ (4.151) وانحراف معياري (0.629)، وبمستوى أهمية مرتفعة. ويعني ذلك أن أفراد العينة يعتمدون اعتماداً واسعاً على بيانات المنصات الإعلانية في صناعة قراراتهم التسويقية، سواء فيما يتعلق بتعديل الميزانية، أو إعادة تحديد الجمهور المستهدف، أو تحسين المحتوى الإعلاني.</w:t>
      </w:r>
    </w:p>
    <w:p w14:paraId="4B5C98F6"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lastRenderedPageBreak/>
        <w:t xml:space="preserve">ثانياً: جاءت المحاور الثلاثة الأخرى وهي الأول والثاني والرابع في مستوى أهمية منخفض، بمتوسطات تقاربت في المدى بين (2.535 </w:t>
      </w:r>
      <w:proofErr w:type="gramStart"/>
      <w:r w:rsidRPr="00407D80">
        <w:rPr>
          <w:rFonts w:asciiTheme="minorBidi" w:eastAsia="Sakkal Majalla" w:hAnsiTheme="minorBidi"/>
          <w:color w:val="000000"/>
          <w:rtl/>
        </w:rPr>
        <w:t>و 2.587</w:t>
      </w:r>
      <w:proofErr w:type="gramEnd"/>
      <w:r w:rsidRPr="00407D80">
        <w:rPr>
          <w:rFonts w:asciiTheme="minorBidi" w:eastAsia="Sakkal Majalla" w:hAnsiTheme="minorBidi"/>
          <w:color w:val="000000"/>
          <w:rtl/>
        </w:rPr>
        <w:t>). ويعني ذلك أن المستجيبين يرون أن دقة مؤشرات الأداء منخفضة، وأن ثقتهم في الأرقام المعروضة محدودة، وأن هناك فجوة واضحة بين أرقام المنصة والنتائج الفعلية على أرض الواقع.</w:t>
      </w:r>
    </w:p>
    <w:p w14:paraId="3A64E46B" w14:textId="39D519E3"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ثالثاً</w:t>
      </w:r>
      <w:r w:rsidR="00407D80" w:rsidRPr="00407D80">
        <w:rPr>
          <w:rFonts w:asciiTheme="minorBidi" w:eastAsia="Sakkal Majalla" w:hAnsiTheme="minorBidi"/>
          <w:color w:val="000000"/>
          <w:rtl/>
        </w:rPr>
        <w:t>:</w:t>
      </w:r>
      <w:r w:rsidRPr="00407D80">
        <w:rPr>
          <w:rFonts w:asciiTheme="minorBidi" w:eastAsia="Sakkal Majalla" w:hAnsiTheme="minorBidi"/>
          <w:color w:val="000000"/>
          <w:rtl/>
        </w:rPr>
        <w:t xml:space="preserve"> وهي الملاحظة الأكثر دلالة على المستوى البحثي: تظهر مفارقة لافتة بين المحور الثالث من جهة، والمحاور الثلاثة الأخرى من جهة أخرى. حيث يستخدم الممارسون مؤشرات المنصة استخداماً واسعاً (M = 4.15)، رغم اقتناعهم بأنها غير دقيقة وغير جديرة بالثقة الكاملة، وأنها لا تطابق النتائج الفعلية. وتكشف هذه المفارقة جوهر مشكلة الدراسة، وهي وجود حالة من الاعتماد القهري (</w:t>
      </w:r>
      <w:proofErr w:type="spellStart"/>
      <w:r w:rsidRPr="00407D80">
        <w:rPr>
          <w:rFonts w:asciiTheme="minorBidi" w:eastAsia="Sakkal Majalla" w:hAnsiTheme="minorBidi"/>
          <w:color w:val="000000"/>
          <w:rtl/>
        </w:rPr>
        <w:t>Forced</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Reliance</w:t>
      </w:r>
      <w:proofErr w:type="spellEnd"/>
      <w:r w:rsidRPr="00407D80">
        <w:rPr>
          <w:rFonts w:asciiTheme="minorBidi" w:eastAsia="Sakkal Majalla" w:hAnsiTheme="minorBidi"/>
          <w:color w:val="000000"/>
          <w:rtl/>
        </w:rPr>
        <w:t>) على هذه المؤشرات، نتيجة غياب البدائل العملية الكافية، أو لكون هذه المؤشرات تمثل اللغة المشتركة في صناعة الإعلانات الرقمية.</w:t>
      </w:r>
    </w:p>
    <w:p w14:paraId="4B9BA88C"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رابعاً: بلغ المتوسط العام للمقياس الكلي (2.991) بانحراف معياري (0.356)، وبمستوى أهمية متوسط، الأمر الذي يعكس التوتر الذي تعيشه عينة الممارسين بين الاعتراف بمحدودية المؤشرات والاضطرار إلى الاستناد إليها في عمليات اتخاذ القرار اليومية.</w:t>
      </w:r>
    </w:p>
    <w:p w14:paraId="2D9DEE3C" w14:textId="17CA06D6" w:rsidR="008C0001" w:rsidRPr="00407D80" w:rsidRDefault="008C0001" w:rsidP="00407D80">
      <w:pPr>
        <w:pStyle w:val="Heading1"/>
        <w:bidi/>
        <w:rPr>
          <w:rFonts w:cstheme="minorBidi"/>
          <w:b w:val="0"/>
          <w:bCs/>
        </w:rPr>
      </w:pPr>
      <w:bookmarkStart w:id="66" w:name="_Toc228065413"/>
      <w:r w:rsidRPr="00407D80">
        <w:rPr>
          <w:rFonts w:cstheme="minorBidi"/>
          <w:b w:val="0"/>
          <w:bCs/>
          <w:rtl/>
        </w:rPr>
        <w:t>تحليل الارتباط بين متغيرات الدراسة</w:t>
      </w:r>
      <w:bookmarkEnd w:id="66"/>
    </w:p>
    <w:p w14:paraId="1EC93270"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لاختبار طبيعة العلاقة بين محاور الدراسة، تم استخدام معامل ارتباط بيرسون (</w:t>
      </w:r>
      <w:proofErr w:type="spellStart"/>
      <w:r w:rsidRPr="00407D80">
        <w:rPr>
          <w:rFonts w:asciiTheme="minorBidi" w:eastAsia="Sakkal Majalla" w:hAnsiTheme="minorBidi"/>
          <w:color w:val="000000"/>
          <w:rtl/>
        </w:rPr>
        <w:t>Pearson</w:t>
      </w:r>
      <w:proofErr w:type="spellEnd"/>
      <w:r w:rsidRPr="00407D80">
        <w:rPr>
          <w:rFonts w:asciiTheme="minorBidi" w:eastAsia="Sakkal Majalla" w:hAnsiTheme="minorBidi"/>
          <w:color w:val="000000"/>
          <w:rtl/>
        </w:rPr>
        <w:t xml:space="preserve">)، بحيث تتراوح قيمة المعامل بين (-1) و(+1)، مع تفسير القوة وفقاً لتصنيف </w:t>
      </w:r>
      <w:proofErr w:type="spellStart"/>
      <w:r w:rsidRPr="00407D80">
        <w:rPr>
          <w:rFonts w:asciiTheme="minorBidi" w:eastAsia="Sakkal Majalla" w:hAnsiTheme="minorBidi"/>
          <w:color w:val="000000"/>
          <w:rtl/>
        </w:rPr>
        <w:t>Cohen</w:t>
      </w:r>
      <w:proofErr w:type="spellEnd"/>
      <w:r w:rsidRPr="00407D80">
        <w:rPr>
          <w:rFonts w:asciiTheme="minorBidi" w:eastAsia="Sakkal Majalla" w:hAnsiTheme="minorBidi"/>
          <w:color w:val="000000"/>
          <w:rtl/>
        </w:rPr>
        <w:t xml:space="preserve"> (1988) الذي يعد القيم المطلقة الأقل من 0.30 ضعيفة، ومن 0.30 إلى 0.50 متوسطة، وأعلى من 0.50 قوية.</w:t>
      </w:r>
    </w:p>
    <w:p w14:paraId="27A0C6D5" w14:textId="6E9D65F5"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(14): مصفوفة معاملات ارتباط بيرسون بين محاور الدراسة</w:t>
      </w:r>
    </w:p>
    <w:tbl>
      <w:tblPr>
        <w:tblStyle w:val="TableGrid"/>
        <w:bidiVisual/>
        <w:tblW w:w="5000" w:type="pct"/>
        <w:jc w:val="center"/>
        <w:tblLook w:val="04A0" w:firstRow="1" w:lastRow="0" w:firstColumn="1" w:lastColumn="0" w:noHBand="0" w:noVBand="1"/>
      </w:tblPr>
      <w:tblGrid>
        <w:gridCol w:w="1868"/>
        <w:gridCol w:w="1869"/>
        <w:gridCol w:w="1869"/>
        <w:gridCol w:w="1869"/>
        <w:gridCol w:w="1869"/>
      </w:tblGrid>
      <w:tr w:rsidR="008C0001" w:rsidRPr="00407D80" w14:paraId="7CAEA5B0"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5DF8B28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28E65E2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28B7E2D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3185A9D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FD2951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r>
      <w:tr w:rsidR="008C0001" w:rsidRPr="00407D80" w14:paraId="76B36103"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5317476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الأول</w:t>
            </w:r>
          </w:p>
        </w:tc>
        <w:tc>
          <w:tcPr>
            <w:tcW w:w="1701" w:type="dxa"/>
            <w:tcBorders>
              <w:top w:val="single" w:sz="6" w:space="0" w:color="000000"/>
              <w:left w:val="single" w:sz="6" w:space="0" w:color="000000"/>
              <w:bottom w:val="single" w:sz="6" w:space="0" w:color="000000"/>
              <w:right w:val="single" w:sz="6" w:space="0" w:color="000000"/>
            </w:tcBorders>
            <w:vAlign w:val="center"/>
          </w:tcPr>
          <w:p w14:paraId="3F1AF4A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w:t>
            </w:r>
          </w:p>
        </w:tc>
        <w:tc>
          <w:tcPr>
            <w:tcW w:w="1701" w:type="dxa"/>
            <w:tcBorders>
              <w:top w:val="single" w:sz="6" w:space="0" w:color="000000"/>
              <w:left w:val="single" w:sz="6" w:space="0" w:color="000000"/>
              <w:bottom w:val="single" w:sz="6" w:space="0" w:color="000000"/>
              <w:right w:val="single" w:sz="6" w:space="0" w:color="000000"/>
            </w:tcBorders>
            <w:vAlign w:val="center"/>
          </w:tcPr>
          <w:p w14:paraId="0827F03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0.478</w:t>
            </w:r>
          </w:p>
        </w:tc>
        <w:tc>
          <w:tcPr>
            <w:tcW w:w="1701" w:type="dxa"/>
            <w:tcBorders>
              <w:top w:val="single" w:sz="6" w:space="0" w:color="000000"/>
              <w:left w:val="single" w:sz="6" w:space="0" w:color="000000"/>
              <w:bottom w:val="single" w:sz="6" w:space="0" w:color="000000"/>
              <w:right w:val="single" w:sz="6" w:space="0" w:color="000000"/>
            </w:tcBorders>
            <w:vAlign w:val="center"/>
          </w:tcPr>
          <w:p w14:paraId="7F37A0D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-0.385</w:t>
            </w:r>
          </w:p>
        </w:tc>
        <w:tc>
          <w:tcPr>
            <w:tcW w:w="1701" w:type="dxa"/>
            <w:tcBorders>
              <w:top w:val="single" w:sz="6" w:space="0" w:color="000000"/>
              <w:left w:val="single" w:sz="6" w:space="0" w:color="000000"/>
              <w:bottom w:val="single" w:sz="6" w:space="0" w:color="000000"/>
              <w:right w:val="single" w:sz="6" w:space="0" w:color="000000"/>
            </w:tcBorders>
            <w:vAlign w:val="center"/>
          </w:tcPr>
          <w:p w14:paraId="1421FB5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0.629</w:t>
            </w:r>
          </w:p>
        </w:tc>
      </w:tr>
      <w:tr w:rsidR="008C0001" w:rsidRPr="00407D80" w14:paraId="697C8A24"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5A9DA35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الثاني</w:t>
            </w:r>
          </w:p>
        </w:tc>
        <w:tc>
          <w:tcPr>
            <w:tcW w:w="1701" w:type="dxa"/>
            <w:tcBorders>
              <w:top w:val="single" w:sz="6" w:space="0" w:color="000000"/>
              <w:left w:val="single" w:sz="6" w:space="0" w:color="000000"/>
              <w:bottom w:val="single" w:sz="6" w:space="0" w:color="000000"/>
              <w:right w:val="single" w:sz="6" w:space="0" w:color="000000"/>
            </w:tcBorders>
            <w:vAlign w:val="center"/>
          </w:tcPr>
          <w:p w14:paraId="6C8FB57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0.478</w:t>
            </w:r>
          </w:p>
        </w:tc>
        <w:tc>
          <w:tcPr>
            <w:tcW w:w="1701" w:type="dxa"/>
            <w:tcBorders>
              <w:top w:val="single" w:sz="6" w:space="0" w:color="000000"/>
              <w:left w:val="single" w:sz="6" w:space="0" w:color="000000"/>
              <w:bottom w:val="single" w:sz="6" w:space="0" w:color="000000"/>
              <w:right w:val="single" w:sz="6" w:space="0" w:color="000000"/>
            </w:tcBorders>
            <w:vAlign w:val="center"/>
          </w:tcPr>
          <w:p w14:paraId="6030876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w:t>
            </w:r>
          </w:p>
        </w:tc>
        <w:tc>
          <w:tcPr>
            <w:tcW w:w="1701" w:type="dxa"/>
            <w:tcBorders>
              <w:top w:val="single" w:sz="6" w:space="0" w:color="000000"/>
              <w:left w:val="single" w:sz="6" w:space="0" w:color="000000"/>
              <w:bottom w:val="single" w:sz="6" w:space="0" w:color="000000"/>
              <w:right w:val="single" w:sz="6" w:space="0" w:color="000000"/>
            </w:tcBorders>
            <w:vAlign w:val="center"/>
          </w:tcPr>
          <w:p w14:paraId="40C7E5E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-0.156</w:t>
            </w:r>
          </w:p>
        </w:tc>
        <w:tc>
          <w:tcPr>
            <w:tcW w:w="1701" w:type="dxa"/>
            <w:tcBorders>
              <w:top w:val="single" w:sz="6" w:space="0" w:color="000000"/>
              <w:left w:val="single" w:sz="6" w:space="0" w:color="000000"/>
              <w:bottom w:val="single" w:sz="6" w:space="0" w:color="000000"/>
              <w:right w:val="single" w:sz="6" w:space="0" w:color="000000"/>
            </w:tcBorders>
            <w:vAlign w:val="center"/>
          </w:tcPr>
          <w:p w14:paraId="4FCC3E3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0.746</w:t>
            </w:r>
          </w:p>
        </w:tc>
      </w:tr>
      <w:tr w:rsidR="008C0001" w:rsidRPr="00407D80" w14:paraId="24E178EA"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69CC7B1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الثالث</w:t>
            </w:r>
          </w:p>
        </w:tc>
        <w:tc>
          <w:tcPr>
            <w:tcW w:w="1701" w:type="dxa"/>
            <w:tcBorders>
              <w:top w:val="single" w:sz="6" w:space="0" w:color="000000"/>
              <w:left w:val="single" w:sz="6" w:space="0" w:color="000000"/>
              <w:bottom w:val="single" w:sz="6" w:space="0" w:color="000000"/>
              <w:right w:val="single" w:sz="6" w:space="0" w:color="000000"/>
            </w:tcBorders>
            <w:vAlign w:val="center"/>
          </w:tcPr>
          <w:p w14:paraId="649A1BE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-0.385</w:t>
            </w:r>
          </w:p>
        </w:tc>
        <w:tc>
          <w:tcPr>
            <w:tcW w:w="1701" w:type="dxa"/>
            <w:tcBorders>
              <w:top w:val="single" w:sz="6" w:space="0" w:color="000000"/>
              <w:left w:val="single" w:sz="6" w:space="0" w:color="000000"/>
              <w:bottom w:val="single" w:sz="6" w:space="0" w:color="000000"/>
              <w:right w:val="single" w:sz="6" w:space="0" w:color="000000"/>
            </w:tcBorders>
            <w:vAlign w:val="center"/>
          </w:tcPr>
          <w:p w14:paraId="072D803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-0.156</w:t>
            </w:r>
          </w:p>
        </w:tc>
        <w:tc>
          <w:tcPr>
            <w:tcW w:w="1701" w:type="dxa"/>
            <w:tcBorders>
              <w:top w:val="single" w:sz="6" w:space="0" w:color="000000"/>
              <w:left w:val="single" w:sz="6" w:space="0" w:color="000000"/>
              <w:bottom w:val="single" w:sz="6" w:space="0" w:color="000000"/>
              <w:right w:val="single" w:sz="6" w:space="0" w:color="000000"/>
            </w:tcBorders>
            <w:vAlign w:val="center"/>
          </w:tcPr>
          <w:p w14:paraId="779D0EF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w:t>
            </w:r>
          </w:p>
        </w:tc>
        <w:tc>
          <w:tcPr>
            <w:tcW w:w="1701" w:type="dxa"/>
            <w:tcBorders>
              <w:top w:val="single" w:sz="6" w:space="0" w:color="000000"/>
              <w:left w:val="single" w:sz="6" w:space="0" w:color="000000"/>
              <w:bottom w:val="single" w:sz="6" w:space="0" w:color="000000"/>
              <w:right w:val="single" w:sz="6" w:space="0" w:color="000000"/>
            </w:tcBorders>
            <w:vAlign w:val="center"/>
          </w:tcPr>
          <w:p w14:paraId="5F53975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-0.225</w:t>
            </w:r>
          </w:p>
        </w:tc>
      </w:tr>
      <w:tr w:rsidR="008C0001" w:rsidRPr="00407D80" w14:paraId="51E9023F"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78E8651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المحور الرابع</w:t>
            </w:r>
          </w:p>
        </w:tc>
        <w:tc>
          <w:tcPr>
            <w:tcW w:w="1701" w:type="dxa"/>
            <w:tcBorders>
              <w:top w:val="single" w:sz="6" w:space="0" w:color="000000"/>
              <w:left w:val="single" w:sz="6" w:space="0" w:color="000000"/>
              <w:bottom w:val="single" w:sz="6" w:space="0" w:color="000000"/>
              <w:right w:val="single" w:sz="6" w:space="0" w:color="000000"/>
            </w:tcBorders>
            <w:vAlign w:val="center"/>
          </w:tcPr>
          <w:p w14:paraId="067B63D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0.629</w:t>
            </w:r>
          </w:p>
        </w:tc>
        <w:tc>
          <w:tcPr>
            <w:tcW w:w="1701" w:type="dxa"/>
            <w:tcBorders>
              <w:top w:val="single" w:sz="6" w:space="0" w:color="000000"/>
              <w:left w:val="single" w:sz="6" w:space="0" w:color="000000"/>
              <w:bottom w:val="single" w:sz="6" w:space="0" w:color="000000"/>
              <w:right w:val="single" w:sz="6" w:space="0" w:color="000000"/>
            </w:tcBorders>
            <w:vAlign w:val="center"/>
          </w:tcPr>
          <w:p w14:paraId="46B247B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0.746</w:t>
            </w:r>
          </w:p>
        </w:tc>
        <w:tc>
          <w:tcPr>
            <w:tcW w:w="1701" w:type="dxa"/>
            <w:tcBorders>
              <w:top w:val="single" w:sz="6" w:space="0" w:color="000000"/>
              <w:left w:val="single" w:sz="6" w:space="0" w:color="000000"/>
              <w:bottom w:val="single" w:sz="6" w:space="0" w:color="000000"/>
              <w:right w:val="single" w:sz="6" w:space="0" w:color="000000"/>
            </w:tcBorders>
            <w:vAlign w:val="center"/>
          </w:tcPr>
          <w:p w14:paraId="4076D13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-0.225</w:t>
            </w:r>
          </w:p>
        </w:tc>
        <w:tc>
          <w:tcPr>
            <w:tcW w:w="1701" w:type="dxa"/>
            <w:tcBorders>
              <w:top w:val="single" w:sz="6" w:space="0" w:color="000000"/>
              <w:left w:val="single" w:sz="6" w:space="0" w:color="000000"/>
              <w:bottom w:val="single" w:sz="6" w:space="0" w:color="000000"/>
              <w:right w:val="single" w:sz="6" w:space="0" w:color="000000"/>
            </w:tcBorders>
            <w:vAlign w:val="center"/>
          </w:tcPr>
          <w:p w14:paraId="2944DD4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1.000</w:t>
            </w:r>
          </w:p>
        </w:tc>
      </w:tr>
    </w:tbl>
    <w:p w14:paraId="48C247BE" w14:textId="77777777" w:rsidR="00407D80" w:rsidRPr="00407D80" w:rsidRDefault="00407D80" w:rsidP="00407D80">
      <w:pPr>
        <w:pStyle w:val="Heading2"/>
        <w:bidi/>
        <w:rPr>
          <w:rFonts w:asciiTheme="minorBidi" w:hAnsiTheme="minorBidi" w:cstheme="minorBidi"/>
        </w:rPr>
      </w:pPr>
    </w:p>
    <w:p w14:paraId="7307F97C" w14:textId="0025E4AC" w:rsidR="008C0001" w:rsidRPr="00407D80" w:rsidRDefault="008C0001" w:rsidP="00407D80">
      <w:pPr>
        <w:pStyle w:val="Heading2"/>
        <w:bidi/>
        <w:rPr>
          <w:rFonts w:asciiTheme="minorBidi" w:hAnsiTheme="minorBidi" w:cstheme="minorBidi"/>
        </w:rPr>
      </w:pPr>
      <w:r w:rsidRPr="00407D80">
        <w:rPr>
          <w:rFonts w:asciiTheme="minorBidi" w:hAnsiTheme="minorBidi" w:cstheme="minorBidi"/>
          <w:rtl/>
        </w:rPr>
        <w:t>جدول (15): اختبارات دلالة الارتباط بين أزواج المحاور</w:t>
      </w:r>
    </w:p>
    <w:tbl>
      <w:tblPr>
        <w:tblStyle w:val="TableGrid"/>
        <w:bidiVisual/>
        <w:tblW w:w="5000" w:type="pct"/>
        <w:jc w:val="center"/>
        <w:tblLook w:val="04A0" w:firstRow="1" w:lastRow="0" w:firstColumn="1" w:lastColumn="0" w:noHBand="0" w:noVBand="1"/>
      </w:tblPr>
      <w:tblGrid>
        <w:gridCol w:w="2336"/>
        <w:gridCol w:w="2336"/>
        <w:gridCol w:w="2336"/>
        <w:gridCol w:w="2336"/>
      </w:tblGrid>
      <w:tr w:rsidR="008C0001" w:rsidRPr="00407D80" w14:paraId="43C1B93C"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13FAF8A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زوج المحاور</w:t>
            </w:r>
          </w:p>
        </w:tc>
        <w:tc>
          <w:tcPr>
            <w:tcW w:w="2126"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1E21895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معامل الارتباط (r)</w:t>
            </w:r>
          </w:p>
        </w:tc>
        <w:tc>
          <w:tcPr>
            <w:tcW w:w="2126"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079DA4D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القيمة الاحتمالية (p)</w:t>
            </w:r>
          </w:p>
        </w:tc>
        <w:tc>
          <w:tcPr>
            <w:tcW w:w="2126"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45C8CF3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مستوى الدلالة</w:t>
            </w:r>
          </w:p>
        </w:tc>
      </w:tr>
      <w:tr w:rsidR="008C0001" w:rsidRPr="00407D80" w14:paraId="505355EE"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vAlign w:val="center"/>
          </w:tcPr>
          <w:p w14:paraId="79EC073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الأول ↔ الثاني</w:t>
            </w:r>
          </w:p>
        </w:tc>
        <w:tc>
          <w:tcPr>
            <w:tcW w:w="2126" w:type="dxa"/>
            <w:tcBorders>
              <w:top w:val="single" w:sz="6" w:space="0" w:color="000000"/>
              <w:left w:val="single" w:sz="6" w:space="0" w:color="000000"/>
              <w:bottom w:val="single" w:sz="6" w:space="0" w:color="000000"/>
              <w:right w:val="single" w:sz="6" w:space="0" w:color="000000"/>
            </w:tcBorders>
            <w:vAlign w:val="center"/>
          </w:tcPr>
          <w:p w14:paraId="6EDEA43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0.478</w:t>
            </w:r>
          </w:p>
        </w:tc>
        <w:tc>
          <w:tcPr>
            <w:tcW w:w="2126" w:type="dxa"/>
            <w:tcBorders>
              <w:top w:val="single" w:sz="6" w:space="0" w:color="000000"/>
              <w:left w:val="single" w:sz="6" w:space="0" w:color="000000"/>
              <w:bottom w:val="single" w:sz="6" w:space="0" w:color="000000"/>
              <w:right w:val="single" w:sz="6" w:space="0" w:color="000000"/>
            </w:tcBorders>
            <w:vAlign w:val="center"/>
          </w:tcPr>
          <w:p w14:paraId="6E4E07E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0.0066</w:t>
            </w:r>
          </w:p>
        </w:tc>
        <w:tc>
          <w:tcPr>
            <w:tcW w:w="2126" w:type="dxa"/>
            <w:tcBorders>
              <w:top w:val="single" w:sz="6" w:space="0" w:color="000000"/>
              <w:left w:val="single" w:sz="6" w:space="0" w:color="000000"/>
              <w:bottom w:val="single" w:sz="6" w:space="0" w:color="000000"/>
              <w:right w:val="single" w:sz="6" w:space="0" w:color="000000"/>
            </w:tcBorders>
            <w:vAlign w:val="center"/>
          </w:tcPr>
          <w:p w14:paraId="4291040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71EB22F1"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vAlign w:val="center"/>
          </w:tcPr>
          <w:p w14:paraId="281474D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الأول ↔ الثالث</w:t>
            </w:r>
          </w:p>
        </w:tc>
        <w:tc>
          <w:tcPr>
            <w:tcW w:w="2126" w:type="dxa"/>
            <w:tcBorders>
              <w:top w:val="single" w:sz="6" w:space="0" w:color="000000"/>
              <w:left w:val="single" w:sz="6" w:space="0" w:color="000000"/>
              <w:bottom w:val="single" w:sz="6" w:space="0" w:color="000000"/>
              <w:right w:val="single" w:sz="6" w:space="0" w:color="000000"/>
            </w:tcBorders>
            <w:vAlign w:val="center"/>
          </w:tcPr>
          <w:p w14:paraId="33D211E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-0.385</w:t>
            </w:r>
          </w:p>
        </w:tc>
        <w:tc>
          <w:tcPr>
            <w:tcW w:w="2126" w:type="dxa"/>
            <w:tcBorders>
              <w:top w:val="single" w:sz="6" w:space="0" w:color="000000"/>
              <w:left w:val="single" w:sz="6" w:space="0" w:color="000000"/>
              <w:bottom w:val="single" w:sz="6" w:space="0" w:color="000000"/>
              <w:right w:val="single" w:sz="6" w:space="0" w:color="000000"/>
            </w:tcBorders>
            <w:vAlign w:val="center"/>
          </w:tcPr>
          <w:p w14:paraId="1D048EB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0.0326</w:t>
            </w:r>
          </w:p>
        </w:tc>
        <w:tc>
          <w:tcPr>
            <w:tcW w:w="2126" w:type="dxa"/>
            <w:tcBorders>
              <w:top w:val="single" w:sz="6" w:space="0" w:color="000000"/>
              <w:left w:val="single" w:sz="6" w:space="0" w:color="000000"/>
              <w:bottom w:val="single" w:sz="6" w:space="0" w:color="000000"/>
              <w:right w:val="single" w:sz="6" w:space="0" w:color="000000"/>
            </w:tcBorders>
            <w:vAlign w:val="center"/>
          </w:tcPr>
          <w:p w14:paraId="52E3381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0.05</w:t>
            </w:r>
          </w:p>
        </w:tc>
      </w:tr>
      <w:tr w:rsidR="008C0001" w:rsidRPr="00407D80" w14:paraId="574F29E3"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vAlign w:val="center"/>
          </w:tcPr>
          <w:p w14:paraId="64A862E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الأول ↔ الرابع</w:t>
            </w:r>
          </w:p>
        </w:tc>
        <w:tc>
          <w:tcPr>
            <w:tcW w:w="2126" w:type="dxa"/>
            <w:tcBorders>
              <w:top w:val="single" w:sz="6" w:space="0" w:color="000000"/>
              <w:left w:val="single" w:sz="6" w:space="0" w:color="000000"/>
              <w:bottom w:val="single" w:sz="6" w:space="0" w:color="000000"/>
              <w:right w:val="single" w:sz="6" w:space="0" w:color="000000"/>
            </w:tcBorders>
            <w:vAlign w:val="center"/>
          </w:tcPr>
          <w:p w14:paraId="2AE7DCD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0.629</w:t>
            </w:r>
          </w:p>
        </w:tc>
        <w:tc>
          <w:tcPr>
            <w:tcW w:w="2126" w:type="dxa"/>
            <w:tcBorders>
              <w:top w:val="single" w:sz="6" w:space="0" w:color="000000"/>
              <w:left w:val="single" w:sz="6" w:space="0" w:color="000000"/>
              <w:bottom w:val="single" w:sz="6" w:space="0" w:color="000000"/>
              <w:right w:val="single" w:sz="6" w:space="0" w:color="000000"/>
            </w:tcBorders>
            <w:vAlign w:val="center"/>
          </w:tcPr>
          <w:p w14:paraId="1C0EF2A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0.0001</w:t>
            </w:r>
          </w:p>
        </w:tc>
        <w:tc>
          <w:tcPr>
            <w:tcW w:w="2126" w:type="dxa"/>
            <w:tcBorders>
              <w:top w:val="single" w:sz="6" w:space="0" w:color="000000"/>
              <w:left w:val="single" w:sz="6" w:space="0" w:color="000000"/>
              <w:bottom w:val="single" w:sz="6" w:space="0" w:color="000000"/>
              <w:right w:val="single" w:sz="6" w:space="0" w:color="000000"/>
            </w:tcBorders>
            <w:vAlign w:val="center"/>
          </w:tcPr>
          <w:p w14:paraId="0480ABE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72333F8C"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vAlign w:val="center"/>
          </w:tcPr>
          <w:p w14:paraId="1306BE1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الثاني ↔ الثالث</w:t>
            </w:r>
          </w:p>
        </w:tc>
        <w:tc>
          <w:tcPr>
            <w:tcW w:w="2126" w:type="dxa"/>
            <w:tcBorders>
              <w:top w:val="single" w:sz="6" w:space="0" w:color="000000"/>
              <w:left w:val="single" w:sz="6" w:space="0" w:color="000000"/>
              <w:bottom w:val="single" w:sz="6" w:space="0" w:color="000000"/>
              <w:right w:val="single" w:sz="6" w:space="0" w:color="000000"/>
            </w:tcBorders>
            <w:vAlign w:val="center"/>
          </w:tcPr>
          <w:p w14:paraId="04B6221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-0.156</w:t>
            </w:r>
          </w:p>
        </w:tc>
        <w:tc>
          <w:tcPr>
            <w:tcW w:w="2126" w:type="dxa"/>
            <w:tcBorders>
              <w:top w:val="single" w:sz="6" w:space="0" w:color="000000"/>
              <w:left w:val="single" w:sz="6" w:space="0" w:color="000000"/>
              <w:bottom w:val="single" w:sz="6" w:space="0" w:color="000000"/>
              <w:right w:val="single" w:sz="6" w:space="0" w:color="000000"/>
            </w:tcBorders>
            <w:vAlign w:val="center"/>
          </w:tcPr>
          <w:p w14:paraId="5A4586C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0.4022</w:t>
            </w:r>
          </w:p>
        </w:tc>
        <w:tc>
          <w:tcPr>
            <w:tcW w:w="2126" w:type="dxa"/>
            <w:tcBorders>
              <w:top w:val="single" w:sz="6" w:space="0" w:color="000000"/>
              <w:left w:val="single" w:sz="6" w:space="0" w:color="000000"/>
              <w:bottom w:val="single" w:sz="6" w:space="0" w:color="000000"/>
              <w:right w:val="single" w:sz="6" w:space="0" w:color="000000"/>
            </w:tcBorders>
            <w:vAlign w:val="center"/>
          </w:tcPr>
          <w:p w14:paraId="38500DE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غير دالة</w:t>
            </w:r>
          </w:p>
        </w:tc>
      </w:tr>
      <w:tr w:rsidR="008C0001" w:rsidRPr="00407D80" w14:paraId="6B27D839"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vAlign w:val="center"/>
          </w:tcPr>
          <w:p w14:paraId="3319C0C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الثاني ↔ الرابع</w:t>
            </w:r>
          </w:p>
        </w:tc>
        <w:tc>
          <w:tcPr>
            <w:tcW w:w="2126" w:type="dxa"/>
            <w:tcBorders>
              <w:top w:val="single" w:sz="6" w:space="0" w:color="000000"/>
              <w:left w:val="single" w:sz="6" w:space="0" w:color="000000"/>
              <w:bottom w:val="single" w:sz="6" w:space="0" w:color="000000"/>
              <w:right w:val="single" w:sz="6" w:space="0" w:color="000000"/>
            </w:tcBorders>
            <w:vAlign w:val="center"/>
          </w:tcPr>
          <w:p w14:paraId="7E04F00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0.746</w:t>
            </w:r>
          </w:p>
        </w:tc>
        <w:tc>
          <w:tcPr>
            <w:tcW w:w="2126" w:type="dxa"/>
            <w:tcBorders>
              <w:top w:val="single" w:sz="6" w:space="0" w:color="000000"/>
              <w:left w:val="single" w:sz="6" w:space="0" w:color="000000"/>
              <w:bottom w:val="single" w:sz="6" w:space="0" w:color="000000"/>
              <w:right w:val="single" w:sz="6" w:space="0" w:color="000000"/>
            </w:tcBorders>
            <w:vAlign w:val="center"/>
          </w:tcPr>
          <w:p w14:paraId="1E79FC30"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0.0000</w:t>
            </w:r>
          </w:p>
        </w:tc>
        <w:tc>
          <w:tcPr>
            <w:tcW w:w="2126" w:type="dxa"/>
            <w:tcBorders>
              <w:top w:val="single" w:sz="6" w:space="0" w:color="000000"/>
              <w:left w:val="single" w:sz="6" w:space="0" w:color="000000"/>
              <w:bottom w:val="single" w:sz="6" w:space="0" w:color="000000"/>
              <w:right w:val="single" w:sz="6" w:space="0" w:color="000000"/>
            </w:tcBorders>
            <w:vAlign w:val="center"/>
          </w:tcPr>
          <w:p w14:paraId="48CC92C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دالة عند 0.01</w:t>
            </w:r>
          </w:p>
        </w:tc>
      </w:tr>
      <w:tr w:rsidR="008C0001" w:rsidRPr="00407D80" w14:paraId="47502F01" w14:textId="77777777" w:rsidTr="001E0ECE">
        <w:trPr>
          <w:jc w:val="center"/>
        </w:trPr>
        <w:tc>
          <w:tcPr>
            <w:tcW w:w="2126" w:type="dxa"/>
            <w:tcBorders>
              <w:top w:val="single" w:sz="6" w:space="0" w:color="000000"/>
              <w:left w:val="single" w:sz="6" w:space="0" w:color="000000"/>
              <w:bottom w:val="single" w:sz="6" w:space="0" w:color="000000"/>
              <w:right w:val="single" w:sz="6" w:space="0" w:color="000000"/>
            </w:tcBorders>
            <w:vAlign w:val="center"/>
          </w:tcPr>
          <w:p w14:paraId="729EED2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الثالث ↔ الرابع</w:t>
            </w:r>
          </w:p>
        </w:tc>
        <w:tc>
          <w:tcPr>
            <w:tcW w:w="2126" w:type="dxa"/>
            <w:tcBorders>
              <w:top w:val="single" w:sz="6" w:space="0" w:color="000000"/>
              <w:left w:val="single" w:sz="6" w:space="0" w:color="000000"/>
              <w:bottom w:val="single" w:sz="6" w:space="0" w:color="000000"/>
              <w:right w:val="single" w:sz="6" w:space="0" w:color="000000"/>
            </w:tcBorders>
            <w:vAlign w:val="center"/>
          </w:tcPr>
          <w:p w14:paraId="55FDDBE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-0.225</w:t>
            </w:r>
          </w:p>
        </w:tc>
        <w:tc>
          <w:tcPr>
            <w:tcW w:w="2126" w:type="dxa"/>
            <w:tcBorders>
              <w:top w:val="single" w:sz="6" w:space="0" w:color="000000"/>
              <w:left w:val="single" w:sz="6" w:space="0" w:color="000000"/>
              <w:bottom w:val="single" w:sz="6" w:space="0" w:color="000000"/>
              <w:right w:val="single" w:sz="6" w:space="0" w:color="000000"/>
            </w:tcBorders>
            <w:vAlign w:val="center"/>
          </w:tcPr>
          <w:p w14:paraId="06E9C679"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0.2242</w:t>
            </w:r>
          </w:p>
        </w:tc>
        <w:tc>
          <w:tcPr>
            <w:tcW w:w="2126" w:type="dxa"/>
            <w:tcBorders>
              <w:top w:val="single" w:sz="6" w:space="0" w:color="000000"/>
              <w:left w:val="single" w:sz="6" w:space="0" w:color="000000"/>
              <w:bottom w:val="single" w:sz="6" w:space="0" w:color="000000"/>
              <w:right w:val="single" w:sz="6" w:space="0" w:color="000000"/>
            </w:tcBorders>
            <w:vAlign w:val="center"/>
          </w:tcPr>
          <w:p w14:paraId="516FC11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غير دالة</w:t>
            </w:r>
          </w:p>
        </w:tc>
      </w:tr>
    </w:tbl>
    <w:p w14:paraId="6A281F6A" w14:textId="77777777" w:rsidR="008C0001" w:rsidRPr="00407D80" w:rsidRDefault="008C0001" w:rsidP="00407D80">
      <w:pPr>
        <w:bidi/>
        <w:spacing w:before="120" w:after="160" w:line="276" w:lineRule="auto"/>
        <w:rPr>
          <w:rFonts w:asciiTheme="minorBidi" w:hAnsiTheme="minorBidi"/>
        </w:rPr>
      </w:pPr>
      <w:r w:rsidRPr="00407D80">
        <w:rPr>
          <w:rFonts w:asciiTheme="minorBidi" w:eastAsia="Sakkal Majalla" w:hAnsiTheme="minorBidi"/>
          <w:color w:val="000000"/>
          <w:rtl/>
        </w:rPr>
        <w:t>* * دالة عند مستوى 0.01.    * دالة عند مستوى 0.05.</w:t>
      </w:r>
    </w:p>
    <w:p w14:paraId="204A0E7C" w14:textId="24498AE6"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يكشف الجدولان (14) و(15) عن جملة من العلاقات ذات الأهمية التحليلية:</w:t>
      </w:r>
    </w:p>
    <w:p w14:paraId="541A70E1"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lastRenderedPageBreak/>
        <w:t xml:space="preserve">أولاً: ارتباط طردي قوي ودال بين المحور الثاني (الثقة) والمحور الرابع (مقارنة الأرقام بالنتائج)، حيث بلغ معامل الارتباط (r = 0.746)، وهو ارتباط قوي جداً ودال عند مستوى (0.01). ويفسر هذا بأن الممارسين الذين يجدون توافقاً بين أرقام المنصة والنتائج الفعلية تتشكل لديهم ثقة أعلى في البيانات، والعكس صحيح، حيث إنه عندما تتسع الفجوة تنخفض الثقة. ويعد هذا أحد أهم البراهين الإحصائية على أن الثقة في المنصات ليست انطباعاً </w:t>
      </w:r>
      <w:proofErr w:type="gramStart"/>
      <w:r w:rsidRPr="00407D80">
        <w:rPr>
          <w:rFonts w:asciiTheme="minorBidi" w:eastAsia="Sakkal Majalla" w:hAnsiTheme="minorBidi"/>
          <w:color w:val="000000"/>
          <w:rtl/>
        </w:rPr>
        <w:t>ذاتياً</w:t>
      </w:r>
      <w:proofErr w:type="gramEnd"/>
      <w:r w:rsidRPr="00407D80">
        <w:rPr>
          <w:rFonts w:asciiTheme="minorBidi" w:eastAsia="Sakkal Majalla" w:hAnsiTheme="minorBidi"/>
          <w:color w:val="000000"/>
          <w:rtl/>
        </w:rPr>
        <w:t xml:space="preserve"> بل ناتج عن خبرة تحقق فعلية ومتراكمة.</w:t>
      </w:r>
    </w:p>
    <w:p w14:paraId="15694CAB"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ثانياً: ارتباط طردي قوي ودال بين المحور الأول (الدقة) والمحور الرابع (المقارنة بالنتائج)، حيث بلغ (r = 0.629، p &lt; 0.001). وهو ارتباط منطقي يدعم الصدق التقاربي للمقياس، حيث يتقاطع البعدان مفاهيمياً، وهما الدقة والتطابق مع الواقع، ويتكامل كل منهما مع الآخر إحصائياً.</w:t>
      </w:r>
    </w:p>
    <w:p w14:paraId="03AF094D"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ثالثاً: ارتباط طردي متوسط ودال بين المحور الأول (الدقة) والمحور الثاني (الثقة)، حيث بلغ (r = 0.478، p = 0.007). ويعكس ذلك أن إدراك الدقة يدعم الثقة، لكن هذا الارتباط ليس مرتفعاً بدرجة تامة، مما يشير إلى أن الثقة قد تتأثر بعوامل أخرى تتجاوز إدراك الدقة، مثل العلامة التجارية للمنصة، وسجل الخبرة معها.</w:t>
      </w:r>
    </w:p>
    <w:p w14:paraId="6D0485E5"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رابعاً: ارتباط عكسي ضعيف إلى متوسط ودال عند مستوى (0.05) بين المحور الأول (الدقة) والمحور الثالث (تأثير المؤشرات على القرار)، حيث بلغ (r = -0.385، p = 0.033). وهي نتيجة لافتة جداً تستحق التأمل، حيث إنه كلما رأى الممارس أن المؤشرات أقل دقة، استخدمها أكثر في صناعة القرار. وقد يبدو ذلك متناقضاً للوهلة الأولى، غير أنه ينسجم مع مفهوم الاعتماد القهري المشار إليه آنفاً، حيث إن الممارس الناضج الذي يدرك حدود المؤشرات يحتاج في الوقت ذاته إلى استخدامها بكثافة لتشغيل العمليات اليومية للحملات، ولأنها تمثل لغة العمل المعتمدة بين الفرق التسويقية والإدارة العليا والوكالات.</w:t>
      </w:r>
    </w:p>
    <w:p w14:paraId="61918180"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خامساً: لم تكن العلاقة بين المحور الثاني (الثقة) والمحور الثالث (تأثير المؤشرات على القرار) ولا بين المحور الرابع (المقارنة) والمحور الثالث دالة إحصائياً، حيث بلغت (p = 0.402) و(p = 0.224) على التوالي. وتعزز هذه النتيجة المفارقة المركزية للدراسة، حيث إن الاعتماد على بيانات المنصة في صناعة القرار لا يتأثر سلبياً بانخفاض الثقة فيها، ولا بانكشاف الفجوة بين أرقامها والواقع.</w:t>
      </w:r>
    </w:p>
    <w:p w14:paraId="2621E724" w14:textId="51F8803E" w:rsidR="008C0001" w:rsidRPr="00407D80" w:rsidRDefault="008C0001" w:rsidP="00407D80">
      <w:pPr>
        <w:pStyle w:val="Heading1"/>
        <w:bidi/>
        <w:rPr>
          <w:rFonts w:cstheme="minorBidi"/>
          <w:b w:val="0"/>
          <w:bCs/>
        </w:rPr>
      </w:pPr>
      <w:bookmarkStart w:id="67" w:name="_Toc228065414"/>
      <w:r w:rsidRPr="00407D80">
        <w:rPr>
          <w:rFonts w:cstheme="minorBidi"/>
          <w:b w:val="0"/>
          <w:bCs/>
          <w:rtl/>
        </w:rPr>
        <w:t>تحليل الانحدار الخطي المتعدد</w:t>
      </w:r>
      <w:bookmarkEnd w:id="67"/>
    </w:p>
    <w:p w14:paraId="7DAD092C"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بهدف اختبار الفرضية الرئيسية للدراسة، تم إجراء تحليل انحدار خطي متعدد، باعتماد المحور الثالث (تأثير المؤشرات على القرار التسويقي) متغيراً تابعاً، والمحاور الأول (الدقة) والثاني (الثقة) والرابع (المقارنة بالنتائج الفعلية) متغيرات مستقلة. وقد تمت قراءة جميع الافتراضات الإحصائية للنموذج وهي الخطية، واستقلالية البواقي، وانتظام التوزيع، وعدم التعدد الخطي، قبل التفسير.</w:t>
      </w:r>
    </w:p>
    <w:p w14:paraId="7245C68E" w14:textId="34625712"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(16): ملخص نموذج الانحدار</w:t>
      </w:r>
    </w:p>
    <w:tbl>
      <w:tblPr>
        <w:tblStyle w:val="TableGrid"/>
        <w:bidiVisual/>
        <w:tblW w:w="5000" w:type="pct"/>
        <w:jc w:val="center"/>
        <w:tblLook w:val="04A0" w:firstRow="1" w:lastRow="0" w:firstColumn="1" w:lastColumn="0" w:noHBand="0" w:noVBand="1"/>
      </w:tblPr>
      <w:tblGrid>
        <w:gridCol w:w="1868"/>
        <w:gridCol w:w="1869"/>
        <w:gridCol w:w="1869"/>
        <w:gridCol w:w="1869"/>
        <w:gridCol w:w="1869"/>
      </w:tblGrid>
      <w:tr w:rsidR="008C0001" w:rsidRPr="00407D80" w14:paraId="6597D60F"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79DF333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المؤشر</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02BD9C8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R</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3F2ABA2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R²</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6533BB6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R² المعدل</w:t>
            </w:r>
          </w:p>
        </w:tc>
        <w:tc>
          <w:tcPr>
            <w:tcW w:w="1701"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0CA9B52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F (</w:t>
            </w:r>
            <w:proofErr w:type="spellStart"/>
            <w:r w:rsidRPr="00407D80">
              <w:rPr>
                <w:rFonts w:asciiTheme="minorBidi" w:eastAsia="Sakkal Majalla" w:hAnsiTheme="minorBidi"/>
                <w:color w:val="000000"/>
                <w:sz w:val="24"/>
                <w:szCs w:val="24"/>
                <w:rtl/>
              </w:rPr>
              <w:t>df</w:t>
            </w:r>
            <w:proofErr w:type="spellEnd"/>
            <w:r w:rsidRPr="00407D80">
              <w:rPr>
                <w:rFonts w:ascii="Cambria Math" w:eastAsia="Sakkal Majalla" w:hAnsi="Cambria Math" w:cs="Cambria Math" w:hint="cs"/>
                <w:color w:val="000000"/>
                <w:sz w:val="24"/>
                <w:szCs w:val="24"/>
                <w:rtl/>
              </w:rPr>
              <w:t>₁</w:t>
            </w:r>
            <w:r w:rsidRPr="00407D80">
              <w:rPr>
                <w:rFonts w:asciiTheme="minorBidi" w:eastAsia="Sakkal Majalla" w:hAnsiTheme="minorBidi"/>
                <w:color w:val="000000"/>
                <w:sz w:val="24"/>
                <w:szCs w:val="24"/>
                <w:rtl/>
              </w:rPr>
              <w:t xml:space="preserve">, </w:t>
            </w:r>
            <w:proofErr w:type="spellStart"/>
            <w:r w:rsidRPr="00407D80">
              <w:rPr>
                <w:rFonts w:asciiTheme="minorBidi" w:eastAsia="Sakkal Majalla" w:hAnsiTheme="minorBidi"/>
                <w:color w:val="000000"/>
                <w:sz w:val="24"/>
                <w:szCs w:val="24"/>
                <w:rtl/>
              </w:rPr>
              <w:t>df</w:t>
            </w:r>
            <w:proofErr w:type="spellEnd"/>
            <w:r w:rsidRPr="00407D80">
              <w:rPr>
                <w:rFonts w:ascii="Cambria Math" w:eastAsia="Sakkal Majalla" w:hAnsi="Cambria Math" w:cs="Cambria Math" w:hint="cs"/>
                <w:color w:val="000000"/>
                <w:sz w:val="24"/>
                <w:szCs w:val="24"/>
                <w:rtl/>
              </w:rPr>
              <w:t>₂</w:t>
            </w:r>
            <w:r w:rsidRPr="00407D80">
              <w:rPr>
                <w:rFonts w:asciiTheme="minorBidi" w:eastAsia="Sakkal Majalla" w:hAnsiTheme="minorBidi"/>
                <w:color w:val="000000"/>
                <w:sz w:val="24"/>
                <w:szCs w:val="24"/>
                <w:rtl/>
              </w:rPr>
              <w:t>)</w:t>
            </w:r>
          </w:p>
        </w:tc>
      </w:tr>
      <w:tr w:rsidR="008C0001" w:rsidRPr="00407D80" w14:paraId="16412FA3" w14:textId="77777777" w:rsidTr="001E0ECE">
        <w:trPr>
          <w:jc w:val="center"/>
        </w:trPr>
        <w:tc>
          <w:tcPr>
            <w:tcW w:w="1701" w:type="dxa"/>
            <w:tcBorders>
              <w:top w:val="single" w:sz="6" w:space="0" w:color="000000"/>
              <w:left w:val="single" w:sz="6" w:space="0" w:color="000000"/>
              <w:bottom w:val="single" w:sz="6" w:space="0" w:color="000000"/>
              <w:right w:val="single" w:sz="6" w:space="0" w:color="000000"/>
            </w:tcBorders>
            <w:vAlign w:val="center"/>
          </w:tcPr>
          <w:p w14:paraId="0CFBFA6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القيمة</w:t>
            </w:r>
          </w:p>
        </w:tc>
        <w:tc>
          <w:tcPr>
            <w:tcW w:w="1701" w:type="dxa"/>
            <w:tcBorders>
              <w:top w:val="single" w:sz="6" w:space="0" w:color="000000"/>
              <w:left w:val="single" w:sz="6" w:space="0" w:color="000000"/>
              <w:bottom w:val="single" w:sz="6" w:space="0" w:color="000000"/>
              <w:right w:val="single" w:sz="6" w:space="0" w:color="000000"/>
            </w:tcBorders>
            <w:vAlign w:val="center"/>
          </w:tcPr>
          <w:p w14:paraId="39C326E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0.386</w:t>
            </w:r>
          </w:p>
        </w:tc>
        <w:tc>
          <w:tcPr>
            <w:tcW w:w="1701" w:type="dxa"/>
            <w:tcBorders>
              <w:top w:val="single" w:sz="6" w:space="0" w:color="000000"/>
              <w:left w:val="single" w:sz="6" w:space="0" w:color="000000"/>
              <w:bottom w:val="single" w:sz="6" w:space="0" w:color="000000"/>
              <w:right w:val="single" w:sz="6" w:space="0" w:color="000000"/>
            </w:tcBorders>
            <w:vAlign w:val="center"/>
          </w:tcPr>
          <w:p w14:paraId="0EB836B3"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0.149</w:t>
            </w:r>
          </w:p>
        </w:tc>
        <w:tc>
          <w:tcPr>
            <w:tcW w:w="1701" w:type="dxa"/>
            <w:tcBorders>
              <w:top w:val="single" w:sz="6" w:space="0" w:color="000000"/>
              <w:left w:val="single" w:sz="6" w:space="0" w:color="000000"/>
              <w:bottom w:val="single" w:sz="6" w:space="0" w:color="000000"/>
              <w:right w:val="single" w:sz="6" w:space="0" w:color="000000"/>
            </w:tcBorders>
            <w:vAlign w:val="center"/>
          </w:tcPr>
          <w:p w14:paraId="4C172F24"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0.055</w:t>
            </w:r>
          </w:p>
        </w:tc>
        <w:tc>
          <w:tcPr>
            <w:tcW w:w="1701" w:type="dxa"/>
            <w:tcBorders>
              <w:top w:val="single" w:sz="6" w:space="0" w:color="000000"/>
              <w:left w:val="single" w:sz="6" w:space="0" w:color="000000"/>
              <w:bottom w:val="single" w:sz="6" w:space="0" w:color="000000"/>
              <w:right w:val="single" w:sz="6" w:space="0" w:color="000000"/>
            </w:tcBorders>
            <w:vAlign w:val="center"/>
          </w:tcPr>
          <w:p w14:paraId="3078682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1.577 (3, 27)</w:t>
            </w:r>
          </w:p>
        </w:tc>
      </w:tr>
    </w:tbl>
    <w:p w14:paraId="5DCD36E9" w14:textId="3BB32C40"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يتضح من الجدول (16) أن قيمة معامل الارتباط المتعدد بلغت (R = 0.386)، وأن المتغيرات المستقلة الثلاث تفسر مجتمعةً ما نسبته (14.9%) من التباين في المتغير التابع (R² = 0.149). كما بلغت قيمة إحصائي F (1.577) بقيمة احتمالية (p = 0.218)، أي أن النموذج الكلي غير دال إحصائياً عند مستوى (0.05). وتعني هذه النتيجة أن المتغيرات المستقلة الثلاث مجتمعةً لا تفسر تبايناً دالاً في درجة الاعتماد على المؤشرات لاتخاذ القرار التسويقي عند هذا الحجم من العينة.</w:t>
      </w:r>
    </w:p>
    <w:p w14:paraId="24C0796A" w14:textId="63B55D81" w:rsidR="008C0001" w:rsidRPr="00407D80" w:rsidRDefault="008C0001" w:rsidP="00407D80">
      <w:pPr>
        <w:pStyle w:val="Heading2"/>
        <w:bidi/>
        <w:rPr>
          <w:rFonts w:asciiTheme="minorBidi" w:hAnsiTheme="minorBidi" w:cstheme="minorBidi"/>
        </w:rPr>
      </w:pPr>
      <w:r w:rsidRPr="00407D80">
        <w:rPr>
          <w:rFonts w:asciiTheme="minorBidi" w:eastAsia="Sakkal Majalla" w:hAnsiTheme="minorBidi" w:cstheme="minorBidi"/>
          <w:rtl/>
        </w:rPr>
        <w:t>جدول (17): معاملات الانحدار للمتغيرات المستقلة</w:t>
      </w:r>
    </w:p>
    <w:tbl>
      <w:tblPr>
        <w:tblStyle w:val="TableGrid"/>
        <w:bidiVisual/>
        <w:tblW w:w="5000" w:type="pct"/>
        <w:jc w:val="center"/>
        <w:tblLook w:val="04A0" w:firstRow="1" w:lastRow="0" w:firstColumn="1" w:lastColumn="0" w:noHBand="0" w:noVBand="1"/>
      </w:tblPr>
      <w:tblGrid>
        <w:gridCol w:w="1558"/>
        <w:gridCol w:w="1558"/>
        <w:gridCol w:w="1557"/>
        <w:gridCol w:w="1557"/>
        <w:gridCol w:w="1557"/>
        <w:gridCol w:w="1557"/>
      </w:tblGrid>
      <w:tr w:rsidR="008C0001" w:rsidRPr="00407D80" w14:paraId="1571D875"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06FE992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المتغير</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7045FEC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B</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484BE61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الخطأ المعياري</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22C608F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بيتا (β)</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2253EAEA"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t</w:t>
            </w:r>
          </w:p>
        </w:tc>
        <w:tc>
          <w:tcPr>
            <w:tcW w:w="1417" w:type="dxa"/>
            <w:tcBorders>
              <w:top w:val="single" w:sz="6" w:space="0" w:color="000000"/>
              <w:left w:val="single" w:sz="6" w:space="0" w:color="000000"/>
              <w:bottom w:val="single" w:sz="6" w:space="0" w:color="000000"/>
              <w:right w:val="single" w:sz="6" w:space="0" w:color="000000"/>
            </w:tcBorders>
            <w:shd w:val="clear" w:color="auto" w:fill="D9E2F3"/>
            <w:vAlign w:val="center"/>
          </w:tcPr>
          <w:p w14:paraId="0867E96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p</w:t>
            </w:r>
          </w:p>
        </w:tc>
      </w:tr>
      <w:tr w:rsidR="008C0001" w:rsidRPr="00407D80" w14:paraId="1690404B"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4B89B14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lastRenderedPageBreak/>
              <w:t>الثابت</w:t>
            </w:r>
          </w:p>
        </w:tc>
        <w:tc>
          <w:tcPr>
            <w:tcW w:w="1417" w:type="dxa"/>
            <w:tcBorders>
              <w:top w:val="single" w:sz="6" w:space="0" w:color="000000"/>
              <w:left w:val="single" w:sz="6" w:space="0" w:color="000000"/>
              <w:bottom w:val="single" w:sz="6" w:space="0" w:color="000000"/>
              <w:right w:val="single" w:sz="6" w:space="0" w:color="000000"/>
            </w:tcBorders>
            <w:vAlign w:val="center"/>
          </w:tcPr>
          <w:p w14:paraId="7C62FA8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5.068</w:t>
            </w:r>
          </w:p>
        </w:tc>
        <w:tc>
          <w:tcPr>
            <w:tcW w:w="1417" w:type="dxa"/>
            <w:tcBorders>
              <w:top w:val="single" w:sz="6" w:space="0" w:color="000000"/>
              <w:left w:val="single" w:sz="6" w:space="0" w:color="000000"/>
              <w:bottom w:val="single" w:sz="6" w:space="0" w:color="000000"/>
              <w:right w:val="single" w:sz="6" w:space="0" w:color="000000"/>
            </w:tcBorders>
            <w:vAlign w:val="center"/>
          </w:tcPr>
          <w:p w14:paraId="7C3147E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0.586</w:t>
            </w:r>
          </w:p>
        </w:tc>
        <w:tc>
          <w:tcPr>
            <w:tcW w:w="1417" w:type="dxa"/>
            <w:tcBorders>
              <w:top w:val="single" w:sz="6" w:space="0" w:color="000000"/>
              <w:left w:val="single" w:sz="6" w:space="0" w:color="000000"/>
              <w:bottom w:val="single" w:sz="6" w:space="0" w:color="000000"/>
              <w:right w:val="single" w:sz="6" w:space="0" w:color="000000"/>
            </w:tcBorders>
            <w:vAlign w:val="center"/>
          </w:tcPr>
          <w:p w14:paraId="099F904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w:t>
            </w:r>
          </w:p>
        </w:tc>
        <w:tc>
          <w:tcPr>
            <w:tcW w:w="1417" w:type="dxa"/>
            <w:tcBorders>
              <w:top w:val="single" w:sz="6" w:space="0" w:color="000000"/>
              <w:left w:val="single" w:sz="6" w:space="0" w:color="000000"/>
              <w:bottom w:val="single" w:sz="6" w:space="0" w:color="000000"/>
              <w:right w:val="single" w:sz="6" w:space="0" w:color="000000"/>
            </w:tcBorders>
            <w:vAlign w:val="center"/>
          </w:tcPr>
          <w:p w14:paraId="496ED247"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8.643</w:t>
            </w:r>
          </w:p>
        </w:tc>
        <w:tc>
          <w:tcPr>
            <w:tcW w:w="1417" w:type="dxa"/>
            <w:tcBorders>
              <w:top w:val="single" w:sz="6" w:space="0" w:color="000000"/>
              <w:left w:val="single" w:sz="6" w:space="0" w:color="000000"/>
              <w:bottom w:val="single" w:sz="6" w:space="0" w:color="000000"/>
              <w:right w:val="single" w:sz="6" w:space="0" w:color="000000"/>
            </w:tcBorders>
            <w:vAlign w:val="center"/>
          </w:tcPr>
          <w:p w14:paraId="3B85C98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0.0000</w:t>
            </w:r>
          </w:p>
        </w:tc>
      </w:tr>
      <w:tr w:rsidR="008C0001" w:rsidRPr="00407D80" w14:paraId="24027242"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36FF3C5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الدقة (المحور الأول)</w:t>
            </w:r>
          </w:p>
        </w:tc>
        <w:tc>
          <w:tcPr>
            <w:tcW w:w="1417" w:type="dxa"/>
            <w:tcBorders>
              <w:top w:val="single" w:sz="6" w:space="0" w:color="000000"/>
              <w:left w:val="single" w:sz="6" w:space="0" w:color="000000"/>
              <w:bottom w:val="single" w:sz="6" w:space="0" w:color="000000"/>
              <w:right w:val="single" w:sz="6" w:space="0" w:color="000000"/>
            </w:tcBorders>
            <w:vAlign w:val="center"/>
          </w:tcPr>
          <w:p w14:paraId="78BA86D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-0.404</w:t>
            </w:r>
          </w:p>
        </w:tc>
        <w:tc>
          <w:tcPr>
            <w:tcW w:w="1417" w:type="dxa"/>
            <w:tcBorders>
              <w:top w:val="single" w:sz="6" w:space="0" w:color="000000"/>
              <w:left w:val="single" w:sz="6" w:space="0" w:color="000000"/>
              <w:bottom w:val="single" w:sz="6" w:space="0" w:color="000000"/>
              <w:right w:val="single" w:sz="6" w:space="0" w:color="000000"/>
            </w:tcBorders>
            <w:vAlign w:val="center"/>
          </w:tcPr>
          <w:p w14:paraId="26D3802F"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0.229</w:t>
            </w:r>
          </w:p>
        </w:tc>
        <w:tc>
          <w:tcPr>
            <w:tcW w:w="1417" w:type="dxa"/>
            <w:tcBorders>
              <w:top w:val="single" w:sz="6" w:space="0" w:color="000000"/>
              <w:left w:val="single" w:sz="6" w:space="0" w:color="000000"/>
              <w:bottom w:val="single" w:sz="6" w:space="0" w:color="000000"/>
              <w:right w:val="single" w:sz="6" w:space="0" w:color="000000"/>
            </w:tcBorders>
            <w:vAlign w:val="center"/>
          </w:tcPr>
          <w:p w14:paraId="1AE946A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-0.403</w:t>
            </w:r>
          </w:p>
        </w:tc>
        <w:tc>
          <w:tcPr>
            <w:tcW w:w="1417" w:type="dxa"/>
            <w:tcBorders>
              <w:top w:val="single" w:sz="6" w:space="0" w:color="000000"/>
              <w:left w:val="single" w:sz="6" w:space="0" w:color="000000"/>
              <w:bottom w:val="single" w:sz="6" w:space="0" w:color="000000"/>
              <w:right w:val="single" w:sz="6" w:space="0" w:color="000000"/>
            </w:tcBorders>
            <w:vAlign w:val="center"/>
          </w:tcPr>
          <w:p w14:paraId="0247EAEE"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-1.766</w:t>
            </w:r>
          </w:p>
        </w:tc>
        <w:tc>
          <w:tcPr>
            <w:tcW w:w="1417" w:type="dxa"/>
            <w:tcBorders>
              <w:top w:val="single" w:sz="6" w:space="0" w:color="000000"/>
              <w:left w:val="single" w:sz="6" w:space="0" w:color="000000"/>
              <w:bottom w:val="single" w:sz="6" w:space="0" w:color="000000"/>
              <w:right w:val="single" w:sz="6" w:space="0" w:color="000000"/>
            </w:tcBorders>
            <w:vAlign w:val="center"/>
          </w:tcPr>
          <w:p w14:paraId="1C0C6EC6"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0.0888</w:t>
            </w:r>
          </w:p>
        </w:tc>
      </w:tr>
      <w:tr w:rsidR="008C0001" w:rsidRPr="00407D80" w14:paraId="5EF1C5C0"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0CE60DA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الثقة (المحور الثاني)</w:t>
            </w:r>
          </w:p>
        </w:tc>
        <w:tc>
          <w:tcPr>
            <w:tcW w:w="1417" w:type="dxa"/>
            <w:tcBorders>
              <w:top w:val="single" w:sz="6" w:space="0" w:color="000000"/>
              <w:left w:val="single" w:sz="6" w:space="0" w:color="000000"/>
              <w:bottom w:val="single" w:sz="6" w:space="0" w:color="000000"/>
              <w:right w:val="single" w:sz="6" w:space="0" w:color="000000"/>
            </w:tcBorders>
            <w:vAlign w:val="center"/>
          </w:tcPr>
          <w:p w14:paraId="70A71BBB"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0.039</w:t>
            </w:r>
          </w:p>
        </w:tc>
        <w:tc>
          <w:tcPr>
            <w:tcW w:w="1417" w:type="dxa"/>
            <w:tcBorders>
              <w:top w:val="single" w:sz="6" w:space="0" w:color="000000"/>
              <w:left w:val="single" w:sz="6" w:space="0" w:color="000000"/>
              <w:bottom w:val="single" w:sz="6" w:space="0" w:color="000000"/>
              <w:right w:val="single" w:sz="6" w:space="0" w:color="000000"/>
            </w:tcBorders>
            <w:vAlign w:val="center"/>
          </w:tcPr>
          <w:p w14:paraId="55DFC121"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0.307</w:t>
            </w:r>
          </w:p>
        </w:tc>
        <w:tc>
          <w:tcPr>
            <w:tcW w:w="1417" w:type="dxa"/>
            <w:tcBorders>
              <w:top w:val="single" w:sz="6" w:space="0" w:color="000000"/>
              <w:left w:val="single" w:sz="6" w:space="0" w:color="000000"/>
              <w:bottom w:val="single" w:sz="6" w:space="0" w:color="000000"/>
              <w:right w:val="single" w:sz="6" w:space="0" w:color="000000"/>
            </w:tcBorders>
            <w:vAlign w:val="center"/>
          </w:tcPr>
          <w:p w14:paraId="0400F3E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0.034</w:t>
            </w:r>
          </w:p>
        </w:tc>
        <w:tc>
          <w:tcPr>
            <w:tcW w:w="1417" w:type="dxa"/>
            <w:tcBorders>
              <w:top w:val="single" w:sz="6" w:space="0" w:color="000000"/>
              <w:left w:val="single" w:sz="6" w:space="0" w:color="000000"/>
              <w:bottom w:val="single" w:sz="6" w:space="0" w:color="000000"/>
              <w:right w:val="single" w:sz="6" w:space="0" w:color="000000"/>
            </w:tcBorders>
            <w:vAlign w:val="center"/>
          </w:tcPr>
          <w:p w14:paraId="339A4B8C"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0.127</w:t>
            </w:r>
          </w:p>
        </w:tc>
        <w:tc>
          <w:tcPr>
            <w:tcW w:w="1417" w:type="dxa"/>
            <w:tcBorders>
              <w:top w:val="single" w:sz="6" w:space="0" w:color="000000"/>
              <w:left w:val="single" w:sz="6" w:space="0" w:color="000000"/>
              <w:bottom w:val="single" w:sz="6" w:space="0" w:color="000000"/>
              <w:right w:val="single" w:sz="6" w:space="0" w:color="000000"/>
            </w:tcBorders>
            <w:vAlign w:val="center"/>
          </w:tcPr>
          <w:p w14:paraId="4151172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0.9001</w:t>
            </w:r>
          </w:p>
        </w:tc>
      </w:tr>
      <w:tr w:rsidR="008C0001" w:rsidRPr="00407D80" w14:paraId="5ED5296F" w14:textId="77777777" w:rsidTr="001E0ECE">
        <w:trPr>
          <w:jc w:val="center"/>
        </w:trPr>
        <w:tc>
          <w:tcPr>
            <w:tcW w:w="1417" w:type="dxa"/>
            <w:tcBorders>
              <w:top w:val="single" w:sz="6" w:space="0" w:color="000000"/>
              <w:left w:val="single" w:sz="6" w:space="0" w:color="000000"/>
              <w:bottom w:val="single" w:sz="6" w:space="0" w:color="000000"/>
              <w:right w:val="single" w:sz="6" w:space="0" w:color="000000"/>
            </w:tcBorders>
            <w:vAlign w:val="center"/>
          </w:tcPr>
          <w:p w14:paraId="7C3C3262"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المقارنة بالنتائج (المحور الرابع)</w:t>
            </w:r>
          </w:p>
        </w:tc>
        <w:tc>
          <w:tcPr>
            <w:tcW w:w="1417" w:type="dxa"/>
            <w:tcBorders>
              <w:top w:val="single" w:sz="6" w:space="0" w:color="000000"/>
              <w:left w:val="single" w:sz="6" w:space="0" w:color="000000"/>
              <w:bottom w:val="single" w:sz="6" w:space="0" w:color="000000"/>
              <w:right w:val="single" w:sz="6" w:space="0" w:color="000000"/>
            </w:tcBorders>
            <w:vAlign w:val="center"/>
          </w:tcPr>
          <w:p w14:paraId="2C65DF6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0.004</w:t>
            </w:r>
          </w:p>
        </w:tc>
        <w:tc>
          <w:tcPr>
            <w:tcW w:w="1417" w:type="dxa"/>
            <w:tcBorders>
              <w:top w:val="single" w:sz="6" w:space="0" w:color="000000"/>
              <w:left w:val="single" w:sz="6" w:space="0" w:color="000000"/>
              <w:bottom w:val="single" w:sz="6" w:space="0" w:color="000000"/>
              <w:right w:val="single" w:sz="6" w:space="0" w:color="000000"/>
            </w:tcBorders>
            <w:vAlign w:val="center"/>
          </w:tcPr>
          <w:p w14:paraId="5B391BF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0.322</w:t>
            </w:r>
          </w:p>
        </w:tc>
        <w:tc>
          <w:tcPr>
            <w:tcW w:w="1417" w:type="dxa"/>
            <w:tcBorders>
              <w:top w:val="single" w:sz="6" w:space="0" w:color="000000"/>
              <w:left w:val="single" w:sz="6" w:space="0" w:color="000000"/>
              <w:bottom w:val="single" w:sz="6" w:space="0" w:color="000000"/>
              <w:right w:val="single" w:sz="6" w:space="0" w:color="000000"/>
            </w:tcBorders>
            <w:vAlign w:val="center"/>
          </w:tcPr>
          <w:p w14:paraId="38F26B28"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0.004</w:t>
            </w:r>
          </w:p>
        </w:tc>
        <w:tc>
          <w:tcPr>
            <w:tcW w:w="1417" w:type="dxa"/>
            <w:tcBorders>
              <w:top w:val="single" w:sz="6" w:space="0" w:color="000000"/>
              <w:left w:val="single" w:sz="6" w:space="0" w:color="000000"/>
              <w:bottom w:val="single" w:sz="6" w:space="0" w:color="000000"/>
              <w:right w:val="single" w:sz="6" w:space="0" w:color="000000"/>
            </w:tcBorders>
            <w:vAlign w:val="center"/>
          </w:tcPr>
          <w:p w14:paraId="4705BF9D"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0.013</w:t>
            </w:r>
          </w:p>
        </w:tc>
        <w:tc>
          <w:tcPr>
            <w:tcW w:w="1417" w:type="dxa"/>
            <w:tcBorders>
              <w:top w:val="single" w:sz="6" w:space="0" w:color="000000"/>
              <w:left w:val="single" w:sz="6" w:space="0" w:color="000000"/>
              <w:bottom w:val="single" w:sz="6" w:space="0" w:color="000000"/>
              <w:right w:val="single" w:sz="6" w:space="0" w:color="000000"/>
            </w:tcBorders>
            <w:vAlign w:val="center"/>
          </w:tcPr>
          <w:p w14:paraId="4294BAF5" w14:textId="77777777" w:rsidR="008C0001" w:rsidRPr="00407D80" w:rsidRDefault="008C0001" w:rsidP="008C0001">
            <w:pPr>
              <w:bidi/>
              <w:spacing w:before="40" w:after="40" w:line="276" w:lineRule="auto"/>
              <w:jc w:val="center"/>
              <w:rPr>
                <w:rFonts w:asciiTheme="minorBidi" w:hAnsiTheme="minorBidi"/>
              </w:rPr>
            </w:pPr>
            <w:r w:rsidRPr="00407D80">
              <w:rPr>
                <w:rFonts w:asciiTheme="minorBidi" w:eastAsia="Sakkal Majalla" w:hAnsiTheme="minorBidi"/>
                <w:color w:val="000000"/>
                <w:sz w:val="24"/>
                <w:szCs w:val="24"/>
                <w:rtl/>
              </w:rPr>
              <w:t>0.9896</w:t>
            </w:r>
          </w:p>
        </w:tc>
      </w:tr>
    </w:tbl>
    <w:p w14:paraId="32A37EC3" w14:textId="3FD0F7ED"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يتضح من الجدول (17) أن المتغير الوحيد الذي اقترب من الدلالة الإحصائية هو المحور الأول (الدقة) بمعامل بيتا قياسي (β = -0.403) وقيمة (p = 0.089)، وهي قيمة قريبة من حد الدلالة (0.05) ولكنها لم تبلغه. ويشير اتجاه المعامل السالب إلى أن إدراك الممارسين لانخفاض دقة المؤشرات يتزامن مع زيادة استخدامهم لها في القرار، تأكيداً لما جاء في تحليل الارتباط. أما متغيرا الثقة والمقارنة بالنتائج فلم يكن لهما أثر دال في تفسير المتغير التابع، الأمر الذي يدعم المفارقة المركزية للدراسة.</w:t>
      </w:r>
    </w:p>
    <w:p w14:paraId="4542C6D9"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وتجدر الإشارة هنا إلى أن انخفاض حجم العينة (ن = 31) يعد قيداً إحصائياً ملحوظاً، حيث تنخفض القوة الإحصائية للنموذج عند هذا الحجم، خاصة عند إدراج </w:t>
      </w:r>
      <w:proofErr w:type="gramStart"/>
      <w:r w:rsidRPr="00407D80">
        <w:rPr>
          <w:rFonts w:asciiTheme="minorBidi" w:eastAsia="Sakkal Majalla" w:hAnsiTheme="minorBidi"/>
          <w:color w:val="000000"/>
          <w:rtl/>
        </w:rPr>
        <w:t>ثلاثة</w:t>
      </w:r>
      <w:proofErr w:type="gramEnd"/>
      <w:r w:rsidRPr="00407D80">
        <w:rPr>
          <w:rFonts w:asciiTheme="minorBidi" w:eastAsia="Sakkal Majalla" w:hAnsiTheme="minorBidi"/>
          <w:color w:val="000000"/>
          <w:rtl/>
        </w:rPr>
        <w:t xml:space="preserve"> متغيرات مستقلة. ومن المحتمل أن تظهر معاملات بيتا بمستويات دلالة مختلفة في حال تم توسيع العينة في دراسات لاحقة. ومع ذلك، فإن الأنماط الإحصائية الكامنة، وهي الاتجاه السالب لمعامل الدقة، والقيمة المنخفضة جداً لمعاملات الثقة والمقارنة، تتسق مع نتائج تحليل الارتباط، وتدعم الاتجاه التفسيري للدراسة.</w:t>
      </w:r>
    </w:p>
    <w:p w14:paraId="2DD33BAA" w14:textId="6683D0B3" w:rsidR="008C0001" w:rsidRPr="00407D80" w:rsidRDefault="008C0001" w:rsidP="00407D80">
      <w:pPr>
        <w:pStyle w:val="Heading1"/>
        <w:bidi/>
        <w:rPr>
          <w:rFonts w:cstheme="minorBidi"/>
          <w:b w:val="0"/>
          <w:bCs/>
        </w:rPr>
      </w:pPr>
      <w:bookmarkStart w:id="68" w:name="_Toc228065415"/>
      <w:r w:rsidRPr="00407D80">
        <w:rPr>
          <w:rFonts w:cstheme="minorBidi"/>
          <w:b w:val="0"/>
          <w:bCs/>
          <w:rtl/>
        </w:rPr>
        <w:t>ملخص أبرز نتائج الدراسة</w:t>
      </w:r>
      <w:bookmarkEnd w:id="68"/>
    </w:p>
    <w:p w14:paraId="1BA4B184" w14:textId="77777777" w:rsidR="008C0001" w:rsidRPr="00407D80" w:rsidRDefault="008C0001" w:rsidP="008C0001">
      <w:pPr>
        <w:bidi/>
        <w:spacing w:before="120" w:after="120" w:line="276" w:lineRule="auto"/>
        <w:jc w:val="both"/>
        <w:rPr>
          <w:rFonts w:asciiTheme="minorBidi" w:hAnsiTheme="minorBidi"/>
          <w:sz w:val="22"/>
          <w:szCs w:val="22"/>
        </w:rPr>
      </w:pPr>
      <w:r w:rsidRPr="00407D80">
        <w:rPr>
          <w:rFonts w:asciiTheme="minorBidi" w:eastAsia="Sakkal Majalla" w:hAnsiTheme="minorBidi"/>
          <w:color w:val="000000"/>
          <w:rtl/>
        </w:rPr>
        <w:t>استناداً إلى التحليلات الإحصائية الواردة في هذا الفصل، يمكن تلخيص أبرز النتائج فيما يأتي:</w:t>
      </w:r>
    </w:p>
    <w:p w14:paraId="183AD6BE"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أولاً: يتمتع المقياس بثبات داخلي جيد بشكل عام (α = 0.742)، مع تفاوت بين المحاور كان أعلاها لمحور تأثير المؤشرات على القرار التسويقي (α = 0.862)، وأدناها لمحور الثقة في بيانات المنصات (α = 0.580)، مما يستوجب الحذر في تفسير نتائج المحور الأخير.</w:t>
      </w:r>
    </w:p>
    <w:p w14:paraId="244CFCEF"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ثانياً: كشفت الإحصاءات الوصفية عن مفارقة مركزية، حيث رغم اعتراف الممارسين بانخفاض دقة المؤشرات (M = 2.55)، وضعف الثقة فيها (M = 2.59)، ووجود فجوة بينها وبين النتائج الفعلية (M = 2.54)، إلا أنهم يستخدمونها بدرجة مرتفعة في صناعة القرار التسويقي (M = 4.15).</w:t>
      </w:r>
    </w:p>
    <w:p w14:paraId="3890225C"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ثالثاً: يوجد ارتباط طردي قوي ودال إحصائياً بين الثقة في بيانات المنصة وبين تطابقها مع النتائج الفعلية (r = 0.746)، وهو ما يؤكد أن الثقة ليست انطباعاً </w:t>
      </w:r>
      <w:proofErr w:type="gramStart"/>
      <w:r w:rsidRPr="00407D80">
        <w:rPr>
          <w:rFonts w:asciiTheme="minorBidi" w:eastAsia="Sakkal Majalla" w:hAnsiTheme="minorBidi"/>
          <w:color w:val="000000"/>
          <w:rtl/>
        </w:rPr>
        <w:t>ذاتياً</w:t>
      </w:r>
      <w:proofErr w:type="gramEnd"/>
      <w:r w:rsidRPr="00407D80">
        <w:rPr>
          <w:rFonts w:asciiTheme="minorBidi" w:eastAsia="Sakkal Majalla" w:hAnsiTheme="minorBidi"/>
          <w:color w:val="000000"/>
          <w:rtl/>
        </w:rPr>
        <w:t xml:space="preserve"> بل ناتج عن خبرة تحقق متراكمة.</w:t>
      </w:r>
    </w:p>
    <w:p w14:paraId="0C82EC7B"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رابعاً: تم رصد ارتباط عكسي دال بين دقة المؤشرات وبين استخدامها في القرار (r = -0.385)، وهي نتيجة تدعم الفرضية البحثية القائلة بوجود حالة اعتماد قهري على هذه المؤشرات في غياب البدائل العملية.</w:t>
      </w:r>
    </w:p>
    <w:p w14:paraId="15B6E1FC"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خامساً: لم يكن نموذج الانحدار المتعدد دالاً إحصائياً (p = 0.218)، رغم اقتراب متغير الدقة من حد الدلالة (p = 0.089). وتعزى هذه النتيجة جزئياً إلى محدودية حجم العينة، مع الإشارة إلى أن الاتجاهات الإحصائية تتسق مع نتائج تحليل الارتباط.</w:t>
      </w:r>
    </w:p>
    <w:p w14:paraId="240835F9" w14:textId="69EA5A03" w:rsidR="008C0001" w:rsidRPr="00407D80" w:rsidRDefault="008C0001" w:rsidP="00407D80">
      <w:pPr>
        <w:pStyle w:val="Heading1"/>
        <w:bidi/>
        <w:rPr>
          <w:rFonts w:cstheme="minorBidi"/>
          <w:b w:val="0"/>
          <w:bCs/>
        </w:rPr>
      </w:pPr>
      <w:bookmarkStart w:id="69" w:name="_Toc228065416"/>
      <w:r w:rsidRPr="00407D80">
        <w:rPr>
          <w:rFonts w:cstheme="minorBidi"/>
          <w:b w:val="0"/>
          <w:bCs/>
          <w:rtl/>
        </w:rPr>
        <w:t>القيود الإحصائية للدراسة</w:t>
      </w:r>
      <w:bookmarkEnd w:id="69"/>
    </w:p>
    <w:p w14:paraId="6A0B587D" w14:textId="77777777" w:rsidR="008C0001" w:rsidRPr="00407D80" w:rsidRDefault="008C0001" w:rsidP="00407D80">
      <w:pPr>
        <w:bidi/>
        <w:spacing w:before="120" w:after="120" w:line="276" w:lineRule="auto"/>
        <w:rPr>
          <w:rFonts w:asciiTheme="minorBidi" w:hAnsiTheme="minorBidi"/>
        </w:rPr>
      </w:pPr>
      <w:r w:rsidRPr="00407D80">
        <w:rPr>
          <w:rFonts w:asciiTheme="minorBidi" w:eastAsia="Sakkal Majalla" w:hAnsiTheme="minorBidi"/>
          <w:color w:val="000000"/>
          <w:rtl/>
        </w:rPr>
        <w:t>تنبغي الإشارة إلى مجموعة من القيود التي ينبغي مراعاتها عند تفسير نتائج هذا الفصل وتعميمها على مجتمع الدراسة الأوسع:</w:t>
      </w:r>
    </w:p>
    <w:p w14:paraId="504E94BE" w14:textId="77777777" w:rsidR="008C0001" w:rsidRPr="00407D80" w:rsidRDefault="008C0001" w:rsidP="00407D80">
      <w:pPr>
        <w:bidi/>
        <w:spacing w:before="120" w:after="120" w:line="276" w:lineRule="auto"/>
        <w:rPr>
          <w:rFonts w:asciiTheme="minorBidi" w:hAnsiTheme="minorBidi"/>
        </w:rPr>
      </w:pPr>
      <w:r w:rsidRPr="00407D80">
        <w:rPr>
          <w:rFonts w:asciiTheme="minorBidi" w:eastAsia="Sakkal Majalla" w:hAnsiTheme="minorBidi"/>
          <w:color w:val="000000"/>
          <w:rtl/>
        </w:rPr>
        <w:lastRenderedPageBreak/>
        <w:t>أولاً: حجم العينة (ن = 31) يعد صغيراً نسبياً للتعميم على المتخصصين في السوق السعودي، خاصة بعد تطبيق سؤال الفرز الذي أدى إلى استبعاد 29 استجابة. ويؤثر ذلك في القوة الإحصائية لاختبارات الانحدار وحدود الدلالة الممكن بلوغها.</w:t>
      </w:r>
    </w:p>
    <w:p w14:paraId="71AD14FD" w14:textId="77777777" w:rsidR="008C0001" w:rsidRPr="00407D80" w:rsidRDefault="008C0001" w:rsidP="00407D80">
      <w:pPr>
        <w:bidi/>
        <w:spacing w:before="120" w:after="120" w:line="276" w:lineRule="auto"/>
        <w:rPr>
          <w:rFonts w:asciiTheme="minorBidi" w:hAnsiTheme="minorBidi"/>
        </w:rPr>
      </w:pPr>
      <w:r w:rsidRPr="00407D80">
        <w:rPr>
          <w:rFonts w:asciiTheme="minorBidi" w:eastAsia="Sakkal Majalla" w:hAnsiTheme="minorBidi"/>
          <w:color w:val="000000"/>
          <w:rtl/>
        </w:rPr>
        <w:t>ثانياً: المحور الثاني المتعلق بالثقة في بيانات المنصات سجل معامل ثبات أقل من الحد الأكاديمي المرغوب (0.70)، بسبب احتمال تعدد أبعاد بناء الثقة، وهو ما يستوجب في الدراسات اللاحقة إعادة صياغة بعض عبارات هذا المحور وفصل أبعاد الثقة المعيارية والإجرائية.</w:t>
      </w:r>
    </w:p>
    <w:p w14:paraId="180B1131" w14:textId="77777777" w:rsidR="008C0001" w:rsidRPr="00407D80" w:rsidRDefault="008C0001" w:rsidP="00407D80">
      <w:pPr>
        <w:bidi/>
        <w:spacing w:before="120" w:after="120" w:line="276" w:lineRule="auto"/>
        <w:rPr>
          <w:rFonts w:asciiTheme="minorBidi" w:hAnsiTheme="minorBidi"/>
        </w:rPr>
      </w:pPr>
      <w:r w:rsidRPr="00407D80">
        <w:rPr>
          <w:rFonts w:asciiTheme="minorBidi" w:eastAsia="Sakkal Majalla" w:hAnsiTheme="minorBidi"/>
          <w:color w:val="000000"/>
          <w:rtl/>
        </w:rPr>
        <w:t>ثالثاً: تستند الدراسة إلى الاستجابات الذاتية للممارسين (</w:t>
      </w:r>
      <w:proofErr w:type="spellStart"/>
      <w:r w:rsidRPr="00407D80">
        <w:rPr>
          <w:rFonts w:asciiTheme="minorBidi" w:eastAsia="Sakkal Majalla" w:hAnsiTheme="minorBidi"/>
          <w:color w:val="000000"/>
          <w:rtl/>
        </w:rPr>
        <w:t>Self-Reported</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Data</w:t>
      </w:r>
      <w:proofErr w:type="spellEnd"/>
      <w:r w:rsidRPr="00407D80">
        <w:rPr>
          <w:rFonts w:asciiTheme="minorBidi" w:eastAsia="Sakkal Majalla" w:hAnsiTheme="minorBidi"/>
          <w:color w:val="000000"/>
          <w:rtl/>
        </w:rPr>
        <w:t>) دون مقارنتها بأرقام أداء فعلية من المنصات أو من نظم CRM، مما يعرض النتائج لتحيزات الإدراك الذاتي. ويستحسن في الدراسات المستقبلية اعتماد منهج مزدوج يجمع بين الاستبانة والبيانات الفعلية للحملات.</w:t>
      </w:r>
    </w:p>
    <w:p w14:paraId="7B9F5233" w14:textId="77777777" w:rsidR="008C0001" w:rsidRPr="00407D80" w:rsidRDefault="008C0001" w:rsidP="00407D80">
      <w:pPr>
        <w:bidi/>
        <w:spacing w:before="120" w:after="120" w:line="276" w:lineRule="auto"/>
        <w:rPr>
          <w:rFonts w:asciiTheme="minorBidi" w:hAnsiTheme="minorBidi"/>
        </w:rPr>
      </w:pPr>
      <w:r w:rsidRPr="00407D80">
        <w:rPr>
          <w:rFonts w:asciiTheme="minorBidi" w:eastAsia="Sakkal Majalla" w:hAnsiTheme="minorBidi"/>
          <w:color w:val="000000"/>
          <w:rtl/>
        </w:rPr>
        <w:t>رابعاً: عبارات بعض المحاور تمت كتابتها بصيغ متعددة الاتجاه، حيث تجمع بين العبارات الإيجابية والسلبية ضمن المحور ذاته دون توزيع متوازن، مما تطلب إعادة الترميز قبل التحليل. ويوصى بمراجعة بنية المقياس قبل تطبيقه على عينة موسعة في الدراسات اللاحقة.</w:t>
      </w:r>
    </w:p>
    <w:p w14:paraId="2A2160B8" w14:textId="77777777" w:rsidR="008C0001" w:rsidRPr="00407D80" w:rsidRDefault="008C0001" w:rsidP="00407D80">
      <w:pPr>
        <w:bidi/>
        <w:spacing w:before="120" w:after="120" w:line="276" w:lineRule="auto"/>
        <w:rPr>
          <w:rFonts w:asciiTheme="minorBidi" w:hAnsiTheme="minorBidi"/>
        </w:rPr>
      </w:pPr>
      <w:r w:rsidRPr="00407D80">
        <w:rPr>
          <w:rFonts w:asciiTheme="minorBidi" w:eastAsia="Sakkal Majalla" w:hAnsiTheme="minorBidi"/>
          <w:color w:val="000000"/>
          <w:rtl/>
        </w:rPr>
        <w:t>وبهذا يكون الفصل الرابع قد قدم عرضاً تفصيلياً لنتائج التحليل الإحصائي لبيانات الدراسة، بدءاً من توصيف خصائص العينة، ومروراً باختبار ثبات المقياس وصدقه، وانتهاءً بتحليل الارتباط والانحدار. وقد كشفت هذه التحليلات عن مفارقة بحثية لافتة تتمثل في الاعتماد القهري على مؤشرات الأداء الرقمية رغم انخفاض الثقة فيها، وهي النتيجة التي ستتم مناقشتها وتفسيرها بشكل أعمق في الفصل الخامس، في ضوء الإطار النظري للدراسة وأدبيات البحث ذات الصلة، تمهيداً لصياغة التوصيات وتحديد آفاق البحث المستقبلي.</w:t>
      </w:r>
    </w:p>
    <w:p w14:paraId="21F137D7" w14:textId="6A99B6C8" w:rsidR="00407D80" w:rsidRPr="00407D80" w:rsidRDefault="008C0001" w:rsidP="00407D80">
      <w:pPr>
        <w:spacing w:line="276" w:lineRule="auto"/>
        <w:rPr>
          <w:rFonts w:asciiTheme="minorBidi" w:hAnsiTheme="minorBidi"/>
        </w:rPr>
      </w:pPr>
      <w:r w:rsidRPr="00407D80">
        <w:rPr>
          <w:rFonts w:asciiTheme="minorBidi" w:hAnsiTheme="minorBidi"/>
        </w:rPr>
        <w:br w:type="page"/>
      </w:r>
    </w:p>
    <w:p w14:paraId="160D6BA0" w14:textId="54C7611C" w:rsidR="008C0001" w:rsidRPr="00407D80" w:rsidRDefault="008C0001" w:rsidP="00407D80">
      <w:pPr>
        <w:pStyle w:val="Heading1"/>
        <w:bidi/>
        <w:rPr>
          <w:rFonts w:cstheme="minorBidi"/>
          <w:b w:val="0"/>
          <w:bCs/>
        </w:rPr>
      </w:pPr>
      <w:bookmarkStart w:id="70" w:name="_Toc228065417"/>
      <w:r w:rsidRPr="00407D80">
        <w:rPr>
          <w:rFonts w:cstheme="minorBidi"/>
          <w:b w:val="0"/>
          <w:bCs/>
          <w:rtl/>
        </w:rPr>
        <w:lastRenderedPageBreak/>
        <w:t>مناقشة نتائج فروض الدراسة</w:t>
      </w:r>
      <w:bookmarkEnd w:id="70"/>
    </w:p>
    <w:p w14:paraId="1BE6A721"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بناءً على النتائج الإحصائية التي تم عرضها في الفصل الرابع، يمكن مناقشة فروض الدراسة الثلاثة من خلال ربطها بالنتائج التي تم التوصل إليها، وذلك على النحو التالي:</w:t>
      </w:r>
    </w:p>
    <w:p w14:paraId="7AA653D5" w14:textId="77777777" w:rsidR="008C0001" w:rsidRPr="00407D80" w:rsidRDefault="008C0001" w:rsidP="00407D80">
      <w:pPr>
        <w:bidi/>
        <w:spacing w:before="200" w:after="160" w:line="276" w:lineRule="auto"/>
        <w:rPr>
          <w:rFonts w:asciiTheme="minorBidi" w:hAnsiTheme="minorBidi"/>
        </w:rPr>
      </w:pPr>
      <w:r w:rsidRPr="00407D80">
        <w:rPr>
          <w:rFonts w:asciiTheme="minorBidi" w:eastAsia="Sakkal Majalla" w:hAnsiTheme="minorBidi"/>
          <w:color w:val="000000"/>
          <w:sz w:val="28"/>
          <w:szCs w:val="28"/>
          <w:rtl/>
        </w:rPr>
        <w:t>مناقشة الفرضية الرئيسية</w:t>
      </w:r>
    </w:p>
    <w:p w14:paraId="59EB1115"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تنص الفرضية الرئيسية للدراسة على أنه "توجد علاقة ذات دلالة إحصائية بين دقة مؤشرات الأداء التي تقدمها منصات الإعلانات الرقمية وجودة القرار التسويقي لدى المسوقين". وقد كشفت نتائج تحليل الارتباط عن وجود علاقة دالة إحصائياً بين دقة المؤشرات وجودة القرار التسويقي، إلا أن هذه العلاقة جاءت في اتجاه عكسي (r = -0.385، p = 0.033)، وهو ما يخالف الاتجاه التقليدي المتوقع نظرياً. ويعني ذلك أن الممارسين الذين يدركون انخفاض دقة المؤشرات هم أنفسهم الأكثر اعتماداً عليها في صناعة قراراتهم التسويقية.</w:t>
      </w:r>
    </w:p>
    <w:p w14:paraId="29FB3277"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وقد تأكد هذا الاتجاه في تحليل الانحدار الخطي المتعدد، حيث جاء معامل بيتا للمحور الأول (الدقة) سالباً (β = -0.403)، وقريباً من حد الدلالة الإحصائية (p = 0.089). وتدعم هذه النتيجة فرضية وجود حالة من الاعتماد القهري على المؤشرات الرقمية، وهي حالة لم تكن متوقعة عند صياغة الفروض في الخطة البحثية، ولكنها برزت بقوة في النتائج الميدانية، وتتطلب تأصيلاً نظرياً يتجاوز نظرية اتخاذ القرار المبني على البيانات التي اعتمد عليها الإطار النظري الأصلي للدراسة.</w:t>
      </w:r>
    </w:p>
    <w:p w14:paraId="24CBBEEC" w14:textId="77777777" w:rsidR="008C0001" w:rsidRPr="00407D80" w:rsidRDefault="008C0001" w:rsidP="00407D80">
      <w:pPr>
        <w:bidi/>
        <w:spacing w:before="200" w:after="160" w:line="276" w:lineRule="auto"/>
        <w:rPr>
          <w:rFonts w:asciiTheme="minorBidi" w:hAnsiTheme="minorBidi"/>
        </w:rPr>
      </w:pPr>
      <w:r w:rsidRPr="00407D80">
        <w:rPr>
          <w:rFonts w:asciiTheme="minorBidi" w:eastAsia="Sakkal Majalla" w:hAnsiTheme="minorBidi"/>
          <w:color w:val="000000"/>
          <w:sz w:val="28"/>
          <w:szCs w:val="28"/>
          <w:rtl/>
        </w:rPr>
        <w:t>مناقشة الفرضية الفرعية الأولى</w:t>
      </w:r>
    </w:p>
    <w:p w14:paraId="37682659"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تنص الفرضية الفرعية الأولى على أنه "توجد علاقة ذات دلالة إحصائية بين مدى اعتماد المسوقين على مؤشرات الأداء التي تقدمها منصات الإعلانات الرقمية وجودة القرارات التسويقية". وتشير نتائج الدراسة إلى أن أفراد العينة يعتمدون اعتماداً مرتفعاً على مؤشرات الأداء في صناعة قراراتهم، حيث بلغ متوسط المحور الثالث (4.151) وهو أعلى المحاور ترتيباً. كما أظهرت الإحصاءات الوصفية أن العبارة الأعلى متوسطاً في المقياس بأكمله كانت "كلما كانت الأرقام أكثر دقة، كان القرار التسويقي أفضل" بمتوسط (4.323)، مما يدل على وعي مرتفع بأهمية الدقة من الناحية النظرية.</w:t>
      </w:r>
    </w:p>
    <w:p w14:paraId="3193EA2B" w14:textId="77777777" w:rsidR="008C0001" w:rsidRPr="00407D80" w:rsidRDefault="008C0001" w:rsidP="00407D80">
      <w:pPr>
        <w:bidi/>
        <w:spacing w:before="120" w:after="120" w:line="276" w:lineRule="auto"/>
        <w:jc w:val="both"/>
        <w:rPr>
          <w:rFonts w:asciiTheme="minorBidi" w:hAnsiTheme="minorBidi"/>
          <w:sz w:val="22"/>
          <w:szCs w:val="22"/>
        </w:rPr>
      </w:pPr>
      <w:r w:rsidRPr="00407D80">
        <w:rPr>
          <w:rFonts w:asciiTheme="minorBidi" w:eastAsia="Sakkal Majalla" w:hAnsiTheme="minorBidi"/>
          <w:color w:val="000000"/>
          <w:rtl/>
        </w:rPr>
        <w:t xml:space="preserve">وعلى الرغم من هذا الوعي النظري بأهمية الدقة، فإن السلوك الفعلي للمسوقين يكشف عن نمط مختلف، حيث ينخفض حرصهم على المقارنة بالنتائج الفعلية بشكل ملحوظ. فقد بلغ متوسط العبارة (أحرص على مقارنة بيانات المنصة مع البيانات الداخلية قبل اتخاذ القرار) قيمة (1.677) بمستوى منخفض جداً، وهو ما يكشف عن فجوة واضحة بين الإدراك المعرفي للأهمية والممارسة الفعلية في الميدان. وتتوافق هذه النتيجة مع ما أشارت إليه دراسة </w:t>
      </w:r>
      <w:proofErr w:type="spellStart"/>
      <w:r w:rsidRPr="00407D80">
        <w:rPr>
          <w:rFonts w:asciiTheme="minorBidi" w:eastAsia="Sakkal Majalla" w:hAnsiTheme="minorBidi"/>
          <w:color w:val="000000"/>
          <w:rtl/>
        </w:rPr>
        <w:t>Vollrath</w:t>
      </w:r>
      <w:proofErr w:type="spellEnd"/>
      <w:r w:rsidRPr="00407D80">
        <w:rPr>
          <w:rFonts w:asciiTheme="minorBidi" w:eastAsia="Sakkal Majalla" w:hAnsiTheme="minorBidi"/>
          <w:color w:val="000000"/>
          <w:rtl/>
        </w:rPr>
        <w:t xml:space="preserve"> </w:t>
      </w:r>
      <w:proofErr w:type="gramStart"/>
      <w:r w:rsidRPr="00407D80">
        <w:rPr>
          <w:rFonts w:asciiTheme="minorBidi" w:eastAsia="Sakkal Majalla" w:hAnsiTheme="minorBidi"/>
          <w:color w:val="000000"/>
          <w:rtl/>
        </w:rPr>
        <w:t xml:space="preserve">و </w:t>
      </w:r>
      <w:proofErr w:type="spellStart"/>
      <w:r w:rsidRPr="00407D80">
        <w:rPr>
          <w:rFonts w:asciiTheme="minorBidi" w:eastAsia="Sakkal Majalla" w:hAnsiTheme="minorBidi"/>
          <w:color w:val="000000"/>
          <w:rtl/>
        </w:rPr>
        <w:t>Villegas</w:t>
      </w:r>
      <w:proofErr w:type="spellEnd"/>
      <w:proofErr w:type="gramEnd"/>
      <w:r w:rsidRPr="00407D80">
        <w:rPr>
          <w:rFonts w:asciiTheme="minorBidi" w:eastAsia="Sakkal Majalla" w:hAnsiTheme="minorBidi"/>
          <w:color w:val="000000"/>
          <w:rtl/>
        </w:rPr>
        <w:t xml:space="preserve"> (2021) من أن التركيز المفرط على بعض المؤشرات الرقمية قد يؤدي إلى ما يسمى بقصر النظر التحليلي.</w:t>
      </w:r>
    </w:p>
    <w:p w14:paraId="128B3230" w14:textId="77777777" w:rsidR="008C0001" w:rsidRPr="00407D80" w:rsidRDefault="008C0001" w:rsidP="00407D80">
      <w:pPr>
        <w:bidi/>
        <w:spacing w:before="200" w:after="160" w:line="276" w:lineRule="auto"/>
        <w:rPr>
          <w:rFonts w:asciiTheme="minorBidi" w:hAnsiTheme="minorBidi"/>
        </w:rPr>
      </w:pPr>
      <w:r w:rsidRPr="00407D80">
        <w:rPr>
          <w:rFonts w:asciiTheme="minorBidi" w:eastAsia="Sakkal Majalla" w:hAnsiTheme="minorBidi"/>
          <w:color w:val="000000"/>
          <w:sz w:val="28"/>
          <w:szCs w:val="28"/>
          <w:rtl/>
        </w:rPr>
        <w:t>مناقشة الفرضية الفرعية الثانية</w:t>
      </w:r>
    </w:p>
    <w:p w14:paraId="0111289E"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تنص الفرضية الفرعية الثانية على أنه "تؤثر دقة مؤشرات الأداء التي تقدمها منصات الإعلانات الرقمية على القرارات المتعلقة بإدارة الحملات الإعلانية". وقد جاءت النتائج متناقضة جزئياً مع ما هو متوقع نظرياً، حيث أظهر تحليل الارتباط أن العلاقة بين دقة المؤشرات وقرارات إدارة الحملات لم تكن دالة إحصائياً عند مستوى (0.05)، ولكن العلاقة العكسية بين المحور الأول والثالث (r = -0.385) تشير إلى أن الممارسين يستخدمون المؤشرات بصرف النظر عن إدراكهم لدقتها.</w:t>
      </w:r>
    </w:p>
    <w:p w14:paraId="0A4FEC53"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وتتفق هذه النتيجة مع ما توصلت إليه دراسة </w:t>
      </w:r>
      <w:proofErr w:type="spellStart"/>
      <w:r w:rsidRPr="00407D80">
        <w:rPr>
          <w:rFonts w:asciiTheme="minorBidi" w:eastAsia="Sakkal Majalla" w:hAnsiTheme="minorBidi"/>
          <w:color w:val="000000"/>
          <w:rtl/>
        </w:rPr>
        <w:t>Berman</w:t>
      </w:r>
      <w:proofErr w:type="spellEnd"/>
      <w:r w:rsidRPr="00407D80">
        <w:rPr>
          <w:rFonts w:asciiTheme="minorBidi" w:eastAsia="Sakkal Majalla" w:hAnsiTheme="minorBidi"/>
          <w:color w:val="000000"/>
          <w:rtl/>
        </w:rPr>
        <w:t xml:space="preserve"> وآخرون (2018) من أن نموذج اللمسة الأخيرة في الإسناد يؤدي إلى تقدير غير دقيق لقيمة الأداء بين القنوات الإعلانية المختلفة، ومع ذلك فإن المسوقين يستمرون في الاعتماد عليه. كما تتسق مع نتائج دراسة </w:t>
      </w:r>
      <w:proofErr w:type="spellStart"/>
      <w:r w:rsidRPr="00407D80">
        <w:rPr>
          <w:rFonts w:asciiTheme="minorBidi" w:eastAsia="Sakkal Majalla" w:hAnsiTheme="minorBidi"/>
          <w:color w:val="000000"/>
          <w:rtl/>
        </w:rPr>
        <w:t>Gu</w:t>
      </w:r>
      <w:proofErr w:type="spellEnd"/>
      <w:r w:rsidRPr="00407D80">
        <w:rPr>
          <w:rFonts w:asciiTheme="minorBidi" w:eastAsia="Sakkal Majalla" w:hAnsiTheme="minorBidi"/>
          <w:color w:val="000000"/>
          <w:rtl/>
        </w:rPr>
        <w:t xml:space="preserve"> وآخرون (2021) التي أكدت أن الاعتماد على بعض مؤشرات الأداء التقليدية قد يؤدي إلى المبالغة في تقدير التأثير الحقيقي للإعلانات. ويفسر الباحث ذلك بأن الممارسين يعرفون نظرياً أن هناك إشكاليات في الدقة، ولكنهم يفتقرون إلى البدائل العملية الكافية للتعامل معها، </w:t>
      </w:r>
      <w:proofErr w:type="spellStart"/>
      <w:r w:rsidRPr="00407D80">
        <w:rPr>
          <w:rFonts w:asciiTheme="minorBidi" w:eastAsia="Sakkal Majalla" w:hAnsiTheme="minorBidi"/>
          <w:color w:val="000000"/>
          <w:rtl/>
        </w:rPr>
        <w:t>فيلجأون</w:t>
      </w:r>
      <w:proofErr w:type="spellEnd"/>
      <w:r w:rsidRPr="00407D80">
        <w:rPr>
          <w:rFonts w:asciiTheme="minorBidi" w:eastAsia="Sakkal Majalla" w:hAnsiTheme="minorBidi"/>
          <w:color w:val="000000"/>
          <w:rtl/>
        </w:rPr>
        <w:t xml:space="preserve"> إلى استخدام ما هو متاح من مؤشرات.</w:t>
      </w:r>
    </w:p>
    <w:p w14:paraId="3729E51A" w14:textId="77777777" w:rsidR="008C0001" w:rsidRPr="00407D80" w:rsidRDefault="008C0001" w:rsidP="00407D80">
      <w:pPr>
        <w:bidi/>
        <w:spacing w:before="200" w:after="160" w:line="276" w:lineRule="auto"/>
        <w:rPr>
          <w:rFonts w:asciiTheme="minorBidi" w:hAnsiTheme="minorBidi"/>
        </w:rPr>
      </w:pPr>
      <w:r w:rsidRPr="00407D80">
        <w:rPr>
          <w:rFonts w:asciiTheme="minorBidi" w:eastAsia="Sakkal Majalla" w:hAnsiTheme="minorBidi"/>
          <w:color w:val="000000"/>
          <w:sz w:val="28"/>
          <w:szCs w:val="28"/>
          <w:rtl/>
        </w:rPr>
        <w:lastRenderedPageBreak/>
        <w:t>مناقشة الفرضية الفرعية الثالثة</w:t>
      </w:r>
    </w:p>
    <w:p w14:paraId="5D46D738" w14:textId="77777777" w:rsidR="008C0001" w:rsidRPr="00407D80" w:rsidRDefault="008C0001" w:rsidP="00407D80">
      <w:pPr>
        <w:bidi/>
        <w:spacing w:before="120" w:after="120" w:line="276" w:lineRule="auto"/>
        <w:jc w:val="both"/>
        <w:rPr>
          <w:rFonts w:asciiTheme="minorBidi" w:hAnsiTheme="minorBidi"/>
          <w:sz w:val="22"/>
          <w:szCs w:val="22"/>
        </w:rPr>
      </w:pPr>
      <w:r w:rsidRPr="00407D80">
        <w:rPr>
          <w:rFonts w:asciiTheme="minorBidi" w:eastAsia="Sakkal Majalla" w:hAnsiTheme="minorBidi"/>
          <w:color w:val="000000"/>
          <w:rtl/>
        </w:rPr>
        <w:t>تنص الفرضية الفرعية الثالثة على أنه "توجد علاقة ذات دلالة إحصائية بين مستوى ثقة المسوقين في مؤشرات الأداء التي تقدمها منصات الإعلانات الرقمية وجودة القرار التسويقي". وقد كشفت نتائج الدراسة عن نتيجة لافتة تتعلق بهذه الفرضية، حيث لم تكن العلاقة بين الثقة في بيانات المنصة (المحور الثاني) وتأثير المؤشرات على القرار (المحور الثالث) دالة إحصائياً (r = -0.156، p = 0.402).</w:t>
      </w:r>
    </w:p>
    <w:p w14:paraId="01BB6D7E" w14:textId="77777777" w:rsidR="008C0001" w:rsidRPr="00407D80" w:rsidRDefault="008C0001" w:rsidP="00407D80">
      <w:pPr>
        <w:bidi/>
        <w:spacing w:before="120" w:after="120" w:line="276" w:lineRule="auto"/>
        <w:jc w:val="both"/>
        <w:rPr>
          <w:rFonts w:asciiTheme="minorBidi" w:hAnsiTheme="minorBidi"/>
          <w:sz w:val="22"/>
          <w:szCs w:val="22"/>
        </w:rPr>
      </w:pPr>
      <w:r w:rsidRPr="00407D80">
        <w:rPr>
          <w:rFonts w:asciiTheme="minorBidi" w:eastAsia="Sakkal Majalla" w:hAnsiTheme="minorBidi"/>
          <w:color w:val="000000"/>
          <w:rtl/>
        </w:rPr>
        <w:t xml:space="preserve">ويعني ذلك أن مستوى الثقة في الأرقام لا يرتبط ارتباطاً مباشراً بمستوى الاعتماد عليها في صناعة القرار، وهي نتيجة تخالف ما تفترضه نظرية اتخاذ القرار المبني على البيانات. في المقابل، ظهرت علاقة ارتباط طردية قوية جداً بين الثقة في البيانات ومدى تطابقها مع النتائج الفعلية (r = 0.746)، وهو ما يدل على أن الثقة لدى الممارسين تتشكل من خلال خبرة التحقق المتراكمة، وليس من خلال انطباعات ذاتية. وتتسق هذه النتيجة مع ما توصلت إليه دراسة </w:t>
      </w:r>
      <w:proofErr w:type="spellStart"/>
      <w:r w:rsidRPr="00407D80">
        <w:rPr>
          <w:rFonts w:asciiTheme="minorBidi" w:eastAsia="Sakkal Majalla" w:hAnsiTheme="minorBidi"/>
          <w:color w:val="000000"/>
          <w:rtl/>
        </w:rPr>
        <w:t>Ghasemaghaei</w:t>
      </w:r>
      <w:proofErr w:type="spellEnd"/>
      <w:r w:rsidRPr="00407D80">
        <w:rPr>
          <w:rFonts w:asciiTheme="minorBidi" w:eastAsia="Sakkal Majalla" w:hAnsiTheme="minorBidi"/>
          <w:color w:val="000000"/>
          <w:rtl/>
        </w:rPr>
        <w:t xml:space="preserve"> (2019) من أن جودة البيانات ودقتها ترتبط ارتباطاً مباشراً بتحسين جودة القرارات الإدارية، ولكنها تختلف معها في أن الدراسة الحالية تكشف عن استمرار الاعتماد على هذه البيانات حتى في غياب الثقة الكاملة بها.</w:t>
      </w:r>
    </w:p>
    <w:p w14:paraId="0E642EB4" w14:textId="343BA685" w:rsidR="008C0001" w:rsidRPr="00407D80" w:rsidRDefault="008C0001" w:rsidP="00407D80">
      <w:pPr>
        <w:pStyle w:val="Heading1"/>
        <w:bidi/>
        <w:rPr>
          <w:rFonts w:cstheme="minorBidi"/>
          <w:b w:val="0"/>
          <w:bCs/>
        </w:rPr>
      </w:pPr>
      <w:bookmarkStart w:id="71" w:name="_Toc228065418"/>
      <w:r w:rsidRPr="00407D80">
        <w:rPr>
          <w:rFonts w:cstheme="minorBidi"/>
          <w:b w:val="0"/>
          <w:bCs/>
          <w:rtl/>
        </w:rPr>
        <w:t>المفارقة المركزية للدراسة وظاهرة الاعتماد القهري</w:t>
      </w:r>
      <w:bookmarkEnd w:id="71"/>
    </w:p>
    <w:p w14:paraId="34605E26"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تكشف نتائج الدراسة عن مفارقة بحثية مركزية يمكن وصفها بأنها جوهر الإسهام النظري والتطبيقي لهذا البحث. فقد أظهرت الإحصاءات الوصفية أن أفراد العينة يقرون بانخفاض دقة المؤشرات الإعلانية، وضعف ثقتهم فيها، ووجود فجوة واضحة بين أرقامها والنتائج الفعلية، ومع ذلك فإنهم يستخدمونها بكثافة عالية في صناعة قراراتهم التسويقية. ويمكن تسمية هذه الظاهرة بـ "الاعتماد القهري" (</w:t>
      </w:r>
      <w:proofErr w:type="spellStart"/>
      <w:r w:rsidRPr="00407D80">
        <w:rPr>
          <w:rFonts w:asciiTheme="minorBidi" w:eastAsia="Sakkal Majalla" w:hAnsiTheme="minorBidi"/>
          <w:color w:val="000000"/>
          <w:rtl/>
        </w:rPr>
        <w:t>Forced</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Reliance</w:t>
      </w:r>
      <w:proofErr w:type="spellEnd"/>
      <w:r w:rsidRPr="00407D80">
        <w:rPr>
          <w:rFonts w:asciiTheme="minorBidi" w:eastAsia="Sakkal Majalla" w:hAnsiTheme="minorBidi"/>
          <w:color w:val="000000"/>
          <w:rtl/>
        </w:rPr>
        <w:t>)، وهو مصطلح يعبر عن حالة الاعتماد على أداة قياس مع الإدراك الكامل لمحدوديتها، وذلك في غياب البدائل العملية الكافية.</w:t>
      </w:r>
    </w:p>
    <w:p w14:paraId="7008AF78"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وعلى الرغم من أن الإطار النظري الأصلي للدراسة استند إلى نظرية اتخاذ القرار المبني على البيانات (</w:t>
      </w:r>
      <w:proofErr w:type="spellStart"/>
      <w:r w:rsidRPr="00407D80">
        <w:rPr>
          <w:rFonts w:asciiTheme="minorBidi" w:eastAsia="Sakkal Majalla" w:hAnsiTheme="minorBidi"/>
          <w:color w:val="000000"/>
          <w:rtl/>
        </w:rPr>
        <w:t>Data</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Driven</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Decision</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Making</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Theory</w:t>
      </w:r>
      <w:proofErr w:type="spellEnd"/>
      <w:r w:rsidRPr="00407D80">
        <w:rPr>
          <w:rFonts w:asciiTheme="minorBidi" w:eastAsia="Sakkal Majalla" w:hAnsiTheme="minorBidi"/>
          <w:color w:val="000000"/>
          <w:rtl/>
        </w:rPr>
        <w:t>)، فإن هذه النتيجة تستدعي توسيع الإطار النظري ليشمل نظرية العقلانية المحدودة (</w:t>
      </w:r>
      <w:proofErr w:type="spellStart"/>
      <w:r w:rsidRPr="00407D80">
        <w:rPr>
          <w:rFonts w:asciiTheme="minorBidi" w:eastAsia="Sakkal Majalla" w:hAnsiTheme="minorBidi"/>
          <w:color w:val="000000"/>
          <w:rtl/>
        </w:rPr>
        <w:t>Bounded</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Rationality</w:t>
      </w:r>
      <w:proofErr w:type="spellEnd"/>
      <w:r w:rsidRPr="00407D80">
        <w:rPr>
          <w:rFonts w:asciiTheme="minorBidi" w:eastAsia="Sakkal Majalla" w:hAnsiTheme="minorBidi"/>
          <w:color w:val="000000"/>
          <w:rtl/>
        </w:rPr>
        <w:t xml:space="preserve">) لـ </w:t>
      </w:r>
      <w:proofErr w:type="spellStart"/>
      <w:r w:rsidRPr="00407D80">
        <w:rPr>
          <w:rFonts w:asciiTheme="minorBidi" w:eastAsia="Sakkal Majalla" w:hAnsiTheme="minorBidi"/>
          <w:color w:val="000000"/>
          <w:rtl/>
        </w:rPr>
        <w:t>Herbert</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Simon</w:t>
      </w:r>
      <w:proofErr w:type="spellEnd"/>
      <w:r w:rsidRPr="00407D80">
        <w:rPr>
          <w:rFonts w:asciiTheme="minorBidi" w:eastAsia="Sakkal Majalla" w:hAnsiTheme="minorBidi"/>
          <w:color w:val="000000"/>
          <w:rtl/>
        </w:rPr>
        <w:t>، التي تفترض أن متخذ القرار في الواقع لا يعمل في ظل عقلانية مطلقة، وإنما يعمل ضمن قيود ثلاث أساسية، وهي محدودية المعلومات المتاحة، ومحدودية القدرة المعرفية على معالجتها، ومحدودية الوقت المتاح لاتخاذ القرار.</w:t>
      </w:r>
    </w:p>
    <w:p w14:paraId="18407C5E"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وعند تطبيق هذه النظرية على نتائج الدراسة، يتضح أن المسوق المتخصص في الإعلانات الرقمية يعمل في بيئة تتسم بهذه القيود الثلاثة بشكل واضح. فمن جهة المعلومات، تتعدد المنصات الإعلانية وتختلف آليات قياسها للأداء، ويصعب على الممارس الوصول إلى صورة موحدة ودقيقة للأداء الفعلي. ومن جهة القدرة المعرفية، يتطلب التحقق من دقة كل مؤشر معرفة تقنية متخصصة بنماذج الإسناد ونوافذ التتبع. ومن جهة الوقت، تخضع الحملات الإعلانية لضغوط زمنية يومية تتطلب اتخاذ قرارات سريعة لا تحتمل الانتظار للتحقق الكامل من البيانات. وفي ظل هذه القيود، يلجأ الممارسون إلى ما يسميه </w:t>
      </w:r>
      <w:proofErr w:type="spellStart"/>
      <w:r w:rsidRPr="00407D80">
        <w:rPr>
          <w:rFonts w:asciiTheme="minorBidi" w:eastAsia="Sakkal Majalla" w:hAnsiTheme="minorBidi"/>
          <w:color w:val="000000"/>
          <w:rtl/>
        </w:rPr>
        <w:t>Simon</w:t>
      </w:r>
      <w:proofErr w:type="spellEnd"/>
      <w:r w:rsidRPr="00407D80">
        <w:rPr>
          <w:rFonts w:asciiTheme="minorBidi" w:eastAsia="Sakkal Majalla" w:hAnsiTheme="minorBidi"/>
          <w:color w:val="000000"/>
          <w:rtl/>
        </w:rPr>
        <w:t xml:space="preserve"> بـ "الرضا الكافي" (</w:t>
      </w:r>
      <w:proofErr w:type="spellStart"/>
      <w:r w:rsidRPr="00407D80">
        <w:rPr>
          <w:rFonts w:asciiTheme="minorBidi" w:eastAsia="Sakkal Majalla" w:hAnsiTheme="minorBidi"/>
          <w:color w:val="000000"/>
          <w:rtl/>
        </w:rPr>
        <w:t>Satisficing</w:t>
      </w:r>
      <w:proofErr w:type="spellEnd"/>
      <w:r w:rsidRPr="00407D80">
        <w:rPr>
          <w:rFonts w:asciiTheme="minorBidi" w:eastAsia="Sakkal Majalla" w:hAnsiTheme="minorBidi"/>
          <w:color w:val="000000"/>
          <w:rtl/>
        </w:rPr>
        <w:t>)، وهو الاكتفاء بحلول مقبولة عملياً وليس بالحلول المثلى نظرياً.</w:t>
      </w:r>
    </w:p>
    <w:p w14:paraId="7CEFD9AB"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وتنسجم هذه القراءة مع نتائج الدراسة بشكل لافت. فالممارسون يدركون أن مؤشرات المنصة ليست الحل الأمثل، ولكنها تمثل الحل المتاح والمقبول الذي يتيح لهم اتخاذ القرارات في ظل ضغوط الواقع المهني. كما أن هذه المؤشرات تمثل ما يمكن تسميته باللغة المشتركة (</w:t>
      </w:r>
      <w:proofErr w:type="spellStart"/>
      <w:r w:rsidRPr="00407D80">
        <w:rPr>
          <w:rFonts w:asciiTheme="minorBidi" w:eastAsia="Sakkal Majalla" w:hAnsiTheme="minorBidi"/>
          <w:color w:val="000000"/>
          <w:rtl/>
        </w:rPr>
        <w:t>Common</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Language</w:t>
      </w:r>
      <w:proofErr w:type="spellEnd"/>
      <w:r w:rsidRPr="00407D80">
        <w:rPr>
          <w:rFonts w:asciiTheme="minorBidi" w:eastAsia="Sakkal Majalla" w:hAnsiTheme="minorBidi"/>
          <w:color w:val="000000"/>
          <w:rtl/>
        </w:rPr>
        <w:t>) بين الفرق التسويقية والإدارة العليا والوكالات الإعلانية، حيث يتم بناء التقارير وتقييم الأداء وتخصيص الميزانيات بناءً عليها. وبذلك يصبح الخروج عنها ليس قراراً تقنياً فحسب، بل قراراً تنظيمياً معقداً، يفسر استمرار الاعتماد القهري حتى في ظل وعي مرتفع بمحدوديتها.</w:t>
      </w:r>
    </w:p>
    <w:p w14:paraId="187E65D1" w14:textId="46169B02" w:rsidR="008C0001" w:rsidRPr="00407D80" w:rsidRDefault="008C0001" w:rsidP="00407D80">
      <w:pPr>
        <w:pStyle w:val="Heading1"/>
        <w:bidi/>
        <w:rPr>
          <w:rFonts w:cstheme="minorBidi"/>
          <w:b w:val="0"/>
          <w:bCs/>
        </w:rPr>
      </w:pPr>
      <w:bookmarkStart w:id="72" w:name="_Toc228065419"/>
      <w:r w:rsidRPr="00407D80">
        <w:rPr>
          <w:rFonts w:eastAsia="Sakkal Majalla" w:cstheme="minorBidi"/>
          <w:b w:val="0"/>
          <w:bCs/>
          <w:rtl/>
        </w:rPr>
        <w:t>ربط النتائج بالدراسات السابقة</w:t>
      </w:r>
      <w:bookmarkEnd w:id="72"/>
    </w:p>
    <w:p w14:paraId="4414BD98"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تتقاطع نتائج هذه الدراسة مع عدد من الدراسات السابقة التي تم استعراضها في الإطار النظري، وتختلف معها في جوانب أخرى، وذلك على النحو التالي:</w:t>
      </w:r>
    </w:p>
    <w:p w14:paraId="6ABA52AC"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lastRenderedPageBreak/>
        <w:t xml:space="preserve">أولاً: على صعيد التوافق مع الدراسات السابقة، تتفق نتائج هذه الدراسة مع ما توصلت إليه دراسة </w:t>
      </w:r>
      <w:proofErr w:type="spellStart"/>
      <w:r w:rsidRPr="00407D80">
        <w:rPr>
          <w:rFonts w:asciiTheme="minorBidi" w:eastAsia="Sakkal Majalla" w:hAnsiTheme="minorBidi"/>
          <w:color w:val="000000"/>
          <w:rtl/>
        </w:rPr>
        <w:t>Bajrami</w:t>
      </w:r>
      <w:proofErr w:type="spellEnd"/>
      <w:r w:rsidRPr="00407D80">
        <w:rPr>
          <w:rFonts w:asciiTheme="minorBidi" w:eastAsia="Sakkal Majalla" w:hAnsiTheme="minorBidi"/>
          <w:color w:val="000000"/>
          <w:rtl/>
        </w:rPr>
        <w:t xml:space="preserve"> وآخرون (2025) من أن استخدام تحليلات البيانات الضخمة يسهم بشكل كبير في تحسين تخصيص الميزانيات الإعلانية، حيث أظهرت الدراسة الحالية اعتماداً واسعاً للمسوقين السعوديين على هذه التحليلات في قرارات الميزانية. كما تتفق مع دراسة </w:t>
      </w:r>
      <w:proofErr w:type="spellStart"/>
      <w:r w:rsidRPr="00407D80">
        <w:rPr>
          <w:rFonts w:asciiTheme="minorBidi" w:eastAsia="Sakkal Majalla" w:hAnsiTheme="minorBidi"/>
          <w:color w:val="000000"/>
          <w:rtl/>
        </w:rPr>
        <w:t>Mintz</w:t>
      </w:r>
      <w:proofErr w:type="spellEnd"/>
      <w:r w:rsidRPr="00407D80">
        <w:rPr>
          <w:rFonts w:asciiTheme="minorBidi" w:eastAsia="Sakkal Majalla" w:hAnsiTheme="minorBidi"/>
          <w:color w:val="000000"/>
          <w:rtl/>
        </w:rPr>
        <w:t xml:space="preserve"> وآخرون (2021) في أن اختيار المؤشرات المناسبة يؤثر على جودة القرارات التسويقية، إلا أن الدراسة الحالية تضيف بعداً جديداً يتمثل في أن مجرد توافر المؤشرات لا يضمن جودة القرار، بل تتداخل عوامل أخرى تتعلق بدقتها ومستوى الثقة فيها. وتتسق كذلك مع نتائج دراسة </w:t>
      </w:r>
      <w:proofErr w:type="spellStart"/>
      <w:r w:rsidRPr="00407D80">
        <w:rPr>
          <w:rFonts w:asciiTheme="minorBidi" w:eastAsia="Sakkal Majalla" w:hAnsiTheme="minorBidi"/>
          <w:color w:val="000000"/>
          <w:rtl/>
        </w:rPr>
        <w:t>Almestarihi</w:t>
      </w:r>
      <w:proofErr w:type="spellEnd"/>
      <w:r w:rsidRPr="00407D80">
        <w:rPr>
          <w:rFonts w:asciiTheme="minorBidi" w:eastAsia="Sakkal Majalla" w:hAnsiTheme="minorBidi"/>
          <w:color w:val="000000"/>
          <w:rtl/>
        </w:rPr>
        <w:t xml:space="preserve"> وآخرون (2024) في أن قياس العائد على الاستثمار في الإعلانات المدفوعة عملية متعددة الأبعاد ترتبط بعوامل مثل الإنفاق الإعلاني ومعدلات التحويل ودقة الإسناد.</w:t>
      </w:r>
    </w:p>
    <w:p w14:paraId="09028441"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ثانياً: على صعيد الاختلاف، تختلف نتائج هذه الدراسة مع التوقعات النظرية لدراسة </w:t>
      </w:r>
      <w:proofErr w:type="spellStart"/>
      <w:r w:rsidRPr="00407D80">
        <w:rPr>
          <w:rFonts w:asciiTheme="minorBidi" w:eastAsia="Sakkal Majalla" w:hAnsiTheme="minorBidi"/>
          <w:color w:val="000000"/>
          <w:rtl/>
        </w:rPr>
        <w:t>Haverila</w:t>
      </w:r>
      <w:proofErr w:type="spellEnd"/>
      <w:r w:rsidRPr="00407D80">
        <w:rPr>
          <w:rFonts w:asciiTheme="minorBidi" w:eastAsia="Sakkal Majalla" w:hAnsiTheme="minorBidi"/>
          <w:color w:val="000000"/>
          <w:rtl/>
        </w:rPr>
        <w:t xml:space="preserve"> وآخرون (2025) التي افترضت أن جودة البيانات تنعكس مباشرة على جودة القرار التسويقي. فالدراسة الحالية تكشف عن أن الممارسين يستخدمون البيانات بكثافة حتى مع إدراكهم لمحدوديتها، وهو ما يضع علامة استفهام على افتراض الانعكاس المباشر. كما تختلف في جزء من نتائجها مع دراسة </w:t>
      </w:r>
      <w:proofErr w:type="spellStart"/>
      <w:r w:rsidRPr="00407D80">
        <w:rPr>
          <w:rFonts w:asciiTheme="minorBidi" w:eastAsia="Sakkal Majalla" w:hAnsiTheme="minorBidi"/>
          <w:color w:val="000000"/>
          <w:rtl/>
        </w:rPr>
        <w:t>Saura</w:t>
      </w:r>
      <w:proofErr w:type="spellEnd"/>
      <w:r w:rsidRPr="00407D80">
        <w:rPr>
          <w:rFonts w:asciiTheme="minorBidi" w:eastAsia="Sakkal Majalla" w:hAnsiTheme="minorBidi"/>
          <w:color w:val="000000"/>
          <w:rtl/>
        </w:rPr>
        <w:t xml:space="preserve"> (2021) التي ركزت على الجانب التحليلي البحت لمؤشرات الأداء، دون أن تتطرق إلى البعد السلوكي للممارس وعلاقته العاطفية والمهنية بهذه المؤشرات.</w:t>
      </w:r>
    </w:p>
    <w:p w14:paraId="40985714"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ثالثاً: على صعيد الإضافة المعرفية، تقدم هذه الدراسة إسهاماً جديداً في الأدبيات البحثية لمجال التسويق الرقمي من خلال طرح مفهوم الاعتماد القهري على المؤشرات الرقمية، وربطه بنظرية العقلانية المحدودة. ويعد هذا الإسهام إضافة نوعية في البيئة السعودية التي تعاني من ندرة الدراسات التطبيقية في هذا المجال، حيث ركزت معظم الدراسات السابقة إما على الجوانب التقنية للمؤشرات وإما على الجوانب الإستراتيجية للإعلانات الرقمية، دون التعمق في الفجوة بين الإدراك والممارسة لدى المسوقين أنفسهم.</w:t>
      </w:r>
    </w:p>
    <w:p w14:paraId="2F516D36" w14:textId="1BFDBA62" w:rsidR="008C0001" w:rsidRPr="00407D80" w:rsidRDefault="008C0001" w:rsidP="00407D80">
      <w:pPr>
        <w:pStyle w:val="Heading1"/>
        <w:bidi/>
        <w:rPr>
          <w:rFonts w:cstheme="minorBidi"/>
          <w:b w:val="0"/>
          <w:bCs/>
        </w:rPr>
      </w:pPr>
      <w:bookmarkStart w:id="73" w:name="_Toc228065420"/>
      <w:r w:rsidRPr="00407D80">
        <w:rPr>
          <w:rFonts w:cstheme="minorBidi"/>
          <w:b w:val="0"/>
          <w:bCs/>
          <w:rtl/>
        </w:rPr>
        <w:t>الاستنتاجات العامة للدراسة</w:t>
      </w:r>
      <w:bookmarkEnd w:id="73"/>
    </w:p>
    <w:p w14:paraId="61D78D60"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في ضوء النتائج التي تم التوصل إليها ومناقشتها، يمكن استخلاص مجموعة من الاستنتاجات العامة التي تمثل خلاصة الدراسة، وذلك على النحو التالي:</w:t>
      </w:r>
    </w:p>
    <w:p w14:paraId="25579722"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أولاً: يعتمد المسوقون السعوديون اعتماداً واسعاً على مؤشرات الأداء التي تقدمها منصات الإعلانات الرقمية في صناعة قراراتهم التسويقية، خاصة فيما يتعلق بقرارات الميزانية، وتعديل الجمهور المستهدف، وتحسين المحتوى الإعلاني.</w:t>
      </w:r>
    </w:p>
    <w:p w14:paraId="2C4DC579"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ثانياً: يدرك الممارسون في مجال التسويق الرقمي محدودية دقة المؤشرات التي تعرضها المنصات الإعلانية، ويعترفون بوجود فجوة بين أرقام المنصة والنتائج الفعلية على أرض الواقع، ومع ذلك فإنهم يستمرون في الاعتماد عليها بشكل مكثف.</w:t>
      </w:r>
    </w:p>
    <w:p w14:paraId="3E9D8FCB" w14:textId="77777777" w:rsidR="008C0001" w:rsidRPr="00407D80" w:rsidRDefault="008C0001" w:rsidP="00407D80">
      <w:pPr>
        <w:bidi/>
        <w:spacing w:before="120" w:after="120" w:line="276" w:lineRule="auto"/>
        <w:jc w:val="both"/>
        <w:rPr>
          <w:rFonts w:asciiTheme="minorBidi" w:hAnsiTheme="minorBidi"/>
          <w:sz w:val="22"/>
          <w:szCs w:val="22"/>
        </w:rPr>
      </w:pPr>
      <w:r w:rsidRPr="00407D80">
        <w:rPr>
          <w:rFonts w:asciiTheme="minorBidi" w:eastAsia="Sakkal Majalla" w:hAnsiTheme="minorBidi"/>
          <w:color w:val="000000"/>
          <w:rtl/>
        </w:rPr>
        <w:t>ثالثاً: تتشكل الثقة في بيانات المنصات الإعلانية لدى الممارسين من خلال خبرة التحقق المتراكمة، وليس من خلال انطباعات ذاتية، حيث ظهرت علاقة ارتباط طردية قوية جداً بين مستوى الثقة وتطابق الأرقام مع النتائج الفعلية.</w:t>
      </w:r>
    </w:p>
    <w:p w14:paraId="3DA23A9C"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رابعاً: تكشف الدراسة عن وجود ظاهرة الاعتماد القهري على المؤشرات الرقمية، وهي ظاهرة تنسجم مع نظرية العقلانية المحدودة، حيث يلجأ الممارسون إلى استخدام المؤشرات المتاحة في غياب البدائل العملية الكافية، وفي ظل ضغوط الوقت ومحدودية المعلومات.</w:t>
      </w:r>
    </w:p>
    <w:p w14:paraId="13AF40AD"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خامساً: لا يرتبط مستوى الاعتماد على المؤشرات في صناعة القرار ارتباطاً مباشراً بمستوى الثقة فيها، وهي نتيجة تستدعي إعادة النظر في النماذج النظرية التقليدية لاتخاذ القرار التسويقي، وتطوير نماذج أكثر مرونة تأخذ في الاعتبار البعد التنظيمي والمهني لاستخدام المؤشرات.</w:t>
      </w:r>
    </w:p>
    <w:p w14:paraId="4550E3B2"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سادساً: تختلف دقة المؤشرات بين منصات الإعلانات الرقمية المختلفة، وذلك نتيجة اختلاف نماذج التتبع ونوافذ الإسناد وأساليب احتساب التحويلات، وهو ما يؤدي إلى اختلاف النتائج التي تقدمها هذه المنصات حول أداء الحملات الإعلانية ذاتها.</w:t>
      </w:r>
    </w:p>
    <w:p w14:paraId="4B3BFC01"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سابعاً: يواجه الممارسون في مجال التسويق الرقمي عدداً من التحديات عند الاعتماد على المؤشرات في تقييم الحملات، أبرزها صعوبة التحقق من الأرقام، ومحدودية أدوات المقارنة بين المنصات، وضغوط الوقت في اتخاذ القرارات اليومية.</w:t>
      </w:r>
    </w:p>
    <w:p w14:paraId="573F921F" w14:textId="08576B4C" w:rsidR="008C0001" w:rsidRPr="00407D80" w:rsidRDefault="008C0001" w:rsidP="00407D80">
      <w:pPr>
        <w:pStyle w:val="Heading1"/>
        <w:bidi/>
        <w:rPr>
          <w:rFonts w:cstheme="minorBidi"/>
          <w:b w:val="0"/>
          <w:bCs/>
        </w:rPr>
      </w:pPr>
      <w:bookmarkStart w:id="74" w:name="_Toc228065421"/>
      <w:r w:rsidRPr="00407D80">
        <w:rPr>
          <w:rFonts w:cstheme="minorBidi"/>
          <w:b w:val="0"/>
          <w:bCs/>
          <w:rtl/>
        </w:rPr>
        <w:lastRenderedPageBreak/>
        <w:t>توصيات الدراسة</w:t>
      </w:r>
      <w:bookmarkEnd w:id="74"/>
    </w:p>
    <w:p w14:paraId="3CD58E59"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في ضوء النتائج والاستنتاجات التي تم التوصل إليها، تقدم الدراسة مجموعة من التوصيات العملية الموجهة إلى المسوقين ومديري الحملات الإعلانية والمؤسسات العاملة في مجال التسويق الرقمي، وذلك على النحو التالي:</w:t>
      </w:r>
    </w:p>
    <w:p w14:paraId="67C2B310" w14:textId="77777777" w:rsidR="008C0001" w:rsidRPr="00407D80" w:rsidRDefault="008C0001" w:rsidP="00407D80">
      <w:pPr>
        <w:bidi/>
        <w:spacing w:before="200" w:after="160" w:line="276" w:lineRule="auto"/>
        <w:rPr>
          <w:rFonts w:asciiTheme="minorBidi" w:hAnsiTheme="minorBidi"/>
          <w:sz w:val="22"/>
          <w:szCs w:val="22"/>
        </w:rPr>
      </w:pPr>
      <w:r w:rsidRPr="00407D80">
        <w:rPr>
          <w:rFonts w:asciiTheme="minorBidi" w:eastAsia="Sakkal Majalla" w:hAnsiTheme="minorBidi"/>
          <w:color w:val="000000"/>
          <w:rtl/>
        </w:rPr>
        <w:t>أولاً: توصيات للمسوقين ومديري الحملات الإعلانية</w:t>
      </w:r>
    </w:p>
    <w:p w14:paraId="335C58A3" w14:textId="77777777" w:rsidR="008C0001" w:rsidRPr="00407D80" w:rsidRDefault="008C0001" w:rsidP="00407D80">
      <w:pPr>
        <w:bidi/>
        <w:spacing w:before="120" w:after="80" w:line="276" w:lineRule="auto"/>
        <w:rPr>
          <w:rFonts w:asciiTheme="minorBidi" w:hAnsiTheme="minorBidi"/>
          <w:sz w:val="22"/>
          <w:szCs w:val="22"/>
        </w:rPr>
      </w:pPr>
      <w:r w:rsidRPr="00407D80">
        <w:rPr>
          <w:rFonts w:asciiTheme="minorBidi" w:eastAsia="Sakkal Majalla" w:hAnsiTheme="minorBidi"/>
          <w:color w:val="000000"/>
          <w:rtl/>
        </w:rPr>
        <w:t xml:space="preserve">• تبني منهجية التحقق المزدوج من البيانات، من خلال مقارنة أرقام المنصات الإعلانية مع البيانات الداخلية للمؤسسة من أنظمة CRM وأدوات التحليل المستقلة مثل Google </w:t>
      </w:r>
      <w:proofErr w:type="spellStart"/>
      <w:r w:rsidRPr="00407D80">
        <w:rPr>
          <w:rFonts w:asciiTheme="minorBidi" w:eastAsia="Sakkal Majalla" w:hAnsiTheme="minorBidi"/>
          <w:color w:val="000000"/>
          <w:rtl/>
        </w:rPr>
        <w:t>Analytics</w:t>
      </w:r>
      <w:proofErr w:type="spellEnd"/>
      <w:r w:rsidRPr="00407D80">
        <w:rPr>
          <w:rFonts w:asciiTheme="minorBidi" w:eastAsia="Sakkal Majalla" w:hAnsiTheme="minorBidi"/>
          <w:color w:val="000000"/>
          <w:rtl/>
        </w:rPr>
        <w:t>، قبل اتخاذ القرارات التسويقية المهمة.</w:t>
      </w:r>
    </w:p>
    <w:p w14:paraId="78C1274C" w14:textId="77777777" w:rsidR="008C0001" w:rsidRPr="00407D80" w:rsidRDefault="008C0001" w:rsidP="00407D80">
      <w:pPr>
        <w:bidi/>
        <w:spacing w:before="120" w:after="80" w:line="276" w:lineRule="auto"/>
        <w:rPr>
          <w:rFonts w:asciiTheme="minorBidi" w:hAnsiTheme="minorBidi"/>
          <w:sz w:val="22"/>
          <w:szCs w:val="22"/>
        </w:rPr>
      </w:pPr>
      <w:r w:rsidRPr="00407D80">
        <w:rPr>
          <w:rFonts w:asciiTheme="minorBidi" w:eastAsia="Sakkal Majalla" w:hAnsiTheme="minorBidi"/>
          <w:color w:val="000000"/>
          <w:rtl/>
        </w:rPr>
        <w:t>• بناء فهم متعمق لآليات احتساب المؤشرات في كل منصة إعلانية، بما يشمل نماذج الإسناد ونوافذ التتبع وأساليب احتساب التحويلات، وذلك لتفسير الفروقات بين المنصات تفسيراً صحيحاً وعدم التعامل مع كل منصة بنفس الإطار التحليلي.</w:t>
      </w:r>
    </w:p>
    <w:p w14:paraId="250D96C2" w14:textId="77777777" w:rsidR="008C0001" w:rsidRPr="00407D80" w:rsidRDefault="008C0001" w:rsidP="00407D80">
      <w:pPr>
        <w:bidi/>
        <w:spacing w:before="120" w:after="80" w:line="276" w:lineRule="auto"/>
        <w:rPr>
          <w:rFonts w:asciiTheme="minorBidi" w:hAnsiTheme="minorBidi"/>
          <w:sz w:val="22"/>
          <w:szCs w:val="22"/>
        </w:rPr>
      </w:pPr>
      <w:r w:rsidRPr="00407D80">
        <w:rPr>
          <w:rFonts w:asciiTheme="minorBidi" w:eastAsia="Sakkal Majalla" w:hAnsiTheme="minorBidi"/>
          <w:color w:val="000000"/>
          <w:rtl/>
        </w:rPr>
        <w:t>• تطوير لوحات تحكم موحدة تجمع البيانات من المنصات المختلفة وتقدمها في صورة قابلة للمقارنة، بحيث يتمكن متخذ القرار من الحصول على رؤية متكاملة للأداء بدلاً من قراءة أرقام كل منصة بشكل منفصل.</w:t>
      </w:r>
    </w:p>
    <w:p w14:paraId="155D459B" w14:textId="77777777" w:rsidR="008C0001" w:rsidRPr="00407D80" w:rsidRDefault="008C0001" w:rsidP="00407D80">
      <w:pPr>
        <w:bidi/>
        <w:spacing w:before="120" w:after="80" w:line="276" w:lineRule="auto"/>
        <w:rPr>
          <w:rFonts w:asciiTheme="minorBidi" w:hAnsiTheme="minorBidi"/>
          <w:sz w:val="22"/>
          <w:szCs w:val="22"/>
        </w:rPr>
      </w:pPr>
      <w:r w:rsidRPr="00407D80">
        <w:rPr>
          <w:rFonts w:asciiTheme="minorBidi" w:eastAsia="Sakkal Majalla" w:hAnsiTheme="minorBidi"/>
          <w:color w:val="000000"/>
          <w:rtl/>
        </w:rPr>
        <w:t>• التركيز على المؤشرات النوعية المرتبطة بسلوك العملاء وقصد الشراء، إلى جانب المؤشرات الكمية التقليدية، حيث إن المؤشرات النوعية تقدم رؤية أعمق لجودة الحملات وفاعليتها الحقيقية.</w:t>
      </w:r>
    </w:p>
    <w:p w14:paraId="3643F678" w14:textId="77777777" w:rsidR="008C0001" w:rsidRPr="00407D80" w:rsidRDefault="008C0001" w:rsidP="00407D80">
      <w:pPr>
        <w:bidi/>
        <w:spacing w:before="120" w:after="80" w:line="276" w:lineRule="auto"/>
        <w:rPr>
          <w:rFonts w:asciiTheme="minorBidi" w:hAnsiTheme="minorBidi"/>
          <w:sz w:val="22"/>
          <w:szCs w:val="22"/>
        </w:rPr>
      </w:pPr>
      <w:r w:rsidRPr="00407D80">
        <w:rPr>
          <w:rFonts w:asciiTheme="minorBidi" w:eastAsia="Sakkal Majalla" w:hAnsiTheme="minorBidi"/>
          <w:color w:val="000000"/>
          <w:rtl/>
        </w:rPr>
        <w:t>• التحفظ على القرارات المبنية على مؤشر واحد، والحرص على بناء القرارات على مجموعة من المؤشرات المتكاملة، وعدم الانجرار وراء التحسينات قصيرة المدى التي قد تظهرها بعض المؤشرات بصورة مضللة.</w:t>
      </w:r>
    </w:p>
    <w:p w14:paraId="6853250B" w14:textId="77777777" w:rsidR="008C0001" w:rsidRPr="00407D80" w:rsidRDefault="008C0001" w:rsidP="00407D80">
      <w:pPr>
        <w:bidi/>
        <w:spacing w:before="200" w:after="160" w:line="276" w:lineRule="auto"/>
        <w:rPr>
          <w:rFonts w:asciiTheme="minorBidi" w:hAnsiTheme="minorBidi"/>
          <w:sz w:val="22"/>
          <w:szCs w:val="22"/>
        </w:rPr>
      </w:pPr>
      <w:r w:rsidRPr="00407D80">
        <w:rPr>
          <w:rFonts w:asciiTheme="minorBidi" w:eastAsia="Sakkal Majalla" w:hAnsiTheme="minorBidi"/>
          <w:color w:val="000000"/>
          <w:rtl/>
        </w:rPr>
        <w:t>ثانياً: توصيات للمؤسسات والشركات</w:t>
      </w:r>
    </w:p>
    <w:p w14:paraId="58C113D3" w14:textId="77777777" w:rsidR="008C0001" w:rsidRPr="00407D80" w:rsidRDefault="008C0001" w:rsidP="00407D80">
      <w:pPr>
        <w:bidi/>
        <w:spacing w:before="120" w:after="80" w:line="276" w:lineRule="auto"/>
        <w:rPr>
          <w:rFonts w:asciiTheme="minorBidi" w:hAnsiTheme="minorBidi"/>
          <w:sz w:val="22"/>
          <w:szCs w:val="22"/>
        </w:rPr>
      </w:pPr>
      <w:r w:rsidRPr="00407D80">
        <w:rPr>
          <w:rFonts w:asciiTheme="minorBidi" w:eastAsia="Sakkal Majalla" w:hAnsiTheme="minorBidi"/>
          <w:color w:val="000000"/>
          <w:rtl/>
        </w:rPr>
        <w:t>• الاستثمار في تأهيل الكوادر التسويقية في مجال تحليل البيانات وفهم آليات قياس الأداء في المنصات الإعلانية الرقمية، حيث إن جودة القرارات التسويقية تتوقف بشكل مباشر على كفاءة من يقرأ هذه البيانات ويفسرها.</w:t>
      </w:r>
    </w:p>
    <w:p w14:paraId="02227706" w14:textId="77777777" w:rsidR="008C0001" w:rsidRPr="00407D80" w:rsidRDefault="008C0001" w:rsidP="00407D80">
      <w:pPr>
        <w:bidi/>
        <w:spacing w:before="120" w:after="80" w:line="276" w:lineRule="auto"/>
        <w:jc w:val="both"/>
        <w:rPr>
          <w:rFonts w:asciiTheme="minorBidi" w:hAnsiTheme="minorBidi"/>
        </w:rPr>
      </w:pPr>
      <w:r w:rsidRPr="00407D80">
        <w:rPr>
          <w:rFonts w:asciiTheme="minorBidi" w:eastAsia="Sakkal Majalla" w:hAnsiTheme="minorBidi"/>
          <w:color w:val="000000"/>
          <w:sz w:val="28"/>
          <w:szCs w:val="28"/>
          <w:rtl/>
        </w:rPr>
        <w:t>• إنشاء آليات داخلية مستقلة للتحقق من البيانات المعروضة في المنصات الإعلانية، وذلك من خلال أنظمة تحليلية داخلية مرتبطة بقواعد بيانات العملاء، بما يقلل الاعتماد المطلق على أرقام المنصات في القرارات التسويقية الإستراتيجية.</w:t>
      </w:r>
    </w:p>
    <w:p w14:paraId="7F3CCDD5" w14:textId="77777777" w:rsidR="008C0001" w:rsidRPr="00407D80" w:rsidRDefault="008C0001" w:rsidP="00407D80">
      <w:pPr>
        <w:bidi/>
        <w:spacing w:before="120" w:after="80" w:line="276" w:lineRule="auto"/>
        <w:rPr>
          <w:rFonts w:asciiTheme="minorBidi" w:hAnsiTheme="minorBidi"/>
          <w:sz w:val="22"/>
          <w:szCs w:val="22"/>
        </w:rPr>
      </w:pPr>
      <w:r w:rsidRPr="00407D80">
        <w:rPr>
          <w:rFonts w:asciiTheme="minorBidi" w:eastAsia="Sakkal Majalla" w:hAnsiTheme="minorBidi"/>
          <w:color w:val="000000"/>
          <w:rtl/>
        </w:rPr>
        <w:t>• تخصيص ميزانيات للبحث والتطوير في مجال أدوات قياس الأداء، خاصة في الشركات الكبرى التي تنفق ميزانيات كبيرة على الإعلانات الرقمية، حيث إن العائد على هذا الاستثمار يفوق بكثير تكلفته على المدى المتوسط والطويل.</w:t>
      </w:r>
    </w:p>
    <w:p w14:paraId="5AB16E79" w14:textId="77777777" w:rsidR="008C0001" w:rsidRPr="00407D80" w:rsidRDefault="008C0001" w:rsidP="00407D80">
      <w:pPr>
        <w:bidi/>
        <w:spacing w:before="120" w:after="80" w:line="276" w:lineRule="auto"/>
        <w:rPr>
          <w:rFonts w:asciiTheme="minorBidi" w:hAnsiTheme="minorBidi"/>
          <w:sz w:val="22"/>
          <w:szCs w:val="22"/>
        </w:rPr>
      </w:pPr>
      <w:r w:rsidRPr="00407D80">
        <w:rPr>
          <w:rFonts w:asciiTheme="minorBidi" w:eastAsia="Sakkal Majalla" w:hAnsiTheme="minorBidi"/>
          <w:color w:val="000000"/>
          <w:rtl/>
        </w:rPr>
        <w:t>• صياغة سياسات داخلية واضحة للحوكمة في القرارات التسويقية المبنية على البيانات، تحدد المؤشرات المعتمدة وكيفية التعامل مع الفروقات بين المنصات وآليات التصعيد عند ظهور تباينات لافتة في الأداء.</w:t>
      </w:r>
    </w:p>
    <w:p w14:paraId="63E7FFBB" w14:textId="77777777" w:rsidR="008C0001" w:rsidRPr="00407D80" w:rsidRDefault="008C0001" w:rsidP="00407D80">
      <w:pPr>
        <w:bidi/>
        <w:spacing w:before="200" w:after="160" w:line="276" w:lineRule="auto"/>
        <w:rPr>
          <w:rFonts w:asciiTheme="minorBidi" w:hAnsiTheme="minorBidi"/>
        </w:rPr>
      </w:pPr>
      <w:r w:rsidRPr="00407D80">
        <w:rPr>
          <w:rFonts w:asciiTheme="minorBidi" w:eastAsia="Sakkal Majalla" w:hAnsiTheme="minorBidi"/>
          <w:color w:val="000000"/>
          <w:sz w:val="28"/>
          <w:szCs w:val="28"/>
          <w:rtl/>
        </w:rPr>
        <w:t>ثالثاً: توصيات للمنصات الإعلانية</w:t>
      </w:r>
    </w:p>
    <w:p w14:paraId="564A98BA" w14:textId="77777777" w:rsidR="008C0001" w:rsidRPr="00407D80" w:rsidRDefault="008C0001" w:rsidP="00407D80">
      <w:pPr>
        <w:bidi/>
        <w:spacing w:before="120" w:after="80" w:line="276" w:lineRule="auto"/>
        <w:rPr>
          <w:rFonts w:asciiTheme="minorBidi" w:hAnsiTheme="minorBidi"/>
          <w:sz w:val="22"/>
          <w:szCs w:val="22"/>
        </w:rPr>
      </w:pPr>
      <w:r w:rsidRPr="00407D80">
        <w:rPr>
          <w:rFonts w:asciiTheme="minorBidi" w:eastAsia="Sakkal Majalla" w:hAnsiTheme="minorBidi"/>
          <w:color w:val="000000"/>
          <w:rtl/>
        </w:rPr>
        <w:t>• تعزيز الشفافية في عرض المؤشرات من خلال توضيح آليات الاحتساب، ونوافذ الإسناد المستخدمة، وحدود دقة كل مؤشر، بما يتيح للممارسين فهم البيانات في سياقها الصحيح.</w:t>
      </w:r>
    </w:p>
    <w:p w14:paraId="06D1F1B6" w14:textId="77777777" w:rsidR="008C0001" w:rsidRPr="00407D80" w:rsidRDefault="008C0001" w:rsidP="00407D80">
      <w:pPr>
        <w:bidi/>
        <w:spacing w:before="120" w:after="80" w:line="276" w:lineRule="auto"/>
        <w:rPr>
          <w:rFonts w:asciiTheme="minorBidi" w:hAnsiTheme="minorBidi"/>
          <w:sz w:val="22"/>
          <w:szCs w:val="22"/>
        </w:rPr>
      </w:pPr>
      <w:r w:rsidRPr="00407D80">
        <w:rPr>
          <w:rFonts w:asciiTheme="minorBidi" w:eastAsia="Sakkal Majalla" w:hAnsiTheme="minorBidi"/>
          <w:color w:val="000000"/>
          <w:rtl/>
        </w:rPr>
        <w:t>• توفير أدوات للمقارنة المباشرة بين بيانات المنصة والبيانات الفعلية للمعلن، من خلال تكامل أعمق مع أنظمة CRM وأدوات التحليل المستقلة، بما يقلل فجوة الثقة بين الممارسين والمنصات.</w:t>
      </w:r>
    </w:p>
    <w:p w14:paraId="3F329A4D" w14:textId="77777777" w:rsidR="008C0001" w:rsidRPr="00407D80" w:rsidRDefault="008C0001" w:rsidP="00407D80">
      <w:pPr>
        <w:bidi/>
        <w:spacing w:before="120" w:after="80" w:line="276" w:lineRule="auto"/>
        <w:rPr>
          <w:rFonts w:asciiTheme="minorBidi" w:hAnsiTheme="minorBidi"/>
          <w:sz w:val="22"/>
          <w:szCs w:val="22"/>
        </w:rPr>
      </w:pPr>
      <w:r w:rsidRPr="00407D80">
        <w:rPr>
          <w:rFonts w:asciiTheme="minorBidi" w:eastAsia="Sakkal Majalla" w:hAnsiTheme="minorBidi"/>
          <w:color w:val="000000"/>
          <w:rtl/>
        </w:rPr>
        <w:t>• تطوير معايير مشتركة بين المنصات الإعلانية الكبرى لتوحيد آليات قياس الأداء، أو على الأقل تقديم تقارير معيارية موحدة تتيح للمعلنين المقارنة العادلة بين أداء المنصات المختلفة.</w:t>
      </w:r>
    </w:p>
    <w:p w14:paraId="135644E2" w14:textId="5B5F7063" w:rsidR="008C0001" w:rsidRPr="00407D80" w:rsidRDefault="008C0001" w:rsidP="00407D80">
      <w:pPr>
        <w:pStyle w:val="Heading1"/>
        <w:bidi/>
        <w:rPr>
          <w:rFonts w:cstheme="minorBidi"/>
          <w:b w:val="0"/>
          <w:bCs/>
        </w:rPr>
      </w:pPr>
      <w:bookmarkStart w:id="75" w:name="_Toc228065422"/>
      <w:r w:rsidRPr="00407D80">
        <w:rPr>
          <w:rFonts w:cstheme="minorBidi"/>
          <w:b w:val="0"/>
          <w:bCs/>
          <w:rtl/>
        </w:rPr>
        <w:lastRenderedPageBreak/>
        <w:t>اقتراحات للدراسات المستقبلية</w:t>
      </w:r>
      <w:bookmarkEnd w:id="75"/>
    </w:p>
    <w:p w14:paraId="6F9D3B76"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في ضوء ما توصلت إليه الدراسة من نتائج، وبالنظر إلى القيود التي أشير إليها في الفصل الرابع، يقترح الباحث عدداً من الموضوعات التي يمكن أن تستكمل ما طرحته هذه الدراسة، وتعمق فهم العلاقة بين مؤشرات الأداء الرقمية وجودة القرار التسويقي:</w:t>
      </w:r>
    </w:p>
    <w:p w14:paraId="7DFF01E5"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أولاً: إجراء دراسة موسعة على عينة أكبر من المسوقين في السوق السعودية، بحيث تتجاوز العينة الـ 200 مستجيب، مما يتيح اختبار النموذج الإحصائي بقوة أعلى، والوصول إلى نتائج أكثر قابلية للتعميم.</w:t>
      </w:r>
    </w:p>
    <w:p w14:paraId="3AF89AEA"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ثانياً: دراسة مقارنة بين دقة المؤشرات في المنصات الإعلانية الرقمية المختلفة (Google </w:t>
      </w:r>
      <w:proofErr w:type="spellStart"/>
      <w:r w:rsidRPr="00407D80">
        <w:rPr>
          <w:rFonts w:asciiTheme="minorBidi" w:eastAsia="Sakkal Majalla" w:hAnsiTheme="minorBidi"/>
          <w:color w:val="000000"/>
          <w:rtl/>
        </w:rPr>
        <w:t>Ads</w:t>
      </w:r>
      <w:proofErr w:type="spellEnd"/>
      <w:r w:rsidRPr="00407D80">
        <w:rPr>
          <w:rFonts w:asciiTheme="minorBidi" w:eastAsia="Sakkal Majalla" w:hAnsiTheme="minorBidi"/>
          <w:color w:val="000000"/>
          <w:rtl/>
        </w:rPr>
        <w:t xml:space="preserve"> </w:t>
      </w:r>
      <w:proofErr w:type="gramStart"/>
      <w:r w:rsidRPr="00407D80">
        <w:rPr>
          <w:rFonts w:asciiTheme="minorBidi" w:eastAsia="Sakkal Majalla" w:hAnsiTheme="minorBidi"/>
          <w:color w:val="000000"/>
          <w:rtl/>
        </w:rPr>
        <w:t xml:space="preserve">و </w:t>
      </w:r>
      <w:proofErr w:type="spellStart"/>
      <w:r w:rsidRPr="00407D80">
        <w:rPr>
          <w:rFonts w:asciiTheme="minorBidi" w:eastAsia="Sakkal Majalla" w:hAnsiTheme="minorBidi"/>
          <w:color w:val="000000"/>
          <w:rtl/>
        </w:rPr>
        <w:t>Meta</w:t>
      </w:r>
      <w:proofErr w:type="spellEnd"/>
      <w:proofErr w:type="gram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Ads</w:t>
      </w:r>
      <w:proofErr w:type="spellEnd"/>
      <w:r w:rsidRPr="00407D80">
        <w:rPr>
          <w:rFonts w:asciiTheme="minorBidi" w:eastAsia="Sakkal Majalla" w:hAnsiTheme="minorBidi"/>
          <w:color w:val="000000"/>
          <w:rtl/>
        </w:rPr>
        <w:t xml:space="preserve"> و </w:t>
      </w:r>
      <w:proofErr w:type="spellStart"/>
      <w:r w:rsidRPr="00407D80">
        <w:rPr>
          <w:rFonts w:asciiTheme="minorBidi" w:eastAsia="Sakkal Majalla" w:hAnsiTheme="minorBidi"/>
          <w:color w:val="000000"/>
          <w:rtl/>
        </w:rPr>
        <w:t>TikTok</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Ads</w:t>
      </w:r>
      <w:proofErr w:type="spellEnd"/>
      <w:r w:rsidRPr="00407D80">
        <w:rPr>
          <w:rFonts w:asciiTheme="minorBidi" w:eastAsia="Sakkal Majalla" w:hAnsiTheme="minorBidi"/>
          <w:color w:val="000000"/>
          <w:rtl/>
        </w:rPr>
        <w:t xml:space="preserve"> و </w:t>
      </w:r>
      <w:proofErr w:type="spellStart"/>
      <w:r w:rsidRPr="00407D80">
        <w:rPr>
          <w:rFonts w:asciiTheme="minorBidi" w:eastAsia="Sakkal Majalla" w:hAnsiTheme="minorBidi"/>
          <w:color w:val="000000"/>
          <w:rtl/>
        </w:rPr>
        <w:t>Snapchat</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Ads</w:t>
      </w:r>
      <w:proofErr w:type="spellEnd"/>
      <w:r w:rsidRPr="00407D80">
        <w:rPr>
          <w:rFonts w:asciiTheme="minorBidi" w:eastAsia="Sakkal Majalla" w:hAnsiTheme="minorBidi"/>
          <w:color w:val="000000"/>
          <w:rtl/>
        </w:rPr>
        <w:t>)، باستخدام بيانات فعلية من حملات إعلانية حقيقية، وليس فقط من خلال استبانات الإدراك الذاتي.</w:t>
      </w:r>
    </w:p>
    <w:p w14:paraId="6E5BCC0F"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ثالثاً: دراسة كيفية تأثير حجم المؤسسة وقطاعها وميزانيتها الإعلانية على درجة الاعتماد القهري على المؤشرات، حيث إن من المتوقع أن تختلف هذه الظاهرة بين المؤسسات الصغيرة والكبيرة، وبين القطاعات المختلفة.</w:t>
      </w:r>
    </w:p>
    <w:p w14:paraId="52B05F79"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رابعاً: استكشاف دور أدوات الذكاء الاصطناعي والتعلم الآلي في تحسين دقة قياس أداء الحملات الإعلانية الرقمية، وإمكانية أن تشكل بديلاً عن المؤشرات التقليدية أو مكملاً لها يقلل من ظاهرة الاعتماد القهري.</w:t>
      </w:r>
    </w:p>
    <w:p w14:paraId="534B80E5"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خامساً: دراسة أعمق لظاهرة الاعتماد القهري من منظور سلوكي ونفسي، باستخدام منهجية نوعية تعتمد على المقابلات المعمقة مع المسوقين، بما يتيح فهم العوامل التنظيمية والمهنية والإدراكية التي تشكل هذه الظاهرة.</w:t>
      </w:r>
    </w:p>
    <w:p w14:paraId="129CA62A"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سادساً: تطوير نموذج نظري متكامل يجمع بين نظرية اتخاذ القرار المبني على البيانات ونظرية العقلانية المحدودة، ليفسر سلوك الممارسين في مجال التسويق الرقمي تفسيراً يأخذ في الاعتبار قيود المعلومات والوقت والإدراك.</w:t>
      </w:r>
    </w:p>
    <w:p w14:paraId="1E9F4BFD" w14:textId="77777777" w:rsidR="008C0001" w:rsidRPr="00407D80" w:rsidRDefault="008C0001" w:rsidP="00407D80">
      <w:pPr>
        <w:bidi/>
        <w:spacing w:before="120" w:after="120" w:line="276" w:lineRule="auto"/>
        <w:jc w:val="both"/>
        <w:rPr>
          <w:rFonts w:asciiTheme="minorBidi" w:hAnsiTheme="minorBidi"/>
          <w:sz w:val="22"/>
          <w:szCs w:val="22"/>
        </w:rPr>
      </w:pPr>
      <w:r w:rsidRPr="00407D80">
        <w:rPr>
          <w:rFonts w:asciiTheme="minorBidi" w:eastAsia="Sakkal Majalla" w:hAnsiTheme="minorBidi"/>
          <w:color w:val="000000"/>
          <w:rtl/>
        </w:rPr>
        <w:t>سابعاً: إجراء دراسات تطبيقية تختبر فاعلية أدوات التحقق المزدوج من بيانات المنصات الإعلانية، وقياس أثرها على جودة القرارات التسويقية في المؤسسات السعودية، بما يفتح المجال لتقديم توصيات عملية مدعومة بأدلة ميدانية.</w:t>
      </w:r>
    </w:p>
    <w:p w14:paraId="6032DB43" w14:textId="6A9D8018" w:rsidR="008C0001" w:rsidRPr="00407D80" w:rsidRDefault="008C0001" w:rsidP="00407D80">
      <w:pPr>
        <w:pStyle w:val="Heading1"/>
        <w:bidi/>
        <w:rPr>
          <w:rFonts w:cstheme="minorBidi"/>
          <w:b w:val="0"/>
          <w:bCs/>
        </w:rPr>
      </w:pPr>
      <w:bookmarkStart w:id="76" w:name="_Toc228065423"/>
      <w:r w:rsidRPr="00407D80">
        <w:rPr>
          <w:rFonts w:cstheme="minorBidi"/>
          <w:b w:val="0"/>
          <w:bCs/>
          <w:rtl/>
        </w:rPr>
        <w:t>خاتمة الدراسة</w:t>
      </w:r>
      <w:bookmarkEnd w:id="76"/>
    </w:p>
    <w:p w14:paraId="1A127594"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سعت هذه الدراسة إلى تحليل العلاقة بين مؤشرات الأداء في الإعلانات المدفوعة وجودة القرار التسويقي لدى المتخصصين في مجال التسويق الرقمي في السوق السعودية، وذلك من خلال دراسة ميدانية تحليلية أجريت على عينة من المسوقين ومديري الحملات الإعلانية. وقد استندت الدراسة إلى منهج المسح الوصفي، واعتمدت على الاستبانة كأداة رئيسية لجمع البيانات، حيث تم تطبيق سؤال فرز للتأكد من أن المستجيبين هم فعلاً من المتخصصين الذين يتعاملون مع مؤشرات الأداء في عملهم اليومي.</w:t>
      </w:r>
    </w:p>
    <w:p w14:paraId="5135793E"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 xml:space="preserve">وقد كشفت النتائج عن مفارقة بحثية مركزية تتجلى في وجود فجوة واضحة بين الإدراك والممارسة لدى المسوقين، حيث يدركون محدودية دقة مؤشرات المنصات الإعلانية ويعترفون بضعف ثقتهم فيها، ولكنهم يستمرون في الاعتماد عليها بكثافة عند صناعة قراراتهم التسويقية. وقد تم تفسير هذه الظاهرة في ضوء مفهوم الاعتماد القهري الذي طرحته الدراسة، وتم ربطه بنظرية العقلانية المحدودة لـ </w:t>
      </w:r>
      <w:proofErr w:type="spellStart"/>
      <w:r w:rsidRPr="00407D80">
        <w:rPr>
          <w:rFonts w:asciiTheme="minorBidi" w:eastAsia="Sakkal Majalla" w:hAnsiTheme="minorBidi"/>
          <w:color w:val="000000"/>
          <w:rtl/>
        </w:rPr>
        <w:t>Herbert</w:t>
      </w:r>
      <w:proofErr w:type="spellEnd"/>
      <w:r w:rsidRPr="00407D80">
        <w:rPr>
          <w:rFonts w:asciiTheme="minorBidi" w:eastAsia="Sakkal Majalla" w:hAnsiTheme="minorBidi"/>
          <w:color w:val="000000"/>
          <w:rtl/>
        </w:rPr>
        <w:t xml:space="preserve"> </w:t>
      </w:r>
      <w:proofErr w:type="spellStart"/>
      <w:r w:rsidRPr="00407D80">
        <w:rPr>
          <w:rFonts w:asciiTheme="minorBidi" w:eastAsia="Sakkal Majalla" w:hAnsiTheme="minorBidi"/>
          <w:color w:val="000000"/>
          <w:rtl/>
        </w:rPr>
        <w:t>Simon</w:t>
      </w:r>
      <w:proofErr w:type="spellEnd"/>
      <w:r w:rsidRPr="00407D80">
        <w:rPr>
          <w:rFonts w:asciiTheme="minorBidi" w:eastAsia="Sakkal Majalla" w:hAnsiTheme="minorBidi"/>
          <w:color w:val="000000"/>
          <w:rtl/>
        </w:rPr>
        <w:t>، التي تفسر سلوك متخذ القرار في ظل القيود الواقعية للمعلومات والوقت والإدراك.</w:t>
      </w:r>
    </w:p>
    <w:p w14:paraId="0B792E7F"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وتكمن أهمية هذه الدراسة في كونها واحدة من الدراسات الرائدة التي تتناول هذا البعد السلوكي للممارسين في مجال التسويق الرقمي في البيئة السعودية، وفي طرحها لمفهوم نظري جديد يضيف إلى الأدبيات البحثية في هذا المجال. كما تقدم الدراسة جملة من التوصيات العملية التي يمكن أن تسهم في تحسين جودة القرارات التسويقية المبنية على البيانات، وتقليل آثار الاعتماد القهري على المؤشرات الرقمية.</w:t>
      </w:r>
    </w:p>
    <w:p w14:paraId="42F971FD"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lastRenderedPageBreak/>
        <w:t>ولا تدعي هذه الدراسة الإحاطة الكاملة بالظاهرة محل البحث، فقد أشير في الفصل الرابع إلى مجموعة من القيود التي ينبغي مراعاتها عند تفسير النتائج، أبرزها محدودية حجم العينة واعتماد الدراسة على البيانات الذاتية للممارسين. ومن هنا يأمل الباحث أن تكون هذه الدراسة نقطة انطلاق لمزيد من البحوث المعمقة في هذا المجال، وأن تشكل إضافة متواضعة في حقل التسويق الرقمي العربي بشكل عام، والسعودي بشكل خاص.</w:t>
      </w:r>
    </w:p>
    <w:p w14:paraId="7696C50F" w14:textId="77777777" w:rsidR="008C0001" w:rsidRPr="00407D80" w:rsidRDefault="008C0001" w:rsidP="00407D80">
      <w:pPr>
        <w:bidi/>
        <w:spacing w:before="120" w:after="120" w:line="276" w:lineRule="auto"/>
        <w:rPr>
          <w:rFonts w:asciiTheme="minorBidi" w:hAnsiTheme="minorBidi"/>
          <w:sz w:val="22"/>
          <w:szCs w:val="22"/>
        </w:rPr>
      </w:pPr>
      <w:r w:rsidRPr="00407D80">
        <w:rPr>
          <w:rFonts w:asciiTheme="minorBidi" w:eastAsia="Sakkal Majalla" w:hAnsiTheme="minorBidi"/>
          <w:color w:val="000000"/>
          <w:rtl/>
        </w:rPr>
        <w:t>وفي الختام، يتقدم الباحث بخالص الشكر والامتنان لكل من ساهم في إنجاز هذه الدراسة، ويتطلع إلى أن تجد توصياتها صدى لدى المهتمين بمجال التسويق الرقمي، وأن تسهم في تطوير ممارساتنا التسويقية بما يعود بالنفع على القطاع كله، وعلى الاقتصاد الوطني في إطار رؤية المملكة العربية السعودية 2030.</w:t>
      </w:r>
    </w:p>
    <w:p w14:paraId="1112BB9A" w14:textId="77777777" w:rsidR="008C0001" w:rsidRPr="00407D80" w:rsidRDefault="008C0001" w:rsidP="00407D80">
      <w:pPr>
        <w:bidi/>
        <w:spacing w:before="280" w:after="160" w:line="276" w:lineRule="auto"/>
        <w:rPr>
          <w:rFonts w:asciiTheme="minorBidi" w:hAnsiTheme="minorBidi"/>
          <w:sz w:val="22"/>
          <w:szCs w:val="22"/>
        </w:rPr>
      </w:pPr>
      <w:r w:rsidRPr="00407D80">
        <w:rPr>
          <w:rFonts w:asciiTheme="minorBidi" w:eastAsia="Sakkal Majalla" w:hAnsiTheme="minorBidi"/>
          <w:color w:val="000000"/>
          <w:rtl/>
        </w:rPr>
        <w:t>والله ولي التوفيق.</w:t>
      </w:r>
    </w:p>
    <w:p w14:paraId="6721C556" w14:textId="77777777" w:rsidR="008C0001" w:rsidRPr="00407D80" w:rsidRDefault="008C0001" w:rsidP="008C0001">
      <w:pPr>
        <w:pStyle w:val="Heading1"/>
        <w:bidi/>
        <w:spacing w:line="276" w:lineRule="auto"/>
        <w:rPr>
          <w:rFonts w:cstheme="minorBidi"/>
          <w:b w:val="0"/>
          <w:rtl/>
        </w:rPr>
      </w:pPr>
    </w:p>
    <w:p w14:paraId="2E150C1F" w14:textId="77777777" w:rsidR="008C0001" w:rsidRPr="00407D80" w:rsidRDefault="008C0001" w:rsidP="008C0001">
      <w:pPr>
        <w:spacing w:line="276" w:lineRule="auto"/>
        <w:rPr>
          <w:rFonts w:asciiTheme="minorBidi" w:eastAsiaTheme="majorEastAsia" w:hAnsiTheme="minorBidi"/>
          <w:color w:val="000000" w:themeColor="text1"/>
          <w:sz w:val="32"/>
          <w:szCs w:val="32"/>
          <w:rtl/>
        </w:rPr>
      </w:pPr>
      <w:r w:rsidRPr="00407D80">
        <w:rPr>
          <w:rFonts w:asciiTheme="minorBidi" w:hAnsiTheme="minorBidi"/>
          <w:color w:val="000000" w:themeColor="text1"/>
          <w:rtl/>
        </w:rPr>
        <w:br w:type="page"/>
      </w:r>
    </w:p>
    <w:p w14:paraId="061C6322" w14:textId="159C73D9" w:rsidR="00D70449" w:rsidRPr="00407D80" w:rsidRDefault="00D70449" w:rsidP="00407D80">
      <w:pPr>
        <w:pStyle w:val="Heading1"/>
        <w:bidi/>
        <w:rPr>
          <w:rFonts w:cstheme="minorBidi"/>
          <w:b w:val="0"/>
          <w:bCs/>
          <w:rtl/>
        </w:rPr>
      </w:pPr>
      <w:bookmarkStart w:id="77" w:name="_Toc228065424"/>
      <w:r w:rsidRPr="00407D80">
        <w:rPr>
          <w:rFonts w:cstheme="minorBidi"/>
          <w:b w:val="0"/>
          <w:bCs/>
          <w:rtl/>
        </w:rPr>
        <w:lastRenderedPageBreak/>
        <w:t>قائمة المراجع</w:t>
      </w:r>
      <w:bookmarkEnd w:id="55"/>
      <w:bookmarkEnd w:id="56"/>
      <w:bookmarkEnd w:id="57"/>
      <w:bookmarkEnd w:id="58"/>
      <w:bookmarkEnd w:id="77"/>
    </w:p>
    <w:p w14:paraId="6043C077" w14:textId="77777777" w:rsidR="00D70449" w:rsidRPr="00407D80" w:rsidRDefault="00D70449" w:rsidP="008C0001">
      <w:pPr>
        <w:bidi/>
        <w:spacing w:line="276" w:lineRule="auto"/>
        <w:rPr>
          <w:rFonts w:asciiTheme="minorBidi" w:hAnsiTheme="minorBidi"/>
          <w:sz w:val="28"/>
          <w:szCs w:val="28"/>
          <w:rtl/>
        </w:rPr>
      </w:pPr>
    </w:p>
    <w:p w14:paraId="21E70681" w14:textId="77777777" w:rsidR="001202B3" w:rsidRPr="00407D80" w:rsidRDefault="001202B3" w:rsidP="008C0001">
      <w:pPr>
        <w:bidi/>
        <w:spacing w:line="276" w:lineRule="auto"/>
        <w:rPr>
          <w:rFonts w:asciiTheme="minorBidi" w:hAnsiTheme="minorBidi"/>
          <w:rtl/>
        </w:rPr>
      </w:pPr>
    </w:p>
    <w:p w14:paraId="36F155E2"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Al Adwan, A., Kokash, H., Al Adwan, R., &amp; Khattak, A. (2023). Data analytics in digital marketing for tracking the effectiveness of campaigns and inform strategy.</w:t>
      </w:r>
    </w:p>
    <w:p w14:paraId="6378A2D4"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Almestarihi, R., Ahmad, A. Y., Frangieh, R. H., Abualsondos, I. A., Nser, K. K., &amp; Ziani, A. (2024). Measuring the ROI of paid advertising campaigns in digital marketing and its effect on business profitability.</w:t>
      </w:r>
    </w:p>
    <w:p w14:paraId="260B9627"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Bajrami, R., Gashi, A., Bajraktari, K., &amp; Namligjiu, E. (2025). The impact of big data analytics on digital marketing decision-making: A comprehensive analysis. Innovative Marketing, 21(3), 171.</w:t>
      </w:r>
    </w:p>
    <w:p w14:paraId="258C28AA"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Bayer, E., Srinivasan, S., Riedl, E. J., &amp; Skiera, B. (2020). The impact of online display advertising and paid search advertising relative to offline advertising on firm performance and firm value. International journal of research in marketing, 37(4), 789-804.</w:t>
      </w:r>
    </w:p>
    <w:p w14:paraId="0D00DB13"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Berman, R. (2018). Beyond the last touch: Attribution in online advertising. Marketing Science, 37(5), 771-792.</w:t>
      </w:r>
    </w:p>
    <w:p w14:paraId="74E12F28"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Fulgoni, G. M., &amp; Lipsman, A. (2017). Are you using the right mobile advertising metrics? How relevant mobile measures change the cross-platform advertising equation. Journal of Advertising Research, 57(3), 245-249.</w:t>
      </w:r>
    </w:p>
    <w:p w14:paraId="7DDB07C4"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Ghasemaghaei, M., &amp; Calic, G. (2019). Can big data improve firm decision quality? The role of data quality and data diagnosticity. Decision Support Systems, 120, 38-49.</w:t>
      </w:r>
    </w:p>
    <w:p w14:paraId="56C5DC51"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Gu, T., Kuang, K., Zhu, H., Li, J., Dong, Z., Hu, W., ... &amp; Liu, Y. (2021). Estimating true post-click conversion via group-stratified counterfactual inference. In Proceedings of ACM SIGKDD Conference on Knowledge Discovery and Data Mining.</w:t>
      </w:r>
    </w:p>
    <w:p w14:paraId="7FA201D6"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Haverila, M., Haverila, K., Gani, M. O., &amp; Mohiuddin, M. (2025). The relationship between the quality of big data marketing analytics and marketing agility of firms: the impact of the decision-making role. Journal of Marketing Analytics, 13(1), 162-179.</w:t>
      </w:r>
    </w:p>
    <w:p w14:paraId="052D7CF6" w14:textId="77777777" w:rsidR="001202B3" w:rsidRPr="00407D80" w:rsidRDefault="001202B3" w:rsidP="008C0001">
      <w:pPr>
        <w:pStyle w:val="p1"/>
        <w:numPr>
          <w:ilvl w:val="0"/>
          <w:numId w:val="11"/>
        </w:numPr>
        <w:bidi/>
        <w:spacing w:line="276" w:lineRule="auto"/>
        <w:rPr>
          <w:rFonts w:asciiTheme="minorBidi" w:hAnsiTheme="minorBidi" w:cstheme="minorBidi"/>
          <w:sz w:val="22"/>
          <w:szCs w:val="22"/>
        </w:rPr>
      </w:pPr>
      <w:r w:rsidRPr="00407D80">
        <w:rPr>
          <w:rFonts w:asciiTheme="minorBidi" w:hAnsiTheme="minorBidi" w:cstheme="minorBidi"/>
          <w:sz w:val="22"/>
          <w:szCs w:val="22"/>
        </w:rPr>
        <w:t>Luzon, Y., Pinchover, R., &amp; Khmelnitsky, E. (2022). Dynamic budget allocation for social media advertising campaigns: Optimization and learning</w:t>
      </w:r>
    </w:p>
    <w:p w14:paraId="3D1F938D"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Mintz, O., Gilbride, T. J., Lenk, P., &amp; Currim, I. S. (2021). The right metrics for marketing-mix decisions. International Journal of Research in Marketing, 38(1), 32-49.</w:t>
      </w:r>
    </w:p>
    <w:p w14:paraId="7F6C6C2C"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Murphy, A. L., Peltekian, S., &amp; Gardner, D. M. (2018). Website analytics of a Google Ads campaign for a men’s mental health website: Comparative analysis. JMIR mental health, 5(4), e12428.</w:t>
      </w:r>
    </w:p>
    <w:p w14:paraId="7D7EE006"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Saura, J. R. (2021). Using data sciences in digital marketing: Framework, methods, and performance metrics. Journal of Innovation &amp; Knowledge, 6(2), 92-102.</w:t>
      </w:r>
    </w:p>
    <w:p w14:paraId="076532C1"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Shvets, A.D., Pyvavar, I.V., &amp; Silichova, T. (2024). Tools for Optimizing the Budget of an Advertising Campaign in Digital Marketing. Business Inform.</w:t>
      </w:r>
    </w:p>
    <w:p w14:paraId="5058D13B" w14:textId="77777777" w:rsidR="001202B3"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Vollrath, M.D., &amp; Villegas, S.G. (2021). Avoiding digital marketing analytics myopia: revisiting the customer decision journey as a strategic marketing framework. Journal of Marketing Analytics, 10, 106 - 113.</w:t>
      </w:r>
    </w:p>
    <w:p w14:paraId="7A5FAA55" w14:textId="21A46271" w:rsidR="008C0001" w:rsidRPr="00407D80" w:rsidRDefault="001202B3" w:rsidP="008C0001">
      <w:pPr>
        <w:pStyle w:val="ListParagraph"/>
        <w:numPr>
          <w:ilvl w:val="0"/>
          <w:numId w:val="11"/>
        </w:numPr>
        <w:bidi/>
        <w:spacing w:line="276" w:lineRule="auto"/>
        <w:rPr>
          <w:rFonts w:asciiTheme="minorBidi" w:hAnsiTheme="minorBidi"/>
          <w:sz w:val="22"/>
          <w:szCs w:val="22"/>
        </w:rPr>
      </w:pPr>
      <w:r w:rsidRPr="00407D80">
        <w:rPr>
          <w:rFonts w:asciiTheme="minorBidi" w:hAnsiTheme="minorBidi"/>
          <w:sz w:val="22"/>
          <w:szCs w:val="22"/>
        </w:rPr>
        <w:t>Wedel, M., &amp; Kannan, P. K. (2016). Marketing analytics for data-rich environments. Journal of marketing, 80(6), 97-121.</w:t>
      </w:r>
    </w:p>
    <w:p w14:paraId="3B0A9FE2" w14:textId="5875F930" w:rsidR="001202B3" w:rsidRPr="00407D80" w:rsidRDefault="001202B3" w:rsidP="00407D80">
      <w:pPr>
        <w:spacing w:line="276" w:lineRule="auto"/>
        <w:rPr>
          <w:rFonts w:asciiTheme="minorBidi" w:hAnsiTheme="minorBidi"/>
          <w:sz w:val="22"/>
          <w:szCs w:val="22"/>
          <w:rtl/>
        </w:rPr>
      </w:pPr>
    </w:p>
    <w:sectPr w:rsidR="001202B3" w:rsidRPr="00407D80" w:rsidSect="00C570C3">
      <w:footerReference w:type="even" r:id="rId9"/>
      <w:footerReference w:type="defaul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93558" w14:textId="77777777" w:rsidR="00A60D0D" w:rsidRDefault="00A60D0D" w:rsidP="00C570C3">
      <w:r>
        <w:separator/>
      </w:r>
    </w:p>
  </w:endnote>
  <w:endnote w:type="continuationSeparator" w:id="0">
    <w:p w14:paraId="210FBE0C" w14:textId="77777777" w:rsidR="00A60D0D" w:rsidRDefault="00A60D0D" w:rsidP="00C57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ourier">
    <w:altName w:val="Arial"/>
    <w:panose1 w:val="020703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1805181"/>
      <w:docPartObj>
        <w:docPartGallery w:val="Page Numbers (Bottom of Page)"/>
        <w:docPartUnique/>
      </w:docPartObj>
    </w:sdtPr>
    <w:sdtContent>
      <w:p w14:paraId="252332B3" w14:textId="2B690F17" w:rsidR="00C570C3" w:rsidRDefault="00C570C3" w:rsidP="005F02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407D80">
          <w:rPr>
            <w:rStyle w:val="PageNumber"/>
          </w:rPr>
          <w:fldChar w:fldCharType="separate"/>
        </w:r>
        <w:r w:rsidR="00407D80">
          <w:rPr>
            <w:rStyle w:val="PageNumber"/>
            <w:noProof/>
          </w:rPr>
          <w:t>2</w:t>
        </w:r>
        <w:r>
          <w:rPr>
            <w:rStyle w:val="PageNumber"/>
          </w:rPr>
          <w:fldChar w:fldCharType="end"/>
        </w:r>
      </w:p>
    </w:sdtContent>
  </w:sdt>
  <w:p w14:paraId="180C263A" w14:textId="77777777" w:rsidR="00C570C3" w:rsidRDefault="00C570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8435125"/>
      <w:docPartObj>
        <w:docPartGallery w:val="Page Numbers (Bottom of Page)"/>
        <w:docPartUnique/>
      </w:docPartObj>
    </w:sdtPr>
    <w:sdtContent>
      <w:p w14:paraId="50AB8544" w14:textId="11881460" w:rsidR="00C570C3" w:rsidRDefault="00C570C3" w:rsidP="005F02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C8CCD44" w14:textId="77777777" w:rsidR="00C570C3" w:rsidRDefault="00C57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F3D9D" w14:textId="77777777" w:rsidR="00A60D0D" w:rsidRDefault="00A60D0D" w:rsidP="00C570C3">
      <w:r>
        <w:separator/>
      </w:r>
    </w:p>
  </w:footnote>
  <w:footnote w:type="continuationSeparator" w:id="0">
    <w:p w14:paraId="624ACCD5" w14:textId="77777777" w:rsidR="00A60D0D" w:rsidRDefault="00A60D0D" w:rsidP="00C570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B87D06"/>
    <w:multiLevelType w:val="hybridMultilevel"/>
    <w:tmpl w:val="F50694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3E10467"/>
    <w:multiLevelType w:val="hybridMultilevel"/>
    <w:tmpl w:val="00341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B06665"/>
    <w:multiLevelType w:val="hybridMultilevel"/>
    <w:tmpl w:val="D454415E"/>
    <w:lvl w:ilvl="0" w:tplc="B7641C3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9A5477"/>
    <w:multiLevelType w:val="multilevel"/>
    <w:tmpl w:val="3E720B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0016A4"/>
    <w:multiLevelType w:val="hybridMultilevel"/>
    <w:tmpl w:val="F50694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40361D"/>
    <w:multiLevelType w:val="hybridMultilevel"/>
    <w:tmpl w:val="F506942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5" w15:restartNumberingAfterBreak="0">
    <w:nsid w:val="40E54C98"/>
    <w:multiLevelType w:val="hybridMultilevel"/>
    <w:tmpl w:val="F29047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374FA6"/>
    <w:multiLevelType w:val="hybridMultilevel"/>
    <w:tmpl w:val="88D49FCA"/>
    <w:lvl w:ilvl="0" w:tplc="8BD4CF2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175E1C"/>
    <w:multiLevelType w:val="hybridMultilevel"/>
    <w:tmpl w:val="68B43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875224"/>
    <w:multiLevelType w:val="hybridMultilevel"/>
    <w:tmpl w:val="C88AE6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80B6E"/>
    <w:multiLevelType w:val="hybridMultilevel"/>
    <w:tmpl w:val="F50694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D1E2DC5"/>
    <w:multiLevelType w:val="hybridMultilevel"/>
    <w:tmpl w:val="60A633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7964085">
    <w:abstractNumId w:val="18"/>
  </w:num>
  <w:num w:numId="2" w16cid:durableId="1255937117">
    <w:abstractNumId w:val="13"/>
  </w:num>
  <w:num w:numId="3" w16cid:durableId="1240167470">
    <w:abstractNumId w:val="11"/>
  </w:num>
  <w:num w:numId="4" w16cid:durableId="600650595">
    <w:abstractNumId w:val="19"/>
  </w:num>
  <w:num w:numId="5" w16cid:durableId="381558915">
    <w:abstractNumId w:val="10"/>
  </w:num>
  <w:num w:numId="6" w16cid:durableId="868878784">
    <w:abstractNumId w:val="9"/>
  </w:num>
  <w:num w:numId="7" w16cid:durableId="810828245">
    <w:abstractNumId w:val="14"/>
  </w:num>
  <w:num w:numId="8" w16cid:durableId="1700617483">
    <w:abstractNumId w:val="16"/>
  </w:num>
  <w:num w:numId="9" w16cid:durableId="1208951387">
    <w:abstractNumId w:val="15"/>
  </w:num>
  <w:num w:numId="10" w16cid:durableId="18943862">
    <w:abstractNumId w:val="17"/>
  </w:num>
  <w:num w:numId="11" w16cid:durableId="648704645">
    <w:abstractNumId w:val="20"/>
  </w:num>
  <w:num w:numId="12" w16cid:durableId="569196660">
    <w:abstractNumId w:val="12"/>
  </w:num>
  <w:num w:numId="13" w16cid:durableId="495877861">
    <w:abstractNumId w:val="8"/>
  </w:num>
  <w:num w:numId="14" w16cid:durableId="1620649673">
    <w:abstractNumId w:val="6"/>
  </w:num>
  <w:num w:numId="15" w16cid:durableId="331762611">
    <w:abstractNumId w:val="5"/>
  </w:num>
  <w:num w:numId="16" w16cid:durableId="1283154495">
    <w:abstractNumId w:val="4"/>
  </w:num>
  <w:num w:numId="17" w16cid:durableId="1272933352">
    <w:abstractNumId w:val="7"/>
  </w:num>
  <w:num w:numId="18" w16cid:durableId="1592543474">
    <w:abstractNumId w:val="3"/>
  </w:num>
  <w:num w:numId="19" w16cid:durableId="510726709">
    <w:abstractNumId w:val="2"/>
  </w:num>
  <w:num w:numId="20" w16cid:durableId="677658953">
    <w:abstractNumId w:val="1"/>
  </w:num>
  <w:num w:numId="21" w16cid:durableId="1391079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F5B"/>
    <w:rsid w:val="00014BBB"/>
    <w:rsid w:val="00027C41"/>
    <w:rsid w:val="00050F5B"/>
    <w:rsid w:val="000A2143"/>
    <w:rsid w:val="000E5C5D"/>
    <w:rsid w:val="001202B3"/>
    <w:rsid w:val="001220F4"/>
    <w:rsid w:val="00144AA6"/>
    <w:rsid w:val="001C2713"/>
    <w:rsid w:val="00291925"/>
    <w:rsid w:val="00296509"/>
    <w:rsid w:val="002A31C2"/>
    <w:rsid w:val="002D4DD9"/>
    <w:rsid w:val="003B284B"/>
    <w:rsid w:val="00407D80"/>
    <w:rsid w:val="00420B46"/>
    <w:rsid w:val="0050388D"/>
    <w:rsid w:val="00575850"/>
    <w:rsid w:val="005E1ACF"/>
    <w:rsid w:val="005E5FC8"/>
    <w:rsid w:val="0063138C"/>
    <w:rsid w:val="00681390"/>
    <w:rsid w:val="006942BD"/>
    <w:rsid w:val="006D4309"/>
    <w:rsid w:val="006E74E4"/>
    <w:rsid w:val="007234B8"/>
    <w:rsid w:val="00790B1A"/>
    <w:rsid w:val="00807B3A"/>
    <w:rsid w:val="008C0001"/>
    <w:rsid w:val="00A12A26"/>
    <w:rsid w:val="00A60D0D"/>
    <w:rsid w:val="00A6124C"/>
    <w:rsid w:val="00A75B8D"/>
    <w:rsid w:val="00AA31E0"/>
    <w:rsid w:val="00AB1D33"/>
    <w:rsid w:val="00B76250"/>
    <w:rsid w:val="00BB6456"/>
    <w:rsid w:val="00C570C3"/>
    <w:rsid w:val="00C920A4"/>
    <w:rsid w:val="00CA54F8"/>
    <w:rsid w:val="00CA6BE6"/>
    <w:rsid w:val="00D70449"/>
    <w:rsid w:val="00DA6B7C"/>
    <w:rsid w:val="00DB7372"/>
    <w:rsid w:val="00EA6958"/>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C495F"/>
  <w15:chartTrackingRefBased/>
  <w15:docId w15:val="{C197096C-66D2-D04B-88D8-FC0EDCC72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D80"/>
    <w:pPr>
      <w:keepNext/>
      <w:keepLines/>
      <w:spacing w:before="240"/>
      <w:outlineLvl w:val="0"/>
    </w:pPr>
    <w:rPr>
      <w:rFonts w:asciiTheme="minorBidi" w:eastAsiaTheme="majorEastAsia" w:hAnsiTheme="minorBidi" w:cstheme="majorBidi"/>
      <w:b/>
      <w:color w:val="000000" w:themeColor="text1"/>
      <w:sz w:val="32"/>
      <w:szCs w:val="32"/>
    </w:rPr>
  </w:style>
  <w:style w:type="paragraph" w:styleId="Heading2">
    <w:name w:val="heading 2"/>
    <w:basedOn w:val="Normal"/>
    <w:next w:val="Normal"/>
    <w:link w:val="Heading2Char"/>
    <w:uiPriority w:val="9"/>
    <w:unhideWhenUsed/>
    <w:qFormat/>
    <w:rsid w:val="00407D80"/>
    <w:pPr>
      <w:keepNext/>
      <w:keepLines/>
      <w:spacing w:before="40"/>
      <w:jc w:val="center"/>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unhideWhenUsed/>
    <w:qFormat/>
    <w:rsid w:val="003B284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C0001"/>
    <w:pPr>
      <w:keepNext/>
      <w:keepLines/>
      <w:spacing w:before="200" w:line="276" w:lineRule="auto"/>
      <w:outlineLvl w:val="3"/>
    </w:pPr>
    <w:rPr>
      <w:rFonts w:asciiTheme="majorHAnsi" w:eastAsiaTheme="majorEastAsia" w:hAnsiTheme="majorHAnsi" w:cstheme="majorBidi"/>
      <w:b/>
      <w:bCs/>
      <w:i/>
      <w:iCs/>
      <w:color w:val="4472C4" w:themeColor="accent1"/>
      <w:kern w:val="0"/>
      <w:sz w:val="28"/>
      <w:szCs w:val="22"/>
      <w:lang w:val="en-US"/>
      <w14:ligatures w14:val="none"/>
    </w:rPr>
  </w:style>
  <w:style w:type="paragraph" w:styleId="Heading5">
    <w:name w:val="heading 5"/>
    <w:basedOn w:val="Normal"/>
    <w:next w:val="Normal"/>
    <w:link w:val="Heading5Char"/>
    <w:uiPriority w:val="9"/>
    <w:semiHidden/>
    <w:unhideWhenUsed/>
    <w:qFormat/>
    <w:rsid w:val="008C0001"/>
    <w:pPr>
      <w:keepNext/>
      <w:keepLines/>
      <w:spacing w:before="200" w:line="276" w:lineRule="auto"/>
      <w:outlineLvl w:val="4"/>
    </w:pPr>
    <w:rPr>
      <w:rFonts w:asciiTheme="majorHAnsi" w:eastAsiaTheme="majorEastAsia" w:hAnsiTheme="majorHAnsi" w:cstheme="majorBidi"/>
      <w:color w:val="1F3763" w:themeColor="accent1" w:themeShade="7F"/>
      <w:kern w:val="0"/>
      <w:sz w:val="28"/>
      <w:szCs w:val="22"/>
      <w:lang w:val="en-US"/>
      <w14:ligatures w14:val="none"/>
    </w:rPr>
  </w:style>
  <w:style w:type="paragraph" w:styleId="Heading6">
    <w:name w:val="heading 6"/>
    <w:basedOn w:val="Normal"/>
    <w:next w:val="Normal"/>
    <w:link w:val="Heading6Char"/>
    <w:uiPriority w:val="9"/>
    <w:semiHidden/>
    <w:unhideWhenUsed/>
    <w:qFormat/>
    <w:rsid w:val="008C0001"/>
    <w:pPr>
      <w:keepNext/>
      <w:keepLines/>
      <w:spacing w:before="200" w:line="276" w:lineRule="auto"/>
      <w:outlineLvl w:val="5"/>
    </w:pPr>
    <w:rPr>
      <w:rFonts w:asciiTheme="majorHAnsi" w:eastAsiaTheme="majorEastAsia" w:hAnsiTheme="majorHAnsi" w:cstheme="majorBidi"/>
      <w:i/>
      <w:iCs/>
      <w:color w:val="1F3763" w:themeColor="accent1" w:themeShade="7F"/>
      <w:kern w:val="0"/>
      <w:sz w:val="28"/>
      <w:szCs w:val="22"/>
      <w:lang w:val="en-US"/>
      <w14:ligatures w14:val="none"/>
    </w:rPr>
  </w:style>
  <w:style w:type="paragraph" w:styleId="Heading7">
    <w:name w:val="heading 7"/>
    <w:basedOn w:val="Normal"/>
    <w:next w:val="Normal"/>
    <w:link w:val="Heading7Char"/>
    <w:uiPriority w:val="9"/>
    <w:semiHidden/>
    <w:unhideWhenUsed/>
    <w:qFormat/>
    <w:rsid w:val="008C0001"/>
    <w:pPr>
      <w:keepNext/>
      <w:keepLines/>
      <w:spacing w:before="200" w:line="276" w:lineRule="auto"/>
      <w:outlineLvl w:val="6"/>
    </w:pPr>
    <w:rPr>
      <w:rFonts w:asciiTheme="majorHAnsi" w:eastAsiaTheme="majorEastAsia" w:hAnsiTheme="majorHAnsi" w:cstheme="majorBidi"/>
      <w:i/>
      <w:iCs/>
      <w:color w:val="404040" w:themeColor="text1" w:themeTint="BF"/>
      <w:kern w:val="0"/>
      <w:sz w:val="28"/>
      <w:szCs w:val="22"/>
      <w:lang w:val="en-US"/>
      <w14:ligatures w14:val="none"/>
    </w:rPr>
  </w:style>
  <w:style w:type="paragraph" w:styleId="Heading8">
    <w:name w:val="heading 8"/>
    <w:basedOn w:val="Normal"/>
    <w:next w:val="Normal"/>
    <w:link w:val="Heading8Char"/>
    <w:uiPriority w:val="9"/>
    <w:semiHidden/>
    <w:unhideWhenUsed/>
    <w:qFormat/>
    <w:rsid w:val="008C0001"/>
    <w:pPr>
      <w:keepNext/>
      <w:keepLines/>
      <w:spacing w:before="200" w:line="276" w:lineRule="auto"/>
      <w:outlineLvl w:val="7"/>
    </w:pPr>
    <w:rPr>
      <w:rFonts w:asciiTheme="majorHAnsi" w:eastAsiaTheme="majorEastAsia" w:hAnsiTheme="majorHAnsi" w:cstheme="majorBidi"/>
      <w:color w:val="4472C4" w:themeColor="accent1"/>
      <w:kern w:val="0"/>
      <w:sz w:val="20"/>
      <w:szCs w:val="20"/>
      <w:lang w:val="en-US"/>
      <w14:ligatures w14:val="none"/>
    </w:rPr>
  </w:style>
  <w:style w:type="paragraph" w:styleId="Heading9">
    <w:name w:val="heading 9"/>
    <w:basedOn w:val="Normal"/>
    <w:next w:val="Normal"/>
    <w:link w:val="Heading9Char"/>
    <w:uiPriority w:val="9"/>
    <w:semiHidden/>
    <w:unhideWhenUsed/>
    <w:qFormat/>
    <w:rsid w:val="008C0001"/>
    <w:pPr>
      <w:keepNext/>
      <w:keepLines/>
      <w:spacing w:before="200" w:line="276" w:lineRule="auto"/>
      <w:outlineLvl w:val="8"/>
    </w:pPr>
    <w:rPr>
      <w:rFonts w:asciiTheme="majorHAnsi" w:eastAsiaTheme="majorEastAsia" w:hAnsiTheme="majorHAnsi" w:cstheme="majorBidi"/>
      <w:i/>
      <w:iCs/>
      <w:color w:val="404040" w:themeColor="text1" w:themeTint="BF"/>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050F5B"/>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050F5B"/>
    <w:pPr>
      <w:ind w:left="720"/>
      <w:contextualSpacing/>
    </w:pPr>
  </w:style>
  <w:style w:type="character" w:styleId="Hyperlink">
    <w:name w:val="Hyperlink"/>
    <w:basedOn w:val="DefaultParagraphFont"/>
    <w:uiPriority w:val="99"/>
    <w:unhideWhenUsed/>
    <w:rsid w:val="00D70449"/>
    <w:rPr>
      <w:color w:val="0563C1" w:themeColor="hyperlink"/>
      <w:u w:val="single"/>
    </w:rPr>
  </w:style>
  <w:style w:type="character" w:styleId="UnresolvedMention">
    <w:name w:val="Unresolved Mention"/>
    <w:basedOn w:val="DefaultParagraphFont"/>
    <w:uiPriority w:val="99"/>
    <w:semiHidden/>
    <w:unhideWhenUsed/>
    <w:rsid w:val="00D70449"/>
    <w:rPr>
      <w:color w:val="605E5C"/>
      <w:shd w:val="clear" w:color="auto" w:fill="E1DFDD"/>
    </w:rPr>
  </w:style>
  <w:style w:type="character" w:customStyle="1" w:styleId="Heading1Char">
    <w:name w:val="Heading 1 Char"/>
    <w:basedOn w:val="DefaultParagraphFont"/>
    <w:link w:val="Heading1"/>
    <w:uiPriority w:val="9"/>
    <w:rsid w:val="00407D80"/>
    <w:rPr>
      <w:rFonts w:asciiTheme="minorBidi" w:eastAsiaTheme="majorEastAsia" w:hAnsiTheme="minorBidi" w:cstheme="majorBidi"/>
      <w:b/>
      <w:color w:val="000000" w:themeColor="text1"/>
      <w:sz w:val="32"/>
      <w:szCs w:val="32"/>
    </w:rPr>
  </w:style>
  <w:style w:type="paragraph" w:styleId="TOC1">
    <w:name w:val="toc 1"/>
    <w:basedOn w:val="Normal"/>
    <w:next w:val="Normal"/>
    <w:autoRedefine/>
    <w:uiPriority w:val="39"/>
    <w:unhideWhenUsed/>
    <w:rsid w:val="00296509"/>
    <w:pPr>
      <w:spacing w:before="120"/>
    </w:pPr>
    <w:rPr>
      <w:rFonts w:cstheme="minorHAnsi"/>
      <w:b/>
      <w:bCs/>
      <w:i/>
      <w:iCs/>
      <w:szCs w:val="28"/>
    </w:rPr>
  </w:style>
  <w:style w:type="paragraph" w:styleId="Footer">
    <w:name w:val="footer"/>
    <w:basedOn w:val="Normal"/>
    <w:link w:val="FooterChar"/>
    <w:uiPriority w:val="99"/>
    <w:unhideWhenUsed/>
    <w:rsid w:val="00C570C3"/>
    <w:pPr>
      <w:tabs>
        <w:tab w:val="center" w:pos="4680"/>
        <w:tab w:val="right" w:pos="9360"/>
      </w:tabs>
    </w:pPr>
  </w:style>
  <w:style w:type="character" w:customStyle="1" w:styleId="FooterChar">
    <w:name w:val="Footer Char"/>
    <w:basedOn w:val="DefaultParagraphFont"/>
    <w:link w:val="Footer"/>
    <w:uiPriority w:val="99"/>
    <w:rsid w:val="00C570C3"/>
  </w:style>
  <w:style w:type="character" w:styleId="PageNumber">
    <w:name w:val="page number"/>
    <w:basedOn w:val="DefaultParagraphFont"/>
    <w:uiPriority w:val="99"/>
    <w:semiHidden/>
    <w:unhideWhenUsed/>
    <w:rsid w:val="00C570C3"/>
  </w:style>
  <w:style w:type="character" w:customStyle="1" w:styleId="Heading2Char">
    <w:name w:val="Heading 2 Char"/>
    <w:basedOn w:val="DefaultParagraphFont"/>
    <w:link w:val="Heading2"/>
    <w:uiPriority w:val="9"/>
    <w:rsid w:val="00407D80"/>
    <w:rPr>
      <w:rFonts w:asciiTheme="majorHAnsi" w:eastAsiaTheme="majorEastAsia" w:hAnsiTheme="majorHAnsi" w:cstheme="majorBidi"/>
      <w:color w:val="000000" w:themeColor="text1"/>
      <w:sz w:val="26"/>
      <w:szCs w:val="26"/>
    </w:rPr>
  </w:style>
  <w:style w:type="paragraph" w:styleId="Header">
    <w:name w:val="header"/>
    <w:basedOn w:val="Normal"/>
    <w:link w:val="HeaderChar"/>
    <w:uiPriority w:val="99"/>
    <w:unhideWhenUsed/>
    <w:rsid w:val="003B284B"/>
    <w:pPr>
      <w:tabs>
        <w:tab w:val="center" w:pos="4680"/>
        <w:tab w:val="right" w:pos="9360"/>
      </w:tabs>
    </w:pPr>
  </w:style>
  <w:style w:type="character" w:customStyle="1" w:styleId="HeaderChar">
    <w:name w:val="Header Char"/>
    <w:basedOn w:val="DefaultParagraphFont"/>
    <w:link w:val="Header"/>
    <w:uiPriority w:val="99"/>
    <w:rsid w:val="003B284B"/>
  </w:style>
  <w:style w:type="character" w:customStyle="1" w:styleId="Heading3Char">
    <w:name w:val="Heading 3 Char"/>
    <w:basedOn w:val="DefaultParagraphFont"/>
    <w:link w:val="Heading3"/>
    <w:uiPriority w:val="9"/>
    <w:rsid w:val="003B284B"/>
    <w:rPr>
      <w:rFonts w:asciiTheme="majorHAnsi" w:eastAsiaTheme="majorEastAsia" w:hAnsiTheme="majorHAnsi" w:cstheme="majorBidi"/>
      <w:color w:val="1F3763" w:themeColor="accent1" w:themeShade="7F"/>
    </w:rPr>
  </w:style>
  <w:style w:type="character" w:customStyle="1" w:styleId="s1">
    <w:name w:val="s1"/>
    <w:basedOn w:val="DefaultParagraphFont"/>
    <w:rsid w:val="001202B3"/>
  </w:style>
  <w:style w:type="character" w:customStyle="1" w:styleId="Heading4Char">
    <w:name w:val="Heading 4 Char"/>
    <w:basedOn w:val="DefaultParagraphFont"/>
    <w:link w:val="Heading4"/>
    <w:uiPriority w:val="9"/>
    <w:semiHidden/>
    <w:rsid w:val="008C0001"/>
    <w:rPr>
      <w:rFonts w:asciiTheme="majorHAnsi" w:eastAsiaTheme="majorEastAsia" w:hAnsiTheme="majorHAnsi" w:cstheme="majorBidi"/>
      <w:b/>
      <w:bCs/>
      <w:i/>
      <w:iCs/>
      <w:color w:val="4472C4" w:themeColor="accent1"/>
      <w:kern w:val="0"/>
      <w:sz w:val="28"/>
      <w:szCs w:val="22"/>
      <w:lang w:val="en-US"/>
      <w14:ligatures w14:val="none"/>
    </w:rPr>
  </w:style>
  <w:style w:type="character" w:customStyle="1" w:styleId="Heading5Char">
    <w:name w:val="Heading 5 Char"/>
    <w:basedOn w:val="DefaultParagraphFont"/>
    <w:link w:val="Heading5"/>
    <w:uiPriority w:val="9"/>
    <w:semiHidden/>
    <w:rsid w:val="008C0001"/>
    <w:rPr>
      <w:rFonts w:asciiTheme="majorHAnsi" w:eastAsiaTheme="majorEastAsia" w:hAnsiTheme="majorHAnsi" w:cstheme="majorBidi"/>
      <w:color w:val="1F3763" w:themeColor="accent1" w:themeShade="7F"/>
      <w:kern w:val="0"/>
      <w:sz w:val="28"/>
      <w:szCs w:val="22"/>
      <w:lang w:val="en-US"/>
      <w14:ligatures w14:val="none"/>
    </w:rPr>
  </w:style>
  <w:style w:type="character" w:customStyle="1" w:styleId="Heading6Char">
    <w:name w:val="Heading 6 Char"/>
    <w:basedOn w:val="DefaultParagraphFont"/>
    <w:link w:val="Heading6"/>
    <w:uiPriority w:val="9"/>
    <w:semiHidden/>
    <w:rsid w:val="008C0001"/>
    <w:rPr>
      <w:rFonts w:asciiTheme="majorHAnsi" w:eastAsiaTheme="majorEastAsia" w:hAnsiTheme="majorHAnsi" w:cstheme="majorBidi"/>
      <w:i/>
      <w:iCs/>
      <w:color w:val="1F3763" w:themeColor="accent1" w:themeShade="7F"/>
      <w:kern w:val="0"/>
      <w:sz w:val="28"/>
      <w:szCs w:val="22"/>
      <w:lang w:val="en-US"/>
      <w14:ligatures w14:val="none"/>
    </w:rPr>
  </w:style>
  <w:style w:type="character" w:customStyle="1" w:styleId="Heading7Char">
    <w:name w:val="Heading 7 Char"/>
    <w:basedOn w:val="DefaultParagraphFont"/>
    <w:link w:val="Heading7"/>
    <w:uiPriority w:val="9"/>
    <w:semiHidden/>
    <w:rsid w:val="008C0001"/>
    <w:rPr>
      <w:rFonts w:asciiTheme="majorHAnsi" w:eastAsiaTheme="majorEastAsia" w:hAnsiTheme="majorHAnsi" w:cstheme="majorBidi"/>
      <w:i/>
      <w:iCs/>
      <w:color w:val="404040" w:themeColor="text1" w:themeTint="BF"/>
      <w:kern w:val="0"/>
      <w:sz w:val="28"/>
      <w:szCs w:val="22"/>
      <w:lang w:val="en-US"/>
      <w14:ligatures w14:val="none"/>
    </w:rPr>
  </w:style>
  <w:style w:type="character" w:customStyle="1" w:styleId="Heading8Char">
    <w:name w:val="Heading 8 Char"/>
    <w:basedOn w:val="DefaultParagraphFont"/>
    <w:link w:val="Heading8"/>
    <w:uiPriority w:val="9"/>
    <w:semiHidden/>
    <w:rsid w:val="008C0001"/>
    <w:rPr>
      <w:rFonts w:asciiTheme="majorHAnsi" w:eastAsiaTheme="majorEastAsia" w:hAnsiTheme="majorHAnsi" w:cstheme="majorBidi"/>
      <w:color w:val="4472C4" w:themeColor="accent1"/>
      <w:kern w:val="0"/>
      <w:sz w:val="20"/>
      <w:szCs w:val="20"/>
      <w:lang w:val="en-US"/>
      <w14:ligatures w14:val="none"/>
    </w:rPr>
  </w:style>
  <w:style w:type="character" w:customStyle="1" w:styleId="Heading9Char">
    <w:name w:val="Heading 9 Char"/>
    <w:basedOn w:val="DefaultParagraphFont"/>
    <w:link w:val="Heading9"/>
    <w:uiPriority w:val="9"/>
    <w:semiHidden/>
    <w:rsid w:val="008C0001"/>
    <w:rPr>
      <w:rFonts w:asciiTheme="majorHAnsi" w:eastAsiaTheme="majorEastAsia" w:hAnsiTheme="majorHAnsi" w:cstheme="majorBidi"/>
      <w:i/>
      <w:iCs/>
      <w:color w:val="404040" w:themeColor="text1" w:themeTint="BF"/>
      <w:kern w:val="0"/>
      <w:sz w:val="20"/>
      <w:szCs w:val="20"/>
      <w:lang w:val="en-US"/>
      <w14:ligatures w14:val="none"/>
    </w:rPr>
  </w:style>
  <w:style w:type="paragraph" w:styleId="NoSpacing">
    <w:name w:val="No Spacing"/>
    <w:uiPriority w:val="1"/>
    <w:qFormat/>
    <w:rsid w:val="008C0001"/>
    <w:rPr>
      <w:rFonts w:eastAsiaTheme="minorEastAsia"/>
      <w:kern w:val="0"/>
      <w:sz w:val="22"/>
      <w:szCs w:val="22"/>
      <w:lang w:val="en-US"/>
      <w14:ligatures w14:val="none"/>
    </w:rPr>
  </w:style>
  <w:style w:type="paragraph" w:styleId="Title">
    <w:name w:val="Title"/>
    <w:basedOn w:val="Normal"/>
    <w:next w:val="Normal"/>
    <w:link w:val="TitleChar"/>
    <w:uiPriority w:val="10"/>
    <w:qFormat/>
    <w:rsid w:val="008C0001"/>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US"/>
      <w14:ligatures w14:val="none"/>
    </w:rPr>
  </w:style>
  <w:style w:type="character" w:customStyle="1" w:styleId="TitleChar">
    <w:name w:val="Title Char"/>
    <w:basedOn w:val="DefaultParagraphFont"/>
    <w:link w:val="Title"/>
    <w:uiPriority w:val="10"/>
    <w:rsid w:val="008C0001"/>
    <w:rPr>
      <w:rFonts w:asciiTheme="majorHAnsi" w:eastAsiaTheme="majorEastAsia" w:hAnsiTheme="majorHAnsi" w:cstheme="majorBidi"/>
      <w:color w:val="323E4F" w:themeColor="text2" w:themeShade="BF"/>
      <w:spacing w:val="5"/>
      <w:kern w:val="28"/>
      <w:sz w:val="52"/>
      <w:szCs w:val="52"/>
      <w:lang w:val="en-US"/>
      <w14:ligatures w14:val="none"/>
    </w:rPr>
  </w:style>
  <w:style w:type="paragraph" w:styleId="Subtitle">
    <w:name w:val="Subtitle"/>
    <w:basedOn w:val="Normal"/>
    <w:next w:val="Normal"/>
    <w:link w:val="SubtitleChar"/>
    <w:uiPriority w:val="11"/>
    <w:qFormat/>
    <w:rsid w:val="008C0001"/>
    <w:pPr>
      <w:numPr>
        <w:ilvl w:val="1"/>
      </w:numPr>
      <w:spacing w:after="200" w:line="276" w:lineRule="auto"/>
    </w:pPr>
    <w:rPr>
      <w:rFonts w:asciiTheme="majorHAnsi" w:eastAsiaTheme="majorEastAsia" w:hAnsiTheme="majorHAnsi" w:cstheme="majorBidi"/>
      <w:i/>
      <w:iCs/>
      <w:color w:val="4472C4" w:themeColor="accent1"/>
      <w:spacing w:val="15"/>
      <w:kern w:val="0"/>
      <w:lang w:val="en-US"/>
      <w14:ligatures w14:val="none"/>
    </w:rPr>
  </w:style>
  <w:style w:type="character" w:customStyle="1" w:styleId="SubtitleChar">
    <w:name w:val="Subtitle Char"/>
    <w:basedOn w:val="DefaultParagraphFont"/>
    <w:link w:val="Subtitle"/>
    <w:uiPriority w:val="11"/>
    <w:rsid w:val="008C0001"/>
    <w:rPr>
      <w:rFonts w:asciiTheme="majorHAnsi" w:eastAsiaTheme="majorEastAsia" w:hAnsiTheme="majorHAnsi" w:cstheme="majorBidi"/>
      <w:i/>
      <w:iCs/>
      <w:color w:val="4472C4" w:themeColor="accent1"/>
      <w:spacing w:val="15"/>
      <w:kern w:val="0"/>
      <w:lang w:val="en-US"/>
      <w14:ligatures w14:val="none"/>
    </w:rPr>
  </w:style>
  <w:style w:type="paragraph" w:styleId="BodyText">
    <w:name w:val="Body Text"/>
    <w:basedOn w:val="Normal"/>
    <w:link w:val="BodyTextChar"/>
    <w:uiPriority w:val="99"/>
    <w:unhideWhenUsed/>
    <w:rsid w:val="008C0001"/>
    <w:pPr>
      <w:spacing w:after="120" w:line="276" w:lineRule="auto"/>
    </w:pPr>
    <w:rPr>
      <w:rFonts w:ascii="Sakkal Majalla" w:eastAsiaTheme="minorEastAsia" w:hAnsi="Sakkal Majalla" w:cs="Sakkal Majalla"/>
      <w:kern w:val="0"/>
      <w:sz w:val="28"/>
      <w:szCs w:val="22"/>
      <w:lang w:val="en-US"/>
      <w14:ligatures w14:val="none"/>
    </w:rPr>
  </w:style>
  <w:style w:type="character" w:customStyle="1" w:styleId="BodyTextChar">
    <w:name w:val="Body Text Char"/>
    <w:basedOn w:val="DefaultParagraphFont"/>
    <w:link w:val="BodyText"/>
    <w:uiPriority w:val="99"/>
    <w:rsid w:val="008C0001"/>
    <w:rPr>
      <w:rFonts w:ascii="Sakkal Majalla" w:eastAsiaTheme="minorEastAsia" w:hAnsi="Sakkal Majalla" w:cs="Sakkal Majalla"/>
      <w:kern w:val="0"/>
      <w:sz w:val="28"/>
      <w:szCs w:val="22"/>
      <w:lang w:val="en-US"/>
      <w14:ligatures w14:val="none"/>
    </w:rPr>
  </w:style>
  <w:style w:type="paragraph" w:styleId="BodyText2">
    <w:name w:val="Body Text 2"/>
    <w:basedOn w:val="Normal"/>
    <w:link w:val="BodyText2Char"/>
    <w:uiPriority w:val="99"/>
    <w:unhideWhenUsed/>
    <w:rsid w:val="008C0001"/>
    <w:pPr>
      <w:spacing w:after="120" w:line="480" w:lineRule="auto"/>
    </w:pPr>
    <w:rPr>
      <w:rFonts w:ascii="Sakkal Majalla" w:eastAsiaTheme="minorEastAsia" w:hAnsi="Sakkal Majalla" w:cs="Sakkal Majalla"/>
      <w:kern w:val="0"/>
      <w:sz w:val="28"/>
      <w:szCs w:val="22"/>
      <w:lang w:val="en-US"/>
      <w14:ligatures w14:val="none"/>
    </w:rPr>
  </w:style>
  <w:style w:type="character" w:customStyle="1" w:styleId="BodyText2Char">
    <w:name w:val="Body Text 2 Char"/>
    <w:basedOn w:val="DefaultParagraphFont"/>
    <w:link w:val="BodyText2"/>
    <w:uiPriority w:val="99"/>
    <w:rsid w:val="008C0001"/>
    <w:rPr>
      <w:rFonts w:ascii="Sakkal Majalla" w:eastAsiaTheme="minorEastAsia" w:hAnsi="Sakkal Majalla" w:cs="Sakkal Majalla"/>
      <w:kern w:val="0"/>
      <w:sz w:val="28"/>
      <w:szCs w:val="22"/>
      <w:lang w:val="en-US"/>
      <w14:ligatures w14:val="none"/>
    </w:rPr>
  </w:style>
  <w:style w:type="paragraph" w:styleId="BodyText3">
    <w:name w:val="Body Text 3"/>
    <w:basedOn w:val="Normal"/>
    <w:link w:val="BodyText3Char"/>
    <w:uiPriority w:val="99"/>
    <w:unhideWhenUsed/>
    <w:rsid w:val="008C0001"/>
    <w:pPr>
      <w:spacing w:after="120" w:line="276" w:lineRule="auto"/>
    </w:pPr>
    <w:rPr>
      <w:rFonts w:ascii="Sakkal Majalla" w:eastAsiaTheme="minorEastAsia" w:hAnsi="Sakkal Majalla" w:cs="Sakkal Majalla"/>
      <w:kern w:val="0"/>
      <w:sz w:val="16"/>
      <w:szCs w:val="16"/>
      <w:lang w:val="en-US"/>
      <w14:ligatures w14:val="none"/>
    </w:rPr>
  </w:style>
  <w:style w:type="character" w:customStyle="1" w:styleId="BodyText3Char">
    <w:name w:val="Body Text 3 Char"/>
    <w:basedOn w:val="DefaultParagraphFont"/>
    <w:link w:val="BodyText3"/>
    <w:uiPriority w:val="99"/>
    <w:rsid w:val="008C0001"/>
    <w:rPr>
      <w:rFonts w:ascii="Sakkal Majalla" w:eastAsiaTheme="minorEastAsia" w:hAnsi="Sakkal Majalla" w:cs="Sakkal Majalla"/>
      <w:kern w:val="0"/>
      <w:sz w:val="16"/>
      <w:szCs w:val="16"/>
      <w:lang w:val="en-US"/>
      <w14:ligatures w14:val="none"/>
    </w:rPr>
  </w:style>
  <w:style w:type="paragraph" w:styleId="List">
    <w:name w:val="List"/>
    <w:basedOn w:val="Normal"/>
    <w:uiPriority w:val="99"/>
    <w:unhideWhenUsed/>
    <w:rsid w:val="008C0001"/>
    <w:pPr>
      <w:spacing w:after="200" w:line="276" w:lineRule="auto"/>
      <w:ind w:left="360" w:hanging="360"/>
      <w:contextualSpacing/>
    </w:pPr>
    <w:rPr>
      <w:rFonts w:ascii="Sakkal Majalla" w:eastAsiaTheme="minorEastAsia" w:hAnsi="Sakkal Majalla" w:cs="Sakkal Majalla"/>
      <w:kern w:val="0"/>
      <w:sz w:val="28"/>
      <w:szCs w:val="22"/>
      <w:lang w:val="en-US"/>
      <w14:ligatures w14:val="none"/>
    </w:rPr>
  </w:style>
  <w:style w:type="paragraph" w:styleId="List2">
    <w:name w:val="List 2"/>
    <w:basedOn w:val="Normal"/>
    <w:uiPriority w:val="99"/>
    <w:unhideWhenUsed/>
    <w:rsid w:val="008C0001"/>
    <w:pPr>
      <w:spacing w:after="200" w:line="276" w:lineRule="auto"/>
      <w:ind w:left="720" w:hanging="360"/>
      <w:contextualSpacing/>
    </w:pPr>
    <w:rPr>
      <w:rFonts w:ascii="Sakkal Majalla" w:eastAsiaTheme="minorEastAsia" w:hAnsi="Sakkal Majalla" w:cs="Sakkal Majalla"/>
      <w:kern w:val="0"/>
      <w:sz w:val="28"/>
      <w:szCs w:val="22"/>
      <w:lang w:val="en-US"/>
      <w14:ligatures w14:val="none"/>
    </w:rPr>
  </w:style>
  <w:style w:type="paragraph" w:styleId="List3">
    <w:name w:val="List 3"/>
    <w:basedOn w:val="Normal"/>
    <w:uiPriority w:val="99"/>
    <w:unhideWhenUsed/>
    <w:rsid w:val="008C0001"/>
    <w:pPr>
      <w:spacing w:after="200" w:line="276" w:lineRule="auto"/>
      <w:ind w:left="1080" w:hanging="360"/>
      <w:contextualSpacing/>
    </w:pPr>
    <w:rPr>
      <w:rFonts w:ascii="Sakkal Majalla" w:eastAsiaTheme="minorEastAsia" w:hAnsi="Sakkal Majalla" w:cs="Sakkal Majalla"/>
      <w:kern w:val="0"/>
      <w:sz w:val="28"/>
      <w:szCs w:val="22"/>
      <w:lang w:val="en-US"/>
      <w14:ligatures w14:val="none"/>
    </w:rPr>
  </w:style>
  <w:style w:type="paragraph" w:styleId="ListBullet">
    <w:name w:val="List Bullet"/>
    <w:basedOn w:val="Normal"/>
    <w:uiPriority w:val="99"/>
    <w:unhideWhenUsed/>
    <w:rsid w:val="008C0001"/>
    <w:pPr>
      <w:numPr>
        <w:numId w:val="13"/>
      </w:numPr>
      <w:spacing w:after="200" w:line="276" w:lineRule="auto"/>
      <w:contextualSpacing/>
    </w:pPr>
    <w:rPr>
      <w:rFonts w:ascii="Sakkal Majalla" w:eastAsiaTheme="minorEastAsia" w:hAnsi="Sakkal Majalla" w:cs="Sakkal Majalla"/>
      <w:kern w:val="0"/>
      <w:sz w:val="28"/>
      <w:szCs w:val="22"/>
      <w:lang w:val="en-US"/>
      <w14:ligatures w14:val="none"/>
    </w:rPr>
  </w:style>
  <w:style w:type="paragraph" w:styleId="ListBullet2">
    <w:name w:val="List Bullet 2"/>
    <w:basedOn w:val="Normal"/>
    <w:uiPriority w:val="99"/>
    <w:unhideWhenUsed/>
    <w:rsid w:val="008C0001"/>
    <w:pPr>
      <w:numPr>
        <w:numId w:val="14"/>
      </w:numPr>
      <w:spacing w:after="200" w:line="276" w:lineRule="auto"/>
      <w:contextualSpacing/>
    </w:pPr>
    <w:rPr>
      <w:rFonts w:ascii="Sakkal Majalla" w:eastAsiaTheme="minorEastAsia" w:hAnsi="Sakkal Majalla" w:cs="Sakkal Majalla"/>
      <w:kern w:val="0"/>
      <w:sz w:val="28"/>
      <w:szCs w:val="22"/>
      <w:lang w:val="en-US"/>
      <w14:ligatures w14:val="none"/>
    </w:rPr>
  </w:style>
  <w:style w:type="paragraph" w:styleId="ListBullet3">
    <w:name w:val="List Bullet 3"/>
    <w:basedOn w:val="Normal"/>
    <w:uiPriority w:val="99"/>
    <w:unhideWhenUsed/>
    <w:rsid w:val="008C0001"/>
    <w:pPr>
      <w:numPr>
        <w:numId w:val="15"/>
      </w:numPr>
      <w:spacing w:after="200" w:line="276" w:lineRule="auto"/>
      <w:contextualSpacing/>
    </w:pPr>
    <w:rPr>
      <w:rFonts w:ascii="Sakkal Majalla" w:eastAsiaTheme="minorEastAsia" w:hAnsi="Sakkal Majalla" w:cs="Sakkal Majalla"/>
      <w:kern w:val="0"/>
      <w:sz w:val="28"/>
      <w:szCs w:val="22"/>
      <w:lang w:val="en-US"/>
      <w14:ligatures w14:val="none"/>
    </w:rPr>
  </w:style>
  <w:style w:type="paragraph" w:styleId="ListNumber">
    <w:name w:val="List Number"/>
    <w:basedOn w:val="Normal"/>
    <w:uiPriority w:val="99"/>
    <w:unhideWhenUsed/>
    <w:rsid w:val="008C0001"/>
    <w:pPr>
      <w:numPr>
        <w:numId w:val="17"/>
      </w:numPr>
      <w:spacing w:after="200" w:line="276" w:lineRule="auto"/>
      <w:contextualSpacing/>
    </w:pPr>
    <w:rPr>
      <w:rFonts w:ascii="Sakkal Majalla" w:eastAsiaTheme="minorEastAsia" w:hAnsi="Sakkal Majalla" w:cs="Sakkal Majalla"/>
      <w:kern w:val="0"/>
      <w:sz w:val="28"/>
      <w:szCs w:val="22"/>
      <w:lang w:val="en-US"/>
      <w14:ligatures w14:val="none"/>
    </w:rPr>
  </w:style>
  <w:style w:type="paragraph" w:styleId="ListNumber2">
    <w:name w:val="List Number 2"/>
    <w:basedOn w:val="Normal"/>
    <w:uiPriority w:val="99"/>
    <w:unhideWhenUsed/>
    <w:rsid w:val="008C0001"/>
    <w:pPr>
      <w:numPr>
        <w:numId w:val="18"/>
      </w:numPr>
      <w:spacing w:after="200" w:line="276" w:lineRule="auto"/>
      <w:contextualSpacing/>
    </w:pPr>
    <w:rPr>
      <w:rFonts w:ascii="Sakkal Majalla" w:eastAsiaTheme="minorEastAsia" w:hAnsi="Sakkal Majalla" w:cs="Sakkal Majalla"/>
      <w:kern w:val="0"/>
      <w:sz w:val="28"/>
      <w:szCs w:val="22"/>
      <w:lang w:val="en-US"/>
      <w14:ligatures w14:val="none"/>
    </w:rPr>
  </w:style>
  <w:style w:type="paragraph" w:styleId="ListNumber3">
    <w:name w:val="List Number 3"/>
    <w:basedOn w:val="Normal"/>
    <w:uiPriority w:val="99"/>
    <w:unhideWhenUsed/>
    <w:rsid w:val="008C0001"/>
    <w:pPr>
      <w:numPr>
        <w:numId w:val="19"/>
      </w:numPr>
      <w:spacing w:after="200" w:line="276" w:lineRule="auto"/>
      <w:contextualSpacing/>
    </w:pPr>
    <w:rPr>
      <w:rFonts w:ascii="Sakkal Majalla" w:eastAsiaTheme="minorEastAsia" w:hAnsi="Sakkal Majalla" w:cs="Sakkal Majalla"/>
      <w:kern w:val="0"/>
      <w:sz w:val="28"/>
      <w:szCs w:val="22"/>
      <w:lang w:val="en-US"/>
      <w14:ligatures w14:val="none"/>
    </w:rPr>
  </w:style>
  <w:style w:type="paragraph" w:styleId="ListContinue">
    <w:name w:val="List Continue"/>
    <w:basedOn w:val="Normal"/>
    <w:uiPriority w:val="99"/>
    <w:unhideWhenUsed/>
    <w:rsid w:val="008C0001"/>
    <w:pPr>
      <w:spacing w:after="120" w:line="276" w:lineRule="auto"/>
      <w:ind w:left="360"/>
      <w:contextualSpacing/>
    </w:pPr>
    <w:rPr>
      <w:rFonts w:ascii="Sakkal Majalla" w:eastAsiaTheme="minorEastAsia" w:hAnsi="Sakkal Majalla" w:cs="Sakkal Majalla"/>
      <w:kern w:val="0"/>
      <w:sz w:val="28"/>
      <w:szCs w:val="22"/>
      <w:lang w:val="en-US"/>
      <w14:ligatures w14:val="none"/>
    </w:rPr>
  </w:style>
  <w:style w:type="paragraph" w:styleId="ListContinue2">
    <w:name w:val="List Continue 2"/>
    <w:basedOn w:val="Normal"/>
    <w:uiPriority w:val="99"/>
    <w:unhideWhenUsed/>
    <w:rsid w:val="008C0001"/>
    <w:pPr>
      <w:spacing w:after="120" w:line="276" w:lineRule="auto"/>
      <w:ind w:left="720"/>
      <w:contextualSpacing/>
    </w:pPr>
    <w:rPr>
      <w:rFonts w:ascii="Sakkal Majalla" w:eastAsiaTheme="minorEastAsia" w:hAnsi="Sakkal Majalla" w:cs="Sakkal Majalla"/>
      <w:kern w:val="0"/>
      <w:sz w:val="28"/>
      <w:szCs w:val="22"/>
      <w:lang w:val="en-US"/>
      <w14:ligatures w14:val="none"/>
    </w:rPr>
  </w:style>
  <w:style w:type="paragraph" w:styleId="ListContinue3">
    <w:name w:val="List Continue 3"/>
    <w:basedOn w:val="Normal"/>
    <w:uiPriority w:val="99"/>
    <w:unhideWhenUsed/>
    <w:rsid w:val="008C0001"/>
    <w:pPr>
      <w:spacing w:after="120" w:line="276" w:lineRule="auto"/>
      <w:ind w:left="1080"/>
      <w:contextualSpacing/>
    </w:pPr>
    <w:rPr>
      <w:rFonts w:ascii="Sakkal Majalla" w:eastAsiaTheme="minorEastAsia" w:hAnsi="Sakkal Majalla" w:cs="Sakkal Majalla"/>
      <w:kern w:val="0"/>
      <w:sz w:val="28"/>
      <w:szCs w:val="22"/>
      <w:lang w:val="en-US"/>
      <w14:ligatures w14:val="none"/>
    </w:rPr>
  </w:style>
  <w:style w:type="paragraph" w:styleId="MacroText">
    <w:name w:val="macro"/>
    <w:link w:val="MacroTextChar"/>
    <w:uiPriority w:val="99"/>
    <w:unhideWhenUsed/>
    <w:rsid w:val="008C0001"/>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MacroTextChar">
    <w:name w:val="Macro Text Char"/>
    <w:basedOn w:val="DefaultParagraphFont"/>
    <w:link w:val="MacroText"/>
    <w:uiPriority w:val="99"/>
    <w:rsid w:val="008C0001"/>
    <w:rPr>
      <w:rFonts w:ascii="Courier" w:eastAsiaTheme="minorEastAsia" w:hAnsi="Courier"/>
      <w:kern w:val="0"/>
      <w:sz w:val="20"/>
      <w:szCs w:val="20"/>
      <w:lang w:val="en-US"/>
      <w14:ligatures w14:val="none"/>
    </w:rPr>
  </w:style>
  <w:style w:type="paragraph" w:styleId="Quote">
    <w:name w:val="Quote"/>
    <w:basedOn w:val="Normal"/>
    <w:next w:val="Normal"/>
    <w:link w:val="QuoteChar"/>
    <w:uiPriority w:val="29"/>
    <w:qFormat/>
    <w:rsid w:val="008C0001"/>
    <w:pPr>
      <w:spacing w:after="200" w:line="276" w:lineRule="auto"/>
    </w:pPr>
    <w:rPr>
      <w:rFonts w:ascii="Sakkal Majalla" w:eastAsiaTheme="minorEastAsia" w:hAnsi="Sakkal Majalla" w:cs="Sakkal Majalla"/>
      <w:i/>
      <w:iCs/>
      <w:color w:val="000000" w:themeColor="text1"/>
      <w:kern w:val="0"/>
      <w:sz w:val="28"/>
      <w:szCs w:val="22"/>
      <w:lang w:val="en-US"/>
      <w14:ligatures w14:val="none"/>
    </w:rPr>
  </w:style>
  <w:style w:type="character" w:customStyle="1" w:styleId="QuoteChar">
    <w:name w:val="Quote Char"/>
    <w:basedOn w:val="DefaultParagraphFont"/>
    <w:link w:val="Quote"/>
    <w:uiPriority w:val="29"/>
    <w:rsid w:val="008C0001"/>
    <w:rPr>
      <w:rFonts w:ascii="Sakkal Majalla" w:eastAsiaTheme="minorEastAsia" w:hAnsi="Sakkal Majalla" w:cs="Sakkal Majalla"/>
      <w:i/>
      <w:iCs/>
      <w:color w:val="000000" w:themeColor="text1"/>
      <w:kern w:val="0"/>
      <w:sz w:val="28"/>
      <w:szCs w:val="22"/>
      <w:lang w:val="en-US"/>
      <w14:ligatures w14:val="none"/>
    </w:rPr>
  </w:style>
  <w:style w:type="paragraph" w:styleId="Caption">
    <w:name w:val="caption"/>
    <w:basedOn w:val="Normal"/>
    <w:next w:val="Normal"/>
    <w:uiPriority w:val="35"/>
    <w:semiHidden/>
    <w:unhideWhenUsed/>
    <w:qFormat/>
    <w:rsid w:val="008C0001"/>
    <w:pPr>
      <w:spacing w:after="200"/>
    </w:pPr>
    <w:rPr>
      <w:rFonts w:ascii="Sakkal Majalla" w:eastAsiaTheme="minorEastAsia" w:hAnsi="Sakkal Majalla" w:cs="Sakkal Majalla"/>
      <w:b/>
      <w:bCs/>
      <w:color w:val="4472C4" w:themeColor="accent1"/>
      <w:kern w:val="0"/>
      <w:sz w:val="18"/>
      <w:szCs w:val="18"/>
      <w:lang w:val="en-US"/>
      <w14:ligatures w14:val="none"/>
    </w:rPr>
  </w:style>
  <w:style w:type="character" w:styleId="Strong">
    <w:name w:val="Strong"/>
    <w:basedOn w:val="DefaultParagraphFont"/>
    <w:uiPriority w:val="22"/>
    <w:qFormat/>
    <w:rsid w:val="008C0001"/>
    <w:rPr>
      <w:b/>
      <w:bCs/>
    </w:rPr>
  </w:style>
  <w:style w:type="character" w:styleId="Emphasis">
    <w:name w:val="Emphasis"/>
    <w:basedOn w:val="DefaultParagraphFont"/>
    <w:uiPriority w:val="20"/>
    <w:qFormat/>
    <w:rsid w:val="008C0001"/>
    <w:rPr>
      <w:i/>
      <w:iCs/>
    </w:rPr>
  </w:style>
  <w:style w:type="paragraph" w:styleId="IntenseQuote">
    <w:name w:val="Intense Quote"/>
    <w:basedOn w:val="Normal"/>
    <w:next w:val="Normal"/>
    <w:link w:val="IntenseQuoteChar"/>
    <w:uiPriority w:val="30"/>
    <w:qFormat/>
    <w:rsid w:val="008C0001"/>
    <w:pPr>
      <w:pBdr>
        <w:bottom w:val="single" w:sz="4" w:space="4" w:color="4472C4" w:themeColor="accent1"/>
      </w:pBdr>
      <w:spacing w:before="200" w:after="280" w:line="276" w:lineRule="auto"/>
      <w:ind w:left="936" w:right="936"/>
    </w:pPr>
    <w:rPr>
      <w:rFonts w:ascii="Sakkal Majalla" w:eastAsiaTheme="minorEastAsia" w:hAnsi="Sakkal Majalla" w:cs="Sakkal Majalla"/>
      <w:b/>
      <w:bCs/>
      <w:i/>
      <w:iCs/>
      <w:color w:val="4472C4" w:themeColor="accent1"/>
      <w:kern w:val="0"/>
      <w:sz w:val="28"/>
      <w:szCs w:val="22"/>
      <w:lang w:val="en-US"/>
      <w14:ligatures w14:val="none"/>
    </w:rPr>
  </w:style>
  <w:style w:type="character" w:customStyle="1" w:styleId="IntenseQuoteChar">
    <w:name w:val="Intense Quote Char"/>
    <w:basedOn w:val="DefaultParagraphFont"/>
    <w:link w:val="IntenseQuote"/>
    <w:uiPriority w:val="30"/>
    <w:rsid w:val="008C0001"/>
    <w:rPr>
      <w:rFonts w:ascii="Sakkal Majalla" w:eastAsiaTheme="minorEastAsia" w:hAnsi="Sakkal Majalla" w:cs="Sakkal Majalla"/>
      <w:b/>
      <w:bCs/>
      <w:i/>
      <w:iCs/>
      <w:color w:val="4472C4" w:themeColor="accent1"/>
      <w:kern w:val="0"/>
      <w:sz w:val="28"/>
      <w:szCs w:val="22"/>
      <w:lang w:val="en-US"/>
      <w14:ligatures w14:val="none"/>
    </w:rPr>
  </w:style>
  <w:style w:type="character" w:styleId="SubtleEmphasis">
    <w:name w:val="Subtle Emphasis"/>
    <w:basedOn w:val="DefaultParagraphFont"/>
    <w:uiPriority w:val="19"/>
    <w:qFormat/>
    <w:rsid w:val="008C0001"/>
    <w:rPr>
      <w:i/>
      <w:iCs/>
      <w:color w:val="808080" w:themeColor="text1" w:themeTint="7F"/>
    </w:rPr>
  </w:style>
  <w:style w:type="character" w:styleId="IntenseEmphasis">
    <w:name w:val="Intense Emphasis"/>
    <w:basedOn w:val="DefaultParagraphFont"/>
    <w:uiPriority w:val="21"/>
    <w:qFormat/>
    <w:rsid w:val="008C0001"/>
    <w:rPr>
      <w:b/>
      <w:bCs/>
      <w:i/>
      <w:iCs/>
      <w:color w:val="4472C4" w:themeColor="accent1"/>
    </w:rPr>
  </w:style>
  <w:style w:type="character" w:styleId="SubtleReference">
    <w:name w:val="Subtle Reference"/>
    <w:basedOn w:val="DefaultParagraphFont"/>
    <w:uiPriority w:val="31"/>
    <w:qFormat/>
    <w:rsid w:val="008C0001"/>
    <w:rPr>
      <w:smallCaps/>
      <w:color w:val="ED7D31" w:themeColor="accent2"/>
      <w:u w:val="single"/>
    </w:rPr>
  </w:style>
  <w:style w:type="character" w:styleId="IntenseReference">
    <w:name w:val="Intense Reference"/>
    <w:basedOn w:val="DefaultParagraphFont"/>
    <w:uiPriority w:val="32"/>
    <w:qFormat/>
    <w:rsid w:val="008C0001"/>
    <w:rPr>
      <w:b/>
      <w:bCs/>
      <w:smallCaps/>
      <w:color w:val="ED7D31" w:themeColor="accent2"/>
      <w:spacing w:val="5"/>
      <w:u w:val="single"/>
    </w:rPr>
  </w:style>
  <w:style w:type="character" w:styleId="BookTitle">
    <w:name w:val="Book Title"/>
    <w:basedOn w:val="DefaultParagraphFont"/>
    <w:uiPriority w:val="33"/>
    <w:qFormat/>
    <w:rsid w:val="008C0001"/>
    <w:rPr>
      <w:b/>
      <w:bCs/>
      <w:smallCaps/>
      <w:spacing w:val="5"/>
    </w:rPr>
  </w:style>
  <w:style w:type="paragraph" w:styleId="TOCHeading">
    <w:name w:val="TOC Heading"/>
    <w:basedOn w:val="Heading1"/>
    <w:next w:val="Normal"/>
    <w:uiPriority w:val="39"/>
    <w:unhideWhenUsed/>
    <w:qFormat/>
    <w:rsid w:val="008C0001"/>
    <w:pPr>
      <w:spacing w:before="480" w:line="276" w:lineRule="auto"/>
      <w:outlineLvl w:val="9"/>
    </w:pPr>
    <w:rPr>
      <w:b w:val="0"/>
      <w:bCs/>
      <w:kern w:val="0"/>
      <w:sz w:val="28"/>
      <w:szCs w:val="28"/>
      <w:lang w:val="en-US"/>
      <w14:ligatures w14:val="none"/>
    </w:rPr>
  </w:style>
  <w:style w:type="table" w:styleId="TableGrid">
    <w:name w:val="Table Grid"/>
    <w:basedOn w:val="TableNormal"/>
    <w:uiPriority w:val="59"/>
    <w:rsid w:val="008C0001"/>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C0001"/>
    <w:rPr>
      <w:rFonts w:eastAsiaTheme="minorEastAsia"/>
      <w:color w:val="000000" w:themeColor="text1" w:themeShade="BF"/>
      <w:kern w:val="0"/>
      <w:sz w:val="22"/>
      <w:szCs w:val="22"/>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8C0001"/>
    <w:rPr>
      <w:rFonts w:eastAsiaTheme="minorEastAsia"/>
      <w:color w:val="2F5496" w:themeColor="accent1" w:themeShade="BF"/>
      <w:kern w:val="0"/>
      <w:sz w:val="22"/>
      <w:szCs w:val="22"/>
      <w:lang w:val="en-US"/>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8C0001"/>
    <w:rPr>
      <w:rFonts w:eastAsiaTheme="minorEastAsia"/>
      <w:color w:val="C45911" w:themeColor="accent2" w:themeShade="BF"/>
      <w:kern w:val="0"/>
      <w:sz w:val="22"/>
      <w:szCs w:val="22"/>
      <w:lang w:val="en-US"/>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8C0001"/>
    <w:rPr>
      <w:rFonts w:eastAsiaTheme="minorEastAsia"/>
      <w:color w:val="7B7B7B" w:themeColor="accent3" w:themeShade="BF"/>
      <w:kern w:val="0"/>
      <w:sz w:val="22"/>
      <w:szCs w:val="22"/>
      <w:lang w:val="en-US"/>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8C0001"/>
    <w:rPr>
      <w:rFonts w:eastAsiaTheme="minorEastAsia"/>
      <w:color w:val="BF8F00" w:themeColor="accent4" w:themeShade="BF"/>
      <w:kern w:val="0"/>
      <w:sz w:val="22"/>
      <w:szCs w:val="22"/>
      <w:lang w:val="en-US"/>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8C0001"/>
    <w:rPr>
      <w:rFonts w:eastAsiaTheme="minorEastAsia"/>
      <w:color w:val="2E74B5" w:themeColor="accent5" w:themeShade="BF"/>
      <w:kern w:val="0"/>
      <w:sz w:val="22"/>
      <w:szCs w:val="22"/>
      <w:lang w:val="en-US"/>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8C0001"/>
    <w:rPr>
      <w:rFonts w:eastAsiaTheme="minorEastAsia"/>
      <w:color w:val="538135" w:themeColor="accent6" w:themeShade="BF"/>
      <w:kern w:val="0"/>
      <w:sz w:val="22"/>
      <w:szCs w:val="22"/>
      <w:lang w:val="en-US"/>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8C0001"/>
    <w:rPr>
      <w:rFonts w:eastAsiaTheme="minorEastAsia"/>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8C0001"/>
    <w:rPr>
      <w:rFonts w:eastAsiaTheme="minorEastAsia"/>
      <w:kern w:val="0"/>
      <w:sz w:val="22"/>
      <w:szCs w:val="22"/>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8C0001"/>
    <w:rPr>
      <w:rFonts w:eastAsiaTheme="minorEastAsia"/>
      <w:kern w:val="0"/>
      <w:sz w:val="22"/>
      <w:szCs w:val="22"/>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8C0001"/>
    <w:rPr>
      <w:rFonts w:eastAsiaTheme="minorEastAsia"/>
      <w:kern w:val="0"/>
      <w:sz w:val="22"/>
      <w:szCs w:val="22"/>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8C0001"/>
    <w:rPr>
      <w:rFonts w:eastAsiaTheme="minorEastAsia"/>
      <w:kern w:val="0"/>
      <w:sz w:val="22"/>
      <w:szCs w:val="22"/>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8C0001"/>
    <w:rPr>
      <w:rFonts w:eastAsiaTheme="minorEastAsia"/>
      <w:kern w:val="0"/>
      <w:sz w:val="22"/>
      <w:szCs w:val="22"/>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8C0001"/>
    <w:rPr>
      <w:rFonts w:eastAsiaTheme="minorEastAsia"/>
      <w:kern w:val="0"/>
      <w:sz w:val="22"/>
      <w:szCs w:val="22"/>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8C0001"/>
    <w:rPr>
      <w:rFonts w:eastAsiaTheme="minorEastAsia"/>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8C0001"/>
    <w:rPr>
      <w:rFonts w:eastAsiaTheme="minorEastAsia"/>
      <w:kern w:val="0"/>
      <w:sz w:val="22"/>
      <w:szCs w:val="22"/>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8C0001"/>
    <w:rPr>
      <w:rFonts w:eastAsiaTheme="minorEastAsia"/>
      <w:kern w:val="0"/>
      <w:sz w:val="22"/>
      <w:szCs w:val="22"/>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8C0001"/>
    <w:rPr>
      <w:rFonts w:eastAsiaTheme="minorEastAsia"/>
      <w:kern w:val="0"/>
      <w:sz w:val="22"/>
      <w:szCs w:val="22"/>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8C0001"/>
    <w:rPr>
      <w:rFonts w:eastAsiaTheme="minorEastAsia"/>
      <w:kern w:val="0"/>
      <w:sz w:val="22"/>
      <w:szCs w:val="22"/>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8C0001"/>
    <w:rPr>
      <w:rFonts w:eastAsiaTheme="minorEastAsia"/>
      <w:kern w:val="0"/>
      <w:sz w:val="22"/>
      <w:szCs w:val="22"/>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8C0001"/>
    <w:rPr>
      <w:rFonts w:eastAsiaTheme="minorEastAsia"/>
      <w:kern w:val="0"/>
      <w:sz w:val="22"/>
      <w:szCs w:val="22"/>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8C0001"/>
    <w:rPr>
      <w:rFonts w:eastAsiaTheme="minorEastAsia"/>
      <w:kern w:val="0"/>
      <w:sz w:val="22"/>
      <w:szCs w:val="22"/>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8C0001"/>
    <w:rPr>
      <w:rFonts w:eastAsiaTheme="minorEastAsia"/>
      <w:kern w:val="0"/>
      <w:sz w:val="22"/>
      <w:szCs w:val="22"/>
      <w:lang w:val="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8C0001"/>
    <w:rPr>
      <w:rFonts w:eastAsiaTheme="minorEastAsia"/>
      <w:kern w:val="0"/>
      <w:sz w:val="22"/>
      <w:szCs w:val="22"/>
      <w:lang w:val="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8C0001"/>
    <w:rPr>
      <w:rFonts w:eastAsiaTheme="minorEastAsia"/>
      <w:kern w:val="0"/>
      <w:sz w:val="22"/>
      <w:szCs w:val="22"/>
      <w:lang w:val="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C0001"/>
    <w:rPr>
      <w:rFonts w:eastAsiaTheme="minorEastAsia"/>
      <w:kern w:val="0"/>
      <w:sz w:val="22"/>
      <w:szCs w:val="22"/>
      <w:lang w:val="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8C0001"/>
    <w:rPr>
      <w:rFonts w:eastAsiaTheme="minorEastAsia"/>
      <w:kern w:val="0"/>
      <w:sz w:val="22"/>
      <w:szCs w:val="22"/>
      <w:lang w:val="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C0001"/>
    <w:rPr>
      <w:rFonts w:eastAsiaTheme="minorEastAsia"/>
      <w:kern w:val="0"/>
      <w:sz w:val="22"/>
      <w:szCs w:val="22"/>
      <w:lang w:val="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8C0001"/>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8C0001"/>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8C0001"/>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8C0001"/>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8C0001"/>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8C0001"/>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8C0001"/>
    <w:rPr>
      <w:rFonts w:eastAsiaTheme="minorEastAsia"/>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8C0001"/>
    <w:rPr>
      <w:rFonts w:eastAsiaTheme="minorEastAsia"/>
      <w:color w:val="000000" w:themeColor="text1"/>
      <w:kern w:val="0"/>
      <w:sz w:val="22"/>
      <w:szCs w:val="22"/>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8C0001"/>
    <w:rPr>
      <w:rFonts w:eastAsiaTheme="minorEastAsia"/>
      <w:color w:val="000000" w:themeColor="text1"/>
      <w:kern w:val="0"/>
      <w:sz w:val="22"/>
      <w:szCs w:val="22"/>
      <w:lang w:val="en-US"/>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8C0001"/>
    <w:rPr>
      <w:rFonts w:eastAsiaTheme="minorEastAsia"/>
      <w:color w:val="000000" w:themeColor="text1"/>
      <w:kern w:val="0"/>
      <w:sz w:val="22"/>
      <w:szCs w:val="22"/>
      <w:lang w:val="en-US"/>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8C0001"/>
    <w:rPr>
      <w:rFonts w:eastAsiaTheme="minorEastAsia"/>
      <w:color w:val="000000" w:themeColor="text1"/>
      <w:kern w:val="0"/>
      <w:sz w:val="22"/>
      <w:szCs w:val="22"/>
      <w:lang w:val="en-US"/>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8C0001"/>
    <w:rPr>
      <w:rFonts w:eastAsiaTheme="minorEastAsia"/>
      <w:color w:val="000000" w:themeColor="text1"/>
      <w:kern w:val="0"/>
      <w:sz w:val="22"/>
      <w:szCs w:val="22"/>
      <w:lang w:val="en-US"/>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8C0001"/>
    <w:rPr>
      <w:rFonts w:eastAsiaTheme="minorEastAsia"/>
      <w:color w:val="000000" w:themeColor="text1"/>
      <w:kern w:val="0"/>
      <w:sz w:val="22"/>
      <w:szCs w:val="22"/>
      <w:lang w:val="en-US"/>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8C0001"/>
    <w:rPr>
      <w:rFonts w:eastAsiaTheme="minorEastAsia"/>
      <w:color w:val="000000" w:themeColor="text1"/>
      <w:kern w:val="0"/>
      <w:sz w:val="22"/>
      <w:szCs w:val="22"/>
      <w:lang w:val="en-US"/>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8C0001"/>
    <w:rPr>
      <w:rFonts w:eastAsiaTheme="minorEastAsia"/>
      <w:kern w:val="0"/>
      <w:sz w:val="22"/>
      <w:szCs w:val="22"/>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8C0001"/>
    <w:rPr>
      <w:rFonts w:eastAsiaTheme="minorEastAsia"/>
      <w:kern w:val="0"/>
      <w:sz w:val="22"/>
      <w:szCs w:val="22"/>
      <w:lang w:val="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8C0001"/>
    <w:rPr>
      <w:rFonts w:eastAsiaTheme="minorEastAsia"/>
      <w:kern w:val="0"/>
      <w:sz w:val="22"/>
      <w:szCs w:val="22"/>
      <w:lang w:val="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8C0001"/>
    <w:rPr>
      <w:rFonts w:eastAsiaTheme="minorEastAsia"/>
      <w:kern w:val="0"/>
      <w:sz w:val="22"/>
      <w:szCs w:val="22"/>
      <w:lang w:val="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8C0001"/>
    <w:rPr>
      <w:rFonts w:eastAsiaTheme="minorEastAsia"/>
      <w:kern w:val="0"/>
      <w:sz w:val="22"/>
      <w:szCs w:val="22"/>
      <w:lang w:val="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8C0001"/>
    <w:rPr>
      <w:rFonts w:eastAsiaTheme="minorEastAsia"/>
      <w:kern w:val="0"/>
      <w:sz w:val="22"/>
      <w:szCs w:val="22"/>
      <w:lang w:val="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8C0001"/>
    <w:rPr>
      <w:rFonts w:eastAsiaTheme="minorEastAsia"/>
      <w:kern w:val="0"/>
      <w:sz w:val="22"/>
      <w:szCs w:val="22"/>
      <w:lang w:val="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8C0001"/>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8C0001"/>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8C0001"/>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8C0001"/>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8C0001"/>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8C0001"/>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8C0001"/>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8C0001"/>
    <w:rPr>
      <w:rFonts w:eastAsiaTheme="minorEastAsia"/>
      <w:kern w:val="0"/>
      <w:sz w:val="22"/>
      <w:szCs w:val="22"/>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8C0001"/>
    <w:rPr>
      <w:rFonts w:eastAsiaTheme="minorEastAsia"/>
      <w:color w:val="FFFFFF" w:themeColor="background1"/>
      <w:kern w:val="0"/>
      <w:sz w:val="22"/>
      <w:szCs w:val="22"/>
      <w:lang w:val="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8C0001"/>
    <w:rPr>
      <w:rFonts w:eastAsiaTheme="minorEastAsia"/>
      <w:color w:val="FFFFFF" w:themeColor="background1"/>
      <w:kern w:val="0"/>
      <w:sz w:val="22"/>
      <w:szCs w:val="22"/>
      <w:lang w:val="en-US"/>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8C0001"/>
    <w:rPr>
      <w:rFonts w:eastAsiaTheme="minorEastAsia"/>
      <w:color w:val="FFFFFF" w:themeColor="background1"/>
      <w:kern w:val="0"/>
      <w:sz w:val="22"/>
      <w:szCs w:val="22"/>
      <w:lang w:val="en-US"/>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8C0001"/>
    <w:rPr>
      <w:rFonts w:eastAsiaTheme="minorEastAsia"/>
      <w:color w:val="FFFFFF" w:themeColor="background1"/>
      <w:kern w:val="0"/>
      <w:sz w:val="22"/>
      <w:szCs w:val="22"/>
      <w:lang w:val="en-US"/>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8C0001"/>
    <w:rPr>
      <w:rFonts w:eastAsiaTheme="minorEastAsia"/>
      <w:color w:val="FFFFFF" w:themeColor="background1"/>
      <w:kern w:val="0"/>
      <w:sz w:val="22"/>
      <w:szCs w:val="22"/>
      <w:lang w:val="en-US"/>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8C0001"/>
    <w:rPr>
      <w:rFonts w:eastAsiaTheme="minorEastAsia"/>
      <w:color w:val="FFFFFF" w:themeColor="background1"/>
      <w:kern w:val="0"/>
      <w:sz w:val="22"/>
      <w:szCs w:val="22"/>
      <w:lang w:val="en-US"/>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8C0001"/>
    <w:rPr>
      <w:rFonts w:eastAsiaTheme="minorEastAsia"/>
      <w:color w:val="FFFFFF" w:themeColor="background1"/>
      <w:kern w:val="0"/>
      <w:sz w:val="22"/>
      <w:szCs w:val="22"/>
      <w:lang w:val="en-US"/>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8C0001"/>
    <w:rPr>
      <w:rFonts w:eastAsiaTheme="minorEastAsia"/>
      <w:color w:val="000000" w:themeColor="text1"/>
      <w:kern w:val="0"/>
      <w:sz w:val="22"/>
      <w:szCs w:val="22"/>
      <w:lang w:val="en-US"/>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8C0001"/>
    <w:rPr>
      <w:rFonts w:eastAsiaTheme="minorEastAsia"/>
      <w:color w:val="000000" w:themeColor="text1"/>
      <w:kern w:val="0"/>
      <w:sz w:val="22"/>
      <w:szCs w:val="22"/>
      <w:lang w:val="en-US"/>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8C0001"/>
    <w:rPr>
      <w:rFonts w:eastAsiaTheme="minorEastAsia"/>
      <w:color w:val="000000" w:themeColor="text1"/>
      <w:kern w:val="0"/>
      <w:sz w:val="22"/>
      <w:szCs w:val="22"/>
      <w:lang w:val="en-US"/>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8C0001"/>
    <w:rPr>
      <w:rFonts w:eastAsiaTheme="minorEastAsia"/>
      <w:color w:val="000000" w:themeColor="text1"/>
      <w:kern w:val="0"/>
      <w:sz w:val="22"/>
      <w:szCs w:val="22"/>
      <w:lang w:val="en-US"/>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8C0001"/>
    <w:rPr>
      <w:rFonts w:eastAsiaTheme="minorEastAsia"/>
      <w:color w:val="000000" w:themeColor="text1"/>
      <w:kern w:val="0"/>
      <w:sz w:val="22"/>
      <w:szCs w:val="22"/>
      <w:lang w:val="en-US"/>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8C0001"/>
    <w:rPr>
      <w:rFonts w:eastAsiaTheme="minorEastAsia"/>
      <w:color w:val="000000" w:themeColor="text1"/>
      <w:kern w:val="0"/>
      <w:sz w:val="22"/>
      <w:szCs w:val="22"/>
      <w:lang w:val="en-US"/>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8C0001"/>
    <w:rPr>
      <w:rFonts w:eastAsiaTheme="minorEastAsia"/>
      <w:color w:val="000000" w:themeColor="text1"/>
      <w:kern w:val="0"/>
      <w:sz w:val="22"/>
      <w:szCs w:val="22"/>
      <w:lang w:val="en-US"/>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8C0001"/>
    <w:rPr>
      <w:rFonts w:eastAsiaTheme="minorEastAsia"/>
      <w:color w:val="000000" w:themeColor="text1"/>
      <w:kern w:val="0"/>
      <w:sz w:val="22"/>
      <w:szCs w:val="22"/>
      <w:lang w:val="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8C0001"/>
    <w:rPr>
      <w:rFonts w:eastAsiaTheme="minorEastAsia"/>
      <w:color w:val="000000" w:themeColor="text1"/>
      <w:kern w:val="0"/>
      <w:sz w:val="22"/>
      <w:szCs w:val="22"/>
      <w:lang w:val="en-US"/>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8C0001"/>
    <w:rPr>
      <w:rFonts w:eastAsiaTheme="minorEastAsia"/>
      <w:color w:val="000000" w:themeColor="text1"/>
      <w:kern w:val="0"/>
      <w:sz w:val="22"/>
      <w:szCs w:val="22"/>
      <w:lang w:val="en-US"/>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8C0001"/>
    <w:rPr>
      <w:rFonts w:eastAsiaTheme="minorEastAsia"/>
      <w:color w:val="000000" w:themeColor="text1"/>
      <w:kern w:val="0"/>
      <w:sz w:val="22"/>
      <w:szCs w:val="22"/>
      <w:lang w:val="en-US"/>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8C0001"/>
    <w:rPr>
      <w:rFonts w:eastAsiaTheme="minorEastAsia"/>
      <w:color w:val="000000" w:themeColor="text1"/>
      <w:kern w:val="0"/>
      <w:sz w:val="22"/>
      <w:szCs w:val="22"/>
      <w:lang w:val="en-US"/>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8C0001"/>
    <w:rPr>
      <w:rFonts w:eastAsiaTheme="minorEastAsia"/>
      <w:color w:val="000000" w:themeColor="text1"/>
      <w:kern w:val="0"/>
      <w:sz w:val="22"/>
      <w:szCs w:val="22"/>
      <w:lang w:val="en-US"/>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8C0001"/>
    <w:rPr>
      <w:rFonts w:eastAsiaTheme="minorEastAsia"/>
      <w:color w:val="000000" w:themeColor="text1"/>
      <w:kern w:val="0"/>
      <w:sz w:val="22"/>
      <w:szCs w:val="22"/>
      <w:lang w:val="en-US"/>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8C0001"/>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8C0001"/>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8C0001"/>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8C0001"/>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8C0001"/>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8C0001"/>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8C0001"/>
    <w:rPr>
      <w:rFonts w:eastAsiaTheme="minorEastAsia"/>
      <w:color w:val="000000" w:themeColor="text1"/>
      <w:kern w:val="0"/>
      <w:sz w:val="22"/>
      <w:szCs w:val="22"/>
      <w:lang w:val="en-US"/>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OC2">
    <w:name w:val="toc 2"/>
    <w:basedOn w:val="Normal"/>
    <w:next w:val="Normal"/>
    <w:autoRedefine/>
    <w:uiPriority w:val="39"/>
    <w:unhideWhenUsed/>
    <w:rsid w:val="00407D80"/>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407D80"/>
    <w:pPr>
      <w:ind w:left="480"/>
    </w:pPr>
    <w:rPr>
      <w:rFonts w:cstheme="minorHAnsi"/>
      <w:sz w:val="20"/>
    </w:rPr>
  </w:style>
  <w:style w:type="paragraph" w:styleId="TOC4">
    <w:name w:val="toc 4"/>
    <w:basedOn w:val="Normal"/>
    <w:next w:val="Normal"/>
    <w:autoRedefine/>
    <w:uiPriority w:val="39"/>
    <w:semiHidden/>
    <w:unhideWhenUsed/>
    <w:rsid w:val="00407D80"/>
    <w:pPr>
      <w:ind w:left="720"/>
    </w:pPr>
    <w:rPr>
      <w:rFonts w:cstheme="minorHAnsi"/>
      <w:sz w:val="20"/>
    </w:rPr>
  </w:style>
  <w:style w:type="paragraph" w:styleId="TOC5">
    <w:name w:val="toc 5"/>
    <w:basedOn w:val="Normal"/>
    <w:next w:val="Normal"/>
    <w:autoRedefine/>
    <w:uiPriority w:val="39"/>
    <w:semiHidden/>
    <w:unhideWhenUsed/>
    <w:rsid w:val="00407D80"/>
    <w:pPr>
      <w:ind w:left="960"/>
    </w:pPr>
    <w:rPr>
      <w:rFonts w:cstheme="minorHAnsi"/>
      <w:sz w:val="20"/>
    </w:rPr>
  </w:style>
  <w:style w:type="paragraph" w:styleId="TOC6">
    <w:name w:val="toc 6"/>
    <w:basedOn w:val="Normal"/>
    <w:next w:val="Normal"/>
    <w:autoRedefine/>
    <w:uiPriority w:val="39"/>
    <w:semiHidden/>
    <w:unhideWhenUsed/>
    <w:rsid w:val="00407D80"/>
    <w:pPr>
      <w:ind w:left="1200"/>
    </w:pPr>
    <w:rPr>
      <w:rFonts w:cstheme="minorHAnsi"/>
      <w:sz w:val="20"/>
    </w:rPr>
  </w:style>
  <w:style w:type="paragraph" w:styleId="TOC7">
    <w:name w:val="toc 7"/>
    <w:basedOn w:val="Normal"/>
    <w:next w:val="Normal"/>
    <w:autoRedefine/>
    <w:uiPriority w:val="39"/>
    <w:semiHidden/>
    <w:unhideWhenUsed/>
    <w:rsid w:val="00407D80"/>
    <w:pPr>
      <w:ind w:left="1440"/>
    </w:pPr>
    <w:rPr>
      <w:rFonts w:cstheme="minorHAnsi"/>
      <w:sz w:val="20"/>
    </w:rPr>
  </w:style>
  <w:style w:type="paragraph" w:styleId="TOC8">
    <w:name w:val="toc 8"/>
    <w:basedOn w:val="Normal"/>
    <w:next w:val="Normal"/>
    <w:autoRedefine/>
    <w:uiPriority w:val="39"/>
    <w:semiHidden/>
    <w:unhideWhenUsed/>
    <w:rsid w:val="00407D80"/>
    <w:pPr>
      <w:ind w:left="1680"/>
    </w:pPr>
    <w:rPr>
      <w:rFonts w:cstheme="minorHAnsi"/>
      <w:sz w:val="20"/>
    </w:rPr>
  </w:style>
  <w:style w:type="paragraph" w:styleId="TOC9">
    <w:name w:val="toc 9"/>
    <w:basedOn w:val="Normal"/>
    <w:next w:val="Normal"/>
    <w:autoRedefine/>
    <w:uiPriority w:val="39"/>
    <w:semiHidden/>
    <w:unhideWhenUsed/>
    <w:rsid w:val="00407D80"/>
    <w:pPr>
      <w:ind w:left="1920"/>
    </w:pPr>
    <w:rPr>
      <w:rFonts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2877">
      <w:bodyDiv w:val="1"/>
      <w:marLeft w:val="0"/>
      <w:marRight w:val="0"/>
      <w:marTop w:val="0"/>
      <w:marBottom w:val="0"/>
      <w:divBdr>
        <w:top w:val="none" w:sz="0" w:space="0" w:color="auto"/>
        <w:left w:val="none" w:sz="0" w:space="0" w:color="auto"/>
        <w:bottom w:val="none" w:sz="0" w:space="0" w:color="auto"/>
        <w:right w:val="none" w:sz="0" w:space="0" w:color="auto"/>
      </w:divBdr>
    </w:div>
    <w:div w:id="46422026">
      <w:bodyDiv w:val="1"/>
      <w:marLeft w:val="0"/>
      <w:marRight w:val="0"/>
      <w:marTop w:val="0"/>
      <w:marBottom w:val="0"/>
      <w:divBdr>
        <w:top w:val="none" w:sz="0" w:space="0" w:color="auto"/>
        <w:left w:val="none" w:sz="0" w:space="0" w:color="auto"/>
        <w:bottom w:val="none" w:sz="0" w:space="0" w:color="auto"/>
        <w:right w:val="none" w:sz="0" w:space="0" w:color="auto"/>
      </w:divBdr>
    </w:div>
    <w:div w:id="75372497">
      <w:bodyDiv w:val="1"/>
      <w:marLeft w:val="0"/>
      <w:marRight w:val="0"/>
      <w:marTop w:val="0"/>
      <w:marBottom w:val="0"/>
      <w:divBdr>
        <w:top w:val="none" w:sz="0" w:space="0" w:color="auto"/>
        <w:left w:val="none" w:sz="0" w:space="0" w:color="auto"/>
        <w:bottom w:val="none" w:sz="0" w:space="0" w:color="auto"/>
        <w:right w:val="none" w:sz="0" w:space="0" w:color="auto"/>
      </w:divBdr>
    </w:div>
    <w:div w:id="135218640">
      <w:bodyDiv w:val="1"/>
      <w:marLeft w:val="0"/>
      <w:marRight w:val="0"/>
      <w:marTop w:val="0"/>
      <w:marBottom w:val="0"/>
      <w:divBdr>
        <w:top w:val="none" w:sz="0" w:space="0" w:color="auto"/>
        <w:left w:val="none" w:sz="0" w:space="0" w:color="auto"/>
        <w:bottom w:val="none" w:sz="0" w:space="0" w:color="auto"/>
        <w:right w:val="none" w:sz="0" w:space="0" w:color="auto"/>
      </w:divBdr>
    </w:div>
    <w:div w:id="153104373">
      <w:bodyDiv w:val="1"/>
      <w:marLeft w:val="0"/>
      <w:marRight w:val="0"/>
      <w:marTop w:val="0"/>
      <w:marBottom w:val="0"/>
      <w:divBdr>
        <w:top w:val="none" w:sz="0" w:space="0" w:color="auto"/>
        <w:left w:val="none" w:sz="0" w:space="0" w:color="auto"/>
        <w:bottom w:val="none" w:sz="0" w:space="0" w:color="auto"/>
        <w:right w:val="none" w:sz="0" w:space="0" w:color="auto"/>
      </w:divBdr>
    </w:div>
    <w:div w:id="194924709">
      <w:bodyDiv w:val="1"/>
      <w:marLeft w:val="0"/>
      <w:marRight w:val="0"/>
      <w:marTop w:val="0"/>
      <w:marBottom w:val="0"/>
      <w:divBdr>
        <w:top w:val="none" w:sz="0" w:space="0" w:color="auto"/>
        <w:left w:val="none" w:sz="0" w:space="0" w:color="auto"/>
        <w:bottom w:val="none" w:sz="0" w:space="0" w:color="auto"/>
        <w:right w:val="none" w:sz="0" w:space="0" w:color="auto"/>
      </w:divBdr>
    </w:div>
    <w:div w:id="204686526">
      <w:bodyDiv w:val="1"/>
      <w:marLeft w:val="0"/>
      <w:marRight w:val="0"/>
      <w:marTop w:val="0"/>
      <w:marBottom w:val="0"/>
      <w:divBdr>
        <w:top w:val="none" w:sz="0" w:space="0" w:color="auto"/>
        <w:left w:val="none" w:sz="0" w:space="0" w:color="auto"/>
        <w:bottom w:val="none" w:sz="0" w:space="0" w:color="auto"/>
        <w:right w:val="none" w:sz="0" w:space="0" w:color="auto"/>
      </w:divBdr>
    </w:div>
    <w:div w:id="223294403">
      <w:bodyDiv w:val="1"/>
      <w:marLeft w:val="0"/>
      <w:marRight w:val="0"/>
      <w:marTop w:val="0"/>
      <w:marBottom w:val="0"/>
      <w:divBdr>
        <w:top w:val="none" w:sz="0" w:space="0" w:color="auto"/>
        <w:left w:val="none" w:sz="0" w:space="0" w:color="auto"/>
        <w:bottom w:val="none" w:sz="0" w:space="0" w:color="auto"/>
        <w:right w:val="none" w:sz="0" w:space="0" w:color="auto"/>
      </w:divBdr>
    </w:div>
    <w:div w:id="237247839">
      <w:bodyDiv w:val="1"/>
      <w:marLeft w:val="0"/>
      <w:marRight w:val="0"/>
      <w:marTop w:val="0"/>
      <w:marBottom w:val="0"/>
      <w:divBdr>
        <w:top w:val="none" w:sz="0" w:space="0" w:color="auto"/>
        <w:left w:val="none" w:sz="0" w:space="0" w:color="auto"/>
        <w:bottom w:val="none" w:sz="0" w:space="0" w:color="auto"/>
        <w:right w:val="none" w:sz="0" w:space="0" w:color="auto"/>
      </w:divBdr>
    </w:div>
    <w:div w:id="275062565">
      <w:bodyDiv w:val="1"/>
      <w:marLeft w:val="0"/>
      <w:marRight w:val="0"/>
      <w:marTop w:val="0"/>
      <w:marBottom w:val="0"/>
      <w:divBdr>
        <w:top w:val="none" w:sz="0" w:space="0" w:color="auto"/>
        <w:left w:val="none" w:sz="0" w:space="0" w:color="auto"/>
        <w:bottom w:val="none" w:sz="0" w:space="0" w:color="auto"/>
        <w:right w:val="none" w:sz="0" w:space="0" w:color="auto"/>
      </w:divBdr>
    </w:div>
    <w:div w:id="311835205">
      <w:bodyDiv w:val="1"/>
      <w:marLeft w:val="0"/>
      <w:marRight w:val="0"/>
      <w:marTop w:val="0"/>
      <w:marBottom w:val="0"/>
      <w:divBdr>
        <w:top w:val="none" w:sz="0" w:space="0" w:color="auto"/>
        <w:left w:val="none" w:sz="0" w:space="0" w:color="auto"/>
        <w:bottom w:val="none" w:sz="0" w:space="0" w:color="auto"/>
        <w:right w:val="none" w:sz="0" w:space="0" w:color="auto"/>
      </w:divBdr>
    </w:div>
    <w:div w:id="343287212">
      <w:bodyDiv w:val="1"/>
      <w:marLeft w:val="0"/>
      <w:marRight w:val="0"/>
      <w:marTop w:val="0"/>
      <w:marBottom w:val="0"/>
      <w:divBdr>
        <w:top w:val="none" w:sz="0" w:space="0" w:color="auto"/>
        <w:left w:val="none" w:sz="0" w:space="0" w:color="auto"/>
        <w:bottom w:val="none" w:sz="0" w:space="0" w:color="auto"/>
        <w:right w:val="none" w:sz="0" w:space="0" w:color="auto"/>
      </w:divBdr>
    </w:div>
    <w:div w:id="365764675">
      <w:bodyDiv w:val="1"/>
      <w:marLeft w:val="0"/>
      <w:marRight w:val="0"/>
      <w:marTop w:val="0"/>
      <w:marBottom w:val="0"/>
      <w:divBdr>
        <w:top w:val="none" w:sz="0" w:space="0" w:color="auto"/>
        <w:left w:val="none" w:sz="0" w:space="0" w:color="auto"/>
        <w:bottom w:val="none" w:sz="0" w:space="0" w:color="auto"/>
        <w:right w:val="none" w:sz="0" w:space="0" w:color="auto"/>
      </w:divBdr>
    </w:div>
    <w:div w:id="407506267">
      <w:bodyDiv w:val="1"/>
      <w:marLeft w:val="0"/>
      <w:marRight w:val="0"/>
      <w:marTop w:val="0"/>
      <w:marBottom w:val="0"/>
      <w:divBdr>
        <w:top w:val="none" w:sz="0" w:space="0" w:color="auto"/>
        <w:left w:val="none" w:sz="0" w:space="0" w:color="auto"/>
        <w:bottom w:val="none" w:sz="0" w:space="0" w:color="auto"/>
        <w:right w:val="none" w:sz="0" w:space="0" w:color="auto"/>
      </w:divBdr>
    </w:div>
    <w:div w:id="428696054">
      <w:bodyDiv w:val="1"/>
      <w:marLeft w:val="0"/>
      <w:marRight w:val="0"/>
      <w:marTop w:val="0"/>
      <w:marBottom w:val="0"/>
      <w:divBdr>
        <w:top w:val="none" w:sz="0" w:space="0" w:color="auto"/>
        <w:left w:val="none" w:sz="0" w:space="0" w:color="auto"/>
        <w:bottom w:val="none" w:sz="0" w:space="0" w:color="auto"/>
        <w:right w:val="none" w:sz="0" w:space="0" w:color="auto"/>
      </w:divBdr>
    </w:div>
    <w:div w:id="454327140">
      <w:bodyDiv w:val="1"/>
      <w:marLeft w:val="0"/>
      <w:marRight w:val="0"/>
      <w:marTop w:val="0"/>
      <w:marBottom w:val="0"/>
      <w:divBdr>
        <w:top w:val="none" w:sz="0" w:space="0" w:color="auto"/>
        <w:left w:val="none" w:sz="0" w:space="0" w:color="auto"/>
        <w:bottom w:val="none" w:sz="0" w:space="0" w:color="auto"/>
        <w:right w:val="none" w:sz="0" w:space="0" w:color="auto"/>
      </w:divBdr>
    </w:div>
    <w:div w:id="459767149">
      <w:bodyDiv w:val="1"/>
      <w:marLeft w:val="0"/>
      <w:marRight w:val="0"/>
      <w:marTop w:val="0"/>
      <w:marBottom w:val="0"/>
      <w:divBdr>
        <w:top w:val="none" w:sz="0" w:space="0" w:color="auto"/>
        <w:left w:val="none" w:sz="0" w:space="0" w:color="auto"/>
        <w:bottom w:val="none" w:sz="0" w:space="0" w:color="auto"/>
        <w:right w:val="none" w:sz="0" w:space="0" w:color="auto"/>
      </w:divBdr>
    </w:div>
    <w:div w:id="488523770">
      <w:bodyDiv w:val="1"/>
      <w:marLeft w:val="0"/>
      <w:marRight w:val="0"/>
      <w:marTop w:val="0"/>
      <w:marBottom w:val="0"/>
      <w:divBdr>
        <w:top w:val="none" w:sz="0" w:space="0" w:color="auto"/>
        <w:left w:val="none" w:sz="0" w:space="0" w:color="auto"/>
        <w:bottom w:val="none" w:sz="0" w:space="0" w:color="auto"/>
        <w:right w:val="none" w:sz="0" w:space="0" w:color="auto"/>
      </w:divBdr>
    </w:div>
    <w:div w:id="498077086">
      <w:bodyDiv w:val="1"/>
      <w:marLeft w:val="0"/>
      <w:marRight w:val="0"/>
      <w:marTop w:val="0"/>
      <w:marBottom w:val="0"/>
      <w:divBdr>
        <w:top w:val="none" w:sz="0" w:space="0" w:color="auto"/>
        <w:left w:val="none" w:sz="0" w:space="0" w:color="auto"/>
        <w:bottom w:val="none" w:sz="0" w:space="0" w:color="auto"/>
        <w:right w:val="none" w:sz="0" w:space="0" w:color="auto"/>
      </w:divBdr>
    </w:div>
    <w:div w:id="524755295">
      <w:bodyDiv w:val="1"/>
      <w:marLeft w:val="0"/>
      <w:marRight w:val="0"/>
      <w:marTop w:val="0"/>
      <w:marBottom w:val="0"/>
      <w:divBdr>
        <w:top w:val="none" w:sz="0" w:space="0" w:color="auto"/>
        <w:left w:val="none" w:sz="0" w:space="0" w:color="auto"/>
        <w:bottom w:val="none" w:sz="0" w:space="0" w:color="auto"/>
        <w:right w:val="none" w:sz="0" w:space="0" w:color="auto"/>
      </w:divBdr>
    </w:div>
    <w:div w:id="543756657">
      <w:bodyDiv w:val="1"/>
      <w:marLeft w:val="0"/>
      <w:marRight w:val="0"/>
      <w:marTop w:val="0"/>
      <w:marBottom w:val="0"/>
      <w:divBdr>
        <w:top w:val="none" w:sz="0" w:space="0" w:color="auto"/>
        <w:left w:val="none" w:sz="0" w:space="0" w:color="auto"/>
        <w:bottom w:val="none" w:sz="0" w:space="0" w:color="auto"/>
        <w:right w:val="none" w:sz="0" w:space="0" w:color="auto"/>
      </w:divBdr>
    </w:div>
    <w:div w:id="554392403">
      <w:bodyDiv w:val="1"/>
      <w:marLeft w:val="0"/>
      <w:marRight w:val="0"/>
      <w:marTop w:val="0"/>
      <w:marBottom w:val="0"/>
      <w:divBdr>
        <w:top w:val="none" w:sz="0" w:space="0" w:color="auto"/>
        <w:left w:val="none" w:sz="0" w:space="0" w:color="auto"/>
        <w:bottom w:val="none" w:sz="0" w:space="0" w:color="auto"/>
        <w:right w:val="none" w:sz="0" w:space="0" w:color="auto"/>
      </w:divBdr>
    </w:div>
    <w:div w:id="623997390">
      <w:bodyDiv w:val="1"/>
      <w:marLeft w:val="0"/>
      <w:marRight w:val="0"/>
      <w:marTop w:val="0"/>
      <w:marBottom w:val="0"/>
      <w:divBdr>
        <w:top w:val="none" w:sz="0" w:space="0" w:color="auto"/>
        <w:left w:val="none" w:sz="0" w:space="0" w:color="auto"/>
        <w:bottom w:val="none" w:sz="0" w:space="0" w:color="auto"/>
        <w:right w:val="none" w:sz="0" w:space="0" w:color="auto"/>
      </w:divBdr>
    </w:div>
    <w:div w:id="654339624">
      <w:bodyDiv w:val="1"/>
      <w:marLeft w:val="0"/>
      <w:marRight w:val="0"/>
      <w:marTop w:val="0"/>
      <w:marBottom w:val="0"/>
      <w:divBdr>
        <w:top w:val="none" w:sz="0" w:space="0" w:color="auto"/>
        <w:left w:val="none" w:sz="0" w:space="0" w:color="auto"/>
        <w:bottom w:val="none" w:sz="0" w:space="0" w:color="auto"/>
        <w:right w:val="none" w:sz="0" w:space="0" w:color="auto"/>
      </w:divBdr>
    </w:div>
    <w:div w:id="696781349">
      <w:bodyDiv w:val="1"/>
      <w:marLeft w:val="0"/>
      <w:marRight w:val="0"/>
      <w:marTop w:val="0"/>
      <w:marBottom w:val="0"/>
      <w:divBdr>
        <w:top w:val="none" w:sz="0" w:space="0" w:color="auto"/>
        <w:left w:val="none" w:sz="0" w:space="0" w:color="auto"/>
        <w:bottom w:val="none" w:sz="0" w:space="0" w:color="auto"/>
        <w:right w:val="none" w:sz="0" w:space="0" w:color="auto"/>
      </w:divBdr>
    </w:div>
    <w:div w:id="748622822">
      <w:bodyDiv w:val="1"/>
      <w:marLeft w:val="0"/>
      <w:marRight w:val="0"/>
      <w:marTop w:val="0"/>
      <w:marBottom w:val="0"/>
      <w:divBdr>
        <w:top w:val="none" w:sz="0" w:space="0" w:color="auto"/>
        <w:left w:val="none" w:sz="0" w:space="0" w:color="auto"/>
        <w:bottom w:val="none" w:sz="0" w:space="0" w:color="auto"/>
        <w:right w:val="none" w:sz="0" w:space="0" w:color="auto"/>
      </w:divBdr>
    </w:div>
    <w:div w:id="819690029">
      <w:bodyDiv w:val="1"/>
      <w:marLeft w:val="0"/>
      <w:marRight w:val="0"/>
      <w:marTop w:val="0"/>
      <w:marBottom w:val="0"/>
      <w:divBdr>
        <w:top w:val="none" w:sz="0" w:space="0" w:color="auto"/>
        <w:left w:val="none" w:sz="0" w:space="0" w:color="auto"/>
        <w:bottom w:val="none" w:sz="0" w:space="0" w:color="auto"/>
        <w:right w:val="none" w:sz="0" w:space="0" w:color="auto"/>
      </w:divBdr>
    </w:div>
    <w:div w:id="831145508">
      <w:bodyDiv w:val="1"/>
      <w:marLeft w:val="0"/>
      <w:marRight w:val="0"/>
      <w:marTop w:val="0"/>
      <w:marBottom w:val="0"/>
      <w:divBdr>
        <w:top w:val="none" w:sz="0" w:space="0" w:color="auto"/>
        <w:left w:val="none" w:sz="0" w:space="0" w:color="auto"/>
        <w:bottom w:val="none" w:sz="0" w:space="0" w:color="auto"/>
        <w:right w:val="none" w:sz="0" w:space="0" w:color="auto"/>
      </w:divBdr>
    </w:div>
    <w:div w:id="870411547">
      <w:bodyDiv w:val="1"/>
      <w:marLeft w:val="0"/>
      <w:marRight w:val="0"/>
      <w:marTop w:val="0"/>
      <w:marBottom w:val="0"/>
      <w:divBdr>
        <w:top w:val="none" w:sz="0" w:space="0" w:color="auto"/>
        <w:left w:val="none" w:sz="0" w:space="0" w:color="auto"/>
        <w:bottom w:val="none" w:sz="0" w:space="0" w:color="auto"/>
        <w:right w:val="none" w:sz="0" w:space="0" w:color="auto"/>
      </w:divBdr>
    </w:div>
    <w:div w:id="902176284">
      <w:bodyDiv w:val="1"/>
      <w:marLeft w:val="0"/>
      <w:marRight w:val="0"/>
      <w:marTop w:val="0"/>
      <w:marBottom w:val="0"/>
      <w:divBdr>
        <w:top w:val="none" w:sz="0" w:space="0" w:color="auto"/>
        <w:left w:val="none" w:sz="0" w:space="0" w:color="auto"/>
        <w:bottom w:val="none" w:sz="0" w:space="0" w:color="auto"/>
        <w:right w:val="none" w:sz="0" w:space="0" w:color="auto"/>
      </w:divBdr>
    </w:div>
    <w:div w:id="999038482">
      <w:bodyDiv w:val="1"/>
      <w:marLeft w:val="0"/>
      <w:marRight w:val="0"/>
      <w:marTop w:val="0"/>
      <w:marBottom w:val="0"/>
      <w:divBdr>
        <w:top w:val="none" w:sz="0" w:space="0" w:color="auto"/>
        <w:left w:val="none" w:sz="0" w:space="0" w:color="auto"/>
        <w:bottom w:val="none" w:sz="0" w:space="0" w:color="auto"/>
        <w:right w:val="none" w:sz="0" w:space="0" w:color="auto"/>
      </w:divBdr>
    </w:div>
    <w:div w:id="1005088522">
      <w:bodyDiv w:val="1"/>
      <w:marLeft w:val="0"/>
      <w:marRight w:val="0"/>
      <w:marTop w:val="0"/>
      <w:marBottom w:val="0"/>
      <w:divBdr>
        <w:top w:val="none" w:sz="0" w:space="0" w:color="auto"/>
        <w:left w:val="none" w:sz="0" w:space="0" w:color="auto"/>
        <w:bottom w:val="none" w:sz="0" w:space="0" w:color="auto"/>
        <w:right w:val="none" w:sz="0" w:space="0" w:color="auto"/>
      </w:divBdr>
    </w:div>
    <w:div w:id="1013192257">
      <w:bodyDiv w:val="1"/>
      <w:marLeft w:val="0"/>
      <w:marRight w:val="0"/>
      <w:marTop w:val="0"/>
      <w:marBottom w:val="0"/>
      <w:divBdr>
        <w:top w:val="none" w:sz="0" w:space="0" w:color="auto"/>
        <w:left w:val="none" w:sz="0" w:space="0" w:color="auto"/>
        <w:bottom w:val="none" w:sz="0" w:space="0" w:color="auto"/>
        <w:right w:val="none" w:sz="0" w:space="0" w:color="auto"/>
      </w:divBdr>
    </w:div>
    <w:div w:id="1032923205">
      <w:bodyDiv w:val="1"/>
      <w:marLeft w:val="0"/>
      <w:marRight w:val="0"/>
      <w:marTop w:val="0"/>
      <w:marBottom w:val="0"/>
      <w:divBdr>
        <w:top w:val="none" w:sz="0" w:space="0" w:color="auto"/>
        <w:left w:val="none" w:sz="0" w:space="0" w:color="auto"/>
        <w:bottom w:val="none" w:sz="0" w:space="0" w:color="auto"/>
        <w:right w:val="none" w:sz="0" w:space="0" w:color="auto"/>
      </w:divBdr>
    </w:div>
    <w:div w:id="1039939169">
      <w:bodyDiv w:val="1"/>
      <w:marLeft w:val="0"/>
      <w:marRight w:val="0"/>
      <w:marTop w:val="0"/>
      <w:marBottom w:val="0"/>
      <w:divBdr>
        <w:top w:val="none" w:sz="0" w:space="0" w:color="auto"/>
        <w:left w:val="none" w:sz="0" w:space="0" w:color="auto"/>
        <w:bottom w:val="none" w:sz="0" w:space="0" w:color="auto"/>
        <w:right w:val="none" w:sz="0" w:space="0" w:color="auto"/>
      </w:divBdr>
    </w:div>
    <w:div w:id="1055155114">
      <w:bodyDiv w:val="1"/>
      <w:marLeft w:val="0"/>
      <w:marRight w:val="0"/>
      <w:marTop w:val="0"/>
      <w:marBottom w:val="0"/>
      <w:divBdr>
        <w:top w:val="none" w:sz="0" w:space="0" w:color="auto"/>
        <w:left w:val="none" w:sz="0" w:space="0" w:color="auto"/>
        <w:bottom w:val="none" w:sz="0" w:space="0" w:color="auto"/>
        <w:right w:val="none" w:sz="0" w:space="0" w:color="auto"/>
      </w:divBdr>
    </w:div>
    <w:div w:id="1142306840">
      <w:bodyDiv w:val="1"/>
      <w:marLeft w:val="0"/>
      <w:marRight w:val="0"/>
      <w:marTop w:val="0"/>
      <w:marBottom w:val="0"/>
      <w:divBdr>
        <w:top w:val="none" w:sz="0" w:space="0" w:color="auto"/>
        <w:left w:val="none" w:sz="0" w:space="0" w:color="auto"/>
        <w:bottom w:val="none" w:sz="0" w:space="0" w:color="auto"/>
        <w:right w:val="none" w:sz="0" w:space="0" w:color="auto"/>
      </w:divBdr>
    </w:div>
    <w:div w:id="1184131088">
      <w:bodyDiv w:val="1"/>
      <w:marLeft w:val="0"/>
      <w:marRight w:val="0"/>
      <w:marTop w:val="0"/>
      <w:marBottom w:val="0"/>
      <w:divBdr>
        <w:top w:val="none" w:sz="0" w:space="0" w:color="auto"/>
        <w:left w:val="none" w:sz="0" w:space="0" w:color="auto"/>
        <w:bottom w:val="none" w:sz="0" w:space="0" w:color="auto"/>
        <w:right w:val="none" w:sz="0" w:space="0" w:color="auto"/>
      </w:divBdr>
    </w:div>
    <w:div w:id="1193567638">
      <w:bodyDiv w:val="1"/>
      <w:marLeft w:val="0"/>
      <w:marRight w:val="0"/>
      <w:marTop w:val="0"/>
      <w:marBottom w:val="0"/>
      <w:divBdr>
        <w:top w:val="none" w:sz="0" w:space="0" w:color="auto"/>
        <w:left w:val="none" w:sz="0" w:space="0" w:color="auto"/>
        <w:bottom w:val="none" w:sz="0" w:space="0" w:color="auto"/>
        <w:right w:val="none" w:sz="0" w:space="0" w:color="auto"/>
      </w:divBdr>
    </w:div>
    <w:div w:id="1210145946">
      <w:bodyDiv w:val="1"/>
      <w:marLeft w:val="0"/>
      <w:marRight w:val="0"/>
      <w:marTop w:val="0"/>
      <w:marBottom w:val="0"/>
      <w:divBdr>
        <w:top w:val="none" w:sz="0" w:space="0" w:color="auto"/>
        <w:left w:val="none" w:sz="0" w:space="0" w:color="auto"/>
        <w:bottom w:val="none" w:sz="0" w:space="0" w:color="auto"/>
        <w:right w:val="none" w:sz="0" w:space="0" w:color="auto"/>
      </w:divBdr>
    </w:div>
    <w:div w:id="1262059206">
      <w:bodyDiv w:val="1"/>
      <w:marLeft w:val="0"/>
      <w:marRight w:val="0"/>
      <w:marTop w:val="0"/>
      <w:marBottom w:val="0"/>
      <w:divBdr>
        <w:top w:val="none" w:sz="0" w:space="0" w:color="auto"/>
        <w:left w:val="none" w:sz="0" w:space="0" w:color="auto"/>
        <w:bottom w:val="none" w:sz="0" w:space="0" w:color="auto"/>
        <w:right w:val="none" w:sz="0" w:space="0" w:color="auto"/>
      </w:divBdr>
    </w:div>
    <w:div w:id="1322080546">
      <w:bodyDiv w:val="1"/>
      <w:marLeft w:val="0"/>
      <w:marRight w:val="0"/>
      <w:marTop w:val="0"/>
      <w:marBottom w:val="0"/>
      <w:divBdr>
        <w:top w:val="none" w:sz="0" w:space="0" w:color="auto"/>
        <w:left w:val="none" w:sz="0" w:space="0" w:color="auto"/>
        <w:bottom w:val="none" w:sz="0" w:space="0" w:color="auto"/>
        <w:right w:val="none" w:sz="0" w:space="0" w:color="auto"/>
      </w:divBdr>
    </w:div>
    <w:div w:id="1383290311">
      <w:bodyDiv w:val="1"/>
      <w:marLeft w:val="0"/>
      <w:marRight w:val="0"/>
      <w:marTop w:val="0"/>
      <w:marBottom w:val="0"/>
      <w:divBdr>
        <w:top w:val="none" w:sz="0" w:space="0" w:color="auto"/>
        <w:left w:val="none" w:sz="0" w:space="0" w:color="auto"/>
        <w:bottom w:val="none" w:sz="0" w:space="0" w:color="auto"/>
        <w:right w:val="none" w:sz="0" w:space="0" w:color="auto"/>
      </w:divBdr>
    </w:div>
    <w:div w:id="1449811786">
      <w:bodyDiv w:val="1"/>
      <w:marLeft w:val="0"/>
      <w:marRight w:val="0"/>
      <w:marTop w:val="0"/>
      <w:marBottom w:val="0"/>
      <w:divBdr>
        <w:top w:val="none" w:sz="0" w:space="0" w:color="auto"/>
        <w:left w:val="none" w:sz="0" w:space="0" w:color="auto"/>
        <w:bottom w:val="none" w:sz="0" w:space="0" w:color="auto"/>
        <w:right w:val="none" w:sz="0" w:space="0" w:color="auto"/>
      </w:divBdr>
    </w:div>
    <w:div w:id="1531799852">
      <w:bodyDiv w:val="1"/>
      <w:marLeft w:val="0"/>
      <w:marRight w:val="0"/>
      <w:marTop w:val="0"/>
      <w:marBottom w:val="0"/>
      <w:divBdr>
        <w:top w:val="none" w:sz="0" w:space="0" w:color="auto"/>
        <w:left w:val="none" w:sz="0" w:space="0" w:color="auto"/>
        <w:bottom w:val="none" w:sz="0" w:space="0" w:color="auto"/>
        <w:right w:val="none" w:sz="0" w:space="0" w:color="auto"/>
      </w:divBdr>
    </w:div>
    <w:div w:id="1561403460">
      <w:bodyDiv w:val="1"/>
      <w:marLeft w:val="0"/>
      <w:marRight w:val="0"/>
      <w:marTop w:val="0"/>
      <w:marBottom w:val="0"/>
      <w:divBdr>
        <w:top w:val="none" w:sz="0" w:space="0" w:color="auto"/>
        <w:left w:val="none" w:sz="0" w:space="0" w:color="auto"/>
        <w:bottom w:val="none" w:sz="0" w:space="0" w:color="auto"/>
        <w:right w:val="none" w:sz="0" w:space="0" w:color="auto"/>
      </w:divBdr>
    </w:div>
    <w:div w:id="1659846142">
      <w:bodyDiv w:val="1"/>
      <w:marLeft w:val="0"/>
      <w:marRight w:val="0"/>
      <w:marTop w:val="0"/>
      <w:marBottom w:val="0"/>
      <w:divBdr>
        <w:top w:val="none" w:sz="0" w:space="0" w:color="auto"/>
        <w:left w:val="none" w:sz="0" w:space="0" w:color="auto"/>
        <w:bottom w:val="none" w:sz="0" w:space="0" w:color="auto"/>
        <w:right w:val="none" w:sz="0" w:space="0" w:color="auto"/>
      </w:divBdr>
    </w:div>
    <w:div w:id="1668290735">
      <w:bodyDiv w:val="1"/>
      <w:marLeft w:val="0"/>
      <w:marRight w:val="0"/>
      <w:marTop w:val="0"/>
      <w:marBottom w:val="0"/>
      <w:divBdr>
        <w:top w:val="none" w:sz="0" w:space="0" w:color="auto"/>
        <w:left w:val="none" w:sz="0" w:space="0" w:color="auto"/>
        <w:bottom w:val="none" w:sz="0" w:space="0" w:color="auto"/>
        <w:right w:val="none" w:sz="0" w:space="0" w:color="auto"/>
      </w:divBdr>
    </w:div>
    <w:div w:id="1679120173">
      <w:bodyDiv w:val="1"/>
      <w:marLeft w:val="0"/>
      <w:marRight w:val="0"/>
      <w:marTop w:val="0"/>
      <w:marBottom w:val="0"/>
      <w:divBdr>
        <w:top w:val="none" w:sz="0" w:space="0" w:color="auto"/>
        <w:left w:val="none" w:sz="0" w:space="0" w:color="auto"/>
        <w:bottom w:val="none" w:sz="0" w:space="0" w:color="auto"/>
        <w:right w:val="none" w:sz="0" w:space="0" w:color="auto"/>
      </w:divBdr>
    </w:div>
    <w:div w:id="1685550889">
      <w:bodyDiv w:val="1"/>
      <w:marLeft w:val="0"/>
      <w:marRight w:val="0"/>
      <w:marTop w:val="0"/>
      <w:marBottom w:val="0"/>
      <w:divBdr>
        <w:top w:val="none" w:sz="0" w:space="0" w:color="auto"/>
        <w:left w:val="none" w:sz="0" w:space="0" w:color="auto"/>
        <w:bottom w:val="none" w:sz="0" w:space="0" w:color="auto"/>
        <w:right w:val="none" w:sz="0" w:space="0" w:color="auto"/>
      </w:divBdr>
    </w:div>
    <w:div w:id="1730036888">
      <w:bodyDiv w:val="1"/>
      <w:marLeft w:val="0"/>
      <w:marRight w:val="0"/>
      <w:marTop w:val="0"/>
      <w:marBottom w:val="0"/>
      <w:divBdr>
        <w:top w:val="none" w:sz="0" w:space="0" w:color="auto"/>
        <w:left w:val="none" w:sz="0" w:space="0" w:color="auto"/>
        <w:bottom w:val="none" w:sz="0" w:space="0" w:color="auto"/>
        <w:right w:val="none" w:sz="0" w:space="0" w:color="auto"/>
      </w:divBdr>
    </w:div>
    <w:div w:id="1745224766">
      <w:bodyDiv w:val="1"/>
      <w:marLeft w:val="0"/>
      <w:marRight w:val="0"/>
      <w:marTop w:val="0"/>
      <w:marBottom w:val="0"/>
      <w:divBdr>
        <w:top w:val="none" w:sz="0" w:space="0" w:color="auto"/>
        <w:left w:val="none" w:sz="0" w:space="0" w:color="auto"/>
        <w:bottom w:val="none" w:sz="0" w:space="0" w:color="auto"/>
        <w:right w:val="none" w:sz="0" w:space="0" w:color="auto"/>
      </w:divBdr>
    </w:div>
    <w:div w:id="1763334390">
      <w:bodyDiv w:val="1"/>
      <w:marLeft w:val="0"/>
      <w:marRight w:val="0"/>
      <w:marTop w:val="0"/>
      <w:marBottom w:val="0"/>
      <w:divBdr>
        <w:top w:val="none" w:sz="0" w:space="0" w:color="auto"/>
        <w:left w:val="none" w:sz="0" w:space="0" w:color="auto"/>
        <w:bottom w:val="none" w:sz="0" w:space="0" w:color="auto"/>
        <w:right w:val="none" w:sz="0" w:space="0" w:color="auto"/>
      </w:divBdr>
    </w:div>
    <w:div w:id="1768843184">
      <w:bodyDiv w:val="1"/>
      <w:marLeft w:val="0"/>
      <w:marRight w:val="0"/>
      <w:marTop w:val="0"/>
      <w:marBottom w:val="0"/>
      <w:divBdr>
        <w:top w:val="none" w:sz="0" w:space="0" w:color="auto"/>
        <w:left w:val="none" w:sz="0" w:space="0" w:color="auto"/>
        <w:bottom w:val="none" w:sz="0" w:space="0" w:color="auto"/>
        <w:right w:val="none" w:sz="0" w:space="0" w:color="auto"/>
      </w:divBdr>
    </w:div>
    <w:div w:id="1773014817">
      <w:bodyDiv w:val="1"/>
      <w:marLeft w:val="0"/>
      <w:marRight w:val="0"/>
      <w:marTop w:val="0"/>
      <w:marBottom w:val="0"/>
      <w:divBdr>
        <w:top w:val="none" w:sz="0" w:space="0" w:color="auto"/>
        <w:left w:val="none" w:sz="0" w:space="0" w:color="auto"/>
        <w:bottom w:val="none" w:sz="0" w:space="0" w:color="auto"/>
        <w:right w:val="none" w:sz="0" w:space="0" w:color="auto"/>
      </w:divBdr>
    </w:div>
    <w:div w:id="1775786896">
      <w:bodyDiv w:val="1"/>
      <w:marLeft w:val="0"/>
      <w:marRight w:val="0"/>
      <w:marTop w:val="0"/>
      <w:marBottom w:val="0"/>
      <w:divBdr>
        <w:top w:val="none" w:sz="0" w:space="0" w:color="auto"/>
        <w:left w:val="none" w:sz="0" w:space="0" w:color="auto"/>
        <w:bottom w:val="none" w:sz="0" w:space="0" w:color="auto"/>
        <w:right w:val="none" w:sz="0" w:space="0" w:color="auto"/>
      </w:divBdr>
    </w:div>
    <w:div w:id="1811167549">
      <w:bodyDiv w:val="1"/>
      <w:marLeft w:val="0"/>
      <w:marRight w:val="0"/>
      <w:marTop w:val="0"/>
      <w:marBottom w:val="0"/>
      <w:divBdr>
        <w:top w:val="none" w:sz="0" w:space="0" w:color="auto"/>
        <w:left w:val="none" w:sz="0" w:space="0" w:color="auto"/>
        <w:bottom w:val="none" w:sz="0" w:space="0" w:color="auto"/>
        <w:right w:val="none" w:sz="0" w:space="0" w:color="auto"/>
      </w:divBdr>
    </w:div>
    <w:div w:id="1824545409">
      <w:bodyDiv w:val="1"/>
      <w:marLeft w:val="0"/>
      <w:marRight w:val="0"/>
      <w:marTop w:val="0"/>
      <w:marBottom w:val="0"/>
      <w:divBdr>
        <w:top w:val="none" w:sz="0" w:space="0" w:color="auto"/>
        <w:left w:val="none" w:sz="0" w:space="0" w:color="auto"/>
        <w:bottom w:val="none" w:sz="0" w:space="0" w:color="auto"/>
        <w:right w:val="none" w:sz="0" w:space="0" w:color="auto"/>
      </w:divBdr>
    </w:div>
    <w:div w:id="1859075019">
      <w:bodyDiv w:val="1"/>
      <w:marLeft w:val="0"/>
      <w:marRight w:val="0"/>
      <w:marTop w:val="0"/>
      <w:marBottom w:val="0"/>
      <w:divBdr>
        <w:top w:val="none" w:sz="0" w:space="0" w:color="auto"/>
        <w:left w:val="none" w:sz="0" w:space="0" w:color="auto"/>
        <w:bottom w:val="none" w:sz="0" w:space="0" w:color="auto"/>
        <w:right w:val="none" w:sz="0" w:space="0" w:color="auto"/>
      </w:divBdr>
      <w:divsChild>
        <w:div w:id="205156895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89875257">
      <w:bodyDiv w:val="1"/>
      <w:marLeft w:val="0"/>
      <w:marRight w:val="0"/>
      <w:marTop w:val="0"/>
      <w:marBottom w:val="0"/>
      <w:divBdr>
        <w:top w:val="none" w:sz="0" w:space="0" w:color="auto"/>
        <w:left w:val="none" w:sz="0" w:space="0" w:color="auto"/>
        <w:bottom w:val="none" w:sz="0" w:space="0" w:color="auto"/>
        <w:right w:val="none" w:sz="0" w:space="0" w:color="auto"/>
      </w:divBdr>
    </w:div>
    <w:div w:id="1900090181">
      <w:bodyDiv w:val="1"/>
      <w:marLeft w:val="0"/>
      <w:marRight w:val="0"/>
      <w:marTop w:val="0"/>
      <w:marBottom w:val="0"/>
      <w:divBdr>
        <w:top w:val="none" w:sz="0" w:space="0" w:color="auto"/>
        <w:left w:val="none" w:sz="0" w:space="0" w:color="auto"/>
        <w:bottom w:val="none" w:sz="0" w:space="0" w:color="auto"/>
        <w:right w:val="none" w:sz="0" w:space="0" w:color="auto"/>
      </w:divBdr>
    </w:div>
    <w:div w:id="1908414496">
      <w:bodyDiv w:val="1"/>
      <w:marLeft w:val="0"/>
      <w:marRight w:val="0"/>
      <w:marTop w:val="0"/>
      <w:marBottom w:val="0"/>
      <w:divBdr>
        <w:top w:val="none" w:sz="0" w:space="0" w:color="auto"/>
        <w:left w:val="none" w:sz="0" w:space="0" w:color="auto"/>
        <w:bottom w:val="none" w:sz="0" w:space="0" w:color="auto"/>
        <w:right w:val="none" w:sz="0" w:space="0" w:color="auto"/>
      </w:divBdr>
    </w:div>
    <w:div w:id="2011984446">
      <w:bodyDiv w:val="1"/>
      <w:marLeft w:val="0"/>
      <w:marRight w:val="0"/>
      <w:marTop w:val="0"/>
      <w:marBottom w:val="0"/>
      <w:divBdr>
        <w:top w:val="none" w:sz="0" w:space="0" w:color="auto"/>
        <w:left w:val="none" w:sz="0" w:space="0" w:color="auto"/>
        <w:bottom w:val="none" w:sz="0" w:space="0" w:color="auto"/>
        <w:right w:val="none" w:sz="0" w:space="0" w:color="auto"/>
      </w:divBdr>
    </w:div>
    <w:div w:id="2025746713">
      <w:bodyDiv w:val="1"/>
      <w:marLeft w:val="0"/>
      <w:marRight w:val="0"/>
      <w:marTop w:val="0"/>
      <w:marBottom w:val="0"/>
      <w:divBdr>
        <w:top w:val="none" w:sz="0" w:space="0" w:color="auto"/>
        <w:left w:val="none" w:sz="0" w:space="0" w:color="auto"/>
        <w:bottom w:val="none" w:sz="0" w:space="0" w:color="auto"/>
        <w:right w:val="none" w:sz="0" w:space="0" w:color="auto"/>
      </w:divBdr>
    </w:div>
    <w:div w:id="2029217569">
      <w:bodyDiv w:val="1"/>
      <w:marLeft w:val="0"/>
      <w:marRight w:val="0"/>
      <w:marTop w:val="0"/>
      <w:marBottom w:val="0"/>
      <w:divBdr>
        <w:top w:val="none" w:sz="0" w:space="0" w:color="auto"/>
        <w:left w:val="none" w:sz="0" w:space="0" w:color="auto"/>
        <w:bottom w:val="none" w:sz="0" w:space="0" w:color="auto"/>
        <w:right w:val="none" w:sz="0" w:space="0" w:color="auto"/>
      </w:divBdr>
    </w:div>
    <w:div w:id="2052457331">
      <w:bodyDiv w:val="1"/>
      <w:marLeft w:val="0"/>
      <w:marRight w:val="0"/>
      <w:marTop w:val="0"/>
      <w:marBottom w:val="0"/>
      <w:divBdr>
        <w:top w:val="none" w:sz="0" w:space="0" w:color="auto"/>
        <w:left w:val="none" w:sz="0" w:space="0" w:color="auto"/>
        <w:bottom w:val="none" w:sz="0" w:space="0" w:color="auto"/>
        <w:right w:val="none" w:sz="0" w:space="0" w:color="auto"/>
      </w:divBdr>
      <w:divsChild>
        <w:div w:id="70661157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56151070">
      <w:bodyDiv w:val="1"/>
      <w:marLeft w:val="0"/>
      <w:marRight w:val="0"/>
      <w:marTop w:val="0"/>
      <w:marBottom w:val="0"/>
      <w:divBdr>
        <w:top w:val="none" w:sz="0" w:space="0" w:color="auto"/>
        <w:left w:val="none" w:sz="0" w:space="0" w:color="auto"/>
        <w:bottom w:val="none" w:sz="0" w:space="0" w:color="auto"/>
        <w:right w:val="none" w:sz="0" w:space="0" w:color="auto"/>
      </w:divBdr>
    </w:div>
    <w:div w:id="2105345976">
      <w:bodyDiv w:val="1"/>
      <w:marLeft w:val="0"/>
      <w:marRight w:val="0"/>
      <w:marTop w:val="0"/>
      <w:marBottom w:val="0"/>
      <w:divBdr>
        <w:top w:val="none" w:sz="0" w:space="0" w:color="auto"/>
        <w:left w:val="none" w:sz="0" w:space="0" w:color="auto"/>
        <w:bottom w:val="none" w:sz="0" w:space="0" w:color="auto"/>
        <w:right w:val="none" w:sz="0" w:space="0" w:color="auto"/>
      </w:divBdr>
    </w:div>
    <w:div w:id="2115323483">
      <w:bodyDiv w:val="1"/>
      <w:marLeft w:val="0"/>
      <w:marRight w:val="0"/>
      <w:marTop w:val="0"/>
      <w:marBottom w:val="0"/>
      <w:divBdr>
        <w:top w:val="none" w:sz="0" w:space="0" w:color="auto"/>
        <w:left w:val="none" w:sz="0" w:space="0" w:color="auto"/>
        <w:bottom w:val="none" w:sz="0" w:space="0" w:color="auto"/>
        <w:right w:val="none" w:sz="0" w:space="0" w:color="auto"/>
      </w:divBdr>
    </w:div>
    <w:div w:id="2118064009">
      <w:bodyDiv w:val="1"/>
      <w:marLeft w:val="0"/>
      <w:marRight w:val="0"/>
      <w:marTop w:val="0"/>
      <w:marBottom w:val="0"/>
      <w:divBdr>
        <w:top w:val="none" w:sz="0" w:space="0" w:color="auto"/>
        <w:left w:val="none" w:sz="0" w:space="0" w:color="auto"/>
        <w:bottom w:val="none" w:sz="0" w:space="0" w:color="auto"/>
        <w:right w:val="none" w:sz="0" w:space="0" w:color="auto"/>
      </w:divBdr>
    </w:div>
    <w:div w:id="2121954499">
      <w:bodyDiv w:val="1"/>
      <w:marLeft w:val="0"/>
      <w:marRight w:val="0"/>
      <w:marTop w:val="0"/>
      <w:marBottom w:val="0"/>
      <w:divBdr>
        <w:top w:val="none" w:sz="0" w:space="0" w:color="auto"/>
        <w:left w:val="none" w:sz="0" w:space="0" w:color="auto"/>
        <w:bottom w:val="none" w:sz="0" w:space="0" w:color="auto"/>
        <w:right w:val="none" w:sz="0" w:space="0" w:color="auto"/>
      </w:divBdr>
    </w:div>
    <w:div w:id="214624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5EF6E-1B8B-E943-BF15-9E6CCE9BE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38</Pages>
  <Words>11797</Words>
  <Characters>67247</Characters>
  <Application>Microsoft Office Word</Application>
  <DocSecurity>0</DocSecurity>
  <Lines>560</Lines>
  <Paragraphs>157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Alsubaie</dc:creator>
  <cp:keywords/>
  <dc:description/>
  <cp:lastModifiedBy>Khalid Alsubaie</cp:lastModifiedBy>
  <cp:revision>3</cp:revision>
  <cp:lastPrinted>2026-04-26T00:04:00Z</cp:lastPrinted>
  <dcterms:created xsi:type="dcterms:W3CDTF">2026-04-26T00:04:00Z</dcterms:created>
  <dcterms:modified xsi:type="dcterms:W3CDTF">2026-04-26T00:17:00Z</dcterms:modified>
</cp:coreProperties>
</file>