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52E5D" w14:textId="77777777" w:rsidR="0039107F" w:rsidRPr="00BF65CE" w:rsidRDefault="0039107F" w:rsidP="00BD5864">
      <w:pPr>
        <w:spacing w:after="120"/>
        <w:jc w:val="both"/>
        <w:rPr>
          <w:rFonts w:ascii="Simplified Arabic" w:hAnsi="Simplified Arabic" w:cs="Simplified Arabic"/>
          <w:rtl/>
        </w:rPr>
      </w:pPr>
      <w:r w:rsidRPr="00BF65C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2F3F90E4" wp14:editId="34A65006">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2F606E2B" w14:textId="77777777" w:rsidR="0039107F" w:rsidRPr="00BF65CE" w:rsidRDefault="0039107F" w:rsidP="00BD5864">
      <w:pPr>
        <w:spacing w:after="120"/>
        <w:jc w:val="both"/>
        <w:rPr>
          <w:rFonts w:ascii="Simplified Arabic" w:hAnsi="Simplified Arabic" w:cs="Simplified Arabic"/>
          <w:rtl/>
        </w:rPr>
      </w:pPr>
    </w:p>
    <w:p w14:paraId="216F2CEF" w14:textId="77777777" w:rsidR="0039107F" w:rsidRPr="00BF65CE" w:rsidRDefault="0039107F" w:rsidP="00BD5864">
      <w:pPr>
        <w:spacing w:after="120"/>
        <w:jc w:val="both"/>
        <w:rPr>
          <w:rFonts w:ascii="Simplified Arabic" w:hAnsi="Simplified Arabic" w:cs="Simplified Arabic"/>
          <w:rtl/>
        </w:rPr>
      </w:pPr>
    </w:p>
    <w:p w14:paraId="411B80F9" w14:textId="77777777" w:rsidR="0039107F" w:rsidRPr="00BF65CE" w:rsidRDefault="0039107F" w:rsidP="00BD5864">
      <w:pPr>
        <w:spacing w:after="120"/>
        <w:jc w:val="both"/>
        <w:rPr>
          <w:rFonts w:ascii="Simplified Arabic" w:hAnsi="Simplified Arabic" w:cs="Simplified Arabic"/>
        </w:rPr>
      </w:pPr>
    </w:p>
    <w:p w14:paraId="572FBA7B" w14:textId="77777777" w:rsidR="0039107F" w:rsidRPr="00BF65CE" w:rsidRDefault="0039107F" w:rsidP="00BD5864">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5D11DB58" w14:textId="77777777" w:rsidR="0039107F" w:rsidRPr="00BF65CE" w:rsidRDefault="0039107F" w:rsidP="00BD5864">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1118B6EF" w14:textId="755F8E9A" w:rsidR="0039107F" w:rsidRPr="00BF65CE" w:rsidRDefault="00364DF1" w:rsidP="00BD5864">
      <w:pPr>
        <w:spacing w:after="420" w:line="320" w:lineRule="auto"/>
        <w:jc w:val="center"/>
        <w:rPr>
          <w:rFonts w:ascii="Simplified Arabic" w:hAnsi="Simplified Arabic" w:cs="Simplified Arabic"/>
          <w:szCs w:val="36"/>
        </w:rPr>
      </w:pPr>
      <w:r>
        <w:rPr>
          <w:rFonts w:ascii="Simplified Arabic" w:hAnsi="Simplified Arabic" w:cs="Simplified Arabic" w:hint="cs"/>
          <w:b/>
          <w:bCs/>
          <w:sz w:val="36"/>
          <w:szCs w:val="36"/>
          <w:rtl/>
        </w:rPr>
        <w:t>أثر التحول الصحي في المملكة العربية السعودية على بيئة العمل النفسية المستدامة  ودور رفاهية الموظفين في تقليل الاحتراق الوظيفي: دراسة ميدانية في القطاع الصحي الحكومي في مدينة الرياض.</w:t>
      </w:r>
    </w:p>
    <w:p w14:paraId="7C2E9AE1" w14:textId="77777777" w:rsidR="0039107F" w:rsidRPr="00BF65CE" w:rsidRDefault="0039107F" w:rsidP="00BD5864">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22F8A273" w14:textId="3FB5B87F" w:rsidR="0039107F" w:rsidRPr="00BF65CE" w:rsidRDefault="0039107F" w:rsidP="00BD5864">
      <w:pPr>
        <w:spacing w:after="40" w:line="320" w:lineRule="auto"/>
        <w:jc w:val="center"/>
        <w:rPr>
          <w:rFonts w:ascii="Simplified Arabic" w:hAnsi="Simplified Arabic" w:cs="Simplified Arabic"/>
        </w:rPr>
      </w:pPr>
    </w:p>
    <w:p w14:paraId="377CE13B" w14:textId="3973C72A" w:rsidR="0039107F" w:rsidRPr="00BF65CE" w:rsidRDefault="0039107F" w:rsidP="00BD5864">
      <w:pPr>
        <w:spacing w:after="360" w:line="320" w:lineRule="auto"/>
        <w:jc w:val="center"/>
        <w:rPr>
          <w:rFonts w:ascii="Simplified Arabic" w:hAnsi="Simplified Arabic" w:cs="Simplified Arabic"/>
        </w:rPr>
      </w:pPr>
      <w:r w:rsidRPr="00BF65CE">
        <w:rPr>
          <w:rFonts w:ascii="Simplified Arabic" w:hAnsi="Simplified Arabic" w:cs="Simplified Arabic"/>
          <w:rtl/>
        </w:rPr>
        <w:t xml:space="preserve">الرقم الأكاديمي: </w:t>
      </w:r>
    </w:p>
    <w:p w14:paraId="4CD96AE6" w14:textId="77777777" w:rsidR="0039107F" w:rsidRPr="00BF65CE" w:rsidRDefault="0039107F" w:rsidP="00BD5864">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4BE6EAEC" w14:textId="77777777" w:rsidR="0039107F" w:rsidRPr="00BF65CE" w:rsidRDefault="0039107F" w:rsidP="00BD5864">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74CF32C1" w14:textId="77777777" w:rsidR="0039107F" w:rsidRPr="00BF65CE" w:rsidRDefault="0039107F" w:rsidP="00BD5864">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4BDAF9D8" w14:textId="77777777" w:rsidR="0039107F" w:rsidRPr="00BF65CE" w:rsidRDefault="0039107F" w:rsidP="00BD5864">
      <w:pPr>
        <w:spacing w:after="120" w:line="320" w:lineRule="auto"/>
        <w:jc w:val="center"/>
        <w:rPr>
          <w:rFonts w:ascii="Simplified Arabic" w:hAnsi="Simplified Arabic" w:cs="Simplified Arabic"/>
        </w:rPr>
      </w:pPr>
      <w:r w:rsidRPr="00BF65CE">
        <w:rPr>
          <w:rFonts w:ascii="Simplified Arabic" w:hAnsi="Simplified Arabic" w:cs="Simplified Arabic"/>
          <w:b/>
          <w:bCs/>
          <w:rtl/>
        </w:rPr>
        <w:t>1446 هـ - 2025 م</w:t>
      </w:r>
    </w:p>
    <w:p w14:paraId="2AAFA451" w14:textId="118E47F7" w:rsidR="0073679F" w:rsidRDefault="0073679F" w:rsidP="0039107F">
      <w:pPr>
        <w:rPr>
          <w:rFonts w:ascii="Simplified Arabic" w:hAnsi="Simplified Arabic" w:cs="Simplified Arabic"/>
          <w:rtl/>
        </w:rPr>
      </w:pPr>
    </w:p>
    <w:p w14:paraId="1A6B7D7D" w14:textId="77777777" w:rsidR="0073679F" w:rsidRDefault="0073679F">
      <w:pPr>
        <w:bidi w:val="0"/>
        <w:rPr>
          <w:rFonts w:ascii="Simplified Arabic" w:hAnsi="Simplified Arabic" w:cs="Simplified Arabic"/>
          <w:rtl/>
        </w:rPr>
      </w:pPr>
      <w:r>
        <w:rPr>
          <w:rFonts w:ascii="Simplified Arabic" w:hAnsi="Simplified Arabic" w:cs="Simplified Arabic"/>
          <w:rtl/>
        </w:rPr>
        <w:br w:type="page"/>
      </w:r>
    </w:p>
    <w:p w14:paraId="28B9E513" w14:textId="77777777" w:rsidR="0073679F" w:rsidRPr="00BF65CE" w:rsidRDefault="0073679F" w:rsidP="00BD5864">
      <w:pPr>
        <w:spacing w:after="120"/>
        <w:jc w:val="center"/>
        <w:rPr>
          <w:rFonts w:ascii="Simplified Arabic" w:hAnsi="Simplified Arabic" w:cs="Simplified Arabic"/>
          <w:rtl/>
        </w:rPr>
      </w:pPr>
      <w:r w:rsidRPr="00BF65CE">
        <w:rPr>
          <w:rFonts w:ascii="Simplified Arabic" w:hAnsi="Simplified Arabic" w:cs="Simplified Arabic"/>
          <w:b/>
          <w:noProof/>
          <w:sz w:val="28"/>
          <w:szCs w:val="28"/>
        </w:rPr>
        <w:lastRenderedPageBreak/>
        <w:drawing>
          <wp:anchor distT="0" distB="0" distL="114300" distR="114300" simplePos="0" relativeHeight="251661312" behindDoc="0" locked="0" layoutInCell="1" allowOverlap="1" wp14:anchorId="0CA89FCD" wp14:editId="3C0740EF">
            <wp:simplePos x="0" y="0"/>
            <wp:positionH relativeFrom="margin">
              <wp:posOffset>1791970</wp:posOffset>
            </wp:positionH>
            <wp:positionV relativeFrom="margin">
              <wp:posOffset>453390</wp:posOffset>
            </wp:positionV>
            <wp:extent cx="1994535" cy="876300"/>
            <wp:effectExtent l="0" t="0" r="5715" b="0"/>
            <wp:wrapSquare wrapText="bothSides"/>
            <wp:docPr id="6888745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E95DA5F" w14:textId="77777777" w:rsidR="0073679F" w:rsidRPr="00BF65CE" w:rsidRDefault="0073679F" w:rsidP="00BD5864">
      <w:pPr>
        <w:spacing w:after="120"/>
        <w:jc w:val="center"/>
        <w:rPr>
          <w:rFonts w:ascii="Simplified Arabic" w:hAnsi="Simplified Arabic" w:cs="Simplified Arabic"/>
          <w:rtl/>
        </w:rPr>
      </w:pPr>
    </w:p>
    <w:p w14:paraId="55E771DC" w14:textId="77777777" w:rsidR="0073679F" w:rsidRPr="00BF65CE" w:rsidRDefault="0073679F" w:rsidP="00BD5864">
      <w:pPr>
        <w:spacing w:after="120"/>
        <w:jc w:val="center"/>
        <w:rPr>
          <w:rFonts w:ascii="Simplified Arabic" w:hAnsi="Simplified Arabic" w:cs="Simplified Arabic"/>
          <w:rtl/>
        </w:rPr>
      </w:pPr>
    </w:p>
    <w:p w14:paraId="2B07EECC" w14:textId="77777777" w:rsidR="0073679F" w:rsidRPr="00BF65CE" w:rsidRDefault="0073679F" w:rsidP="00BD5864">
      <w:pPr>
        <w:spacing w:after="120"/>
        <w:jc w:val="center"/>
        <w:rPr>
          <w:rFonts w:ascii="Simplified Arabic" w:hAnsi="Simplified Arabic" w:cs="Simplified Arabic"/>
        </w:rPr>
      </w:pPr>
    </w:p>
    <w:p w14:paraId="75FAC165" w14:textId="77777777" w:rsidR="006A45C0" w:rsidRPr="0058381B" w:rsidRDefault="006A45C0" w:rsidP="00BD5864">
      <w:pPr>
        <w:bidi w:val="0"/>
        <w:spacing w:after="60" w:line="320" w:lineRule="auto"/>
        <w:jc w:val="center"/>
        <w:rPr>
          <w:rFonts w:asciiTheme="majorBidi" w:hAnsiTheme="majorBidi" w:cstheme="majorBidi"/>
          <w:b/>
          <w:bCs/>
          <w:szCs w:val="28"/>
          <w:rtl/>
        </w:rPr>
      </w:pPr>
    </w:p>
    <w:p w14:paraId="6A60D4D5" w14:textId="15A4FFEC" w:rsidR="0073679F" w:rsidRPr="00E46B27" w:rsidRDefault="0073679F" w:rsidP="006A45C0">
      <w:pPr>
        <w:bidi w:val="0"/>
        <w:spacing w:after="60" w:line="320" w:lineRule="auto"/>
        <w:jc w:val="center"/>
        <w:rPr>
          <w:rFonts w:asciiTheme="majorBidi" w:hAnsiTheme="majorBidi" w:cstheme="majorBidi"/>
          <w:sz w:val="28"/>
          <w:szCs w:val="28"/>
        </w:rPr>
      </w:pPr>
      <w:r w:rsidRPr="00E46B27">
        <w:rPr>
          <w:rFonts w:asciiTheme="majorBidi" w:hAnsiTheme="majorBidi" w:cstheme="majorBidi"/>
          <w:b/>
          <w:bCs/>
          <w:sz w:val="28"/>
          <w:szCs w:val="28"/>
        </w:rPr>
        <w:t>MIDOCEAN UNIVERSITY</w:t>
      </w:r>
    </w:p>
    <w:p w14:paraId="1FD1EF95" w14:textId="77777777" w:rsidR="0073679F" w:rsidRPr="0058381B" w:rsidRDefault="0073679F" w:rsidP="00BD5864">
      <w:pPr>
        <w:bidi w:val="0"/>
        <w:spacing w:after="360" w:line="320" w:lineRule="auto"/>
        <w:jc w:val="center"/>
        <w:rPr>
          <w:rFonts w:asciiTheme="majorBidi" w:hAnsiTheme="majorBidi" w:cstheme="majorBidi"/>
        </w:rPr>
      </w:pPr>
      <w:r w:rsidRPr="0058381B">
        <w:rPr>
          <w:rFonts w:asciiTheme="majorBidi" w:hAnsiTheme="majorBidi" w:cstheme="majorBidi"/>
          <w:b/>
          <w:bCs/>
        </w:rPr>
        <w:t>College of Administration</w:t>
      </w:r>
    </w:p>
    <w:p w14:paraId="53E0F8CD" w14:textId="091A8D64" w:rsidR="0073679F" w:rsidRPr="0058381B" w:rsidRDefault="00A3793F" w:rsidP="00BD5864">
      <w:pPr>
        <w:bidi w:val="0"/>
        <w:spacing w:after="420" w:line="320" w:lineRule="auto"/>
        <w:jc w:val="center"/>
        <w:rPr>
          <w:rFonts w:asciiTheme="majorBidi" w:hAnsiTheme="majorBidi" w:cstheme="majorBidi"/>
          <w:sz w:val="36"/>
          <w:szCs w:val="36"/>
        </w:rPr>
      </w:pPr>
      <w:r w:rsidRPr="0058381B">
        <w:rPr>
          <w:rFonts w:asciiTheme="majorBidi" w:eastAsia="Times New Roman" w:hAnsiTheme="majorBidi" w:cstheme="majorBidi"/>
          <w:b/>
          <w:bCs/>
          <w:szCs w:val="36"/>
        </w:rPr>
        <w:t>​</w:t>
      </w:r>
      <w:r w:rsidRPr="0058381B">
        <w:rPr>
          <w:rFonts w:asciiTheme="majorBidi" w:eastAsia="Times New Roman" w:hAnsiTheme="majorBidi" w:cstheme="majorBidi"/>
          <w:b/>
          <w:bCs/>
          <w:sz w:val="36"/>
          <w:szCs w:val="36"/>
        </w:rPr>
        <w:t>The Impact of Healthcare Transformation in the Kingdom of Saudi Arabia on the Sustainable Psychological Work Environment and the Role of Employee Well-being in Reducing Job Burnout: A Field Study in the Public Health Sector in Riyadh City.</w:t>
      </w:r>
    </w:p>
    <w:p w14:paraId="78B5A9DC" w14:textId="77777777" w:rsidR="0073679F" w:rsidRPr="00F81DBD" w:rsidRDefault="0073679F" w:rsidP="00BD5864">
      <w:pPr>
        <w:bidi w:val="0"/>
        <w:spacing w:after="80" w:line="320" w:lineRule="auto"/>
        <w:jc w:val="center"/>
        <w:rPr>
          <w:rFonts w:asciiTheme="majorBidi" w:hAnsiTheme="majorBidi" w:cstheme="majorBidi"/>
          <w:sz w:val="28"/>
          <w:szCs w:val="28"/>
        </w:rPr>
      </w:pPr>
      <w:r w:rsidRPr="00F81DBD">
        <w:rPr>
          <w:rFonts w:asciiTheme="majorBidi" w:hAnsiTheme="majorBidi" w:cstheme="majorBidi"/>
          <w:b/>
          <w:bCs/>
          <w:sz w:val="28"/>
          <w:szCs w:val="28"/>
        </w:rPr>
        <w:t>by</w:t>
      </w:r>
    </w:p>
    <w:p w14:paraId="6C425182" w14:textId="5AAEEDAC" w:rsidR="0073679F" w:rsidRPr="0058381B" w:rsidRDefault="0073679F" w:rsidP="00BD5864">
      <w:pPr>
        <w:bidi w:val="0"/>
        <w:spacing w:after="40" w:line="320" w:lineRule="auto"/>
        <w:jc w:val="center"/>
        <w:rPr>
          <w:rFonts w:asciiTheme="majorBidi" w:hAnsiTheme="majorBidi" w:cstheme="majorBidi"/>
        </w:rPr>
      </w:pPr>
    </w:p>
    <w:p w14:paraId="473DDA58" w14:textId="03E0D01B" w:rsidR="0073679F" w:rsidRPr="00CC410A" w:rsidRDefault="0073679F" w:rsidP="00BD5864">
      <w:pPr>
        <w:bidi w:val="0"/>
        <w:spacing w:after="360" w:line="320" w:lineRule="auto"/>
        <w:jc w:val="center"/>
        <w:rPr>
          <w:rFonts w:asciiTheme="majorBidi" w:hAnsiTheme="majorBidi" w:cstheme="majorBidi"/>
        </w:rPr>
      </w:pPr>
      <w:r w:rsidRPr="00CC410A">
        <w:rPr>
          <w:rFonts w:asciiTheme="majorBidi" w:eastAsia="Times New Roman" w:hAnsiTheme="majorBidi" w:cstheme="majorBidi"/>
        </w:rPr>
        <w:t xml:space="preserve">Academic No.: </w:t>
      </w:r>
    </w:p>
    <w:p w14:paraId="2AEE2E06" w14:textId="77777777" w:rsidR="0073679F" w:rsidRPr="00CC410A" w:rsidRDefault="0073679F" w:rsidP="00BD5864">
      <w:pPr>
        <w:bidi w:val="0"/>
        <w:spacing w:after="80" w:line="320" w:lineRule="auto"/>
        <w:jc w:val="center"/>
        <w:rPr>
          <w:rFonts w:asciiTheme="majorBidi" w:hAnsiTheme="majorBidi" w:cstheme="majorBidi"/>
        </w:rPr>
      </w:pPr>
      <w:r w:rsidRPr="00CC410A">
        <w:rPr>
          <w:rFonts w:asciiTheme="majorBidi" w:eastAsia="Times New Roman" w:hAnsiTheme="majorBidi" w:cstheme="majorBidi"/>
          <w:b/>
          <w:bCs/>
        </w:rPr>
        <w:t>Submitted to Midocean University in partial fulfillment of the requirements for the degree of Doctor of Philosophy</w:t>
      </w:r>
    </w:p>
    <w:p w14:paraId="0E685DAC" w14:textId="77777777" w:rsidR="0073679F" w:rsidRPr="00CC410A" w:rsidRDefault="0073679F" w:rsidP="00BD5864">
      <w:pPr>
        <w:bidi w:val="0"/>
        <w:spacing w:after="420" w:line="320" w:lineRule="auto"/>
        <w:jc w:val="center"/>
        <w:rPr>
          <w:rFonts w:asciiTheme="majorBidi" w:eastAsia="Times New Roman" w:hAnsiTheme="majorBidi" w:cstheme="majorBidi"/>
          <w:b/>
          <w:bCs/>
        </w:rPr>
      </w:pPr>
      <w:r w:rsidRPr="00CC410A">
        <w:rPr>
          <w:rFonts w:asciiTheme="majorBidi" w:eastAsia="Times New Roman" w:hAnsiTheme="majorBidi" w:cstheme="majorBidi"/>
          <w:b/>
          <w:bCs/>
        </w:rPr>
        <w:t xml:space="preserve">in </w:t>
      </w:r>
    </w:p>
    <w:p w14:paraId="54DE3985" w14:textId="77777777" w:rsidR="0073679F" w:rsidRPr="00CC410A" w:rsidRDefault="0073679F" w:rsidP="00BD5864">
      <w:pPr>
        <w:bidi w:val="0"/>
        <w:spacing w:after="420" w:line="320" w:lineRule="auto"/>
        <w:jc w:val="center"/>
        <w:rPr>
          <w:rFonts w:asciiTheme="majorBidi" w:hAnsiTheme="majorBidi" w:cstheme="majorBidi"/>
        </w:rPr>
      </w:pPr>
      <w:r w:rsidRPr="00CC410A">
        <w:rPr>
          <w:rFonts w:asciiTheme="majorBidi" w:eastAsia="Times New Roman" w:hAnsiTheme="majorBidi" w:cstheme="majorBidi"/>
          <w:b/>
          <w:bCs/>
        </w:rPr>
        <w:t>ADMINISTRATION AND HUMAN RESOURCES</w:t>
      </w:r>
    </w:p>
    <w:p w14:paraId="57A0A20F" w14:textId="16965DFE" w:rsidR="009A7209" w:rsidRPr="00CC410A" w:rsidRDefault="0073679F" w:rsidP="00EF6E6A">
      <w:pPr>
        <w:bidi w:val="0"/>
        <w:spacing w:after="120" w:line="320" w:lineRule="auto"/>
        <w:jc w:val="center"/>
        <w:rPr>
          <w:rFonts w:asciiTheme="majorBidi" w:hAnsiTheme="majorBidi" w:cstheme="majorBidi"/>
          <w:rtl/>
        </w:rPr>
      </w:pPr>
      <w:r w:rsidRPr="00CC410A">
        <w:rPr>
          <w:rFonts w:asciiTheme="majorBidi" w:eastAsia="Times New Roman" w:hAnsiTheme="majorBidi" w:cstheme="majorBidi"/>
          <w:b/>
          <w:bCs/>
        </w:rPr>
        <w:t>2025</w:t>
      </w:r>
    </w:p>
    <w:p w14:paraId="6F709626" w14:textId="77777777" w:rsidR="009A7209" w:rsidRDefault="009A7209">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DA9AE76" w14:textId="77777777" w:rsidR="00B01EA5" w:rsidRDefault="00B01EA5" w:rsidP="00891197">
      <w:pPr>
        <w:pStyle w:val="2"/>
        <w:rPr>
          <w:b w:val="0"/>
          <w:bCs/>
          <w:rtl/>
        </w:rPr>
        <w:sectPr w:rsidR="00B01EA5" w:rsidSect="00AF3C0E">
          <w:pgSz w:w="11906" w:h="16838"/>
          <w:pgMar w:top="1440" w:right="1440" w:bottom="1440" w:left="1440" w:header="708" w:footer="708" w:gutter="0"/>
          <w:cols w:space="708"/>
          <w:bidi/>
          <w:rtlGutter/>
          <w:docGrid w:linePitch="360"/>
        </w:sectPr>
      </w:pPr>
    </w:p>
    <w:p w14:paraId="46E3A811" w14:textId="0729E7AE" w:rsidR="00060738" w:rsidRPr="00891197" w:rsidRDefault="00BA0C8A" w:rsidP="00891197">
      <w:pPr>
        <w:pStyle w:val="2"/>
        <w:rPr>
          <w:b w:val="0"/>
          <w:bCs/>
          <w:rtl/>
        </w:rPr>
      </w:pPr>
      <w:bookmarkStart w:id="0" w:name="_Toc234084408"/>
      <w:r w:rsidRPr="00891197">
        <w:rPr>
          <w:rFonts w:hint="cs"/>
          <w:b w:val="0"/>
          <w:bCs/>
          <w:rtl/>
        </w:rPr>
        <w:lastRenderedPageBreak/>
        <w:t>الآية القرآنية</w:t>
      </w:r>
      <w:bookmarkEnd w:id="0"/>
      <w:r w:rsidRPr="00891197">
        <w:rPr>
          <w:rFonts w:hint="cs"/>
          <w:b w:val="0"/>
          <w:bCs/>
          <w:rtl/>
        </w:rPr>
        <w:t xml:space="preserve"> </w:t>
      </w:r>
    </w:p>
    <w:p w14:paraId="59A9FD9E" w14:textId="77777777" w:rsidR="00BA0C8A" w:rsidRPr="00EE2A45" w:rsidRDefault="00BA0C8A" w:rsidP="00EE2A45">
      <w:pPr>
        <w:spacing w:line="240" w:lineRule="auto"/>
        <w:jc w:val="center"/>
        <w:rPr>
          <w:rFonts w:ascii="Simplified Arabic" w:hAnsi="Simplified Arabic" w:cs="Simplified Arabic"/>
          <w:sz w:val="52"/>
          <w:szCs w:val="52"/>
          <w:rtl/>
        </w:rPr>
      </w:pPr>
    </w:p>
    <w:p w14:paraId="5921EDD5" w14:textId="36119C1B" w:rsidR="000A07DC" w:rsidRPr="00EE2A45" w:rsidRDefault="00756BB8" w:rsidP="00EE2A45">
      <w:pPr>
        <w:spacing w:line="240" w:lineRule="auto"/>
        <w:jc w:val="center"/>
        <w:rPr>
          <w:rFonts w:ascii="Simplified Arabic" w:hAnsi="Simplified Arabic" w:cs="Simplified Arabic"/>
          <w:sz w:val="52"/>
          <w:szCs w:val="52"/>
          <w:rtl/>
        </w:rPr>
      </w:pPr>
      <w:r w:rsidRPr="00EE2A45">
        <w:rPr>
          <w:rFonts w:ascii="Arial" w:eastAsia="Times New Roman" w:hAnsi="Arial" w:cs="Arial"/>
          <w:color w:val="545454"/>
          <w:sz w:val="52"/>
          <w:szCs w:val="52"/>
          <w:shd w:val="clear" w:color="auto" w:fill="FFFFFF"/>
          <w:rtl/>
        </w:rPr>
        <w:t>﷽</w:t>
      </w:r>
    </w:p>
    <w:p w14:paraId="6AE150E6" w14:textId="603DB831" w:rsidR="000A07DC" w:rsidRPr="009C14D7" w:rsidRDefault="000A07DC" w:rsidP="00EE2A45">
      <w:pPr>
        <w:jc w:val="center"/>
        <w:rPr>
          <w:b/>
          <w:bCs/>
          <w:sz w:val="44"/>
          <w:szCs w:val="44"/>
        </w:rPr>
      </w:pPr>
    </w:p>
    <w:p w14:paraId="25DF3CE3" w14:textId="7A2C0AD6" w:rsidR="004B464B" w:rsidRPr="009C14D7" w:rsidRDefault="00905E51" w:rsidP="009631F6">
      <w:pPr>
        <w:spacing w:line="240" w:lineRule="auto"/>
        <w:jc w:val="both"/>
        <w:rPr>
          <w:rFonts w:ascii="Arial" w:eastAsia="Times New Roman" w:hAnsi="Arial" w:cs="Arial"/>
          <w:color w:val="545454"/>
          <w:sz w:val="44"/>
          <w:szCs w:val="44"/>
          <w:shd w:val="clear" w:color="auto" w:fill="FFFFFF"/>
          <w:rtl/>
        </w:rPr>
      </w:pPr>
      <w:r w:rsidRPr="009C14D7">
        <w:rPr>
          <w:rFonts w:ascii="Arial" w:eastAsia="Times New Roman" w:hAnsi="Arial" w:cs="Arial"/>
          <w:color w:val="545454"/>
          <w:sz w:val="44"/>
          <w:szCs w:val="44"/>
          <w:shd w:val="clear" w:color="auto" w:fill="FFFFFF"/>
        </w:rPr>
        <w:t>﴿</w:t>
      </w:r>
      <w:r w:rsidR="004B464B" w:rsidRPr="009C14D7">
        <w:rPr>
          <w:rFonts w:ascii="Arial" w:eastAsia="Times New Roman" w:hAnsi="Arial" w:cs="Arial"/>
          <w:color w:val="545454"/>
          <w:sz w:val="44"/>
          <w:szCs w:val="44"/>
          <w:shd w:val="clear" w:color="auto" w:fill="FFFFFF"/>
          <w:rtl/>
        </w:rPr>
        <w:t>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 لَآيَاتٍ لِّقَوْمٍ يُؤْمِنُونَ (٩٩)</w:t>
      </w:r>
      <w:r w:rsidR="009C14D7" w:rsidRPr="009C14D7">
        <w:rPr>
          <w:rFonts w:ascii="Arial" w:eastAsia="Times New Roman" w:hAnsi="Arial" w:cs="Arial"/>
          <w:color w:val="545454"/>
          <w:sz w:val="44"/>
          <w:szCs w:val="44"/>
          <w:shd w:val="clear" w:color="auto" w:fill="FFFFFF"/>
        </w:rPr>
        <w:t xml:space="preserve"> ﴾</w:t>
      </w:r>
    </w:p>
    <w:p w14:paraId="002F88E4" w14:textId="77777777" w:rsidR="004B464B" w:rsidRPr="004B464B" w:rsidRDefault="004B464B" w:rsidP="004B464B">
      <w:pPr>
        <w:rPr>
          <w:rFonts w:cs="Arial"/>
          <w:b/>
          <w:bCs/>
          <w:sz w:val="36"/>
          <w:szCs w:val="36"/>
          <w:rtl/>
        </w:rPr>
      </w:pPr>
    </w:p>
    <w:p w14:paraId="7A1D0D37" w14:textId="3AA33DB0" w:rsidR="000A07DC" w:rsidRPr="003A673B" w:rsidRDefault="004B464B" w:rsidP="00263B4E">
      <w:pPr>
        <w:jc w:val="right"/>
        <w:rPr>
          <w:b/>
          <w:bCs/>
          <w:sz w:val="36"/>
          <w:szCs w:val="36"/>
        </w:rPr>
      </w:pPr>
      <w:r w:rsidRPr="004B464B">
        <w:rPr>
          <w:rFonts w:cs="Arial"/>
          <w:b/>
          <w:bCs/>
          <w:sz w:val="36"/>
          <w:szCs w:val="36"/>
          <w:rtl/>
        </w:rPr>
        <w:t xml:space="preserve"> سورة  الأنعام</w:t>
      </w:r>
    </w:p>
    <w:p w14:paraId="792A67E9" w14:textId="77777777" w:rsidR="000A07DC" w:rsidRPr="00BA0C8A" w:rsidRDefault="000A07DC" w:rsidP="00E17564">
      <w:pPr>
        <w:spacing w:line="240" w:lineRule="auto"/>
        <w:jc w:val="both"/>
        <w:rPr>
          <w:rFonts w:ascii="Simplified Arabic" w:hAnsi="Simplified Arabic" w:cs="Simplified Arabic"/>
          <w:sz w:val="28"/>
          <w:szCs w:val="28"/>
          <w:rtl/>
        </w:rPr>
      </w:pPr>
    </w:p>
    <w:p w14:paraId="5BA39338" w14:textId="77777777" w:rsidR="00060738" w:rsidRDefault="00060738">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59691B19" w14:textId="4F3D15FE" w:rsidR="00BA0C8A" w:rsidRPr="00891197" w:rsidRDefault="00BA0C8A" w:rsidP="00891197">
      <w:pPr>
        <w:pStyle w:val="2"/>
        <w:rPr>
          <w:b w:val="0"/>
          <w:bCs/>
          <w:rtl/>
        </w:rPr>
      </w:pPr>
      <w:bookmarkStart w:id="1" w:name="_Toc234084409"/>
      <w:r w:rsidRPr="00891197">
        <w:rPr>
          <w:rFonts w:hint="cs"/>
          <w:b w:val="0"/>
          <w:bCs/>
          <w:rtl/>
        </w:rPr>
        <w:lastRenderedPageBreak/>
        <w:t>الإهداء</w:t>
      </w:r>
      <w:bookmarkEnd w:id="1"/>
      <w:r w:rsidRPr="00891197">
        <w:rPr>
          <w:rFonts w:hint="cs"/>
          <w:b w:val="0"/>
          <w:bCs/>
          <w:rtl/>
        </w:rPr>
        <w:t xml:space="preserve"> </w:t>
      </w:r>
    </w:p>
    <w:p w14:paraId="21174107" w14:textId="77777777" w:rsidR="00862E10" w:rsidRDefault="007E7D59"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w:t>
      </w:r>
    </w:p>
    <w:p w14:paraId="767FDD17" w14:textId="5A0230CE"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من أحمل اسمهم بكل فخر، إلى من غرسوا في نفسي حب العلم والتميز... والدي العزيزين، حفظهما الله وأطال في عمرهما.</w:t>
      </w:r>
    </w:p>
    <w:p w14:paraId="2251A12F"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الذين شاركوني لحظات التعب والفرح، وسندوا خطوتي كلما تعثرت... إخوتي وأخواتي.</w:t>
      </w:r>
    </w:p>
    <w:p w14:paraId="30A15C38"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رفقاء الدرب والخطوات الصعبة، من كانوا لي عوناً وملجأً... أصدقائي الأوفياء.</w:t>
      </w:r>
    </w:p>
    <w:p w14:paraId="395BA982"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كل من أضاء بعلمه عقلي، أو ترك أثراً طيباً في مسيرتي الجامعية.</w:t>
      </w:r>
    </w:p>
    <w:p w14:paraId="0C82BFEA"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​أهديكم هذا الجهد المتواضع، ثمرة لسنوات من السعي والأمل.</w:t>
      </w:r>
    </w:p>
    <w:p w14:paraId="2D61C35F" w14:textId="77777777" w:rsidR="00890898" w:rsidRPr="00BA0C8A" w:rsidRDefault="00890898" w:rsidP="00E17564">
      <w:pPr>
        <w:spacing w:line="240" w:lineRule="auto"/>
        <w:jc w:val="both"/>
        <w:rPr>
          <w:rFonts w:ascii="Simplified Arabic" w:hAnsi="Simplified Arabic" w:cs="Simplified Arabic"/>
          <w:sz w:val="32"/>
          <w:szCs w:val="32"/>
          <w:rtl/>
        </w:rPr>
      </w:pPr>
    </w:p>
    <w:p w14:paraId="03D8F1EF" w14:textId="77777777"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3CD2F432" w14:textId="5F4FF04D" w:rsidR="00E41967" w:rsidRPr="00891197" w:rsidRDefault="00BA0C8A" w:rsidP="00891197">
      <w:pPr>
        <w:pStyle w:val="2"/>
        <w:rPr>
          <w:b w:val="0"/>
          <w:bCs/>
          <w:rtl/>
        </w:rPr>
      </w:pPr>
      <w:bookmarkStart w:id="2" w:name="_Toc234084410"/>
      <w:r w:rsidRPr="00891197">
        <w:rPr>
          <w:rFonts w:hint="cs"/>
          <w:b w:val="0"/>
          <w:bCs/>
          <w:rtl/>
        </w:rPr>
        <w:lastRenderedPageBreak/>
        <w:t>الشكر والتقدير</w:t>
      </w:r>
      <w:bookmarkEnd w:id="2"/>
      <w:r w:rsidRPr="00891197">
        <w:rPr>
          <w:rFonts w:hint="cs"/>
          <w:b w:val="0"/>
          <w:bCs/>
          <w:rtl/>
        </w:rPr>
        <w:t xml:space="preserve"> </w:t>
      </w:r>
    </w:p>
    <w:p w14:paraId="6DD86A3F"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الحمد لله رب العالمين الذي بنعمته تتم الصالحات، وبتوفيقه تُذلل العقبات، والصلاة والسلام على معلم البشرية الخير، محمد وعلى آله وصحبه أجمعين.</w:t>
      </w:r>
    </w:p>
    <w:p w14:paraId="2270EB13"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​أما بعد،،</w:t>
      </w:r>
    </w:p>
    <w:p w14:paraId="60F6F8DD" w14:textId="00AC1EF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يطيب لي وأنا أختم </w:t>
      </w:r>
      <w:r w:rsidR="00675EE4">
        <w:rPr>
          <w:rFonts w:ascii="Simplified Arabic" w:hAnsi="Simplified Arabic" w:cs="Simplified Arabic" w:hint="cs"/>
          <w:sz w:val="32"/>
          <w:szCs w:val="32"/>
          <w:rtl/>
        </w:rPr>
        <w:t>هذه الدراسة</w:t>
      </w:r>
      <w:r>
        <w:rPr>
          <w:rFonts w:ascii="Simplified Arabic" w:hAnsi="Simplified Arabic" w:cs="Simplified Arabic" w:hint="cs"/>
          <w:sz w:val="32"/>
          <w:szCs w:val="32"/>
          <w:rtl/>
        </w:rPr>
        <w:t xml:space="preserve">، أن أتقدم ببالغ الشكر وعظيم الامتنان إلى </w:t>
      </w:r>
      <w:r w:rsidR="005370DB">
        <w:rPr>
          <w:rFonts w:ascii="Simplified Arabic" w:hAnsi="Simplified Arabic" w:cs="Simplified Arabic" w:hint="cs"/>
          <w:sz w:val="32"/>
          <w:szCs w:val="32"/>
          <w:rtl/>
        </w:rPr>
        <w:t xml:space="preserve">جامعة ميدأوشن </w:t>
      </w:r>
      <w:r>
        <w:rPr>
          <w:rFonts w:ascii="Simplified Arabic" w:hAnsi="Simplified Arabic" w:cs="Simplified Arabic" w:hint="cs"/>
          <w:sz w:val="32"/>
          <w:szCs w:val="32"/>
          <w:rtl/>
        </w:rPr>
        <w:t xml:space="preserve">وإلى كلية </w:t>
      </w:r>
      <w:r w:rsidR="005370DB">
        <w:rPr>
          <w:rFonts w:ascii="Simplified Arabic" w:hAnsi="Simplified Arabic" w:cs="Simplified Arabic" w:hint="cs"/>
          <w:sz w:val="32"/>
          <w:szCs w:val="32"/>
          <w:rtl/>
        </w:rPr>
        <w:t>الإدارة</w:t>
      </w:r>
      <w:r>
        <w:rPr>
          <w:rFonts w:ascii="Simplified Arabic" w:hAnsi="Simplified Arabic" w:cs="Simplified Arabic" w:hint="cs"/>
          <w:sz w:val="32"/>
          <w:szCs w:val="32"/>
          <w:rtl/>
        </w:rPr>
        <w:t>، لِما وفرته لنا من بيئة علمية محفزة.</w:t>
      </w:r>
    </w:p>
    <w:p w14:paraId="7DB622A1" w14:textId="76D84FA6"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​كما أخص بالشكر والتقدير الأستاذ الفاضل / الدكتور [</w:t>
      </w:r>
      <w:r w:rsidR="003F2CD3">
        <w:rPr>
          <w:rFonts w:ascii="Simplified Arabic" w:hAnsi="Simplified Arabic" w:cs="Simplified Arabic" w:hint="cs"/>
          <w:sz w:val="32"/>
          <w:szCs w:val="32"/>
          <w:rtl/>
        </w:rPr>
        <w:t>...</w:t>
      </w:r>
      <w:r>
        <w:rPr>
          <w:rFonts w:ascii="Simplified Arabic" w:hAnsi="Simplified Arabic" w:cs="Simplified Arabic" w:hint="cs"/>
          <w:sz w:val="32"/>
          <w:szCs w:val="32"/>
          <w:rtl/>
        </w:rPr>
        <w:t>]، الذي تفضل بالإشراف على هذا البحث، ولم يبخل عليّ بنصائحه السديدة وتوجيهاته القيمة التي كانت بمثابة المنارة التي أضاءت لي طريق إنجاز هذا العمل.</w:t>
      </w:r>
    </w:p>
    <w:p w14:paraId="4F5B6D5A"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​والـشكر موصول إلى أعضاء لجنة المناقشة والحكم الأفاضل لتفضلهم بقراءة هذا البحث وتقويمه.</w:t>
      </w:r>
    </w:p>
    <w:p w14:paraId="017F0112"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​وأخيراً، أتوجه بالشكر لكل من مد لي يد العون، ولو بكلمة تشجيع صادقة، طوال مسيرتي الدراسية.</w:t>
      </w:r>
    </w:p>
    <w:p w14:paraId="0058CE2F" w14:textId="77777777" w:rsidR="00D473E0" w:rsidRPr="00BA0C8A"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​سائلًا المولى عز وجل أن يوفقنا جميعاً لما يحبه ويرضاه.</w:t>
      </w:r>
    </w:p>
    <w:p w14:paraId="4BCFC9CA"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97C9A96" w14:textId="77777777" w:rsidR="00E41967" w:rsidRPr="00891197" w:rsidRDefault="00E41967" w:rsidP="00891197">
      <w:pPr>
        <w:pStyle w:val="2"/>
        <w:rPr>
          <w:b w:val="0"/>
          <w:bCs/>
          <w:rtl/>
        </w:rPr>
      </w:pPr>
      <w:bookmarkStart w:id="3" w:name="_Toc234084411"/>
      <w:r w:rsidRPr="00891197">
        <w:rPr>
          <w:rFonts w:hint="cs"/>
          <w:b w:val="0"/>
          <w:bCs/>
          <w:rtl/>
        </w:rPr>
        <w:lastRenderedPageBreak/>
        <w:t>المستخلص</w:t>
      </w:r>
      <w:bookmarkEnd w:id="3"/>
    </w:p>
    <w:p w14:paraId="186D70CF"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 هذه الدراسة إلى التعرف على أثر التحول الصحي في المملكة العربية السعودية على بيئة العمل النفسية المستدامة، وبيان دور رفاهية الموظفين في تقليل الاحتراق الوظيفي لدى العاملين في القطاع الصحي الحكومي بمدينة الرياض. وتنبع مشكلة الدراسة من تزايد الضغوط المهنية المصاحبة للتحولات التنظيمية والتقنية في القطاع الصحي، وما قد يترتب عليها من آثار نفسية ومهنية على العاملين.</w:t>
      </w:r>
    </w:p>
    <w:p w14:paraId="398D80CD"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اعتمدت الدراسة على المنهج الوصفي التحليلي، بوصفها دراسة ميدانية في مجال الإدارة والموارد البشرية. وتكوّن مجتمع الدراسة من العاملين في المستشفيات والمراكز الصحية الحكومية بمدينة الرياض، وشملت العينة 384 مفردة من الأطباء والممرضين والفنيين والإداريين. واستخدمت الاستبانة أداة رئيسة لجمع البيانات، وتم تحليلها باستخدام الأساليب الإحصائية المناسبة.</w:t>
      </w:r>
    </w:p>
    <w:p w14:paraId="04931CE1"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أظهرت النتائج أن مستوى إدراك التحول الصحي جاء مرتفعًا، وأن رفاهية الموظفين جاءت بمستوى مرتفع نسبيًا، بينما جاءت بيئة العمل النفسية المستدامة في مستوى متوسط مائل للارتفاع. كما بينت النتائج وجود علاقة إيجابية دالة بين التحول الصحي وبيئة العمل النفسية المستدامة، ووجود أثر عكسي دال للتحول الصحي في الاحتراق الوظيفي، إضافة إلى أن رفاهية الموظفين تؤدي دورًا وسيطًا جزئيًا في هذه العلاقة.</w:t>
      </w:r>
    </w:p>
    <w:p w14:paraId="1AC7A681" w14:textId="77777777" w:rsidR="00167869" w:rsidRPr="00E41967"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وتدل النتائج على أن نجاح التحول الصحي لا يعتمد فقط على تطوير الخدمات والأنظمة، بل يتطلب أيضًا تعزيز رفاهية العاملين وبناء بيئة عمل نفسية داعمة. ويمكن تطبيق النتائج عمليًا من خلال برامج للرفاهية المهنية، وتحسين الدعم الإداري، وتعزيز الأمان النفسي داخل المنشآت الصحية الحكومية.</w:t>
      </w:r>
    </w:p>
    <w:p w14:paraId="474838A3" w14:textId="77777777" w:rsidR="00E41967" w:rsidRPr="00E41967" w:rsidRDefault="00E41967" w:rsidP="00E17564">
      <w:pPr>
        <w:spacing w:line="240" w:lineRule="auto"/>
        <w:jc w:val="both"/>
        <w:rPr>
          <w:rFonts w:ascii="Simplified Arabic" w:hAnsi="Simplified Arabic" w:cs="Simplified Arabic"/>
          <w:sz w:val="28"/>
          <w:szCs w:val="28"/>
          <w:rtl/>
        </w:rPr>
      </w:pPr>
      <w:r w:rsidRPr="00167869">
        <w:rPr>
          <w:rFonts w:ascii="Simplified Arabic" w:hAnsi="Simplified Arabic" w:cs="Simplified Arabic" w:hint="cs"/>
          <w:b/>
          <w:bCs/>
          <w:sz w:val="28"/>
          <w:szCs w:val="28"/>
          <w:rtl/>
        </w:rPr>
        <w:t>الكلمات المفتاحية:</w:t>
      </w:r>
      <w:r w:rsidRPr="00E41967">
        <w:rPr>
          <w:rFonts w:ascii="Simplified Arabic" w:hAnsi="Simplified Arabic" w:cs="Simplified Arabic" w:hint="cs"/>
          <w:sz w:val="28"/>
          <w:szCs w:val="28"/>
          <w:rtl/>
        </w:rPr>
        <w:t xml:space="preserve"> التحول الصحي، بيئة العمل النفسية المستدامة، رفاهية الموظفين، الاحتراق الوظيفي، القطاع الصحي الحكومي، مدينة الرياض.</w:t>
      </w:r>
    </w:p>
    <w:p w14:paraId="4E3B1BD9"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1EFBCEED" w14:textId="77777777" w:rsidR="00575DDB" w:rsidRPr="00891197" w:rsidRDefault="00575DDB" w:rsidP="00891197">
      <w:pPr>
        <w:pStyle w:val="2"/>
        <w:bidi w:val="0"/>
      </w:pPr>
      <w:bookmarkStart w:id="4" w:name="_Toc234084412"/>
      <w:r w:rsidRPr="00891197">
        <w:lastRenderedPageBreak/>
        <w:t>Abstract</w:t>
      </w:r>
      <w:bookmarkEnd w:id="4"/>
    </w:p>
    <w:p w14:paraId="3D3E2613"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This study aimed to examine the impact of health transformation in the Kingdom of Saudi Arabia on the sustainable psychological work environment, and to identify the role of employee well-being in reducing job burnout among employees in the governmental health sector in Riyadh City. The research problem stems from the increasing work pressures associated with organizational and technological changes in the health sector and their possible psychological and professional effects on employees.</w:t>
      </w:r>
    </w:p>
    <w:p w14:paraId="144787CA"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The study adopted the descriptive-analytical approach as a field study in management and human resources. The study population consisted of employees working in governmental hospitals and healthcare centers in Riyadh City. The sample included 384 participants, including physicians, nurses, technicians, and administrative employees. A questionnaire was used as the main data collection tool, and the data were analyzed using appropriate statistical methods.</w:t>
      </w:r>
    </w:p>
    <w:p w14:paraId="1730FE8B"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The results showed that the perceived level of health transformation was high, and employee well-being was relatively high, while the sustainable psychological work environment was at a moderate level leaning toward high. The findings also revealed a statistically significant positive relationship between health transformation and the sustainable psychological work environment, and a significant negative effect of health transformation on job burnout. In addition, employee well-being partially mediated the relationship between health transformation and job burnout.</w:t>
      </w:r>
    </w:p>
    <w:p w14:paraId="4DA1C9C6" w14:textId="77777777" w:rsidR="00575DDB" w:rsidRPr="0023644F" w:rsidRDefault="00575DDB" w:rsidP="00624E58">
      <w:pPr>
        <w:bidi w:val="0"/>
        <w:spacing w:line="360" w:lineRule="auto"/>
        <w:jc w:val="both"/>
        <w:rPr>
          <w:rFonts w:asciiTheme="majorBidi" w:hAnsiTheme="majorBidi" w:cstheme="majorBidi"/>
          <w:rtl/>
        </w:rPr>
      </w:pPr>
      <w:r w:rsidRPr="0023644F">
        <w:rPr>
          <w:rFonts w:asciiTheme="majorBidi" w:hAnsiTheme="majorBidi" w:cstheme="majorBidi"/>
        </w:rPr>
        <w:t>The findings indicate that successful health transformation does not depend only on improving services and systems, but also on enhancing employee well-being and creating a supportive psychological work environment. Practically, the results can be applied through professional well-being programs, stronger administrative support, and improved psychological safety within governmental healthcare institutions.</w:t>
      </w:r>
    </w:p>
    <w:p w14:paraId="3CB6ECE0" w14:textId="77777777" w:rsidR="00624E58" w:rsidRPr="0023644F" w:rsidRDefault="00624E58" w:rsidP="00624E58">
      <w:pPr>
        <w:bidi w:val="0"/>
        <w:spacing w:line="360" w:lineRule="auto"/>
        <w:jc w:val="both"/>
        <w:rPr>
          <w:rFonts w:asciiTheme="majorBidi" w:hAnsiTheme="majorBidi" w:cstheme="majorBidi"/>
        </w:rPr>
      </w:pPr>
      <w:r w:rsidRPr="0023644F">
        <w:rPr>
          <w:rFonts w:asciiTheme="majorBidi" w:hAnsiTheme="majorBidi" w:cstheme="majorBidi"/>
          <w:b/>
          <w:bCs/>
        </w:rPr>
        <w:t>Keywords:</w:t>
      </w:r>
      <w:r w:rsidRPr="0023644F">
        <w:rPr>
          <w:rFonts w:asciiTheme="majorBidi" w:hAnsiTheme="majorBidi" w:cstheme="majorBidi"/>
        </w:rPr>
        <w:t xml:space="preserve"> health transformation, sustainable psychological work environment, employee well-being, job burnout, governmental health sector, Riyadh City.</w:t>
      </w:r>
    </w:p>
    <w:p w14:paraId="50AA130F" w14:textId="77777777" w:rsidR="00624E58" w:rsidRPr="0023644F" w:rsidRDefault="00624E58" w:rsidP="00624E58">
      <w:pPr>
        <w:bidi w:val="0"/>
        <w:spacing w:line="240" w:lineRule="auto"/>
        <w:jc w:val="both"/>
        <w:rPr>
          <w:rFonts w:ascii="Simplified Arabic" w:hAnsi="Simplified Arabic" w:cs="Simplified Arabic"/>
          <w:b/>
          <w:bCs/>
          <w:rtl/>
        </w:rPr>
      </w:pPr>
    </w:p>
    <w:p w14:paraId="24192BAF"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BAFAA22" w14:textId="396F8A7F" w:rsidR="00BA0C8A" w:rsidRPr="00891197" w:rsidRDefault="00CE231C" w:rsidP="00B01EA5">
      <w:pPr>
        <w:pStyle w:val="2"/>
        <w:tabs>
          <w:tab w:val="left" w:pos="5323"/>
        </w:tabs>
        <w:rPr>
          <w:b w:val="0"/>
          <w:bCs/>
          <w:rtl/>
        </w:rPr>
      </w:pPr>
      <w:bookmarkStart w:id="5" w:name="_Toc234084413"/>
      <w:r w:rsidRPr="00891197">
        <w:rPr>
          <w:rFonts w:hint="cs"/>
          <w:b w:val="0"/>
          <w:bCs/>
          <w:rtl/>
        </w:rPr>
        <w:lastRenderedPageBreak/>
        <w:t>قائمة المحتويات</w:t>
      </w:r>
      <w:bookmarkEnd w:id="5"/>
      <w:r w:rsidR="00B01EA5">
        <w:rPr>
          <w:b w:val="0"/>
          <w:bCs/>
          <w:rtl/>
        </w:rPr>
        <w:tab/>
      </w:r>
    </w:p>
    <w:p w14:paraId="712F8A9E" w14:textId="65DDA3CE" w:rsidR="00912101" w:rsidRDefault="00B01EA5">
      <w:pPr>
        <w:pStyle w:val="20"/>
        <w:tabs>
          <w:tab w:val="right" w:leader="dot" w:pos="9016"/>
        </w:tabs>
        <w:rPr>
          <w:rFonts w:cstheme="minorBidi"/>
          <w:smallCaps w:val="0"/>
          <w:noProof/>
          <w:kern w:val="0"/>
          <w:sz w:val="22"/>
          <w:szCs w:val="22"/>
          <w:rtl/>
          <w14:ligatures w14:val="none"/>
        </w:rPr>
      </w:pPr>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TOC</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o "1-3" \h \z \u</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hyperlink w:anchor="_Toc234084408" w:history="1">
        <w:r w:rsidR="00912101" w:rsidRPr="002042DE">
          <w:rPr>
            <w:rStyle w:val="Hyperlink"/>
            <w:rFonts w:hint="eastAsia"/>
            <w:bCs/>
            <w:noProof/>
            <w:rtl/>
          </w:rPr>
          <w:t>الآية</w:t>
        </w:r>
        <w:r w:rsidR="00912101" w:rsidRPr="002042DE">
          <w:rPr>
            <w:rStyle w:val="Hyperlink"/>
            <w:bCs/>
            <w:noProof/>
            <w:rtl/>
          </w:rPr>
          <w:t xml:space="preserve"> </w:t>
        </w:r>
        <w:r w:rsidR="00912101" w:rsidRPr="002042DE">
          <w:rPr>
            <w:rStyle w:val="Hyperlink"/>
            <w:rFonts w:hint="eastAsia"/>
            <w:bCs/>
            <w:noProof/>
            <w:rtl/>
          </w:rPr>
          <w:t>القرآنية</w:t>
        </w:r>
        <w:r w:rsidR="00912101">
          <w:rPr>
            <w:noProof/>
            <w:webHidden/>
            <w:rtl/>
          </w:rPr>
          <w:tab/>
        </w:r>
        <w:r w:rsidR="00912101">
          <w:rPr>
            <w:noProof/>
            <w:webHidden/>
            <w:rtl/>
          </w:rPr>
          <w:fldChar w:fldCharType="begin"/>
        </w:r>
        <w:r w:rsidR="00912101">
          <w:rPr>
            <w:noProof/>
            <w:webHidden/>
            <w:rtl/>
          </w:rPr>
          <w:instrText xml:space="preserve"> </w:instrText>
        </w:r>
        <w:r w:rsidR="00912101">
          <w:rPr>
            <w:noProof/>
            <w:webHidden/>
          </w:rPr>
          <w:instrText>PAGEREF</w:instrText>
        </w:r>
        <w:r w:rsidR="00912101">
          <w:rPr>
            <w:noProof/>
            <w:webHidden/>
            <w:rtl/>
          </w:rPr>
          <w:instrText xml:space="preserve"> _</w:instrText>
        </w:r>
        <w:r w:rsidR="00912101">
          <w:rPr>
            <w:noProof/>
            <w:webHidden/>
          </w:rPr>
          <w:instrText>Toc234084408 \h</w:instrText>
        </w:r>
        <w:r w:rsidR="00912101">
          <w:rPr>
            <w:noProof/>
            <w:webHidden/>
            <w:rtl/>
          </w:rPr>
          <w:instrText xml:space="preserve"> </w:instrText>
        </w:r>
        <w:r w:rsidR="00912101">
          <w:rPr>
            <w:noProof/>
            <w:webHidden/>
            <w:rtl/>
          </w:rPr>
        </w:r>
        <w:r w:rsidR="00912101">
          <w:rPr>
            <w:noProof/>
            <w:webHidden/>
            <w:rtl/>
          </w:rPr>
          <w:fldChar w:fldCharType="separate"/>
        </w:r>
        <w:r w:rsidR="00912101">
          <w:rPr>
            <w:rFonts w:hint="eastAsia"/>
            <w:noProof/>
            <w:webHidden/>
            <w:rtl/>
          </w:rPr>
          <w:t>‌أ</w:t>
        </w:r>
        <w:r w:rsidR="00912101">
          <w:rPr>
            <w:noProof/>
            <w:webHidden/>
            <w:rtl/>
          </w:rPr>
          <w:fldChar w:fldCharType="end"/>
        </w:r>
      </w:hyperlink>
    </w:p>
    <w:p w14:paraId="47E5D166" w14:textId="626B9514" w:rsidR="00912101" w:rsidRDefault="00912101">
      <w:pPr>
        <w:pStyle w:val="20"/>
        <w:tabs>
          <w:tab w:val="right" w:leader="dot" w:pos="9016"/>
        </w:tabs>
        <w:rPr>
          <w:rFonts w:cstheme="minorBidi"/>
          <w:smallCaps w:val="0"/>
          <w:noProof/>
          <w:kern w:val="0"/>
          <w:sz w:val="22"/>
          <w:szCs w:val="22"/>
          <w:rtl/>
          <w14:ligatures w14:val="none"/>
        </w:rPr>
      </w:pPr>
      <w:hyperlink w:anchor="_Toc234084409" w:history="1">
        <w:r w:rsidRPr="002042DE">
          <w:rPr>
            <w:rStyle w:val="Hyperlink"/>
            <w:rFonts w:hint="eastAsia"/>
            <w:bCs/>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Toc234084409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569F1596" w14:textId="4EA9DED8" w:rsidR="00912101" w:rsidRDefault="00912101">
      <w:pPr>
        <w:pStyle w:val="20"/>
        <w:tabs>
          <w:tab w:val="right" w:leader="dot" w:pos="9016"/>
        </w:tabs>
        <w:rPr>
          <w:rFonts w:cstheme="minorBidi"/>
          <w:smallCaps w:val="0"/>
          <w:noProof/>
          <w:kern w:val="0"/>
          <w:sz w:val="22"/>
          <w:szCs w:val="22"/>
          <w:rtl/>
          <w14:ligatures w14:val="none"/>
        </w:rPr>
      </w:pPr>
      <w:hyperlink w:anchor="_Toc234084410" w:history="1">
        <w:r w:rsidRPr="002042DE">
          <w:rPr>
            <w:rStyle w:val="Hyperlink"/>
            <w:rFonts w:hint="eastAsia"/>
            <w:bCs/>
            <w:noProof/>
            <w:rtl/>
          </w:rPr>
          <w:t>الشكر</w:t>
        </w:r>
        <w:r w:rsidRPr="002042DE">
          <w:rPr>
            <w:rStyle w:val="Hyperlink"/>
            <w:bCs/>
            <w:noProof/>
            <w:rtl/>
          </w:rPr>
          <w:t xml:space="preserve"> </w:t>
        </w:r>
        <w:r w:rsidRPr="002042DE">
          <w:rPr>
            <w:rStyle w:val="Hyperlink"/>
            <w:rFonts w:hint="eastAsia"/>
            <w:bCs/>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Toc234084410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300C0C09" w14:textId="4EFC6D20" w:rsidR="00912101" w:rsidRDefault="00912101">
      <w:pPr>
        <w:pStyle w:val="20"/>
        <w:tabs>
          <w:tab w:val="right" w:leader="dot" w:pos="9016"/>
        </w:tabs>
        <w:rPr>
          <w:rFonts w:cstheme="minorBidi"/>
          <w:smallCaps w:val="0"/>
          <w:noProof/>
          <w:kern w:val="0"/>
          <w:sz w:val="22"/>
          <w:szCs w:val="22"/>
          <w:rtl/>
          <w14:ligatures w14:val="none"/>
        </w:rPr>
      </w:pPr>
      <w:hyperlink w:anchor="_Toc234084411" w:history="1">
        <w:r w:rsidRPr="002042DE">
          <w:rPr>
            <w:rStyle w:val="Hyperlink"/>
            <w:rFonts w:hint="eastAsia"/>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Toc234084411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5936885D" w14:textId="703A842C" w:rsidR="00912101" w:rsidRDefault="00912101">
      <w:pPr>
        <w:pStyle w:val="20"/>
        <w:tabs>
          <w:tab w:val="right" w:leader="dot" w:pos="9016"/>
        </w:tabs>
        <w:rPr>
          <w:rFonts w:cstheme="minorBidi"/>
          <w:smallCaps w:val="0"/>
          <w:noProof/>
          <w:kern w:val="0"/>
          <w:sz w:val="22"/>
          <w:szCs w:val="22"/>
          <w:rtl/>
          <w14:ligatures w14:val="none"/>
        </w:rPr>
      </w:pPr>
      <w:hyperlink w:anchor="_Toc234084412" w:history="1">
        <w:r w:rsidRPr="002042DE">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Toc234084412 \h</w:instrText>
        </w:r>
        <w:r>
          <w:rPr>
            <w:noProof/>
            <w:webHidden/>
            <w:rtl/>
          </w:rPr>
          <w:instrText xml:space="preserve"> </w:instrText>
        </w:r>
        <w:r>
          <w:rPr>
            <w:noProof/>
            <w:webHidden/>
            <w:rtl/>
          </w:rPr>
        </w:r>
        <w:r>
          <w:rPr>
            <w:noProof/>
            <w:webHidden/>
            <w:rtl/>
          </w:rPr>
          <w:fldChar w:fldCharType="separate"/>
        </w:r>
        <w:r>
          <w:rPr>
            <w:rFonts w:hint="eastAsia"/>
            <w:noProof/>
            <w:webHidden/>
            <w:rtl/>
          </w:rPr>
          <w:t>‌ه</w:t>
        </w:r>
        <w:r>
          <w:rPr>
            <w:noProof/>
            <w:webHidden/>
            <w:rtl/>
          </w:rPr>
          <w:fldChar w:fldCharType="end"/>
        </w:r>
      </w:hyperlink>
    </w:p>
    <w:p w14:paraId="1C1A427C" w14:textId="1C867829" w:rsidR="00912101" w:rsidRDefault="00912101">
      <w:pPr>
        <w:pStyle w:val="20"/>
        <w:tabs>
          <w:tab w:val="right" w:leader="dot" w:pos="9016"/>
        </w:tabs>
        <w:rPr>
          <w:rFonts w:cstheme="minorBidi"/>
          <w:smallCaps w:val="0"/>
          <w:noProof/>
          <w:kern w:val="0"/>
          <w:sz w:val="22"/>
          <w:szCs w:val="22"/>
          <w:rtl/>
          <w14:ligatures w14:val="none"/>
        </w:rPr>
      </w:pPr>
      <w:hyperlink w:anchor="_Toc234084413" w:history="1">
        <w:r w:rsidRPr="002042DE">
          <w:rPr>
            <w:rStyle w:val="Hyperlink"/>
            <w:rFonts w:hint="eastAsia"/>
            <w:bCs/>
            <w:noProof/>
            <w:rtl/>
          </w:rPr>
          <w:t>قائمة</w:t>
        </w:r>
        <w:r w:rsidRPr="002042DE">
          <w:rPr>
            <w:rStyle w:val="Hyperlink"/>
            <w:bCs/>
            <w:noProof/>
            <w:rtl/>
          </w:rPr>
          <w:t xml:space="preserve"> </w:t>
        </w:r>
        <w:r w:rsidRPr="002042DE">
          <w:rPr>
            <w:rStyle w:val="Hyperlink"/>
            <w:rFonts w:hint="eastAsia"/>
            <w:bCs/>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Toc234084413 \h</w:instrText>
        </w:r>
        <w:r>
          <w:rPr>
            <w:noProof/>
            <w:webHidden/>
            <w:rtl/>
          </w:rPr>
          <w:instrText xml:space="preserve"> </w:instrText>
        </w:r>
        <w:r>
          <w:rPr>
            <w:noProof/>
            <w:webHidden/>
            <w:rtl/>
          </w:rPr>
        </w:r>
        <w:r>
          <w:rPr>
            <w:noProof/>
            <w:webHidden/>
            <w:rtl/>
          </w:rPr>
          <w:fldChar w:fldCharType="separate"/>
        </w:r>
        <w:r>
          <w:rPr>
            <w:rFonts w:hint="eastAsia"/>
            <w:noProof/>
            <w:webHidden/>
            <w:rtl/>
          </w:rPr>
          <w:t>‌و</w:t>
        </w:r>
        <w:r>
          <w:rPr>
            <w:noProof/>
            <w:webHidden/>
            <w:rtl/>
          </w:rPr>
          <w:fldChar w:fldCharType="end"/>
        </w:r>
      </w:hyperlink>
    </w:p>
    <w:p w14:paraId="36755BB3" w14:textId="4EF95DF6" w:rsidR="00912101" w:rsidRDefault="00912101">
      <w:pPr>
        <w:pStyle w:val="20"/>
        <w:tabs>
          <w:tab w:val="right" w:leader="dot" w:pos="9016"/>
        </w:tabs>
        <w:rPr>
          <w:rFonts w:cstheme="minorBidi"/>
          <w:smallCaps w:val="0"/>
          <w:noProof/>
          <w:kern w:val="0"/>
          <w:sz w:val="22"/>
          <w:szCs w:val="22"/>
          <w:rtl/>
          <w14:ligatures w14:val="none"/>
        </w:rPr>
      </w:pPr>
      <w:hyperlink w:anchor="_Toc234084414" w:history="1">
        <w:r w:rsidRPr="002042DE">
          <w:rPr>
            <w:rStyle w:val="Hyperlink"/>
            <w:rFonts w:hint="eastAsia"/>
            <w:bCs/>
            <w:noProof/>
            <w:rtl/>
          </w:rPr>
          <w:t>قائمة</w:t>
        </w:r>
        <w:r w:rsidRPr="002042DE">
          <w:rPr>
            <w:rStyle w:val="Hyperlink"/>
            <w:bCs/>
            <w:noProof/>
            <w:rtl/>
          </w:rPr>
          <w:t xml:space="preserve"> </w:t>
        </w:r>
        <w:r w:rsidRPr="002042DE">
          <w:rPr>
            <w:rStyle w:val="Hyperlink"/>
            <w:rFonts w:hint="eastAsia"/>
            <w:bCs/>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Toc234084414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4F4BB4E6" w14:textId="6D3E2C8F" w:rsidR="00912101" w:rsidRDefault="00912101">
      <w:pPr>
        <w:pStyle w:val="20"/>
        <w:tabs>
          <w:tab w:val="right" w:leader="dot" w:pos="9016"/>
        </w:tabs>
        <w:rPr>
          <w:rFonts w:cstheme="minorBidi"/>
          <w:smallCaps w:val="0"/>
          <w:noProof/>
          <w:kern w:val="0"/>
          <w:sz w:val="22"/>
          <w:szCs w:val="22"/>
          <w:rtl/>
          <w14:ligatures w14:val="none"/>
        </w:rPr>
      </w:pPr>
      <w:hyperlink w:anchor="_Toc234084415" w:history="1">
        <w:r w:rsidRPr="002042DE">
          <w:rPr>
            <w:rStyle w:val="Hyperlink"/>
            <w:rFonts w:hint="eastAsia"/>
            <w:bCs/>
            <w:noProof/>
            <w:rtl/>
          </w:rPr>
          <w:t>قائمة</w:t>
        </w:r>
        <w:r w:rsidRPr="002042DE">
          <w:rPr>
            <w:rStyle w:val="Hyperlink"/>
            <w:bCs/>
            <w:noProof/>
            <w:rtl/>
          </w:rPr>
          <w:t xml:space="preserve"> </w:t>
        </w:r>
        <w:r w:rsidRPr="002042DE">
          <w:rPr>
            <w:rStyle w:val="Hyperlink"/>
            <w:rFonts w:hint="eastAsia"/>
            <w:bCs/>
            <w:noProof/>
            <w:rtl/>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Toc234084415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2667B159" w14:textId="0C015291"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16" w:history="1">
        <w:r w:rsidRPr="002042DE">
          <w:rPr>
            <w:rStyle w:val="Hyperlink"/>
            <w:rFonts w:hint="eastAsia"/>
            <w:noProof/>
            <w:rtl/>
          </w:rPr>
          <w:t>الفصل</w:t>
        </w:r>
        <w:r w:rsidRPr="002042DE">
          <w:rPr>
            <w:rStyle w:val="Hyperlink"/>
            <w:noProof/>
            <w:rtl/>
          </w:rPr>
          <w:t xml:space="preserve"> </w:t>
        </w:r>
        <w:r w:rsidRPr="002042DE">
          <w:rPr>
            <w:rStyle w:val="Hyperlink"/>
            <w:rFonts w:hint="eastAsia"/>
            <w:noProof/>
            <w:rtl/>
          </w:rPr>
          <w:t>الأول</w:t>
        </w:r>
        <w:r w:rsidRPr="002042DE">
          <w:rPr>
            <w:rStyle w:val="Hyperlink"/>
            <w:noProof/>
            <w:rtl/>
          </w:rPr>
          <w:t xml:space="preserve">: </w:t>
        </w:r>
        <w:r w:rsidRPr="002042DE">
          <w:rPr>
            <w:rStyle w:val="Hyperlink"/>
            <w:rFonts w:hint="eastAsia"/>
            <w:noProof/>
            <w:rtl/>
          </w:rPr>
          <w:t>الإطار</w:t>
        </w:r>
        <w:r w:rsidRPr="002042DE">
          <w:rPr>
            <w:rStyle w:val="Hyperlink"/>
            <w:noProof/>
            <w:rtl/>
          </w:rPr>
          <w:t xml:space="preserve"> </w:t>
        </w:r>
        <w:r w:rsidRPr="002042DE">
          <w:rPr>
            <w:rStyle w:val="Hyperlink"/>
            <w:rFonts w:hint="eastAsia"/>
            <w:noProof/>
            <w:rtl/>
          </w:rPr>
          <w:t>المنهجي</w:t>
        </w:r>
        <w:r w:rsidRPr="002042DE">
          <w:rPr>
            <w:rStyle w:val="Hyperlink"/>
            <w:noProof/>
            <w:rtl/>
          </w:rPr>
          <w:t xml:space="preserve"> </w:t>
        </w:r>
        <w:r w:rsidRPr="002042DE">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30B7C58" w14:textId="79C2E380" w:rsidR="00912101" w:rsidRDefault="00912101">
      <w:pPr>
        <w:pStyle w:val="20"/>
        <w:tabs>
          <w:tab w:val="right" w:leader="dot" w:pos="9016"/>
        </w:tabs>
        <w:rPr>
          <w:rFonts w:cstheme="minorBidi"/>
          <w:smallCaps w:val="0"/>
          <w:noProof/>
          <w:kern w:val="0"/>
          <w:sz w:val="22"/>
          <w:szCs w:val="22"/>
          <w:rtl/>
          <w14:ligatures w14:val="none"/>
        </w:rPr>
      </w:pPr>
      <w:hyperlink w:anchor="_Toc234084417" w:history="1">
        <w:r w:rsidRPr="002042DE">
          <w:rPr>
            <w:rStyle w:val="Hyperlink"/>
            <w:rFonts w:hint="eastAsia"/>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AAE3415" w14:textId="4BFEB0E6" w:rsidR="00912101" w:rsidRDefault="00912101">
      <w:pPr>
        <w:pStyle w:val="20"/>
        <w:tabs>
          <w:tab w:val="right" w:leader="dot" w:pos="9016"/>
        </w:tabs>
        <w:rPr>
          <w:rFonts w:cstheme="minorBidi"/>
          <w:smallCaps w:val="0"/>
          <w:noProof/>
          <w:kern w:val="0"/>
          <w:sz w:val="22"/>
          <w:szCs w:val="22"/>
          <w:rtl/>
          <w14:ligatures w14:val="none"/>
        </w:rPr>
      </w:pPr>
      <w:hyperlink w:anchor="_Toc234084418" w:history="1">
        <w:r w:rsidRPr="002042DE">
          <w:rPr>
            <w:rStyle w:val="Hyperlink"/>
            <w:rFonts w:hint="eastAsia"/>
            <w:bCs/>
            <w:noProof/>
            <w:rtl/>
          </w:rPr>
          <w:t>مشكلة</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810C3B3" w14:textId="72151C12" w:rsidR="00912101" w:rsidRDefault="00912101">
      <w:pPr>
        <w:pStyle w:val="20"/>
        <w:tabs>
          <w:tab w:val="right" w:leader="dot" w:pos="9016"/>
        </w:tabs>
        <w:rPr>
          <w:rFonts w:cstheme="minorBidi"/>
          <w:smallCaps w:val="0"/>
          <w:noProof/>
          <w:kern w:val="0"/>
          <w:sz w:val="22"/>
          <w:szCs w:val="22"/>
          <w:rtl/>
          <w14:ligatures w14:val="none"/>
        </w:rPr>
      </w:pPr>
      <w:hyperlink w:anchor="_Toc234084419" w:history="1">
        <w:r w:rsidRPr="002042DE">
          <w:rPr>
            <w:rStyle w:val="Hyperlink"/>
            <w:rFonts w:hint="eastAsia"/>
            <w:bCs/>
            <w:noProof/>
            <w:rtl/>
          </w:rPr>
          <w:t>تساؤلات</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Toc234084419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6307B1A" w14:textId="276467E7" w:rsidR="00912101" w:rsidRDefault="00912101">
      <w:pPr>
        <w:pStyle w:val="20"/>
        <w:tabs>
          <w:tab w:val="right" w:leader="dot" w:pos="9016"/>
        </w:tabs>
        <w:rPr>
          <w:rFonts w:cstheme="minorBidi"/>
          <w:smallCaps w:val="0"/>
          <w:noProof/>
          <w:kern w:val="0"/>
          <w:sz w:val="22"/>
          <w:szCs w:val="22"/>
          <w:rtl/>
          <w14:ligatures w14:val="none"/>
        </w:rPr>
      </w:pPr>
      <w:hyperlink w:anchor="_Toc234084420" w:history="1">
        <w:r w:rsidRPr="002042DE">
          <w:rPr>
            <w:rStyle w:val="Hyperlink"/>
            <w:rFonts w:hint="eastAsia"/>
            <w:bCs/>
            <w:noProof/>
            <w:rtl/>
          </w:rPr>
          <w:t>أهمية</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CEF5C74" w14:textId="39493ACA" w:rsidR="00912101" w:rsidRDefault="00912101">
      <w:pPr>
        <w:pStyle w:val="30"/>
        <w:tabs>
          <w:tab w:val="right" w:leader="dot" w:pos="9016"/>
        </w:tabs>
        <w:rPr>
          <w:rFonts w:cstheme="minorBidi"/>
          <w:i w:val="0"/>
          <w:iCs w:val="0"/>
          <w:noProof/>
          <w:kern w:val="0"/>
          <w:sz w:val="22"/>
          <w:szCs w:val="22"/>
          <w:rtl/>
          <w14:ligatures w14:val="none"/>
        </w:rPr>
      </w:pPr>
      <w:hyperlink w:anchor="_Toc234084421" w:history="1">
        <w:r w:rsidRPr="002042DE">
          <w:rPr>
            <w:rStyle w:val="Hyperlink"/>
            <w:rFonts w:hint="eastAsia"/>
            <w:bCs/>
            <w:noProof/>
            <w:rtl/>
          </w:rPr>
          <w:t>أولاً</w:t>
        </w:r>
        <w:r w:rsidRPr="002042DE">
          <w:rPr>
            <w:rStyle w:val="Hyperlink"/>
            <w:bCs/>
            <w:noProof/>
            <w:rtl/>
          </w:rPr>
          <w:t xml:space="preserve">: </w:t>
        </w:r>
        <w:r w:rsidRPr="002042DE">
          <w:rPr>
            <w:rStyle w:val="Hyperlink"/>
            <w:rFonts w:hint="eastAsia"/>
            <w:bCs/>
            <w:noProof/>
            <w:rtl/>
          </w:rPr>
          <w:t>الأهمية</w:t>
        </w:r>
        <w:r w:rsidRPr="002042DE">
          <w:rPr>
            <w:rStyle w:val="Hyperlink"/>
            <w:bCs/>
            <w:noProof/>
            <w:rtl/>
          </w:rPr>
          <w:t xml:space="preserve"> </w:t>
        </w:r>
        <w:r w:rsidRPr="002042DE">
          <w:rPr>
            <w:rStyle w:val="Hyperlink"/>
            <w:rFonts w:hint="eastAsia"/>
            <w:b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5BA96F8" w14:textId="46EAB1CA" w:rsidR="00912101" w:rsidRDefault="00912101">
      <w:pPr>
        <w:pStyle w:val="30"/>
        <w:tabs>
          <w:tab w:val="right" w:leader="dot" w:pos="9016"/>
        </w:tabs>
        <w:rPr>
          <w:rFonts w:cstheme="minorBidi"/>
          <w:i w:val="0"/>
          <w:iCs w:val="0"/>
          <w:noProof/>
          <w:kern w:val="0"/>
          <w:sz w:val="22"/>
          <w:szCs w:val="22"/>
          <w:rtl/>
          <w14:ligatures w14:val="none"/>
        </w:rPr>
      </w:pPr>
      <w:hyperlink w:anchor="_Toc234084422" w:history="1">
        <w:r w:rsidRPr="002042DE">
          <w:rPr>
            <w:rStyle w:val="Hyperlink"/>
            <w:rFonts w:hint="eastAsia"/>
            <w:bCs/>
            <w:noProof/>
            <w:rtl/>
          </w:rPr>
          <w:t>ثانياً</w:t>
        </w:r>
        <w:r w:rsidRPr="002042DE">
          <w:rPr>
            <w:rStyle w:val="Hyperlink"/>
            <w:bCs/>
            <w:noProof/>
            <w:rtl/>
          </w:rPr>
          <w:t xml:space="preserve">: </w:t>
        </w:r>
        <w:r w:rsidRPr="002042DE">
          <w:rPr>
            <w:rStyle w:val="Hyperlink"/>
            <w:rFonts w:hint="eastAsia"/>
            <w:bCs/>
            <w:noProof/>
            <w:rtl/>
          </w:rPr>
          <w:t>الأهمية</w:t>
        </w:r>
        <w:r w:rsidRPr="002042DE">
          <w:rPr>
            <w:rStyle w:val="Hyperlink"/>
            <w:bCs/>
            <w:noProof/>
            <w:rtl/>
          </w:rPr>
          <w:t xml:space="preserve"> </w:t>
        </w:r>
        <w:r w:rsidRPr="002042DE">
          <w:rPr>
            <w:rStyle w:val="Hyperlink"/>
            <w:rFonts w:hint="eastAsia"/>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23E9737" w14:textId="2BF32DCE" w:rsidR="00912101" w:rsidRDefault="00912101">
      <w:pPr>
        <w:pStyle w:val="20"/>
        <w:tabs>
          <w:tab w:val="right" w:leader="dot" w:pos="9016"/>
        </w:tabs>
        <w:rPr>
          <w:rFonts w:cstheme="minorBidi"/>
          <w:smallCaps w:val="0"/>
          <w:noProof/>
          <w:kern w:val="0"/>
          <w:sz w:val="22"/>
          <w:szCs w:val="22"/>
          <w:rtl/>
          <w14:ligatures w14:val="none"/>
        </w:rPr>
      </w:pPr>
      <w:hyperlink w:anchor="_Toc234084423" w:history="1">
        <w:r w:rsidRPr="002042DE">
          <w:rPr>
            <w:rStyle w:val="Hyperlink"/>
            <w:rFonts w:hint="eastAsia"/>
            <w:bCs/>
            <w:noProof/>
            <w:rtl/>
          </w:rPr>
          <w:t>أهداف</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63BDAD9" w14:textId="145311E7" w:rsidR="00912101" w:rsidRDefault="00912101">
      <w:pPr>
        <w:pStyle w:val="20"/>
        <w:tabs>
          <w:tab w:val="right" w:leader="dot" w:pos="9016"/>
        </w:tabs>
        <w:rPr>
          <w:rFonts w:cstheme="minorBidi"/>
          <w:smallCaps w:val="0"/>
          <w:noProof/>
          <w:kern w:val="0"/>
          <w:sz w:val="22"/>
          <w:szCs w:val="22"/>
          <w:rtl/>
          <w14:ligatures w14:val="none"/>
        </w:rPr>
      </w:pPr>
      <w:hyperlink w:anchor="_Toc234084424" w:history="1">
        <w:r w:rsidRPr="002042DE">
          <w:rPr>
            <w:rStyle w:val="Hyperlink"/>
            <w:rFonts w:hint="eastAsia"/>
            <w:bCs/>
            <w:noProof/>
            <w:rtl/>
          </w:rPr>
          <w:t>فرضيات</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1475D58" w14:textId="4342CA26" w:rsidR="00912101" w:rsidRDefault="00912101">
      <w:pPr>
        <w:pStyle w:val="20"/>
        <w:tabs>
          <w:tab w:val="right" w:leader="dot" w:pos="9016"/>
        </w:tabs>
        <w:rPr>
          <w:rFonts w:cstheme="minorBidi"/>
          <w:smallCaps w:val="0"/>
          <w:noProof/>
          <w:kern w:val="0"/>
          <w:sz w:val="22"/>
          <w:szCs w:val="22"/>
          <w:rtl/>
          <w14:ligatures w14:val="none"/>
        </w:rPr>
      </w:pPr>
      <w:hyperlink w:anchor="_Toc234084425" w:history="1">
        <w:r w:rsidRPr="002042DE">
          <w:rPr>
            <w:rStyle w:val="Hyperlink"/>
            <w:rFonts w:hint="eastAsia"/>
            <w:bCs/>
            <w:noProof/>
            <w:rtl/>
          </w:rPr>
          <w:t>حدود</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9D4E0BE" w14:textId="15A590EA" w:rsidR="00912101" w:rsidRDefault="00912101">
      <w:pPr>
        <w:pStyle w:val="20"/>
        <w:tabs>
          <w:tab w:val="right" w:leader="dot" w:pos="9016"/>
        </w:tabs>
        <w:rPr>
          <w:rFonts w:cstheme="minorBidi"/>
          <w:smallCaps w:val="0"/>
          <w:noProof/>
          <w:kern w:val="0"/>
          <w:sz w:val="22"/>
          <w:szCs w:val="22"/>
          <w:rtl/>
          <w14:ligatures w14:val="none"/>
        </w:rPr>
      </w:pPr>
      <w:hyperlink w:anchor="_Toc234084426" w:history="1">
        <w:r w:rsidRPr="002042DE">
          <w:rPr>
            <w:rStyle w:val="Hyperlink"/>
            <w:rFonts w:hint="eastAsia"/>
            <w:bCs/>
            <w:noProof/>
            <w:rtl/>
          </w:rPr>
          <w:t>مفاهيم</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6BEC8D1" w14:textId="600952DD" w:rsidR="00912101" w:rsidRDefault="00912101">
      <w:pPr>
        <w:pStyle w:val="30"/>
        <w:tabs>
          <w:tab w:val="right" w:leader="dot" w:pos="9016"/>
        </w:tabs>
        <w:rPr>
          <w:rFonts w:cstheme="minorBidi"/>
          <w:i w:val="0"/>
          <w:iCs w:val="0"/>
          <w:noProof/>
          <w:kern w:val="0"/>
          <w:sz w:val="22"/>
          <w:szCs w:val="22"/>
          <w:rtl/>
          <w14:ligatures w14:val="none"/>
        </w:rPr>
      </w:pPr>
      <w:hyperlink w:anchor="_Toc234084427" w:history="1">
        <w:r w:rsidRPr="002042DE">
          <w:rPr>
            <w:rStyle w:val="Hyperlink"/>
            <w:rFonts w:hint="eastAsia"/>
            <w:bCs/>
            <w:noProof/>
            <w:rtl/>
          </w:rPr>
          <w:t>مفهوم</w:t>
        </w:r>
        <w:r w:rsidRPr="002042DE">
          <w:rPr>
            <w:rStyle w:val="Hyperlink"/>
            <w:bCs/>
            <w:noProof/>
            <w:rtl/>
          </w:rPr>
          <w:t xml:space="preserve"> </w:t>
        </w:r>
        <w:r w:rsidRPr="002042DE">
          <w:rPr>
            <w:rStyle w:val="Hyperlink"/>
            <w:rFonts w:hint="eastAsia"/>
            <w:bCs/>
            <w:noProof/>
            <w:rtl/>
          </w:rPr>
          <w:t>التحول</w:t>
        </w:r>
        <w:r w:rsidRPr="002042DE">
          <w:rPr>
            <w:rStyle w:val="Hyperlink"/>
            <w:bCs/>
            <w:noProof/>
            <w:rtl/>
          </w:rPr>
          <w:t xml:space="preserve"> </w:t>
        </w:r>
        <w:r w:rsidRPr="002042DE">
          <w:rPr>
            <w:rStyle w:val="Hyperlink"/>
            <w:rFonts w:hint="eastAsia"/>
            <w:bCs/>
            <w:noProof/>
            <w:rtl/>
          </w:rPr>
          <w:t>الصحي</w:t>
        </w:r>
        <w:r w:rsidRPr="002042DE">
          <w:rPr>
            <w:rStyle w:val="Hyperlink"/>
            <w:bCs/>
            <w:noProof/>
            <w:rtl/>
          </w:rPr>
          <w:t xml:space="preserve"> </w:t>
        </w:r>
        <w:r w:rsidRPr="002042DE">
          <w:rPr>
            <w:rStyle w:val="Hyperlink"/>
            <w:rFonts w:hint="eastAsia"/>
            <w:bCs/>
            <w:noProof/>
            <w:rtl/>
          </w:rPr>
          <w:t>في</w:t>
        </w:r>
        <w:r w:rsidRPr="002042DE">
          <w:rPr>
            <w:rStyle w:val="Hyperlink"/>
            <w:bCs/>
            <w:noProof/>
            <w:rtl/>
          </w:rPr>
          <w:t xml:space="preserve"> </w:t>
        </w:r>
        <w:r w:rsidRPr="002042DE">
          <w:rPr>
            <w:rStyle w:val="Hyperlink"/>
            <w:rFonts w:hint="eastAsia"/>
            <w:bCs/>
            <w:noProof/>
            <w:rtl/>
          </w:rPr>
          <w:t>المملكة</w:t>
        </w:r>
        <w:r w:rsidRPr="002042DE">
          <w:rPr>
            <w:rStyle w:val="Hyperlink"/>
            <w:bCs/>
            <w:noProof/>
            <w:rtl/>
          </w:rPr>
          <w:t xml:space="preserve"> </w:t>
        </w:r>
        <w:r w:rsidRPr="002042DE">
          <w:rPr>
            <w:rStyle w:val="Hyperlink"/>
            <w:rFonts w:hint="eastAsia"/>
            <w:bCs/>
            <w:noProof/>
            <w:rtl/>
          </w:rPr>
          <w:t>العربية</w:t>
        </w:r>
        <w:r w:rsidRPr="002042DE">
          <w:rPr>
            <w:rStyle w:val="Hyperlink"/>
            <w:bCs/>
            <w:noProof/>
            <w:rtl/>
          </w:rPr>
          <w:t xml:space="preserve"> </w:t>
        </w:r>
        <w:r w:rsidRPr="002042DE">
          <w:rPr>
            <w:rStyle w:val="Hyperlink"/>
            <w:rFonts w:hint="eastAsia"/>
            <w:bCs/>
            <w:noProof/>
            <w:rtl/>
          </w:rPr>
          <w:t>السعودية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02AD412" w14:textId="7361B8C3" w:rsidR="00912101" w:rsidRDefault="00912101">
      <w:pPr>
        <w:pStyle w:val="30"/>
        <w:tabs>
          <w:tab w:val="right" w:leader="dot" w:pos="9016"/>
        </w:tabs>
        <w:rPr>
          <w:rFonts w:cstheme="minorBidi"/>
          <w:i w:val="0"/>
          <w:iCs w:val="0"/>
          <w:noProof/>
          <w:kern w:val="0"/>
          <w:sz w:val="22"/>
          <w:szCs w:val="22"/>
          <w:rtl/>
          <w14:ligatures w14:val="none"/>
        </w:rPr>
      </w:pPr>
      <w:hyperlink w:anchor="_Toc234084428" w:history="1">
        <w:r w:rsidRPr="002042DE">
          <w:rPr>
            <w:rStyle w:val="Hyperlink"/>
            <w:rFonts w:hint="eastAsia"/>
            <w:bCs/>
            <w:noProof/>
            <w:rtl/>
          </w:rPr>
          <w:t>مفهوم</w:t>
        </w:r>
        <w:r w:rsidRPr="002042DE">
          <w:rPr>
            <w:rStyle w:val="Hyperlink"/>
            <w:bCs/>
            <w:noProof/>
            <w:rtl/>
          </w:rPr>
          <w:t xml:space="preserve"> </w:t>
        </w:r>
        <w:r w:rsidRPr="002042DE">
          <w:rPr>
            <w:rStyle w:val="Hyperlink"/>
            <w:rFonts w:hint="eastAsia"/>
            <w:bCs/>
            <w:noProof/>
            <w:rtl/>
          </w:rPr>
          <w:t>بيئة</w:t>
        </w:r>
        <w:r w:rsidRPr="002042DE">
          <w:rPr>
            <w:rStyle w:val="Hyperlink"/>
            <w:bCs/>
            <w:noProof/>
            <w:rtl/>
          </w:rPr>
          <w:t xml:space="preserve"> </w:t>
        </w:r>
        <w:r w:rsidRPr="002042DE">
          <w:rPr>
            <w:rStyle w:val="Hyperlink"/>
            <w:rFonts w:hint="eastAsia"/>
            <w:bCs/>
            <w:noProof/>
            <w:rtl/>
          </w:rPr>
          <w:t>العمل</w:t>
        </w:r>
        <w:r w:rsidRPr="002042DE">
          <w:rPr>
            <w:rStyle w:val="Hyperlink"/>
            <w:bCs/>
            <w:noProof/>
            <w:rtl/>
          </w:rPr>
          <w:t xml:space="preserve"> </w:t>
        </w:r>
        <w:r w:rsidRPr="002042DE">
          <w:rPr>
            <w:rStyle w:val="Hyperlink"/>
            <w:rFonts w:hint="eastAsia"/>
            <w:bCs/>
            <w:noProof/>
            <w:rtl/>
          </w:rPr>
          <w:t>النفسية</w:t>
        </w:r>
        <w:r w:rsidRPr="002042DE">
          <w:rPr>
            <w:rStyle w:val="Hyperlink"/>
            <w:bCs/>
            <w:noProof/>
            <w:rtl/>
          </w:rPr>
          <w:t xml:space="preserve"> </w:t>
        </w:r>
        <w:r w:rsidRPr="002042DE">
          <w:rPr>
            <w:rStyle w:val="Hyperlink"/>
            <w:rFonts w:hint="eastAsia"/>
            <w:bCs/>
            <w:noProof/>
            <w:rtl/>
          </w:rPr>
          <w:t>المستدامة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616575D" w14:textId="3A4425C0" w:rsidR="00912101" w:rsidRDefault="00912101">
      <w:pPr>
        <w:pStyle w:val="30"/>
        <w:tabs>
          <w:tab w:val="right" w:leader="dot" w:pos="9016"/>
        </w:tabs>
        <w:rPr>
          <w:rFonts w:cstheme="minorBidi"/>
          <w:i w:val="0"/>
          <w:iCs w:val="0"/>
          <w:noProof/>
          <w:kern w:val="0"/>
          <w:sz w:val="22"/>
          <w:szCs w:val="22"/>
          <w:rtl/>
          <w14:ligatures w14:val="none"/>
        </w:rPr>
      </w:pPr>
      <w:hyperlink w:anchor="_Toc234084429" w:history="1">
        <w:r w:rsidRPr="002042DE">
          <w:rPr>
            <w:rStyle w:val="Hyperlink"/>
            <w:rFonts w:hint="eastAsia"/>
            <w:bCs/>
            <w:noProof/>
            <w:rtl/>
          </w:rPr>
          <w:t>مفهوم</w:t>
        </w:r>
        <w:r w:rsidRPr="002042DE">
          <w:rPr>
            <w:rStyle w:val="Hyperlink"/>
            <w:bCs/>
            <w:noProof/>
            <w:rtl/>
          </w:rPr>
          <w:t xml:space="preserve"> </w:t>
        </w:r>
        <w:r w:rsidRPr="002042DE">
          <w:rPr>
            <w:rStyle w:val="Hyperlink"/>
            <w:rFonts w:hint="eastAsia"/>
            <w:bCs/>
            <w:noProof/>
            <w:rtl/>
          </w:rPr>
          <w:t>رفاهية</w:t>
        </w:r>
        <w:r w:rsidRPr="002042DE">
          <w:rPr>
            <w:rStyle w:val="Hyperlink"/>
            <w:bCs/>
            <w:noProof/>
            <w:rtl/>
          </w:rPr>
          <w:t xml:space="preserve"> </w:t>
        </w:r>
        <w:r w:rsidRPr="002042DE">
          <w:rPr>
            <w:rStyle w:val="Hyperlink"/>
            <w:rFonts w:hint="eastAsia"/>
            <w:bCs/>
            <w:noProof/>
            <w:rtl/>
          </w:rPr>
          <w:t>الموظفين</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Toc234084429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2222D55" w14:textId="2FAAF874" w:rsidR="00912101" w:rsidRDefault="00912101">
      <w:pPr>
        <w:pStyle w:val="30"/>
        <w:tabs>
          <w:tab w:val="right" w:leader="dot" w:pos="9016"/>
        </w:tabs>
        <w:rPr>
          <w:rFonts w:cstheme="minorBidi"/>
          <w:i w:val="0"/>
          <w:iCs w:val="0"/>
          <w:noProof/>
          <w:kern w:val="0"/>
          <w:sz w:val="22"/>
          <w:szCs w:val="22"/>
          <w:rtl/>
          <w14:ligatures w14:val="none"/>
        </w:rPr>
      </w:pPr>
      <w:hyperlink w:anchor="_Toc234084430" w:history="1">
        <w:r w:rsidRPr="002042DE">
          <w:rPr>
            <w:rStyle w:val="Hyperlink"/>
            <w:rFonts w:hint="eastAsia"/>
            <w:bCs/>
            <w:noProof/>
            <w:rtl/>
          </w:rPr>
          <w:t>مفهوم</w:t>
        </w:r>
        <w:r w:rsidRPr="002042DE">
          <w:rPr>
            <w:rStyle w:val="Hyperlink"/>
            <w:bCs/>
            <w:noProof/>
            <w:rtl/>
          </w:rPr>
          <w:t xml:space="preserve"> </w:t>
        </w:r>
        <w:r w:rsidRPr="002042DE">
          <w:rPr>
            <w:rStyle w:val="Hyperlink"/>
            <w:rFonts w:hint="eastAsia"/>
            <w:bCs/>
            <w:noProof/>
            <w:rtl/>
          </w:rPr>
          <w:t>الاحتراق</w:t>
        </w:r>
        <w:r w:rsidRPr="002042DE">
          <w:rPr>
            <w:rStyle w:val="Hyperlink"/>
            <w:bCs/>
            <w:noProof/>
            <w:rtl/>
          </w:rPr>
          <w:t xml:space="preserve"> </w:t>
        </w:r>
        <w:r w:rsidRPr="002042DE">
          <w:rPr>
            <w:rStyle w:val="Hyperlink"/>
            <w:rFonts w:hint="eastAsia"/>
            <w:bCs/>
            <w:noProof/>
            <w:rtl/>
          </w:rPr>
          <w:t>الوظيفي</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431CD9D" w14:textId="2105A065"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31" w:history="1">
        <w:r w:rsidRPr="002042DE">
          <w:rPr>
            <w:rStyle w:val="Hyperlink"/>
            <w:rFonts w:hint="eastAsia"/>
            <w:noProof/>
            <w:rtl/>
          </w:rPr>
          <w:t>الفصل</w:t>
        </w:r>
        <w:r w:rsidRPr="002042DE">
          <w:rPr>
            <w:rStyle w:val="Hyperlink"/>
            <w:noProof/>
            <w:rtl/>
          </w:rPr>
          <w:t xml:space="preserve"> </w:t>
        </w:r>
        <w:r w:rsidRPr="002042DE">
          <w:rPr>
            <w:rStyle w:val="Hyperlink"/>
            <w:rFonts w:hint="eastAsia"/>
            <w:noProof/>
            <w:rtl/>
          </w:rPr>
          <w:t>الثاني</w:t>
        </w:r>
        <w:r w:rsidRPr="002042DE">
          <w:rPr>
            <w:rStyle w:val="Hyperlink"/>
            <w:noProof/>
            <w:rtl/>
          </w:rPr>
          <w:t xml:space="preserve">: </w:t>
        </w:r>
        <w:r w:rsidRPr="002042DE">
          <w:rPr>
            <w:rStyle w:val="Hyperlink"/>
            <w:rFonts w:hint="eastAsia"/>
            <w:noProof/>
            <w:rtl/>
          </w:rPr>
          <w:t>الاطار</w:t>
        </w:r>
        <w:r w:rsidRPr="002042DE">
          <w:rPr>
            <w:rStyle w:val="Hyperlink"/>
            <w:noProof/>
            <w:rtl/>
          </w:rPr>
          <w:t xml:space="preserve"> </w:t>
        </w:r>
        <w:r w:rsidRPr="002042DE">
          <w:rPr>
            <w:rStyle w:val="Hyperlink"/>
            <w:rFonts w:hint="eastAsia"/>
            <w:noProof/>
            <w:rtl/>
          </w:rPr>
          <w:t>النظري</w:t>
        </w:r>
        <w:r w:rsidRPr="002042DE">
          <w:rPr>
            <w:rStyle w:val="Hyperlink"/>
            <w:noProof/>
            <w:rtl/>
          </w:rPr>
          <w:t xml:space="preserve"> </w:t>
        </w:r>
        <w:r w:rsidRPr="002042DE">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5A9C861" w14:textId="5C57AB85" w:rsidR="00912101" w:rsidRDefault="00912101">
      <w:pPr>
        <w:pStyle w:val="20"/>
        <w:tabs>
          <w:tab w:val="right" w:leader="dot" w:pos="9016"/>
        </w:tabs>
        <w:rPr>
          <w:rFonts w:cstheme="minorBidi"/>
          <w:smallCaps w:val="0"/>
          <w:noProof/>
          <w:kern w:val="0"/>
          <w:sz w:val="22"/>
          <w:szCs w:val="22"/>
          <w:rtl/>
          <w14:ligatures w14:val="none"/>
        </w:rPr>
      </w:pPr>
      <w:hyperlink w:anchor="_Toc234084432" w:history="1">
        <w:r w:rsidRPr="002042DE">
          <w:rPr>
            <w:rStyle w:val="Hyperlink"/>
            <w:rFonts w:hint="eastAsia"/>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D79063E" w14:textId="3227F638" w:rsidR="00912101" w:rsidRDefault="00912101">
      <w:pPr>
        <w:pStyle w:val="20"/>
        <w:tabs>
          <w:tab w:val="right" w:leader="dot" w:pos="9016"/>
        </w:tabs>
        <w:rPr>
          <w:rFonts w:cstheme="minorBidi"/>
          <w:smallCaps w:val="0"/>
          <w:noProof/>
          <w:kern w:val="0"/>
          <w:sz w:val="22"/>
          <w:szCs w:val="22"/>
          <w:rtl/>
          <w14:ligatures w14:val="none"/>
        </w:rPr>
      </w:pPr>
      <w:hyperlink w:anchor="_Toc234084433" w:history="1">
        <w:r w:rsidRPr="002042DE">
          <w:rPr>
            <w:rStyle w:val="Hyperlink"/>
            <w:rFonts w:hint="eastAsia"/>
            <w:bCs/>
            <w:noProof/>
            <w:rtl/>
          </w:rPr>
          <w:t>متغيرات</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6F16851" w14:textId="7A422952" w:rsidR="00912101" w:rsidRDefault="00912101">
      <w:pPr>
        <w:pStyle w:val="30"/>
        <w:tabs>
          <w:tab w:val="right" w:leader="dot" w:pos="9016"/>
        </w:tabs>
        <w:rPr>
          <w:rFonts w:cstheme="minorBidi"/>
          <w:i w:val="0"/>
          <w:iCs w:val="0"/>
          <w:noProof/>
          <w:kern w:val="0"/>
          <w:sz w:val="22"/>
          <w:szCs w:val="22"/>
          <w:rtl/>
          <w14:ligatures w14:val="none"/>
        </w:rPr>
      </w:pPr>
      <w:hyperlink w:anchor="_Toc234084434" w:history="1">
        <w:r w:rsidRPr="002042DE">
          <w:rPr>
            <w:rStyle w:val="Hyperlink"/>
            <w:rFonts w:hint="eastAsia"/>
            <w:bCs/>
            <w:noProof/>
            <w:rtl/>
          </w:rPr>
          <w:t>المتغير</w:t>
        </w:r>
        <w:r w:rsidRPr="002042DE">
          <w:rPr>
            <w:rStyle w:val="Hyperlink"/>
            <w:bCs/>
            <w:noProof/>
            <w:rtl/>
          </w:rPr>
          <w:t xml:space="preserve"> </w:t>
        </w:r>
        <w:r w:rsidRPr="002042DE">
          <w:rPr>
            <w:rStyle w:val="Hyperlink"/>
            <w:rFonts w:hint="eastAsia"/>
            <w:bCs/>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63BC592" w14:textId="580F8006" w:rsidR="00912101" w:rsidRDefault="00912101">
      <w:pPr>
        <w:pStyle w:val="30"/>
        <w:tabs>
          <w:tab w:val="right" w:leader="dot" w:pos="9016"/>
        </w:tabs>
        <w:rPr>
          <w:rFonts w:cstheme="minorBidi"/>
          <w:i w:val="0"/>
          <w:iCs w:val="0"/>
          <w:noProof/>
          <w:kern w:val="0"/>
          <w:sz w:val="22"/>
          <w:szCs w:val="22"/>
          <w:rtl/>
          <w14:ligatures w14:val="none"/>
        </w:rPr>
      </w:pPr>
      <w:hyperlink w:anchor="_Toc234084435" w:history="1">
        <w:r w:rsidRPr="002042DE">
          <w:rPr>
            <w:rStyle w:val="Hyperlink"/>
            <w:rFonts w:hint="eastAsia"/>
            <w:bCs/>
            <w:noProof/>
            <w:rtl/>
          </w:rPr>
          <w:t>المتغير</w:t>
        </w:r>
        <w:r w:rsidRPr="002042DE">
          <w:rPr>
            <w:rStyle w:val="Hyperlink"/>
            <w:bCs/>
            <w:noProof/>
            <w:rtl/>
          </w:rPr>
          <w:t xml:space="preserve"> </w:t>
        </w:r>
        <w:r w:rsidRPr="002042DE">
          <w:rPr>
            <w:rStyle w:val="Hyperlink"/>
            <w:rFonts w:hint="eastAsia"/>
            <w:bCs/>
            <w:noProof/>
            <w:rtl/>
          </w:rPr>
          <w:t>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E1712DC" w14:textId="68B20772" w:rsidR="00912101" w:rsidRDefault="00912101">
      <w:pPr>
        <w:pStyle w:val="30"/>
        <w:tabs>
          <w:tab w:val="right" w:leader="dot" w:pos="9016"/>
        </w:tabs>
        <w:rPr>
          <w:rFonts w:cstheme="minorBidi"/>
          <w:i w:val="0"/>
          <w:iCs w:val="0"/>
          <w:noProof/>
          <w:kern w:val="0"/>
          <w:sz w:val="22"/>
          <w:szCs w:val="22"/>
          <w:rtl/>
          <w14:ligatures w14:val="none"/>
        </w:rPr>
      </w:pPr>
      <w:hyperlink w:anchor="_Toc234084436" w:history="1">
        <w:r w:rsidRPr="002042DE">
          <w:rPr>
            <w:rStyle w:val="Hyperlink"/>
            <w:rFonts w:hint="eastAsia"/>
            <w:bCs/>
            <w:noProof/>
            <w:rtl/>
          </w:rPr>
          <w:t>المتغيرات</w:t>
        </w:r>
        <w:r w:rsidRPr="002042DE">
          <w:rPr>
            <w:rStyle w:val="Hyperlink"/>
            <w:bCs/>
            <w:noProof/>
            <w:rtl/>
          </w:rPr>
          <w:t xml:space="preserve"> </w:t>
        </w:r>
        <w:r w:rsidRPr="002042DE">
          <w:rPr>
            <w:rStyle w:val="Hyperlink"/>
            <w:rFonts w:hint="eastAsia"/>
            <w:bCs/>
            <w:noProof/>
            <w:rtl/>
          </w:rPr>
          <w:t>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63B4AD4" w14:textId="57A031CE" w:rsidR="00912101" w:rsidRDefault="00912101">
      <w:pPr>
        <w:pStyle w:val="20"/>
        <w:tabs>
          <w:tab w:val="right" w:leader="dot" w:pos="9016"/>
        </w:tabs>
        <w:rPr>
          <w:rFonts w:cstheme="minorBidi"/>
          <w:smallCaps w:val="0"/>
          <w:noProof/>
          <w:kern w:val="0"/>
          <w:sz w:val="22"/>
          <w:szCs w:val="22"/>
          <w:rtl/>
          <w14:ligatures w14:val="none"/>
        </w:rPr>
      </w:pPr>
      <w:hyperlink w:anchor="_Toc234084437" w:history="1">
        <w:r w:rsidRPr="002042DE">
          <w:rPr>
            <w:rStyle w:val="Hyperlink"/>
            <w:rFonts w:hint="eastAsia"/>
            <w:bCs/>
            <w:noProof/>
            <w:rtl/>
          </w:rPr>
          <w:t>نموذج</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BB276BC" w14:textId="212F761F" w:rsidR="00912101" w:rsidRDefault="00912101">
      <w:pPr>
        <w:pStyle w:val="20"/>
        <w:tabs>
          <w:tab w:val="right" w:leader="dot" w:pos="9016"/>
        </w:tabs>
        <w:rPr>
          <w:rFonts w:cstheme="minorBidi"/>
          <w:smallCaps w:val="0"/>
          <w:noProof/>
          <w:kern w:val="0"/>
          <w:sz w:val="22"/>
          <w:szCs w:val="22"/>
          <w:rtl/>
          <w14:ligatures w14:val="none"/>
        </w:rPr>
      </w:pPr>
      <w:hyperlink w:anchor="_Toc234084438" w:history="1">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88214B1" w14:textId="0248F2CF" w:rsidR="00912101" w:rsidRDefault="00912101">
      <w:pPr>
        <w:pStyle w:val="30"/>
        <w:tabs>
          <w:tab w:val="right" w:leader="dot" w:pos="9016"/>
        </w:tabs>
        <w:rPr>
          <w:rFonts w:cstheme="minorBidi"/>
          <w:i w:val="0"/>
          <w:iCs w:val="0"/>
          <w:noProof/>
          <w:kern w:val="0"/>
          <w:sz w:val="22"/>
          <w:szCs w:val="22"/>
          <w:rtl/>
          <w14:ligatures w14:val="none"/>
        </w:rPr>
      </w:pPr>
      <w:hyperlink w:anchor="_Toc234084439" w:history="1">
        <w:r w:rsidRPr="002042DE">
          <w:rPr>
            <w:rStyle w:val="Hyperlink"/>
            <w:rFonts w:hint="eastAsia"/>
            <w:bCs/>
            <w:noProof/>
            <w:rtl/>
          </w:rPr>
          <w:t>أولا</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التي</w:t>
        </w:r>
        <w:r w:rsidRPr="002042DE">
          <w:rPr>
            <w:rStyle w:val="Hyperlink"/>
            <w:bCs/>
            <w:noProof/>
            <w:rtl/>
          </w:rPr>
          <w:t xml:space="preserve"> </w:t>
        </w:r>
        <w:r w:rsidRPr="002042DE">
          <w:rPr>
            <w:rStyle w:val="Hyperlink"/>
            <w:rFonts w:hint="eastAsia"/>
            <w:bCs/>
            <w:noProof/>
            <w:rtl/>
          </w:rPr>
          <w:t>تناولت</w:t>
        </w:r>
        <w:r w:rsidRPr="002042DE">
          <w:rPr>
            <w:rStyle w:val="Hyperlink"/>
            <w:bCs/>
            <w:noProof/>
            <w:rtl/>
          </w:rPr>
          <w:t xml:space="preserve"> </w:t>
        </w:r>
        <w:r w:rsidRPr="002042DE">
          <w:rPr>
            <w:rStyle w:val="Hyperlink"/>
            <w:rFonts w:hint="eastAsia"/>
            <w:bCs/>
            <w:noProof/>
            <w:rtl/>
          </w:rPr>
          <w:t>المتغير</w:t>
        </w:r>
        <w:r w:rsidRPr="002042DE">
          <w:rPr>
            <w:rStyle w:val="Hyperlink"/>
            <w:bCs/>
            <w:noProof/>
            <w:rtl/>
          </w:rPr>
          <w:t xml:space="preserve"> </w:t>
        </w:r>
        <w:r w:rsidRPr="002042DE">
          <w:rPr>
            <w:rStyle w:val="Hyperlink"/>
            <w:rFonts w:hint="eastAsia"/>
            <w:bCs/>
            <w:noProof/>
            <w:rtl/>
          </w:rPr>
          <w:t>المستقل</w:t>
        </w:r>
        <w:r w:rsidRPr="002042DE">
          <w:rPr>
            <w:rStyle w:val="Hyperlink"/>
            <w:bCs/>
            <w:noProof/>
            <w:rtl/>
          </w:rPr>
          <w:t xml:space="preserve"> </w:t>
        </w:r>
        <w:r w:rsidRPr="002042DE">
          <w:rPr>
            <w:rStyle w:val="Hyperlink"/>
            <w:rFonts w:hint="eastAsia"/>
            <w:bCs/>
            <w:noProof/>
            <w:rtl/>
          </w:rPr>
          <w:t>التحول</w:t>
        </w:r>
        <w:r w:rsidRPr="002042DE">
          <w:rPr>
            <w:rStyle w:val="Hyperlink"/>
            <w:bCs/>
            <w:noProof/>
            <w:rtl/>
          </w:rPr>
          <w:t xml:space="preserve"> </w:t>
        </w:r>
        <w:r w:rsidRPr="002042DE">
          <w:rPr>
            <w:rStyle w:val="Hyperlink"/>
            <w:rFonts w:hint="eastAsia"/>
            <w:b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Toc234084439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16090AA" w14:textId="0E374773" w:rsidR="00912101" w:rsidRDefault="00912101">
      <w:pPr>
        <w:pStyle w:val="30"/>
        <w:tabs>
          <w:tab w:val="right" w:leader="dot" w:pos="9016"/>
        </w:tabs>
        <w:rPr>
          <w:rFonts w:cstheme="minorBidi"/>
          <w:i w:val="0"/>
          <w:iCs w:val="0"/>
          <w:noProof/>
          <w:kern w:val="0"/>
          <w:sz w:val="22"/>
          <w:szCs w:val="22"/>
          <w:rtl/>
          <w14:ligatures w14:val="none"/>
        </w:rPr>
      </w:pPr>
      <w:hyperlink w:anchor="_Toc234084440" w:history="1">
        <w:r w:rsidRPr="002042DE">
          <w:rPr>
            <w:rStyle w:val="Hyperlink"/>
            <w:rFonts w:hint="eastAsia"/>
            <w:bCs/>
            <w:noProof/>
            <w:rtl/>
          </w:rPr>
          <w:t>ثانيا</w:t>
        </w:r>
        <w:r w:rsidRPr="002042DE">
          <w:rPr>
            <w:rStyle w:val="Hyperlink"/>
            <w:bCs/>
            <w:noProof/>
            <w:rtl/>
          </w:rPr>
          <w:t xml:space="preserve"> :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التي</w:t>
        </w:r>
        <w:r w:rsidRPr="002042DE">
          <w:rPr>
            <w:rStyle w:val="Hyperlink"/>
            <w:bCs/>
            <w:noProof/>
            <w:rtl/>
          </w:rPr>
          <w:t xml:space="preserve"> </w:t>
        </w:r>
        <w:r w:rsidRPr="002042DE">
          <w:rPr>
            <w:rStyle w:val="Hyperlink"/>
            <w:rFonts w:hint="eastAsia"/>
            <w:bCs/>
            <w:noProof/>
            <w:rtl/>
          </w:rPr>
          <w:t>تناولت</w:t>
        </w:r>
        <w:r w:rsidRPr="002042DE">
          <w:rPr>
            <w:rStyle w:val="Hyperlink"/>
            <w:bCs/>
            <w:noProof/>
            <w:rtl/>
          </w:rPr>
          <w:t xml:space="preserve"> </w:t>
        </w:r>
        <w:r w:rsidRPr="002042DE">
          <w:rPr>
            <w:rStyle w:val="Hyperlink"/>
            <w:rFonts w:hint="eastAsia"/>
            <w:bCs/>
            <w:noProof/>
            <w:rtl/>
          </w:rPr>
          <w:t>العلاقة</w:t>
        </w:r>
        <w:r w:rsidRPr="002042DE">
          <w:rPr>
            <w:rStyle w:val="Hyperlink"/>
            <w:bCs/>
            <w:noProof/>
            <w:rtl/>
          </w:rPr>
          <w:t xml:space="preserve"> </w:t>
        </w:r>
        <w:r w:rsidRPr="002042DE">
          <w:rPr>
            <w:rStyle w:val="Hyperlink"/>
            <w:rFonts w:hint="eastAsia"/>
            <w:bCs/>
            <w:noProof/>
            <w:rtl/>
          </w:rPr>
          <w:t>بين</w:t>
        </w:r>
        <w:r w:rsidRPr="002042DE">
          <w:rPr>
            <w:rStyle w:val="Hyperlink"/>
            <w:bCs/>
            <w:noProof/>
            <w:rtl/>
          </w:rPr>
          <w:t xml:space="preserve"> </w:t>
        </w:r>
        <w:r w:rsidRPr="002042DE">
          <w:rPr>
            <w:rStyle w:val="Hyperlink"/>
            <w:rFonts w:hint="eastAsia"/>
            <w:bCs/>
            <w:noProof/>
            <w:rtl/>
          </w:rPr>
          <w:t>أكثر</w:t>
        </w:r>
        <w:r w:rsidRPr="002042DE">
          <w:rPr>
            <w:rStyle w:val="Hyperlink"/>
            <w:bCs/>
            <w:noProof/>
            <w:rtl/>
          </w:rPr>
          <w:t xml:space="preserve"> </w:t>
        </w:r>
        <w:r w:rsidRPr="002042DE">
          <w:rPr>
            <w:rStyle w:val="Hyperlink"/>
            <w:rFonts w:hint="eastAsia"/>
            <w:bCs/>
            <w:noProof/>
            <w:rtl/>
          </w:rPr>
          <w:t>من</w:t>
        </w:r>
        <w:r w:rsidRPr="002042DE">
          <w:rPr>
            <w:rStyle w:val="Hyperlink"/>
            <w:bCs/>
            <w:noProof/>
            <w:rtl/>
          </w:rPr>
          <w:t xml:space="preserve"> </w:t>
        </w:r>
        <w:r w:rsidRPr="002042DE">
          <w:rPr>
            <w:rStyle w:val="Hyperlink"/>
            <w:rFonts w:hint="eastAsia"/>
            <w:bCs/>
            <w:noProof/>
            <w:rtl/>
          </w:rPr>
          <w:t>متغير</w:t>
        </w:r>
        <w:r w:rsidRPr="002042DE">
          <w:rPr>
            <w:rStyle w:val="Hyperlink"/>
            <w:bCs/>
            <w:noProof/>
            <w:rtl/>
          </w:rPr>
          <w:t>(</w:t>
        </w:r>
        <w:r w:rsidRPr="002042DE">
          <w:rPr>
            <w:rStyle w:val="Hyperlink"/>
            <w:rFonts w:hint="eastAsia"/>
            <w:bCs/>
            <w:noProof/>
            <w:rtl/>
          </w:rPr>
          <w:t>شاملة</w:t>
        </w:r>
        <w:r w:rsidRPr="002042DE">
          <w:rPr>
            <w:rStyle w:val="Hyperlink"/>
            <w:bCs/>
            <w:noProof/>
            <w:rtl/>
          </w:rPr>
          <w:t xml:space="preserve"> </w:t>
        </w:r>
        <w:r w:rsidRPr="002042DE">
          <w:rPr>
            <w:rStyle w:val="Hyperlink"/>
            <w:rFonts w:hint="eastAsia"/>
            <w:bCs/>
            <w:noProof/>
            <w:rtl/>
          </w:rPr>
          <w:t>رفاهية</w:t>
        </w:r>
        <w:r w:rsidRPr="002042DE">
          <w:rPr>
            <w:rStyle w:val="Hyperlink"/>
            <w:bCs/>
            <w:noProof/>
            <w:rtl/>
          </w:rPr>
          <w:t xml:space="preserve"> </w:t>
        </w:r>
        <w:r w:rsidRPr="002042DE">
          <w:rPr>
            <w:rStyle w:val="Hyperlink"/>
            <w:rFonts w:hint="eastAsia"/>
            <w:bCs/>
            <w:noProof/>
            <w:rtl/>
          </w:rPr>
          <w:t>الموظف</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09A6C5F" w14:textId="0BEA8CA7" w:rsidR="00912101" w:rsidRDefault="00912101">
      <w:pPr>
        <w:pStyle w:val="30"/>
        <w:tabs>
          <w:tab w:val="right" w:leader="dot" w:pos="9016"/>
        </w:tabs>
        <w:rPr>
          <w:rFonts w:cstheme="minorBidi"/>
          <w:i w:val="0"/>
          <w:iCs w:val="0"/>
          <w:noProof/>
          <w:kern w:val="0"/>
          <w:sz w:val="22"/>
          <w:szCs w:val="22"/>
          <w:rtl/>
          <w14:ligatures w14:val="none"/>
        </w:rPr>
      </w:pPr>
      <w:hyperlink w:anchor="_Toc234084441" w:history="1">
        <w:r w:rsidRPr="002042DE">
          <w:rPr>
            <w:rStyle w:val="Hyperlink"/>
            <w:rFonts w:hint="eastAsia"/>
            <w:bCs/>
            <w:noProof/>
            <w:rtl/>
          </w:rPr>
          <w:t>ثالثا</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التي</w:t>
        </w:r>
        <w:r w:rsidRPr="002042DE">
          <w:rPr>
            <w:rStyle w:val="Hyperlink"/>
            <w:bCs/>
            <w:noProof/>
            <w:rtl/>
          </w:rPr>
          <w:t xml:space="preserve"> </w:t>
        </w:r>
        <w:r w:rsidRPr="002042DE">
          <w:rPr>
            <w:rStyle w:val="Hyperlink"/>
            <w:rFonts w:hint="eastAsia"/>
            <w:bCs/>
            <w:noProof/>
            <w:rtl/>
          </w:rPr>
          <w:t>تناولت</w:t>
        </w:r>
        <w:r w:rsidRPr="002042DE">
          <w:rPr>
            <w:rStyle w:val="Hyperlink"/>
            <w:bCs/>
            <w:noProof/>
            <w:rtl/>
          </w:rPr>
          <w:t xml:space="preserve"> </w:t>
        </w:r>
        <w:r w:rsidRPr="002042DE">
          <w:rPr>
            <w:rStyle w:val="Hyperlink"/>
            <w:rFonts w:hint="eastAsia"/>
            <w:bCs/>
            <w:noProof/>
            <w:rtl/>
          </w:rPr>
          <w:t>بيئة</w:t>
        </w:r>
        <w:r w:rsidRPr="002042DE">
          <w:rPr>
            <w:rStyle w:val="Hyperlink"/>
            <w:bCs/>
            <w:noProof/>
            <w:rtl/>
          </w:rPr>
          <w:t xml:space="preserve"> </w:t>
        </w:r>
        <w:r w:rsidRPr="002042DE">
          <w:rPr>
            <w:rStyle w:val="Hyperlink"/>
            <w:rFonts w:hint="eastAsia"/>
            <w:bCs/>
            <w:noProof/>
            <w:rtl/>
          </w:rPr>
          <w:t>العمل</w:t>
        </w:r>
        <w:r w:rsidRPr="002042DE">
          <w:rPr>
            <w:rStyle w:val="Hyperlink"/>
            <w:bCs/>
            <w:noProof/>
            <w:rtl/>
          </w:rPr>
          <w:t xml:space="preserve"> </w:t>
        </w:r>
        <w:r w:rsidRPr="002042DE">
          <w:rPr>
            <w:rStyle w:val="Hyperlink"/>
            <w:rFonts w:hint="eastAsia"/>
            <w:bCs/>
            <w:noProof/>
            <w:rtl/>
          </w:rPr>
          <w:t>النفسية</w:t>
        </w:r>
        <w:r w:rsidRPr="002042DE">
          <w:rPr>
            <w:rStyle w:val="Hyperlink"/>
            <w:bCs/>
            <w:noProof/>
            <w:rtl/>
          </w:rPr>
          <w:t xml:space="preserve"> </w:t>
        </w:r>
        <w:r w:rsidRPr="002042DE">
          <w:rPr>
            <w:rStyle w:val="Hyperlink"/>
            <w:rFonts w:hint="eastAsia"/>
            <w:bCs/>
            <w:noProof/>
            <w:rtl/>
          </w:rPr>
          <w:t>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F3C7591" w14:textId="288B40C9" w:rsidR="00912101" w:rsidRDefault="00912101">
      <w:pPr>
        <w:pStyle w:val="30"/>
        <w:tabs>
          <w:tab w:val="right" w:leader="dot" w:pos="9016"/>
        </w:tabs>
        <w:rPr>
          <w:rFonts w:cstheme="minorBidi"/>
          <w:i w:val="0"/>
          <w:iCs w:val="0"/>
          <w:noProof/>
          <w:kern w:val="0"/>
          <w:sz w:val="22"/>
          <w:szCs w:val="22"/>
          <w:rtl/>
          <w14:ligatures w14:val="none"/>
        </w:rPr>
      </w:pPr>
      <w:hyperlink w:anchor="_Toc234084442" w:history="1">
        <w:r w:rsidRPr="002042DE">
          <w:rPr>
            <w:rStyle w:val="Hyperlink"/>
            <w:rFonts w:hint="eastAsia"/>
            <w:bCs/>
            <w:noProof/>
            <w:rtl/>
          </w:rPr>
          <w:t>رابعا</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التي</w:t>
        </w:r>
        <w:r w:rsidRPr="002042DE">
          <w:rPr>
            <w:rStyle w:val="Hyperlink"/>
            <w:bCs/>
            <w:noProof/>
            <w:rtl/>
          </w:rPr>
          <w:t xml:space="preserve"> </w:t>
        </w:r>
        <w:r w:rsidRPr="002042DE">
          <w:rPr>
            <w:rStyle w:val="Hyperlink"/>
            <w:rFonts w:hint="eastAsia"/>
            <w:bCs/>
            <w:noProof/>
            <w:rtl/>
          </w:rPr>
          <w:t>تناولت</w:t>
        </w:r>
        <w:r w:rsidRPr="002042DE">
          <w:rPr>
            <w:rStyle w:val="Hyperlink"/>
            <w:bCs/>
            <w:noProof/>
            <w:rtl/>
          </w:rPr>
          <w:t xml:space="preserve"> </w:t>
        </w:r>
        <w:r w:rsidRPr="002042DE">
          <w:rPr>
            <w:rStyle w:val="Hyperlink"/>
            <w:rFonts w:hint="eastAsia"/>
            <w:bCs/>
            <w:noProof/>
            <w:rtl/>
          </w:rPr>
          <w:t>الاحتراق</w:t>
        </w:r>
        <w:r w:rsidRPr="002042DE">
          <w:rPr>
            <w:rStyle w:val="Hyperlink"/>
            <w:bCs/>
            <w:noProof/>
            <w:rtl/>
          </w:rPr>
          <w:t xml:space="preserve"> </w:t>
        </w:r>
        <w:r w:rsidRPr="002042DE">
          <w:rPr>
            <w:rStyle w:val="Hyperlink"/>
            <w:rFonts w:hint="eastAsia"/>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D772732" w14:textId="37004B55" w:rsidR="00912101" w:rsidRDefault="00912101">
      <w:pPr>
        <w:pStyle w:val="30"/>
        <w:tabs>
          <w:tab w:val="right" w:leader="dot" w:pos="9016"/>
        </w:tabs>
        <w:rPr>
          <w:rFonts w:cstheme="minorBidi"/>
          <w:i w:val="0"/>
          <w:iCs w:val="0"/>
          <w:noProof/>
          <w:kern w:val="0"/>
          <w:sz w:val="22"/>
          <w:szCs w:val="22"/>
          <w:rtl/>
          <w14:ligatures w14:val="none"/>
        </w:rPr>
      </w:pPr>
      <w:hyperlink w:anchor="_Toc234084443" w:history="1">
        <w:r w:rsidRPr="002042DE">
          <w:rPr>
            <w:rStyle w:val="Hyperlink"/>
            <w:rFonts w:hint="eastAsia"/>
            <w:bCs/>
            <w:noProof/>
            <w:rtl/>
          </w:rPr>
          <w:t>أوجه</w:t>
        </w:r>
        <w:r w:rsidRPr="002042DE">
          <w:rPr>
            <w:rStyle w:val="Hyperlink"/>
            <w:bCs/>
            <w:noProof/>
            <w:rtl/>
          </w:rPr>
          <w:t xml:space="preserve"> </w:t>
        </w:r>
        <w:r w:rsidRPr="002042DE">
          <w:rPr>
            <w:rStyle w:val="Hyperlink"/>
            <w:rFonts w:hint="eastAsia"/>
            <w:bCs/>
            <w:noProof/>
            <w:rtl/>
          </w:rPr>
          <w:t>الاتفاق</w:t>
        </w:r>
        <w:r w:rsidRPr="002042DE">
          <w:rPr>
            <w:rStyle w:val="Hyperlink"/>
            <w:bCs/>
            <w:noProof/>
            <w:rtl/>
          </w:rPr>
          <w:t xml:space="preserve"> </w:t>
        </w:r>
        <w:r w:rsidRPr="002042DE">
          <w:rPr>
            <w:rStyle w:val="Hyperlink"/>
            <w:rFonts w:hint="eastAsia"/>
            <w:bCs/>
            <w:noProof/>
            <w:rtl/>
          </w:rPr>
          <w:t>بين</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السابقة</w:t>
        </w:r>
        <w:r w:rsidRPr="002042DE">
          <w:rPr>
            <w:rStyle w:val="Hyperlink"/>
            <w:bCs/>
            <w:noProof/>
            <w:rtl/>
          </w:rPr>
          <w:t xml:space="preserve"> </w:t>
        </w:r>
        <w:r w:rsidRPr="002042DE">
          <w:rPr>
            <w:rStyle w:val="Hyperlink"/>
            <w:rFonts w:hint="eastAsia"/>
            <w:bCs/>
            <w:noProof/>
            <w:rtl/>
          </w:rPr>
          <w:t>والدراسة</w:t>
        </w:r>
        <w:r w:rsidRPr="002042DE">
          <w:rPr>
            <w:rStyle w:val="Hyperlink"/>
            <w:bCs/>
            <w:noProof/>
            <w:rtl/>
          </w:rPr>
          <w:t xml:space="preserve"> </w:t>
        </w:r>
        <w:r w:rsidRPr="002042DE">
          <w:rPr>
            <w:rStyle w:val="Hyperlink"/>
            <w:rFonts w:hint="eastAsia"/>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F279C2D" w14:textId="5DEF0702" w:rsidR="00912101" w:rsidRDefault="00912101">
      <w:pPr>
        <w:pStyle w:val="30"/>
        <w:tabs>
          <w:tab w:val="right" w:leader="dot" w:pos="9016"/>
        </w:tabs>
        <w:rPr>
          <w:rFonts w:cstheme="minorBidi"/>
          <w:i w:val="0"/>
          <w:iCs w:val="0"/>
          <w:noProof/>
          <w:kern w:val="0"/>
          <w:sz w:val="22"/>
          <w:szCs w:val="22"/>
          <w:rtl/>
          <w14:ligatures w14:val="none"/>
        </w:rPr>
      </w:pPr>
      <w:hyperlink w:anchor="_Toc234084444" w:history="1">
        <w:r w:rsidRPr="002042DE">
          <w:rPr>
            <w:rStyle w:val="Hyperlink"/>
            <w:rFonts w:hint="eastAsia"/>
            <w:bCs/>
            <w:noProof/>
            <w:rtl/>
          </w:rPr>
          <w:t>أوجه</w:t>
        </w:r>
        <w:r w:rsidRPr="002042DE">
          <w:rPr>
            <w:rStyle w:val="Hyperlink"/>
            <w:bCs/>
            <w:noProof/>
            <w:rtl/>
          </w:rPr>
          <w:t xml:space="preserve"> </w:t>
        </w:r>
        <w:r w:rsidRPr="002042DE">
          <w:rPr>
            <w:rStyle w:val="Hyperlink"/>
            <w:rFonts w:hint="eastAsia"/>
            <w:bCs/>
            <w:noProof/>
            <w:rtl/>
          </w:rPr>
          <w:t>الاختلاف</w:t>
        </w:r>
        <w:r w:rsidRPr="002042DE">
          <w:rPr>
            <w:rStyle w:val="Hyperlink"/>
            <w:bCs/>
            <w:noProof/>
            <w:rtl/>
          </w:rPr>
          <w:t xml:space="preserve"> </w:t>
        </w:r>
        <w:r w:rsidRPr="002042DE">
          <w:rPr>
            <w:rStyle w:val="Hyperlink"/>
            <w:rFonts w:hint="eastAsia"/>
            <w:bCs/>
            <w:noProof/>
            <w:rtl/>
          </w:rPr>
          <w:t>بين</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السابقة</w:t>
        </w:r>
        <w:r w:rsidRPr="002042DE">
          <w:rPr>
            <w:rStyle w:val="Hyperlink"/>
            <w:bCs/>
            <w:noProof/>
            <w:rtl/>
          </w:rPr>
          <w:t xml:space="preserve"> </w:t>
        </w:r>
        <w:r w:rsidRPr="002042DE">
          <w:rPr>
            <w:rStyle w:val="Hyperlink"/>
            <w:rFonts w:hint="eastAsia"/>
            <w:bCs/>
            <w:noProof/>
            <w:rtl/>
          </w:rPr>
          <w:t>والدراسة</w:t>
        </w:r>
        <w:r w:rsidRPr="002042DE">
          <w:rPr>
            <w:rStyle w:val="Hyperlink"/>
            <w:bCs/>
            <w:noProof/>
            <w:rtl/>
          </w:rPr>
          <w:t xml:space="preserve"> </w:t>
        </w:r>
        <w:r w:rsidRPr="002042DE">
          <w:rPr>
            <w:rStyle w:val="Hyperlink"/>
            <w:rFonts w:hint="eastAsia"/>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D9F63A9" w14:textId="02551738" w:rsidR="00912101" w:rsidRDefault="00912101">
      <w:pPr>
        <w:pStyle w:val="30"/>
        <w:tabs>
          <w:tab w:val="right" w:leader="dot" w:pos="9016"/>
        </w:tabs>
        <w:rPr>
          <w:rFonts w:cstheme="minorBidi"/>
          <w:i w:val="0"/>
          <w:iCs w:val="0"/>
          <w:noProof/>
          <w:kern w:val="0"/>
          <w:sz w:val="22"/>
          <w:szCs w:val="22"/>
          <w:rtl/>
          <w14:ligatures w14:val="none"/>
        </w:rPr>
      </w:pPr>
      <w:hyperlink w:anchor="_Toc234084445" w:history="1">
        <w:r w:rsidRPr="002042DE">
          <w:rPr>
            <w:rStyle w:val="Hyperlink"/>
            <w:rFonts w:hint="eastAsia"/>
            <w:bCs/>
            <w:noProof/>
            <w:rtl/>
          </w:rPr>
          <w:t>ما</w:t>
        </w:r>
        <w:r w:rsidRPr="002042DE">
          <w:rPr>
            <w:rStyle w:val="Hyperlink"/>
            <w:bCs/>
            <w:noProof/>
            <w:rtl/>
          </w:rPr>
          <w:t xml:space="preserve"> </w:t>
        </w:r>
        <w:r w:rsidRPr="002042DE">
          <w:rPr>
            <w:rStyle w:val="Hyperlink"/>
            <w:rFonts w:hint="eastAsia"/>
            <w:bCs/>
            <w:noProof/>
            <w:rtl/>
          </w:rPr>
          <w:t>يميز</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 xml:space="preserve"> </w:t>
        </w:r>
        <w:r w:rsidRPr="002042DE">
          <w:rPr>
            <w:rStyle w:val="Hyperlink"/>
            <w:rFonts w:hint="eastAsia"/>
            <w:bCs/>
            <w:noProof/>
            <w:rtl/>
          </w:rPr>
          <w:t>الحالية</w:t>
        </w:r>
        <w:r w:rsidRPr="002042DE">
          <w:rPr>
            <w:rStyle w:val="Hyperlink"/>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6BF00CB" w14:textId="490F096F"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46" w:history="1">
        <w:r w:rsidRPr="002042DE">
          <w:rPr>
            <w:rStyle w:val="Hyperlink"/>
            <w:rFonts w:hint="eastAsia"/>
            <w:noProof/>
            <w:rtl/>
          </w:rPr>
          <w:t>الفصل</w:t>
        </w:r>
        <w:r w:rsidRPr="002042DE">
          <w:rPr>
            <w:rStyle w:val="Hyperlink"/>
            <w:noProof/>
            <w:rtl/>
          </w:rPr>
          <w:t xml:space="preserve"> </w:t>
        </w:r>
        <w:r w:rsidRPr="002042DE">
          <w:rPr>
            <w:rStyle w:val="Hyperlink"/>
            <w:rFonts w:hint="eastAsia"/>
            <w:noProof/>
            <w:rtl/>
          </w:rPr>
          <w:t>الثالث</w:t>
        </w:r>
        <w:r w:rsidRPr="002042DE">
          <w:rPr>
            <w:rStyle w:val="Hyperlink"/>
            <w:noProof/>
            <w:rtl/>
          </w:rPr>
          <w:t xml:space="preserve">: </w:t>
        </w:r>
        <w:r w:rsidRPr="002042DE">
          <w:rPr>
            <w:rStyle w:val="Hyperlink"/>
            <w:rFonts w:hint="eastAsia"/>
            <w:noProof/>
            <w:rtl/>
          </w:rPr>
          <w:t>الطريقة</w:t>
        </w:r>
        <w:r w:rsidRPr="002042DE">
          <w:rPr>
            <w:rStyle w:val="Hyperlink"/>
            <w:noProof/>
            <w:rtl/>
          </w:rPr>
          <w:t xml:space="preserve"> </w:t>
        </w:r>
        <w:r w:rsidRPr="002042DE">
          <w:rPr>
            <w:rStyle w:val="Hyperlink"/>
            <w:rFonts w:hint="eastAsia"/>
            <w:noProof/>
            <w:rtl/>
          </w:rPr>
          <w:t>والإجراءات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88E40A4" w14:textId="06C6FCEC" w:rsidR="00912101" w:rsidRDefault="00912101">
      <w:pPr>
        <w:pStyle w:val="20"/>
        <w:tabs>
          <w:tab w:val="right" w:leader="dot" w:pos="9016"/>
        </w:tabs>
        <w:rPr>
          <w:rFonts w:cstheme="minorBidi"/>
          <w:smallCaps w:val="0"/>
          <w:noProof/>
          <w:kern w:val="0"/>
          <w:sz w:val="22"/>
          <w:szCs w:val="22"/>
          <w:rtl/>
          <w14:ligatures w14:val="none"/>
        </w:rPr>
      </w:pPr>
      <w:hyperlink w:anchor="_Toc234084447" w:history="1">
        <w:r w:rsidRPr="002042DE">
          <w:rPr>
            <w:rStyle w:val="Hyperlink"/>
            <w:rFonts w:hint="eastAsia"/>
            <w:bCs/>
            <w:noProof/>
            <w:rtl/>
          </w:rPr>
          <w:t>منهج</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452A5B3" w14:textId="4F0CFCD3" w:rsidR="00912101" w:rsidRDefault="00912101">
      <w:pPr>
        <w:pStyle w:val="20"/>
        <w:tabs>
          <w:tab w:val="right" w:leader="dot" w:pos="9016"/>
        </w:tabs>
        <w:rPr>
          <w:rFonts w:cstheme="minorBidi"/>
          <w:smallCaps w:val="0"/>
          <w:noProof/>
          <w:kern w:val="0"/>
          <w:sz w:val="22"/>
          <w:szCs w:val="22"/>
          <w:rtl/>
          <w14:ligatures w14:val="none"/>
        </w:rPr>
      </w:pPr>
      <w:hyperlink w:anchor="_Toc234084448" w:history="1">
        <w:r w:rsidRPr="002042DE">
          <w:rPr>
            <w:rStyle w:val="Hyperlink"/>
            <w:rFonts w:hint="eastAsia"/>
            <w:bCs/>
            <w:noProof/>
            <w:rtl/>
          </w:rPr>
          <w:t>مجتمع</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 xml:space="preserve"> </w:t>
        </w:r>
        <w:r w:rsidRPr="002042DE">
          <w:rPr>
            <w:rStyle w:val="Hyperlink"/>
            <w:rFonts w:hint="eastAsia"/>
            <w:bCs/>
            <w:noProof/>
            <w:rtl/>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1ABA0DD" w14:textId="5CD1F41B" w:rsidR="00912101" w:rsidRDefault="00912101">
      <w:pPr>
        <w:pStyle w:val="20"/>
        <w:tabs>
          <w:tab w:val="right" w:leader="dot" w:pos="9016"/>
        </w:tabs>
        <w:rPr>
          <w:rFonts w:cstheme="minorBidi"/>
          <w:smallCaps w:val="0"/>
          <w:noProof/>
          <w:kern w:val="0"/>
          <w:sz w:val="22"/>
          <w:szCs w:val="22"/>
          <w:rtl/>
          <w14:ligatures w14:val="none"/>
        </w:rPr>
      </w:pPr>
      <w:hyperlink w:anchor="_Toc234084449" w:history="1">
        <w:r w:rsidRPr="002042DE">
          <w:rPr>
            <w:rStyle w:val="Hyperlink"/>
            <w:rFonts w:hint="eastAsia"/>
            <w:bCs/>
            <w:noProof/>
            <w:rtl/>
          </w:rPr>
          <w:t>أداة</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Toc234084449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0471A26" w14:textId="65742176" w:rsidR="00912101" w:rsidRDefault="00912101">
      <w:pPr>
        <w:pStyle w:val="20"/>
        <w:tabs>
          <w:tab w:val="right" w:leader="dot" w:pos="9016"/>
        </w:tabs>
        <w:rPr>
          <w:rFonts w:cstheme="minorBidi"/>
          <w:smallCaps w:val="0"/>
          <w:noProof/>
          <w:kern w:val="0"/>
          <w:sz w:val="22"/>
          <w:szCs w:val="22"/>
          <w:rtl/>
          <w14:ligatures w14:val="none"/>
        </w:rPr>
      </w:pPr>
      <w:hyperlink w:anchor="_Toc234084450" w:history="1">
        <w:r w:rsidRPr="002042DE">
          <w:rPr>
            <w:rStyle w:val="Hyperlink"/>
            <w:rFonts w:hint="eastAsia"/>
            <w:bCs/>
            <w:noProof/>
            <w:rtl/>
          </w:rPr>
          <w:t>صدق</w:t>
        </w:r>
        <w:r w:rsidRPr="002042DE">
          <w:rPr>
            <w:rStyle w:val="Hyperlink"/>
            <w:bCs/>
            <w:noProof/>
            <w:rtl/>
          </w:rPr>
          <w:t xml:space="preserve"> </w:t>
        </w:r>
        <w:r w:rsidRPr="002042DE">
          <w:rPr>
            <w:rStyle w:val="Hyperlink"/>
            <w:rFonts w:hint="eastAsia"/>
            <w:bCs/>
            <w:noProof/>
            <w:rtl/>
          </w:rPr>
          <w:t>وثبات</w:t>
        </w:r>
        <w:r w:rsidRPr="002042DE">
          <w:rPr>
            <w:rStyle w:val="Hyperlink"/>
            <w:bCs/>
            <w:noProof/>
            <w:rtl/>
          </w:rPr>
          <w:t xml:space="preserve"> </w:t>
        </w:r>
        <w:r w:rsidRPr="002042DE">
          <w:rPr>
            <w:rStyle w:val="Hyperlink"/>
            <w:rFonts w:hint="eastAsia"/>
            <w:bCs/>
            <w:noProof/>
            <w:rtl/>
          </w:rPr>
          <w:t>أداة</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2C2F1CF" w14:textId="47F81074" w:rsidR="00912101" w:rsidRDefault="00912101">
      <w:pPr>
        <w:pStyle w:val="20"/>
        <w:tabs>
          <w:tab w:val="right" w:leader="dot" w:pos="9016"/>
        </w:tabs>
        <w:rPr>
          <w:rFonts w:cstheme="minorBidi"/>
          <w:smallCaps w:val="0"/>
          <w:noProof/>
          <w:kern w:val="0"/>
          <w:sz w:val="22"/>
          <w:szCs w:val="22"/>
          <w:rtl/>
          <w14:ligatures w14:val="none"/>
        </w:rPr>
      </w:pPr>
      <w:hyperlink w:anchor="_Toc234084451" w:history="1">
        <w:r w:rsidRPr="002042DE">
          <w:rPr>
            <w:rStyle w:val="Hyperlink"/>
            <w:rFonts w:hint="eastAsia"/>
            <w:bCs/>
            <w:noProof/>
            <w:rtl/>
          </w:rPr>
          <w:t>متغيرات</w:t>
        </w:r>
        <w:r w:rsidRPr="002042DE">
          <w:rPr>
            <w:rStyle w:val="Hyperlink"/>
            <w:bCs/>
            <w:noProof/>
            <w:rtl/>
          </w:rPr>
          <w:t xml:space="preserve"> </w:t>
        </w:r>
        <w:r w:rsidRPr="002042DE">
          <w:rPr>
            <w:rStyle w:val="Hyperlink"/>
            <w:rFonts w:hint="eastAsia"/>
            <w:bCs/>
            <w:noProof/>
            <w:rtl/>
          </w:rPr>
          <w:t>الدراسة</w:t>
        </w:r>
        <w:r w:rsidRPr="002042DE">
          <w:rPr>
            <w:rStyle w:val="Hyperlink"/>
            <w:bCs/>
            <w:noProof/>
            <w:rtl/>
          </w:rPr>
          <w:t xml:space="preserve"> </w:t>
        </w:r>
        <w:r w:rsidRPr="002042DE">
          <w:rPr>
            <w:rStyle w:val="Hyperlink"/>
            <w:rFonts w:hint="eastAsia"/>
            <w:bCs/>
            <w:noProof/>
            <w:rtl/>
          </w:rPr>
          <w:t>وكيفية</w:t>
        </w:r>
        <w:r w:rsidRPr="002042DE">
          <w:rPr>
            <w:rStyle w:val="Hyperlink"/>
            <w:bCs/>
            <w:noProof/>
            <w:rtl/>
          </w:rPr>
          <w:t xml:space="preserve"> </w:t>
        </w:r>
        <w:r w:rsidRPr="002042DE">
          <w:rPr>
            <w:rStyle w:val="Hyperlink"/>
            <w:rFonts w:hint="eastAsia"/>
            <w:bCs/>
            <w:noProof/>
            <w:rtl/>
          </w:rPr>
          <w:t>قياسها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BC3490D" w14:textId="1F1F3D3C" w:rsidR="00912101" w:rsidRDefault="00912101">
      <w:pPr>
        <w:pStyle w:val="20"/>
        <w:tabs>
          <w:tab w:val="right" w:leader="dot" w:pos="9016"/>
        </w:tabs>
        <w:rPr>
          <w:rFonts w:cstheme="minorBidi"/>
          <w:smallCaps w:val="0"/>
          <w:noProof/>
          <w:kern w:val="0"/>
          <w:sz w:val="22"/>
          <w:szCs w:val="22"/>
          <w:rtl/>
          <w14:ligatures w14:val="none"/>
        </w:rPr>
      </w:pPr>
      <w:hyperlink w:anchor="_Toc234084452" w:history="1">
        <w:r w:rsidRPr="002042DE">
          <w:rPr>
            <w:rStyle w:val="Hyperlink"/>
            <w:rFonts w:hint="eastAsia"/>
            <w:bCs/>
            <w:noProof/>
            <w:rtl/>
          </w:rPr>
          <w:t>أسلوب</w:t>
        </w:r>
        <w:r w:rsidRPr="002042DE">
          <w:rPr>
            <w:rStyle w:val="Hyperlink"/>
            <w:bCs/>
            <w:noProof/>
            <w:rtl/>
          </w:rPr>
          <w:t xml:space="preserve"> </w:t>
        </w:r>
        <w:r w:rsidRPr="002042DE">
          <w:rPr>
            <w:rStyle w:val="Hyperlink"/>
            <w:rFonts w:hint="eastAsia"/>
            <w:bCs/>
            <w:noProof/>
            <w:rtl/>
          </w:rPr>
          <w:t>تحليل</w:t>
        </w:r>
        <w:r w:rsidRPr="002042DE">
          <w:rPr>
            <w:rStyle w:val="Hyperlink"/>
            <w:bCs/>
            <w:noProof/>
            <w:rtl/>
          </w:rPr>
          <w:t xml:space="preserve"> </w:t>
        </w:r>
        <w:r w:rsidRPr="002042DE">
          <w:rPr>
            <w:rStyle w:val="Hyperlink"/>
            <w:rFonts w:hint="eastAsia"/>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DD629B3" w14:textId="0439604E"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53" w:history="1">
        <w:r w:rsidRPr="002042DE">
          <w:rPr>
            <w:rStyle w:val="Hyperlink"/>
            <w:rFonts w:hint="eastAsia"/>
            <w:noProof/>
            <w:rtl/>
            <w:lang w:bidi="ar-YE"/>
          </w:rPr>
          <w:t>الفصل</w:t>
        </w:r>
        <w:r w:rsidRPr="002042DE">
          <w:rPr>
            <w:rStyle w:val="Hyperlink"/>
            <w:noProof/>
            <w:rtl/>
            <w:lang w:bidi="ar-YE"/>
          </w:rPr>
          <w:t xml:space="preserve"> </w:t>
        </w:r>
        <w:r w:rsidRPr="002042DE">
          <w:rPr>
            <w:rStyle w:val="Hyperlink"/>
            <w:rFonts w:hint="eastAsia"/>
            <w:noProof/>
            <w:rtl/>
            <w:lang w:bidi="ar-YE"/>
          </w:rPr>
          <w:t>الرابع</w:t>
        </w:r>
        <w:r w:rsidRPr="002042DE">
          <w:rPr>
            <w:rStyle w:val="Hyperlink"/>
            <w:noProof/>
            <w:rtl/>
            <w:lang w:bidi="ar-YE"/>
          </w:rPr>
          <w:t xml:space="preserve">: </w:t>
        </w:r>
        <w:r w:rsidRPr="002042DE">
          <w:rPr>
            <w:rStyle w:val="Hyperlink"/>
            <w:rFonts w:hint="eastAsia"/>
            <w:noProof/>
            <w:rtl/>
            <w:lang w:bidi="ar-YE"/>
          </w:rPr>
          <w:t>نتائج</w:t>
        </w:r>
        <w:r w:rsidRPr="002042DE">
          <w:rPr>
            <w:rStyle w:val="Hyperlink"/>
            <w:noProof/>
            <w:rtl/>
            <w:lang w:bidi="ar-YE"/>
          </w:rPr>
          <w:t xml:space="preserve"> </w:t>
        </w:r>
        <w:r w:rsidRPr="002042DE">
          <w:rPr>
            <w:rStyle w:val="Hyperlink"/>
            <w:rFonts w:hint="eastAsia"/>
            <w:noProof/>
            <w:rtl/>
            <w:lang w:bidi="ar-YE"/>
          </w:rPr>
          <w:t>الدراسة</w:t>
        </w:r>
        <w:r w:rsidRPr="002042DE">
          <w:rPr>
            <w:rStyle w:val="Hyperlink"/>
            <w:noProof/>
            <w:rtl/>
            <w:lang w:bidi="ar-YE"/>
          </w:rPr>
          <w:t xml:space="preserve"> </w:t>
        </w:r>
        <w:r w:rsidRPr="002042DE">
          <w:rPr>
            <w:rStyle w:val="Hyperlink"/>
            <w:rFonts w:hint="eastAsia"/>
            <w:noProof/>
            <w:rtl/>
            <w:lang w:bidi="ar-YE"/>
          </w:rPr>
          <w:t>واختبار</w:t>
        </w:r>
        <w:r w:rsidRPr="002042DE">
          <w:rPr>
            <w:rStyle w:val="Hyperlink"/>
            <w:noProof/>
            <w:rtl/>
            <w:lang w:bidi="ar-YE"/>
          </w:rPr>
          <w:t xml:space="preserve"> </w:t>
        </w:r>
        <w:r w:rsidRPr="002042DE">
          <w:rPr>
            <w:rStyle w:val="Hyperlink"/>
            <w:rFonts w:hint="eastAsia"/>
            <w:noProof/>
            <w:rtl/>
            <w:lang w:bidi="ar-YE"/>
          </w:rPr>
          <w:t>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C0AAEC7" w14:textId="783B226D" w:rsidR="00912101" w:rsidRDefault="00912101">
      <w:pPr>
        <w:pStyle w:val="20"/>
        <w:tabs>
          <w:tab w:val="right" w:leader="dot" w:pos="9016"/>
        </w:tabs>
        <w:rPr>
          <w:rFonts w:cstheme="minorBidi"/>
          <w:smallCaps w:val="0"/>
          <w:noProof/>
          <w:kern w:val="0"/>
          <w:sz w:val="22"/>
          <w:szCs w:val="22"/>
          <w:rtl/>
          <w14:ligatures w14:val="none"/>
        </w:rPr>
      </w:pPr>
      <w:hyperlink w:anchor="_Toc234084454" w:history="1">
        <w:r w:rsidRPr="002042DE">
          <w:rPr>
            <w:rStyle w:val="Hyperlink"/>
            <w:rFonts w:hint="eastAsia"/>
            <w:bCs/>
            <w:noProof/>
            <w:rtl/>
            <w:lang w:bidi="ar-YE"/>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0DFF564" w14:textId="321D1E26" w:rsidR="00912101" w:rsidRDefault="00912101">
      <w:pPr>
        <w:pStyle w:val="20"/>
        <w:tabs>
          <w:tab w:val="right" w:leader="dot" w:pos="9016"/>
        </w:tabs>
        <w:rPr>
          <w:rFonts w:cstheme="minorBidi"/>
          <w:smallCaps w:val="0"/>
          <w:noProof/>
          <w:kern w:val="0"/>
          <w:sz w:val="22"/>
          <w:szCs w:val="22"/>
          <w:rtl/>
          <w14:ligatures w14:val="none"/>
        </w:rPr>
      </w:pPr>
      <w:hyperlink w:anchor="_Toc234084455" w:history="1">
        <w:r w:rsidRPr="002042DE">
          <w:rPr>
            <w:rStyle w:val="Hyperlink"/>
            <w:rFonts w:hint="eastAsia"/>
            <w:bCs/>
            <w:noProof/>
            <w:rtl/>
            <w:lang w:bidi="ar-YE"/>
          </w:rPr>
          <w:t>أولاً</w:t>
        </w:r>
        <w:r w:rsidRPr="002042DE">
          <w:rPr>
            <w:rStyle w:val="Hyperlink"/>
            <w:bCs/>
            <w:noProof/>
            <w:rtl/>
            <w:lang w:bidi="ar-YE"/>
          </w:rPr>
          <w:t xml:space="preserve">: </w:t>
        </w:r>
        <w:r w:rsidRPr="002042DE">
          <w:rPr>
            <w:rStyle w:val="Hyperlink"/>
            <w:rFonts w:hint="eastAsia"/>
            <w:bCs/>
            <w:noProof/>
            <w:rtl/>
            <w:lang w:bidi="ar-YE"/>
          </w:rPr>
          <w:t>التحليل</w:t>
        </w:r>
        <w:r w:rsidRPr="002042DE">
          <w:rPr>
            <w:rStyle w:val="Hyperlink"/>
            <w:bCs/>
            <w:noProof/>
            <w:rtl/>
            <w:lang w:bidi="ar-YE"/>
          </w:rPr>
          <w:t xml:space="preserve"> </w:t>
        </w:r>
        <w:r w:rsidRPr="002042DE">
          <w:rPr>
            <w:rStyle w:val="Hyperlink"/>
            <w:rFonts w:hint="eastAsia"/>
            <w:bCs/>
            <w:noProof/>
            <w:rtl/>
            <w:lang w:bidi="ar-YE"/>
          </w:rPr>
          <w:t>الوصفي</w:t>
        </w:r>
        <w:r w:rsidRPr="002042DE">
          <w:rPr>
            <w:rStyle w:val="Hyperlink"/>
            <w:bCs/>
            <w:noProof/>
            <w:rtl/>
            <w:lang w:bidi="ar-YE"/>
          </w:rPr>
          <w:t xml:space="preserve"> </w:t>
        </w:r>
        <w:r w:rsidRPr="002042DE">
          <w:rPr>
            <w:rStyle w:val="Hyperlink"/>
            <w:rFonts w:hint="eastAsia"/>
            <w:bCs/>
            <w:noProof/>
            <w:rtl/>
            <w:lang w:bidi="ar-YE"/>
          </w:rPr>
          <w:t>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AD5C2C9" w14:textId="3733E5DA" w:rsidR="00912101" w:rsidRDefault="00912101">
      <w:pPr>
        <w:pStyle w:val="20"/>
        <w:tabs>
          <w:tab w:val="right" w:leader="dot" w:pos="9016"/>
        </w:tabs>
        <w:rPr>
          <w:rFonts w:cstheme="minorBidi"/>
          <w:smallCaps w:val="0"/>
          <w:noProof/>
          <w:kern w:val="0"/>
          <w:sz w:val="22"/>
          <w:szCs w:val="22"/>
          <w:rtl/>
          <w14:ligatures w14:val="none"/>
        </w:rPr>
      </w:pPr>
      <w:hyperlink w:anchor="_Toc234084456" w:history="1">
        <w:r w:rsidRPr="002042DE">
          <w:rPr>
            <w:rStyle w:val="Hyperlink"/>
            <w:rFonts w:hint="eastAsia"/>
            <w:bCs/>
            <w:noProof/>
            <w:rtl/>
            <w:lang w:bidi="ar-YE"/>
          </w:rPr>
          <w:t>ثانياً</w:t>
        </w:r>
        <w:r w:rsidRPr="002042DE">
          <w:rPr>
            <w:rStyle w:val="Hyperlink"/>
            <w:bCs/>
            <w:noProof/>
            <w:rtl/>
            <w:lang w:bidi="ar-YE"/>
          </w:rPr>
          <w:t xml:space="preserve">: </w:t>
        </w:r>
        <w:r w:rsidRPr="002042DE">
          <w:rPr>
            <w:rStyle w:val="Hyperlink"/>
            <w:rFonts w:hint="eastAsia"/>
            <w:bCs/>
            <w:noProof/>
            <w:rtl/>
            <w:lang w:bidi="ar-YE"/>
          </w:rPr>
          <w:t>اختبار</w:t>
        </w:r>
        <w:r w:rsidRPr="002042DE">
          <w:rPr>
            <w:rStyle w:val="Hyperlink"/>
            <w:bCs/>
            <w:noProof/>
            <w:rtl/>
            <w:lang w:bidi="ar-YE"/>
          </w:rPr>
          <w:t xml:space="preserve"> </w:t>
        </w:r>
        <w:r w:rsidRPr="002042DE">
          <w:rPr>
            <w:rStyle w:val="Hyperlink"/>
            <w:rFonts w:hint="eastAsia"/>
            <w:bCs/>
            <w:noProof/>
            <w:rtl/>
            <w:lang w:bidi="ar-YE"/>
          </w:rPr>
          <w:t>فروض</w:t>
        </w:r>
        <w:r w:rsidRPr="002042DE">
          <w:rPr>
            <w:rStyle w:val="Hyperlink"/>
            <w:bCs/>
            <w:noProof/>
            <w:rtl/>
            <w:lang w:bidi="ar-YE"/>
          </w:rPr>
          <w:t xml:space="preserve"> </w:t>
        </w:r>
        <w:r w:rsidRPr="002042DE">
          <w:rPr>
            <w:rStyle w:val="Hyperlink"/>
            <w:rFonts w:hint="eastAsia"/>
            <w:bCs/>
            <w:noProof/>
            <w:rtl/>
            <w:lang w:bidi="ar-Y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Toc234084456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59E8179" w14:textId="012A0037" w:rsidR="00912101" w:rsidRDefault="00912101">
      <w:pPr>
        <w:pStyle w:val="20"/>
        <w:tabs>
          <w:tab w:val="right" w:leader="dot" w:pos="9016"/>
        </w:tabs>
        <w:rPr>
          <w:rFonts w:cstheme="minorBidi"/>
          <w:smallCaps w:val="0"/>
          <w:noProof/>
          <w:kern w:val="0"/>
          <w:sz w:val="22"/>
          <w:szCs w:val="22"/>
          <w:rtl/>
          <w14:ligatures w14:val="none"/>
        </w:rPr>
      </w:pPr>
      <w:hyperlink w:anchor="_Toc234084457" w:history="1">
        <w:r w:rsidRPr="002042DE">
          <w:rPr>
            <w:rStyle w:val="Hyperlink"/>
            <w:rFonts w:hint="eastAsia"/>
            <w:bCs/>
            <w:noProof/>
            <w:rtl/>
            <w:lang w:bidi="ar-YE"/>
          </w:rPr>
          <w:t>ثالثاً</w:t>
        </w:r>
        <w:r w:rsidRPr="002042DE">
          <w:rPr>
            <w:rStyle w:val="Hyperlink"/>
            <w:bCs/>
            <w:noProof/>
            <w:rtl/>
            <w:lang w:bidi="ar-YE"/>
          </w:rPr>
          <w:t xml:space="preserve">: </w:t>
        </w:r>
        <w:r w:rsidRPr="002042DE">
          <w:rPr>
            <w:rStyle w:val="Hyperlink"/>
            <w:rFonts w:hint="eastAsia"/>
            <w:bCs/>
            <w:noProof/>
            <w:rtl/>
            <w:lang w:bidi="ar-YE"/>
          </w:rPr>
          <w:t>تحليل</w:t>
        </w:r>
        <w:r w:rsidRPr="002042DE">
          <w:rPr>
            <w:rStyle w:val="Hyperlink"/>
            <w:bCs/>
            <w:noProof/>
            <w:rtl/>
            <w:lang w:bidi="ar-YE"/>
          </w:rPr>
          <w:t xml:space="preserve"> </w:t>
        </w:r>
        <w:r w:rsidRPr="002042DE">
          <w:rPr>
            <w:rStyle w:val="Hyperlink"/>
            <w:rFonts w:hint="eastAsia"/>
            <w:bCs/>
            <w:noProof/>
            <w:rtl/>
            <w:lang w:bidi="ar-YE"/>
          </w:rPr>
          <w:t>الفروق</w:t>
        </w:r>
        <w:r w:rsidRPr="002042DE">
          <w:rPr>
            <w:rStyle w:val="Hyperlink"/>
            <w:bCs/>
            <w:noProof/>
            <w:rtl/>
            <w:lang w:bidi="ar-YE"/>
          </w:rPr>
          <w:t xml:space="preserve"> </w:t>
        </w:r>
        <w:r w:rsidRPr="002042DE">
          <w:rPr>
            <w:rStyle w:val="Hyperlink"/>
            <w:rFonts w:hint="eastAsia"/>
            <w:bCs/>
            <w:noProof/>
            <w:rtl/>
            <w:lang w:bidi="ar-YE"/>
          </w:rPr>
          <w:t>للإجابة</w:t>
        </w:r>
        <w:r w:rsidRPr="002042DE">
          <w:rPr>
            <w:rStyle w:val="Hyperlink"/>
            <w:bCs/>
            <w:noProof/>
            <w:rtl/>
            <w:lang w:bidi="ar-YE"/>
          </w:rPr>
          <w:t xml:space="preserve"> </w:t>
        </w:r>
        <w:r w:rsidRPr="002042DE">
          <w:rPr>
            <w:rStyle w:val="Hyperlink"/>
            <w:rFonts w:hint="eastAsia"/>
            <w:bCs/>
            <w:noProof/>
            <w:rtl/>
            <w:lang w:bidi="ar-YE"/>
          </w:rPr>
          <w:t>على</w:t>
        </w:r>
        <w:r w:rsidRPr="002042DE">
          <w:rPr>
            <w:rStyle w:val="Hyperlink"/>
            <w:bCs/>
            <w:noProof/>
            <w:rtl/>
            <w:lang w:bidi="ar-YE"/>
          </w:rPr>
          <w:t xml:space="preserve"> </w:t>
        </w:r>
        <w:r w:rsidRPr="002042DE">
          <w:rPr>
            <w:rStyle w:val="Hyperlink"/>
            <w:rFonts w:hint="eastAsia"/>
            <w:bCs/>
            <w:noProof/>
            <w:rtl/>
            <w:lang w:bidi="ar-YE"/>
          </w:rPr>
          <w:t>التساؤل</w:t>
        </w:r>
        <w:r w:rsidRPr="002042DE">
          <w:rPr>
            <w:rStyle w:val="Hyperlink"/>
            <w:bCs/>
            <w:noProof/>
            <w:rtl/>
            <w:lang w:bidi="ar-YE"/>
          </w:rPr>
          <w:t xml:space="preserve"> </w:t>
        </w:r>
        <w:r w:rsidRPr="002042DE">
          <w:rPr>
            <w:rStyle w:val="Hyperlink"/>
            <w:rFonts w:hint="eastAsia"/>
            <w:bCs/>
            <w:noProof/>
            <w:rtl/>
            <w:lang w:bidi="ar-YE"/>
          </w:rPr>
          <w:t>الخامس</w:t>
        </w:r>
        <w:r w:rsidRPr="002042DE">
          <w:rPr>
            <w:rStyle w:val="Hyperlink"/>
            <w:bCs/>
            <w:noProof/>
            <w:rtl/>
            <w:lang w:bidi="ar-YE"/>
          </w:rPr>
          <w:t xml:space="preserve"> </w:t>
        </w:r>
        <w:r w:rsidRPr="002042DE">
          <w:rPr>
            <w:rStyle w:val="Hyperlink"/>
            <w:rFonts w:hint="eastAsia"/>
            <w:bCs/>
            <w:noProof/>
            <w:rtl/>
            <w:lang w:bidi="ar-Y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CD9BA86" w14:textId="04ACAA2D" w:rsidR="00912101" w:rsidRDefault="00912101">
      <w:pPr>
        <w:pStyle w:val="20"/>
        <w:tabs>
          <w:tab w:val="right" w:leader="dot" w:pos="9016"/>
        </w:tabs>
        <w:rPr>
          <w:rFonts w:cstheme="minorBidi"/>
          <w:smallCaps w:val="0"/>
          <w:noProof/>
          <w:kern w:val="0"/>
          <w:sz w:val="22"/>
          <w:szCs w:val="22"/>
          <w:rtl/>
          <w14:ligatures w14:val="none"/>
        </w:rPr>
      </w:pPr>
      <w:hyperlink w:anchor="_Toc234084458" w:history="1">
        <w:r w:rsidRPr="002042DE">
          <w:rPr>
            <w:rStyle w:val="Hyperlink"/>
            <w:rFonts w:hint="eastAsia"/>
            <w:bCs/>
            <w:noProof/>
            <w:rtl/>
            <w:lang w:bidi="ar-YE"/>
          </w:rPr>
          <w:t>رابعاً</w:t>
        </w:r>
        <w:r w:rsidRPr="002042DE">
          <w:rPr>
            <w:rStyle w:val="Hyperlink"/>
            <w:bCs/>
            <w:noProof/>
            <w:rtl/>
            <w:lang w:bidi="ar-YE"/>
          </w:rPr>
          <w:t xml:space="preserve">: </w:t>
        </w:r>
        <w:r w:rsidRPr="002042DE">
          <w:rPr>
            <w:rStyle w:val="Hyperlink"/>
            <w:rFonts w:hint="eastAsia"/>
            <w:bCs/>
            <w:noProof/>
            <w:rtl/>
            <w:lang w:bidi="ar-YE"/>
          </w:rPr>
          <w:t>ملخص</w:t>
        </w:r>
        <w:r w:rsidRPr="002042DE">
          <w:rPr>
            <w:rStyle w:val="Hyperlink"/>
            <w:bCs/>
            <w:noProof/>
            <w:rtl/>
            <w:lang w:bidi="ar-YE"/>
          </w:rPr>
          <w:t xml:space="preserve"> </w:t>
        </w:r>
        <w:r w:rsidRPr="002042DE">
          <w:rPr>
            <w:rStyle w:val="Hyperlink"/>
            <w:rFonts w:hint="eastAsia"/>
            <w:bCs/>
            <w:noProof/>
            <w:rtl/>
            <w:lang w:bidi="ar-YE"/>
          </w:rPr>
          <w:t>نتائج</w:t>
        </w:r>
        <w:r w:rsidRPr="002042DE">
          <w:rPr>
            <w:rStyle w:val="Hyperlink"/>
            <w:bCs/>
            <w:noProof/>
            <w:rtl/>
            <w:lang w:bidi="ar-YE"/>
          </w:rPr>
          <w:t xml:space="preserve"> </w:t>
        </w:r>
        <w:r w:rsidRPr="002042DE">
          <w:rPr>
            <w:rStyle w:val="Hyperlink"/>
            <w:rFonts w:hint="eastAsia"/>
            <w:bCs/>
            <w:noProof/>
            <w:rtl/>
            <w:lang w:bidi="ar-Y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Toc234084458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7D59007" w14:textId="1EB73565"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59" w:history="1">
        <w:r w:rsidRPr="002042DE">
          <w:rPr>
            <w:rStyle w:val="Hyperlink"/>
            <w:rFonts w:hint="eastAsia"/>
            <w:noProof/>
            <w:rtl/>
          </w:rPr>
          <w:t>الفصل</w:t>
        </w:r>
        <w:r w:rsidRPr="002042DE">
          <w:rPr>
            <w:rStyle w:val="Hyperlink"/>
            <w:noProof/>
            <w:rtl/>
          </w:rPr>
          <w:t xml:space="preserve"> </w:t>
        </w:r>
        <w:r w:rsidRPr="002042DE">
          <w:rPr>
            <w:rStyle w:val="Hyperlink"/>
            <w:rFonts w:hint="eastAsia"/>
            <w:noProof/>
            <w:rtl/>
          </w:rPr>
          <w:t>الخامس</w:t>
        </w:r>
        <w:r w:rsidRPr="002042DE">
          <w:rPr>
            <w:rStyle w:val="Hyperlink"/>
            <w:noProof/>
            <w:rtl/>
          </w:rPr>
          <w:t xml:space="preserve">: </w:t>
        </w:r>
        <w:r w:rsidRPr="002042DE">
          <w:rPr>
            <w:rStyle w:val="Hyperlink"/>
            <w:rFonts w:hint="eastAsia"/>
            <w:noProof/>
            <w:rtl/>
          </w:rPr>
          <w:t>الخاتمة</w:t>
        </w:r>
        <w:r w:rsidRPr="002042DE">
          <w:rPr>
            <w:rStyle w:val="Hyperlink"/>
            <w:noProof/>
            <w:rtl/>
          </w:rPr>
          <w:t xml:space="preserve">  </w:t>
        </w:r>
        <w:r w:rsidRPr="002042DE">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Toc234084459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37034538" w14:textId="3AABCCC8" w:rsidR="00912101" w:rsidRDefault="00912101">
      <w:pPr>
        <w:pStyle w:val="20"/>
        <w:tabs>
          <w:tab w:val="right" w:leader="dot" w:pos="9016"/>
        </w:tabs>
        <w:rPr>
          <w:rFonts w:cstheme="minorBidi"/>
          <w:smallCaps w:val="0"/>
          <w:noProof/>
          <w:kern w:val="0"/>
          <w:sz w:val="22"/>
          <w:szCs w:val="22"/>
          <w:rtl/>
          <w14:ligatures w14:val="none"/>
        </w:rPr>
      </w:pPr>
      <w:hyperlink w:anchor="_Toc234084460" w:history="1">
        <w:r w:rsidRPr="002042DE">
          <w:rPr>
            <w:rStyle w:val="Hyperlink"/>
            <w:rFonts w:hint="eastAsia"/>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Toc234084460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138345AB" w14:textId="4AF40074" w:rsidR="00912101" w:rsidRDefault="00912101">
      <w:pPr>
        <w:pStyle w:val="20"/>
        <w:tabs>
          <w:tab w:val="right" w:leader="dot" w:pos="9016"/>
        </w:tabs>
        <w:rPr>
          <w:rFonts w:cstheme="minorBidi"/>
          <w:smallCaps w:val="0"/>
          <w:noProof/>
          <w:kern w:val="0"/>
          <w:sz w:val="22"/>
          <w:szCs w:val="22"/>
          <w:rtl/>
          <w14:ligatures w14:val="none"/>
        </w:rPr>
      </w:pPr>
      <w:hyperlink w:anchor="_Toc234084461" w:history="1">
        <w:r w:rsidRPr="002042DE">
          <w:rPr>
            <w:rStyle w:val="Hyperlink"/>
            <w:rFonts w:hint="eastAsia"/>
            <w:bCs/>
            <w:noProof/>
            <w:rtl/>
          </w:rPr>
          <w:t>التوصيات</w:t>
        </w:r>
        <w:r w:rsidRPr="002042DE">
          <w:rPr>
            <w:rStyle w:val="Hyperlink"/>
            <w:bCs/>
            <w:noProof/>
            <w:rtl/>
          </w:rPr>
          <w:t xml:space="preserve"> </w:t>
        </w:r>
        <w:r w:rsidRPr="002042DE">
          <w:rPr>
            <w:rStyle w:val="Hyperlink"/>
            <w:rFonts w:hint="eastAsia"/>
            <w:bCs/>
            <w:noProof/>
            <w:rtl/>
          </w:rPr>
          <w:t>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Toc234084461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2E14802C" w14:textId="3DB60C0C" w:rsidR="00912101" w:rsidRDefault="00912101">
      <w:pPr>
        <w:pStyle w:val="20"/>
        <w:tabs>
          <w:tab w:val="right" w:leader="dot" w:pos="9016"/>
        </w:tabs>
        <w:rPr>
          <w:rFonts w:cstheme="minorBidi"/>
          <w:smallCaps w:val="0"/>
          <w:noProof/>
          <w:kern w:val="0"/>
          <w:sz w:val="22"/>
          <w:szCs w:val="22"/>
          <w:rtl/>
          <w14:ligatures w14:val="none"/>
        </w:rPr>
      </w:pPr>
      <w:hyperlink w:anchor="_Toc234084462" w:history="1">
        <w:r w:rsidRPr="002042DE">
          <w:rPr>
            <w:rStyle w:val="Hyperlink"/>
            <w:rFonts w:hint="eastAsia"/>
            <w:bCs/>
            <w:noProof/>
            <w:rtl/>
          </w:rPr>
          <w:t>مقترحات</w:t>
        </w:r>
        <w:r w:rsidRPr="002042DE">
          <w:rPr>
            <w:rStyle w:val="Hyperlink"/>
            <w:bCs/>
            <w:noProof/>
            <w:rtl/>
          </w:rPr>
          <w:t xml:space="preserve"> </w:t>
        </w:r>
        <w:r w:rsidRPr="002042DE">
          <w:rPr>
            <w:rStyle w:val="Hyperlink"/>
            <w:rFonts w:hint="eastAsia"/>
            <w:bCs/>
            <w:noProof/>
            <w:rtl/>
          </w:rPr>
          <w:t>الدراسات</w:t>
        </w:r>
        <w:r w:rsidRPr="002042DE">
          <w:rPr>
            <w:rStyle w:val="Hyperlink"/>
            <w:bCs/>
            <w:noProof/>
            <w:rtl/>
          </w:rPr>
          <w:t xml:space="preserve"> </w:t>
        </w:r>
        <w:r w:rsidRPr="002042DE">
          <w:rPr>
            <w:rStyle w:val="Hyperlink"/>
            <w:rFonts w:hint="eastAsia"/>
            <w:bCs/>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Toc234084462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385E3A9" w14:textId="45C0187D" w:rsidR="00912101" w:rsidRDefault="00912101">
      <w:pPr>
        <w:pStyle w:val="20"/>
        <w:tabs>
          <w:tab w:val="right" w:leader="dot" w:pos="9016"/>
        </w:tabs>
        <w:rPr>
          <w:rFonts w:cstheme="minorBidi"/>
          <w:smallCaps w:val="0"/>
          <w:noProof/>
          <w:kern w:val="0"/>
          <w:sz w:val="22"/>
          <w:szCs w:val="22"/>
          <w:rtl/>
          <w14:ligatures w14:val="none"/>
        </w:rPr>
      </w:pPr>
      <w:hyperlink w:anchor="_Toc234084463" w:history="1">
        <w:r w:rsidRPr="002042DE">
          <w:rPr>
            <w:rStyle w:val="Hyperlink"/>
            <w:rFonts w:hint="eastAsia"/>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27BB5C5" w14:textId="6747DF89"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64" w:history="1">
        <w:r w:rsidRPr="002042DE">
          <w:rPr>
            <w:rStyle w:val="Hyperlink"/>
            <w:rFonts w:hint="eastAsia"/>
            <w:noProof/>
            <w:rtl/>
          </w:rPr>
          <w:t>قائمة</w:t>
        </w:r>
        <w:r w:rsidRPr="002042DE">
          <w:rPr>
            <w:rStyle w:val="Hyperlink"/>
            <w:noProof/>
            <w:rtl/>
          </w:rPr>
          <w:t xml:space="preserve"> </w:t>
        </w:r>
        <w:r w:rsidRPr="002042DE">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Toc234084464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7EF90534" w14:textId="0B18B5CE" w:rsidR="00912101" w:rsidRDefault="00912101">
      <w:pPr>
        <w:pStyle w:val="20"/>
        <w:tabs>
          <w:tab w:val="right" w:leader="dot" w:pos="9016"/>
        </w:tabs>
        <w:rPr>
          <w:rFonts w:cstheme="minorBidi"/>
          <w:smallCaps w:val="0"/>
          <w:noProof/>
          <w:kern w:val="0"/>
          <w:sz w:val="22"/>
          <w:szCs w:val="22"/>
          <w:rtl/>
          <w14:ligatures w14:val="none"/>
        </w:rPr>
      </w:pPr>
      <w:hyperlink w:anchor="_Toc234084465" w:history="1">
        <w:r w:rsidRPr="002042DE">
          <w:rPr>
            <w:rStyle w:val="Hyperlink"/>
            <w:rFonts w:hint="eastAsia"/>
            <w:bCs/>
            <w:noProof/>
            <w:rtl/>
          </w:rPr>
          <w:t>أولاً</w:t>
        </w:r>
        <w:r w:rsidRPr="002042DE">
          <w:rPr>
            <w:rStyle w:val="Hyperlink"/>
            <w:bCs/>
            <w:noProof/>
            <w:rtl/>
          </w:rPr>
          <w:t xml:space="preserve">: </w:t>
        </w:r>
        <w:r w:rsidRPr="002042DE">
          <w:rPr>
            <w:rStyle w:val="Hyperlink"/>
            <w:rFonts w:hint="eastAsia"/>
            <w:bCs/>
            <w:noProof/>
            <w:rtl/>
          </w:rPr>
          <w:t>المراجع</w:t>
        </w:r>
        <w:r w:rsidRPr="002042DE">
          <w:rPr>
            <w:rStyle w:val="Hyperlink"/>
            <w:bCs/>
            <w:noProof/>
            <w:rtl/>
          </w:rPr>
          <w:t xml:space="preserve"> </w:t>
        </w:r>
        <w:r w:rsidRPr="002042DE">
          <w:rPr>
            <w:rStyle w:val="Hyperlink"/>
            <w:rFonts w:hint="eastAsia"/>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Toc234084465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2499666" w14:textId="665A0DF3" w:rsidR="00912101" w:rsidRDefault="00912101">
      <w:pPr>
        <w:pStyle w:val="20"/>
        <w:tabs>
          <w:tab w:val="right" w:leader="dot" w:pos="9016"/>
        </w:tabs>
        <w:rPr>
          <w:rFonts w:cstheme="minorBidi"/>
          <w:smallCaps w:val="0"/>
          <w:noProof/>
          <w:kern w:val="0"/>
          <w:sz w:val="22"/>
          <w:szCs w:val="22"/>
          <w:rtl/>
          <w14:ligatures w14:val="none"/>
        </w:rPr>
      </w:pPr>
      <w:hyperlink w:anchor="_Toc234084466" w:history="1">
        <w:r w:rsidRPr="002042DE">
          <w:rPr>
            <w:rStyle w:val="Hyperlink"/>
            <w:rFonts w:hint="eastAsia"/>
            <w:bCs/>
            <w:noProof/>
            <w:rtl/>
          </w:rPr>
          <w:t>ثانياً</w:t>
        </w:r>
        <w:r w:rsidRPr="002042DE">
          <w:rPr>
            <w:rStyle w:val="Hyperlink"/>
            <w:bCs/>
            <w:noProof/>
            <w:rtl/>
          </w:rPr>
          <w:t xml:space="preserve">: </w:t>
        </w:r>
        <w:r w:rsidRPr="002042DE">
          <w:rPr>
            <w:rStyle w:val="Hyperlink"/>
            <w:rFonts w:hint="eastAsia"/>
            <w:bCs/>
            <w:noProof/>
            <w:rtl/>
          </w:rPr>
          <w:t>المراجع</w:t>
        </w:r>
        <w:r w:rsidRPr="002042DE">
          <w:rPr>
            <w:rStyle w:val="Hyperlink"/>
            <w:bCs/>
            <w:noProof/>
            <w:rtl/>
          </w:rPr>
          <w:t xml:space="preserve"> </w:t>
        </w:r>
        <w:r w:rsidRPr="002042DE">
          <w:rPr>
            <w:rStyle w:val="Hyperlink"/>
            <w:rFonts w:hint="eastAsia"/>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C1BA04B" w14:textId="2DE0751B" w:rsidR="00912101" w:rsidRDefault="00912101">
      <w:pPr>
        <w:pStyle w:val="11"/>
        <w:tabs>
          <w:tab w:val="right" w:leader="dot" w:pos="9016"/>
        </w:tabs>
        <w:rPr>
          <w:rFonts w:cstheme="minorBidi"/>
          <w:b w:val="0"/>
          <w:bCs w:val="0"/>
          <w:caps w:val="0"/>
          <w:noProof/>
          <w:kern w:val="0"/>
          <w:sz w:val="22"/>
          <w:szCs w:val="22"/>
          <w:rtl/>
          <w14:ligatures w14:val="none"/>
        </w:rPr>
      </w:pPr>
      <w:hyperlink w:anchor="_Toc234084467" w:history="1">
        <w:r w:rsidRPr="002042DE">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5AE143E6" w14:textId="716EE58A" w:rsidR="00912101" w:rsidRDefault="00912101">
      <w:pPr>
        <w:pStyle w:val="20"/>
        <w:tabs>
          <w:tab w:val="right" w:leader="dot" w:pos="9016"/>
        </w:tabs>
        <w:rPr>
          <w:rFonts w:cstheme="minorBidi"/>
          <w:smallCaps w:val="0"/>
          <w:noProof/>
          <w:kern w:val="0"/>
          <w:sz w:val="22"/>
          <w:szCs w:val="22"/>
          <w:rtl/>
          <w14:ligatures w14:val="none"/>
        </w:rPr>
      </w:pPr>
      <w:hyperlink w:anchor="_Toc234084468" w:history="1">
        <w:r w:rsidRPr="002042DE">
          <w:rPr>
            <w:rStyle w:val="Hyperlink"/>
            <w:rFonts w:hint="eastAsia"/>
            <w:bCs/>
            <w:noProof/>
            <w:rtl/>
          </w:rPr>
          <w:t>ملحق</w:t>
        </w:r>
        <w:r w:rsidRPr="002042DE">
          <w:rPr>
            <w:rStyle w:val="Hyperlink"/>
            <w:bCs/>
            <w:noProof/>
            <w:rtl/>
          </w:rPr>
          <w:t xml:space="preserve"> (١): </w:t>
        </w:r>
        <w:r w:rsidRPr="002042DE">
          <w:rPr>
            <w:rStyle w:val="Hyperlink"/>
            <w:rFonts w:hint="eastAsia"/>
            <w:bCs/>
            <w:noProof/>
            <w:rtl/>
          </w:rPr>
          <w:t>استبيان</w:t>
        </w:r>
        <w:r w:rsidRPr="002042DE">
          <w:rPr>
            <w:rStyle w:val="Hyperlink"/>
            <w:bCs/>
            <w:noProof/>
            <w:rtl/>
          </w:rPr>
          <w:t xml:space="preserve"> </w:t>
        </w:r>
        <w:r w:rsidRPr="002042DE">
          <w:rPr>
            <w:rStyle w:val="Hyperlink"/>
            <w:rFonts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Toc234084468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4D3F7CF" w14:textId="0EF6A28D" w:rsidR="00CE231C" w:rsidRDefault="00B01EA5" w:rsidP="00E17564">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075DF704" w14:textId="77777777" w:rsidR="00CE231C" w:rsidRDefault="00CE231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911FAA9" w14:textId="7C97DF01" w:rsidR="00CE231C" w:rsidRPr="00891197" w:rsidRDefault="00CE231C" w:rsidP="00891197">
      <w:pPr>
        <w:pStyle w:val="2"/>
        <w:rPr>
          <w:b w:val="0"/>
          <w:bCs/>
          <w:rtl/>
        </w:rPr>
      </w:pPr>
      <w:bookmarkStart w:id="6" w:name="_Toc234084414"/>
      <w:r w:rsidRPr="00891197">
        <w:rPr>
          <w:rFonts w:hint="cs"/>
          <w:b w:val="0"/>
          <w:bCs/>
          <w:rtl/>
        </w:rPr>
        <w:lastRenderedPageBreak/>
        <w:t>قائمة الجداول</w:t>
      </w:r>
      <w:bookmarkEnd w:id="6"/>
      <w:r w:rsidRPr="00891197">
        <w:rPr>
          <w:rFonts w:hint="cs"/>
          <w:b w:val="0"/>
          <w:bCs/>
          <w:rtl/>
        </w:rPr>
        <w:t xml:space="preserve"> </w:t>
      </w:r>
    </w:p>
    <w:tbl>
      <w:tblPr>
        <w:tblStyle w:val="10"/>
        <w:bidiVisual/>
        <w:tblW w:w="5000" w:type="pct"/>
        <w:tblLook w:val="0720" w:firstRow="1" w:lastRow="0" w:firstColumn="0" w:lastColumn="1" w:noHBand="1" w:noVBand="1"/>
      </w:tblPr>
      <w:tblGrid>
        <w:gridCol w:w="7873"/>
        <w:gridCol w:w="1143"/>
      </w:tblGrid>
      <w:tr w:rsidR="009C0B5D" w:rsidRPr="008832D5" w14:paraId="289A3E59" w14:textId="77777777" w:rsidTr="00097C7F">
        <w:trPr>
          <w:cnfStyle w:val="100000000000" w:firstRow="1" w:lastRow="0" w:firstColumn="0" w:lastColumn="0" w:oddVBand="0" w:evenVBand="0" w:oddHBand="0" w:evenHBand="0" w:firstRowFirstColumn="0" w:firstRowLastColumn="0" w:lastRowFirstColumn="0" w:lastRowLastColumn="0"/>
          <w:trHeight w:val="270"/>
        </w:trPr>
        <w:tc>
          <w:tcPr>
            <w:tcW w:w="4409" w:type="pct"/>
            <w:vAlign w:val="center"/>
          </w:tcPr>
          <w:p w14:paraId="61814D52" w14:textId="09D10577" w:rsidR="009C0B5D" w:rsidRPr="008832D5" w:rsidRDefault="009C0B5D" w:rsidP="00097C7F">
            <w:pPr>
              <w:jc w:val="center"/>
              <w:rPr>
                <w:rFonts w:asciiTheme="minorBidi" w:eastAsia="Times New Roman" w:hAnsiTheme="minorBidi"/>
                <w:color w:val="000000"/>
                <w:rtl/>
              </w:rPr>
            </w:pPr>
            <w:r w:rsidRPr="008832D5">
              <w:rPr>
                <w:rFonts w:asciiTheme="minorBidi" w:eastAsia="Times New Roman" w:hAnsiTheme="minorBidi"/>
                <w:color w:val="000000"/>
                <w:rtl/>
              </w:rPr>
              <w:t>الجدول</w:t>
            </w:r>
          </w:p>
        </w:tc>
        <w:tc>
          <w:tcPr>
            <w:cnfStyle w:val="000100000000" w:firstRow="0" w:lastRow="0" w:firstColumn="0" w:lastColumn="1" w:oddVBand="0" w:evenVBand="0" w:oddHBand="0" w:evenHBand="0" w:firstRowFirstColumn="0" w:firstRowLastColumn="0" w:lastRowFirstColumn="0" w:lastRowLastColumn="0"/>
            <w:tcW w:w="591" w:type="pct"/>
            <w:noWrap/>
            <w:vAlign w:val="center"/>
          </w:tcPr>
          <w:p w14:paraId="38802F10" w14:textId="32CB5C68" w:rsidR="009C0B5D" w:rsidRPr="008832D5" w:rsidRDefault="009C0B5D" w:rsidP="00097C7F">
            <w:pPr>
              <w:jc w:val="center"/>
              <w:rPr>
                <w:rFonts w:asciiTheme="minorBidi" w:eastAsia="Times New Roman" w:hAnsiTheme="minorBidi"/>
                <w:color w:val="000000"/>
                <w:rtl/>
              </w:rPr>
            </w:pPr>
            <w:r w:rsidRPr="008832D5">
              <w:rPr>
                <w:rFonts w:asciiTheme="minorBidi" w:eastAsia="Times New Roman" w:hAnsiTheme="minorBidi"/>
                <w:color w:val="000000"/>
                <w:rtl/>
              </w:rPr>
              <w:t>رقم الصفحة</w:t>
            </w:r>
          </w:p>
        </w:tc>
      </w:tr>
      <w:tr w:rsidR="009C0B5D" w:rsidRPr="008832D5" w14:paraId="4CB58527" w14:textId="77777777" w:rsidTr="00097C7F">
        <w:trPr>
          <w:trHeight w:val="270"/>
        </w:trPr>
        <w:tc>
          <w:tcPr>
            <w:tcW w:w="4409" w:type="pct"/>
            <w:vAlign w:val="center"/>
            <w:hideMark/>
          </w:tcPr>
          <w:p w14:paraId="36416590" w14:textId="77777777" w:rsidR="009C0B5D" w:rsidRPr="008832D5" w:rsidRDefault="009C0B5D" w:rsidP="00097C7F">
            <w:pPr>
              <w:rPr>
                <w:rFonts w:asciiTheme="minorBidi" w:eastAsia="Times New Roman" w:hAnsiTheme="minorBidi"/>
                <w:color w:val="000000"/>
                <w:kern w:val="0"/>
                <w14:ligatures w14:val="none"/>
              </w:rPr>
            </w:pPr>
            <w:r w:rsidRPr="008832D5">
              <w:rPr>
                <w:rFonts w:asciiTheme="minorBidi" w:eastAsia="Times New Roman" w:hAnsiTheme="minorBidi"/>
                <w:color w:val="000000"/>
                <w:rtl/>
              </w:rPr>
              <w:t>جدول (٣-١): معاملات الثبات لمحاور أداة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05E21112" w14:textId="2DB3F330" w:rsidR="009C0B5D" w:rsidRPr="008832D5" w:rsidRDefault="008C757A" w:rsidP="00097C7F">
            <w:pPr>
              <w:jc w:val="center"/>
              <w:rPr>
                <w:rFonts w:asciiTheme="minorBidi" w:eastAsia="Times New Roman" w:hAnsiTheme="minorBidi"/>
                <w:color w:val="000000"/>
                <w:rtl/>
              </w:rPr>
            </w:pPr>
            <w:r>
              <w:rPr>
                <w:rFonts w:asciiTheme="minorBidi" w:eastAsia="Times New Roman" w:hAnsiTheme="minorBidi" w:hint="cs"/>
                <w:color w:val="000000"/>
                <w:rtl/>
              </w:rPr>
              <w:t>30</w:t>
            </w:r>
          </w:p>
        </w:tc>
      </w:tr>
      <w:tr w:rsidR="009C0B5D" w:rsidRPr="008832D5" w14:paraId="2ABA452B" w14:textId="77777777" w:rsidTr="00097C7F">
        <w:trPr>
          <w:trHeight w:val="525"/>
        </w:trPr>
        <w:tc>
          <w:tcPr>
            <w:tcW w:w="4409" w:type="pct"/>
            <w:vAlign w:val="center"/>
            <w:hideMark/>
          </w:tcPr>
          <w:p w14:paraId="6AC20A0C"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 التوزيع النسبي والتكراري لخصائص عينة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3108693E" w14:textId="714B46A6" w:rsidR="009C0B5D" w:rsidRPr="008832D5" w:rsidRDefault="008C757A" w:rsidP="00097C7F">
            <w:pPr>
              <w:jc w:val="center"/>
              <w:rPr>
                <w:rFonts w:asciiTheme="minorBidi" w:eastAsia="Times New Roman" w:hAnsiTheme="minorBidi"/>
                <w:color w:val="000000"/>
                <w:rtl/>
              </w:rPr>
            </w:pPr>
            <w:r>
              <w:rPr>
                <w:rFonts w:asciiTheme="minorBidi" w:eastAsia="Times New Roman" w:hAnsiTheme="minorBidi" w:hint="cs"/>
                <w:color w:val="000000"/>
                <w:rtl/>
              </w:rPr>
              <w:t>36</w:t>
            </w:r>
          </w:p>
        </w:tc>
      </w:tr>
      <w:tr w:rsidR="009C0B5D" w:rsidRPr="008832D5" w14:paraId="5016C710" w14:textId="77777777" w:rsidTr="00097C7F">
        <w:trPr>
          <w:trHeight w:val="525"/>
        </w:trPr>
        <w:tc>
          <w:tcPr>
            <w:tcW w:w="4409" w:type="pct"/>
            <w:vAlign w:val="center"/>
            <w:hideMark/>
          </w:tcPr>
          <w:p w14:paraId="46FC4DB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(٤-٢): المتوسطات الحسابية والانحرافات المعيارية لمتغيرات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83DA604" w14:textId="05BFDEA0" w:rsidR="009C0B5D" w:rsidRPr="008832D5" w:rsidRDefault="00714541" w:rsidP="00097C7F">
            <w:pPr>
              <w:jc w:val="center"/>
              <w:rPr>
                <w:rFonts w:asciiTheme="minorBidi" w:eastAsia="Times New Roman" w:hAnsiTheme="minorBidi"/>
                <w:color w:val="000000"/>
                <w:rtl/>
              </w:rPr>
            </w:pPr>
            <w:r>
              <w:rPr>
                <w:rFonts w:asciiTheme="minorBidi" w:eastAsia="Times New Roman" w:hAnsiTheme="minorBidi" w:hint="cs"/>
                <w:color w:val="000000"/>
                <w:rtl/>
              </w:rPr>
              <w:t>38</w:t>
            </w:r>
          </w:p>
        </w:tc>
      </w:tr>
      <w:tr w:rsidR="009C0B5D" w:rsidRPr="008832D5" w14:paraId="0066B9AF" w14:textId="77777777" w:rsidTr="00097C7F">
        <w:trPr>
          <w:trHeight w:val="525"/>
        </w:trPr>
        <w:tc>
          <w:tcPr>
            <w:tcW w:w="4409" w:type="pct"/>
            <w:vAlign w:val="center"/>
            <w:hideMark/>
          </w:tcPr>
          <w:p w14:paraId="14DF81F6"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(٤-٣): مصفوفة ارتباط بيرسون لمتغيرات الدراسة الرئيسية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D898957" w14:textId="2982188F" w:rsidR="009C0B5D" w:rsidRPr="008832D5" w:rsidRDefault="00714541" w:rsidP="00097C7F">
            <w:pPr>
              <w:jc w:val="center"/>
              <w:rPr>
                <w:rFonts w:asciiTheme="minorBidi" w:eastAsia="Times New Roman" w:hAnsiTheme="minorBidi"/>
                <w:color w:val="000000"/>
                <w:rtl/>
              </w:rPr>
            </w:pPr>
            <w:r>
              <w:rPr>
                <w:rFonts w:asciiTheme="minorBidi" w:eastAsia="Times New Roman" w:hAnsiTheme="minorBidi" w:hint="cs"/>
                <w:color w:val="000000"/>
                <w:rtl/>
              </w:rPr>
              <w:t>39</w:t>
            </w:r>
          </w:p>
        </w:tc>
      </w:tr>
      <w:tr w:rsidR="009C0B5D" w:rsidRPr="008832D5" w14:paraId="304DB2C7" w14:textId="77777777" w:rsidTr="00097C7F">
        <w:trPr>
          <w:trHeight w:val="525"/>
        </w:trPr>
        <w:tc>
          <w:tcPr>
            <w:tcW w:w="4409" w:type="pct"/>
            <w:vAlign w:val="center"/>
            <w:hideMark/>
          </w:tcPr>
          <w:p w14:paraId="7FEE1156"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(٤-٤): نتائج تحليل الانحدار لأثر التحول الصحي على بيئة العمل النفسية المستدامة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B1C1B3C" w14:textId="12173376"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40</w:t>
            </w:r>
          </w:p>
        </w:tc>
      </w:tr>
      <w:tr w:rsidR="009C0B5D" w:rsidRPr="008832D5" w14:paraId="72CAFF85" w14:textId="77777777" w:rsidTr="00097C7F">
        <w:trPr>
          <w:trHeight w:val="525"/>
        </w:trPr>
        <w:tc>
          <w:tcPr>
            <w:tcW w:w="4409" w:type="pct"/>
            <w:vAlign w:val="center"/>
            <w:hideMark/>
          </w:tcPr>
          <w:p w14:paraId="2FD0380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(٤-٥): نتائج تحليل الانحدار لأثر التحول الصحي على الاحتراق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2019C03" w14:textId="5C53A6B2"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41</w:t>
            </w:r>
          </w:p>
        </w:tc>
      </w:tr>
      <w:tr w:rsidR="009C0B5D" w:rsidRPr="008832D5" w14:paraId="1D039A2B" w14:textId="77777777" w:rsidTr="00097C7F">
        <w:trPr>
          <w:trHeight w:val="525"/>
        </w:trPr>
        <w:tc>
          <w:tcPr>
            <w:tcW w:w="4409" w:type="pct"/>
            <w:vAlign w:val="center"/>
            <w:hideMark/>
          </w:tcPr>
          <w:p w14:paraId="70B988C0"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(٤-٦): نتائج تحليل الانحدار المتعدد لأثر التحول الصحي ورفاهية الموظفين في تقليل الاحتراق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18C01C1F" w14:textId="7238EC66"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42</w:t>
            </w:r>
          </w:p>
        </w:tc>
      </w:tr>
      <w:tr w:rsidR="009C0B5D" w:rsidRPr="008832D5" w14:paraId="19FB1549" w14:textId="77777777" w:rsidTr="00097C7F">
        <w:trPr>
          <w:trHeight w:val="525"/>
        </w:trPr>
        <w:tc>
          <w:tcPr>
            <w:tcW w:w="4409" w:type="pct"/>
            <w:vAlign w:val="center"/>
            <w:hideMark/>
          </w:tcPr>
          <w:p w14:paraId="2E3E3359"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(٤-٧): ملخص نتائج المسارات الإحصائية لاختبار الدور الوسيط لرفاهية الموظفين</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23449B00" w14:textId="6FE4295D"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43</w:t>
            </w:r>
          </w:p>
        </w:tc>
      </w:tr>
      <w:tr w:rsidR="009C0B5D" w:rsidRPr="008832D5" w14:paraId="70643AE0" w14:textId="77777777" w:rsidTr="00097C7F">
        <w:trPr>
          <w:trHeight w:val="525"/>
        </w:trPr>
        <w:tc>
          <w:tcPr>
            <w:tcW w:w="4409" w:type="pct"/>
            <w:vAlign w:val="center"/>
            <w:hideMark/>
          </w:tcPr>
          <w:p w14:paraId="506C5388"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(٤-٨): نتائج اختبار (</w:t>
            </w:r>
            <w:r w:rsidRPr="008832D5">
              <w:rPr>
                <w:rFonts w:asciiTheme="minorBidi" w:eastAsia="Times New Roman" w:hAnsiTheme="minorBidi"/>
                <w:color w:val="000000"/>
              </w:rPr>
              <w:t>t</w:t>
            </w:r>
            <w:r w:rsidRPr="008832D5">
              <w:rPr>
                <w:rFonts w:asciiTheme="minorBidi" w:eastAsia="Times New Roman" w:hAnsiTheme="minorBidi"/>
                <w:color w:val="000000"/>
                <w:rtl/>
              </w:rPr>
              <w:t>) للفروق بين متوسطات استجابات المبحوثين وفقاً لمتغير الجنس</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6CD6338" w14:textId="528651A1"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45</w:t>
            </w:r>
          </w:p>
        </w:tc>
      </w:tr>
      <w:tr w:rsidR="009C0B5D" w:rsidRPr="008832D5" w14:paraId="5613CCED" w14:textId="77777777" w:rsidTr="00097C7F">
        <w:trPr>
          <w:trHeight w:val="525"/>
        </w:trPr>
        <w:tc>
          <w:tcPr>
            <w:tcW w:w="4409" w:type="pct"/>
            <w:vAlign w:val="center"/>
            <w:hideMark/>
          </w:tcPr>
          <w:p w14:paraId="503393EB"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(٤-٩): نتائج تحليل التباين الأحادي للفروق في استجابات المبحوثين وفقاً لمتغير العمر</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5BE7177" w14:textId="259C703B"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46</w:t>
            </w:r>
          </w:p>
        </w:tc>
      </w:tr>
      <w:tr w:rsidR="009C0B5D" w:rsidRPr="008832D5" w14:paraId="30667593" w14:textId="77777777" w:rsidTr="00097C7F">
        <w:trPr>
          <w:trHeight w:val="525"/>
        </w:trPr>
        <w:tc>
          <w:tcPr>
            <w:tcW w:w="4409" w:type="pct"/>
            <w:vAlign w:val="center"/>
            <w:hideMark/>
          </w:tcPr>
          <w:p w14:paraId="50A9931D"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(٤-١٠): نتائج تحليل التباين الأحادي للفروق وفقاً لسنوات الخبرة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147D9269" w14:textId="3BCEE523"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47</w:t>
            </w:r>
          </w:p>
        </w:tc>
      </w:tr>
      <w:tr w:rsidR="009C0B5D" w:rsidRPr="008832D5" w14:paraId="5725E8C1" w14:textId="77777777" w:rsidTr="00097C7F">
        <w:trPr>
          <w:trHeight w:val="525"/>
        </w:trPr>
        <w:tc>
          <w:tcPr>
            <w:tcW w:w="4409" w:type="pct"/>
            <w:vAlign w:val="center"/>
            <w:hideMark/>
          </w:tcPr>
          <w:p w14:paraId="65B9616A"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(٤-١١): نتائج تحليل التباين الأحادي للفروق وفقاً للمسمى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13DB179F" w14:textId="2C1E886B"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48</w:t>
            </w:r>
          </w:p>
        </w:tc>
      </w:tr>
      <w:tr w:rsidR="009C0B5D" w:rsidRPr="008832D5" w14:paraId="15E0906F" w14:textId="77777777" w:rsidTr="00097C7F">
        <w:trPr>
          <w:trHeight w:val="525"/>
        </w:trPr>
        <w:tc>
          <w:tcPr>
            <w:tcW w:w="4409" w:type="pct"/>
            <w:vAlign w:val="center"/>
            <w:hideMark/>
          </w:tcPr>
          <w:p w14:paraId="645F2494"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(٤-١٢): نتائج تحليل التباين الأحادي للفروق وفقاً للدخل الشهري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310B3442" w14:textId="649E7945"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49</w:t>
            </w:r>
          </w:p>
        </w:tc>
      </w:tr>
      <w:tr w:rsidR="009C0B5D" w:rsidRPr="008832D5" w14:paraId="7015FDA3" w14:textId="77777777" w:rsidTr="00097C7F">
        <w:trPr>
          <w:trHeight w:val="525"/>
        </w:trPr>
        <w:tc>
          <w:tcPr>
            <w:tcW w:w="4409" w:type="pct"/>
            <w:vAlign w:val="center"/>
            <w:hideMark/>
          </w:tcPr>
          <w:p w14:paraId="6311BE99"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(٤-١٣): نتائج تحليل التباين الأحادي للفروق وفقاً للحالة الاجتماعية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3AC9F057" w14:textId="2DB421F8"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50</w:t>
            </w:r>
          </w:p>
        </w:tc>
      </w:tr>
      <w:tr w:rsidR="009C0B5D" w:rsidRPr="008832D5" w14:paraId="650661B1" w14:textId="77777777" w:rsidTr="00097C7F">
        <w:trPr>
          <w:trHeight w:val="270"/>
        </w:trPr>
        <w:tc>
          <w:tcPr>
            <w:tcW w:w="4409" w:type="pct"/>
            <w:vAlign w:val="center"/>
            <w:hideMark/>
          </w:tcPr>
          <w:p w14:paraId="16B053B9"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(٤-١٤): ملخص نتائج اختبار فروض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05889D47" w14:textId="252270D1" w:rsidR="009C0B5D" w:rsidRPr="008832D5" w:rsidRDefault="00E04133" w:rsidP="00097C7F">
            <w:pPr>
              <w:jc w:val="center"/>
              <w:rPr>
                <w:rFonts w:asciiTheme="minorBidi" w:eastAsia="Times New Roman" w:hAnsiTheme="minorBidi"/>
                <w:color w:val="000000"/>
                <w:rtl/>
              </w:rPr>
            </w:pPr>
            <w:r>
              <w:rPr>
                <w:rFonts w:asciiTheme="minorBidi" w:eastAsia="Times New Roman" w:hAnsiTheme="minorBidi" w:hint="cs"/>
                <w:color w:val="000000"/>
                <w:rtl/>
              </w:rPr>
              <w:t>51</w:t>
            </w:r>
          </w:p>
        </w:tc>
      </w:tr>
      <w:tr w:rsidR="009C0B5D" w:rsidRPr="008832D5" w14:paraId="1E0BF8CE" w14:textId="77777777" w:rsidTr="00097C7F">
        <w:trPr>
          <w:trHeight w:val="525"/>
        </w:trPr>
        <w:tc>
          <w:tcPr>
            <w:tcW w:w="4409" w:type="pct"/>
            <w:vAlign w:val="center"/>
            <w:hideMark/>
          </w:tcPr>
          <w:p w14:paraId="40DEA648"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(5-1): خطة العمل التنفيذية للتوصيات الإجرائية في ضوء نتائج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389DEFF9" w14:textId="31C12EA2" w:rsidR="009C0B5D" w:rsidRPr="008832D5" w:rsidRDefault="003167A9" w:rsidP="00097C7F">
            <w:pPr>
              <w:jc w:val="center"/>
              <w:rPr>
                <w:rFonts w:asciiTheme="minorBidi" w:eastAsia="Times New Roman" w:hAnsiTheme="minorBidi"/>
                <w:color w:val="000000"/>
                <w:rtl/>
              </w:rPr>
            </w:pPr>
            <w:r>
              <w:rPr>
                <w:rFonts w:asciiTheme="minorBidi" w:eastAsia="Times New Roman" w:hAnsiTheme="minorBidi" w:hint="cs"/>
                <w:color w:val="000000"/>
                <w:rtl/>
              </w:rPr>
              <w:t>55</w:t>
            </w:r>
          </w:p>
        </w:tc>
      </w:tr>
      <w:tr w:rsidR="009C0B5D" w:rsidRPr="008832D5" w14:paraId="5A0DC1EB" w14:textId="77777777" w:rsidTr="00097C7F">
        <w:trPr>
          <w:trHeight w:val="270"/>
        </w:trPr>
        <w:tc>
          <w:tcPr>
            <w:tcW w:w="4409" w:type="pct"/>
            <w:vAlign w:val="center"/>
            <w:hideMark/>
          </w:tcPr>
          <w:p w14:paraId="4C54A60A"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(5-2):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672B81B" w14:textId="7CB66E15" w:rsidR="009C0B5D" w:rsidRPr="008832D5" w:rsidRDefault="003167A9" w:rsidP="00097C7F">
            <w:pPr>
              <w:jc w:val="center"/>
              <w:rPr>
                <w:rFonts w:asciiTheme="minorBidi" w:eastAsia="Times New Roman" w:hAnsiTheme="minorBidi"/>
                <w:color w:val="000000"/>
                <w:rtl/>
              </w:rPr>
            </w:pPr>
            <w:r>
              <w:rPr>
                <w:rFonts w:asciiTheme="minorBidi" w:eastAsia="Times New Roman" w:hAnsiTheme="minorBidi" w:hint="cs"/>
                <w:color w:val="000000"/>
                <w:rtl/>
              </w:rPr>
              <w:t>61</w:t>
            </w:r>
          </w:p>
        </w:tc>
      </w:tr>
    </w:tbl>
    <w:p w14:paraId="75F9B757" w14:textId="293356BB" w:rsidR="00CE231C" w:rsidRDefault="00CE231C" w:rsidP="00891197">
      <w:pPr>
        <w:pStyle w:val="2"/>
        <w:rPr>
          <w:b w:val="0"/>
          <w:bCs/>
          <w:rtl/>
        </w:rPr>
      </w:pPr>
      <w:bookmarkStart w:id="7" w:name="_Toc234084415"/>
      <w:r w:rsidRPr="00891197">
        <w:rPr>
          <w:rFonts w:hint="cs"/>
          <w:b w:val="0"/>
          <w:bCs/>
          <w:rtl/>
        </w:rPr>
        <w:t>قائمة الأشكال</w:t>
      </w:r>
      <w:bookmarkEnd w:id="7"/>
      <w:r w:rsidRPr="00891197">
        <w:rPr>
          <w:rFonts w:hint="cs"/>
          <w:b w:val="0"/>
          <w:bCs/>
          <w:rtl/>
        </w:rPr>
        <w:t xml:space="preserve"> </w:t>
      </w:r>
    </w:p>
    <w:tbl>
      <w:tblPr>
        <w:tblStyle w:val="10"/>
        <w:bidiVisual/>
        <w:tblW w:w="5000" w:type="pct"/>
        <w:tblLook w:val="0720" w:firstRow="1" w:lastRow="0" w:firstColumn="0" w:lastColumn="1" w:noHBand="1" w:noVBand="1"/>
      </w:tblPr>
      <w:tblGrid>
        <w:gridCol w:w="6901"/>
        <w:gridCol w:w="2115"/>
      </w:tblGrid>
      <w:tr w:rsidR="0077608F" w14:paraId="318AAA55" w14:textId="77777777" w:rsidTr="003B2427">
        <w:trPr>
          <w:cnfStyle w:val="100000000000" w:firstRow="1" w:lastRow="0" w:firstColumn="0" w:lastColumn="0" w:oddVBand="0" w:evenVBand="0" w:oddHBand="0" w:evenHBand="0" w:firstRowFirstColumn="0" w:firstRowLastColumn="0" w:lastRowFirstColumn="0" w:lastRowLastColumn="0"/>
        </w:trPr>
        <w:tc>
          <w:tcPr>
            <w:tcW w:w="3827" w:type="pct"/>
            <w:vAlign w:val="center"/>
          </w:tcPr>
          <w:p w14:paraId="39A6D186" w14:textId="19CC6EC8" w:rsidR="0077608F" w:rsidRDefault="0077608F" w:rsidP="00F96DA5">
            <w:pPr>
              <w:jc w:val="center"/>
              <w:rPr>
                <w:rtl/>
              </w:rPr>
            </w:pPr>
            <w:r>
              <w:rPr>
                <w:rFonts w:hint="cs"/>
                <w:rtl/>
              </w:rPr>
              <w:t>الشكل</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4FC0C677" w14:textId="52C2B9BC" w:rsidR="0077608F" w:rsidRDefault="0077608F" w:rsidP="00F96DA5">
            <w:pPr>
              <w:jc w:val="center"/>
              <w:rPr>
                <w:rtl/>
              </w:rPr>
            </w:pPr>
            <w:r>
              <w:rPr>
                <w:rFonts w:hint="cs"/>
                <w:rtl/>
              </w:rPr>
              <w:t>رقم الصفحة</w:t>
            </w:r>
          </w:p>
        </w:tc>
      </w:tr>
      <w:tr w:rsidR="0077608F" w14:paraId="2E31D0D8" w14:textId="77777777" w:rsidTr="003B2427">
        <w:tc>
          <w:tcPr>
            <w:tcW w:w="3827" w:type="pct"/>
            <w:vAlign w:val="center"/>
          </w:tcPr>
          <w:p w14:paraId="2FB55652" w14:textId="2553C57F" w:rsidR="0077608F" w:rsidRDefault="00F96DA5" w:rsidP="00F96DA5">
            <w:pPr>
              <w:jc w:val="center"/>
              <w:rPr>
                <w:rtl/>
              </w:rPr>
            </w:pPr>
            <w:r>
              <w:rPr>
                <w:rFonts w:hint="cs"/>
                <w:rtl/>
              </w:rPr>
              <w:t>شكل (1): نموذج العلاقة بين متغيرات الدراسة</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5ABD60A7" w14:textId="4FB9FB59" w:rsidR="0077608F" w:rsidRDefault="000017D9" w:rsidP="00F96DA5">
            <w:pPr>
              <w:jc w:val="center"/>
              <w:rPr>
                <w:rtl/>
              </w:rPr>
            </w:pPr>
            <w:r>
              <w:rPr>
                <w:rFonts w:hint="cs"/>
                <w:rtl/>
              </w:rPr>
              <w:t>14</w:t>
            </w:r>
          </w:p>
        </w:tc>
      </w:tr>
    </w:tbl>
    <w:p w14:paraId="4DEB5EF0" w14:textId="77777777" w:rsidR="008832D5" w:rsidRPr="008832D5" w:rsidRDefault="008832D5" w:rsidP="008832D5">
      <w:pPr>
        <w:rPr>
          <w:rtl/>
        </w:rPr>
      </w:pPr>
    </w:p>
    <w:p w14:paraId="6930C44E" w14:textId="618B5325"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4A230B8" w14:textId="77777777" w:rsidR="00B01EA5" w:rsidRDefault="00B01EA5" w:rsidP="00E55F14">
      <w:pPr>
        <w:pStyle w:val="1"/>
        <w:rPr>
          <w:b/>
          <w:bCs/>
          <w:rtl/>
        </w:rPr>
        <w:sectPr w:rsidR="00B01EA5" w:rsidSect="00B01EA5">
          <w:headerReference w:type="default" r:id="rId9"/>
          <w:footerReference w:type="default" r:id="rId10"/>
          <w:pgSz w:w="11906" w:h="16838"/>
          <w:pgMar w:top="1440" w:right="1440" w:bottom="1440" w:left="1440" w:header="708" w:footer="708" w:gutter="0"/>
          <w:pgNumType w:fmt="arabicAbjad" w:start="1"/>
          <w:cols w:space="708"/>
          <w:bidi/>
          <w:rtlGutter/>
          <w:docGrid w:linePitch="360"/>
        </w:sectPr>
      </w:pPr>
    </w:p>
    <w:p w14:paraId="7EB75902" w14:textId="2A915622" w:rsidR="00E17564" w:rsidRPr="00E55F14" w:rsidRDefault="00E17564" w:rsidP="00E55F14">
      <w:pPr>
        <w:pStyle w:val="1"/>
        <w:rPr>
          <w:b/>
          <w:bCs/>
          <w:rtl/>
        </w:rPr>
      </w:pPr>
      <w:bookmarkStart w:id="8" w:name="_Toc234084416"/>
      <w:r w:rsidRPr="00E55F14">
        <w:rPr>
          <w:rFonts w:hint="cs"/>
          <w:b/>
          <w:bCs/>
          <w:rtl/>
        </w:rPr>
        <w:lastRenderedPageBreak/>
        <w:t>الفصل الأول: الإطار المنهجي للدراسة</w:t>
      </w:r>
      <w:bookmarkEnd w:id="8"/>
    </w:p>
    <w:p w14:paraId="4B13D7EA" w14:textId="79D1BFC8" w:rsidR="00AF3C0E" w:rsidRPr="00E55F14" w:rsidRDefault="00AF3C0E" w:rsidP="00E55F14">
      <w:pPr>
        <w:pStyle w:val="2"/>
        <w:rPr>
          <w:b w:val="0"/>
          <w:bCs/>
          <w:sz w:val="28"/>
          <w:szCs w:val="28"/>
          <w:rtl/>
        </w:rPr>
      </w:pPr>
      <w:bookmarkStart w:id="9" w:name="_Toc234084417"/>
      <w:r w:rsidRPr="00E55F14">
        <w:rPr>
          <w:rFonts w:hint="cs"/>
          <w:b w:val="0"/>
          <w:bCs/>
          <w:rtl/>
        </w:rPr>
        <w:t>مقدمة</w:t>
      </w:r>
      <w:bookmarkEnd w:id="9"/>
    </w:p>
    <w:p w14:paraId="534F146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تشهد المملكة العربية السعودية تحولاً صحياً كبيراً يهدف إلى تحسين جودة الخدمات الصحية وتوفير رعاية صحية شاملة ومستدامة، ويتضمن هذا التحول تغييرات جذرية في الهياكل التنظيمية والعمليات التشغيلية، مما يؤثر بشكل كبير على بيئة العمل النفسية للموظفين في القطاع الصحي، ويعتبر القطاع الصحي من أكثر القطاعات حساسية وتأثراً بالتحولات، حيث يتعرض العاملون فيه لضغوط عمل متزايدة وتحديات مستمرة، مما يزيد من احتمالية تعرضهم للاحتراق الوظيفي.</w:t>
      </w:r>
    </w:p>
    <w:p w14:paraId="1BCDCE6B"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فالاحتراق الوظيفي هو مشكلة صحية كبيرة تؤثر على الأفراد والاقتصاد العالمي، ما يتطلب اتخاذ إجراءات فورية لتطوير استراتيجيات فعالة للوقاية والاستعادة. تسلط هذه الدراسة الضوء على أثر التحول الصحي في المملكة العربية السعودية على بيئة العمل النفسية المستدامة ومعرفة دور القيادة ورفاهية الموظفين كمتغيرات وسيطة في استراتيجيات تجنب الاحتراق الوظيفي، دراسة ميدانيه في القطاع الصحي الحكومي في مدينة الرياض.</w:t>
      </w:r>
    </w:p>
    <w:p w14:paraId="4174980B"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فالاحتراق الوظيفي، الذي عرّفته منظمة الصحة العالمية كظاهرة مهنية، يظهر في شكل إجهاد عاطفي، واستبعاد اجتماعي، وإحساس بانخفاض الإنجاز الشخصي، ويؤثر على قطاعات متنوعة مثل الرعاية الصحية والتعليم والحكومة ويُعتبر أزمة صحية عامة (</w:t>
      </w:r>
      <w:r w:rsidRPr="00D201D3">
        <w:rPr>
          <w:rFonts w:ascii="Simplified Arabic" w:hAnsi="Simplified Arabic" w:cs="Simplified Arabic" w:hint="cs"/>
          <w:sz w:val="28"/>
          <w:szCs w:val="28"/>
        </w:rPr>
        <w:t>World Health O, 2024</w:t>
      </w:r>
      <w:r w:rsidRPr="00D201D3">
        <w:rPr>
          <w:rFonts w:ascii="Simplified Arabic" w:hAnsi="Simplified Arabic" w:cs="Simplified Arabic" w:hint="cs"/>
          <w:sz w:val="28"/>
          <w:szCs w:val="28"/>
          <w:rtl/>
        </w:rPr>
        <w:t>).</w:t>
      </w:r>
    </w:p>
    <w:p w14:paraId="30F9A82D"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وللتعامل مع الاحتراق بشكل فعال، من المهم رؤيته من خلال نموذج تدخلات تعزيز الصحة (</w:t>
      </w:r>
      <w:r w:rsidRPr="00D201D3">
        <w:rPr>
          <w:rFonts w:ascii="Simplified Arabic" w:hAnsi="Simplified Arabic" w:cs="Simplified Arabic" w:hint="cs"/>
          <w:sz w:val="28"/>
          <w:szCs w:val="28"/>
        </w:rPr>
        <w:t>HPI</w:t>
      </w:r>
      <w:r w:rsidRPr="00D201D3">
        <w:rPr>
          <w:rFonts w:ascii="Simplified Arabic" w:hAnsi="Simplified Arabic" w:cs="Simplified Arabic" w:hint="cs"/>
          <w:sz w:val="28"/>
          <w:szCs w:val="28"/>
          <w:rtl/>
        </w:rPr>
        <w:t>) الذي يأخذ في الاعتبار التعقيدات الهيكلية والاجتماعية والمعرفية، يشارك مختلف جوانبه في مراحل متعددة من عملية الاحتراق، مما يؤدي إلى تحديات في الوقاية والاستعادة، يمكن أن تؤدي التفاعلات بين الأفراد والمنظمات والسياقات الاجتماعية إلى تعقيد نتائج تعزيز الصحة (</w:t>
      </w:r>
      <w:r w:rsidRPr="00D201D3">
        <w:rPr>
          <w:rFonts w:ascii="Simplified Arabic" w:hAnsi="Simplified Arabic" w:cs="Simplified Arabic" w:hint="cs"/>
          <w:sz w:val="28"/>
          <w:szCs w:val="28"/>
        </w:rPr>
        <w:t>Zimmerman et al, 2011</w:t>
      </w:r>
      <w:r w:rsidRPr="00D201D3">
        <w:rPr>
          <w:rFonts w:ascii="Simplified Arabic" w:hAnsi="Simplified Arabic" w:cs="Simplified Arabic" w:hint="cs"/>
          <w:sz w:val="28"/>
          <w:szCs w:val="28"/>
          <w:rtl/>
        </w:rPr>
        <w:t>)</w:t>
      </w:r>
    </w:p>
    <w:p w14:paraId="74B5997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مع إدراك أن الاحتراق يمكن أن يحدث أيضاً خارج سياقات العمل (مثل احتراق الأهل)، وتناقش الدراسة بأن الاحتراق يجب أن يُنظر إليه كـ "متلازمة متعددة المجالات"، ومع ذلك، لا تزال العديد من المنظمات تميل إلى معالجة الاحتراق كمشكلة معزولة تركز فقط على الحلول الفردية، مما يغفل العوامل النظامية الأوسع التي تساهم فيه (</w:t>
      </w:r>
      <w:r w:rsidRPr="00D201D3">
        <w:rPr>
          <w:rFonts w:ascii="Simplified Arabic" w:hAnsi="Simplified Arabic" w:cs="Simplified Arabic" w:hint="cs"/>
          <w:sz w:val="28"/>
          <w:szCs w:val="28"/>
        </w:rPr>
        <w:t>Schaufeli, De Witte, Desart, 2019</w:t>
      </w:r>
      <w:r w:rsidRPr="00D201D3">
        <w:rPr>
          <w:rFonts w:ascii="Simplified Arabic" w:hAnsi="Simplified Arabic" w:cs="Simplified Arabic" w:hint="cs"/>
          <w:sz w:val="28"/>
          <w:szCs w:val="28"/>
          <w:rtl/>
        </w:rPr>
        <w:t>).</w:t>
      </w:r>
    </w:p>
    <w:p w14:paraId="75CC6EB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ومن هنا جاء دور التحول الصحي في المملكة العربية السعودية، الذي يبرز التعاون بين مختلف القطاعات والتخصصات على جميع المستويات، وهو أسلوباً أكثر شمولية لتعزيز النتائج الصحية من خلال الإقرار </w:t>
      </w:r>
      <w:r w:rsidRPr="00D201D3">
        <w:rPr>
          <w:rFonts w:ascii="Simplified Arabic" w:hAnsi="Simplified Arabic" w:cs="Simplified Arabic" w:hint="cs"/>
          <w:sz w:val="28"/>
          <w:szCs w:val="28"/>
          <w:rtl/>
        </w:rPr>
        <w:lastRenderedPageBreak/>
        <w:t>بالعلاقات بين الناس والحيوانات والنباتات والبيئة، يأخذ هذا التحول في الاعتبار العلاقة المعقدة بين الصحة العقلية والجسدية والعاطفية ضمن سياقات اجتماعية وبيئية أوسع.</w:t>
      </w:r>
    </w:p>
    <w:p w14:paraId="3EC18867" w14:textId="53AB4D82"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وحيث 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219AAA5E" w14:textId="4DCBF298"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الوقاية والصحة العامة والابتكار والاستدامة، أربع أولويات يضعها برنامج تحول القطاع الصحي في مقدمة أهدافه، إذ يعمل على توسيع تقديم خدمات الصحة الإلكترونية والحلول الرقمية، فضلاً عن تحسين جودة الخدمات الصحية، ويعمل على تحويل نظام الرعاية الصحية في المملكة ليكون أكثر شمولية وتكاملاً، ويلتزم بأعلى المعايير الدولية في تقديم الخدمات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45868E8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ولا شك أن نظام الرعاية الصحية في المملكة العربية السعودية يمر بتحول جوهري نتيجة للتقدم السريع في التكنولوجيا والبحث والتطوير المستمر، فضلًا عن ارتفاع الطلب على الخدمات الصحية الناجم عن النمو السكاني وارتفاع نسبة كبار السن، وهو ما تم على عدة مراحل</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برعي، 2021، 319-320).</w:t>
      </w:r>
    </w:p>
    <w:p w14:paraId="561765C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ومفهوم رفاهية الموظف أحد مفاهيم الإدارة الحديثة التي يزداد الاهتمام بها من قبل منظمات الأعمال والحكومات على حد سواء (عبد الشكور، 2023)، مما أدى إلى وضع استراتيجيات وأدلة إرشادية جديدة لتعزيزها، فعلى سبيل المثال، وضعت دولة الإمارات العربية المتحدة مبادئ توجيهية ملزمة لرفاهية الموظفين من خلال الهيئة الاتحادية للموارد البشرية الحكومية أكدت هذه المبادئ على أهمية تحقيق رفاهية الموظفين ودورها في زيادة تأثير رفاهية الموظفين على الولاء الوظيفي.</w:t>
      </w:r>
    </w:p>
    <w:p w14:paraId="5AA76F3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وعلى الرغم من أهمية موضوع رفاهية الموظفين، فإنه يعد من أحد مفاهيم علم السلوك التنظيمي، والذي تعتبر دراسته محفوفة ببعض الصعوبات لأن رفاهية الموظفين كمفهوم يعبر عن حالة نفسية وعاطفية معقدة تتكون من ثلاثة (</w:t>
      </w:r>
      <w:r w:rsidRPr="00D201D3">
        <w:rPr>
          <w:rFonts w:ascii="Simplified Arabic" w:hAnsi="Simplified Arabic" w:cs="Simplified Arabic" w:hint="cs"/>
          <w:sz w:val="28"/>
          <w:szCs w:val="28"/>
        </w:rPr>
        <w:t>Bastida et a1., 2022</w:t>
      </w:r>
      <w:r w:rsidRPr="00D201D3">
        <w:rPr>
          <w:rFonts w:ascii="Simplified Arabic" w:hAnsi="Simplified Arabic" w:cs="Simplified Arabic" w:hint="cs"/>
          <w:sz w:val="28"/>
          <w:szCs w:val="28"/>
          <w:rtl/>
        </w:rPr>
        <w:t>)، أبعاد رئيسة تتضمن بعداً نفسياً داخلياً يُسمى بالرفاهية النفس (</w:t>
      </w:r>
      <w:r w:rsidRPr="00D201D3">
        <w:rPr>
          <w:rFonts w:ascii="Simplified Arabic" w:hAnsi="Simplified Arabic" w:cs="Simplified Arabic" w:hint="cs"/>
          <w:sz w:val="28"/>
          <w:szCs w:val="28"/>
        </w:rPr>
        <w:t>Psychological Well-being</w:t>
      </w:r>
      <w:r w:rsidRPr="00D201D3">
        <w:rPr>
          <w:rFonts w:ascii="Simplified Arabic" w:hAnsi="Simplified Arabic" w:cs="Simplified Arabic" w:hint="cs"/>
          <w:sz w:val="28"/>
          <w:szCs w:val="28"/>
          <w:rtl/>
        </w:rPr>
        <w:t>)، وتتضمن بعداً آخر يسمى بالرفاهية الاجتماعية (</w:t>
      </w:r>
      <w:r w:rsidRPr="00D201D3">
        <w:rPr>
          <w:rFonts w:ascii="Simplified Arabic" w:hAnsi="Simplified Arabic" w:cs="Simplified Arabic" w:hint="cs"/>
          <w:sz w:val="28"/>
          <w:szCs w:val="28"/>
        </w:rPr>
        <w:t>Social Well-being</w:t>
      </w:r>
      <w:r w:rsidRPr="00D201D3">
        <w:rPr>
          <w:rFonts w:ascii="Simplified Arabic" w:hAnsi="Simplified Arabic" w:cs="Simplified Arabic" w:hint="cs"/>
          <w:sz w:val="28"/>
          <w:szCs w:val="28"/>
          <w:rtl/>
        </w:rPr>
        <w:t xml:space="preserve"> الذي يتم التعبير عنها أيضاً في جودة علاقة الفرد بالآخرين والناس أو حتى المجتمعات الأخرى، ورفاهية مكان العمل(</w:t>
      </w:r>
      <w:r w:rsidRPr="00D201D3">
        <w:rPr>
          <w:rFonts w:ascii="Simplified Arabic" w:hAnsi="Simplified Arabic" w:cs="Simplified Arabic" w:hint="cs"/>
          <w:sz w:val="28"/>
          <w:szCs w:val="28"/>
        </w:rPr>
        <w:t>Physical Well-being</w:t>
      </w:r>
      <w:r w:rsidRPr="00D201D3">
        <w:rPr>
          <w:rFonts w:ascii="Simplified Arabic" w:hAnsi="Simplified Arabic" w:cs="Simplified Arabic" w:hint="cs"/>
          <w:sz w:val="28"/>
          <w:szCs w:val="28"/>
          <w:rtl/>
        </w:rPr>
        <w:t>)، ويتم التعبير عنها في شكل إحساس بالرفاهية ينتج من توفر بيئة عمل مناسبة ومحفزة ومناخ خال من الإجهاد يلبي متطلبات الصحة والسلامة البدنية) تشير كثير من الدراسات أيضاً  (</w:t>
      </w:r>
      <w:r w:rsidRPr="00D201D3">
        <w:rPr>
          <w:rFonts w:ascii="Simplified Arabic" w:hAnsi="Simplified Arabic" w:cs="Simplified Arabic" w:hint="cs"/>
          <w:sz w:val="28"/>
          <w:szCs w:val="28"/>
        </w:rPr>
        <w:t>Bastida et al, 2022</w:t>
      </w:r>
      <w:r w:rsidRPr="00D201D3">
        <w:rPr>
          <w:rFonts w:ascii="Simplified Arabic" w:hAnsi="Simplified Arabic" w:cs="Simplified Arabic" w:hint="cs"/>
          <w:sz w:val="28"/>
          <w:szCs w:val="28"/>
          <w:rtl/>
        </w:rPr>
        <w:t>) إلى الحاجة إلى دراسة نتائج ممارسات رفاهية الموظفين المختلفة على سلوك الموظف في المنظمات.</w:t>
      </w:r>
    </w:p>
    <w:p w14:paraId="64632DA2" w14:textId="77777777" w:rsidR="00AF3C0E" w:rsidRPr="00D201D3" w:rsidRDefault="00AF3C0E" w:rsidP="00BD5864">
      <w:pPr>
        <w:spacing w:line="240" w:lineRule="auto"/>
        <w:jc w:val="both"/>
        <w:rPr>
          <w:rFonts w:ascii="Simplified Arabic" w:hAnsi="Simplified Arabic" w:cs="Simplified Arabic"/>
          <w:sz w:val="28"/>
          <w:szCs w:val="28"/>
          <w:rtl/>
        </w:rPr>
      </w:pPr>
    </w:p>
    <w:p w14:paraId="4BDA7BB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وتمثل بيئة العمل النفسية المكان الذي يعمل فيه الموظف أو الفريق في ظروف نفسية معينة، مثل: الضغط والتوتر وكما تشمل جميع العناصر التي تؤثر على الصحة النفسية للموظف أو الفريق، مثل: العلاقات مع الزملاء والإدارة والعمل تحت الضغط النفسي (علي، 2018).</w:t>
      </w:r>
    </w:p>
    <w:p w14:paraId="17C8E97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وتشير بيئة العمل النفسية إلى مجموعة العوامل الاجتماعية والنفسية والتنظيمية التي تؤثر على رفاهية الموظفين وإنتاجيتهم. إنها تشمل كل شيء من العلاقات بين الزملاء إلى ثقافة الشركة وسياساتها. بيئة العمل النفسية الصحية تعزز الشعور بالأمان والتقدير والرضا الوظيفي، بينما بيئة العمل السامة قد تؤدي إلى الإجهاد والقلق وتراجع الأداء، وإن الاهتمام ببيئة العمل النفسية ليس مجرد مسؤولية أخلاقية، بل هو استثمار ذكي يؤدي إلى تحسين الأداء وزيادة الإنتاجية وتقليل معدل دوران الموظفين (شناف، 2022، 246).</w:t>
      </w:r>
    </w:p>
    <w:p w14:paraId="11B1F0E6"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وبيئة العمل النفسية المستدامة هي مفهوم يتجاوز مجرد توفير بيئة عمل مريحة وخالية من الضغوط، بل يركز على خلق بيئة تدعم رفاهية الموظفين على المدى الطويل، مع مراعاة تأثير العمل على صحتهم النفسية والجسدية، وعلى المجتمع والبيئة بشكل عام، وهي بيئة عمل تضع رفاهية الموظفين والمجتمع والبيئة في صميم استراتيجيتها، وتسعى إلى تحقيق النجاح على المدى الطويل بطريقة مسؤولة ومستدامة (توتي، 2020، 18).</w:t>
      </w:r>
    </w:p>
    <w:p w14:paraId="7273598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وكما تهدف الدراسة إلى فهم كيف تؤثر التغييرات الناتجة عن التحول الصحي على الصحة النفسية للعاملين، وكيف يمكن لبرامج رفاهية الموظفين أن تساهم في تخفيف الضغوط وتقليل الاحتراق الوظيفي، ومن هنا جاءت الحاجة لدراسة أثر التحول الصحي في المملكة العربية السعودية على بيئة العمل النفسية المستدامة وتقليل الاحتراق الوظيفي ومعرفة دور رفاهية الموظفين كمتغير وسيط بينهم، دراسة ميدانيه في القطاع الصحي الحكومي في مدينة الرياض.</w:t>
      </w:r>
    </w:p>
    <w:p w14:paraId="4E3E962A" w14:textId="77777777" w:rsidR="00AF3C0E" w:rsidRPr="00E55F14" w:rsidRDefault="00AF3C0E" w:rsidP="00E55F14">
      <w:pPr>
        <w:pStyle w:val="2"/>
        <w:rPr>
          <w:b w:val="0"/>
          <w:bCs/>
          <w:rtl/>
        </w:rPr>
      </w:pPr>
      <w:bookmarkStart w:id="10" w:name="_Toc234084418"/>
      <w:r w:rsidRPr="00E55F14">
        <w:rPr>
          <w:rFonts w:hint="cs"/>
          <w:b w:val="0"/>
          <w:bCs/>
          <w:rtl/>
        </w:rPr>
        <w:t>مشكلة الدراسة:</w:t>
      </w:r>
      <w:bookmarkEnd w:id="10"/>
    </w:p>
    <w:p w14:paraId="5213A85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تعاني العديد من المؤسسات، بما في ذلك المنشآت الصحية، من الضغوط الكبيرة التي يتعرض لها الموظفون والعاملون في مختلف مواقعهم الوظيفية، سواء كانت تلك الضغوط ناتجة عن بيئة العمل الداخلية أو الخارجية، وتُعد المنشآت الصحية من بين المؤسسات الخدمية التي تحمل مسؤولية كبيرة تجاه الجمهور، حيث تتلقى أعداداً كبيرة من المراجعين والمرضى بصورة مستمرة، ويتطلب العمل في هذه المنشآت من الموظفين تقديم الخدمات بسرعة وكفاءة عالية، مما يولد ضغوطاً نفسية كبيرة، لا سيما أن طبيعة عملهم ترتبط بصحة وحياة البشر، الأمر الذي يعزز تعرضهم لمزيد من الضغوط نتيجة مواجهة معاناة المرضى، </w:t>
      </w:r>
      <w:r w:rsidRPr="00D201D3">
        <w:rPr>
          <w:rFonts w:ascii="Simplified Arabic" w:hAnsi="Simplified Arabic" w:cs="Simplified Arabic" w:hint="cs"/>
          <w:sz w:val="28"/>
          <w:szCs w:val="28"/>
          <w:rtl/>
        </w:rPr>
        <w:lastRenderedPageBreak/>
        <w:t>وتراكم هذه الضغوط المستمرة يؤدي إلى ظهور ما يُعرف بـ "الاحتراق الوظيفي"، الذي يتسبب في العديد من المشكلات النفسية مثل الإحباط، واللامبالاة، والخوف من اتخاذ القرارات، والإرهاق، وانخفاض الولاء الوظيفي، وهذه المشكلات تؤثر سلباً على مستوى الأداء الوظيفي، خاصة في المؤسسات الصحية التي تتطلب من العاملين فيها تقديم خدمات بروح معنوية عالية.</w:t>
      </w:r>
    </w:p>
    <w:p w14:paraId="572DFEB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والعنصر البشري في أي منظمة يُعد من أهم المكونات التي تمتلكها، فهو المسؤول عن الإنتاج والإبداع والابتكار والتنظيم والتنفيذ، وإذا لم تهتم المؤسسات بصحة ورفاهية هذا العنصر الفعّال، فإنها ستواجه انخفاضاً في الكفاءة والأداء، مما يؤثر على قدرتها على المنافسة والاستمرارية (حسين، 2020).</w:t>
      </w:r>
    </w:p>
    <w:p w14:paraId="1A9104DA" w14:textId="60F63EA2"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صرّح معالي الأستاذ فهد بن عبدالرحمن الجلاجل، وزير الصحة ورئيس لجنة برنامج التحول الصحي، بأن صحة وسلامة المواطن السعودي تأتي في مقدمة أولويات برنامج التحول الصحي، الذي يسعى إلى إعادة هيكلة منظومة الصحة العامة والرعاية الصحية وتسخير التقنية لتحسين القطاع الصحي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 10).</w:t>
      </w:r>
    </w:p>
    <w:p w14:paraId="4873E14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ولقد خضع قطاع الرعاية الصحية في المملكة العربية السعودية لتحولات كبيرة في السنوات الأخيرة كجزء من مبادرة رؤية (2030) في البلاد، ومع ذلك، في حين تم إيلاء الكثير من الاهتمام للجوانب التشغيلية والبنيوية لهذا التحول، فإن التأثير النفسي على العاملين في مجال الرعاية الصحية، وخاصة في المؤسسات الصحية الحكومية، لا يزال غير مستكشف، على وجه التحديد، لم تتم دراسة تأثير تحول الرعاية الصحية على تجنب الاحتراق الوظيفي للموظفين في مكان العمل، وخاصة من حيث الوقاية من الإرهاق، بشكل كافٍ.</w:t>
      </w:r>
    </w:p>
    <w:p w14:paraId="209668F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ومن خلال الاطلاع على الدراسات السابقة وجد أن هناك قلة في الدراسات التي تربط بين التحول الصحي في المملكة ومستوى رفاهية الموظفين النفسي وتأثيره على ظاهرة الاحتراق النفسي، بينما ركزت معظم الأبحاث على جوانب التحول الصحي من ناحية تحسين الكفاءة وجودة الخدمة (الشهري، 2024)، نادراً ما تم تناول تأثير هذه التحولات على الموظفين العاملين في القطاع الصحي، وكما أن القليل من الدراسات اهتمت بدور الرفاهية النفسية في تقليل مستويات الاحتراق النفسي بين الموظفين في المؤسسات الصحية الحكومية (شلبي، القصبي، أمحديش، 2020)، ولذلك تعتبر هذه الدراسة ذات أهمية في سد الفجوة المعرفية من خلال فهم العلاقة بين التحولات الصحية في المملكة ورفاهية الموظفين النفسي، وبالتالي التأثير على أدائهم وجودة خدماتهم الصحية، وتهدف هذه الدراسة إلى سد هذه الفجوة من خلال فحص العلاقة بين تحول الرعاية الصحية والاستدامة النفسية في مكان العمل.</w:t>
      </w:r>
    </w:p>
    <w:p w14:paraId="73EBD07F" w14:textId="3BFC23F1"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وتتمثل مشكلة الدراسة في تحديد أثر التحول الصحي في المملكة العربية السعودية على بيئة العمل النفسية المستدامة، وتقييم دور ورفاهية الموظفين الموظفين كمتغيرات وسيطة في استراتيجيات تقليل الاحتراق الوظيفي في القطاع الصحي الحكومي بمدينة الرياض.</w:t>
      </w:r>
    </w:p>
    <w:p w14:paraId="38AA8E13" w14:textId="77777777" w:rsidR="00AF3C0E" w:rsidRPr="00E55F14" w:rsidRDefault="00AF3C0E" w:rsidP="00E55F14">
      <w:pPr>
        <w:pStyle w:val="2"/>
        <w:rPr>
          <w:b w:val="0"/>
          <w:bCs/>
          <w:rtl/>
        </w:rPr>
      </w:pPr>
      <w:bookmarkStart w:id="11" w:name="_Toc234084419"/>
      <w:r w:rsidRPr="00E55F14">
        <w:rPr>
          <w:rFonts w:hint="cs"/>
          <w:b w:val="0"/>
          <w:bCs/>
          <w:rtl/>
        </w:rPr>
        <w:t>تساؤلات الدراسة:</w:t>
      </w:r>
      <w:bookmarkEnd w:id="11"/>
    </w:p>
    <w:p w14:paraId="1E78B92A"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بيئة العمل النفسية المستدامة في القطاع الصحي الحكومي بمدينة الرياض؟</w:t>
      </w:r>
    </w:p>
    <w:p w14:paraId="18644187"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تقليل الاحتراق الوظيفي في القطاع الصحي الحكومي بمدينة الرياض؟</w:t>
      </w:r>
    </w:p>
    <w:p w14:paraId="5932842D"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يوجد علاقة بين التحول الصحي وبيئة العمل النفسية المستدامة في القطاع الصحي الحكومي بمدينة الرياض؟</w:t>
      </w:r>
    </w:p>
    <w:p w14:paraId="02058BAB"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يوجد علاقة بين التحول الصحي ورفاهية الموظفين في تقليل الاحتراق الوظيفي في القطاع الصحي الحكومي بمدينة الرياض؟</w:t>
      </w:r>
    </w:p>
    <w:p w14:paraId="29CBC004"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تختلف طبيعة الدور الوسيط لرفاهية الموظفين في العلاقة بين التحول الصحي وبيئة العمل النفسية المستدامة وتقليل الاحتراق الوظيفي باختلاف الخصائص الديموغرافية (الجنس، الحالة الاجتماعية، المؤهل الوظيفي، المسمى الوظيفي، العمر، سنوات الخبرة، الدخل)؟</w:t>
      </w:r>
    </w:p>
    <w:p w14:paraId="08922955" w14:textId="77777777" w:rsidR="00AF3C0E" w:rsidRPr="002C5E33" w:rsidRDefault="00AF3C0E" w:rsidP="002C5E33">
      <w:pPr>
        <w:pStyle w:val="2"/>
        <w:rPr>
          <w:b w:val="0"/>
          <w:bCs/>
          <w:rtl/>
        </w:rPr>
      </w:pPr>
      <w:bookmarkStart w:id="12" w:name="_Toc234084420"/>
      <w:r w:rsidRPr="002C5E33">
        <w:rPr>
          <w:rFonts w:hint="cs"/>
          <w:b w:val="0"/>
          <w:bCs/>
          <w:rtl/>
        </w:rPr>
        <w:t>أهمية الدراسة:</w:t>
      </w:r>
      <w:bookmarkEnd w:id="12"/>
    </w:p>
    <w:p w14:paraId="754FA699" w14:textId="77777777" w:rsidR="00AF3C0E" w:rsidRPr="002C5E33" w:rsidRDefault="00AF3C0E" w:rsidP="002C5E33">
      <w:pPr>
        <w:pStyle w:val="3"/>
        <w:rPr>
          <w:b w:val="0"/>
          <w:bCs/>
          <w:rtl/>
        </w:rPr>
      </w:pPr>
      <w:bookmarkStart w:id="13" w:name="_Toc234084421"/>
      <w:r w:rsidRPr="002C5E33">
        <w:rPr>
          <w:rFonts w:hint="cs"/>
          <w:b w:val="0"/>
          <w:bCs/>
          <w:rtl/>
        </w:rPr>
        <w:t>أولاً: الأهمية النظرية</w:t>
      </w:r>
      <w:bookmarkEnd w:id="13"/>
    </w:p>
    <w:p w14:paraId="0BB7258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تسهم هذه الدراسة في إثراء الأدبيات المتعلقة بالتحول الصحي في المملكة العربية السعودية وتأثيراته على بيئة العمل النفسية ورفاهية الموظفين والاحتراق الوظيفي، وهو موضوع غير مدروس بشكل كافٍ في السياق السعودي.</w:t>
      </w:r>
    </w:p>
    <w:p w14:paraId="0C27A61B"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تساهم في فهم تأثير التحولات الصحية على الصحة النفسية للعاملين، ودور الرفاهية النفسية كعنصر مؤثر في التقليل من الاحتراق الوظيفي في القطاع الصحي الحكومي.</w:t>
      </w:r>
    </w:p>
    <w:p w14:paraId="681C092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تقدم هذه الدراسة نموذجاً نظرياً يربط بين التحول الصحي وبيئة العمل النفسية المستدامة ورفاهية الموظفين وكيفية تأثير ذلك على مستويات الاحتراق الوظيفي، مما يفتح المجال لدراسات مستقبلية في هذا المجال.</w:t>
      </w:r>
    </w:p>
    <w:p w14:paraId="1698624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تساهم في تطوير نماذج وأدوات لتقييم بيئة العمل النفسية المستدامة ورفاهية الموظفين.</w:t>
      </w:r>
    </w:p>
    <w:p w14:paraId="6F002034" w14:textId="77777777" w:rsidR="00AF3C0E" w:rsidRPr="002C5E33" w:rsidRDefault="00AF3C0E" w:rsidP="002C5E33">
      <w:pPr>
        <w:pStyle w:val="3"/>
        <w:rPr>
          <w:b w:val="0"/>
          <w:bCs/>
          <w:rtl/>
        </w:rPr>
      </w:pPr>
      <w:bookmarkStart w:id="14" w:name="_Toc234084422"/>
      <w:r w:rsidRPr="002C5E33">
        <w:rPr>
          <w:rFonts w:hint="cs"/>
          <w:b w:val="0"/>
          <w:bCs/>
          <w:rtl/>
        </w:rPr>
        <w:lastRenderedPageBreak/>
        <w:t>ثانياً: الأهمية التطبيقية</w:t>
      </w:r>
      <w:bookmarkEnd w:id="14"/>
    </w:p>
    <w:p w14:paraId="72E04AD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تدعم هذه الدراسة قدرة قطاع  الصحة الحكومي في المملكة، وبالأخص  مدينة الرياض، على تحسين بيئة العمل النفسية المستدامة من خلال تقديم توصيات وآليات عملية مبنية على نتائج البحث للحد من ظاهرة الاحتراق الوظيفي وتعزيز رفاهية الموظفين، مما يسهم في رفع جودة الأداء والرعاية الصحية. تقدم الدراسة إطارًا تطبيقيًا مدعومًا ببيانات كمية مستخلصة من استبانة ميدانية، يمكن للمؤسسات الصحية الاستفادة منه لتطوير استراتيجيات فعالة تستجيب لتحديات التحول الصحي، وتوازن بين متطلبات النظام الصحي واحتياجات العاملين النفسية، بما يتوافق مع أهداف برنامج تحول القطاع الصحي ورؤية المملكة 2030.</w:t>
      </w:r>
    </w:p>
    <w:p w14:paraId="21A54114"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أخيرا تقدم الدراسة تحليلاً إحصائيًا دقيقًا يوضح العلاقة بين متغيرات التحول الصحي ورفاهية الموظفين وتأثيرها على تقليل الاحتراق الوظيفي، مما يزود صناع القرار ومديري الرعاية الصحية بأدوات ومؤشرات عملية لدعم الصحة النفسية للعاملين، خصوصًا في ظل التغيرات السريعة التي يشهدها القطاع الصحي.</w:t>
      </w:r>
    </w:p>
    <w:p w14:paraId="5BBE5DAD" w14:textId="77777777" w:rsidR="00AF3C0E" w:rsidRPr="002C5E33" w:rsidRDefault="00AF3C0E" w:rsidP="002C5E33">
      <w:pPr>
        <w:pStyle w:val="2"/>
        <w:rPr>
          <w:b w:val="0"/>
          <w:bCs/>
          <w:rtl/>
        </w:rPr>
      </w:pPr>
      <w:bookmarkStart w:id="15" w:name="_Toc234084423"/>
      <w:r w:rsidRPr="002C5E33">
        <w:rPr>
          <w:rFonts w:hint="cs"/>
          <w:b w:val="0"/>
          <w:bCs/>
          <w:rtl/>
        </w:rPr>
        <w:t>أهداف الدراسة:</w:t>
      </w:r>
      <w:bookmarkEnd w:id="15"/>
    </w:p>
    <w:p w14:paraId="311CA5A4"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التعرف على أثر التحول الصحي في المملكة العربية السعودية على بيئة العمل النفسية المستدامة في القطاع الصحي الحكومي بمدينة الرياض.</w:t>
      </w:r>
    </w:p>
    <w:p w14:paraId="330B5EB8"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دراسة تأثير التحول الصحي على تقليل الاحتراق الوظيفي لدى العاملين في القطاع الصحي الحكومي بمدينة الرياض.</w:t>
      </w:r>
    </w:p>
    <w:p w14:paraId="563D8006" w14:textId="4DBC2B69"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تفسير</w:t>
      </w:r>
      <w:r w:rsidR="002C5E33" w:rsidRPr="002C5E33">
        <w:rPr>
          <w:rFonts w:ascii="Simplified Arabic" w:hAnsi="Simplified Arabic" w:cs="Simplified Arabic" w:hint="cs"/>
          <w:sz w:val="28"/>
          <w:szCs w:val="28"/>
          <w:rtl/>
        </w:rPr>
        <w:t xml:space="preserve"> </w:t>
      </w:r>
      <w:r w:rsidRPr="002C5E33">
        <w:rPr>
          <w:rFonts w:ascii="Simplified Arabic" w:hAnsi="Simplified Arabic" w:cs="Simplified Arabic" w:hint="cs"/>
          <w:sz w:val="28"/>
          <w:szCs w:val="28"/>
          <w:rtl/>
        </w:rPr>
        <w:t>العلاقة بين التحول الصحي وبيئة العمل النفسية المستدامة في القطاع الصحي الحكومي بمدينة الرياض.</w:t>
      </w:r>
    </w:p>
    <w:p w14:paraId="10655574"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استكشاف العلاقة بين التحول الصحي ورفاهية الموظفين ودورها في تقليل الاحتراق الوظيفي في القطاع الصحي الحكومي بمدينة الرياض.</w:t>
      </w:r>
    </w:p>
    <w:p w14:paraId="1A8BEC81" w14:textId="77777777" w:rsidR="00AF3C0E" w:rsidRPr="002C5E33" w:rsidRDefault="00AF3C0E" w:rsidP="002C5E33">
      <w:pPr>
        <w:pStyle w:val="2"/>
        <w:rPr>
          <w:b w:val="0"/>
          <w:bCs/>
          <w:rtl/>
        </w:rPr>
      </w:pPr>
      <w:bookmarkStart w:id="16" w:name="_Toc234084424"/>
      <w:r w:rsidRPr="002C5E33">
        <w:rPr>
          <w:rFonts w:hint="cs"/>
          <w:b w:val="0"/>
          <w:bCs/>
          <w:rtl/>
        </w:rPr>
        <w:t>فرضيات الدراسة:</w:t>
      </w:r>
      <w:bookmarkEnd w:id="16"/>
    </w:p>
    <w:p w14:paraId="04FCCE8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استناداً لتساؤلات الدراسة وأهدافها تم صياغة الفرضيات الآتية:</w:t>
      </w:r>
    </w:p>
    <w:p w14:paraId="718BFDB0" w14:textId="77777777" w:rsidR="00AF3C0E" w:rsidRPr="002C5E33" w:rsidRDefault="00AF3C0E" w:rsidP="002C5E33">
      <w:pPr>
        <w:pStyle w:val="a6"/>
        <w:numPr>
          <w:ilvl w:val="0"/>
          <w:numId w:val="33"/>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يوجد أثر ذو دلالة إحصائية بين التحول الصحي وبيئة العمل النفسية المستدامة في القطاع الصحي الحكومي بمدينة الرياض</w:t>
      </w:r>
    </w:p>
    <w:p w14:paraId="22903151" w14:textId="77777777" w:rsidR="00AF3C0E" w:rsidRPr="002C5E33" w:rsidRDefault="00AF3C0E" w:rsidP="002C5E33">
      <w:pPr>
        <w:pStyle w:val="a6"/>
        <w:numPr>
          <w:ilvl w:val="0"/>
          <w:numId w:val="33"/>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يوجد أثر ذو دلالة إحصائية بين التحول الصحي وتقليل الاحتراق الوظيفي في القطاع الصحي الحكومي بمدينة الرياض.</w:t>
      </w:r>
    </w:p>
    <w:p w14:paraId="10C0A4F4" w14:textId="77777777" w:rsidR="00AF3C0E" w:rsidRPr="002C5E33" w:rsidRDefault="00AF3C0E" w:rsidP="002C5E33">
      <w:pPr>
        <w:pStyle w:val="a6"/>
        <w:numPr>
          <w:ilvl w:val="0"/>
          <w:numId w:val="33"/>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lastRenderedPageBreak/>
        <w:t>توجد علاقة ارتباطية إيجابية بين التحول الصحي ورفاهية الموظفين في تقليل الاحتراق الوظيفي في القطاع الصحي الحكومي بمدينة الرياض.</w:t>
      </w:r>
    </w:p>
    <w:p w14:paraId="4984E4C7" w14:textId="77777777" w:rsidR="00AF3C0E" w:rsidRPr="002C5E33" w:rsidRDefault="00AF3C0E" w:rsidP="002C5E33">
      <w:pPr>
        <w:pStyle w:val="a6"/>
        <w:numPr>
          <w:ilvl w:val="0"/>
          <w:numId w:val="33"/>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يوجد علاقة ذات دلالة معنوية بين التحول الصحي ورفاهية الموظفين يسهم في تقليل الاحتراق الوظيفي في القطاع الصحي الحكومي بمدينة الرياض.</w:t>
      </w:r>
    </w:p>
    <w:p w14:paraId="0A4992B8" w14:textId="77777777" w:rsidR="00AF3C0E" w:rsidRPr="002C5E33" w:rsidRDefault="00AF3C0E" w:rsidP="002C5E33">
      <w:pPr>
        <w:pStyle w:val="2"/>
        <w:rPr>
          <w:b w:val="0"/>
          <w:bCs/>
          <w:rtl/>
        </w:rPr>
      </w:pPr>
      <w:bookmarkStart w:id="17" w:name="_Toc234084425"/>
      <w:r w:rsidRPr="002C5E33">
        <w:rPr>
          <w:rFonts w:hint="cs"/>
          <w:b w:val="0"/>
          <w:bCs/>
          <w:rtl/>
        </w:rPr>
        <w:t>حدود الدراسة:</w:t>
      </w:r>
      <w:bookmarkEnd w:id="17"/>
    </w:p>
    <w:p w14:paraId="438E49F3"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الموضوعية: اقتصرت الدراسة على معرفة أثر التحول الصحي في المملكة العربية السعودية على بيئة العمل النفسية المستدامة ودور رفاهية الموظفين في تقليل الاحتراق الوظيفي في القطاع الصحي الحكومي.</w:t>
      </w:r>
    </w:p>
    <w:p w14:paraId="44B7D674"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البشرية: سيتم التطبيق على الموظفين العاملين في القطاع الصحي الحكومي في مدينة الرياض: ويشمل الموظفين والمديرين والإداريين في المستشفيات والمراكز الصحية.</w:t>
      </w:r>
    </w:p>
    <w:p w14:paraId="5BAAFE8D"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الزمانية: سيتم التطبيق في الفترة الزمنية من سنة 2025 الى 2026 هذه الفترة جمع البيانات، تحليل النتائج، وتقديم التوصيات. كما سيتم خلالها إجراء المقابلات وعملية تحليل البيات واعداد التقرير النهائي.</w:t>
      </w:r>
    </w:p>
    <w:p w14:paraId="49F43BF7"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المكانية: المستشفيات والمراكز الصحية الحكومية في مدينة الرياض.</w:t>
      </w:r>
    </w:p>
    <w:p w14:paraId="39AD5D47" w14:textId="77777777" w:rsidR="00AF3C0E" w:rsidRPr="002C5E33" w:rsidRDefault="00AF3C0E" w:rsidP="002C5E33">
      <w:pPr>
        <w:pStyle w:val="2"/>
        <w:rPr>
          <w:b w:val="0"/>
          <w:bCs/>
          <w:rtl/>
        </w:rPr>
      </w:pPr>
      <w:bookmarkStart w:id="18" w:name="_Toc234084426"/>
      <w:r w:rsidRPr="002C5E33">
        <w:rPr>
          <w:rFonts w:hint="cs"/>
          <w:b w:val="0"/>
          <w:bCs/>
          <w:rtl/>
        </w:rPr>
        <w:t>مفاهيم الدراسة:</w:t>
      </w:r>
      <w:bookmarkEnd w:id="18"/>
    </w:p>
    <w:p w14:paraId="4AE051D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ورد في هذه الدراسة عدد من المصطلحات يمكن تعريفها كالآتي:</w:t>
      </w:r>
    </w:p>
    <w:p w14:paraId="1AB1B321" w14:textId="77777777" w:rsidR="00AF3C0E" w:rsidRPr="002C5E33" w:rsidRDefault="00AF3C0E" w:rsidP="002C5E33">
      <w:pPr>
        <w:pStyle w:val="3"/>
        <w:rPr>
          <w:b w:val="0"/>
          <w:bCs/>
          <w:rtl/>
        </w:rPr>
      </w:pPr>
      <w:bookmarkStart w:id="19" w:name="_Toc234084427"/>
      <w:r w:rsidRPr="002C5E33">
        <w:rPr>
          <w:rFonts w:hint="cs"/>
          <w:b w:val="0"/>
          <w:bCs/>
          <w:rtl/>
        </w:rPr>
        <w:t>مفهوم التحول الصحي في المملكة العربية السعودية:</w:t>
      </w:r>
      <w:bookmarkEnd w:id="19"/>
    </w:p>
    <w:p w14:paraId="2E31A7AC" w14:textId="2AA2F8EA" w:rsidR="00AF3C0E" w:rsidRPr="00891197" w:rsidRDefault="00AF3C0E" w:rsidP="00891197">
      <w:pPr>
        <w:pStyle w:val="a6"/>
        <w:numPr>
          <w:ilvl w:val="0"/>
          <w:numId w:val="38"/>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التحول الصحي في المملكة العربية السعودية هو: جزء أساسي من رؤية المملكة لعام (2030م)، والتي تهدف إلى تحسين جودة الحياة وتعزيز الصحة العامة، وتم إطلاق برنامج التحول الصحي في عام (2017م)، ويهدف إلى إعادة هيكلة النظام الصحي ليكون أكثر شمولية وفعالية، مع التركيز على تحسين الوصول إلى الخدمات الصحية وتحديث المرافق والتجهيزات (</w:t>
      </w:r>
      <w:r w:rsidR="00690C5F" w:rsidRPr="00891197">
        <w:rPr>
          <w:rFonts w:ascii="Simplified Arabic" w:hAnsi="Simplified Arabic" w:cs="Simplified Arabic" w:hint="cs"/>
          <w:sz w:val="28"/>
          <w:szCs w:val="28"/>
          <w:rtl/>
        </w:rPr>
        <w:t xml:space="preserve">رؤية المملكة العربية السعودية 2030 </w:t>
      </w:r>
      <w:r w:rsidRPr="00891197">
        <w:rPr>
          <w:rFonts w:ascii="Simplified Arabic" w:hAnsi="Simplified Arabic" w:cs="Simplified Arabic" w:hint="cs"/>
          <w:sz w:val="28"/>
          <w:szCs w:val="28"/>
          <w:rtl/>
        </w:rPr>
        <w:t>، 2024، 10).</w:t>
      </w:r>
    </w:p>
    <w:p w14:paraId="72E384F2" w14:textId="10599280" w:rsidR="00AF3C0E" w:rsidRPr="00891197" w:rsidRDefault="00AF3C0E" w:rsidP="00891197">
      <w:pPr>
        <w:pStyle w:val="a6"/>
        <w:numPr>
          <w:ilvl w:val="0"/>
          <w:numId w:val="38"/>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 xml:space="preserve">ويعرف التحول الصحي بالمملكة العربية السعودية إجرائياً بأنه: سلسلة من الإصلاحات والتغييرات المنهجية التي تهدف إلى تحسين قطاع الرعاية الصحية في المملكة العربية السعودية، وذلك ضمن إطار رؤية المملكة (2030م)، ويشمل التحول الصحي إعادة هيكلة نظام الرعاية الصحية، تطبيق التقنيات الحديثة، تحسين جودة الخدمات الصحية المقدمة، وتعزيز الوصول إلى الرعاية الصحية لجميع </w:t>
      </w:r>
      <w:r w:rsidRPr="00891197">
        <w:rPr>
          <w:rFonts w:ascii="Simplified Arabic" w:hAnsi="Simplified Arabic" w:cs="Simplified Arabic" w:hint="cs"/>
          <w:sz w:val="28"/>
          <w:szCs w:val="28"/>
          <w:rtl/>
        </w:rPr>
        <w:lastRenderedPageBreak/>
        <w:t>أفراد المجتمع، ويتم قياس التحول الصحي من خلال مؤشرات محددة مثل: تحسين البنية التحتية الصحية، وزيادة استخدام التكنولوجيا الصحية، ورفع مستوى رضا العاملين والمستفيدين من الخدمات الصحية.</w:t>
      </w:r>
    </w:p>
    <w:p w14:paraId="1D70253D" w14:textId="77777777" w:rsidR="00AF3C0E" w:rsidRPr="002C5E33" w:rsidRDefault="00AF3C0E" w:rsidP="002C5E33">
      <w:pPr>
        <w:pStyle w:val="3"/>
        <w:rPr>
          <w:b w:val="0"/>
          <w:bCs/>
          <w:rtl/>
        </w:rPr>
      </w:pPr>
      <w:bookmarkStart w:id="20" w:name="_Toc234084428"/>
      <w:r w:rsidRPr="002C5E33">
        <w:rPr>
          <w:rFonts w:hint="cs"/>
          <w:b w:val="0"/>
          <w:bCs/>
          <w:rtl/>
        </w:rPr>
        <w:t>مفهوم بيئة العمل النفسية المستدامة:</w:t>
      </w:r>
      <w:bookmarkEnd w:id="20"/>
    </w:p>
    <w:p w14:paraId="7251493C" w14:textId="77777777" w:rsidR="00AF3C0E" w:rsidRPr="00891197" w:rsidRDefault="00AF3C0E" w:rsidP="00891197">
      <w:pPr>
        <w:pStyle w:val="a6"/>
        <w:numPr>
          <w:ilvl w:val="0"/>
          <w:numId w:val="37"/>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بيئة العمل النفسية المستدامة: هي تلك الحالة النفسية التي تتسم بالثبات النسبي والتي يكون فيها الفرد متمتعاً بالتوافق الشخصي والاجتماعي والاتزان الانفعالي (توتي، 2020، 8).</w:t>
      </w:r>
    </w:p>
    <w:p w14:paraId="337365DA" w14:textId="77777777" w:rsidR="00AF3C0E" w:rsidRPr="00891197" w:rsidRDefault="00AF3C0E" w:rsidP="00891197">
      <w:pPr>
        <w:pStyle w:val="a6"/>
        <w:numPr>
          <w:ilvl w:val="0"/>
          <w:numId w:val="37"/>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ويعرف بيئة العمل النفسية إجرائياً بأنها: جملة من المؤشرات التي تساعد العامل على حسن التوافق مع نفسه ومع بيئة العمل وتقاس بالدرجة الكلية التي يحصل عليها في مقياس بيئة العمل النفسية المستخدم في هذه الدراسة.</w:t>
      </w:r>
    </w:p>
    <w:p w14:paraId="6D173AFA" w14:textId="77777777" w:rsidR="00AF3C0E" w:rsidRPr="002C5E33" w:rsidRDefault="00AF3C0E" w:rsidP="002C5E33">
      <w:pPr>
        <w:pStyle w:val="3"/>
        <w:rPr>
          <w:b w:val="0"/>
          <w:bCs/>
          <w:rtl/>
        </w:rPr>
      </w:pPr>
      <w:bookmarkStart w:id="21" w:name="_Toc234084429"/>
      <w:r w:rsidRPr="002C5E33">
        <w:rPr>
          <w:rFonts w:hint="cs"/>
          <w:b w:val="0"/>
          <w:bCs/>
          <w:rtl/>
        </w:rPr>
        <w:t>مفهوم رفاهية الموظفين:</w:t>
      </w:r>
      <w:bookmarkEnd w:id="21"/>
    </w:p>
    <w:p w14:paraId="2F3E8068"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تعرف رفاهية الموظفين على أنها: مجموعة من الممارسات والأنشطة والبرامج والمبادرات والخدمات المصممة لتعزيز وتحسين الصحة العقلية والنفسية والجسدية للموظفين والهادفة لتطوير سلوكهم وأدائهم الوظيفي؛ شريطة زيادة دافعيتهم للعمل من خلال الميزات التي توفرها لهم المنظمات (الهيئة الاتحادية للموارد البشرية الحكومية، 2018، جوده ومحمد، 2022) وتشمل رفاهية الموظفين عدداً من المبادرات والفعاليات التي تعزز إنتاجية الموظفين ورفاههم العقلي والجسدي والروحي، وكل هذا ينعكس في تطوير أدائهم وكفاءتهم ونشاطهم في أثناء العمل، وزيادة دافعهم للعمل بنشاط وزيادة سعادتهم وولائهم للعمل من خلال خلق بيئة عمل محفزة وإيجابية (الجنابي وخضير، 2021)، ويتضمن مفهوم الرفاه الوظيفي ثلاثة أبعاد رئيسية هي:</w:t>
      </w:r>
    </w:p>
    <w:p w14:paraId="0BD0EBBA"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الرفاهية النفسي: ويقصد بها المؤشرات والعلامات الانفعالية والسلوكية التي تكون لدى الموظفين في حياتهم التي تشير إلى الرضا العام للموظف عن حياته (</w:t>
      </w:r>
      <w:r w:rsidRPr="00D201D3">
        <w:rPr>
          <w:rFonts w:ascii="Simplified Arabic" w:hAnsi="Simplified Arabic" w:cs="Simplified Arabic" w:hint="cs"/>
          <w:sz w:val="28"/>
          <w:szCs w:val="28"/>
        </w:rPr>
        <w:t>Rahi,2016</w:t>
      </w:r>
      <w:r w:rsidRPr="00D201D3">
        <w:rPr>
          <w:rFonts w:ascii="Simplified Arabic" w:hAnsi="Simplified Arabic" w:cs="Simplified Arabic" w:hint="cs"/>
          <w:sz w:val="28"/>
          <w:szCs w:val="28"/>
          <w:rtl/>
        </w:rPr>
        <w:t>)، وتتعلق الرفاهية النفسية بحالة الفرد الإيجابية وصحته النفسية مثل: قدرته على التطوير وتكوين علاقات جيدة مع زملائه في العمل، وأن يكون لدى الفرد اتجاه وشعور إيجابي (</w:t>
      </w:r>
      <w:r w:rsidRPr="00D201D3">
        <w:rPr>
          <w:rFonts w:ascii="Simplified Arabic" w:hAnsi="Simplified Arabic" w:cs="Simplified Arabic" w:hint="cs"/>
          <w:sz w:val="28"/>
          <w:szCs w:val="28"/>
        </w:rPr>
        <w:t>Putra,et al.,2024</w:t>
      </w:r>
      <w:r w:rsidRPr="00D201D3">
        <w:rPr>
          <w:rFonts w:ascii="Simplified Arabic" w:hAnsi="Simplified Arabic" w:cs="Simplified Arabic" w:hint="cs"/>
          <w:sz w:val="28"/>
          <w:szCs w:val="28"/>
          <w:rtl/>
        </w:rPr>
        <w:t>)، مثل: الطمأنينة والسعادة وأن يخلو من الأداء والشعور السلبي كالقلق والإحباط.</w:t>
      </w:r>
    </w:p>
    <w:p w14:paraId="68EFFF28"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الرفاهية الاجتماعية: ويقصد بها جودة علاقات الموظف مع الأشخاص وحتى المجتمعات الأخرى، وتمثل المكون المعرفي والوجداني للسعادة عند الأفراد (</w:t>
      </w:r>
      <w:r w:rsidRPr="00D201D3">
        <w:rPr>
          <w:rFonts w:ascii="Simplified Arabic" w:hAnsi="Simplified Arabic" w:cs="Simplified Arabic" w:hint="cs"/>
          <w:sz w:val="28"/>
          <w:szCs w:val="28"/>
        </w:rPr>
        <w:t>Van De Voorde et al.,2012</w:t>
      </w:r>
      <w:r w:rsidRPr="00D201D3">
        <w:rPr>
          <w:rFonts w:ascii="Simplified Arabic" w:hAnsi="Simplified Arabic" w:cs="Simplified Arabic" w:hint="cs"/>
          <w:sz w:val="28"/>
          <w:szCs w:val="28"/>
          <w:rtl/>
        </w:rPr>
        <w:t>) فدائماً ما يحتاج الموظف إلى إنشاء علاقات إيجابية دائمة وآمنة خارج وداخل حدود العمل مع زملائه، حتى يتمكن من الشعور بالانتماء إلى المنظمة التي يعمل بها ولتلبية حاجته بتكوين علاقات اجتماعية، بالمقابل سينتظر الموظف أن يتلقى المعاملة نفسها من زملائه بالعمل (سناني؛ بوعطيط، 2021).</w:t>
      </w:r>
    </w:p>
    <w:p w14:paraId="5A1C9166"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 xml:space="preserve">الرفاهية في مكان العمل: تعني امتلاك الموظفين الصحة البدنية والعقلية، ويكون ذلك من خلال خلق بيئة تنظيمية تخلو من الضغوط النفسية والجسدية، وتتناسب مع العاملين، وتوفير بيئة تنظيمية مثيرة ومحفزة تزيد شعور الموظف بالسعادة والرضا عن الأداء من خلال توفير صور الرفاهية بمكان العمل </w:t>
      </w:r>
      <w:r w:rsidRPr="00D201D3">
        <w:rPr>
          <w:rFonts w:ascii="Simplified Arabic" w:hAnsi="Simplified Arabic" w:cs="Simplified Arabic" w:hint="cs"/>
          <w:sz w:val="28"/>
          <w:szCs w:val="28"/>
        </w:rPr>
        <w:t>Putra et al., 2024</w:t>
      </w:r>
      <w:r w:rsidRPr="00D201D3">
        <w:rPr>
          <w:rFonts w:ascii="Simplified Arabic" w:hAnsi="Simplified Arabic" w:cs="Simplified Arabic" w:hint="cs"/>
          <w:sz w:val="28"/>
          <w:szCs w:val="28"/>
          <w:rtl/>
        </w:rPr>
        <w:t>)) عندما توفر المنظمة بيئة عمل مرفهة وسليمة ومحفزة للعمل سيشعر الموظف براحة وسعادة أكثر خلال عمله، وسينعكس ذلك على نحو إيجابي على أدائه، ويكون ذلك من خلال حماية المنظمة لموظفيها من إصابات العمل من خلال توفير متطلبات الأمن والسلامة المهنية، وتوفير بيئة عمل مريحة تخلو من الإجهاد عن طريق توفير علاقات عمل مريحة بين الموظفين والمديرين وتسهيل وصول الموظف لما يحتاجه من أدوات ليتمكن من أداء عمله بشكل أسرع (قرني، 2023).</w:t>
      </w:r>
    </w:p>
    <w:p w14:paraId="1502D72A" w14:textId="77777777" w:rsidR="00AF3C0E" w:rsidRPr="00891197" w:rsidRDefault="00AF3C0E" w:rsidP="00891197">
      <w:pPr>
        <w:pStyle w:val="a6"/>
        <w:numPr>
          <w:ilvl w:val="0"/>
          <w:numId w:val="36"/>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وتعرف رفاهية الموظفين إجرائياً بأنها: الحالة العامة للراحة النفسية والجسدية والاجتماعية التي يشعر بها الموظف أثناء عمله في القطاع الصحي الحكومي في مدينة الرياض، ويتم قياس رفاهية الموظفين من خلال مجموعة من المؤشرات التي تشمل رضا الموظف عن العمل، والتوازن بين العمل والحياة الشخصية، والدعم النفسي والاجتماعي من قبل الإدارة والزملاء، الشعور بالاستقرار الوظيفي، وتوفر بيئة عمل صحية وآمنة.</w:t>
      </w:r>
    </w:p>
    <w:p w14:paraId="29052952" w14:textId="77777777" w:rsidR="00AF3C0E" w:rsidRPr="002C5E33" w:rsidRDefault="00AF3C0E" w:rsidP="002C5E33">
      <w:pPr>
        <w:pStyle w:val="3"/>
        <w:rPr>
          <w:b w:val="0"/>
          <w:bCs/>
          <w:rtl/>
        </w:rPr>
      </w:pPr>
      <w:bookmarkStart w:id="22" w:name="_Toc234084430"/>
      <w:r w:rsidRPr="002C5E33">
        <w:rPr>
          <w:rFonts w:hint="cs"/>
          <w:b w:val="0"/>
          <w:bCs/>
          <w:rtl/>
        </w:rPr>
        <w:t>مفهوم الاحتراق الوظيفي:</w:t>
      </w:r>
      <w:bookmarkEnd w:id="22"/>
    </w:p>
    <w:p w14:paraId="460EF812" w14:textId="77777777" w:rsidR="00AF3C0E" w:rsidRPr="00891197" w:rsidRDefault="00AF3C0E" w:rsidP="00891197">
      <w:pPr>
        <w:pStyle w:val="a6"/>
        <w:numPr>
          <w:ilvl w:val="0"/>
          <w:numId w:val="35"/>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مفهوم الاحتراق الوظيفي: يعتبر من المفاهيم الحديثة نسبياً، والتي ظهرت في مجال علم النفس التنظيمي على يد العالم (</w:t>
      </w:r>
      <w:r w:rsidRPr="00891197">
        <w:rPr>
          <w:rFonts w:ascii="Simplified Arabic" w:hAnsi="Simplified Arabic" w:cs="Simplified Arabic" w:hint="cs"/>
          <w:sz w:val="28"/>
          <w:szCs w:val="28"/>
        </w:rPr>
        <w:t>Beadelly,1969</w:t>
      </w:r>
      <w:r w:rsidRPr="00891197">
        <w:rPr>
          <w:rFonts w:ascii="Simplified Arabic" w:hAnsi="Simplified Arabic" w:cs="Simplified Arabic" w:hint="cs"/>
          <w:sz w:val="28"/>
          <w:szCs w:val="28"/>
          <w:rtl/>
        </w:rPr>
        <w:t>)، الذي أشار إلى الحالة النفسية التي تحدث للعاملين في المجال الخدمي الذي يتميز بالتعامل والاحتكاك المباشر مع المستفيدين من الخدمات المقدمة، وقد استخدم المحلل النفسي (</w:t>
      </w:r>
      <w:r w:rsidRPr="00891197">
        <w:rPr>
          <w:rFonts w:ascii="Simplified Arabic" w:hAnsi="Simplified Arabic" w:cs="Simplified Arabic" w:hint="cs"/>
          <w:sz w:val="28"/>
          <w:szCs w:val="28"/>
        </w:rPr>
        <w:t>Freudenberger,1974</w:t>
      </w:r>
      <w:r w:rsidRPr="00891197">
        <w:rPr>
          <w:rFonts w:ascii="Simplified Arabic" w:hAnsi="Simplified Arabic" w:cs="Simplified Arabic" w:hint="cs"/>
          <w:sz w:val="28"/>
          <w:szCs w:val="28"/>
          <w:rtl/>
        </w:rPr>
        <w:t>)  مصطلح الاحتراق النفسي للإشارة إلى الاستجابات الجسمية والانفعالية لضغوط العمل لدى العاملين في المهن الإنسانية الذين يرهقون أنفسهم في السعي لتحقيق أهداف صعبة، وذلك من خلال دراساته التي ناقش فيها التجارب النفسية، ونتائج خبرته في التعامل ومعالجة العاملين المترددين على عيادته النفسية (الفرجاني، 2021).</w:t>
      </w:r>
    </w:p>
    <w:p w14:paraId="474F96BE" w14:textId="77777777" w:rsidR="00AF3C0E" w:rsidRPr="00891197" w:rsidRDefault="00AF3C0E" w:rsidP="00891197">
      <w:pPr>
        <w:pStyle w:val="a6"/>
        <w:numPr>
          <w:ilvl w:val="0"/>
          <w:numId w:val="35"/>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ويعرف الاحتراق الوظيفي إجرائياً بأنه: حالة من الإجهاد البدني والنفسي والعاطفي التي يمر بها الموظف نتيجة التعرض المستمر للضغوط المهنية، سواء كانت تلك الضغوط ناتجة عن بيئة العمل أو المهام الوظيفية أو التعامل مع المستفيدين من الخدمة، يتمثل الاحتراق الوظيفي في أعراض مثل: الإرهاق العاطفي، انخفاض الدافعية، الإحباط، اللامبالاة، والشعور بفقدان الفعالية والكفاءة، ويُقاس الاحتراق الوظيفي من خلال استبيان مخصص يحتوي على مجموعة من المؤشرات التي تُظهر مدى تأثير هذه الضغوط على الأداء الوظيفي والرفاهية النفسية للموظف.</w:t>
      </w:r>
    </w:p>
    <w:p w14:paraId="5356C672" w14:textId="77777777" w:rsidR="00AF3C0E" w:rsidRDefault="00AF3C0E" w:rsidP="00BD5864">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4307F1EF" w14:textId="77777777" w:rsidR="00AF3C0E" w:rsidRPr="002C5E33" w:rsidRDefault="00AF3C0E" w:rsidP="002C5E33">
      <w:pPr>
        <w:pStyle w:val="1"/>
        <w:rPr>
          <w:b/>
          <w:bCs/>
          <w:rtl/>
        </w:rPr>
      </w:pPr>
      <w:bookmarkStart w:id="23" w:name="_Toc234084431"/>
      <w:r w:rsidRPr="002C5E33">
        <w:rPr>
          <w:rFonts w:hint="cs"/>
          <w:b/>
          <w:bCs/>
          <w:rtl/>
        </w:rPr>
        <w:lastRenderedPageBreak/>
        <w:t>الفصل الثاني: الاطار النظري للدراسة</w:t>
      </w:r>
      <w:bookmarkEnd w:id="23"/>
    </w:p>
    <w:p w14:paraId="22D93498" w14:textId="77777777" w:rsidR="00AF3C0E" w:rsidRPr="002C5E33" w:rsidRDefault="00AF3C0E" w:rsidP="002C5E33">
      <w:pPr>
        <w:pStyle w:val="2"/>
        <w:rPr>
          <w:b w:val="0"/>
          <w:bCs/>
          <w:rtl/>
        </w:rPr>
      </w:pPr>
      <w:bookmarkStart w:id="24" w:name="_Toc234084432"/>
      <w:r w:rsidRPr="002C5E33">
        <w:rPr>
          <w:rFonts w:hint="cs"/>
          <w:b w:val="0"/>
          <w:bCs/>
          <w:rtl/>
        </w:rPr>
        <w:t>تمهيد</w:t>
      </w:r>
      <w:bookmarkEnd w:id="24"/>
    </w:p>
    <w:p w14:paraId="01C36BB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يعتبر التحول الصحي أحد أبرز مكونات رؤية المملكة العربية السعودية 2030، وهو تحول يهدف إلى إعادة هيكلة المنظومة الصحية وتطويرها بما يتوافق مع المعايير العالمية، الأمر الذي ينعكس بصورة مباشرة على طبيعة بيئة العمل وظروف الموظفين في هذا القطاع،</w:t>
      </w:r>
    </w:p>
    <w:p w14:paraId="4108CDD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وخاصة أن مثل هذه التغيرات التنظيمية الواسعة تحمل في طياتها فرصًا لتطوير الأداء وتحسين جودة الخدمات، لكنها في الوقت ذاته تفرض تحديات جديدة تتعلق بمدى قدرة الموظفين على التكيف مع المتغيرات المستجدة والحفاظ على مستويات مقبولة من الرفاهية النفسية والجسدية. ومن ثم تبرز أهمية مفهوم رفاهية الموظفين باعتباره أحد المحددات الرئيسة لجودة بيئة العمل النفسية المستدامة، حيث تشير الأدبيات إلى أن توافر الدعم الإداري، والتوازن بين العمل والحياة، وتهيئة بيئة عمل آمنة يسهم في تعزيز الدافعية وتقليل الضغوط المهنية، وهو ما ينعكس بدوره على انخفاض مستويات الاحتراق الوظيفي.</w:t>
      </w:r>
    </w:p>
    <w:p w14:paraId="09CD499D"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تؤكد الدراسات أن الاحتراق الوظيفي يمثل إحدى أخطر الظواهر السلبية التي تواجه المنظمات الحديثة، لما يسببه من تداعيات على الإنتاجية والرضا الوظيفي والاستقرار المهني حيث يهدف هذا الفصل إلى استعراض وتحليل المفاهيم النظرية المرتبطة بمتغيرات الدراسة، وهي التحول الصحي ورفاهية الموظفين وبيئة العمل النفسية المستدامة، والاحتراق الوظيفي و إلى جانب استعراض الدراسات السابقة</w:t>
      </w:r>
      <w:r>
        <w:rPr>
          <w:rFonts w:ascii="Simplified Arabic" w:hAnsi="Simplified Arabic" w:cs="Simplified Arabic" w:hint="cs"/>
          <w:sz w:val="28"/>
          <w:szCs w:val="28"/>
          <w:rtl/>
        </w:rPr>
        <w:t>.</w:t>
      </w:r>
    </w:p>
    <w:p w14:paraId="238DBF5D" w14:textId="77777777" w:rsidR="00AF3C0E" w:rsidRPr="002C5E33" w:rsidRDefault="00AF3C0E" w:rsidP="002C5E33">
      <w:pPr>
        <w:pStyle w:val="2"/>
        <w:rPr>
          <w:b w:val="0"/>
          <w:bCs/>
          <w:rtl/>
        </w:rPr>
      </w:pPr>
      <w:bookmarkStart w:id="25" w:name="_Toc234084433"/>
      <w:r w:rsidRPr="002C5E33">
        <w:rPr>
          <w:rFonts w:hint="cs"/>
          <w:b w:val="0"/>
          <w:bCs/>
          <w:rtl/>
        </w:rPr>
        <w:t>متغيرات الدراسة</w:t>
      </w:r>
      <w:bookmarkEnd w:id="25"/>
    </w:p>
    <w:p w14:paraId="0FF31686" w14:textId="77777777" w:rsidR="00AF3C0E" w:rsidRPr="002C5E33" w:rsidRDefault="00AF3C0E" w:rsidP="002C5E33">
      <w:pPr>
        <w:pStyle w:val="3"/>
        <w:rPr>
          <w:b w:val="0"/>
          <w:bCs/>
          <w:rtl/>
        </w:rPr>
      </w:pPr>
      <w:bookmarkStart w:id="26" w:name="_Toc234084434"/>
      <w:r w:rsidRPr="002C5E33">
        <w:rPr>
          <w:rFonts w:hint="cs"/>
          <w:b w:val="0"/>
          <w:bCs/>
          <w:rtl/>
        </w:rPr>
        <w:t>المتغير المستقل</w:t>
      </w:r>
      <w:bookmarkEnd w:id="26"/>
    </w:p>
    <w:p w14:paraId="7BB3CDF2" w14:textId="77777777" w:rsidR="00AF3C0E" w:rsidRPr="00D201D3" w:rsidRDefault="00AF3C0E" w:rsidP="00BD5864">
      <w:p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التحول الصحي:</w:t>
      </w:r>
      <w:r w:rsidRPr="00D201D3">
        <w:rPr>
          <w:rFonts w:ascii="Simplified Arabic" w:hAnsi="Simplified Arabic" w:cs="Simplified Arabic" w:hint="cs"/>
          <w:sz w:val="28"/>
          <w:szCs w:val="28"/>
          <w:rtl/>
        </w:rPr>
        <w:t xml:space="preserve"> يشير مفهوم التحول الصحي إلى سلسلة الإصلاحات الجذرية التي يشهدها القطاع الصحي في المملكة العربية السعودية ضمن رؤية 2030، والتي تهدف إلى رفع كفاءة النظام الصحي وتحسين جودة الخدمات وتعزيز الاستدامة المالية والتقنية. يشمل هذا التحول إعادة هيكلة المؤسسات الصحية، ودمج الأنظمة الرقمية، وتبني نماذج تشغيل جديدة قائمة على الشراكة بين القطاعين العام والخاص (عبدالرحمن، 2024).</w:t>
      </w:r>
    </w:p>
    <w:p w14:paraId="3BF0B0C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وتبرز أهمية التحول الصحي في تأثيره المباشر على بيئة العمل؛ حيث يؤدي إدخال التقنيات الحديثة وتغيير الهياكل الإدارية إلى زيادة متطلبات العمل وإعادة توزيع الأدوار الوظيفية، وهو ما قد يسهم في تعزيز فاعلية الأداء لكنه في الوقت نفسه يفرض تحديات نفسية وسلوكية على العاملين (الإدارة العامة للتعليم – الرياض، </w:t>
      </w:r>
      <w:r w:rsidRPr="00D201D3">
        <w:rPr>
          <w:rFonts w:ascii="Simplified Arabic" w:hAnsi="Simplified Arabic" w:cs="Simplified Arabic" w:hint="cs"/>
          <w:sz w:val="28"/>
          <w:szCs w:val="28"/>
          <w:rtl/>
        </w:rPr>
        <w:lastRenderedPageBreak/>
        <w:t>2020) حيث تشير الأدبيات إلى أن التغيرات التنظيمية الكبرى يمكن أن تحدث ضغوطًا على الموظفين إذا لم تُصاحبها سياسات واضحة لدعم رفاهيتهم (فرج والقبي، 2023)</w:t>
      </w:r>
    </w:p>
    <w:p w14:paraId="1BB9AEE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الرئيسية:</w:t>
      </w:r>
    </w:p>
    <w:p w14:paraId="3D77EF78"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جودة الرعاية الصحية بتحسين مستوى الخدمات العلاجية والوقائية والتشخيصية.</w:t>
      </w:r>
    </w:p>
    <w:p w14:paraId="3D2AABBB"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استدامة الخدمات الصحية عن طريق ضمان استمرارية تقديم الرعاية لجميع الفئات مع الحد من الانقطاعات.</w:t>
      </w:r>
    </w:p>
    <w:p w14:paraId="290AF64F"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رفاهية الموظفين الصحيين و ذلك بتوفير بيئة عمل محفزة وداعمة تقلل الضغوط المهنية وتعزز الرضا الوظيفي.</w:t>
      </w:r>
    </w:p>
    <w:p w14:paraId="2497F238"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استدامة التمويل الصحي بتعزيز مصادر التمويل وضمان كفاءة استخدام الموارد المالية.</w:t>
      </w:r>
    </w:p>
    <w:p w14:paraId="743406B0"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الكفاءة التشغيلية وهي  رفع كفاءة استغلال الموارد المادية والبشرية وتحسين الأداء الإداري.</w:t>
      </w:r>
    </w:p>
    <w:p w14:paraId="0AF17E8F"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tl/>
        </w:rPr>
      </w:pPr>
      <w:r w:rsidRPr="00DE6580">
        <w:rPr>
          <w:rFonts w:ascii="Simplified Arabic" w:hAnsi="Simplified Arabic" w:cs="Simplified Arabic" w:hint="cs"/>
          <w:sz w:val="28"/>
          <w:szCs w:val="28"/>
          <w:rtl/>
        </w:rPr>
        <w:t>تقليل المخاطر المالية على المرضى اي الحد من الأعباء المالية وضمان الوصول العادل للخدمات.</w:t>
      </w:r>
    </w:p>
    <w:p w14:paraId="6D90E7B9" w14:textId="77777777" w:rsidR="00AF3C0E" w:rsidRPr="002C5E33" w:rsidRDefault="00AF3C0E" w:rsidP="002C5E33">
      <w:pPr>
        <w:pStyle w:val="3"/>
        <w:rPr>
          <w:b w:val="0"/>
          <w:bCs/>
          <w:rtl/>
        </w:rPr>
      </w:pPr>
      <w:bookmarkStart w:id="27" w:name="_Toc234084435"/>
      <w:r w:rsidRPr="002C5E33">
        <w:rPr>
          <w:rFonts w:hint="cs"/>
          <w:b w:val="0"/>
          <w:bCs/>
          <w:rtl/>
        </w:rPr>
        <w:t>المتغير الوسيط</w:t>
      </w:r>
      <w:bookmarkEnd w:id="27"/>
    </w:p>
    <w:p w14:paraId="6B1691C0" w14:textId="77777777" w:rsidR="00AF3C0E" w:rsidRPr="002C5E33" w:rsidRDefault="00AF3C0E" w:rsidP="002C5E33">
      <w:p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رفاهية الموظف:</w:t>
      </w:r>
      <w:r w:rsidRPr="002C5E33">
        <w:rPr>
          <w:rFonts w:ascii="Simplified Arabic" w:hAnsi="Simplified Arabic" w:cs="Simplified Arabic" w:hint="cs"/>
          <w:sz w:val="28"/>
          <w:szCs w:val="28"/>
          <w:rtl/>
        </w:rPr>
        <w:t xml:space="preserve"> تعرف رفاهية الموظفين بأنها "المستوى الذي يتمتع فيه العاملون بصحة نفسية وجسدية واجتماعية مستقرة داخل بيئة العمل بما يعزز من إنتاجيتهم ورضاهم الوظيفي" (عبدالرحمن، 2024). ويتضمن هذا المفهوم جوانب متعددة مثل: التوازن بين الحياة والعمل، الدعم الإداري، الأمان الوظيفي، وتوفير بيئة عمل داعمة.</w:t>
      </w:r>
    </w:p>
    <w:p w14:paraId="5BE26204"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وقد تناولت نظرية جودة الحياة الوظيفية مفهوم رفاهية الموظف باعتباره عنصرًا جوهريًا لتحفيز الأداء المؤسسي، مؤكدة أن تحسين ظروف العمل ينعكس إيجابًا على الولاء الوظيفي ويقلل من التوتر والضغوط (الإدارة العامة للتعليم – الرياض، 2020). وأظهرت دراسة عسيري (2021) وجود علاقة عكسية بين مستويات رفاهية الموظفين ودرجات الاحتراق الوظيفي، إذ تبين أن انخفاض مؤشرات الرفاهية يزيد من احتمالية تعرض العاملين للإجهاد النفسي وفقدان الدافعية.</w:t>
      </w:r>
    </w:p>
    <w:p w14:paraId="16D7299E"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أظهرت دراسة فرج والقبي (2023) في جامعة سرت أن رفاهية الموظفين تمثل أحد العوامل الحاسمة في تفسير الفروق في الأداء الوظيفي، حيث إن الموظفين الذين يحظون بدعم إداري وبيئة عمل إيجابية يتمتعون بمستويات أقل من الإرهاق النفسي ومن ثم تمثل رفاهية الموظفين المتغير الوسيط في هذه الدراسة، حيث تتوسط العلاقة بين التحول الصحي (المستقل) من جهة، وبيئة العمل النفسية المستدامة والاحتراق الوظيفي (التابعين) من جهة أخرى</w:t>
      </w:r>
      <w:r>
        <w:rPr>
          <w:rFonts w:ascii="Simplified Arabic" w:hAnsi="Simplified Arabic" w:cs="Simplified Arabic" w:hint="cs"/>
          <w:sz w:val="28"/>
          <w:szCs w:val="28"/>
          <w:rtl/>
        </w:rPr>
        <w:t>.</w:t>
      </w:r>
    </w:p>
    <w:p w14:paraId="5764570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أبعاده الرئيسية:</w:t>
      </w:r>
    </w:p>
    <w:p w14:paraId="3F6BB66E"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النفسي ويتعلق بمستوى الاستقرار العاطفي والرضا الوظيفي، وانخفاض معدلات التوتر والاحتراق المهني.</w:t>
      </w:r>
    </w:p>
    <w:p w14:paraId="224282B6"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الجسدي ويشمل تمتع الموظف بالصحة البدنية وظروف العمل الآمنة التي تقلل من المخاطر المهنية والإجهاد البدني.</w:t>
      </w:r>
    </w:p>
    <w:p w14:paraId="6C9D5768"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الاجتماعي حيث يتصل بجودة العلاقات المهنية، والدعم المتبادل بين الزملاء، وتعزيز روح التعاون والعمل الجماعي.</w:t>
      </w:r>
    </w:p>
    <w:p w14:paraId="6B2F2212"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المهني/التنموي الذي يتعلق بفرص التطوير المهني المستمر، والمشاركة في صنع القرار، ووضوح المسار الوظيفي.</w:t>
      </w:r>
    </w:p>
    <w:p w14:paraId="0A3AFEF5"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الاقتصادي و يرتبط بمستوى الأمان المالي والاستقرار الوظيفي، إضافة إلى العدالة في الأجور والحوافز.</w:t>
      </w:r>
    </w:p>
    <w:p w14:paraId="1453BE92" w14:textId="77777777" w:rsidR="00AF3C0E" w:rsidRPr="002C5E33" w:rsidRDefault="00AF3C0E" w:rsidP="002C5E33">
      <w:pPr>
        <w:pStyle w:val="3"/>
        <w:rPr>
          <w:b w:val="0"/>
          <w:bCs/>
          <w:rtl/>
        </w:rPr>
      </w:pPr>
      <w:bookmarkStart w:id="28" w:name="_Toc234084436"/>
      <w:r w:rsidRPr="002C5E33">
        <w:rPr>
          <w:rFonts w:hint="cs"/>
          <w:b w:val="0"/>
          <w:bCs/>
          <w:rtl/>
        </w:rPr>
        <w:t>المتغيرات التابعة</w:t>
      </w:r>
      <w:bookmarkEnd w:id="28"/>
    </w:p>
    <w:p w14:paraId="6BC2980A" w14:textId="77777777" w:rsidR="00AF3C0E" w:rsidRPr="00BF139C" w:rsidRDefault="00AF3C0E" w:rsidP="006C4CDD">
      <w:pPr>
        <w:pStyle w:val="a6"/>
        <w:numPr>
          <w:ilvl w:val="0"/>
          <w:numId w:val="22"/>
        </w:numPr>
        <w:spacing w:line="240" w:lineRule="auto"/>
        <w:jc w:val="both"/>
        <w:rPr>
          <w:rFonts w:ascii="Simplified Arabic" w:hAnsi="Simplified Arabic" w:cs="Simplified Arabic"/>
          <w:sz w:val="28"/>
          <w:szCs w:val="28"/>
          <w:rtl/>
        </w:rPr>
      </w:pPr>
      <w:r w:rsidRPr="00BF139C">
        <w:rPr>
          <w:rFonts w:ascii="Simplified Arabic" w:hAnsi="Simplified Arabic" w:cs="Simplified Arabic" w:hint="cs"/>
          <w:b/>
          <w:bCs/>
          <w:sz w:val="28"/>
          <w:szCs w:val="28"/>
          <w:rtl/>
        </w:rPr>
        <w:t>تحسين بيئة العمل النفسية المستدامة</w:t>
      </w:r>
      <w:r w:rsidRPr="00BF139C">
        <w:rPr>
          <w:rFonts w:ascii="Simplified Arabic" w:hAnsi="Simplified Arabic" w:cs="Simplified Arabic" w:hint="cs"/>
          <w:sz w:val="28"/>
          <w:szCs w:val="28"/>
          <w:rtl/>
        </w:rPr>
        <w:t>: تعرف بيئة العمل النفسية المستدامة بأنها "</w:t>
      </w:r>
      <w:r w:rsidRPr="00BF139C">
        <w:rPr>
          <w:rFonts w:ascii="Simplified Arabic" w:hAnsi="Simplified Arabic" w:cs="Simplified Arabic" w:hint="cs"/>
          <w:i/>
          <w:iCs/>
          <w:sz w:val="28"/>
          <w:szCs w:val="28"/>
          <w:rtl/>
        </w:rPr>
        <w:t>مجموعة الممارسات والسياسات التي تهدف إلى خلق بيئة داعمة تدعم الأمان النفسي والشعور بالانتماء والتحفيز لدى الموظفين</w:t>
      </w:r>
      <w:r w:rsidRPr="00BF139C">
        <w:rPr>
          <w:rFonts w:ascii="Simplified Arabic" w:hAnsi="Simplified Arabic" w:cs="Simplified Arabic" w:hint="cs"/>
          <w:sz w:val="28"/>
          <w:szCs w:val="28"/>
          <w:rtl/>
        </w:rPr>
        <w:t>" (عبدالرحمن، 2024، ص. 6). ويشمل ذلك تطوير أنظمة دعم نفسي، وتوفير قنوات اتصال فعّالة، وتهيئة بيئة مرنة تراعي احتياجات العاملين، وقد بينت الأدبيات أن وجود بيئة عمل صحية يسهم في تحسين الأداء ويقلل من مستويات القلق والإجهاد (الإدارة العامة للتعليم – الرياض، 2020). كما أكدت دراسة عسيري (2021) أن تهيئة بيئة عمل محفزة ترتبط إيجابي برضا الموظفين وانخراطهم الوظيفي، وهو ما ينعكس على الاستقرار النفسي وتقليل معدلات الغياب.</w:t>
      </w:r>
    </w:p>
    <w:p w14:paraId="234FAFE5" w14:textId="77777777"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الرئيسية:</w:t>
      </w:r>
    </w:p>
    <w:p w14:paraId="431BAC33"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الأمان النفسي اي شعور الموظف بحرية التعبير عن الرأي دون خوف من العقاب أو الإقصاء.</w:t>
      </w:r>
    </w:p>
    <w:p w14:paraId="17A9E95C"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الدعم الإداري وهو مدى توافر التشجيع والمساندة من قبل القيادات العليا والمشرفين.</w:t>
      </w:r>
    </w:p>
    <w:p w14:paraId="6C6A372D"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التحفيز المعنوي والمادي يشمل اوضوح آليات المكافآت والتقدير، وتقدير الجهود المبذولة.</w:t>
      </w:r>
    </w:p>
    <w:p w14:paraId="41D3A180"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التوازن بين العمل والحياة: قدرة الموظف على التوفيق بين المتطلبات المهنية والالتزامات الشخصية.</w:t>
      </w:r>
    </w:p>
    <w:p w14:paraId="6EE77168"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الاستقرار الوظيفي و يقصد به الإحساس بالثقة في استمرارية العمل والأمان المهني</w:t>
      </w:r>
    </w:p>
    <w:p w14:paraId="3FF68EAE" w14:textId="77777777" w:rsidR="00AF3C0E" w:rsidRDefault="00AF3C0E" w:rsidP="00BD5864">
      <w:pPr>
        <w:spacing w:line="240" w:lineRule="auto"/>
        <w:jc w:val="both"/>
        <w:rPr>
          <w:rFonts w:ascii="Simplified Arabic" w:hAnsi="Simplified Arabic" w:cs="Simplified Arabic"/>
          <w:sz w:val="28"/>
          <w:szCs w:val="28"/>
          <w:rtl/>
        </w:rPr>
        <w:sectPr w:rsidR="00AF3C0E" w:rsidSect="00B01EA5">
          <w:headerReference w:type="default" r:id="rId11"/>
          <w:footerReference w:type="default" r:id="rId12"/>
          <w:pgSz w:w="11906" w:h="16838"/>
          <w:pgMar w:top="1440" w:right="1440" w:bottom="1440" w:left="1440" w:header="708" w:footer="708" w:gutter="0"/>
          <w:pgNumType w:start="1"/>
          <w:cols w:space="708"/>
          <w:bidi/>
          <w:rtlGutter/>
          <w:docGrid w:linePitch="360"/>
        </w:sectPr>
      </w:pPr>
    </w:p>
    <w:p w14:paraId="70CC7243" w14:textId="77777777" w:rsidR="00AF3C0E" w:rsidRPr="003E112A" w:rsidRDefault="00AF3C0E" w:rsidP="006C4CDD">
      <w:pPr>
        <w:pStyle w:val="a6"/>
        <w:numPr>
          <w:ilvl w:val="0"/>
          <w:numId w:val="24"/>
        </w:numPr>
        <w:spacing w:before="240" w:line="240" w:lineRule="auto"/>
        <w:jc w:val="both"/>
        <w:rPr>
          <w:rFonts w:ascii="Simplified Arabic" w:hAnsi="Simplified Arabic" w:cs="Simplified Arabic"/>
          <w:sz w:val="28"/>
          <w:szCs w:val="28"/>
          <w:rtl/>
        </w:rPr>
      </w:pPr>
      <w:r w:rsidRPr="003E112A">
        <w:rPr>
          <w:rFonts w:ascii="Simplified Arabic" w:hAnsi="Simplified Arabic" w:cs="Simplified Arabic" w:hint="cs"/>
          <w:b/>
          <w:bCs/>
          <w:sz w:val="28"/>
          <w:szCs w:val="28"/>
          <w:rtl/>
        </w:rPr>
        <w:lastRenderedPageBreak/>
        <w:t>خفض مستوى الاحتراق الوظيفي:</w:t>
      </w:r>
      <w:r w:rsidRPr="003E112A">
        <w:rPr>
          <w:rFonts w:ascii="Simplified Arabic" w:hAnsi="Simplified Arabic" w:cs="Simplified Arabic" w:hint="cs"/>
          <w:sz w:val="28"/>
          <w:szCs w:val="28"/>
          <w:rtl/>
        </w:rPr>
        <w:t xml:space="preserve"> الاحتراق الوظيفي هو "حالة من الإرهاق العاطفي والجسدي والعقلي الناجمة عن الضغوط المستمرة في بيئة العمل، والتي تؤدي إلى تراجع الأداء وفقدان الحافز الوظيفي" (الظفيري ومحمد، 2021، ص. 5). وقد أوضحت دراسات عربية عدة أن الاحتراق يرتبط سلبًا بمستويات الرضا الوظيفي، ويؤثر في النية لترك العمل، ويقلل من مستويات الالتزام التنظيمي (فرج والقبي، 2023؛ الظفيري ومحمد، 2021)</w:t>
      </w:r>
    </w:p>
    <w:p w14:paraId="6E48785C" w14:textId="77777777" w:rsidR="00AF3C0E" w:rsidRPr="00D201D3" w:rsidRDefault="00AF3C0E" w:rsidP="00BD5864">
      <w:pPr>
        <w:spacing w:line="240" w:lineRule="auto"/>
        <w:ind w:left="360"/>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وفي المجتمع السعودي، أظهرت دراسة عسيري (2021) أن ارتفاع الضغوط التنظيمية مع غياب الدعم الإداري يؤدي إلى زيادة مستويات الاحتراق لدى موظفي القطاع التعليمي في مدينة تبوك حيث يمثل الاحتراق الوظيفي المتغير التابع النهائي في هذه الدراسة، ويتأثر مباشرة بالتحول الصحي ورفاهية الموظفين وبيئة العمل النفسية المستدامة</w:t>
      </w:r>
    </w:p>
    <w:p w14:paraId="6D3E639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الرئيسيه:</w:t>
      </w:r>
    </w:p>
    <w:p w14:paraId="0D7EC583" w14:textId="77777777"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الإرهاق العاطفي وهو شعور الموظف بالإجهاد النفسي وفقدان الطاقة نتيجة الضغوط المستمرة.</w:t>
      </w:r>
    </w:p>
    <w:p w14:paraId="536BF49A" w14:textId="77777777"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التجرد أو التبلّد حيث يتبنى الموظف مواقف سلبية أو لامبالية تجاه المستفيدين أو الزملاء.</w:t>
      </w:r>
    </w:p>
    <w:p w14:paraId="6F9392C1" w14:textId="18E71FE0"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ضعف الإنجاز الشخصي و انخفاض شعور الموظف بالكفاءة والقدرة على تحقيق نتائج إيجابية في عمله.</w:t>
      </w:r>
    </w:p>
    <w:p w14:paraId="0B71FC04" w14:textId="4753CA24" w:rsidR="00AF3C0E" w:rsidRPr="002C5E33" w:rsidRDefault="00AF3C0E" w:rsidP="002C5E33">
      <w:pPr>
        <w:pStyle w:val="2"/>
        <w:rPr>
          <w:b w:val="0"/>
          <w:bCs/>
          <w:rtl/>
        </w:rPr>
      </w:pPr>
      <w:bookmarkStart w:id="29" w:name="_Toc234084437"/>
      <w:r w:rsidRPr="002C5E33">
        <w:rPr>
          <w:rFonts w:hint="cs"/>
          <w:b w:val="0"/>
          <w:bCs/>
          <w:rtl/>
        </w:rPr>
        <w:t>نموذج الدراسة</w:t>
      </w:r>
      <w:bookmarkEnd w:id="29"/>
      <w:r w:rsidRPr="002C5E33">
        <w:rPr>
          <w:rFonts w:hint="cs"/>
          <w:b w:val="0"/>
          <w:bCs/>
          <w:rtl/>
        </w:rPr>
        <w:t xml:space="preserve"> </w:t>
      </w:r>
    </w:p>
    <w:p w14:paraId="2EDDC958" w14:textId="730EBF5A"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يمكن تمثيل العلاقة بين المتغيرات في نموذج بحثي يوضح تأثير المتغير المستقل (التحول الصحي) على المتغيرات التابعة (بيئة العمل النفسية المستدامة)، (الاحتراق الوظيفي) من خلال المتغيرات الوسيطة (رفاهية الموظف) التي تلعب دوراً في تخفيف تأثير التحول الصحي وتحسين بيئة العمل.</w:t>
      </w:r>
    </w:p>
    <w:p w14:paraId="3E3CE18E" w14:textId="20675E14" w:rsidR="00912101" w:rsidRDefault="00912101" w:rsidP="0091210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Pr>
          <w:noProof/>
        </w:rPr>
        <w:drawing>
          <wp:inline distT="0" distB="0" distL="0" distR="0" wp14:anchorId="07FC4644" wp14:editId="0D0BDAC1">
            <wp:extent cx="5731510" cy="26377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637790"/>
                    </a:xfrm>
                    <a:prstGeom prst="rect">
                      <a:avLst/>
                    </a:prstGeom>
                    <a:noFill/>
                    <a:ln>
                      <a:noFill/>
                    </a:ln>
                  </pic:spPr>
                </pic:pic>
              </a:graphicData>
            </a:graphic>
          </wp:inline>
        </w:drawing>
      </w:r>
    </w:p>
    <w:p w14:paraId="51878C7B" w14:textId="7A682549" w:rsidR="00AF3C0E" w:rsidRPr="00D201D3" w:rsidRDefault="00AF3C0E" w:rsidP="00E13F6A">
      <w:pPr>
        <w:spacing w:line="240" w:lineRule="auto"/>
        <w:jc w:val="center"/>
        <w:rPr>
          <w:rFonts w:ascii="Simplified Arabic" w:hAnsi="Simplified Arabic" w:cs="Simplified Arabic"/>
          <w:sz w:val="28"/>
          <w:szCs w:val="28"/>
          <w:rtl/>
        </w:rPr>
      </w:pPr>
      <w:r w:rsidRPr="00D201D3">
        <w:rPr>
          <w:rFonts w:ascii="Simplified Arabic" w:hAnsi="Simplified Arabic" w:cs="Simplified Arabic" w:hint="cs"/>
          <w:sz w:val="28"/>
          <w:szCs w:val="28"/>
          <w:rtl/>
        </w:rPr>
        <w:t>شكل (1): نموذج العلاقة بين متغيرات الدراسة</w:t>
      </w:r>
    </w:p>
    <w:p w14:paraId="58253E12" w14:textId="6554183E"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وبهذا النموذج، يتضح كيف يمكن أن يؤثر التحول الصحي في القطاع الحكومي الصحي على استراتيجيات تجنب الاحتراق الوظيفي من خلال تحسين وتوفير الرفاهية للموظفين.</w:t>
      </w:r>
    </w:p>
    <w:p w14:paraId="6632EA39" w14:textId="77777777" w:rsidR="00912101" w:rsidRPr="00D201D3" w:rsidRDefault="00912101" w:rsidP="00BD5864">
      <w:pPr>
        <w:spacing w:line="240" w:lineRule="auto"/>
        <w:jc w:val="both"/>
        <w:rPr>
          <w:rFonts w:ascii="Simplified Arabic" w:hAnsi="Simplified Arabic" w:cs="Simplified Arabic"/>
          <w:sz w:val="28"/>
          <w:szCs w:val="28"/>
          <w:rtl/>
        </w:rPr>
      </w:pPr>
    </w:p>
    <w:p w14:paraId="38BA34CD" w14:textId="5155A139" w:rsidR="00AF3C0E" w:rsidRPr="00912101" w:rsidRDefault="00AF3C0E" w:rsidP="00912101">
      <w:pPr>
        <w:pStyle w:val="2"/>
        <w:rPr>
          <w:rFonts w:cs="Simplified Arabic"/>
          <w:b w:val="0"/>
          <w:bCs/>
          <w:sz w:val="28"/>
          <w:szCs w:val="28"/>
          <w:rtl/>
        </w:rPr>
      </w:pPr>
      <w:bookmarkStart w:id="30" w:name="_Toc234084438"/>
      <w:r w:rsidRPr="00912101">
        <w:rPr>
          <w:rFonts w:hint="cs"/>
          <w:b w:val="0"/>
          <w:bCs/>
          <w:rtl/>
        </w:rPr>
        <w:t>الدراسات السابقة</w:t>
      </w:r>
      <w:bookmarkEnd w:id="30"/>
    </w:p>
    <w:p w14:paraId="5A88775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انطلاق من أهداف الدراسة الحالية التي تتناول أثر التحول الصحي في المملكة العربية السعودية على بيئة العمل النفسية المستدامة ودور رفاهية الموظفين في تقليل الاحتراق الوظيفي، فقد تم تقسيم الدراسات السابقة وفقًا للمتغيرات الرئيسة التي تضمنها نموذج الدراسة (المستقل، التابع، الوسيط، والعلاقات المتبادلة بينها). ويُسهم هذا التقسيم في توضيح الأسس العلمية التي بُنيت عليها الدراسة الحالية وتبرير الأبعاد التي تم اختيارها بما يتوافق مع طبيعة البحث وأهدافه.</w:t>
      </w:r>
    </w:p>
    <w:p w14:paraId="4057EAED" w14:textId="77777777" w:rsidR="00AF3C0E" w:rsidRPr="002C5E33" w:rsidRDefault="00AF3C0E" w:rsidP="002C5E33">
      <w:pPr>
        <w:pStyle w:val="3"/>
        <w:rPr>
          <w:b w:val="0"/>
          <w:bCs/>
          <w:rtl/>
        </w:rPr>
      </w:pPr>
      <w:bookmarkStart w:id="31" w:name="_Toc234084439"/>
      <w:r w:rsidRPr="002C5E33">
        <w:rPr>
          <w:rFonts w:hint="cs"/>
          <w:b w:val="0"/>
          <w:bCs/>
          <w:rtl/>
        </w:rPr>
        <w:t>أولا: الدراسات التي تناولت المتغير المستقل التحول الصحي</w:t>
      </w:r>
      <w:bookmarkEnd w:id="31"/>
    </w:p>
    <w:p w14:paraId="07DC4C2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دراسة العازمي (2025) هدفت هذه الدراسة إلى تقييم فعالية برامج التحول الصحي في المؤسسات الصحية بمدينة حائل بالمملكة العربية السعودية، ودورها في استدامة الخدمات الاجتماعية والصحية للمستفيدين. انطلقت الدراسة من مفهوم الصحة المعيارية كنموذج يعزز رفاهية المجتمع والأسرة، ويرتكز على مبادئ الإدارة الشاملة والجودة المستدامة في القطاع الصحي. اعتمد الباحث على المنهج الاستقصائي التقييمي من خلال أسلوب المسح الاجتماعي بالعينة، حيث شملت العينة (295) مستجيبًا من ست مؤسسات صحية </w:t>
      </w:r>
      <w:r w:rsidRPr="00D201D3">
        <w:rPr>
          <w:rFonts w:ascii="Simplified Arabic" w:hAnsi="Simplified Arabic" w:cs="Simplified Arabic" w:hint="cs"/>
          <w:sz w:val="28"/>
          <w:szCs w:val="28"/>
          <w:rtl/>
        </w:rPr>
        <w:lastRenderedPageBreak/>
        <w:t>مشاركة في برامج التحول الصحي، أظهرت النتائج وجود مستوى مرتفع من الفعالية في البرامج والخدمات المقدمة، بما يسهم في تحسين جودة الرعاية الصحية وضمان استدامتها، كما كشفت الدراسة عن مجموعة من المعوقات التي تحد من القدرة على تلبية احتياجات المرضى بشكل كامل، أبرزها محدودية بعض الموارد وضعف البنية التحتية في بعض المرافق.</w:t>
      </w:r>
    </w:p>
    <w:p w14:paraId="29626E0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 الشهري وآخرون 2024 هدفت هذه الدراسة إلى بيان مدى تأثير تطبيق استراتيجية التحول الصحي في تقديم الخدمات من وجهة نظر الموظفين في المملكة، ولتحقيق أهدافها استخدم الباحث المنهج الوصفي التحليلي ووزع استبانة على العاملين الإداريين في المستشفيات ومراكز الرعاية الصحية في المملكة، حيث بلغ عدد الاستبانات الموزعة 136 بعد التأكد من صحتها للإحصاء. توصَّلت الدراسة إلى أن هناك مستوى مرتفع من التحول الصحي بأبعاده الثلاثة زيادة كفاءة استخدام الموارد، استبعاد المخاطر المالية للمرضى، وتمويل النظام الصحي في المؤسسات الصحية السعودية، كما لوحِظ مستوى مرتفع في تقديم الخدمات الصحية. ووجدت تأثيرًا طرديًا دالًا إحصائيًا بين أبعاد التحول الصحي ومستوى تقديم الخدمات الصحية أوصت الدراسة بضرورة رفع مستوى العاملين في المراكز الصحية، وتوفير بيئة محفزة وداعمة للعمل الجاد، وتعزيز التواصل الفعّال مع المستفيدين من الخدمات الصحية، فضلاً عن الحفاظ على الأداء المتميز بوفْر الإمكانيات اللازمة لتحقيق أهداف رؤية المملكة 2030</w:t>
      </w:r>
    </w:p>
    <w:p w14:paraId="4022DD2D" w14:textId="77777777" w:rsidR="00AF3C0E" w:rsidRPr="00D201D3" w:rsidRDefault="00AF3C0E" w:rsidP="00BD5864">
      <w:pPr>
        <w:spacing w:line="240" w:lineRule="auto"/>
        <w:jc w:val="both"/>
        <w:rPr>
          <w:rFonts w:ascii="Simplified Arabic" w:hAnsi="Simplified Arabic" w:cs="Simplified Arabic"/>
          <w:sz w:val="28"/>
          <w:szCs w:val="28"/>
          <w:rtl/>
        </w:rPr>
      </w:pPr>
    </w:p>
    <w:p w14:paraId="148BE5C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Ongaro ‎</w:t>
      </w:r>
      <w:r w:rsidRPr="00D201D3">
        <w:rPr>
          <w:rFonts w:ascii="Simplified Arabic" w:hAnsi="Simplified Arabic" w:cs="Simplified Arabic" w:hint="cs"/>
          <w:sz w:val="28"/>
          <w:szCs w:val="28"/>
          <w:rtl/>
        </w:rPr>
        <w:t>وآخرون 2024 وهدفت هذه الدراسة إلى إجراء مراجعة منهجية للأدبيات بغرض ‏استكشاف الممارسات التحويلية في خدمات الرعاية الصحية، وفهم نتائجها على صعيد رفاهية المرضى ‏والموظفين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 متكامل لتوجيه التحول ‏في قطاع الرعاية الصحية، وحددت فجوات بحثية رئيسية يمكن أن تبنى عليها دراسات مستقبلية. وأوصت ‏الدراسة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الصحي</w:t>
      </w:r>
    </w:p>
    <w:p w14:paraId="768006E4" w14:textId="2E64A948"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دراسة فرطاقي (2018) هدفت هذه الدراسة إلى تحليل إشكالية تمويل المنظومة الصحية في الجزائر في ظل التحديات الاقتصادية والديموغرافية، مع التركيز على تأثير التحولات الصحية والاجتماعية على استدامة نظام التأمين الصحي، اعتمدت الباحثة على منهج وصفي تحليلي لدراسة واقع الصحة في الجزائر، خاصة </w:t>
      </w:r>
      <w:r w:rsidRPr="00D201D3">
        <w:rPr>
          <w:rFonts w:ascii="Simplified Arabic" w:hAnsi="Simplified Arabic" w:cs="Simplified Arabic" w:hint="cs"/>
          <w:sz w:val="28"/>
          <w:szCs w:val="28"/>
          <w:rtl/>
        </w:rPr>
        <w:lastRenderedPageBreak/>
        <w:t>في ظل انتشار الأمراض المزمنة وارتفاع نسب الشيخوخة السكانية، وانعكاس ذلك على قدرة صناديق التأمين الصحي على تمويل الخدمات الطبية. أوضحت النتائج أن محدودية الموارد المالية، وارتفاع نسب البطالة، والاعتماد الكبير على الهيكل الديموغرافي والنشاط المهني كمصادر للتمويل، تشكل عوائق رئيسية أمام تحقيق تحول صحي ومستدام، كما بينت الدراسة أن السياسات الإصلاحية المعتمدة حتى الآن تسعى لتحقيق توازن مالي لصناديق الضمان الاجتماعي، لكنها لا تزال بحاجة إلى آليات مبتكرة تعزز مبادئ التضامن والمساواة في الحصول على العلاج، وتضمن تطوير الخدمات الصحية بما يتماشى مع متطلبات التحول الصحي الشامل.</w:t>
      </w:r>
    </w:p>
    <w:p w14:paraId="28953DE8" w14:textId="77777777" w:rsidR="00AF3C0E" w:rsidRPr="002C5E33" w:rsidRDefault="00AF3C0E" w:rsidP="002C5E33">
      <w:pPr>
        <w:pStyle w:val="3"/>
        <w:rPr>
          <w:b w:val="0"/>
          <w:bCs/>
          <w:rtl/>
        </w:rPr>
      </w:pPr>
      <w:bookmarkStart w:id="32" w:name="_Toc234084440"/>
      <w:r w:rsidRPr="002C5E33">
        <w:rPr>
          <w:rFonts w:hint="cs"/>
          <w:b w:val="0"/>
          <w:bCs/>
          <w:rtl/>
        </w:rPr>
        <w:t>ثانيا : الدراسات التي تناولت العلاقة بين أكثر من متغير(شاملة رفاهية الموظف)</w:t>
      </w:r>
      <w:bookmarkEnd w:id="32"/>
    </w:p>
    <w:p w14:paraId="0074C87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Ongaro ‎</w:t>
      </w:r>
      <w:r w:rsidRPr="00D201D3">
        <w:rPr>
          <w:rFonts w:ascii="Simplified Arabic" w:hAnsi="Simplified Arabic" w:cs="Simplified Arabic" w:hint="cs"/>
          <w:sz w:val="28"/>
          <w:szCs w:val="28"/>
          <w:rtl/>
        </w:rPr>
        <w:t>وآخرون 2024 وهدفت هذه الدراسة إلى إجراء مراجعة منهجية للأدبيات بغرض استكشاف الممارسات التحويلية في خدمات الرعاية الصحية التحول الصحي كمتغير مستقل، وفهم نتائجها على صعيد رفاهية المرضى والموظفين المتغير الوسيط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إطارًا متكاملًا لتوجيه التحول في قطاع الرعاية الصحية، وحددت فجوات بحثية رئيسية يمكن أن تبنى عليها دراسات مستقبلية. وأوصت 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الصحي.</w:t>
      </w:r>
    </w:p>
    <w:p w14:paraId="1B3B7F9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Ahsan &amp; Khawaja 2024</w:t>
      </w:r>
      <w:r w:rsidRPr="00D201D3">
        <w:rPr>
          <w:rFonts w:ascii="Simplified Arabic" w:hAnsi="Simplified Arabic" w:cs="Simplified Arabic" w:hint="cs"/>
          <w:sz w:val="28"/>
          <w:szCs w:val="28"/>
          <w:rtl/>
        </w:rPr>
        <w:t xml:space="preserve"> هدفت هذه الدراسة إلى تحليل العلاقة بين القيادة المستدامة متغير مستقل ورفاهية الموظفين متغير وسيط والأداء البيئي متغير تابع في قطاع تكنولوجيا المعلومات في الدنمارك، من خلال دمج نظريتي القيادة المستدامة والتبادل الاجتماعي. استخدمت الدراسة المنهج الكمي التحليلي عبر نموذج المعادلات الهيكلية الجزئية</w:t>
      </w:r>
      <w:r w:rsidRPr="00D201D3">
        <w:rPr>
          <w:rFonts w:ascii="Simplified Arabic" w:hAnsi="Simplified Arabic" w:cs="Simplified Arabic" w:hint="cs"/>
          <w:sz w:val="28"/>
          <w:szCs w:val="28"/>
        </w:rPr>
        <w:t>‎ PLS-SEM ‎</w:t>
      </w:r>
      <w:r w:rsidRPr="00D201D3">
        <w:rPr>
          <w:rFonts w:ascii="Simplified Arabic" w:hAnsi="Simplified Arabic" w:cs="Simplified Arabic" w:hint="cs"/>
          <w:sz w:val="28"/>
          <w:szCs w:val="28"/>
          <w:rtl/>
        </w:rPr>
        <w:t>على عينة من العاملين في القطاع، للتحقق من العلاقات المباشرة وغير المباشرة بين المتغيرات. وأظهرت النتائج وجود علاقة إيجابية قوية بين القيادة المستدامة ورفاهية الموظفين، كما تبين أن رفاهية الموظفين تلعب دور وسيط في دعم العلاقة بين القيادة والأداء المؤسسي، كما دعمت النتائج دور المرونة التنظيمية في تحسين هذه العلاقة. وأوصت الدراسة بضرورة تبني نماذج قيادية تركز على الاستدامة، وتعزز رفاهية العاملين باعتبارها عنصراً استراتيجياً لرفع الأداء التنظيمي، مشيرة إلى أهمية إدماج مفاهيم الرفاهية النفسية ضمن التوجهات القيادية الحديثة لتحقيق بيئة عمل داعمة ومستدامة</w:t>
      </w:r>
    </w:p>
    <w:p w14:paraId="61F0065B" w14:textId="66BEEC98"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دراسة</w:t>
      </w:r>
      <w:r w:rsidRPr="00D201D3">
        <w:rPr>
          <w:rFonts w:ascii="Simplified Arabic" w:hAnsi="Simplified Arabic" w:cs="Simplified Arabic" w:hint="cs"/>
          <w:sz w:val="28"/>
          <w:szCs w:val="28"/>
        </w:rPr>
        <w:t>‎ Speicher &amp; Francis 2023</w:t>
      </w:r>
      <w:r w:rsidRPr="00D201D3">
        <w:rPr>
          <w:rFonts w:ascii="Simplified Arabic" w:hAnsi="Simplified Arabic" w:cs="Simplified Arabic" w:hint="cs"/>
          <w:sz w:val="28"/>
          <w:szCs w:val="28"/>
          <w:rtl/>
        </w:rPr>
        <w:t xml:space="preserve"> ركزت هذه الدراسة على تحليل ظاهرة الاحتراق الوظيفي المتغير التابع في القطاع الصحي بعد جائحة كوفيد-19، وما تبعها من معدلات مرتفعة للاستقالات وانخفاض الرضا الوظيفي رفاهية الموظفين كمتغير وسيط، اعتمدت الدراسة على تحليل بيانات استطلاعات واسعة النطاق أجرتها مؤسسة غالوب والجمعية الطبية الأمريكية، والتي شملت أكثر من 12 ألف موظف، وأظهرت أن العاملين في القطاع الصحي من بين أكثر الفئات عرضة للإرهاق المهني. وتوصلت الدراسة إلى أن الإرهاق يؤدي إلى انخفاض رضا العمل وزيادة النية لترك الوظيفة، ويؤثر على النتائج السريرية. كما ناقشت الدراسة عددًا من التدخلات المؤسسية والفردية للحد من الاحتراق، منها العمل الجماعي، ودعم اتخاذ القرار، وتخفيف أعباء التوثيق. وأوصت الدراسة بضرورة تبني نهج تكاملي يعزز بيئة العمل النفسية المتغير التابع ويدعم رفاهية الموظفين من خلال التدخلات التي تقودها المؤسسات، وتوفير الدعم النفسي، والتقدير المعنوي، إلى جانب أهمية إشراك العاملين في تصميم الحلول، وشددت على ضرورة سن سياسات وطنية داعمة وتخصيص تمويل لتعزيز الصحة النفسية للعاملين الصحيين.</w:t>
      </w:r>
    </w:p>
    <w:p w14:paraId="782FB32B" w14:textId="45878153" w:rsidR="00AF3C0E" w:rsidRPr="002C5E33" w:rsidRDefault="00AF3C0E" w:rsidP="002C5E33">
      <w:pPr>
        <w:pStyle w:val="3"/>
        <w:rPr>
          <w:b w:val="0"/>
          <w:bCs/>
          <w:rtl/>
        </w:rPr>
      </w:pPr>
      <w:bookmarkStart w:id="33" w:name="_Toc234084441"/>
      <w:r w:rsidRPr="002C5E33">
        <w:rPr>
          <w:rFonts w:hint="cs"/>
          <w:b w:val="0"/>
          <w:bCs/>
          <w:rtl/>
        </w:rPr>
        <w:t>ثالثا: الدراسات التي تناولت بيئة العمل النفسية المستدامة</w:t>
      </w:r>
      <w:bookmarkEnd w:id="33"/>
    </w:p>
    <w:p w14:paraId="58F9791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Braim 2025</w:t>
      </w:r>
      <w:r w:rsidRPr="00D201D3">
        <w:rPr>
          <w:rFonts w:ascii="Simplified Arabic" w:hAnsi="Simplified Arabic" w:cs="Simplified Arabic" w:hint="cs"/>
          <w:sz w:val="28"/>
          <w:szCs w:val="28"/>
          <w:rtl/>
        </w:rPr>
        <w:t xml:space="preserve"> هدفت هذه الدراسة إلى استكشاف التزام الإدارة ودورها في تهيئة بيئة عمل ‏مستدامة ومحفزة في قطاع الخدمات الصحية. اعتمدت الدراسة على منهج نوعي، حيث تم جمع البيانات ‏من خلال مقابلات شبه منظمة مع 30 موظفًا من العاملين في القطاع الصحي ممن شاركوا طوعا ، وقد ‏تم تحليل البيانات باستخدام برنامج</w:t>
      </w:r>
      <w:r w:rsidRPr="00D201D3">
        <w:rPr>
          <w:rFonts w:ascii="Simplified Arabic" w:hAnsi="Simplified Arabic" w:cs="Simplified Arabic" w:hint="cs"/>
          <w:sz w:val="28"/>
          <w:szCs w:val="28"/>
        </w:rPr>
        <w:t>‎ Nvivo ‎</w:t>
      </w:r>
      <w:r w:rsidRPr="00D201D3">
        <w:rPr>
          <w:rFonts w:ascii="Simplified Arabic" w:hAnsi="Simplified Arabic" w:cs="Simplified Arabic" w:hint="cs"/>
          <w:sz w:val="28"/>
          <w:szCs w:val="28"/>
          <w:rtl/>
        </w:rPr>
        <w:t>لتحليل المحتوى النوعي ومنها أظهرت النتائج أن التزام ‏الإدارة، وفعالية التنفيذ ومهارات القيادة والالتزام بالمهام والتحسين المستمر، والعمل الجماعي حيث تعد ‏من أبرز العوامل التي تساهم في بناء بيئة عمل نفسية مستدامة. وبينت الدراسة أهمية المشاركة الإدارية ، ‏والتعاون بين الفرق وتعزيز استمرارية التحسينات التشغيلية كمرتكزات لخلق بيئة داعمة ومنها أوصت ‏الدراسة بضرورة توسيع نطاق البحث مستقبل ليشمل عينات من مناطق جغرافية مختلفة، ما يساعد في ‏زيادة مصداقية النتائج وعموميتها، كما أكدت على دور الإدارة في تحقيق بيئة عمل محفزة ومستقرة نفسيا ‏داخل مرافق الرعاية الصحية</w:t>
      </w:r>
      <w:r w:rsidRPr="00D201D3">
        <w:rPr>
          <w:rFonts w:ascii="Simplified Arabic" w:hAnsi="Simplified Arabic" w:cs="Simplified Arabic" w:hint="cs"/>
          <w:sz w:val="28"/>
          <w:szCs w:val="28"/>
        </w:rPr>
        <w:t>‎.‎</w:t>
      </w:r>
    </w:p>
    <w:p w14:paraId="75A887E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دراسة غالب  2024 وسعت إلى كشف أثر بيئة العمل الداخلية على الإبداع ‏الإداري، وقد استخدام المنهج الوصفي التحليلي، كما استخدم الباحث الاستبانة كأداة ‏لجم البيانات، وتكونت العينة من 107 موظفاً، وأظهرت نتائج الدراسة إن واقع بيئة ‏العمل الداخلية في المستشفى العسكري كان عالياً بشكل عام، ووجود أثر لبيئة العمل ‏على مستوى الإبداع الإداري لدى أفراد العينة، وكما توصلت الدراسة إقامة دورات ‏تدريبية لتنمية المهارات الذهنية لدى الموظفين وكيفية حل المشاكل التي يواجهونها ‏بالعمل كدورة كيفية العمل في فريق، اتخاذ القرارات لحل المشكلات وغيرها. ‏وكما أن بيئة العمل تشمل العوامل المادية والاجتماعية ذات </w:t>
      </w:r>
      <w:r w:rsidRPr="00D201D3">
        <w:rPr>
          <w:rFonts w:ascii="Simplified Arabic" w:hAnsi="Simplified Arabic" w:cs="Simplified Arabic" w:hint="cs"/>
          <w:sz w:val="28"/>
          <w:szCs w:val="28"/>
          <w:rtl/>
        </w:rPr>
        <w:lastRenderedPageBreak/>
        <w:t>العلاقة بالمؤسسة والتي ‏تقع ضمن نشاطاتها والتي لعا علاقة مباشرة بسلوك الموظفين في اتخاذ القرارات في ‏المؤسسة على أساس الأنشطة والوظائف التي تمارس في إطار المؤسسة غالب، ‏‏2024، 132.‏</w:t>
      </w:r>
    </w:p>
    <w:p w14:paraId="6ED21A6C" w14:textId="7A791B86"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ركزت دراسة بو حالة؛ بوطة 2023 على مدى تأثير بيئة العمل في الإبداع ‏التنظيمي في مؤسسة الاقتصادية، حيث تم استخدام المنهج الوصفي، وتكونت العينة ‏من 31 عامل، ولتحقيق أهداف الدراسة تم الاعتماد على الاستبانة كأداة لجمع ‏البيانات، وأظهرت نتائج الدراسة تؤثر بعض أبعاد بيئة العمل ممثلة في تكنولوجيا ‏المعلومات، وظروف العمل في الإبداع التنظيمي في مؤسسة. وتعد بيئة العمل النفسية ‏على أنها تتكون من متغيرات عوامل القوة والضعف داخل المنظمة نفسها وتخضع ‏لرقابة الإدارة العليا في الأجل القصير وتشمل الهيكل التنظيمي والثقافة والموارد، ‏والعوامل الموجودة داخل أسوار المنظمة مثل: هيكل المديرين، وهيكل القيم والثقافة ‏الداخلية والأنظمة الداخلية والتسويق والإنتاج والتمويل والموارد البشرية ونظم ‏المعلومات والبحوث والتطوير</w:t>
      </w:r>
    </w:p>
    <w:p w14:paraId="0D4C85A4"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دراسة </w:t>
      </w:r>
      <w:r w:rsidRPr="00D201D3">
        <w:rPr>
          <w:rFonts w:ascii="Simplified Arabic" w:hAnsi="Simplified Arabic" w:cs="Simplified Arabic" w:hint="cs"/>
          <w:sz w:val="28"/>
          <w:szCs w:val="28"/>
        </w:rPr>
        <w:t>Kobal, &amp; Babnik (2022)</w:t>
      </w:r>
      <w:r w:rsidRPr="00D201D3">
        <w:rPr>
          <w:rFonts w:ascii="Simplified Arabic" w:hAnsi="Simplified Arabic" w:cs="Simplified Arabic" w:hint="cs"/>
          <w:sz w:val="28"/>
          <w:szCs w:val="28"/>
          <w:rtl/>
        </w:rPr>
        <w:t xml:space="preserve"> هدفت هذه الدراسة إلى إجراء مراجعة منهجية نقدية للأبحاث الحديثة حول مفهوم الاستدامة الاجتماعية في بيئة العمل، باعتباره مفهومًا ناشئًا لم تتبلور له بعد تعريفات أو أطر تفسيرية واضحة، بخلاف الاستدامة البيئية التي حظيت بانتشار واسع ركزت الدراسة على الأبحاث المنشورة بين عامي 2016 و2022، بثلاثة من أهداف التنمية المستدامة، وهي: الصحة والرفاهية (الهدف الثالث)، المساواة بين الجنسين (الهدف الخامس)، والعمل اللائق (الهدف الثامن). وبالنظر إلى الأحداث العالمية خلال العامين الأخيرين، مثل جائحة كوفيد-19 وتأثيرات الحرب في أوكرانيا، توسعت الدراسة لاستكشاف مدى تضمين فئات أخرى كالأمن (الهدف الحادي عشر) والسلام (الهدف السادس عشر) في مفهوم الاستدامة الاجتماعية في العمل ، واعتمد الباحثون على قواعد بيانات </w:t>
      </w:r>
      <w:r w:rsidRPr="00D201D3">
        <w:rPr>
          <w:rFonts w:ascii="Simplified Arabic" w:hAnsi="Simplified Arabic" w:cs="Simplified Arabic" w:hint="cs"/>
          <w:sz w:val="28"/>
          <w:szCs w:val="28"/>
        </w:rPr>
        <w:t>EBSCOhost</w:t>
      </w:r>
      <w:r w:rsidRPr="00D201D3">
        <w:rPr>
          <w:rFonts w:ascii="Simplified Arabic" w:hAnsi="Simplified Arabic" w:cs="Simplified Arabic" w:hint="cs"/>
          <w:sz w:val="28"/>
          <w:szCs w:val="28"/>
          <w:rtl/>
        </w:rPr>
        <w:t xml:space="preserve">، بما في ذلك </w:t>
      </w:r>
      <w:r w:rsidRPr="00D201D3">
        <w:rPr>
          <w:rFonts w:ascii="Simplified Arabic" w:hAnsi="Simplified Arabic" w:cs="Simplified Arabic" w:hint="cs"/>
          <w:sz w:val="28"/>
          <w:szCs w:val="28"/>
        </w:rPr>
        <w:t>Academic Search Complete، Business Source Premier، APA PsycInfo، SocINDEX with Full Text</w:t>
      </w:r>
      <w:r w:rsidRPr="00D201D3">
        <w:rPr>
          <w:rFonts w:ascii="Simplified Arabic" w:hAnsi="Simplified Arabic" w:cs="Simplified Arabic" w:hint="cs"/>
          <w:sz w:val="28"/>
          <w:szCs w:val="28"/>
          <w:rtl/>
        </w:rPr>
        <w:t>، و</w:t>
      </w:r>
      <w:r w:rsidRPr="00D201D3">
        <w:rPr>
          <w:rFonts w:ascii="Simplified Arabic" w:hAnsi="Simplified Arabic" w:cs="Simplified Arabic" w:hint="cs"/>
          <w:sz w:val="28"/>
          <w:szCs w:val="28"/>
        </w:rPr>
        <w:t>GreenFILE</w:t>
      </w:r>
      <w:r w:rsidRPr="00D201D3">
        <w:rPr>
          <w:rFonts w:ascii="Simplified Arabic" w:hAnsi="Simplified Arabic" w:cs="Simplified Arabic" w:hint="cs"/>
          <w:sz w:val="28"/>
          <w:szCs w:val="28"/>
          <w:rtl/>
        </w:rPr>
        <w:t>، وأسفرت عملية البحث عن اختيار 67 دراسة خلصت الدراسة إلى تطوير نموذج نظري يصف البنية النفسية لمفهوم الاستدامة الاجتماعية في بيئة العمل، من منظور أهداف التنمية المستدامة، مما يسهم في توسيع الفهم الأكاديمي والتطبيقي لهذا المجال الناشئ</w:t>
      </w:r>
    </w:p>
    <w:p w14:paraId="4BAFA75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Gabriel &amp; Aguinis 2022</w:t>
      </w:r>
      <w:r w:rsidRPr="00D201D3">
        <w:rPr>
          <w:rFonts w:ascii="Simplified Arabic" w:hAnsi="Simplified Arabic" w:cs="Simplified Arabic" w:hint="cs"/>
          <w:sz w:val="28"/>
          <w:szCs w:val="28"/>
          <w:rtl/>
        </w:rPr>
        <w:t xml:space="preserve"> واستعرضت أبرز التوصيات المستندة إلى الأدلة العلمية لمواجهة ‏ظاهرة الاحتراق الوظيفي لدى الموظفين، وذلك من خلال وجود بيئات عمل صحية ومستدامة، وخاصة ‏خلال فترات الأزمات مثل جائحة كوفيد-19، وقد اعتمدت الدراسة على مراجعة منهجية للأدبيات المتعلقة ‏بالإرهاق المهني، مع تسليط الضوء على آثاره السلبية على الأداء، والابتكار، والصحة النفسية والجسدية، ‏ومعدلات التغيب، والتكلفة المؤسسية والمجتمعية، ومنها اقترحت الدراسة خمس توصيات رئيسية للحد من ‏الاحتراق المهني: 1 توفير تدخلات فعالة لإدارة الإجهاد، 2 تمكين الموظفين من أن يكونوا منتجين ‏وفاعلين، 3 تعزيز الدعم الاجتماعي داخل بيئة العمل، 4 إشراك العاملين في عمليات اتخاذ القرار، ‏و5 تطبيق أنظمة </w:t>
      </w:r>
      <w:r w:rsidRPr="00D201D3">
        <w:rPr>
          <w:rFonts w:ascii="Simplified Arabic" w:hAnsi="Simplified Arabic" w:cs="Simplified Arabic" w:hint="cs"/>
          <w:sz w:val="28"/>
          <w:szCs w:val="28"/>
          <w:rtl/>
        </w:rPr>
        <w:lastRenderedPageBreak/>
        <w:t>إدارة أداء عالية الكفاءة، وأوصت الدراسة القادة في المؤسسات بتطبيق هذه التوصيات ‏كإستراتيجية لتقوية البيئة النفسية للعمل، وضمان استدامة بيئة العمل الصحية في الأزمات وما بعدها، مما ‏يضمن استقرار الموظفين ورفع مستوى الأداء الوظيفي العام</w:t>
      </w:r>
    </w:p>
    <w:p w14:paraId="2CB38860"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w:t>
      </w:r>
      <w:r>
        <w:rPr>
          <w:rFonts w:ascii="Simplified Arabic" w:hAnsi="Simplified Arabic" w:cs="Simplified Arabic" w:hint="cs"/>
          <w:sz w:val="28"/>
          <w:szCs w:val="28"/>
          <w:rtl/>
        </w:rPr>
        <w:t xml:space="preserve">ة </w:t>
      </w:r>
      <w:r>
        <w:rPr>
          <w:rFonts w:ascii="Simplified Arabic" w:hAnsi="Simplified Arabic" w:cs="Simplified Arabic" w:hint="cs"/>
          <w:sz w:val="28"/>
          <w:szCs w:val="28"/>
        </w:rPr>
        <w:t>Hunecke, 2021</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تناولت هذه الدراسة حدود تأثير الثروة المادية على الرفاهية الذاتية في الدول الصناعية المتقدمة، مشيرة إلى أن الزيادات في الثراء المادي لم تعد ترفع مستويات الرفاهية بشكل ملموس. وفي إطار التحول الثقافي نحو مجتمع ما بعد النمو، أكدت الدراسة ضرورة دعم الأفراد لتطوير مواردهم النفسية الداخلية بما يضمن الحفاظ على رفاهيتهم الذاتية بعيدًا عن الاعتماد على الثروة المادية وخلصت الدراسة إلى تحديد ستة موارد نفسية أساسية يمكن أن تدعم التحول الثقافي نحو أنماط حياة مستدامة، وهي: القدرة على التمتع، تقبل الذات، الكفاءة الذاتية، اليقظة الذهنية، بناء المعنى، والتضامن. وأوضحت أن هذه الموارد يمكن تعزيزها من خلال برامج موجهة مثل برامج تعزيز الصحة، أو في سياقات الإرشاد والتدريب، إضافة إلى إمكانية دعمها في بيئات تنظيمية ومؤسسية متنوعة مثل المدارس، والجامعات، والشركات، والمنظمات غير الربحية، والمجتمعات المحلية في الأحياء الحضرية. وأكدت الدراسة أن نقطة الانطلاق نحو هذا التحول الثقافي تبدأ من مستوى الفرد، باعتباره محور التغيير نحو أنماط الحياة المستدامة.</w:t>
      </w:r>
    </w:p>
    <w:p w14:paraId="1BC00D3E" w14:textId="1321E3BC"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توتي 2020 إلى التعرف على مستوى بيئة العمل النفسية لعمال ‏شرك الكهريف مدينة تقرت والكشف على طبيعة العلاقة بين بيئة العمل النفسية ‏والأداء الوظيفي لديهم، ومعرفة ما إذا كانت هناك فروق في بيئة العمل النفسية لعمال ‏شركة الكهريف بمدينة تقرت تعزى إلى نوعية منصب العمل الإداري والتقني وإلى ‏نوعية عقد العمل دائم ومؤقت، وتكونت عينة الدراسة من 60 عاملاً، ولتحقيق ‏أهداف الدراسة تم الاعتماد المنهج الوصفي في جمع البيانات والمعلومات، وذلك ‏باستخدام الاستبانة بيئة العمل والأداء الوظيفي ولقد تم التأكد من خصائصها ‏السيكومترية، ولمعالجة البيانات تم استخدام الأساليب الإحصائية، وقد أظهرت نتائج ‏الدراسة أنه يوجد علاقة بين بيئة العمل النفسية والأداء الوظيفي لدى عمال شركة ‏الكهريف بمدينة تقرت مرتفع، ولا يوجد فروق فردية ذات دلالة إحصائية بين بيئة ‏العمل النفسية لدى عمال شركة الكهريف بمدينة تقرت وتعزى لمتغير منصب العمل ‏‏إداري، تقني</w:t>
      </w:r>
      <w:r>
        <w:rPr>
          <w:rFonts w:ascii="Simplified Arabic" w:hAnsi="Simplified Arabic" w:cs="Simplified Arabic" w:hint="cs"/>
          <w:sz w:val="28"/>
          <w:szCs w:val="28"/>
          <w:rtl/>
        </w:rPr>
        <w:t>.</w:t>
      </w:r>
    </w:p>
    <w:p w14:paraId="31C8B367" w14:textId="77777777" w:rsidR="00AF3C0E" w:rsidRPr="002C5E33" w:rsidRDefault="00AF3C0E" w:rsidP="002C5E33">
      <w:pPr>
        <w:pStyle w:val="3"/>
        <w:rPr>
          <w:b w:val="0"/>
          <w:bCs/>
          <w:rtl/>
        </w:rPr>
      </w:pPr>
      <w:bookmarkStart w:id="34" w:name="_Toc234084442"/>
      <w:r w:rsidRPr="002C5E33">
        <w:rPr>
          <w:rFonts w:hint="cs"/>
          <w:b w:val="0"/>
          <w:bCs/>
          <w:rtl/>
        </w:rPr>
        <w:t>رابعا: الدراسات التي تناولت الاحتراق الوظيفي</w:t>
      </w:r>
      <w:bookmarkEnd w:id="34"/>
    </w:p>
    <w:p w14:paraId="7B9752E0"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سعت دراسة اليماني 2023 إلى التعرف على حجم تأثير الاحتراق الوظيفي ‏على جودة الخدمات الصحية في المستشفيات الحكومية بمحافظة إب، وتكونت عينة ‏الدراسة من الموظفين الأطباء، الممرضين، الإداريين لقياس مستوى الاحتراق ‏الوظيفي وبلغ عددهم 297 طبيباً وممرضاً وإدارياً، وتكونت العينة الثانية لقياس ‏جودة الخدمات الصحية من المرضى المرقدين وبلغ عددهم 260 مريضاً، وقد ‏خلصت الدراسة إلى عدة نتائج أهمها: أن أفراد عينة الدراسة الموظفين يعانون من ‏مستوى احتراق وظيفي بدرجة متوسطة على </w:t>
      </w:r>
      <w:r w:rsidRPr="00D201D3">
        <w:rPr>
          <w:rFonts w:ascii="Simplified Arabic" w:hAnsi="Simplified Arabic" w:cs="Simplified Arabic" w:hint="cs"/>
          <w:sz w:val="28"/>
          <w:szCs w:val="28"/>
          <w:rtl/>
        </w:rPr>
        <w:lastRenderedPageBreak/>
        <w:t>المستوى الكلي، ويرى أفراد العينة ‏‏المرضى أن مستوى جودة الخدمات الصحية التي تقدمها المستشفيات ذات جودة ‏متوسطة، ويوجد تأثير لبعد الإجهاد الوظيفي ولبعد تدني الإنجاز الشخصي على جودة ‏الخدمات الصحية، لا يوجد تأثير لبعد فقدان الشعور بالعنصر الإنساني على جودة ‏الخدمات الصحية، الكلمات المفتاحية: الاحتراق الوظيفي، جودة الخدمات الصحية</w:t>
      </w:r>
      <w:r w:rsidRPr="00D201D3">
        <w:rPr>
          <w:rFonts w:ascii="Simplified Arabic" w:hAnsi="Simplified Arabic" w:cs="Simplified Arabic" w:hint="cs"/>
          <w:sz w:val="28"/>
          <w:szCs w:val="28"/>
        </w:rPr>
        <w:t>‎.‎</w:t>
      </w:r>
    </w:p>
    <w:p w14:paraId="7753611E"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الصبحي 2022 إلى معرفة مستوى الاحتراق الوظيفي وأثره على ‏الأداء الوظيفي لدى الموظفين الإداريين العاملين في وزارة الشؤون البلدية والقروية ‏أمانة محافظة جدة، وتكونت عينة الدراسة من 149 إداري أمانة محافظة جدة تم ‏اختيارها بالطريقة العشوائية، واستخدمت الباحثة المنهج الوصفي التحليلي، وبعد ‏تحليل البيانات توصلت الدراسة إلى اهم النتائج التالية: أن العاملين في الوظائف ‏الإدارية في وزارة الشؤون البلدية والقروية – أمانة محافظة جدة يعانون بصفة عامة ‏درجات مرتفعة من الاحتراق الوظيفي على بعدي الإجهاد الانفعالي والإنجاز ‏الشخصي، أما على البعد الثالث عدم الإنسانية فقد أظهرت النتائج انخفاض مستوى ‏الاحتراق الوظيفي لعينة الدراسة وهناك علاقة طردية ذات دلالة إحصائية بين ‏صلاحيات العمل ودرجة الاحتراق الوظيفي بأبعاده الثلاثة كما توجد علاقة ذات دلالة ‏إحصائية بين ضغط العمل ودرجة الاحتراق الوظيفي حيث كانت العلاقة بين الضغوط ‏والاحتراق من أقوى العلاقات في هذه الدراسة وأوصت الدراسة بضرورة الاهتمام من ‏قبل الجهات المختصة في وزارة الشؤون البلدية والقروية أمانة محافظة جدة بهذه ‏الظاهرة وتبني استراتيجيات تكسر الصرامة وضغط الأعمال وأهمية الاهتمام ‏بالدورات الإدارية المركزة لجميع الموظفين خاصة في المستويات الإدارية العليا في ‏فن الإدارة العلمية وفن التعامل مع موظفيهم وتفويض الصلاحيات ورفع معنويات ‏موظفيهم من خلال تبني صنوف مختلفة من الحوافز المعنوية كشهادات الشكر ‏والتقدير أو بالتعزيز القولي مما سيؤثر في نفسيات مرؤوسيهم وأهمية تطوير برامج ‏للموظفين تعمل على تقديم خدمات طبية وعلاجية ومساعدة الموظفين في عملية ‏الاندماج الوظيفي.‏</w:t>
      </w:r>
    </w:p>
    <w:p w14:paraId="54C1C4F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الأسمري 2022 إلى تحديد دور الرشاقة التنظيمية للتخفيف من ‏الاحتراق الوظيفي للأخصائيين الاجتماعيين بالمجال الصحي، وتكونت عينة الدراسة ‏الأساسية من 80 أخصائي اجتماعي من العاملين بتجمع مكة المكرمة الصحي، ‏واستخدمت الدراسة استمارة استبيان خاصة بالأخصائيين الاجتماعيين، وأظهرت نتائج ‏الدراسة وجود مستوى متوسط لمتغيرات الرشاقة التنظيمية للإجهاد الوظيفي، والرشاقة ‏التنظيمية في تحسين بيئة العمل، والرشاقة التنظيمية وضعف الروح المعنوية، وقد ‏أوصت الدراسة بضرورة توفير دورات تدريبية لرفع كفاءة الأخصائيين الاجتماعيين ‏وفريق العمل للتعامل مع التغييرات التي أحدثها الاحتراق الوظيفي، ولابد من اهتمام ‏المسئولين بتطبيق أبعاد الرشاقة التنظيمية، التي تعزز القدرات التنافسية للقطاع ‏الصحي السعودي.‏</w:t>
      </w:r>
    </w:p>
    <w:p w14:paraId="28AD33E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هدفت دراسة اليامي 2022 إلى التعرف على أثر الاحتراق بأبعاده الإجهاد ‏النفسي تبلد المشاعر، انخفاض الشعور بالإنجاز على أداء العاملين بالمنشآت الصحية ‏بمنطقة نجران في المملكة العربية السعودية، وقد </w:t>
      </w:r>
      <w:r w:rsidRPr="00D201D3">
        <w:rPr>
          <w:rFonts w:ascii="Simplified Arabic" w:hAnsi="Simplified Arabic" w:cs="Simplified Arabic" w:hint="cs"/>
          <w:sz w:val="28"/>
          <w:szCs w:val="28"/>
          <w:rtl/>
        </w:rPr>
        <w:lastRenderedPageBreak/>
        <w:t>اعتمدت الدراسة على المنهج ‏الوصفي التحليلي من خلال استخدام الاستبانة كأداة لجمع البيانات والمعلومات، وقد تم ‏تطبيق الدراسة على عينة تكونت من 361 من العاملين في المنشآت الصحية في ‏منطقة نجران، وتوصلت الدراسة إلى نتائج من أهمها وجود مستوى متوسط من ‏الاحتراق الوظيفي، ودرجة تقدير مرتفعة من أداء العاملين في المنشآت الصحية في ‏منطقة نجران، كما أشارت النتائج إلى وجود أثر للاحتراق الوظيفي بأبعاده الإجهاد ‏النفسي، وتبلد المشاعر، وانخفاض الشعور بالإنجاز على أداء العاملين في المنشآت ‏الصحية في منطقة نجران، وعلى ضوء النتائج، وأوصت الدراسة بضرورة العمل ‏على إيجاد الطرق والأنظمة التي تحسن من مستوى أداء العاملين في المنشآت ‏الصحية، وزيادة الاهتمام بإيلاء تحسين جودة حياة العمل داخل المنشآت الصحية ‏للحفاظ على المستوي المنخفض من الاحتراق الوظيفي، وزيادة الإثناء المستمر على ‏أداء العاملين الأمر الذي يشجعهم على بذل المزيد من الجهود وزيادة إنتاجيتهم.</w:t>
      </w:r>
    </w:p>
    <w:p w14:paraId="17AE1E4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Alqarni ‎</w:t>
      </w:r>
      <w:r w:rsidRPr="00D201D3">
        <w:rPr>
          <w:rFonts w:ascii="Simplified Arabic" w:hAnsi="Simplified Arabic" w:cs="Simplified Arabic" w:hint="cs"/>
          <w:sz w:val="28"/>
          <w:szCs w:val="28"/>
          <w:rtl/>
        </w:rPr>
        <w:t>وآخرون 2022 هدفت هذه الدراسة إلى تقييم معدلات التوتر، والإرهاق، والرضا ‏الوظيفي لدى المتخصصين في الرعاية الصحية النفسية بمدينة جدة في المملكة العربية السعودية. اعتمدت ‏الدراسة على منهج وصفي مقطعي، وطبّقت على عينة مكونة من 107 مشاركين من الأخصائيين في ‏الصحة النفسية خلال الفترة من يناير 2017 إلى أكتوبر 2018، باستخدام ثلاثة مقاييس معيارية وهي: ‏مقياس التوتر المدرك</w:t>
      </w:r>
      <w:r w:rsidRPr="00D201D3">
        <w:rPr>
          <w:rFonts w:ascii="Simplified Arabic" w:hAnsi="Simplified Arabic" w:cs="Simplified Arabic" w:hint="cs"/>
          <w:sz w:val="28"/>
          <w:szCs w:val="28"/>
        </w:rPr>
        <w:t>‎ PSS-14‎</w:t>
      </w:r>
      <w:r w:rsidRPr="00D201D3">
        <w:rPr>
          <w:rFonts w:ascii="Simplified Arabic" w:hAnsi="Simplified Arabic" w:cs="Simplified Arabic" w:hint="cs"/>
          <w:sz w:val="28"/>
          <w:szCs w:val="28"/>
          <w:rtl/>
        </w:rPr>
        <w:t>، ومقياس ماسلاش للإرهاق</w:t>
      </w:r>
      <w:r w:rsidRPr="00D201D3">
        <w:rPr>
          <w:rFonts w:ascii="Simplified Arabic" w:hAnsi="Simplified Arabic" w:cs="Simplified Arabic" w:hint="cs"/>
          <w:sz w:val="28"/>
          <w:szCs w:val="28"/>
        </w:rPr>
        <w:t>‎ MBI‎</w:t>
      </w:r>
      <w:r w:rsidRPr="00D201D3">
        <w:rPr>
          <w:rFonts w:ascii="Simplified Arabic" w:hAnsi="Simplified Arabic" w:cs="Simplified Arabic" w:hint="cs"/>
          <w:sz w:val="28"/>
          <w:szCs w:val="28"/>
          <w:rtl/>
        </w:rPr>
        <w:t>، ومقياس الرضا الوظيفي</w:t>
      </w:r>
      <w:r w:rsidRPr="00D201D3">
        <w:rPr>
          <w:rFonts w:ascii="Simplified Arabic" w:hAnsi="Simplified Arabic" w:cs="Simplified Arabic" w:hint="cs"/>
          <w:sz w:val="28"/>
          <w:szCs w:val="28"/>
        </w:rPr>
        <w:t>‎ JSS.‎</w:t>
      </w:r>
      <w:r w:rsidRPr="00D201D3">
        <w:rPr>
          <w:rFonts w:ascii="Simplified Arabic" w:hAnsi="Simplified Arabic" w:cs="Simplified Arabic" w:hint="cs"/>
          <w:sz w:val="28"/>
          <w:szCs w:val="28"/>
          <w:rtl/>
        </w:rPr>
        <w:t>‏ ‏أظهرت النتائج أن أكثر من نصف المشاركين 56.1% يعانون من مستويات مرتفعة من التوتر، في ‏حين بلغ معدل الإرهاق العاطفي وتجريد الشخصية 38.3% و24.3% على التوالي، وظهر انخفاض في ‏الإنجاز المهني لدى 57% من العينة. كما أشارت النتائج إلى أن نسبة الرضا الوظيفي كانت منخفضة، ‏حيث أبدى أقل من ربع المشاركين 23.4% رضاهم عن وظائفهم، وبينت الدراسة وجود فروق دالة ‏إحصائيًا في درجة الإرهاق العاطفي لصالح الذكور وكذلك علاقة بين ارتفاع الدخل والرضا الوظيفي ‏وأوصت الدراسة بضرورة تبني تدخلات عملية من الجهات المعنية للحد من التوتر والإرهاق المتزايدين ‏بين العاملين في الرعاية النفسية، بالإضافة إلى أهمية توسيع نطاق البحوث لفهم العوامل المؤثرة بشكل ‏أعمق، مما يسهم في تحسين رفاهية العاملين في هذا القطاع الحساس</w:t>
      </w:r>
      <w:r w:rsidRPr="00D201D3">
        <w:rPr>
          <w:rFonts w:ascii="Simplified Arabic" w:hAnsi="Simplified Arabic" w:cs="Simplified Arabic" w:hint="cs"/>
          <w:sz w:val="28"/>
          <w:szCs w:val="28"/>
        </w:rPr>
        <w:t>‎.‎</w:t>
      </w:r>
    </w:p>
    <w:p w14:paraId="0DCB99EE" w14:textId="77777777"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Han ‎</w:t>
      </w:r>
      <w:r w:rsidRPr="00D201D3">
        <w:rPr>
          <w:rFonts w:ascii="Simplified Arabic" w:hAnsi="Simplified Arabic" w:cs="Simplified Arabic" w:hint="cs"/>
          <w:sz w:val="28"/>
          <w:szCs w:val="28"/>
          <w:rtl/>
        </w:rPr>
        <w:t>وآخرون 2022 حيث سعت هذه الدراسة إلى استكشاف الدور الوسيط الذي تلعبه الذكاء ‏العاطفي في العلاقة بين ضغوط العمل والاحتراق الوظيفي لدى الموظفين الإداريين في المستشفيات العامة. ‏استخدمت الدراسة المنهج الوصفي المقطعي، واعتمدت على استبيان مهيكل تم توزيعه على عينة مكونة ‏من 191 موظفًا إداريًا في أربعة مستشفيات عامة بكوريا الجنوبية خلال سبتمبر 2021. تم تحليل ‏البيانات باستخدام تحليل الانحدار المتعدد الهرمي وكشفت النتائج عن وجود علاقة طردية دالة بين ضغوط ‏العمل والاحتراق الوظيفي</w:t>
      </w:r>
      <w:r w:rsidRPr="00D201D3">
        <w:rPr>
          <w:rFonts w:ascii="Simplified Arabic" w:hAnsi="Simplified Arabic" w:cs="Simplified Arabic" w:hint="cs"/>
          <w:sz w:val="28"/>
          <w:szCs w:val="28"/>
        </w:rPr>
        <w:t>‎ r = 0.57, p &lt; 0.001‎</w:t>
      </w:r>
      <w:r w:rsidRPr="00D201D3">
        <w:rPr>
          <w:rFonts w:ascii="Simplified Arabic" w:hAnsi="Simplified Arabic" w:cs="Simplified Arabic" w:hint="cs"/>
          <w:sz w:val="28"/>
          <w:szCs w:val="28"/>
          <w:rtl/>
        </w:rPr>
        <w:t>، بينما وُجدت علاقة عكسية بين الذكاء العاطفي ‏والاحتراق</w:t>
      </w:r>
      <w:r w:rsidRPr="00D201D3">
        <w:rPr>
          <w:rFonts w:ascii="Simplified Arabic" w:hAnsi="Simplified Arabic" w:cs="Simplified Arabic" w:hint="cs"/>
          <w:sz w:val="28"/>
          <w:szCs w:val="28"/>
        </w:rPr>
        <w:t>‎ r = -0.26, p &lt; 0.001‎</w:t>
      </w:r>
      <w:r w:rsidRPr="00D201D3">
        <w:rPr>
          <w:rFonts w:ascii="Simplified Arabic" w:hAnsi="Simplified Arabic" w:cs="Simplified Arabic" w:hint="cs"/>
          <w:sz w:val="28"/>
          <w:szCs w:val="28"/>
          <w:rtl/>
        </w:rPr>
        <w:t xml:space="preserve">، وأشارت النتائج إلى أن العوامل الأكثر تأثيرًا في الاحتراق الوظيفي ‏هي: </w:t>
      </w:r>
      <w:r w:rsidRPr="00D201D3">
        <w:rPr>
          <w:rFonts w:ascii="Simplified Arabic" w:hAnsi="Simplified Arabic" w:cs="Simplified Arabic" w:hint="cs"/>
          <w:sz w:val="28"/>
          <w:szCs w:val="28"/>
          <w:rtl/>
        </w:rPr>
        <w:lastRenderedPageBreak/>
        <w:t>ضغوط العمل، والذكاء العاطفي، والعمر</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خاصةً</w:t>
      </w:r>
      <w:r>
        <w:rPr>
          <w:rFonts w:ascii="Simplified Arabic" w:hAnsi="Simplified Arabic" w:cs="Simplified Arabic" w:hint="cs"/>
          <w:sz w:val="28"/>
          <w:szCs w:val="28"/>
          <w:rtl/>
        </w:rPr>
        <w:t xml:space="preserve"> 45 عاما أو أكبر</w:t>
      </w:r>
      <w:r w:rsidRPr="00D201D3">
        <w:rPr>
          <w:rFonts w:ascii="Simplified Arabic" w:hAnsi="Simplified Arabic" w:cs="Simplified Arabic" w:hint="cs"/>
          <w:sz w:val="28"/>
          <w:szCs w:val="28"/>
          <w:rtl/>
        </w:rPr>
        <w:t>. كما أثبتت الدراسة أن الذكاء العاطفي ‏له تأثير مباشر ومستقل على خفض مستويات الاحتراق وأوصت الدراسة بأهمية تعزيز الذكاء العاطفي ‏لدى العاملين في الإدارات الإدارية بالمستشفيات كاستراتيجية فعالة للحد من الاحتراق المهني، خاصةً في ‏ظل تعدد المسؤوليات والصراعات الإدارية التي يتعاملون معها، مما يبرز الذكاء العاطفي كأداة فاعلة ‏لإدارة الضغوط وتحقيق بيئة عمل أكثر دعم واستدامة</w:t>
      </w:r>
      <w:r w:rsidRPr="00D201D3">
        <w:rPr>
          <w:rFonts w:ascii="Simplified Arabic" w:hAnsi="Simplified Arabic" w:cs="Simplified Arabic" w:hint="cs"/>
          <w:sz w:val="28"/>
          <w:szCs w:val="28"/>
        </w:rPr>
        <w:t>‎</w:t>
      </w:r>
      <w:r w:rsidRPr="00D201D3">
        <w:rPr>
          <w:rFonts w:ascii="Simplified Arabic" w:hAnsi="Simplified Arabic" w:cs="Simplified Arabic" w:hint="cs"/>
          <w:sz w:val="28"/>
          <w:szCs w:val="28"/>
          <w:rtl/>
        </w:rPr>
        <w:t xml:space="preserve">. </w:t>
      </w:r>
    </w:p>
    <w:p w14:paraId="7449DF67" w14:textId="02D30881"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سعت دراسة زيادة 2021 إلى التعرف على مستوى الاحتراق والرضا الوظيفي ‏من وجهة نظر الاداريين في مستشفى عسير المركزي بأبها، واستخدمت الباحثة ‏المنهج الوصفي التحليلي، ولجمع البيانات استخدمت استبانة، واستخدام عينة من ‏‏453 موظف من الإداريين، وقد أظهرت نتائج الدراسة الميدانية أن مستوى ‏الاحتراق الوظيفي كان مرتفعاً لبعد الاجهاد الوظيفي وتبلد المشاعر وقلة الشعور ‏بالإنجاز مع وجود اختلافات ذات دلالة إحصائية في أبعاد الاحتراق الوظيفي والرضا ‏الوظيفي لدي الاداريين في مستشفى عسير وفقاً لاختلاف النوع والدرجة العلمية وعدد ‏سنوات الخبرة علاوة على وجود ارتباط طردي قوي ذو دلالة إحصائية بين أبعاد ‏الاحتراق الوظيفي وأبعاد الرضا الوظيفي وقدمت الدراسة توصيات عدة لكل من ‏المسئولين والعاملين بالمستشفى.‏</w:t>
      </w:r>
    </w:p>
    <w:p w14:paraId="510C5BEB" w14:textId="77777777" w:rsidR="00AF3C0E" w:rsidRPr="002C5E33" w:rsidRDefault="00AF3C0E" w:rsidP="002C5E33">
      <w:pPr>
        <w:pStyle w:val="3"/>
        <w:rPr>
          <w:b w:val="0"/>
          <w:bCs/>
          <w:rtl/>
        </w:rPr>
      </w:pPr>
      <w:bookmarkStart w:id="35" w:name="_Toc234084443"/>
      <w:r w:rsidRPr="002C5E33">
        <w:rPr>
          <w:rFonts w:hint="cs"/>
          <w:b w:val="0"/>
          <w:bCs/>
          <w:rtl/>
        </w:rPr>
        <w:t>أوجه الاتفاق بين الدراسات السابقة والدراسة الحالية</w:t>
      </w:r>
      <w:bookmarkEnd w:id="35"/>
    </w:p>
    <w:p w14:paraId="622F169E" w14:textId="77777777" w:rsidR="00AF3C0E" w:rsidRPr="009A566B" w:rsidRDefault="00AF3C0E" w:rsidP="006C4CDD">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موضوع الاحتراق النفسي: جميع الدراسات المذكورة تركز على الاحتراق النفسي وتأثيره على الأداء الوظيفي وجودة الخدمات الصحية، هذا يشير إلى أهمية الموضوع في مجالات العمل المختلفة، خاصة في القطاع الصحي.</w:t>
      </w:r>
    </w:p>
    <w:p w14:paraId="438399D8" w14:textId="77777777" w:rsidR="00AF3C0E" w:rsidRPr="009A566B" w:rsidRDefault="00AF3C0E" w:rsidP="006C4CDD">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التأثير على الأداء: تتفق الدراسات على أن الاحتراق النفسي يؤثر سلباً على أداء العاملين، سواء كان ذلك في المستشفيات أو الإدارات الحكومية، على سبيل المثال، دراسة اليماني (2023) ودراسة اليامي (2022) ودراسة توتي (2020) تؤكدان على تأثير الاحتراق النفسي على جودة الخدمات الصحية</w:t>
      </w:r>
      <w:r>
        <w:rPr>
          <w:rFonts w:ascii="Simplified Arabic" w:hAnsi="Simplified Arabic" w:cs="Simplified Arabic" w:hint="cs"/>
          <w:sz w:val="28"/>
          <w:szCs w:val="28"/>
          <w:rtl/>
        </w:rPr>
        <w:t xml:space="preserve">. </w:t>
      </w:r>
    </w:p>
    <w:p w14:paraId="009CF2B4" w14:textId="36406015" w:rsidR="00AF3C0E" w:rsidRPr="002C5E33" w:rsidRDefault="00AF3C0E" w:rsidP="002C5E33">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البيئة النفسية: جميع الدراسات تشير إلى أهمية البيئة النفسية المستدامة في تقليل مستويات الاحتراق النفسي، حيث تعتبر بيئة العمل الإيجابية عاملاً مساعدًاً في تعزيز الرضا الوظيفي وتحسين الأداء</w:t>
      </w:r>
      <w:r>
        <w:rPr>
          <w:rFonts w:ascii="Simplified Arabic" w:hAnsi="Simplified Arabic" w:cs="Simplified Arabic" w:hint="cs"/>
          <w:sz w:val="28"/>
          <w:szCs w:val="28"/>
          <w:rtl/>
        </w:rPr>
        <w:t xml:space="preserve">. </w:t>
      </w:r>
    </w:p>
    <w:p w14:paraId="2017A58E" w14:textId="77777777" w:rsidR="00AF3C0E" w:rsidRPr="002C5E33" w:rsidRDefault="00AF3C0E" w:rsidP="002C5E33">
      <w:pPr>
        <w:pStyle w:val="3"/>
        <w:rPr>
          <w:b w:val="0"/>
          <w:bCs/>
          <w:rtl/>
        </w:rPr>
      </w:pPr>
      <w:bookmarkStart w:id="36" w:name="_Toc234084444"/>
      <w:r w:rsidRPr="002C5E33">
        <w:rPr>
          <w:rFonts w:hint="cs"/>
          <w:b w:val="0"/>
          <w:bCs/>
          <w:rtl/>
        </w:rPr>
        <w:t>أوجه الاختلاف بين الدراسات السابقة والدراسة الحالية</w:t>
      </w:r>
      <w:bookmarkEnd w:id="36"/>
    </w:p>
    <w:p w14:paraId="4636FAF9" w14:textId="77777777" w:rsidR="00AF3C0E" w:rsidRPr="009A566B"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تختلف الدراسات في السياق الذي تم إجراء البحث فيه فدراسة غالب (2024)، واليماني (2023) تركز على المستشفيات، بينما دراسة الصبحي (2022) تتناول وزارة الشؤون البلدية والقروية، مما يعكس تأثير الاحتراق النفسي في بيئات عمل متنوعة.</w:t>
      </w:r>
    </w:p>
    <w:p w14:paraId="46470540" w14:textId="77777777" w:rsidR="00AF3C0E" w:rsidRPr="009A566B"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lastRenderedPageBreak/>
        <w:t>تتناول بعض الدراسات عوامل محددة تؤدي إلى الاحتراق النفسي، مثلاً، دراسة الأسمري (2022) تركز على الرشاقة التنظيمية كوسيلة للتخفيف من الاحتراق النفسي، بينما دراسة زيادة (2021)، دراسة توتي (2020) تدرس العلاقة بين الاحتراق النفسي والرضا الوظيفي بشكل مباشر.</w:t>
      </w:r>
    </w:p>
    <w:p w14:paraId="2DA141DE" w14:textId="77777777" w:rsidR="00AF3C0E" w:rsidRPr="00852847"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تختلف النتائج والتوصيات بين الدراسات؛ فبعضها يقترح استراتيجيات لإدارة الضغوط النفسية، بينما يركز آخرون على أهمية تحسين بيئة العمل وتوفير الدعم النفسي للعاملين.</w:t>
      </w:r>
    </w:p>
    <w:p w14:paraId="1E689E6B" w14:textId="77777777" w:rsidR="00AF3C0E" w:rsidRPr="002C5E33" w:rsidRDefault="00AF3C0E" w:rsidP="002C5E33">
      <w:pPr>
        <w:pStyle w:val="3"/>
        <w:rPr>
          <w:b w:val="0"/>
          <w:bCs/>
          <w:rtl/>
        </w:rPr>
      </w:pPr>
      <w:bookmarkStart w:id="37" w:name="_Toc234084445"/>
      <w:r w:rsidRPr="002C5E33">
        <w:rPr>
          <w:rFonts w:hint="cs"/>
          <w:b w:val="0"/>
          <w:bCs/>
          <w:rtl/>
        </w:rPr>
        <w:t>ما يميز الدراسة الحالية:</w:t>
      </w:r>
      <w:bookmarkEnd w:id="37"/>
    </w:p>
    <w:p w14:paraId="2E922E4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تناول الدراسة تأثير التحولات الصحية التي تتماشى مع أهداف رؤية المملكة (2030م)، مما يجعلها ذات صلة مباشرة بالتغيرات الهيكلية في النظام الصحي السعودي، تركز الدراسة على أهمية التحول الصحي والرفاهية النفسية من الاحتراق الوظيفي، وهو ما قد لا يكون محور اهتمام الدراسات السابقة بشكل واضح، وهذا يساهم في تقديم حلول عملية لتحسين الصحة النفسية للعاملين في القطاع الصحي.</w:t>
      </w:r>
    </w:p>
    <w:p w14:paraId="05FD7DE6" w14:textId="77777777" w:rsidR="00AF3C0E" w:rsidRDefault="00AF3C0E" w:rsidP="00CB5D51">
      <w:pPr>
        <w:spacing w:line="240" w:lineRule="auto"/>
        <w:jc w:val="both"/>
        <w:rPr>
          <w:rFonts w:ascii="Simplified Arabic" w:hAnsi="Simplified Arabic" w:cs="Simplified Arabic"/>
          <w:b/>
          <w:bCs/>
          <w:sz w:val="40"/>
          <w:szCs w:val="40"/>
          <w:rtl/>
        </w:rPr>
      </w:pPr>
    </w:p>
    <w:p w14:paraId="165EBA0A" w14:textId="77777777" w:rsidR="00AF3C0E" w:rsidRDefault="00AF3C0E">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6225D822" w14:textId="74F20C50" w:rsidR="007946E6" w:rsidRPr="002C5E33" w:rsidRDefault="007946E6" w:rsidP="002C5E33">
      <w:pPr>
        <w:pStyle w:val="1"/>
        <w:rPr>
          <w:b/>
          <w:bCs/>
          <w:rtl/>
        </w:rPr>
      </w:pPr>
      <w:bookmarkStart w:id="38" w:name="_Toc234084446"/>
      <w:r w:rsidRPr="002C5E33">
        <w:rPr>
          <w:rFonts w:hint="cs"/>
          <w:b/>
          <w:bCs/>
          <w:rtl/>
        </w:rPr>
        <w:lastRenderedPageBreak/>
        <w:t xml:space="preserve">الفصل الثالث: </w:t>
      </w:r>
      <w:r w:rsidR="000B1407" w:rsidRPr="002C5E33">
        <w:rPr>
          <w:rFonts w:hint="cs"/>
          <w:b/>
          <w:bCs/>
          <w:rtl/>
        </w:rPr>
        <w:t>الطريقة والإجراءات</w:t>
      </w:r>
      <w:bookmarkEnd w:id="38"/>
      <w:r w:rsidR="000B1407" w:rsidRPr="002C5E33">
        <w:rPr>
          <w:rFonts w:hint="cs"/>
          <w:b/>
          <w:bCs/>
          <w:rtl/>
        </w:rPr>
        <w:t xml:space="preserve"> </w:t>
      </w:r>
    </w:p>
    <w:p w14:paraId="60E17FFE" w14:textId="77777777" w:rsidR="007946E6" w:rsidRPr="002C5E33" w:rsidRDefault="007946E6" w:rsidP="002C5E33">
      <w:pPr>
        <w:pStyle w:val="2"/>
        <w:rPr>
          <w:b w:val="0"/>
          <w:bCs/>
          <w:rtl/>
        </w:rPr>
      </w:pPr>
      <w:bookmarkStart w:id="39" w:name="_Toc234084447"/>
      <w:r w:rsidRPr="002C5E33">
        <w:rPr>
          <w:rFonts w:hint="cs"/>
          <w:b w:val="0"/>
          <w:bCs/>
          <w:rtl/>
        </w:rPr>
        <w:t>منهج الدراسة</w:t>
      </w:r>
      <w:bookmarkEnd w:id="39"/>
    </w:p>
    <w:p w14:paraId="18CD24E8" w14:textId="77777777" w:rsidR="00C25FBA" w:rsidRPr="001A06F7" w:rsidRDefault="00C25FBA"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يتكون مجتمع الدراسة من جميع العاملين في القطاع الصحي الحكومي بمدينة الرياض في المملكة العربية السعودية، والذين تشملهم برامج ومبادرات التحول الصحي ضمن رؤية المملكة 2030. ويضم هذا المجتمع مختلف الفئات الوظيفية العاملة في المستشفيات والمراكز الصحية الحكومية، مثل الأطباء والممرضين والفنيين والإداريين، إذ يُمثل هؤلاء الفاعلون الرئيسيون الذين يتأثرون بشكل مباشر بالتحولات التنظيمية والإجرائية المصاحبة لتطبيق خطط التحول الصحي.</w:t>
      </w:r>
    </w:p>
    <w:p w14:paraId="110DA53C" w14:textId="77777777" w:rsidR="00C25FBA" w:rsidRPr="001A06F7" w:rsidRDefault="00C25FBA"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ويُعد هذا المجتمع من أكثر البيئات ملاءمة لإجراء الدراسة، نظرًا لأن برامج التحول الصحي في مدينة الرياض تُنفّذ على نطاق واسع وتشمل منشآت متنوعة من حيث الحجم والتخصص، مما يتيح للبحث فهمًا شاملًا لأثر التحول الصحي على بيئة العمل النفسية المستدامة ورفاهية الموظفين، وكيفية انعكاس ذلك على ظاهرة الاحتراق الوظيفي.</w:t>
      </w:r>
    </w:p>
    <w:p w14:paraId="5388B72D" w14:textId="3F62DDBB" w:rsidR="00C25FBA" w:rsidRPr="001A06F7" w:rsidRDefault="00C25FBA"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 xml:space="preserve">كما أن اختيار هذا المجتمع يرتكز على اعتبارات علمية وإدارية؛ فمدينة الرياض تضم أكبر عدد من المنشآت الصحية الحكومية، وتُعد المركز الرئيسي لإدارة وتنفيذ مبادرات التحول الصحي على المستوى الوطني، إضافةً إلى توافر تنوع في المستويات الإدارية والمهنية للعاملين، مما يُعزّز من إمكانية تعميم نتائج الدراسة على بقية مناطق المملكة (وزارة الصحة، </w:t>
      </w:r>
      <w:r w:rsidR="00270D4E">
        <w:rPr>
          <w:rFonts w:ascii="Simplified Arabic" w:hAnsi="Simplified Arabic" w:cs="Simplified Arabic" w:hint="cs"/>
          <w:sz w:val="28"/>
          <w:szCs w:val="28"/>
          <w:rtl/>
        </w:rPr>
        <w:t>2024</w:t>
      </w:r>
      <w:r w:rsidRPr="001A06F7">
        <w:rPr>
          <w:rFonts w:ascii="Simplified Arabic" w:hAnsi="Simplified Arabic" w:cs="Simplified Arabic"/>
          <w:sz w:val="28"/>
          <w:szCs w:val="28"/>
          <w:rtl/>
        </w:rPr>
        <w:t>).</w:t>
      </w:r>
    </w:p>
    <w:p w14:paraId="698A8814" w14:textId="7E829138" w:rsidR="007946E6" w:rsidRPr="001A06F7" w:rsidRDefault="00C25FBA" w:rsidP="0086543C">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بذلك، فإن مجتمع الدراسة يُمثّل جميع العاملين في المستشفيات والمراكز الصحية الحكومية بمدينة الرياض الخاضعين لمبادرات التحول الصحي خلال الفترة الزمنية المحددة لإجراء الدراسة.</w:t>
      </w:r>
    </w:p>
    <w:p w14:paraId="02934E25" w14:textId="77777777" w:rsidR="007946E6" w:rsidRPr="002C5E33" w:rsidRDefault="007946E6" w:rsidP="002C5E33">
      <w:pPr>
        <w:pStyle w:val="2"/>
        <w:rPr>
          <w:b w:val="0"/>
          <w:bCs/>
          <w:rtl/>
        </w:rPr>
      </w:pPr>
      <w:bookmarkStart w:id="40" w:name="_Toc234084448"/>
      <w:r w:rsidRPr="002C5E33">
        <w:rPr>
          <w:rFonts w:hint="cs"/>
          <w:b w:val="0"/>
          <w:bCs/>
          <w:rtl/>
        </w:rPr>
        <w:t>مجتمع الدراسة وعينتها</w:t>
      </w:r>
      <w:bookmarkEnd w:id="40"/>
    </w:p>
    <w:p w14:paraId="6FF91FE2" w14:textId="2766AADD" w:rsidR="00245300" w:rsidRPr="001A06F7" w:rsidRDefault="00245300" w:rsidP="00AC48ED">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يُعَدّ تحديد مجتمع الدراسة وعينتها من الخطوات الأساسية في أي بحث ميداني، لما له من أثر مباشر في مدى دقة النتائج وصلاحية تعميمها. وقد تم تحديد مجتمع الدراسة في هذا البحث ليشمل جميع العاملين في القطاع الصحي الحكومي بمدينة الرياض، نظرًا لكونه أحد القطاعات الحيوية التي تشهد تحولات هيكلية وتنظيمية عميقة ضمن إطار برنامج التحول الصحي في المملكة العربية السعودية، المنبثق عن رؤية المملكة 2030. ويضم هذا المجتمع فئات مهنية متعددة تشمل الأطباء والممرضين والفنيين والإداريين العاملين في المستشفيات والمراكز الصحية الحكومية، إذ يُمثّل هؤلاء الفاعلون الرئيسيون الذين يتأثرون بصورة مباشرة بتطبيقات التحول الصحي وتبعاته التنظيمية والنفسية (وزارة الصحة،</w:t>
      </w:r>
      <w:r w:rsidR="00270D4E">
        <w:rPr>
          <w:rFonts w:ascii="Simplified Arabic" w:hAnsi="Simplified Arabic" w:cs="Simplified Arabic" w:hint="cs"/>
          <w:sz w:val="28"/>
          <w:szCs w:val="28"/>
          <w:rtl/>
        </w:rPr>
        <w:t xml:space="preserve"> 2024</w:t>
      </w:r>
      <w:r w:rsidRPr="001A06F7">
        <w:rPr>
          <w:rFonts w:ascii="Simplified Arabic" w:hAnsi="Simplified Arabic" w:cs="Simplified Arabic" w:hint="cs"/>
          <w:sz w:val="28"/>
          <w:szCs w:val="28"/>
          <w:rtl/>
        </w:rPr>
        <w:t>)</w:t>
      </w:r>
      <w:r w:rsidRPr="001A06F7">
        <w:rPr>
          <w:rFonts w:ascii="Simplified Arabic" w:hAnsi="Simplified Arabic" w:cs="Simplified Arabic"/>
          <w:sz w:val="28"/>
          <w:szCs w:val="28"/>
          <w:rtl/>
        </w:rPr>
        <w:t>.</w:t>
      </w:r>
    </w:p>
    <w:p w14:paraId="4349025C" w14:textId="5A7B00B5" w:rsidR="00245300" w:rsidRPr="001A06F7" w:rsidRDefault="00245300" w:rsidP="00D81B6A">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تكتسب دراسة هذا المجتمع أهميتها من كونه البيئة الأكثر تفاعلًا مع التحول المؤسسي في المملكة، حيث تشهد مؤسسات الرعاية الصحية الحكومية عمليات تطوير متسارعة على المستويات التقنية والإدارية والبشرية، مما يجعل من دراسة انعكاس هذه التحولات على بيئة العمل النفسية المستدامة ورفاهية الموظفين أمرًا ذا بعد استراتيجي. ويُسهم ذلك في دعم توجهات وزارة الصحة نحو تعزيز الرفاه النفسي للعاملين وتقليل معدلات الاحتراق الوظيفي، الذي يُعد من أبرز التحديات المعاصرة في بيئات العمل الخدمية</w:t>
      </w:r>
      <w:r w:rsidR="00D81B6A" w:rsidRPr="001A06F7">
        <w:rPr>
          <w:rFonts w:ascii="Simplified Arabic" w:hAnsi="Simplified Arabic" w:cs="Simplified Arabic"/>
          <w:sz w:val="28"/>
          <w:szCs w:val="28"/>
          <w:rtl/>
        </w:rPr>
        <w:t xml:space="preserve">. </w:t>
      </w:r>
    </w:p>
    <w:p w14:paraId="62EC546B" w14:textId="77777777" w:rsidR="00245300" w:rsidRPr="001A06F7" w:rsidRDefault="00245300" w:rsidP="00AC48ED">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ونظرًا إلى حجم المجتمع الكبير وتوزّعه على عدد كبير من المؤسسات والمرافق الصحية، فقد تعذّر تطبيق الدراسة على جميع أفراده، مما استدعى اختيار عينة ممثلة قادرة على عكس خصائص المجتمع الأصلي بدرجة مقبولة من الدقة الإحصائية. ولتقدير حجم العينة، تم استخدام معادلة كوكران (</w:t>
      </w:r>
      <w:r w:rsidRPr="001A06F7">
        <w:rPr>
          <w:rFonts w:ascii="Simplified Arabic" w:hAnsi="Simplified Arabic" w:cs="Simplified Arabic"/>
          <w:sz w:val="28"/>
          <w:szCs w:val="28"/>
        </w:rPr>
        <w:t>Cochran, 1977</w:t>
      </w:r>
      <w:r w:rsidRPr="001A06F7">
        <w:rPr>
          <w:rFonts w:ascii="Simplified Arabic" w:hAnsi="Simplified Arabic" w:cs="Simplified Arabic"/>
          <w:sz w:val="28"/>
          <w:szCs w:val="28"/>
          <w:rtl/>
        </w:rPr>
        <w:t>)، وهي إحدى أكثر المعادلات شيوعًا في الدراسات الوصفية لتقدير حجم العينة عندما يكون حجم المجتمع غير محدد بدقة، وصيغتها على النحو الآتي:</w:t>
      </w:r>
    </w:p>
    <w:p w14:paraId="0D7EDAEF" w14:textId="713309CE" w:rsidR="009277D0" w:rsidRPr="001A06F7" w:rsidRDefault="001A06F7" w:rsidP="00CB5D51">
      <w:pPr>
        <w:spacing w:line="240" w:lineRule="auto"/>
        <w:jc w:val="both"/>
        <w:rPr>
          <w:rFonts w:ascii="Simplified Arabic" w:hAnsi="Simplified Arabic" w:cs="Simplified Arabic"/>
          <w:sz w:val="28"/>
          <w:szCs w:val="28"/>
          <w:rtl/>
        </w:rPr>
      </w:pP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hint="cs"/>
                      <w:sz w:val="28"/>
                      <w:szCs w:val="28"/>
                    </w:rPr>
                    <m:t>t</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×p(1-p)</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d</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04C01D03" w14:textId="77777777" w:rsidR="007946E6" w:rsidRPr="001A06F7" w:rsidRDefault="007946E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حيث:</w:t>
      </w:r>
    </w:p>
    <w:p w14:paraId="5925A885" w14:textId="1071963D" w:rsidR="007946E6" w:rsidRPr="001A06F7" w:rsidRDefault="002E3FC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n</w:t>
      </w:r>
      <w:r w:rsidR="007946E6" w:rsidRPr="001A06F7">
        <w:rPr>
          <w:rFonts w:ascii="Simplified Arabic" w:hAnsi="Simplified Arabic" w:cs="Simplified Arabic" w:hint="cs"/>
          <w:sz w:val="28"/>
          <w:szCs w:val="28"/>
          <w:rtl/>
        </w:rPr>
        <w:t>: حجم العينة المطلوب تقديره.</w:t>
      </w:r>
    </w:p>
    <w:p w14:paraId="14BEEB82" w14:textId="77F24141" w:rsidR="007946E6" w:rsidRPr="001A06F7" w:rsidRDefault="00F24E31"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t</w:t>
      </w:r>
      <w:r w:rsidR="007946E6" w:rsidRPr="001A06F7">
        <w:rPr>
          <w:rFonts w:ascii="Simplified Arabic" w:hAnsi="Simplified Arabic" w:cs="Simplified Arabic" w:hint="cs"/>
          <w:sz w:val="28"/>
          <w:szCs w:val="28"/>
          <w:rtl/>
        </w:rPr>
        <w:t>: القيمة الجدولية عند مستوى ثقة (95%)، وتبلغ (1.96).</w:t>
      </w:r>
    </w:p>
    <w:p w14:paraId="7B5D90FF" w14:textId="05B9E8AD" w:rsidR="007946E6" w:rsidRPr="001A06F7" w:rsidRDefault="00C03D0B"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p</w:t>
      </w:r>
      <w:r w:rsidR="007946E6" w:rsidRPr="001A06F7">
        <w:rPr>
          <w:rFonts w:ascii="Simplified Arabic" w:hAnsi="Simplified Arabic" w:cs="Simplified Arabic" w:hint="cs"/>
          <w:sz w:val="28"/>
          <w:szCs w:val="28"/>
          <w:rtl/>
        </w:rPr>
        <w:t>: النسبة التقديرية للأفراد الذين يتصفون بخصائص الظاهرة قيد الدراسة، وغالبًا ما تُؤخذ (0.5) لتمثل أقصى درجة من التباين.</w:t>
      </w:r>
    </w:p>
    <w:p w14:paraId="4F907E5F" w14:textId="4B6E7F2A" w:rsidR="007946E6" w:rsidRPr="001A06F7" w:rsidRDefault="000C1D39"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d</w:t>
      </w:r>
      <w:r w:rsidR="007946E6" w:rsidRPr="001A06F7">
        <w:rPr>
          <w:rFonts w:ascii="Simplified Arabic" w:hAnsi="Simplified Arabic" w:cs="Simplified Arabic" w:hint="cs"/>
          <w:sz w:val="28"/>
          <w:szCs w:val="28"/>
          <w:rtl/>
        </w:rPr>
        <w:t>: هامش الخطأ المسموح به في التقدير، وقد تم تحديده عند (0.05).</w:t>
      </w:r>
    </w:p>
    <w:p w14:paraId="754CE663" w14:textId="77777777" w:rsidR="007946E6" w:rsidRPr="001A06F7" w:rsidRDefault="007946E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وبالتعويض في المعادلة:</w:t>
      </w:r>
    </w:p>
    <w:p w14:paraId="0FDD6EE4" w14:textId="4C03EE6C" w:rsidR="007946E6" w:rsidRPr="001A06F7" w:rsidRDefault="00AD748B" w:rsidP="000C1D39">
      <w:pPr>
        <w:spacing w:line="240" w:lineRule="auto"/>
        <w:jc w:val="both"/>
        <w:rPr>
          <w:rFonts w:ascii="Simplified Arabic" w:hAnsi="Simplified Arabic" w:cs="Simplified Arabic"/>
          <w:sz w:val="28"/>
          <w:szCs w:val="28"/>
          <w:rtl/>
        </w:rPr>
      </w:pPr>
      <w:r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m:rPr>
                          <m:sty m:val="p"/>
                        </m:rPr>
                        <w:rPr>
                          <w:rFonts w:ascii="Cambria Math" w:hAnsi="Cambria Math" w:cs="Simplified Arabic" w:hint="cs"/>
                          <w:sz w:val="28"/>
                          <w:szCs w:val="28"/>
                        </w:rPr>
                        <m:t>1.96</m:t>
                      </m:r>
                    </m:e>
                  </m:d>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×0.5(1-0.5)</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(0.05)</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712D259E" w14:textId="667D2B6F" w:rsidR="007946E6" w:rsidRPr="001A06F7" w:rsidRDefault="007946E6" w:rsidP="008435A7">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 </w:t>
      </w:r>
      <w:r w:rsidR="00917720"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r>
                <m:rPr>
                  <m:sty m:val="p"/>
                </m:rPr>
                <w:rPr>
                  <w:rFonts w:ascii="Cambria Math" w:hAnsi="Cambria Math" w:cs="Simplified Arabic" w:hint="cs"/>
                  <w:sz w:val="28"/>
                  <w:szCs w:val="28"/>
                </w:rPr>
                <m:t>3.8416×0.25</m:t>
              </m:r>
              <m:ctrlPr>
                <w:rPr>
                  <w:rFonts w:ascii="Cambria Math" w:hAnsi="Cambria Math" w:cs="Simplified Arabic"/>
                  <w:sz w:val="28"/>
                  <w:szCs w:val="28"/>
                  <w:rtl/>
                </w:rPr>
              </m:ctrlPr>
            </m:num>
            <m:den>
              <m:r>
                <m:rPr>
                  <m:sty m:val="p"/>
                </m:rPr>
                <w:rPr>
                  <w:rFonts w:ascii="Cambria Math" w:hAnsi="Cambria Math" w:cs="Simplified Arabic" w:hint="cs"/>
                  <w:sz w:val="28"/>
                  <w:szCs w:val="28"/>
                </w:rPr>
                <m:t>0.0025</m:t>
              </m:r>
            </m:den>
          </m:f>
          <m:r>
            <m:rPr>
              <m:sty m:val="p"/>
            </m:rPr>
            <w:rPr>
              <w:rFonts w:ascii="Cambria Math" w:hAnsi="Cambria Math" w:cs="Simplified Arabic" w:hint="cs"/>
              <w:sz w:val="28"/>
              <w:szCs w:val="28"/>
            </w:rPr>
            <m:t>=384</m:t>
          </m:r>
        </m:oMath>
      </m:oMathPara>
    </w:p>
    <w:p w14:paraId="37032075"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وعليه، فإن الحد الأدنى لحجم العينة الإحصائي المقبول هو (384) مفردة من مجتمع الدراسة. وقد تم اعتماد هذا الرقم بوصفه الحجم المستهدف للعينة، مع إمكانية زيادته قليلًا لتعويض أي استبانات غير مكتملة أو غير صالحة للتحليل.</w:t>
      </w:r>
    </w:p>
    <w:p w14:paraId="0E00EAE5"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ولضمان تمثيل جميع الفئات الوظيفية في القطاع الصحي، تم استخدام الأسلوب العشوائي الطبقي (</w:t>
      </w:r>
      <w:r w:rsidRPr="001A06F7">
        <w:rPr>
          <w:rFonts w:ascii="Simplified Arabic" w:hAnsi="Simplified Arabic" w:cs="Simplified Arabic"/>
          <w:sz w:val="28"/>
          <w:szCs w:val="28"/>
        </w:rPr>
        <w:t>Stratified Random Sampling</w:t>
      </w:r>
      <w:r w:rsidRPr="001A06F7">
        <w:rPr>
          <w:rFonts w:ascii="Simplified Arabic" w:hAnsi="Simplified Arabic" w:cs="Simplified Arabic"/>
          <w:sz w:val="28"/>
          <w:szCs w:val="28"/>
          <w:rtl/>
        </w:rPr>
        <w:t>)، حيث قُسّم المجتمع إلى أربع طبقات رئيسة وفق المسمى الوظيفي (أطباء، ممرضون، فنيون، إداريون)، ثم جرى اختيار عدد من الأفراد من كل فئة بما يتناسب مع حجمها النسبي داخل مؤسسات القطاع الصحي الحكومي بمدينة الرياض. ويُعد هذا الأسلوب أكثر دقة من السحب العشوائي البسيط، لأنه يُتيح تمثيلًا عادلًا لجميع الفئات المؤثرة في الظاهرة المدروسة ويُقلل من احتمال التحيّز في البيانات (</w:t>
      </w:r>
      <w:r w:rsidRPr="001A06F7">
        <w:rPr>
          <w:rFonts w:ascii="Simplified Arabic" w:hAnsi="Simplified Arabic" w:cs="Simplified Arabic"/>
          <w:sz w:val="28"/>
          <w:szCs w:val="28"/>
        </w:rPr>
        <w:t>Sekaran &amp; Bougie, 2016</w:t>
      </w:r>
      <w:r w:rsidRPr="001A06F7">
        <w:rPr>
          <w:rFonts w:ascii="Simplified Arabic" w:hAnsi="Simplified Arabic" w:cs="Simplified Arabic"/>
          <w:sz w:val="28"/>
          <w:szCs w:val="28"/>
          <w:rtl/>
        </w:rPr>
        <w:t>).</w:t>
      </w:r>
    </w:p>
    <w:p w14:paraId="5440041E"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كما روعي في اختيار العينة تحقيق التنوع الديموغرافي من حيث الجنس، والعمر، وسنوات الخبرة، والمستوى التعليمي، والحالة الاجتماعية، لضمان فحص مدى تأثير هذه المتغيرات على إدراك العاملين للتحول الصحي وانعكاسه على رفاهيتهم النفسية ومستويات الاحتراق الوظيفي لديهم. وتم التأكيد للمشاركين على سرية المعلومات واستخدامها لأغراض البحث العلمي فقط، بما يُعزز من مصداقية الاستجابات ودقتها.</w:t>
      </w:r>
    </w:p>
    <w:p w14:paraId="7CBD62D9" w14:textId="415382C3" w:rsidR="00D67689" w:rsidRPr="001A06F7" w:rsidRDefault="00485C9D" w:rsidP="002C5E33">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إن تحديد حجم العينة واختيارها وفق منهجية علمية مدروسة يُعكس النهج الإحصائي المنضبط الذي اعتمدته الباحثة لتحقيق التوازن بين الدقة المنهجية والملاءمة الميدانية، بما يضمن أن النتائج المستخلصة تعبّر عن الاتجاهات الواقعية للعاملين في القطاع الصحي الحكومي بمدينة الرياض، وقابلة للتعميم بدرجة عالية من الثقة على المجتمع الأصلي.</w:t>
      </w:r>
    </w:p>
    <w:p w14:paraId="0F5AA23F" w14:textId="77777777" w:rsidR="007946E6" w:rsidRPr="002C5E33" w:rsidRDefault="007946E6" w:rsidP="002C5E33">
      <w:pPr>
        <w:pStyle w:val="2"/>
        <w:rPr>
          <w:b w:val="0"/>
          <w:bCs/>
          <w:rtl/>
        </w:rPr>
      </w:pPr>
      <w:bookmarkStart w:id="41" w:name="_Toc234084449"/>
      <w:r w:rsidRPr="002C5E33">
        <w:rPr>
          <w:rFonts w:hint="cs"/>
          <w:b w:val="0"/>
          <w:bCs/>
          <w:rtl/>
        </w:rPr>
        <w:t>أداة الدراسة</w:t>
      </w:r>
      <w:bookmarkEnd w:id="41"/>
    </w:p>
    <w:p w14:paraId="77257A8F" w14:textId="77777777" w:rsidR="009051BB" w:rsidRPr="001A06F7" w:rsidRDefault="009051BB" w:rsidP="00D67689">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تُعد أداة الدراسة من العناصر المنهجية الأساسية في البحوث الميدانية، إذ تُسهم في جمع البيانات اللازمة لتحقيق أهداف البحث واختبار فروضه. وقد اعتمدت هذه الدراسة على الاستبانة (</w:t>
      </w:r>
      <w:r w:rsidRPr="001A06F7">
        <w:rPr>
          <w:rFonts w:ascii="Simplified Arabic" w:hAnsi="Simplified Arabic" w:cs="Simplified Arabic"/>
          <w:sz w:val="28"/>
          <w:szCs w:val="28"/>
        </w:rPr>
        <w:t>Questionnaire</w:t>
      </w:r>
      <w:r w:rsidRPr="001A06F7">
        <w:rPr>
          <w:rFonts w:ascii="Simplified Arabic" w:hAnsi="Simplified Arabic" w:cs="Simplified Arabic"/>
          <w:sz w:val="28"/>
          <w:szCs w:val="28"/>
          <w:rtl/>
        </w:rPr>
        <w:t>) كأداة رئيسة لجمع البيانات الكمية من أفراد العينة، نظرًا لما تتميز به من المرونة في التطبيق، وسهولة التوزيع، وإمكانية جمع معلومات دقيقة من عدد كبير من المشاركين في وقت قصير (</w:t>
      </w:r>
      <w:r w:rsidRPr="001A06F7">
        <w:rPr>
          <w:rFonts w:ascii="Simplified Arabic" w:hAnsi="Simplified Arabic" w:cs="Simplified Arabic"/>
          <w:sz w:val="28"/>
          <w:szCs w:val="28"/>
        </w:rPr>
        <w:t>Oppenheim, 2000</w:t>
      </w:r>
      <w:r w:rsidRPr="001A06F7">
        <w:rPr>
          <w:rFonts w:ascii="Simplified Arabic" w:hAnsi="Simplified Arabic" w:cs="Simplified Arabic"/>
          <w:sz w:val="28"/>
          <w:szCs w:val="28"/>
          <w:rtl/>
        </w:rPr>
        <w:t>). وتُعدّ الاستبانة أداة ملائمة لطبيعة هذه الدراسة التي تتناول متغيرات نفسية وتنظيمية تعتمد على قياس الاتجاهات والإدراكات الذاتية للعاملين داخل بيئاتهم المهنية (</w:t>
      </w:r>
      <w:r w:rsidRPr="001A06F7">
        <w:rPr>
          <w:rFonts w:ascii="Simplified Arabic" w:hAnsi="Simplified Arabic" w:cs="Simplified Arabic"/>
          <w:sz w:val="28"/>
          <w:szCs w:val="28"/>
        </w:rPr>
        <w:t>Bryman, 2016</w:t>
      </w:r>
      <w:r w:rsidRPr="001A06F7">
        <w:rPr>
          <w:rFonts w:ascii="Simplified Arabic" w:hAnsi="Simplified Arabic" w:cs="Simplified Arabic"/>
          <w:sz w:val="28"/>
          <w:szCs w:val="28"/>
          <w:rtl/>
        </w:rPr>
        <w:t>).</w:t>
      </w:r>
    </w:p>
    <w:p w14:paraId="73DBC11F" w14:textId="77777777" w:rsidR="009051BB" w:rsidRPr="001A06F7" w:rsidRDefault="009051BB" w:rsidP="00D67689">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صُممت الاستبانة خصيصًا لخدمة أهداف البحث الحالي، واستُمدّت فقراتها من الإطار النظري والدراسات السابقة ذات الصلة بموضوعات التحول الصحي، وبيئة العمل النفسية المستدامة، ورفاهية الموظفين، والاحتراق الوظيفي. وقد روعي في بنائها التسلسل المنطقي في عرض الأسئلة، بحيث تنتقل من البيانات العامة إلى المحاور المتخصصة، تحقيقًا للترابط بين هيكل الأداة ومتغيرات نموذج الدراسة. كما تمت مراجعة الاستبانة من قبل مجموعة من المحكمين الأكاديميين المختصين لضمان صدقها الظاهري ومناسبتها لأهداف الدراسة.</w:t>
      </w:r>
    </w:p>
    <w:p w14:paraId="7EED77BF" w14:textId="680C94F4" w:rsidR="007946E6" w:rsidRPr="001A06F7" w:rsidRDefault="007946E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hint="cs"/>
          <w:b/>
          <w:bCs/>
          <w:sz w:val="28"/>
          <w:szCs w:val="28"/>
          <w:rtl/>
        </w:rPr>
        <w:lastRenderedPageBreak/>
        <w:t>البنية العامة للاستبانة</w:t>
      </w:r>
    </w:p>
    <w:p w14:paraId="36D019A9" w14:textId="77777777" w:rsidR="00B723D2" w:rsidRPr="001A06F7" w:rsidRDefault="00B723D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تكوّنت الاستبانة في صورتها النهائية من خمسة أقسام رئيسة، على النحو الآتي:</w:t>
      </w:r>
    </w:p>
    <w:p w14:paraId="68752FB9" w14:textId="60C7FA7E"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الأول: البيانات الديموغرافية</w:t>
      </w:r>
    </w:p>
    <w:p w14:paraId="72B4C969" w14:textId="77777777" w:rsidR="00B723D2" w:rsidRPr="001A06F7" w:rsidRDefault="00B723D2" w:rsidP="009F4738">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يهدف هذا القسم إلى التعرف على الخصائص الشخصية والمهنية للمشاركين، وتشمل: الجنس، العمر، المؤهل العلمي، المسمى الوظيفي، سنوات الخبرة، الحالة الاجتماعية، ومتوسط الدخل الشهري. وتُستخدم هذه المتغيرات في تحليل الفروق بين استجابات المشاركين وتفسير الاختلافات في إدراكهم لمتغيرات الدراسة، مما يساعد في تحليل العلاقات الثانوية وربطها بالمتغيرات الرئيسة.</w:t>
      </w:r>
    </w:p>
    <w:p w14:paraId="1C9FAEFE" w14:textId="6D7C551D"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الثاني: محور التحول الصحي</w:t>
      </w:r>
    </w:p>
    <w:p w14:paraId="350904B1" w14:textId="77777777" w:rsidR="00B723D2" w:rsidRPr="001A06F7" w:rsidRDefault="00B723D2" w:rsidP="00C6070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يتضمن هذا المحور ثماني عبارات تهدف إلى قياس إدراك العاملين لمستوى تطبيق مبادرات التحول الصحي في مؤسساتهم. وتشمل موضوعاته جودة الخدمات الصحية، الكفاءة التشغيلية، التحول الرقمي، الحوكمة والشفافية، ثقافة الابتكار، ودعم الإدارة العليا لمبادرات التحول. ويُعد هذا المحور ممثلًا للـ متغير المستقل في نموذج الدراسة.</w:t>
      </w:r>
    </w:p>
    <w:p w14:paraId="3605B98B" w14:textId="46E88821"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الثالث: محور بيئة العمل النفسية المستدامة</w:t>
      </w:r>
    </w:p>
    <w:p w14:paraId="14ABC8AA" w14:textId="77777777" w:rsidR="00B723D2" w:rsidRPr="001A06F7" w:rsidRDefault="00B723D2" w:rsidP="00C6070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يحتوي هذا المحور على ثماني عبارات تُقيس مدى توافر المناخ النفسي الإيجابي في بيئة العمل، من خلال مؤشرات مثل الأمان النفسي، العدالة التنظيمية، العلاقات الإنسانية، الدعم الإداري، والمشاركة في اتخاذ القرار. ويُعبّر هذا المحور عن أحد المتغيرات التابعة في النموذج التحليلي للدراسة.</w:t>
      </w:r>
    </w:p>
    <w:p w14:paraId="1D3DD9F5" w14:textId="0D15D444"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الرابع: محور رفاهية الموظفين</w:t>
      </w:r>
    </w:p>
    <w:p w14:paraId="68DF4852" w14:textId="77777777" w:rsidR="00B723D2" w:rsidRPr="001A06F7" w:rsidRDefault="00B723D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يتكوّن هذا المحور من ثماني عبارات تهدف إلى قياس مستوى الرفاهية النفسية والاجتماعية والجسدية للعاملين، من خلال عناصر تشمل الرضا المهني، التوازن بين العمل والحياة، فرص التطوير المهني، الدعم الاجتماعي، والمكافآت التحفيزية. ويُعدّ هذا المحور هو المتغير الوسيط في الدراسة، إذ يُتوقع أن يتوسط العلاقة بين التحول الصحي ومستوى الاحتراق الوظيفي.</w:t>
      </w:r>
    </w:p>
    <w:p w14:paraId="58E65418" w14:textId="2BB3CE88"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الخامس: محور الاحتراق الوظيفي</w:t>
      </w:r>
    </w:p>
    <w:p w14:paraId="4A4C349D" w14:textId="34029C3D" w:rsidR="007946E6" w:rsidRPr="001A06F7" w:rsidRDefault="00B723D2" w:rsidP="005272CB">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يضم هذا المحور ثماني عبارات تقيس مستوى الاحتراق الوظيفي من خلال ثلاثة أبعاد رئيسة وفق تصنيف منظمة الصحة العالمية، وهي: الإرهاق العاطفي، التبلّد المهني، وانخفاض الشعور بالإنجاز الشخصي (</w:t>
      </w:r>
      <w:r w:rsidRPr="001A06F7">
        <w:rPr>
          <w:rFonts w:ascii="Simplified Arabic" w:hAnsi="Simplified Arabic" w:cs="Simplified Arabic"/>
          <w:sz w:val="28"/>
          <w:szCs w:val="28"/>
        </w:rPr>
        <w:t>World Health Organization, 2019</w:t>
      </w:r>
      <w:r w:rsidRPr="001A06F7">
        <w:rPr>
          <w:rFonts w:ascii="Simplified Arabic" w:hAnsi="Simplified Arabic" w:cs="Simplified Arabic"/>
          <w:sz w:val="28"/>
          <w:szCs w:val="28"/>
          <w:rtl/>
        </w:rPr>
        <w:t xml:space="preserve">). ويُعدّ هذا المحور هو المتغير التابع النهائي في نموذج </w:t>
      </w:r>
      <w:r w:rsidRPr="001A06F7">
        <w:rPr>
          <w:rFonts w:ascii="Simplified Arabic" w:hAnsi="Simplified Arabic" w:cs="Simplified Arabic"/>
          <w:sz w:val="28"/>
          <w:szCs w:val="28"/>
          <w:rtl/>
        </w:rPr>
        <w:lastRenderedPageBreak/>
        <w:t>الدراسة، حيث يعكس التأثيرات السلبية المحتملة لبيئة العمل والتحولات التنظيمية على الصحة النفسية للعاملين.</w:t>
      </w:r>
    </w:p>
    <w:p w14:paraId="688B39DC" w14:textId="33D30264" w:rsidR="007946E6" w:rsidRPr="001A06F7" w:rsidRDefault="007946E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hint="cs"/>
          <w:b/>
          <w:bCs/>
          <w:sz w:val="28"/>
          <w:szCs w:val="28"/>
          <w:rtl/>
        </w:rPr>
        <w:t>أسلوب القياس</w:t>
      </w:r>
    </w:p>
    <w:p w14:paraId="5286BA46"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اعتمدت الدراسة على مقياس ليكرت الخماسي (</w:t>
      </w:r>
      <w:r w:rsidRPr="001A06F7">
        <w:rPr>
          <w:rFonts w:ascii="Simplified Arabic" w:hAnsi="Simplified Arabic" w:cs="Simplified Arabic"/>
          <w:sz w:val="28"/>
          <w:szCs w:val="28"/>
        </w:rPr>
        <w:t>Likert Scale</w:t>
      </w:r>
      <w:r w:rsidRPr="001A06F7">
        <w:rPr>
          <w:rFonts w:ascii="Simplified Arabic" w:hAnsi="Simplified Arabic" w:cs="Simplified Arabic"/>
          <w:sz w:val="28"/>
          <w:szCs w:val="28"/>
          <w:rtl/>
        </w:rPr>
        <w:t>) في قياس استجابات المشاركين تجاه عبارات الاستبانة، إذ يُعد هذا المقياس من أكثر أدوات القياس استخدامًا في البحوث السلوكية والاجتماعية والإدارية، نظرًا لقدرته على تحويل الاتجاهات والمواقف الذاتية إلى بيانات كمية قابلة للقياس والتحليل الإحصائي (</w:t>
      </w:r>
      <w:r w:rsidRPr="001A06F7">
        <w:rPr>
          <w:rFonts w:ascii="Simplified Arabic" w:hAnsi="Simplified Arabic" w:cs="Simplified Arabic"/>
          <w:sz w:val="28"/>
          <w:szCs w:val="28"/>
        </w:rPr>
        <w:t>Joshi, Kale, Chandel, &amp; Pal, 2015</w:t>
      </w:r>
      <w:r w:rsidRPr="001A06F7">
        <w:rPr>
          <w:rFonts w:ascii="Simplified Arabic" w:hAnsi="Simplified Arabic" w:cs="Simplified Arabic"/>
          <w:sz w:val="28"/>
          <w:szCs w:val="28"/>
          <w:rtl/>
        </w:rPr>
        <w:t>). يتميّز مقياس ليكرت بسهولة استخدامه ودقته في تمثيل درجات الاتفاق أو الرفض، وهو ما يجعله ملائمًا لقياس المتغيرات النفسية والتنظيمية التي تعتمد على الإدراك والتقدير الشخصي للمشارك (</w:t>
      </w:r>
      <w:r w:rsidRPr="001A06F7">
        <w:rPr>
          <w:rFonts w:ascii="Simplified Arabic" w:hAnsi="Simplified Arabic" w:cs="Simplified Arabic"/>
          <w:sz w:val="28"/>
          <w:szCs w:val="28"/>
        </w:rPr>
        <w:t>Allen &amp; Seaman, 2007</w:t>
      </w:r>
      <w:r w:rsidRPr="001A06F7">
        <w:rPr>
          <w:rFonts w:ascii="Simplified Arabic" w:hAnsi="Simplified Arabic" w:cs="Simplified Arabic"/>
          <w:sz w:val="28"/>
          <w:szCs w:val="28"/>
          <w:rtl/>
        </w:rPr>
        <w:t>).</w:t>
      </w:r>
    </w:p>
    <w:p w14:paraId="15A4DFD5"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وُزّعت استجابات المشاركين في هذا المقياس على خمس درجات متدرجة وفقًا لشدة الموافقة على العبارات، على النحو الآتي:</w:t>
      </w:r>
    </w:p>
    <w:p w14:paraId="712B9E08" w14:textId="633A33FC" w:rsidR="00167656" w:rsidRPr="001A06F7" w:rsidRDefault="00167656" w:rsidP="006C4CDD">
      <w:pPr>
        <w:pStyle w:val="a6"/>
        <w:numPr>
          <w:ilvl w:val="0"/>
          <w:numId w:val="1"/>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لا أوافق بشدة – (2) لا أوافق – (3) محايد – (4) أوافق – (5) أوافق بشدة.</w:t>
      </w:r>
    </w:p>
    <w:p w14:paraId="315A86D4"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يُحسب المتوسط الحسابي والانحراف المعياري لكل محور من محاور الاستبانة استنادًا إلى هذه الدرجات، بما يُتيح تحديد مستوى كل متغير كما يُدركه أفراد العينة. كما جرى ترميز البيانات رقميًا وإدخالها في برنامج الحزم الإحصائية للعلوم الاجتماعية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 لإجراء التحليلات اللازمة واختبار الفرضيات الإحصائية بدقة.</w:t>
      </w:r>
    </w:p>
    <w:p w14:paraId="78F33879" w14:textId="26704B4D" w:rsidR="00167656" w:rsidRPr="001A06F7" w:rsidRDefault="0016765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الأسس العلمية لبناء الأداة</w:t>
      </w:r>
    </w:p>
    <w:p w14:paraId="25CA6269"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حرصت الباحثة عند تصميم أداة الدراسة على الالتزام بالأسس العلمية والمنهجية التي تُكفل صدق الأداة وثباتها، وذلك من خلال مجموعة من الإجراءات المنهجية التي تضمن سلامة التصميم وموثوقية النتائج، وتمثلت فيما يأتي:</w:t>
      </w:r>
    </w:p>
    <w:p w14:paraId="602E1190"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مراجعة الأدبيات السابقة والدراسات ذات الصلة لضمان شمول جميع أبعاد المتغيرات الرئيسة (التحول الصحي، بيئة العمل النفسية المستدامة، رفاهية الموظفين، الاحتراق الوظيفي).</w:t>
      </w:r>
    </w:p>
    <w:p w14:paraId="62649CB9"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صياغة العبارات بأسلوب علمي واضح ودقيق يخلو من الغموض أو التحيّز اللفظي، وبما يعكس المفهوم المقاس بصورة مباشرة.</w:t>
      </w:r>
    </w:p>
    <w:p w14:paraId="48DD5620"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تجنّب التناقض في الصياغة من خلال استخدام عبارات إيجابية موحدة الاتجاه لتقليل احتمالية الاستجابات العشوائية.</w:t>
      </w:r>
    </w:p>
    <w:p w14:paraId="6E3DD932"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توزيع العبارات داخل كل محور بصورة متوازنة تغطي جميع أبعاده الفرعية، بما يضمن التمثيل الشامل للمتغير المقاس.</w:t>
      </w:r>
    </w:p>
    <w:p w14:paraId="22589905" w14:textId="6F3582A8"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اعتماد اللغة العربية الفصحى في صياغة البنود لتسهيل فهمها على مختلف المستويات التعليمية والمهنية.</w:t>
      </w:r>
    </w:p>
    <w:p w14:paraId="3BF30C30" w14:textId="53857CE8" w:rsidR="00167656" w:rsidRPr="001A06F7" w:rsidRDefault="0016765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مبررات اختيار الأداة</w:t>
      </w:r>
    </w:p>
    <w:p w14:paraId="76277031"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يستند اختيار الاستبانة كأداة رئيسة لجمع البيانات في هذه الدراسة إلى عدد من المبررات المنهجية والعلمية، أبرزها ما يأتي:</w:t>
      </w:r>
    </w:p>
    <w:p w14:paraId="6207F113"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اتساقها مع طبيعة المنهج الوصفي التحليلي الذي يعتمد على قياس الاتجاهات والإدراكات الذاتية للمشاركين بصورة كمية ومنظمة.</w:t>
      </w:r>
    </w:p>
    <w:p w14:paraId="65B847AF"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قدرتها على تغطية نطاق واسع من المتغيرات وجمع بيانات كمية دقيقة من عدد كبير من الأفراد ضمن فترة زمنية محدودة.</w:t>
      </w:r>
    </w:p>
    <w:p w14:paraId="69A2DFFC"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ملاءمتها للبيئة الميدانية للدراسة التي تتطلب جمع آراء العاملين بسرية ودون تدخل مباشر من الباحثة، مما يعزز موضوعية الإجابات.</w:t>
      </w:r>
    </w:p>
    <w:p w14:paraId="2877B777"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سهولة تطبيقها وتحليلها باستخدام البرامج الإحصائية، بما يتيح اختبار العلاقات السببية والارتباطية بين المتغيرات.</w:t>
      </w:r>
    </w:p>
    <w:p w14:paraId="13C61FCF"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إمكانية تعميم نتائجها نظرًا لتصميمها بطريقة منهجية تعتمد على عينات ممثلة وعبارات قياس معيارية.</w:t>
      </w:r>
    </w:p>
    <w:p w14:paraId="179B5E73" w14:textId="4BC5CE27" w:rsidR="00DF70FE" w:rsidRPr="001A06F7" w:rsidRDefault="00167656" w:rsidP="0086543C">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تُشكّل هذه الأداة الركيزة الأساسية التي استندت إليها الدراسة في جمع البيانات الميدانية وتحليلها إحصائيًا، بما يُسهم في اختبار فروض البحث، واستخلاص العلاقات السببية بين متغيراته الرئيسة، تمهيدًا لتحليلها في الفصل الرابع من الدراسة باستخدام برنامج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w:t>
      </w:r>
    </w:p>
    <w:p w14:paraId="75210885" w14:textId="77777777" w:rsidR="00597427" w:rsidRPr="002C5E33" w:rsidRDefault="00597427" w:rsidP="002C5E33">
      <w:pPr>
        <w:pStyle w:val="2"/>
        <w:rPr>
          <w:b w:val="0"/>
          <w:bCs/>
          <w:rtl/>
        </w:rPr>
      </w:pPr>
      <w:bookmarkStart w:id="42" w:name="_Toc234084450"/>
      <w:r w:rsidRPr="002C5E33">
        <w:rPr>
          <w:b w:val="0"/>
          <w:bCs/>
          <w:rtl/>
        </w:rPr>
        <w:t>صدق وثبات أداة الدراسة</w:t>
      </w:r>
      <w:bookmarkEnd w:id="42"/>
    </w:p>
    <w:p w14:paraId="0F50BC99" w14:textId="21A41335" w:rsidR="00597427" w:rsidRPr="001A06F7" w:rsidRDefault="00597427"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يُعدّ التحقق من الصدق والثبات خطوة أساسية في ضمان جودة أدوات القياس في البحوث الميدانية، لما له من أهمية في التأكد من أن الأداة تُقيس فعليًا ما صُممت لقياسه، وأن نتائجها متسقة ومستقرة عند التطبيق في مواقف وأزمنة مختلفة (</w:t>
      </w:r>
      <w:r w:rsidRPr="001A06F7">
        <w:rPr>
          <w:rFonts w:ascii="Simplified Arabic" w:hAnsi="Simplified Arabic" w:cs="Simplified Arabic"/>
          <w:sz w:val="28"/>
          <w:szCs w:val="28"/>
        </w:rPr>
        <w:t xml:space="preserve">Field, </w:t>
      </w:r>
      <w:r w:rsidR="0089744B" w:rsidRPr="001A06F7">
        <w:rPr>
          <w:rFonts w:ascii="Simplified Arabic" w:hAnsi="Simplified Arabic" w:cs="Simplified Arabic"/>
          <w:sz w:val="28"/>
          <w:szCs w:val="28"/>
        </w:rPr>
        <w:t>2024</w:t>
      </w:r>
      <w:r w:rsidRPr="001A06F7">
        <w:rPr>
          <w:rFonts w:ascii="Simplified Arabic" w:hAnsi="Simplified Arabic" w:cs="Simplified Arabic"/>
          <w:sz w:val="28"/>
          <w:szCs w:val="28"/>
          <w:rtl/>
        </w:rPr>
        <w:t>).</w:t>
      </w:r>
    </w:p>
    <w:p w14:paraId="1FD9301E" w14:textId="77777777" w:rsidR="00891197" w:rsidRDefault="00891197" w:rsidP="00E1091B">
      <w:pPr>
        <w:spacing w:line="240" w:lineRule="auto"/>
        <w:jc w:val="both"/>
        <w:rPr>
          <w:rFonts w:ascii="Simplified Arabic" w:hAnsi="Simplified Arabic" w:cs="Simplified Arabic"/>
          <w:b/>
          <w:bCs/>
          <w:sz w:val="28"/>
          <w:szCs w:val="28"/>
          <w:rtl/>
        </w:rPr>
      </w:pPr>
    </w:p>
    <w:p w14:paraId="2C6E987D" w14:textId="77777777" w:rsidR="00891197" w:rsidRDefault="00891197" w:rsidP="00E1091B">
      <w:pPr>
        <w:spacing w:line="240" w:lineRule="auto"/>
        <w:jc w:val="both"/>
        <w:rPr>
          <w:rFonts w:ascii="Simplified Arabic" w:hAnsi="Simplified Arabic" w:cs="Simplified Arabic"/>
          <w:b/>
          <w:bCs/>
          <w:sz w:val="28"/>
          <w:szCs w:val="28"/>
          <w:rtl/>
        </w:rPr>
      </w:pPr>
    </w:p>
    <w:p w14:paraId="4FB19F37" w14:textId="6A17C1B1" w:rsidR="00C767C5" w:rsidRPr="00E1091B" w:rsidRDefault="00597427" w:rsidP="00E1091B">
      <w:pPr>
        <w:spacing w:line="240" w:lineRule="auto"/>
        <w:jc w:val="both"/>
        <w:rPr>
          <w:rFonts w:ascii="Simplified Arabic" w:hAnsi="Simplified Arabic" w:cs="Simplified Arabic"/>
          <w:b/>
          <w:bCs/>
          <w:sz w:val="28"/>
          <w:szCs w:val="28"/>
        </w:rPr>
      </w:pPr>
      <w:r w:rsidRPr="00521B8D">
        <w:rPr>
          <w:rFonts w:ascii="Simplified Arabic" w:hAnsi="Simplified Arabic" w:cs="Simplified Arabic"/>
          <w:b/>
          <w:bCs/>
          <w:sz w:val="28"/>
          <w:szCs w:val="28"/>
          <w:rtl/>
        </w:rPr>
        <w:lastRenderedPageBreak/>
        <w:t xml:space="preserve">أولًا: صدق الأداة </w:t>
      </w:r>
    </w:p>
    <w:p w14:paraId="6C35E216" w14:textId="77777777" w:rsidR="00C767C5" w:rsidRPr="0039717E" w:rsidRDefault="00C767C5" w:rsidP="0039717E">
      <w:pPr>
        <w:jc w:val="both"/>
        <w:rPr>
          <w:rFonts w:ascii="Simplified Arabic" w:hAnsi="Simplified Arabic" w:cs="Simplified Arabic"/>
          <w:sz w:val="28"/>
          <w:szCs w:val="28"/>
        </w:rPr>
      </w:pPr>
      <w:r w:rsidRPr="0039717E">
        <w:rPr>
          <w:rFonts w:ascii="Simplified Arabic" w:hAnsi="Simplified Arabic" w:cs="Simplified Arabic"/>
          <w:sz w:val="28"/>
          <w:szCs w:val="28"/>
          <w:rtl/>
        </w:rPr>
        <w:t>تم التحقق من صدق أداة الدراسة من خلال صدق المحتوى، وذلك بعرض الاستبانة في صورتها الأولية على مجموعة من المحكمين من ذوي الخبرة والاختصاص في مجال الإدارة والبحث العلمي، بهدف التأكد من مناسبة العبارات لمحاور الدراسة، ووضوح صياغتها، ومدى ارتباطها بالأبعاد التي تنتمي إليها. وفي ضوء ملاحظات المحكمين، أُجريت التعديلات اللازمة على بعض العبارات من حيث الصياغة والوضوح، بما أسهم في تحسين جودة الأداة وجعلها أكثر ملاءمة لقياس متغيرات الدراسة.</w:t>
      </w:r>
    </w:p>
    <w:p w14:paraId="519FFCF1" w14:textId="154EBF3C" w:rsidR="00597427" w:rsidRPr="001A06F7" w:rsidRDefault="00C767C5" w:rsidP="00792ACF">
      <w:pPr>
        <w:jc w:val="both"/>
        <w:rPr>
          <w:rFonts w:ascii="Simplified Arabic" w:hAnsi="Simplified Arabic" w:cs="Simplified Arabic"/>
          <w:sz w:val="28"/>
          <w:szCs w:val="28"/>
          <w:rtl/>
        </w:rPr>
      </w:pPr>
      <w:r w:rsidRPr="0039717E">
        <w:rPr>
          <w:rFonts w:ascii="Simplified Arabic" w:hAnsi="Simplified Arabic" w:cs="Simplified Arabic"/>
          <w:sz w:val="28"/>
          <w:szCs w:val="28"/>
          <w:rtl/>
        </w:rPr>
        <w:t>كما تم التحقق من الصدق البنائي للأداة من خلال مؤشرات الاتساق الداخلي، بالاعتماد على معاملات ارتباط الفقرة بالدرجة الكلية للمحور الذي تنتمي إليه. وقد أظهرت النتائج أن معاملات الارتباط المصححة بين الفقرات والدرجة الكلية كانت مرتفعة ومقبولة إحصائيًا؛ إذ تراوحت في محور أثر التحول الصحي بين (0.754–0.897)، وفي محور بيئة العمل النفسية المستدامة بين (0.662–0.865)، وفي محور رفاهية الموظفين بين (0.619–0.842)، وفي محور الاحتراق الوظيفي بين (0.686–0.895). وتشير هذه القيم إلى أن فقرات كل محور ترتبط بدرجة جيدة بالبُعد الذي تقيسه، مما يدعم صدق البناء الداخلي للأداة.</w:t>
      </w:r>
    </w:p>
    <w:p w14:paraId="01B794ED" w14:textId="43BD8E1B" w:rsidR="00597427" w:rsidRPr="001A06F7" w:rsidRDefault="00597427" w:rsidP="00CB5D51">
      <w:pPr>
        <w:spacing w:line="240" w:lineRule="auto"/>
        <w:jc w:val="both"/>
        <w:rPr>
          <w:rFonts w:ascii="Simplified Arabic" w:hAnsi="Simplified Arabic" w:cs="Simplified Arabic"/>
          <w:b/>
          <w:bCs/>
          <w:sz w:val="28"/>
          <w:szCs w:val="28"/>
          <w:rtl/>
        </w:rPr>
      </w:pPr>
      <w:r w:rsidRPr="00521B8D">
        <w:rPr>
          <w:rFonts w:ascii="Simplified Arabic" w:hAnsi="Simplified Arabic" w:cs="Simplified Arabic"/>
          <w:b/>
          <w:bCs/>
          <w:sz w:val="28"/>
          <w:szCs w:val="28"/>
          <w:rtl/>
        </w:rPr>
        <w:t>ثانيًا: ثبات الأداة</w:t>
      </w:r>
    </w:p>
    <w:p w14:paraId="2C63AE77" w14:textId="4741019D" w:rsidR="00252D6C" w:rsidRDefault="00252D6C" w:rsidP="00252D6C">
      <w:p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تم قياس ثبات أداة الدراسة باستخدام معامل كرونباخ ألفا (</w:t>
      </w:r>
      <w:r>
        <w:rPr>
          <w:rFonts w:ascii="Simplified Arabic" w:hAnsi="Simplified Arabic" w:cs="Simplified Arabic"/>
          <w:sz w:val="28"/>
          <w:szCs w:val="28"/>
        </w:rPr>
        <w:t>Cronbach’s Alpha</w:t>
      </w:r>
      <w:r>
        <w:rPr>
          <w:rFonts w:ascii="Simplified Arabic" w:hAnsi="Simplified Arabic" w:cs="Simplified Arabic"/>
          <w:sz w:val="28"/>
          <w:szCs w:val="28"/>
          <w:rtl/>
        </w:rPr>
        <w:t>)، وذلك لقياس درجة الاتساق الداخلي بين فقرات كل محور من محاور الاستبانة. وقد تم تطبيق التحليل على عينة الدراسة البالغ عددها (384) مفردة، دون وجود حالات مستبعدة في تحليل الثبات. وأظهرت النتائج أن جميع معاملات الثبات جاءت مرتفعة، مما يدل على أن الأداة تتمتع بدرجة عالية من الاعتمادية والاتساق الداخلي. فقد بلغ معامل كرونباخ ألفا لمحور أثر التحول الصحي (0.958)، ولمحور بيئة العمل النفسية المستدامة (0.946)، ولمحور رفاهية الموظفين (0.932)، ولمحور الاحتراق الوظيفي (0.959)، بينما بلغ معامل الثبات الكلي للأداة (0.896)، وهي جميعها قيم تتجاوز الحد المقبول إحصائيًا والبالغ عادة (0.70). وتؤكد هذه النتائج أن أداة الدراسة مناسبة للاستخدام في جمع البيانات وتحليلها، وأن نتائجها يمكن الاعتماد عليها في اختبار فرضيات الدراسة والإجابة عن تساؤلاتها.</w:t>
      </w:r>
    </w:p>
    <w:p w14:paraId="0728C647" w14:textId="0CF921D2" w:rsidR="00252D6C" w:rsidRDefault="00252D6C" w:rsidP="00CB5D51">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w:t>
      </w:r>
      <w:r w:rsidR="00E20A0A">
        <w:rPr>
          <w:rFonts w:ascii="Simplified Arabic" w:hAnsi="Simplified Arabic" w:cs="Simplified Arabic" w:hint="cs"/>
          <w:sz w:val="28"/>
          <w:szCs w:val="28"/>
          <w:rtl/>
        </w:rPr>
        <w:t xml:space="preserve"> (</w:t>
      </w:r>
      <w:r w:rsidR="0047067B">
        <w:rPr>
          <w:rFonts w:ascii="Simplified Arabic" w:hAnsi="Simplified Arabic" w:cs="Simplified Arabic" w:hint="cs"/>
          <w:sz w:val="28"/>
          <w:szCs w:val="28"/>
          <w:rtl/>
        </w:rPr>
        <w:t>3-1</w:t>
      </w:r>
      <w:r w:rsidR="00E20A0A">
        <w:rPr>
          <w:rFonts w:ascii="Simplified Arabic" w:hAnsi="Simplified Arabic" w:cs="Simplified Arabic" w:hint="cs"/>
          <w:sz w:val="28"/>
          <w:szCs w:val="28"/>
          <w:rtl/>
        </w:rPr>
        <w:t>)</w:t>
      </w:r>
      <w:r>
        <w:rPr>
          <w:rFonts w:ascii="Simplified Arabic" w:hAnsi="Simplified Arabic" w:cs="Simplified Arabic"/>
          <w:sz w:val="28"/>
          <w:szCs w:val="28"/>
          <w:rtl/>
        </w:rPr>
        <w:t>: معاملات الثبات لمحاور أداة الدراسة</w:t>
      </w:r>
    </w:p>
    <w:tbl>
      <w:tblPr>
        <w:tblStyle w:val="10"/>
        <w:bidiVisual/>
        <w:tblW w:w="5000" w:type="pct"/>
        <w:tblLook w:val="0660" w:firstRow="1" w:lastRow="1" w:firstColumn="0" w:lastColumn="0" w:noHBand="1" w:noVBand="1"/>
      </w:tblPr>
      <w:tblGrid>
        <w:gridCol w:w="4124"/>
        <w:gridCol w:w="1947"/>
        <w:gridCol w:w="2945"/>
      </w:tblGrid>
      <w:tr w:rsidR="00632919" w14:paraId="3C41D686" w14:textId="77777777" w:rsidTr="00A05E2A">
        <w:trPr>
          <w:cnfStyle w:val="100000000000" w:firstRow="1" w:lastRow="0" w:firstColumn="0" w:lastColumn="0" w:oddVBand="0" w:evenVBand="0" w:oddHBand="0" w:evenHBand="0" w:firstRowFirstColumn="0" w:firstRowLastColumn="0" w:lastRowFirstColumn="0" w:lastRowLastColumn="0"/>
          <w:trHeight w:val="480"/>
        </w:trPr>
        <w:tc>
          <w:tcPr>
            <w:tcW w:w="2287" w:type="pct"/>
            <w:vAlign w:val="center"/>
            <w:hideMark/>
          </w:tcPr>
          <w:p w14:paraId="33A4449E" w14:textId="77777777" w:rsidR="00632919" w:rsidRDefault="00632919" w:rsidP="009231B5">
            <w:pPr>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sz w:val="28"/>
                <w:szCs w:val="28"/>
                <w:rtl/>
              </w:rPr>
              <w:t>المحور</w:t>
            </w:r>
          </w:p>
        </w:tc>
        <w:tc>
          <w:tcPr>
            <w:tcW w:w="1080" w:type="pct"/>
            <w:vAlign w:val="center"/>
            <w:hideMark/>
          </w:tcPr>
          <w:p w14:paraId="3FE922BC"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عدد الفقرات</w:t>
            </w:r>
          </w:p>
        </w:tc>
        <w:tc>
          <w:tcPr>
            <w:tcW w:w="1633" w:type="pct"/>
            <w:vAlign w:val="center"/>
            <w:hideMark/>
          </w:tcPr>
          <w:p w14:paraId="6DE66F1E"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معامل كرونباخ ألفا</w:t>
            </w:r>
          </w:p>
        </w:tc>
      </w:tr>
      <w:tr w:rsidR="00632919" w14:paraId="14EAEEC6" w14:textId="77777777" w:rsidTr="00A05E2A">
        <w:trPr>
          <w:trHeight w:val="480"/>
        </w:trPr>
        <w:tc>
          <w:tcPr>
            <w:tcW w:w="2287" w:type="pct"/>
            <w:vAlign w:val="center"/>
            <w:hideMark/>
          </w:tcPr>
          <w:p w14:paraId="44CF997D"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التحول الصحي</w:t>
            </w:r>
          </w:p>
        </w:tc>
        <w:tc>
          <w:tcPr>
            <w:tcW w:w="1080" w:type="pct"/>
            <w:vAlign w:val="center"/>
            <w:hideMark/>
          </w:tcPr>
          <w:p w14:paraId="6B401CD6"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159F2213"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0.958</w:t>
            </w:r>
          </w:p>
        </w:tc>
      </w:tr>
      <w:tr w:rsidR="00632919" w14:paraId="31C9A438" w14:textId="77777777" w:rsidTr="00A05E2A">
        <w:trPr>
          <w:trHeight w:val="480"/>
        </w:trPr>
        <w:tc>
          <w:tcPr>
            <w:tcW w:w="2287" w:type="pct"/>
            <w:vAlign w:val="center"/>
            <w:hideMark/>
          </w:tcPr>
          <w:p w14:paraId="13D6DA6E"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بيئة العمل النفسية المستدامة</w:t>
            </w:r>
          </w:p>
        </w:tc>
        <w:tc>
          <w:tcPr>
            <w:tcW w:w="1080" w:type="pct"/>
            <w:vAlign w:val="center"/>
            <w:hideMark/>
          </w:tcPr>
          <w:p w14:paraId="34865FCA"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22159A35"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0.946</w:t>
            </w:r>
          </w:p>
        </w:tc>
      </w:tr>
      <w:tr w:rsidR="00632919" w14:paraId="478508C9" w14:textId="77777777" w:rsidTr="00A05E2A">
        <w:trPr>
          <w:trHeight w:val="480"/>
        </w:trPr>
        <w:tc>
          <w:tcPr>
            <w:tcW w:w="2287" w:type="pct"/>
            <w:vAlign w:val="center"/>
            <w:hideMark/>
          </w:tcPr>
          <w:p w14:paraId="1FADBE54"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رفاهية الموظفين</w:t>
            </w:r>
          </w:p>
        </w:tc>
        <w:tc>
          <w:tcPr>
            <w:tcW w:w="1080" w:type="pct"/>
            <w:vAlign w:val="center"/>
            <w:hideMark/>
          </w:tcPr>
          <w:p w14:paraId="676B6904"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1EA8A9C1"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0.932</w:t>
            </w:r>
          </w:p>
        </w:tc>
      </w:tr>
      <w:tr w:rsidR="00632919" w14:paraId="0254EBA5" w14:textId="77777777" w:rsidTr="00A05E2A">
        <w:trPr>
          <w:trHeight w:val="480"/>
        </w:trPr>
        <w:tc>
          <w:tcPr>
            <w:tcW w:w="2287" w:type="pct"/>
            <w:vAlign w:val="center"/>
            <w:hideMark/>
          </w:tcPr>
          <w:p w14:paraId="55AEDF49"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الاحتراق الوظيفي</w:t>
            </w:r>
          </w:p>
        </w:tc>
        <w:tc>
          <w:tcPr>
            <w:tcW w:w="1080" w:type="pct"/>
            <w:vAlign w:val="center"/>
            <w:hideMark/>
          </w:tcPr>
          <w:p w14:paraId="30B8CC50"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3C82D5E8"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0.959</w:t>
            </w:r>
          </w:p>
        </w:tc>
      </w:tr>
      <w:tr w:rsidR="00632919" w14:paraId="5DD5CC5D" w14:textId="77777777" w:rsidTr="00A05E2A">
        <w:trPr>
          <w:cnfStyle w:val="010000000000" w:firstRow="0" w:lastRow="1" w:firstColumn="0" w:lastColumn="0" w:oddVBand="0" w:evenVBand="0" w:oddHBand="0" w:evenHBand="0" w:firstRowFirstColumn="0" w:firstRowLastColumn="0" w:lastRowFirstColumn="0" w:lastRowLastColumn="0"/>
          <w:trHeight w:val="480"/>
        </w:trPr>
        <w:tc>
          <w:tcPr>
            <w:tcW w:w="2287" w:type="pct"/>
            <w:vAlign w:val="center"/>
            <w:hideMark/>
          </w:tcPr>
          <w:p w14:paraId="0EE0BB90"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الأداة ككل</w:t>
            </w:r>
          </w:p>
        </w:tc>
        <w:tc>
          <w:tcPr>
            <w:tcW w:w="1080" w:type="pct"/>
            <w:vAlign w:val="center"/>
            <w:hideMark/>
          </w:tcPr>
          <w:p w14:paraId="5E8833A4"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1633" w:type="pct"/>
            <w:vAlign w:val="center"/>
            <w:hideMark/>
          </w:tcPr>
          <w:p w14:paraId="2A32117E"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0.896</w:t>
            </w:r>
          </w:p>
        </w:tc>
      </w:tr>
    </w:tbl>
    <w:p w14:paraId="5D70B0F1" w14:textId="53BE3AC8" w:rsidR="00252D6C" w:rsidRPr="001A06F7" w:rsidRDefault="00A05E2A" w:rsidP="000C5D98">
      <w:pPr>
        <w:spacing w:before="24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ما سبق، يمكن القول إن أداة الدراسة تتمتع بمؤشرات جيدة من الصدق والثبات، حيث أظهرت فقراتها اتساقًا داخليًا واضحًا، كما جاءت معاملات كرونباخ ألفا مرتفعة في جميع المحاور، الأمر الذي يعزز صلاحية الأداة للتطبيق على عينة الدراسة وتحقيق أهداف البحث.</w:t>
      </w:r>
    </w:p>
    <w:p w14:paraId="0C474373" w14:textId="77777777" w:rsidR="000517F6" w:rsidRPr="000C5D98" w:rsidRDefault="000517F6" w:rsidP="000C5D98">
      <w:pPr>
        <w:pStyle w:val="2"/>
        <w:rPr>
          <w:b w:val="0"/>
          <w:bCs/>
          <w:rtl/>
        </w:rPr>
      </w:pPr>
      <w:bookmarkStart w:id="43" w:name="_Toc234084451"/>
      <w:r w:rsidRPr="000C5D98">
        <w:rPr>
          <w:b w:val="0"/>
          <w:bCs/>
          <w:rtl/>
        </w:rPr>
        <w:t>متغيرات الدراسة وكيفية قياسها</w:t>
      </w:r>
      <w:bookmarkEnd w:id="43"/>
    </w:p>
    <w:p w14:paraId="24F3511F"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تتناول الدراسة الحالية أربعة متغيرات رئيسة مترابطة، وهي: التحول الصحي (المتغير المستقل)، بيئة العمل النفسية المستدامة (متغير تابع جزئي)، رفاهية الموظفين (المتغير الوسيط)، والاحتراق الوظيفي (المتغير التابع النهائي). تم تحديد هذه المتغيرات استنادًا إلى الإطار النظري والدراسات السابقة، وتم تطوير أدوات قياسها بما يتناسب مع طبيعة البيئة السعودية في القطاع الصحي الحكومي.</w:t>
      </w:r>
    </w:p>
    <w:p w14:paraId="257BCA89"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أولًا: المتغير المستقل – التحول الصحي</w:t>
      </w:r>
    </w:p>
    <w:p w14:paraId="1915AD0F"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6F9CD045" w14:textId="4AB4CE9D" w:rsidR="000517F6" w:rsidRPr="001A06F7" w:rsidRDefault="000517F6" w:rsidP="00FF0861">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w:t>
      </w:r>
      <w:r w:rsidR="0023756D" w:rsidRPr="001A06F7">
        <w:rPr>
          <w:rFonts w:ascii="Simplified Arabic" w:hAnsi="Simplified Arabic" w:cs="Simplified Arabic"/>
          <w:sz w:val="28"/>
          <w:szCs w:val="28"/>
          <w:rtl/>
        </w:rPr>
        <w:t>يُشير مفهوم التحول الصحي إلى عملية تطوير شاملة للنظام الصحي تهدف إلى رفع كفاءة الأداء، وتحسين جودة الخدمات المقدمة، وتعزيز الاستدامة والحوكمة من خلال التحول الرقمي وتبني الابتكار، بما يتماشى مع أهداف رؤية المملكة العربية السعودية 2030 .</w:t>
      </w:r>
    </w:p>
    <w:p w14:paraId="6DEECD44"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4A546401" w14:textId="2F6CFD96" w:rsidR="007E3FAC" w:rsidRPr="001A06F7" w:rsidRDefault="00D47240" w:rsidP="007E3FAC">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t>تم قياس التحول الصحي من خلال ثماني عبارات أُعدّت لقياس إدراك العاملين لمستوى تطبيق مبادرات التحول الصحي في مؤسساتهم الحكومية. وقد صُممت الفقرات بالاعتماد على أدبيات التحول التنظيمي والرعاية الصحية الحديثة (</w:t>
      </w:r>
      <w:r w:rsidRPr="001A06F7">
        <w:rPr>
          <w:rFonts w:ascii="Simplified Arabic" w:hAnsi="Simplified Arabic" w:cs="Simplified Arabic"/>
          <w:sz w:val="28"/>
          <w:szCs w:val="28"/>
        </w:rPr>
        <w:t>Alasiri &amp; Mohammed, 2022</w:t>
      </w:r>
      <w:r w:rsidRPr="001A06F7">
        <w:rPr>
          <w:rFonts w:ascii="Simplified Arabic" w:hAnsi="Simplified Arabic" w:cs="Simplified Arabic"/>
          <w:sz w:val="28"/>
          <w:szCs w:val="28"/>
          <w:rtl/>
        </w:rPr>
        <w:t xml:space="preserve"> ؛ </w:t>
      </w:r>
      <w:r w:rsidRPr="001A06F7">
        <w:rPr>
          <w:rFonts w:ascii="Simplified Arabic" w:hAnsi="Simplified Arabic" w:cs="Simplified Arabic"/>
          <w:sz w:val="28"/>
          <w:szCs w:val="28"/>
        </w:rPr>
        <w:t>Alharbi, 2017</w:t>
      </w:r>
      <w:r w:rsidRPr="001A06F7">
        <w:rPr>
          <w:rFonts w:ascii="Simplified Arabic" w:hAnsi="Simplified Arabic" w:cs="Simplified Arabic"/>
          <w:sz w:val="28"/>
          <w:szCs w:val="28"/>
          <w:rtl/>
        </w:rPr>
        <w:t>)، وتشمل أبعادًا مثل:</w:t>
      </w:r>
    </w:p>
    <w:p w14:paraId="33D49AF0"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جودة الخدمات الصحية.</w:t>
      </w:r>
    </w:p>
    <w:p w14:paraId="28CEDA7C"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الكفاءة التشغيلية.</w:t>
      </w:r>
    </w:p>
    <w:p w14:paraId="6744A7C5"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التحول الرقمي.</w:t>
      </w:r>
    </w:p>
    <w:p w14:paraId="061C7181"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الحوكمة والشفافية.</w:t>
      </w:r>
    </w:p>
    <w:p w14:paraId="5D9520EE"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lastRenderedPageBreak/>
        <w:t>ثقافة الابتكار.</w:t>
      </w:r>
    </w:p>
    <w:p w14:paraId="7AC45FF1" w14:textId="26CB3AA2" w:rsidR="000517F6" w:rsidRPr="001A06F7" w:rsidRDefault="000517F6" w:rsidP="006C4CDD">
      <w:pPr>
        <w:pStyle w:val="a6"/>
        <w:numPr>
          <w:ilvl w:val="0"/>
          <w:numId w:val="5"/>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دعم الإدارة العليا لمبادرات التغيير.</w:t>
      </w:r>
    </w:p>
    <w:p w14:paraId="5AA19E6E" w14:textId="77777777" w:rsidR="000517F6" w:rsidRPr="001A06F7" w:rsidRDefault="000517F6" w:rsidP="00FE21DC">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جميع العبارات قُيِّمت وفق مقياس ليكرت الخماسي بدرجات تتراوح من (1 = لا أوافق بشدة) إلى (5 = أوافق بشدة).</w:t>
      </w:r>
    </w:p>
    <w:p w14:paraId="0547C1CC"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ثانيًا: المتغير التابع الأول – بيئة العمل النفسية المستدامة</w:t>
      </w:r>
    </w:p>
    <w:p w14:paraId="2CE26ECD" w14:textId="5621C3F3"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05C17116" w14:textId="31B84BC3" w:rsidR="000517F6" w:rsidRPr="001A06F7" w:rsidRDefault="0029528F" w:rsidP="00F173D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تُعرّف بيئة العمل النفسية المستدامة بأنها المناخ التنظيمي الذي يوفّر للعاملين الأمان النفسي، والدعم الاجتماعي، والعدالة التنظيمية، وفرص المشاركة في اتخاذ القرار، بما يُسهم في تعزيز رفاههم واستقرارهم المهني.</w:t>
      </w:r>
    </w:p>
    <w:p w14:paraId="691C1ED3"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76D76994" w14:textId="77777777" w:rsidR="000517F6" w:rsidRPr="001A06F7" w:rsidRDefault="000517F6" w:rsidP="00F173D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تم قياس هذا المتغير من خلال ثماني عبارات في الاستبانة تُغطي الجوانب التالية:</w:t>
      </w:r>
    </w:p>
    <w:p w14:paraId="62E1C5D1"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الأمان النفسي في العمل.</w:t>
      </w:r>
    </w:p>
    <w:p w14:paraId="0A6EDE7C"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العدالة في السياسات التنظيمية.</w:t>
      </w:r>
    </w:p>
    <w:p w14:paraId="5A5A02AD"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العلاقات الإيجابية بين الزملاء.</w:t>
      </w:r>
    </w:p>
    <w:p w14:paraId="4A259990"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الدعم من المشرفين والإدارة.</w:t>
      </w:r>
    </w:p>
    <w:p w14:paraId="1F8106AD"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التعاون والمشاركة في اتخاذ القرار.</w:t>
      </w:r>
    </w:p>
    <w:p w14:paraId="6B16B969" w14:textId="556CB680"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قُيِّمت جميع البنود باستخدام مقياس ليكرت الخماسي، وتُمثل متوسطاتها مؤشرات كمية لمدى توافر البيئة النفسية المستدامة كما يُدركها المشاركون.</w:t>
      </w:r>
    </w:p>
    <w:p w14:paraId="61D3D3DC"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ثالثًا: المتغير الوسيط – رفاهية الموظفين</w:t>
      </w:r>
    </w:p>
    <w:p w14:paraId="167397EF" w14:textId="12390A1E"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6B986CB6" w14:textId="58B4C49B" w:rsidR="000517F6" w:rsidRPr="001A06F7" w:rsidRDefault="000517F6" w:rsidP="005705DC">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تُعرّف رفاهية الموظفين (</w:t>
      </w:r>
      <w:r w:rsidRPr="001A06F7">
        <w:rPr>
          <w:rFonts w:ascii="Simplified Arabic" w:hAnsi="Simplified Arabic" w:cs="Simplified Arabic"/>
          <w:sz w:val="28"/>
          <w:szCs w:val="28"/>
        </w:rPr>
        <w:t>Employee Well-being</w:t>
      </w:r>
      <w:r w:rsidRPr="001A06F7">
        <w:rPr>
          <w:rFonts w:ascii="Simplified Arabic" w:hAnsi="Simplified Arabic" w:cs="Simplified Arabic"/>
          <w:sz w:val="28"/>
          <w:szCs w:val="28"/>
          <w:rtl/>
        </w:rPr>
        <w:t>) بأنها حالة من التوازن النفسي والاجتماعي والجسدي تُمكّن الفرد من أداء عمله بكفاءة، والشعور بالرضا والانسجام بين متطلبات العمل وحياته الخاصة (</w:t>
      </w:r>
      <w:r w:rsidRPr="001A06F7">
        <w:rPr>
          <w:rFonts w:ascii="Simplified Arabic" w:hAnsi="Simplified Arabic" w:cs="Simplified Arabic"/>
          <w:sz w:val="28"/>
          <w:szCs w:val="28"/>
        </w:rPr>
        <w:t>Page &amp; Vella-Brodrick, 2009</w:t>
      </w:r>
      <w:r w:rsidRPr="001A06F7">
        <w:rPr>
          <w:rFonts w:ascii="Simplified Arabic" w:hAnsi="Simplified Arabic" w:cs="Simplified Arabic"/>
          <w:sz w:val="28"/>
          <w:szCs w:val="28"/>
          <w:rtl/>
        </w:rPr>
        <w:t xml:space="preserve">؛ </w:t>
      </w:r>
      <w:r w:rsidRPr="001A06F7">
        <w:rPr>
          <w:rFonts w:ascii="Simplified Arabic" w:hAnsi="Simplified Arabic" w:cs="Simplified Arabic"/>
          <w:sz w:val="28"/>
          <w:szCs w:val="28"/>
        </w:rPr>
        <w:t xml:space="preserve">Robertson &amp; Cooper, </w:t>
      </w:r>
      <w:r w:rsidR="00C102A6" w:rsidRPr="001A06F7">
        <w:rPr>
          <w:rFonts w:ascii="Simplified Arabic" w:hAnsi="Simplified Arabic" w:cs="Simplified Arabic"/>
          <w:sz w:val="28"/>
          <w:szCs w:val="28"/>
        </w:rPr>
        <w:t>2011</w:t>
      </w:r>
      <w:r w:rsidRPr="001A06F7">
        <w:rPr>
          <w:rFonts w:ascii="Simplified Arabic" w:hAnsi="Simplified Arabic" w:cs="Simplified Arabic"/>
          <w:sz w:val="28"/>
          <w:szCs w:val="28"/>
          <w:rtl/>
        </w:rPr>
        <w:t>).</w:t>
      </w:r>
    </w:p>
    <w:p w14:paraId="518F677F"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2055CC81" w14:textId="77777777" w:rsidR="001B7161" w:rsidRPr="001A06F7" w:rsidRDefault="000517F6" w:rsidP="00161DBA">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t>تم قياس هذا المتغير من خلال ثماني عبارات تناولت أبعادًا مختلفة من الرفاهية المهنية، وهي:</w:t>
      </w:r>
    </w:p>
    <w:p w14:paraId="30770493"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lastRenderedPageBreak/>
        <w:t>الرضا العام عن العمل.</w:t>
      </w:r>
    </w:p>
    <w:p w14:paraId="3447BC25"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التوازن بين العمل والحياة الشخصية.</w:t>
      </w:r>
    </w:p>
    <w:p w14:paraId="15C3AD3B"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فرص النمو والتطوير المهني.</w:t>
      </w:r>
    </w:p>
    <w:p w14:paraId="443C6AD1"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الدعم الاجتماعي داخل المنظمة.</w:t>
      </w:r>
    </w:p>
    <w:p w14:paraId="60FB57C1" w14:textId="1A5EDC76" w:rsidR="000517F6" w:rsidRPr="001A06F7" w:rsidRDefault="000517F6" w:rsidP="006C4CDD">
      <w:pPr>
        <w:pStyle w:val="a6"/>
        <w:numPr>
          <w:ilvl w:val="0"/>
          <w:numId w:val="7"/>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المكافآت والحوافز المادية والمعنوية.</w:t>
      </w:r>
    </w:p>
    <w:p w14:paraId="25626A18"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طُبّق مقياس ليكرت الخماسي لقياس درجة الاتفاق مع كل عبارة، بحيث تعكس المتوسطات الحسابية مستوى الرفاهية المدركة لدى الموظفين.</w:t>
      </w:r>
    </w:p>
    <w:p w14:paraId="4B8CF289"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رابعًا: المتغير التابع – الاحتراق الوظيفي</w:t>
      </w:r>
    </w:p>
    <w:p w14:paraId="7941471C" w14:textId="6EF4EC5E"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5851F91A" w14:textId="77777777" w:rsidR="000517F6" w:rsidRPr="001A06F7" w:rsidRDefault="000517F6" w:rsidP="00732DE5">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يُعرّف الاحتراق الوظيفي (</w:t>
      </w:r>
      <w:r w:rsidRPr="001A06F7">
        <w:rPr>
          <w:rFonts w:ascii="Simplified Arabic" w:hAnsi="Simplified Arabic" w:cs="Simplified Arabic"/>
          <w:sz w:val="28"/>
          <w:szCs w:val="28"/>
        </w:rPr>
        <w:t>Job Burnout</w:t>
      </w:r>
      <w:r w:rsidRPr="001A06F7">
        <w:rPr>
          <w:rFonts w:ascii="Simplified Arabic" w:hAnsi="Simplified Arabic" w:cs="Simplified Arabic"/>
          <w:sz w:val="28"/>
          <w:szCs w:val="28"/>
          <w:rtl/>
        </w:rPr>
        <w:t>) بأنه حالة من الإرهاق العاطفي والتبلّد المهني وانخفاض الإحساس بالإنجاز الشخصي، تنتج عن التعرض المستمر لضغوط العمل المزمنة، وفقًا لتصنيف منظمة الصحة العالمية في الإصدار الحادي عشر من التصنيف الدولي للأمراض (</w:t>
      </w:r>
      <w:r w:rsidRPr="001A06F7">
        <w:rPr>
          <w:rFonts w:ascii="Simplified Arabic" w:hAnsi="Simplified Arabic" w:cs="Simplified Arabic"/>
          <w:sz w:val="28"/>
          <w:szCs w:val="28"/>
        </w:rPr>
        <w:t>World Health Organization, 2019</w:t>
      </w:r>
      <w:r w:rsidRPr="001A06F7">
        <w:rPr>
          <w:rFonts w:ascii="Simplified Arabic" w:hAnsi="Simplified Arabic" w:cs="Simplified Arabic"/>
          <w:sz w:val="28"/>
          <w:szCs w:val="28"/>
          <w:rtl/>
        </w:rPr>
        <w:t>).</w:t>
      </w:r>
    </w:p>
    <w:p w14:paraId="5BCE44EB"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31DF0E09" w14:textId="77777777" w:rsidR="00732DE5" w:rsidRPr="001A06F7" w:rsidRDefault="000517F6" w:rsidP="00732DE5">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t>تم قياس هذا المتغير من خلال ثماني عبارات اشتقت من الأدبيات المعتمدة على مقياس ماسلاش للاحتراق الوظيفي (</w:t>
      </w:r>
      <w:r w:rsidRPr="001A06F7">
        <w:rPr>
          <w:rFonts w:ascii="Simplified Arabic" w:hAnsi="Simplified Arabic" w:cs="Simplified Arabic"/>
          <w:sz w:val="28"/>
          <w:szCs w:val="28"/>
        </w:rPr>
        <w:t>Maslach &amp; Leiter, 2016</w:t>
      </w:r>
      <w:r w:rsidRPr="001A06F7">
        <w:rPr>
          <w:rFonts w:ascii="Simplified Arabic" w:hAnsi="Simplified Arabic" w:cs="Simplified Arabic"/>
          <w:sz w:val="28"/>
          <w:szCs w:val="28"/>
          <w:rtl/>
        </w:rPr>
        <w:t>)، حيث تغطي الأبعاد الثلاثة الآتية:</w:t>
      </w:r>
    </w:p>
    <w:p w14:paraId="00C05585" w14:textId="77777777" w:rsidR="00732DE5" w:rsidRPr="001A06F7" w:rsidRDefault="000517F6" w:rsidP="006C4CDD">
      <w:pPr>
        <w:pStyle w:val="a6"/>
        <w:numPr>
          <w:ilvl w:val="0"/>
          <w:numId w:val="8"/>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الإرهاق العاطفي.</w:t>
      </w:r>
    </w:p>
    <w:p w14:paraId="4FCE318B" w14:textId="77777777" w:rsidR="00732DE5" w:rsidRPr="001A06F7" w:rsidRDefault="000517F6" w:rsidP="006C4CDD">
      <w:pPr>
        <w:pStyle w:val="a6"/>
        <w:numPr>
          <w:ilvl w:val="0"/>
          <w:numId w:val="8"/>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التبلّد أو الانفصال المهني.</w:t>
      </w:r>
    </w:p>
    <w:p w14:paraId="4FD12136" w14:textId="75DD8F45" w:rsidR="000517F6" w:rsidRPr="001A06F7" w:rsidRDefault="000517F6" w:rsidP="006C4CDD">
      <w:pPr>
        <w:pStyle w:val="a6"/>
        <w:numPr>
          <w:ilvl w:val="0"/>
          <w:numId w:val="8"/>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انخفاض الشعور بالإنجاز الشخصي.</w:t>
      </w:r>
    </w:p>
    <w:p w14:paraId="24F3FDD2"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وجرى استخدام مقياس ليكرت الخماسي لقياس مستوى الاتفاق مع العبارات، حيث تشير المتوسطات الأعلى إلى مستويات أكبر من الاحتراق الوظيفي.</w:t>
      </w:r>
    </w:p>
    <w:p w14:paraId="3F5D15AA"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خلاصة</w:t>
      </w:r>
    </w:p>
    <w:p w14:paraId="7114F352" w14:textId="58BD2BB2" w:rsidR="000517F6" w:rsidRPr="001A06F7" w:rsidRDefault="000517F6" w:rsidP="00CB5D51">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تم بناء جميع المقاييس بطريقة تضمن الاتساق الداخلي والتمثيل الشامل لأبعاد كل متغير. كما رُوعي توحيد طريقة القياس لتسهيل التحليل الإحصائي اللاحق للعلاقات بين المتغيرات باستخدام التحليل الإحصائي متعدد المتغيرات</w:t>
      </w:r>
      <w:r w:rsidR="003E7E6A" w:rsidRPr="001A06F7">
        <w:rPr>
          <w:rFonts w:ascii="Simplified Arabic" w:hAnsi="Simplified Arabic" w:cs="Simplified Arabic"/>
          <w:sz w:val="28"/>
          <w:szCs w:val="28"/>
          <w:rtl/>
        </w:rPr>
        <w:t>.</w:t>
      </w:r>
    </w:p>
    <w:p w14:paraId="60103B6E" w14:textId="77777777" w:rsidR="001E7C34" w:rsidRPr="001A06F7" w:rsidRDefault="001E7C34" w:rsidP="00CB5D51">
      <w:pPr>
        <w:spacing w:line="240" w:lineRule="auto"/>
        <w:jc w:val="both"/>
        <w:rPr>
          <w:rFonts w:ascii="Simplified Arabic" w:hAnsi="Simplified Arabic" w:cs="Simplified Arabic"/>
          <w:sz w:val="28"/>
          <w:szCs w:val="28"/>
        </w:rPr>
      </w:pPr>
    </w:p>
    <w:p w14:paraId="16B43DE9" w14:textId="77777777" w:rsidR="00BC1EFD" w:rsidRPr="000C5D98" w:rsidRDefault="00BC1EFD" w:rsidP="000C5D98">
      <w:pPr>
        <w:pStyle w:val="2"/>
        <w:rPr>
          <w:b w:val="0"/>
          <w:bCs/>
        </w:rPr>
      </w:pPr>
      <w:bookmarkStart w:id="44" w:name="_Toc234084452"/>
      <w:r w:rsidRPr="000C5D98">
        <w:rPr>
          <w:b w:val="0"/>
          <w:bCs/>
          <w:rtl/>
        </w:rPr>
        <w:lastRenderedPageBreak/>
        <w:t>أسلوب تحليل البيانات</w:t>
      </w:r>
      <w:bookmarkEnd w:id="44"/>
    </w:p>
    <w:p w14:paraId="1BB7C2A1"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اعتمدت الدراسة في تحليل بياناتها على الأساليب الإحصائية الوصفية والاستدلالية باستخدام برنامج الحزم الإحصائية للعلوم الاجتماعية (</w:t>
      </w:r>
      <w:r w:rsidRPr="001A06F7">
        <w:rPr>
          <w:rFonts w:ascii="Simplified Arabic" w:hAnsi="Simplified Arabic" w:cs="Simplified Arabic"/>
          <w:sz w:val="28"/>
          <w:szCs w:val="28"/>
        </w:rPr>
        <w:t>Statistical Package for the Social Sciences – SPSS</w:t>
      </w:r>
      <w:r w:rsidRPr="001A06F7">
        <w:rPr>
          <w:rFonts w:ascii="Simplified Arabic" w:hAnsi="Simplified Arabic" w:cs="Simplified Arabic"/>
          <w:sz w:val="28"/>
          <w:szCs w:val="28"/>
          <w:rtl/>
        </w:rPr>
        <w:t>)، لما يتميز به من دقة وكفاءة في معالجة البيانات الكمية، وإجراء التحليلات الإحصائية المتقدمة المناسبة لطبيعة المتغيرات المدروسة (</w:t>
      </w:r>
      <w:r w:rsidRPr="001A06F7">
        <w:rPr>
          <w:rFonts w:ascii="Simplified Arabic" w:hAnsi="Simplified Arabic" w:cs="Simplified Arabic"/>
          <w:sz w:val="28"/>
          <w:szCs w:val="28"/>
        </w:rPr>
        <w:t>Pallant, 2020</w:t>
      </w:r>
      <w:r w:rsidRPr="001A06F7">
        <w:rPr>
          <w:rFonts w:ascii="Simplified Arabic" w:hAnsi="Simplified Arabic" w:cs="Simplified Arabic"/>
          <w:sz w:val="28"/>
          <w:szCs w:val="28"/>
          <w:rtl/>
        </w:rPr>
        <w:t>).</w:t>
      </w:r>
    </w:p>
    <w:p w14:paraId="73B249B1"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تم اتباع مجموعة من الإجراءات الإحصائية المتكاملة لتحقيق أهداف الدراسة واختبار فرضياتها، وفق التسلسل الآتي:</w:t>
      </w:r>
    </w:p>
    <w:p w14:paraId="19C1F5C7"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أولًا: المعالجة الأولية للبيانات</w:t>
      </w:r>
    </w:p>
    <w:p w14:paraId="002BBDBE" w14:textId="37D3B5B9"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الترميز (</w:t>
      </w:r>
      <w:r w:rsidRPr="001A06F7">
        <w:rPr>
          <w:rFonts w:ascii="Simplified Arabic" w:hAnsi="Simplified Arabic" w:cs="Simplified Arabic"/>
          <w:b/>
          <w:bCs/>
          <w:sz w:val="28"/>
          <w:szCs w:val="28"/>
        </w:rPr>
        <w:t>Coding</w:t>
      </w:r>
      <w:r w:rsidRPr="001A06F7">
        <w:rPr>
          <w:rFonts w:ascii="Simplified Arabic" w:hAnsi="Simplified Arabic" w:cs="Simplified Arabic"/>
          <w:b/>
          <w:bCs/>
          <w:sz w:val="28"/>
          <w:szCs w:val="28"/>
          <w:rtl/>
        </w:rPr>
        <w:t>):</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جرى ترميز إجابات الاستبانة رقميًا بما يتوافق مع مقياس ليكرت الخماسي، حيث أعطيت القيم (1) إلى (5) لتُمثل التدرج من "لا أوافق بشدة" إلى "أوافق بشدة".</w:t>
      </w:r>
    </w:p>
    <w:p w14:paraId="0418F137" w14:textId="48123233"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تنقية البيانات (</w:t>
      </w:r>
      <w:r w:rsidRPr="001A06F7">
        <w:rPr>
          <w:rFonts w:ascii="Simplified Arabic" w:hAnsi="Simplified Arabic" w:cs="Simplified Arabic"/>
          <w:b/>
          <w:bCs/>
          <w:sz w:val="28"/>
          <w:szCs w:val="28"/>
        </w:rPr>
        <w:t>Data Cleaning</w:t>
      </w:r>
      <w:r w:rsidRPr="001A06F7">
        <w:rPr>
          <w:rFonts w:ascii="Simplified Arabic" w:hAnsi="Simplified Arabic" w:cs="Simplified Arabic"/>
          <w:b/>
          <w:bCs/>
          <w:sz w:val="28"/>
          <w:szCs w:val="28"/>
          <w:rtl/>
        </w:rPr>
        <w:t>):</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تم فحص الاستجابات للتحقق من اكتمالها واستبعاد الحالات التي تحتوي على بيانات ناقصة أو متناقضة لضمان دقة التحليل.</w:t>
      </w:r>
    </w:p>
    <w:p w14:paraId="7C307520" w14:textId="63DE349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الصدق والثبات:</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بعد إدخال البيانات في البرنامج، سيتم التحقق من ثبات الأداة باستخدام معامل الاتساق الداخلي كرونباخ ألفا (</w:t>
      </w:r>
      <w:r w:rsidRPr="001A06F7">
        <w:rPr>
          <w:rFonts w:ascii="Simplified Arabic" w:hAnsi="Simplified Arabic" w:cs="Simplified Arabic"/>
          <w:sz w:val="28"/>
          <w:szCs w:val="28"/>
        </w:rPr>
        <w:t>Cronbach’s Alpha</w:t>
      </w:r>
      <w:r w:rsidRPr="001A06F7">
        <w:rPr>
          <w:rFonts w:ascii="Simplified Arabic" w:hAnsi="Simplified Arabic" w:cs="Simplified Arabic"/>
          <w:sz w:val="28"/>
          <w:szCs w:val="28"/>
          <w:rtl/>
        </w:rPr>
        <w:t>)، وصدق البناء من خلال معاملات الارتباط بين البنود داخل كل محور.</w:t>
      </w:r>
    </w:p>
    <w:p w14:paraId="6A0A3573"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ثانيًا: التحليل الإحصائي الوصفي (</w:t>
      </w:r>
      <w:r w:rsidRPr="001A06F7">
        <w:rPr>
          <w:rFonts w:ascii="Simplified Arabic" w:hAnsi="Simplified Arabic" w:cs="Simplified Arabic"/>
          <w:b/>
          <w:bCs/>
          <w:sz w:val="28"/>
          <w:szCs w:val="28"/>
        </w:rPr>
        <w:t>Descriptive Statistics</w:t>
      </w:r>
      <w:r w:rsidRPr="001A06F7">
        <w:rPr>
          <w:rFonts w:ascii="Simplified Arabic" w:hAnsi="Simplified Arabic" w:cs="Simplified Arabic"/>
          <w:b/>
          <w:bCs/>
          <w:sz w:val="28"/>
          <w:szCs w:val="28"/>
          <w:rtl/>
        </w:rPr>
        <w:t>)</w:t>
      </w:r>
    </w:p>
    <w:p w14:paraId="24B15B1D"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يهدف التحليل الوصفي إلى توصيف خصائص بيانات العينة ومتغيرات الدراسة من خلال:</w:t>
      </w:r>
    </w:p>
    <w:p w14:paraId="43013550"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حساب التكرارات والنسب المئوية للمتغيرات الديموغرافية.</w:t>
      </w:r>
    </w:p>
    <w:p w14:paraId="2067065F"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حساب المتوسطات الحسابية والانحرافات المعيارية لجميع بنود الاستبانة لقياس مستوى إدراك المشاركين لمتغيرات الدراسة.</w:t>
      </w:r>
    </w:p>
    <w:p w14:paraId="2B6C28DB"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تحليل الاتجاهات العامة للاستجابات ومقارنة مستويات المتغيرات الرئيسة.</w:t>
      </w:r>
    </w:p>
    <w:p w14:paraId="6F6811D4"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تُسهم هذه المؤشرات في تكوين صورة أولية عن طبيعة العلاقات بين المتغيرات، قبل الانتقال إلى التحليل الاستدلالي.</w:t>
      </w:r>
    </w:p>
    <w:p w14:paraId="0680DBAB"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ثالثًا: التحليل الإحصائي الاستدلالي (</w:t>
      </w:r>
      <w:r w:rsidRPr="001A06F7">
        <w:rPr>
          <w:rFonts w:ascii="Simplified Arabic" w:hAnsi="Simplified Arabic" w:cs="Simplified Arabic"/>
          <w:b/>
          <w:bCs/>
          <w:sz w:val="28"/>
          <w:szCs w:val="28"/>
        </w:rPr>
        <w:t>Inferential Statistics</w:t>
      </w:r>
      <w:r w:rsidRPr="001A06F7">
        <w:rPr>
          <w:rFonts w:ascii="Simplified Arabic" w:hAnsi="Simplified Arabic" w:cs="Simplified Arabic"/>
          <w:b/>
          <w:bCs/>
          <w:sz w:val="28"/>
          <w:szCs w:val="28"/>
          <w:rtl/>
        </w:rPr>
        <w:t>)</w:t>
      </w:r>
    </w:p>
    <w:p w14:paraId="1877E6F2"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تم استخدام مجموعة من الاختبارات الإحصائية الاستدلالية المناسبة لطبيعة الدراسة وفرضياتها، وتشمل:</w:t>
      </w:r>
    </w:p>
    <w:p w14:paraId="175B69AA" w14:textId="2819DBFE"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lastRenderedPageBreak/>
        <w:t>اختبار الارتباط بيرسون (</w:t>
      </w:r>
      <w:r w:rsidRPr="001A06F7">
        <w:rPr>
          <w:rFonts w:ascii="Simplified Arabic" w:hAnsi="Simplified Arabic" w:cs="Simplified Arabic"/>
          <w:b/>
          <w:bCs/>
          <w:sz w:val="28"/>
          <w:szCs w:val="28"/>
        </w:rPr>
        <w:t>Pearson Correlation</w:t>
      </w:r>
      <w:r w:rsidRPr="001A06F7">
        <w:rPr>
          <w:rFonts w:ascii="Simplified Arabic" w:hAnsi="Simplified Arabic" w:cs="Simplified Arabic"/>
          <w:b/>
          <w:bCs/>
          <w:sz w:val="28"/>
          <w:szCs w:val="28"/>
          <w:rtl/>
        </w:rPr>
        <w:t>):</w:t>
      </w:r>
      <w:r w:rsidR="000541B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لقياس قوة واتجاه العلاقة بين المتغيرات الرئيسة (التحول الصحي، بيئة العمل النفسية المستدامة، رفاهية الموظفين، والاحتراق الوظيفي).</w:t>
      </w:r>
    </w:p>
    <w:p w14:paraId="4E70A802" w14:textId="07B20EB2"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تحليل الانحدار الخطي البسيط والمتعدد (</w:t>
      </w:r>
      <w:r w:rsidRPr="001A06F7">
        <w:rPr>
          <w:rFonts w:ascii="Simplified Arabic" w:hAnsi="Simplified Arabic" w:cs="Simplified Arabic"/>
          <w:b/>
          <w:bCs/>
          <w:sz w:val="28"/>
          <w:szCs w:val="28"/>
        </w:rPr>
        <w:t>Simple &amp; Multiple Linear Regression</w:t>
      </w:r>
      <w:r w:rsidRPr="001A06F7">
        <w:rPr>
          <w:rFonts w:ascii="Simplified Arabic" w:hAnsi="Simplified Arabic" w:cs="Simplified Arabic"/>
          <w:b/>
          <w:bCs/>
          <w:sz w:val="28"/>
          <w:szCs w:val="28"/>
          <w:rtl/>
        </w:rPr>
        <w:t>):</w:t>
      </w:r>
      <w:r w:rsidR="00216F6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لقياس أثر التحول الصحي في بيئة العمل النفسية المستدامة، وتقدير حجم تأثير رفاهية الموظفين كمتغير وسيط في العلاقة بين التحول الصحي والاحتراق الوظيفي (</w:t>
      </w:r>
      <w:r w:rsidRPr="001A06F7">
        <w:rPr>
          <w:rFonts w:ascii="Simplified Arabic" w:hAnsi="Simplified Arabic" w:cs="Simplified Arabic"/>
          <w:sz w:val="28"/>
          <w:szCs w:val="28"/>
        </w:rPr>
        <w:t xml:space="preserve">Field, </w:t>
      </w:r>
      <w:r w:rsidR="00884707" w:rsidRPr="001A06F7">
        <w:rPr>
          <w:rFonts w:ascii="Simplified Arabic" w:hAnsi="Simplified Arabic" w:cs="Simplified Arabic"/>
          <w:sz w:val="28"/>
          <w:szCs w:val="28"/>
        </w:rPr>
        <w:t>2024</w:t>
      </w:r>
      <w:r w:rsidRPr="001A06F7">
        <w:rPr>
          <w:rFonts w:ascii="Simplified Arabic" w:hAnsi="Simplified Arabic" w:cs="Simplified Arabic"/>
          <w:sz w:val="28"/>
          <w:szCs w:val="28"/>
          <w:rtl/>
        </w:rPr>
        <w:t>).</w:t>
      </w:r>
    </w:p>
    <w:p w14:paraId="7FD50224" w14:textId="6973ECD2"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تحليل التباين الأحادي (</w:t>
      </w:r>
      <w:r w:rsidRPr="001A06F7">
        <w:rPr>
          <w:rFonts w:ascii="Simplified Arabic" w:hAnsi="Simplified Arabic" w:cs="Simplified Arabic"/>
          <w:b/>
          <w:bCs/>
          <w:sz w:val="28"/>
          <w:szCs w:val="28"/>
        </w:rPr>
        <w:t>One-Way ANOVA</w:t>
      </w:r>
      <w:r w:rsidRPr="001A06F7">
        <w:rPr>
          <w:rFonts w:ascii="Simplified Arabic" w:hAnsi="Simplified Arabic" w:cs="Simplified Arabic"/>
          <w:b/>
          <w:bCs/>
          <w:sz w:val="28"/>
          <w:szCs w:val="28"/>
          <w:rtl/>
        </w:rPr>
        <w:t>):</w:t>
      </w:r>
      <w:r w:rsidR="00216F6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لاختبار الفروق بين متوسطات استجابات المشاركين تبعًا للخصائص الديموغرافية (مثل الجنس، المؤهل، عدد سنوات الخبرة).</w:t>
      </w:r>
    </w:p>
    <w:p w14:paraId="4BDE6EEC" w14:textId="4704FDF1"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المتوسطات المستقلة (</w:t>
      </w:r>
      <w:r w:rsidRPr="001A06F7">
        <w:rPr>
          <w:rFonts w:ascii="Simplified Arabic" w:hAnsi="Simplified Arabic" w:cs="Simplified Arabic"/>
          <w:b/>
          <w:bCs/>
          <w:sz w:val="28"/>
          <w:szCs w:val="28"/>
        </w:rPr>
        <w:t>Independent Samples t-test</w:t>
      </w:r>
      <w:r w:rsidRPr="001A06F7">
        <w:rPr>
          <w:rFonts w:ascii="Simplified Arabic" w:hAnsi="Simplified Arabic" w:cs="Simplified Arabic"/>
          <w:b/>
          <w:bCs/>
          <w:sz w:val="28"/>
          <w:szCs w:val="28"/>
          <w:rtl/>
        </w:rPr>
        <w:t>):</w:t>
      </w:r>
      <w:r w:rsidR="005B7494"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لمقارنة استجابات فئتين من المشاركين في بعض المتغيرات بحسب طبيعة البيانات.</w:t>
      </w:r>
    </w:p>
    <w:p w14:paraId="7D60A0F1" w14:textId="3066514D"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تحليل المسار أو النموذج الوسيط (</w:t>
      </w:r>
      <w:r w:rsidRPr="001A06F7">
        <w:rPr>
          <w:rFonts w:ascii="Simplified Arabic" w:hAnsi="Simplified Arabic" w:cs="Simplified Arabic"/>
          <w:b/>
          <w:bCs/>
          <w:sz w:val="28"/>
          <w:szCs w:val="28"/>
        </w:rPr>
        <w:t>Mediation Analysis</w:t>
      </w:r>
      <w:r w:rsidRPr="001A06F7">
        <w:rPr>
          <w:rFonts w:ascii="Simplified Arabic" w:hAnsi="Simplified Arabic" w:cs="Simplified Arabic"/>
          <w:b/>
          <w:bCs/>
          <w:sz w:val="28"/>
          <w:szCs w:val="28"/>
          <w:rtl/>
        </w:rPr>
        <w:t>):</w:t>
      </w:r>
      <w:r w:rsidR="005B7494"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 xml:space="preserve">لفحص الدور الوسيط لمتغير رفاهية الموظفين في العلاقة بين التحول الصحي والاحتراق الوظيفي باستخدام نهج </w:t>
      </w:r>
      <w:r w:rsidRPr="001A06F7">
        <w:rPr>
          <w:rFonts w:ascii="Simplified Arabic" w:hAnsi="Simplified Arabic" w:cs="Simplified Arabic"/>
          <w:sz w:val="28"/>
          <w:szCs w:val="28"/>
        </w:rPr>
        <w:t>Baron &amp; Kenny (1986)</w:t>
      </w:r>
      <w:r w:rsidRPr="001A06F7">
        <w:rPr>
          <w:rFonts w:ascii="Simplified Arabic" w:hAnsi="Simplified Arabic" w:cs="Simplified Arabic"/>
          <w:sz w:val="28"/>
          <w:szCs w:val="28"/>
          <w:rtl/>
        </w:rPr>
        <w:t xml:space="preserve"> أو اختبار </w:t>
      </w:r>
      <w:r w:rsidRPr="001A06F7">
        <w:rPr>
          <w:rFonts w:ascii="Simplified Arabic" w:hAnsi="Simplified Arabic" w:cs="Simplified Arabic"/>
          <w:sz w:val="28"/>
          <w:szCs w:val="28"/>
        </w:rPr>
        <w:t>Bootstrap</w:t>
      </w:r>
      <w:r w:rsidRPr="001A06F7">
        <w:rPr>
          <w:rFonts w:ascii="Simplified Arabic" w:hAnsi="Simplified Arabic" w:cs="Simplified Arabic"/>
          <w:sz w:val="28"/>
          <w:szCs w:val="28"/>
          <w:rtl/>
        </w:rPr>
        <w:t xml:space="preserve"> المتاح في (</w:t>
      </w:r>
      <w:r w:rsidRPr="001A06F7">
        <w:rPr>
          <w:rFonts w:ascii="Simplified Arabic" w:hAnsi="Simplified Arabic" w:cs="Simplified Arabic"/>
          <w:sz w:val="28"/>
          <w:szCs w:val="28"/>
        </w:rPr>
        <w:t>SPSS Process Macro</w:t>
      </w:r>
      <w:r w:rsidRPr="001A06F7">
        <w:rPr>
          <w:rFonts w:ascii="Simplified Arabic" w:hAnsi="Simplified Arabic" w:cs="Simplified Arabic"/>
          <w:sz w:val="28"/>
          <w:szCs w:val="28"/>
          <w:rtl/>
        </w:rPr>
        <w:t>) وفق توصية (</w:t>
      </w:r>
      <w:r w:rsidRPr="001A06F7">
        <w:rPr>
          <w:rFonts w:ascii="Simplified Arabic" w:hAnsi="Simplified Arabic" w:cs="Simplified Arabic"/>
          <w:sz w:val="28"/>
          <w:szCs w:val="28"/>
        </w:rPr>
        <w:t>Hayes, 2018</w:t>
      </w:r>
      <w:r w:rsidRPr="001A06F7">
        <w:rPr>
          <w:rFonts w:ascii="Simplified Arabic" w:hAnsi="Simplified Arabic" w:cs="Simplified Arabic"/>
          <w:sz w:val="28"/>
          <w:szCs w:val="28"/>
          <w:rtl/>
        </w:rPr>
        <w:t>).</w:t>
      </w:r>
    </w:p>
    <w:p w14:paraId="7F0B4ADD"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رابعًا: تفسير النتائج</w:t>
      </w:r>
    </w:p>
    <w:p w14:paraId="6F43F027"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سيتم تفسير النتائج الإحصائية استنادًا إلى القيم الاحتمالية (</w:t>
      </w:r>
      <w:r w:rsidRPr="001A06F7">
        <w:rPr>
          <w:rFonts w:ascii="Simplified Arabic" w:hAnsi="Simplified Arabic" w:cs="Simplified Arabic"/>
          <w:sz w:val="28"/>
          <w:szCs w:val="28"/>
        </w:rPr>
        <w:t>Sig</w:t>
      </w:r>
      <w:r w:rsidRPr="001A06F7">
        <w:rPr>
          <w:rFonts w:ascii="Simplified Arabic" w:hAnsi="Simplified Arabic" w:cs="Simplified Arabic"/>
          <w:sz w:val="28"/>
          <w:szCs w:val="28"/>
          <w:rtl/>
        </w:rPr>
        <w:t>.) ومستويات الدلالة المعتمدة عند (0.05)، مع مقارنة النتائج بالدراسات السابقة، واستخلاص الدلالات النظرية والتطبيقية ذات الصلة بالقطاع الصحي الحكومي في مدينة الرياض.</w:t>
      </w:r>
    </w:p>
    <w:p w14:paraId="1C60E95A" w14:textId="77777777" w:rsidR="00BC1EFD" w:rsidRDefault="00BC1EFD" w:rsidP="00CB5D51">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وبهذا الأسلوب، يتيح استخدام برنامج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 إمكانية تحليل بيانات الدراسة بدقة عالية، بما يدعم موثوقية النتائج ويساعد في تفسير العلاقات بين المتغيرات بصورة علمية ومنهجية.</w:t>
      </w:r>
    </w:p>
    <w:p w14:paraId="2EB77228" w14:textId="19651248" w:rsidR="00FA1BFA" w:rsidRDefault="00FA1BFA" w:rsidP="00CB5D51">
      <w:pPr>
        <w:spacing w:line="240" w:lineRule="auto"/>
        <w:jc w:val="both"/>
        <w:rPr>
          <w:rFonts w:ascii="Simplified Arabic" w:hAnsi="Simplified Arabic" w:cs="Simplified Arabic"/>
          <w:sz w:val="28"/>
          <w:szCs w:val="28"/>
          <w:rtl/>
        </w:rPr>
      </w:pPr>
    </w:p>
    <w:p w14:paraId="557B0383" w14:textId="77777777" w:rsidR="00FA1BFA" w:rsidRDefault="00FA1BF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90FB130" w14:textId="71F296A1" w:rsidR="001D3D5D" w:rsidRPr="000C5D98" w:rsidRDefault="001D3D5D" w:rsidP="000C5D98">
      <w:pPr>
        <w:pStyle w:val="1"/>
        <w:rPr>
          <w:b/>
          <w:bCs/>
          <w:lang w:bidi="ar-YE"/>
        </w:rPr>
      </w:pPr>
      <w:bookmarkStart w:id="45" w:name="_Toc234084453"/>
      <w:r w:rsidRPr="000C5D98">
        <w:rPr>
          <w:rFonts w:hint="cs"/>
          <w:b/>
          <w:bCs/>
          <w:rtl/>
          <w:lang w:bidi="ar-YE"/>
        </w:rPr>
        <w:lastRenderedPageBreak/>
        <w:t xml:space="preserve">الفصل الرابع: نتائج الدراسة </w:t>
      </w:r>
      <w:r w:rsidR="009D776E" w:rsidRPr="000C5D98">
        <w:rPr>
          <w:rFonts w:hint="cs"/>
          <w:b/>
          <w:bCs/>
          <w:rtl/>
          <w:lang w:bidi="ar-YE"/>
        </w:rPr>
        <w:t>واختبار الفروض</w:t>
      </w:r>
      <w:bookmarkEnd w:id="45"/>
    </w:p>
    <w:p w14:paraId="7A0D5700" w14:textId="6E69E07C" w:rsidR="001D3D5D" w:rsidRPr="000C5D98" w:rsidRDefault="001D3D5D" w:rsidP="000C5D98">
      <w:pPr>
        <w:pStyle w:val="2"/>
        <w:rPr>
          <w:b w:val="0"/>
          <w:bCs/>
          <w:rtl/>
          <w:lang w:bidi="ar-YE"/>
        </w:rPr>
      </w:pPr>
      <w:bookmarkStart w:id="46" w:name="_Toc234084454"/>
      <w:r w:rsidRPr="000C5D98">
        <w:rPr>
          <w:rFonts w:hint="cs"/>
          <w:b w:val="0"/>
          <w:bCs/>
          <w:rtl/>
          <w:lang w:bidi="ar-YE"/>
        </w:rPr>
        <w:t>تمهيد</w:t>
      </w:r>
      <w:bookmarkEnd w:id="46"/>
    </w:p>
    <w:p w14:paraId="6CCF8FA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يستعرض هذا الفصل النتائج الميدانية للدراسة التي سعى الباحث من خلالها إلى قياس أثر التحول الصحي على بيئة العمل النفسية المستدامة، مع تبيان الدور الوسيط لرفاهية الموظفين في الحد من ظاهرة الاحتراق الوظيفي في القطاع الصحي الحكومي بمدينة الرياض. تبدأ المعالجة الإحصائية بالتحليل الوصفي الذي يهدف إلى تلخيص خصائص عينة الدراسة البالغ قوامها (384) مفردة، وتوصيف استجابات المبحوثين تجاه المتغيرات الرئيسية، وذلك باستخدام المقاييس الإحصائية المناسبة كالتكرارات، والنسب المئوية، والمتوسطات الحسابية، والانحرافات المعيارية، مما يشكل قاعدة معرفية صلبة للانتقال لاحقاً إلى مرحلة اختبار الفرضيات والاستدلال الإحصائي. </w:t>
      </w:r>
    </w:p>
    <w:p w14:paraId="71C73F8D" w14:textId="77777777" w:rsidR="001D3D5D" w:rsidRPr="000C5D98" w:rsidRDefault="001D3D5D" w:rsidP="000C5D98">
      <w:pPr>
        <w:pStyle w:val="2"/>
        <w:rPr>
          <w:b w:val="0"/>
          <w:bCs/>
          <w:rtl/>
          <w:lang w:bidi="ar-YE"/>
        </w:rPr>
      </w:pPr>
      <w:bookmarkStart w:id="47" w:name="_Toc234084455"/>
      <w:r w:rsidRPr="000C5D98">
        <w:rPr>
          <w:rFonts w:hint="cs"/>
          <w:b w:val="0"/>
          <w:bCs/>
          <w:rtl/>
          <w:lang w:bidi="ar-YE"/>
        </w:rPr>
        <w:t>أولاً: التحليل الوصفي للبيانات</w:t>
      </w:r>
      <w:bookmarkEnd w:id="47"/>
    </w:p>
    <w:p w14:paraId="03DDF97D" w14:textId="77777777" w:rsidR="001D3D5D" w:rsidRPr="00B322FF" w:rsidRDefault="001D3D5D" w:rsidP="006C4CDD">
      <w:pPr>
        <w:pStyle w:val="ac"/>
        <w:numPr>
          <w:ilvl w:val="0"/>
          <w:numId w:val="12"/>
        </w:numPr>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kern w:val="2"/>
          <w:sz w:val="32"/>
          <w:szCs w:val="32"/>
          <w:rtl/>
          <w:lang w:bidi="ar-YE"/>
          <w14:ligatures w14:val="standardContextual"/>
        </w:rPr>
        <w:t>الوصف الإحصائي لخصائص عينة الدراسة</w:t>
      </w:r>
    </w:p>
    <w:p w14:paraId="75B8EE3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يوضح الجدول التالي التوزيع التكراري والنسبي لأفراد عينة الدراسة وفقاً لمتغيراتهم الديموغرافية والمهنية، بما يعكس ملامح المجتمع البحثي المستهدف:</w:t>
      </w:r>
    </w:p>
    <w:p w14:paraId="5297FB4A" w14:textId="0B24108F"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rtl/>
        </w:rPr>
        <w:t>جدول (</w:t>
      </w:r>
      <w:r w:rsidR="007F6186">
        <w:rPr>
          <w:rFonts w:ascii="Simplified Arabic" w:hAnsi="Simplified Arabic" w:cs="Simplified Arabic" w:hint="cs"/>
          <w:b/>
          <w:bCs/>
          <w:rtl/>
        </w:rPr>
        <w:t>٤-١</w:t>
      </w:r>
      <w:r w:rsidRPr="00B322FF">
        <w:rPr>
          <w:rFonts w:ascii="Simplified Arabic" w:hAnsi="Simplified Arabic" w:cs="Simplified Arabic" w:hint="cs"/>
          <w:b/>
          <w:bCs/>
          <w:rtl/>
        </w:rPr>
        <w:t>): التوزيع النسبي والتكراري لخصائص عينة الدراسة</w:t>
      </w:r>
    </w:p>
    <w:tbl>
      <w:tblPr>
        <w:tblStyle w:val="af"/>
        <w:bidiVisual/>
        <w:tblW w:w="5000" w:type="pct"/>
        <w:tblLook w:val="06A0" w:firstRow="1" w:lastRow="0" w:firstColumn="1" w:lastColumn="0" w:noHBand="1" w:noVBand="1"/>
      </w:tblPr>
      <w:tblGrid>
        <w:gridCol w:w="2507"/>
        <w:gridCol w:w="3441"/>
        <w:gridCol w:w="1084"/>
        <w:gridCol w:w="1984"/>
      </w:tblGrid>
      <w:tr w:rsidR="001D3D5D" w:rsidRPr="00B322FF" w14:paraId="06284EBC" w14:textId="77777777" w:rsidTr="00597597">
        <w:trPr>
          <w:trHeight w:val="270"/>
        </w:trPr>
        <w:tc>
          <w:tcPr>
            <w:tcW w:w="1391" w:type="pct"/>
            <w:vAlign w:val="center"/>
            <w:hideMark/>
          </w:tcPr>
          <w:p w14:paraId="2B902604"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1908" w:type="pct"/>
            <w:vAlign w:val="center"/>
            <w:hideMark/>
          </w:tcPr>
          <w:p w14:paraId="540F430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الفئة</w:t>
            </w:r>
          </w:p>
        </w:tc>
        <w:tc>
          <w:tcPr>
            <w:tcW w:w="601" w:type="pct"/>
            <w:vAlign w:val="center"/>
            <w:hideMark/>
          </w:tcPr>
          <w:p w14:paraId="688AC8F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التكرار</w:t>
            </w:r>
          </w:p>
        </w:tc>
        <w:tc>
          <w:tcPr>
            <w:tcW w:w="1100" w:type="pct"/>
            <w:vAlign w:val="center"/>
            <w:hideMark/>
          </w:tcPr>
          <w:p w14:paraId="2F4BB33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النسبة المئوية</w:t>
            </w:r>
          </w:p>
        </w:tc>
      </w:tr>
      <w:tr w:rsidR="001D3D5D" w:rsidRPr="00B322FF" w14:paraId="2325C1F2" w14:textId="77777777" w:rsidTr="00597597">
        <w:trPr>
          <w:trHeight w:val="270"/>
        </w:trPr>
        <w:tc>
          <w:tcPr>
            <w:tcW w:w="1391" w:type="pct"/>
            <w:vMerge w:val="restart"/>
            <w:vAlign w:val="center"/>
            <w:hideMark/>
          </w:tcPr>
          <w:p w14:paraId="5361236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الجنس</w:t>
            </w:r>
          </w:p>
        </w:tc>
        <w:tc>
          <w:tcPr>
            <w:tcW w:w="1908" w:type="pct"/>
            <w:vAlign w:val="center"/>
            <w:hideMark/>
          </w:tcPr>
          <w:p w14:paraId="50987E4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601" w:type="pct"/>
            <w:vAlign w:val="center"/>
            <w:hideMark/>
          </w:tcPr>
          <w:p w14:paraId="05319C2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1100" w:type="pct"/>
            <w:vAlign w:val="center"/>
            <w:hideMark/>
          </w:tcPr>
          <w:p w14:paraId="5B3F36C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54.40%</w:t>
            </w:r>
          </w:p>
        </w:tc>
      </w:tr>
      <w:tr w:rsidR="001D3D5D" w:rsidRPr="00B322FF" w14:paraId="052A75E2" w14:textId="77777777" w:rsidTr="00597597">
        <w:trPr>
          <w:trHeight w:val="270"/>
        </w:trPr>
        <w:tc>
          <w:tcPr>
            <w:tcW w:w="1391" w:type="pct"/>
            <w:vMerge/>
            <w:vAlign w:val="center"/>
            <w:hideMark/>
          </w:tcPr>
          <w:p w14:paraId="7A8E1D3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390442BE"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أنثى</w:t>
            </w:r>
          </w:p>
        </w:tc>
        <w:tc>
          <w:tcPr>
            <w:tcW w:w="601" w:type="pct"/>
            <w:vAlign w:val="center"/>
            <w:hideMark/>
          </w:tcPr>
          <w:p w14:paraId="7381327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1100" w:type="pct"/>
            <w:vAlign w:val="center"/>
            <w:hideMark/>
          </w:tcPr>
          <w:p w14:paraId="3E7AB97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45.60%</w:t>
            </w:r>
          </w:p>
        </w:tc>
      </w:tr>
      <w:tr w:rsidR="001D3D5D" w:rsidRPr="00B322FF" w14:paraId="5835E99A" w14:textId="77777777" w:rsidTr="00597597">
        <w:trPr>
          <w:trHeight w:val="270"/>
        </w:trPr>
        <w:tc>
          <w:tcPr>
            <w:tcW w:w="1391" w:type="pct"/>
            <w:vMerge w:val="restart"/>
            <w:vAlign w:val="center"/>
            <w:hideMark/>
          </w:tcPr>
          <w:p w14:paraId="48F91C8B"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العمر</w:t>
            </w:r>
          </w:p>
        </w:tc>
        <w:tc>
          <w:tcPr>
            <w:tcW w:w="1908" w:type="pct"/>
            <w:vAlign w:val="center"/>
            <w:hideMark/>
          </w:tcPr>
          <w:p w14:paraId="17C8D8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30 سنة</w:t>
            </w:r>
          </w:p>
        </w:tc>
        <w:tc>
          <w:tcPr>
            <w:tcW w:w="601" w:type="pct"/>
            <w:vAlign w:val="center"/>
            <w:hideMark/>
          </w:tcPr>
          <w:p w14:paraId="0F1C6A8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74</w:t>
            </w:r>
          </w:p>
        </w:tc>
        <w:tc>
          <w:tcPr>
            <w:tcW w:w="1100" w:type="pct"/>
            <w:vAlign w:val="center"/>
            <w:hideMark/>
          </w:tcPr>
          <w:p w14:paraId="502FE37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19.30%</w:t>
            </w:r>
          </w:p>
        </w:tc>
      </w:tr>
      <w:tr w:rsidR="001D3D5D" w:rsidRPr="00B322FF" w14:paraId="0351822D" w14:textId="77777777" w:rsidTr="00597597">
        <w:trPr>
          <w:trHeight w:val="270"/>
        </w:trPr>
        <w:tc>
          <w:tcPr>
            <w:tcW w:w="1391" w:type="pct"/>
            <w:vMerge/>
            <w:vAlign w:val="center"/>
            <w:hideMark/>
          </w:tcPr>
          <w:p w14:paraId="274F9A94"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33E9ED3E"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30 – 39 سنة</w:t>
            </w:r>
          </w:p>
        </w:tc>
        <w:tc>
          <w:tcPr>
            <w:tcW w:w="601" w:type="pct"/>
            <w:vAlign w:val="center"/>
            <w:hideMark/>
          </w:tcPr>
          <w:p w14:paraId="303F365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w:t>
            </w:r>
          </w:p>
        </w:tc>
        <w:tc>
          <w:tcPr>
            <w:tcW w:w="1100" w:type="pct"/>
            <w:vAlign w:val="center"/>
            <w:hideMark/>
          </w:tcPr>
          <w:p w14:paraId="0413B69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29.70%</w:t>
            </w:r>
          </w:p>
        </w:tc>
      </w:tr>
      <w:tr w:rsidR="001D3D5D" w:rsidRPr="00B322FF" w14:paraId="153F66B3" w14:textId="77777777" w:rsidTr="00597597">
        <w:trPr>
          <w:trHeight w:val="270"/>
        </w:trPr>
        <w:tc>
          <w:tcPr>
            <w:tcW w:w="1391" w:type="pct"/>
            <w:vMerge/>
            <w:vAlign w:val="center"/>
            <w:hideMark/>
          </w:tcPr>
          <w:p w14:paraId="68FBA35B"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18B6BDF1"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40 – 49 سنة</w:t>
            </w:r>
          </w:p>
        </w:tc>
        <w:tc>
          <w:tcPr>
            <w:tcW w:w="601" w:type="pct"/>
            <w:vAlign w:val="center"/>
            <w:hideMark/>
          </w:tcPr>
          <w:p w14:paraId="35A195E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108</w:t>
            </w:r>
          </w:p>
        </w:tc>
        <w:tc>
          <w:tcPr>
            <w:tcW w:w="1100" w:type="pct"/>
            <w:vAlign w:val="center"/>
            <w:hideMark/>
          </w:tcPr>
          <w:p w14:paraId="130080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28.10%</w:t>
            </w:r>
          </w:p>
        </w:tc>
      </w:tr>
      <w:tr w:rsidR="001D3D5D" w:rsidRPr="00B322FF" w14:paraId="4A1EA060" w14:textId="77777777" w:rsidTr="00597597">
        <w:trPr>
          <w:trHeight w:val="270"/>
        </w:trPr>
        <w:tc>
          <w:tcPr>
            <w:tcW w:w="1391" w:type="pct"/>
            <w:vMerge/>
            <w:vAlign w:val="center"/>
            <w:hideMark/>
          </w:tcPr>
          <w:p w14:paraId="3C53A12B"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6F5AB4AD"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50 سنة فأكثر</w:t>
            </w:r>
          </w:p>
        </w:tc>
        <w:tc>
          <w:tcPr>
            <w:tcW w:w="601" w:type="pct"/>
            <w:vAlign w:val="center"/>
            <w:hideMark/>
          </w:tcPr>
          <w:p w14:paraId="05D24AA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88</w:t>
            </w:r>
          </w:p>
        </w:tc>
        <w:tc>
          <w:tcPr>
            <w:tcW w:w="1100" w:type="pct"/>
            <w:vAlign w:val="center"/>
            <w:hideMark/>
          </w:tcPr>
          <w:p w14:paraId="6F87DC6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22.90%</w:t>
            </w:r>
          </w:p>
        </w:tc>
      </w:tr>
      <w:tr w:rsidR="001D3D5D" w:rsidRPr="00B322FF" w14:paraId="6A7F6C02" w14:textId="77777777" w:rsidTr="00597597">
        <w:trPr>
          <w:trHeight w:val="270"/>
        </w:trPr>
        <w:tc>
          <w:tcPr>
            <w:tcW w:w="1391" w:type="pct"/>
            <w:vMerge w:val="restart"/>
            <w:vAlign w:val="center"/>
            <w:hideMark/>
          </w:tcPr>
          <w:p w14:paraId="13FB579F"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المؤهل العلمي</w:t>
            </w:r>
          </w:p>
        </w:tc>
        <w:tc>
          <w:tcPr>
            <w:tcW w:w="1908" w:type="pct"/>
            <w:vAlign w:val="center"/>
            <w:hideMark/>
          </w:tcPr>
          <w:p w14:paraId="2C5D32F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دبلوم</w:t>
            </w:r>
          </w:p>
        </w:tc>
        <w:tc>
          <w:tcPr>
            <w:tcW w:w="601" w:type="pct"/>
            <w:vAlign w:val="center"/>
            <w:hideMark/>
          </w:tcPr>
          <w:p w14:paraId="0E7852F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88</w:t>
            </w:r>
          </w:p>
        </w:tc>
        <w:tc>
          <w:tcPr>
            <w:tcW w:w="1100" w:type="pct"/>
            <w:vAlign w:val="center"/>
            <w:hideMark/>
          </w:tcPr>
          <w:p w14:paraId="3914B56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22.90%</w:t>
            </w:r>
          </w:p>
        </w:tc>
      </w:tr>
      <w:tr w:rsidR="001D3D5D" w:rsidRPr="00B322FF" w14:paraId="6CA1F1B3" w14:textId="77777777" w:rsidTr="00597597">
        <w:trPr>
          <w:trHeight w:val="270"/>
        </w:trPr>
        <w:tc>
          <w:tcPr>
            <w:tcW w:w="1391" w:type="pct"/>
            <w:vMerge/>
            <w:vAlign w:val="center"/>
            <w:hideMark/>
          </w:tcPr>
          <w:p w14:paraId="355F68C9"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2843BB9E"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بكالوريوس</w:t>
            </w:r>
          </w:p>
        </w:tc>
        <w:tc>
          <w:tcPr>
            <w:tcW w:w="601" w:type="pct"/>
            <w:vAlign w:val="center"/>
            <w:hideMark/>
          </w:tcPr>
          <w:p w14:paraId="498152A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201</w:t>
            </w:r>
          </w:p>
        </w:tc>
        <w:tc>
          <w:tcPr>
            <w:tcW w:w="1100" w:type="pct"/>
            <w:vAlign w:val="center"/>
            <w:hideMark/>
          </w:tcPr>
          <w:p w14:paraId="014C714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52.30%</w:t>
            </w:r>
          </w:p>
        </w:tc>
      </w:tr>
      <w:tr w:rsidR="001D3D5D" w:rsidRPr="00B322FF" w14:paraId="6B11C7F5" w14:textId="77777777" w:rsidTr="00597597">
        <w:trPr>
          <w:trHeight w:val="270"/>
        </w:trPr>
        <w:tc>
          <w:tcPr>
            <w:tcW w:w="1391" w:type="pct"/>
            <w:vMerge/>
            <w:vAlign w:val="center"/>
            <w:hideMark/>
          </w:tcPr>
          <w:p w14:paraId="1BC2627B"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B48D0B1"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ماجستير</w:t>
            </w:r>
          </w:p>
        </w:tc>
        <w:tc>
          <w:tcPr>
            <w:tcW w:w="601" w:type="pct"/>
            <w:vAlign w:val="center"/>
            <w:hideMark/>
          </w:tcPr>
          <w:p w14:paraId="037ADF2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54</w:t>
            </w:r>
          </w:p>
        </w:tc>
        <w:tc>
          <w:tcPr>
            <w:tcW w:w="1100" w:type="pct"/>
            <w:vAlign w:val="center"/>
            <w:hideMark/>
          </w:tcPr>
          <w:p w14:paraId="1BCEE4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14.10%</w:t>
            </w:r>
          </w:p>
        </w:tc>
      </w:tr>
      <w:tr w:rsidR="001D3D5D" w:rsidRPr="00B322FF" w14:paraId="5D86F704" w14:textId="77777777" w:rsidTr="00597597">
        <w:trPr>
          <w:trHeight w:val="270"/>
        </w:trPr>
        <w:tc>
          <w:tcPr>
            <w:tcW w:w="1391" w:type="pct"/>
            <w:vMerge/>
            <w:vAlign w:val="center"/>
            <w:hideMark/>
          </w:tcPr>
          <w:p w14:paraId="2430EE47"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431DF68"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دكتوراه</w:t>
            </w:r>
          </w:p>
        </w:tc>
        <w:tc>
          <w:tcPr>
            <w:tcW w:w="601" w:type="pct"/>
            <w:vAlign w:val="center"/>
            <w:hideMark/>
          </w:tcPr>
          <w:p w14:paraId="0854427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41</w:t>
            </w:r>
          </w:p>
        </w:tc>
        <w:tc>
          <w:tcPr>
            <w:tcW w:w="1100" w:type="pct"/>
            <w:vAlign w:val="center"/>
            <w:hideMark/>
          </w:tcPr>
          <w:p w14:paraId="2385C29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10.70%</w:t>
            </w:r>
          </w:p>
        </w:tc>
      </w:tr>
      <w:tr w:rsidR="001D3D5D" w:rsidRPr="00B322FF" w14:paraId="565D4FE4" w14:textId="77777777" w:rsidTr="00597597">
        <w:trPr>
          <w:trHeight w:val="270"/>
        </w:trPr>
        <w:tc>
          <w:tcPr>
            <w:tcW w:w="1391" w:type="pct"/>
            <w:vMerge w:val="restart"/>
            <w:vAlign w:val="center"/>
            <w:hideMark/>
          </w:tcPr>
          <w:p w14:paraId="1DBF3E54"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المسمى الوظيفي</w:t>
            </w:r>
          </w:p>
        </w:tc>
        <w:tc>
          <w:tcPr>
            <w:tcW w:w="1908" w:type="pct"/>
            <w:vAlign w:val="center"/>
            <w:hideMark/>
          </w:tcPr>
          <w:p w14:paraId="4CC6E9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طبيب</w:t>
            </w:r>
          </w:p>
        </w:tc>
        <w:tc>
          <w:tcPr>
            <w:tcW w:w="601" w:type="pct"/>
            <w:vAlign w:val="center"/>
            <w:hideMark/>
          </w:tcPr>
          <w:p w14:paraId="05EEC95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113</w:t>
            </w:r>
          </w:p>
        </w:tc>
        <w:tc>
          <w:tcPr>
            <w:tcW w:w="1100" w:type="pct"/>
            <w:vAlign w:val="center"/>
            <w:hideMark/>
          </w:tcPr>
          <w:p w14:paraId="34AFC67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29.40%</w:t>
            </w:r>
          </w:p>
        </w:tc>
      </w:tr>
      <w:tr w:rsidR="001D3D5D" w:rsidRPr="00B322FF" w14:paraId="1A2A650A" w14:textId="77777777" w:rsidTr="00597597">
        <w:trPr>
          <w:trHeight w:val="270"/>
        </w:trPr>
        <w:tc>
          <w:tcPr>
            <w:tcW w:w="1391" w:type="pct"/>
            <w:vMerge/>
            <w:vAlign w:val="center"/>
            <w:hideMark/>
          </w:tcPr>
          <w:p w14:paraId="54CED26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1D6B1EA0"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ممرض</w:t>
            </w:r>
          </w:p>
        </w:tc>
        <w:tc>
          <w:tcPr>
            <w:tcW w:w="601" w:type="pct"/>
            <w:vAlign w:val="center"/>
            <w:hideMark/>
          </w:tcPr>
          <w:p w14:paraId="3182AC1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82</w:t>
            </w:r>
          </w:p>
        </w:tc>
        <w:tc>
          <w:tcPr>
            <w:tcW w:w="1100" w:type="pct"/>
            <w:vAlign w:val="center"/>
            <w:hideMark/>
          </w:tcPr>
          <w:p w14:paraId="7D11425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21.40%</w:t>
            </w:r>
          </w:p>
        </w:tc>
      </w:tr>
      <w:tr w:rsidR="001D3D5D" w:rsidRPr="00B322FF" w14:paraId="0D38B0E6" w14:textId="77777777" w:rsidTr="00597597">
        <w:trPr>
          <w:trHeight w:val="270"/>
        </w:trPr>
        <w:tc>
          <w:tcPr>
            <w:tcW w:w="1391" w:type="pct"/>
            <w:vMerge/>
            <w:vAlign w:val="center"/>
            <w:hideMark/>
          </w:tcPr>
          <w:p w14:paraId="6772DFE9"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3D04DF16"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فني</w:t>
            </w:r>
          </w:p>
        </w:tc>
        <w:tc>
          <w:tcPr>
            <w:tcW w:w="601" w:type="pct"/>
            <w:vAlign w:val="center"/>
            <w:hideMark/>
          </w:tcPr>
          <w:p w14:paraId="7EEF28F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84</w:t>
            </w:r>
          </w:p>
        </w:tc>
        <w:tc>
          <w:tcPr>
            <w:tcW w:w="1100" w:type="pct"/>
            <w:vAlign w:val="center"/>
            <w:hideMark/>
          </w:tcPr>
          <w:p w14:paraId="380404C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21.90%</w:t>
            </w:r>
          </w:p>
        </w:tc>
      </w:tr>
      <w:tr w:rsidR="001D3D5D" w:rsidRPr="00B322FF" w14:paraId="2EC79BBA" w14:textId="77777777" w:rsidTr="00597597">
        <w:trPr>
          <w:trHeight w:val="270"/>
        </w:trPr>
        <w:tc>
          <w:tcPr>
            <w:tcW w:w="1391" w:type="pct"/>
            <w:vMerge/>
            <w:vAlign w:val="center"/>
            <w:hideMark/>
          </w:tcPr>
          <w:p w14:paraId="52E7102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5640656"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إداري</w:t>
            </w:r>
          </w:p>
        </w:tc>
        <w:tc>
          <w:tcPr>
            <w:tcW w:w="601" w:type="pct"/>
            <w:vAlign w:val="center"/>
            <w:hideMark/>
          </w:tcPr>
          <w:p w14:paraId="6953B40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w:t>
            </w:r>
          </w:p>
        </w:tc>
        <w:tc>
          <w:tcPr>
            <w:tcW w:w="1100" w:type="pct"/>
            <w:vAlign w:val="center"/>
            <w:hideMark/>
          </w:tcPr>
          <w:p w14:paraId="4B2D955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27.30%</w:t>
            </w:r>
          </w:p>
        </w:tc>
      </w:tr>
      <w:tr w:rsidR="001D3D5D" w:rsidRPr="00B322FF" w14:paraId="48DC76A6" w14:textId="77777777" w:rsidTr="00597597">
        <w:trPr>
          <w:trHeight w:val="270"/>
        </w:trPr>
        <w:tc>
          <w:tcPr>
            <w:tcW w:w="1391" w:type="pct"/>
            <w:vMerge w:val="restart"/>
            <w:vAlign w:val="center"/>
            <w:hideMark/>
          </w:tcPr>
          <w:p w14:paraId="3AADF5FA"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سنوات الخبرة</w:t>
            </w:r>
          </w:p>
        </w:tc>
        <w:tc>
          <w:tcPr>
            <w:tcW w:w="1908" w:type="pct"/>
            <w:vAlign w:val="center"/>
            <w:hideMark/>
          </w:tcPr>
          <w:p w14:paraId="3EC255A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5 سنوات</w:t>
            </w:r>
          </w:p>
        </w:tc>
        <w:tc>
          <w:tcPr>
            <w:tcW w:w="601" w:type="pct"/>
            <w:vAlign w:val="center"/>
            <w:hideMark/>
          </w:tcPr>
          <w:p w14:paraId="405BEB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67</w:t>
            </w:r>
          </w:p>
        </w:tc>
        <w:tc>
          <w:tcPr>
            <w:tcW w:w="1100" w:type="pct"/>
            <w:vAlign w:val="center"/>
            <w:hideMark/>
          </w:tcPr>
          <w:p w14:paraId="215B5BC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17.40%</w:t>
            </w:r>
          </w:p>
        </w:tc>
      </w:tr>
      <w:tr w:rsidR="001D3D5D" w:rsidRPr="00B322FF" w14:paraId="41234AFF" w14:textId="77777777" w:rsidTr="00597597">
        <w:trPr>
          <w:trHeight w:val="270"/>
        </w:trPr>
        <w:tc>
          <w:tcPr>
            <w:tcW w:w="1391" w:type="pct"/>
            <w:vMerge/>
            <w:vAlign w:val="center"/>
            <w:hideMark/>
          </w:tcPr>
          <w:p w14:paraId="4CC08F3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12438482"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5 – 10 سنوات</w:t>
            </w:r>
          </w:p>
        </w:tc>
        <w:tc>
          <w:tcPr>
            <w:tcW w:w="601" w:type="pct"/>
            <w:vAlign w:val="center"/>
            <w:hideMark/>
          </w:tcPr>
          <w:p w14:paraId="433F19F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104</w:t>
            </w:r>
          </w:p>
        </w:tc>
        <w:tc>
          <w:tcPr>
            <w:tcW w:w="1100" w:type="pct"/>
            <w:vAlign w:val="center"/>
            <w:hideMark/>
          </w:tcPr>
          <w:p w14:paraId="66D2D43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27.10%</w:t>
            </w:r>
          </w:p>
        </w:tc>
      </w:tr>
      <w:tr w:rsidR="001D3D5D" w:rsidRPr="00B322FF" w14:paraId="3D1C0277" w14:textId="77777777" w:rsidTr="00597597">
        <w:trPr>
          <w:trHeight w:val="270"/>
        </w:trPr>
        <w:tc>
          <w:tcPr>
            <w:tcW w:w="1391" w:type="pct"/>
            <w:vMerge/>
            <w:vAlign w:val="center"/>
            <w:hideMark/>
          </w:tcPr>
          <w:p w14:paraId="0200E165"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76D3A17A"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أكثر من 10 سنوات</w:t>
            </w:r>
          </w:p>
        </w:tc>
        <w:tc>
          <w:tcPr>
            <w:tcW w:w="601" w:type="pct"/>
            <w:vAlign w:val="center"/>
            <w:hideMark/>
          </w:tcPr>
          <w:p w14:paraId="2FE6B19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213</w:t>
            </w:r>
          </w:p>
        </w:tc>
        <w:tc>
          <w:tcPr>
            <w:tcW w:w="1100" w:type="pct"/>
            <w:vAlign w:val="center"/>
            <w:hideMark/>
          </w:tcPr>
          <w:p w14:paraId="4037F0C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55.50%</w:t>
            </w:r>
          </w:p>
        </w:tc>
      </w:tr>
      <w:tr w:rsidR="001D3D5D" w:rsidRPr="00B322FF" w14:paraId="536B7D45" w14:textId="77777777" w:rsidTr="00597597">
        <w:trPr>
          <w:trHeight w:val="270"/>
        </w:trPr>
        <w:tc>
          <w:tcPr>
            <w:tcW w:w="1391" w:type="pct"/>
            <w:vMerge w:val="restart"/>
            <w:vAlign w:val="center"/>
            <w:hideMark/>
          </w:tcPr>
          <w:p w14:paraId="76976DB6"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الحالة الاجتماعية</w:t>
            </w:r>
          </w:p>
        </w:tc>
        <w:tc>
          <w:tcPr>
            <w:tcW w:w="1908" w:type="pct"/>
            <w:vAlign w:val="center"/>
            <w:hideMark/>
          </w:tcPr>
          <w:p w14:paraId="2A58E13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أعزب</w:t>
            </w:r>
          </w:p>
        </w:tc>
        <w:tc>
          <w:tcPr>
            <w:tcW w:w="601" w:type="pct"/>
            <w:vAlign w:val="center"/>
            <w:hideMark/>
          </w:tcPr>
          <w:p w14:paraId="2EC3FB3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96</w:t>
            </w:r>
          </w:p>
        </w:tc>
        <w:tc>
          <w:tcPr>
            <w:tcW w:w="1100" w:type="pct"/>
            <w:vAlign w:val="center"/>
            <w:hideMark/>
          </w:tcPr>
          <w:p w14:paraId="2F89C58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25.00%</w:t>
            </w:r>
          </w:p>
        </w:tc>
      </w:tr>
      <w:tr w:rsidR="001D3D5D" w:rsidRPr="00B322FF" w14:paraId="7EF0D7F0" w14:textId="77777777" w:rsidTr="00597597">
        <w:trPr>
          <w:trHeight w:val="270"/>
        </w:trPr>
        <w:tc>
          <w:tcPr>
            <w:tcW w:w="1391" w:type="pct"/>
            <w:vMerge/>
            <w:vAlign w:val="center"/>
            <w:hideMark/>
          </w:tcPr>
          <w:p w14:paraId="5DB1A6DE"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35B7495"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متزوج</w:t>
            </w:r>
          </w:p>
        </w:tc>
        <w:tc>
          <w:tcPr>
            <w:tcW w:w="601" w:type="pct"/>
            <w:vAlign w:val="center"/>
            <w:hideMark/>
          </w:tcPr>
          <w:p w14:paraId="66943B1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255</w:t>
            </w:r>
          </w:p>
        </w:tc>
        <w:tc>
          <w:tcPr>
            <w:tcW w:w="1100" w:type="pct"/>
            <w:vAlign w:val="center"/>
            <w:hideMark/>
          </w:tcPr>
          <w:p w14:paraId="5FACB03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66.40%</w:t>
            </w:r>
          </w:p>
        </w:tc>
      </w:tr>
      <w:tr w:rsidR="001D3D5D" w:rsidRPr="00B322FF" w14:paraId="414C234C" w14:textId="77777777" w:rsidTr="00597597">
        <w:trPr>
          <w:trHeight w:val="270"/>
        </w:trPr>
        <w:tc>
          <w:tcPr>
            <w:tcW w:w="1391" w:type="pct"/>
            <w:vMerge/>
            <w:vAlign w:val="center"/>
            <w:hideMark/>
          </w:tcPr>
          <w:p w14:paraId="78990799"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21C56AB3"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أخرى</w:t>
            </w:r>
          </w:p>
        </w:tc>
        <w:tc>
          <w:tcPr>
            <w:tcW w:w="601" w:type="pct"/>
            <w:vAlign w:val="center"/>
            <w:hideMark/>
          </w:tcPr>
          <w:p w14:paraId="2D9B211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w:t>
            </w:r>
          </w:p>
        </w:tc>
        <w:tc>
          <w:tcPr>
            <w:tcW w:w="1100" w:type="pct"/>
            <w:vAlign w:val="center"/>
            <w:hideMark/>
          </w:tcPr>
          <w:p w14:paraId="3350E41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8.60%</w:t>
            </w:r>
          </w:p>
        </w:tc>
      </w:tr>
      <w:tr w:rsidR="001D3D5D" w:rsidRPr="00B322FF" w14:paraId="04DD3DC5" w14:textId="77777777" w:rsidTr="00597597">
        <w:trPr>
          <w:trHeight w:val="270"/>
        </w:trPr>
        <w:tc>
          <w:tcPr>
            <w:tcW w:w="1391" w:type="pct"/>
            <w:vMerge w:val="restart"/>
            <w:vAlign w:val="center"/>
            <w:hideMark/>
          </w:tcPr>
          <w:p w14:paraId="20F2F0A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الدخل الشهري</w:t>
            </w:r>
          </w:p>
        </w:tc>
        <w:tc>
          <w:tcPr>
            <w:tcW w:w="1908" w:type="pct"/>
            <w:vAlign w:val="center"/>
            <w:hideMark/>
          </w:tcPr>
          <w:p w14:paraId="230618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7000 ريال</w:t>
            </w:r>
          </w:p>
        </w:tc>
        <w:tc>
          <w:tcPr>
            <w:tcW w:w="601" w:type="pct"/>
            <w:vAlign w:val="center"/>
            <w:hideMark/>
          </w:tcPr>
          <w:p w14:paraId="3BD549B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w:t>
            </w:r>
          </w:p>
        </w:tc>
        <w:tc>
          <w:tcPr>
            <w:tcW w:w="1100" w:type="pct"/>
            <w:vAlign w:val="center"/>
            <w:hideMark/>
          </w:tcPr>
          <w:p w14:paraId="007ADF8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3.10%</w:t>
            </w:r>
          </w:p>
        </w:tc>
      </w:tr>
      <w:tr w:rsidR="001D3D5D" w:rsidRPr="00B322FF" w14:paraId="44B088A7" w14:textId="77777777" w:rsidTr="00597597">
        <w:trPr>
          <w:trHeight w:val="270"/>
        </w:trPr>
        <w:tc>
          <w:tcPr>
            <w:tcW w:w="1391" w:type="pct"/>
            <w:vMerge/>
            <w:vAlign w:val="center"/>
            <w:hideMark/>
          </w:tcPr>
          <w:p w14:paraId="3697633E"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68C71B19"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7000 – 12000 ريال</w:t>
            </w:r>
          </w:p>
        </w:tc>
        <w:tc>
          <w:tcPr>
            <w:tcW w:w="601" w:type="pct"/>
            <w:vAlign w:val="center"/>
            <w:hideMark/>
          </w:tcPr>
          <w:p w14:paraId="396780F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72</w:t>
            </w:r>
          </w:p>
        </w:tc>
        <w:tc>
          <w:tcPr>
            <w:tcW w:w="1100" w:type="pct"/>
            <w:vAlign w:val="center"/>
            <w:hideMark/>
          </w:tcPr>
          <w:p w14:paraId="52CAAF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18.80%</w:t>
            </w:r>
          </w:p>
        </w:tc>
      </w:tr>
      <w:tr w:rsidR="001D3D5D" w:rsidRPr="00B322FF" w14:paraId="28F12429" w14:textId="77777777" w:rsidTr="00597597">
        <w:trPr>
          <w:trHeight w:val="285"/>
        </w:trPr>
        <w:tc>
          <w:tcPr>
            <w:tcW w:w="1391" w:type="pct"/>
            <w:vMerge/>
            <w:vAlign w:val="center"/>
            <w:hideMark/>
          </w:tcPr>
          <w:p w14:paraId="437746EF"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51E9179D"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أكثر من 12000 ريال</w:t>
            </w:r>
          </w:p>
        </w:tc>
        <w:tc>
          <w:tcPr>
            <w:tcW w:w="601" w:type="pct"/>
            <w:vAlign w:val="center"/>
            <w:hideMark/>
          </w:tcPr>
          <w:p w14:paraId="763BC5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300</w:t>
            </w:r>
          </w:p>
        </w:tc>
        <w:tc>
          <w:tcPr>
            <w:tcW w:w="1100" w:type="pct"/>
            <w:vAlign w:val="center"/>
            <w:hideMark/>
          </w:tcPr>
          <w:p w14:paraId="6E0AA1E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78.10%</w:t>
            </w:r>
          </w:p>
        </w:tc>
      </w:tr>
    </w:tbl>
    <w:p w14:paraId="4604F044" w14:textId="6C140F70"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ويتضح من الجدول (</w:t>
      </w:r>
      <w:r w:rsidR="00CD70F3">
        <w:rPr>
          <w:rFonts w:ascii="Simplified Arabic" w:hAnsi="Simplified Arabic" w:cs="Simplified Arabic" w:hint="cs"/>
          <w:sz w:val="28"/>
          <w:szCs w:val="28"/>
          <w:rtl/>
        </w:rPr>
        <w:t>٤-1</w:t>
      </w:r>
      <w:r w:rsidRPr="00B322FF">
        <w:rPr>
          <w:rFonts w:ascii="Simplified Arabic" w:hAnsi="Simplified Arabic" w:cs="Simplified Arabic" w:hint="cs"/>
          <w:sz w:val="28"/>
          <w:szCs w:val="28"/>
          <w:rtl/>
        </w:rPr>
        <w:t xml:space="preserve">) ما يلي: </w:t>
      </w:r>
    </w:p>
    <w:p w14:paraId="46824375"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تشير البيانات الوصفية للعينة إلى أن نسبة الذكور بلغت (54.4%)، وهي النسبة الأعلى مقارنة بالإناث. وفيما يخص التوزيع العمري، نجد تقارباً في الفئات العمرية مع تصدر الفئة (30-39 سنة) بنسبة (29.7%)، تليها الفئة (40-49 سنة) بنسبة (28.1%). أما من الناحية الأكاديمية، فقد استحوذ حملة درجة البكالوريوس على النصيب الأكبر بنسبة (52.3%)، مما يعكس مستوى تعليمياً جيداً لدى أفراد العينة.</w:t>
      </w:r>
    </w:p>
    <w:p w14:paraId="0E62C8C8"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وعلى صعيد الخبرة المهنية، نلاحظ أن غالبية المبحوثين يمتلكون خبرة طويلة تتجاوز 10 سنوات بنسبة بلغت (55.5%)، وهو مؤشر جوهري يعطي وزناً كبيراً للنتائج لكون العينة تمتلك نضجاً مهنياً كافياً لتقييم متغيرات الدراسة. كما يظهر التوزيع المادي أن الغالبية العظمى (78.1%) يقع دخلهم في الفئة الأعلى (أكثر من 12000 ريال)، وهي خاصية ترتبط غالباً بطبيعة الكوادر الطبية المتخصصة وسنوات الخبرة الطويلة الموضحة سابقاً.</w:t>
      </w:r>
    </w:p>
    <w:p w14:paraId="7EBD5BFF" w14:textId="77777777" w:rsidR="001D3D5D" w:rsidRPr="00B322FF" w:rsidRDefault="001D3D5D" w:rsidP="006C4CDD">
      <w:pPr>
        <w:pStyle w:val="ac"/>
        <w:numPr>
          <w:ilvl w:val="0"/>
          <w:numId w:val="12"/>
        </w:numPr>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kern w:val="2"/>
          <w:sz w:val="32"/>
          <w:szCs w:val="32"/>
          <w:rtl/>
          <w:lang w:bidi="ar-YE"/>
          <w14:ligatures w14:val="standardContextual"/>
        </w:rPr>
        <w:t>الإحصاءات الوصفية لمتغيرات الدراسة الرئيسية</w:t>
      </w:r>
    </w:p>
    <w:p w14:paraId="417F4072" w14:textId="29DCD08C" w:rsidR="001D3D5D"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تم استخراج المتوسطات الحسابية والانحرافات المعيارية لتمثيل درجة استجابة المبحوثين تجاه محاور الدراسة الأربعة، وذلك للوقوف على الاتجاه العام لكل متغير وفقاً لمقياس ليكرت الخماسي:</w:t>
      </w:r>
    </w:p>
    <w:p w14:paraId="17395C3C" w14:textId="77777777" w:rsidR="00891197" w:rsidRDefault="00891197" w:rsidP="00891197">
      <w:pPr>
        <w:pStyle w:val="ac"/>
        <w:bidi/>
        <w:jc w:val="both"/>
        <w:rPr>
          <w:rFonts w:ascii="Simplified Arabic" w:hAnsi="Simplified Arabic" w:cs="Simplified Arabic"/>
          <w:sz w:val="28"/>
          <w:szCs w:val="28"/>
          <w:rtl/>
        </w:rPr>
      </w:pPr>
    </w:p>
    <w:p w14:paraId="1A983788" w14:textId="77777777" w:rsidR="0034028E" w:rsidRPr="00B322FF" w:rsidRDefault="0034028E" w:rsidP="0034028E">
      <w:pPr>
        <w:pStyle w:val="ac"/>
        <w:bidi/>
        <w:jc w:val="both"/>
        <w:rPr>
          <w:rFonts w:ascii="Simplified Arabic" w:hAnsi="Simplified Arabic" w:cs="Simplified Arabic"/>
          <w:sz w:val="28"/>
          <w:szCs w:val="28"/>
          <w:rtl/>
        </w:rPr>
      </w:pPr>
    </w:p>
    <w:p w14:paraId="49D8242A" w14:textId="34D5B766"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lastRenderedPageBreak/>
        <w:t>​</w:t>
      </w:r>
      <w:r w:rsidRPr="00B322FF">
        <w:rPr>
          <w:rFonts w:ascii="Simplified Arabic" w:hAnsi="Simplified Arabic" w:cs="Simplified Arabic" w:hint="cs"/>
          <w:b/>
          <w:bCs/>
          <w:kern w:val="2"/>
          <w:rtl/>
          <w14:ligatures w14:val="standardContextual"/>
        </w:rPr>
        <w:t>جدول (</w:t>
      </w:r>
      <w:r w:rsidR="002179E0">
        <w:rPr>
          <w:rFonts w:ascii="Simplified Arabic" w:hAnsi="Simplified Arabic" w:cs="Simplified Arabic" w:hint="cs"/>
          <w:b/>
          <w:bCs/>
          <w:kern w:val="2"/>
          <w:rtl/>
          <w14:ligatures w14:val="standardContextual"/>
        </w:rPr>
        <w:t>٤-٢</w:t>
      </w:r>
      <w:r w:rsidRPr="00B322FF">
        <w:rPr>
          <w:rFonts w:ascii="Simplified Arabic" w:hAnsi="Simplified Arabic" w:cs="Simplified Arabic" w:hint="cs"/>
          <w:b/>
          <w:bCs/>
          <w:kern w:val="2"/>
          <w:rtl/>
          <w14:ligatures w14:val="standardContextual"/>
        </w:rPr>
        <w:t>): المتوسطات الحسابية والانحرافات المعيارية لمتغيرات الدراسة</w:t>
      </w:r>
    </w:p>
    <w:tbl>
      <w:tblPr>
        <w:tblStyle w:val="af"/>
        <w:bidiVisual/>
        <w:tblW w:w="5000" w:type="pct"/>
        <w:tblLook w:val="06A0" w:firstRow="1" w:lastRow="0" w:firstColumn="1" w:lastColumn="0" w:noHBand="1" w:noVBand="1"/>
      </w:tblPr>
      <w:tblGrid>
        <w:gridCol w:w="2875"/>
        <w:gridCol w:w="1894"/>
        <w:gridCol w:w="2103"/>
        <w:gridCol w:w="1367"/>
        <w:gridCol w:w="777"/>
      </w:tblGrid>
      <w:tr w:rsidR="001D3D5D" w:rsidRPr="00B322FF" w14:paraId="391A5EBC" w14:textId="77777777" w:rsidTr="00597597">
        <w:trPr>
          <w:trHeight w:val="270"/>
        </w:trPr>
        <w:tc>
          <w:tcPr>
            <w:tcW w:w="1594" w:type="pct"/>
            <w:vAlign w:val="center"/>
            <w:hideMark/>
          </w:tcPr>
          <w:p w14:paraId="03F0356E"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1050" w:type="pct"/>
            <w:vAlign w:val="center"/>
            <w:hideMark/>
          </w:tcPr>
          <w:p w14:paraId="313E6C1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المتوسط الحسابي</w:t>
            </w:r>
          </w:p>
        </w:tc>
        <w:tc>
          <w:tcPr>
            <w:tcW w:w="1166" w:type="pct"/>
            <w:vAlign w:val="center"/>
            <w:hideMark/>
          </w:tcPr>
          <w:p w14:paraId="42C591D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الانحراف المعياري</w:t>
            </w:r>
          </w:p>
        </w:tc>
        <w:tc>
          <w:tcPr>
            <w:tcW w:w="758" w:type="pct"/>
            <w:vAlign w:val="center"/>
            <w:hideMark/>
          </w:tcPr>
          <w:p w14:paraId="3079872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الاتجاه العام</w:t>
            </w:r>
          </w:p>
        </w:tc>
        <w:tc>
          <w:tcPr>
            <w:tcW w:w="431" w:type="pct"/>
            <w:vAlign w:val="center"/>
            <w:hideMark/>
          </w:tcPr>
          <w:p w14:paraId="4142C20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الرتبة</w:t>
            </w:r>
          </w:p>
        </w:tc>
      </w:tr>
      <w:tr w:rsidR="001D3D5D" w:rsidRPr="00B322FF" w14:paraId="44D78E6B" w14:textId="77777777" w:rsidTr="00597597">
        <w:trPr>
          <w:trHeight w:val="270"/>
        </w:trPr>
        <w:tc>
          <w:tcPr>
            <w:tcW w:w="1594" w:type="pct"/>
            <w:vAlign w:val="center"/>
            <w:hideMark/>
          </w:tcPr>
          <w:p w14:paraId="43B1241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1050" w:type="pct"/>
            <w:vAlign w:val="center"/>
            <w:hideMark/>
          </w:tcPr>
          <w:p w14:paraId="7DC37A3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3.59</w:t>
            </w:r>
          </w:p>
        </w:tc>
        <w:tc>
          <w:tcPr>
            <w:tcW w:w="1166" w:type="pct"/>
            <w:vAlign w:val="center"/>
            <w:hideMark/>
          </w:tcPr>
          <w:p w14:paraId="4F34C90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0.83</w:t>
            </w:r>
          </w:p>
        </w:tc>
        <w:tc>
          <w:tcPr>
            <w:tcW w:w="758" w:type="pct"/>
            <w:vAlign w:val="center"/>
            <w:hideMark/>
          </w:tcPr>
          <w:p w14:paraId="3711EA9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مرتفع</w:t>
            </w:r>
          </w:p>
        </w:tc>
        <w:tc>
          <w:tcPr>
            <w:tcW w:w="431" w:type="pct"/>
            <w:vAlign w:val="center"/>
            <w:hideMark/>
          </w:tcPr>
          <w:p w14:paraId="456167C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r>
      <w:tr w:rsidR="001D3D5D" w:rsidRPr="00B322FF" w14:paraId="2D54E077" w14:textId="77777777" w:rsidTr="00597597">
        <w:trPr>
          <w:trHeight w:val="270"/>
        </w:trPr>
        <w:tc>
          <w:tcPr>
            <w:tcW w:w="1594" w:type="pct"/>
            <w:vAlign w:val="center"/>
            <w:hideMark/>
          </w:tcPr>
          <w:p w14:paraId="1C7F772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1050" w:type="pct"/>
            <w:vAlign w:val="center"/>
            <w:hideMark/>
          </w:tcPr>
          <w:p w14:paraId="610A528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3.44</w:t>
            </w:r>
          </w:p>
        </w:tc>
        <w:tc>
          <w:tcPr>
            <w:tcW w:w="1166" w:type="pct"/>
            <w:vAlign w:val="center"/>
            <w:hideMark/>
          </w:tcPr>
          <w:p w14:paraId="640C02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0.84</w:t>
            </w:r>
          </w:p>
        </w:tc>
        <w:tc>
          <w:tcPr>
            <w:tcW w:w="758" w:type="pct"/>
            <w:vAlign w:val="center"/>
            <w:hideMark/>
          </w:tcPr>
          <w:p w14:paraId="3BB832E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مرتفع</w:t>
            </w:r>
          </w:p>
        </w:tc>
        <w:tc>
          <w:tcPr>
            <w:tcW w:w="431" w:type="pct"/>
            <w:vAlign w:val="center"/>
            <w:hideMark/>
          </w:tcPr>
          <w:p w14:paraId="24856A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r>
      <w:tr w:rsidR="001D3D5D" w:rsidRPr="00B322FF" w14:paraId="70B07BFD" w14:textId="77777777" w:rsidTr="00597597">
        <w:trPr>
          <w:trHeight w:val="270"/>
        </w:trPr>
        <w:tc>
          <w:tcPr>
            <w:tcW w:w="1594" w:type="pct"/>
            <w:vAlign w:val="center"/>
            <w:hideMark/>
          </w:tcPr>
          <w:p w14:paraId="2C33EEC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بيئة العمل النفسية المستدامة</w:t>
            </w:r>
          </w:p>
        </w:tc>
        <w:tc>
          <w:tcPr>
            <w:tcW w:w="1050" w:type="pct"/>
            <w:vAlign w:val="center"/>
            <w:hideMark/>
          </w:tcPr>
          <w:p w14:paraId="5F5C0EF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3.37</w:t>
            </w:r>
          </w:p>
        </w:tc>
        <w:tc>
          <w:tcPr>
            <w:tcW w:w="1166" w:type="pct"/>
            <w:vAlign w:val="center"/>
            <w:hideMark/>
          </w:tcPr>
          <w:p w14:paraId="69B6652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w:t>
            </w:r>
          </w:p>
        </w:tc>
        <w:tc>
          <w:tcPr>
            <w:tcW w:w="758" w:type="pct"/>
            <w:vAlign w:val="center"/>
            <w:hideMark/>
          </w:tcPr>
          <w:p w14:paraId="15528F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متوسط</w:t>
            </w:r>
          </w:p>
        </w:tc>
        <w:tc>
          <w:tcPr>
            <w:tcW w:w="431" w:type="pct"/>
            <w:vAlign w:val="center"/>
            <w:hideMark/>
          </w:tcPr>
          <w:p w14:paraId="1B5A42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r>
      <w:tr w:rsidR="001D3D5D" w:rsidRPr="00B322FF" w14:paraId="4CAA8F36" w14:textId="77777777" w:rsidTr="00597597">
        <w:trPr>
          <w:trHeight w:val="270"/>
        </w:trPr>
        <w:tc>
          <w:tcPr>
            <w:tcW w:w="1594" w:type="pct"/>
            <w:vAlign w:val="center"/>
            <w:hideMark/>
          </w:tcPr>
          <w:p w14:paraId="3D919E6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الاحتراق الوظيفي</w:t>
            </w:r>
          </w:p>
        </w:tc>
        <w:tc>
          <w:tcPr>
            <w:tcW w:w="1050" w:type="pct"/>
            <w:vAlign w:val="center"/>
            <w:hideMark/>
          </w:tcPr>
          <w:p w14:paraId="1677D60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2.95</w:t>
            </w:r>
          </w:p>
        </w:tc>
        <w:tc>
          <w:tcPr>
            <w:tcW w:w="1166" w:type="pct"/>
            <w:vAlign w:val="center"/>
            <w:hideMark/>
          </w:tcPr>
          <w:p w14:paraId="0E5A8BE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0.99</w:t>
            </w:r>
          </w:p>
        </w:tc>
        <w:tc>
          <w:tcPr>
            <w:tcW w:w="758" w:type="pct"/>
            <w:vAlign w:val="center"/>
            <w:hideMark/>
          </w:tcPr>
          <w:p w14:paraId="42B51F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متوسط</w:t>
            </w:r>
          </w:p>
        </w:tc>
        <w:tc>
          <w:tcPr>
            <w:tcW w:w="431" w:type="pct"/>
            <w:vAlign w:val="center"/>
            <w:hideMark/>
          </w:tcPr>
          <w:p w14:paraId="3988B59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w:t>
            </w:r>
          </w:p>
        </w:tc>
      </w:tr>
    </w:tbl>
    <w:p w14:paraId="4644D70B" w14:textId="499CA23D" w:rsidR="001D3D5D" w:rsidRPr="00B322FF" w:rsidRDefault="001D3D5D" w:rsidP="00B527E5">
      <w:pPr>
        <w:spacing w:before="240" w:line="240" w:lineRule="auto"/>
        <w:jc w:val="both"/>
        <w:rPr>
          <w:rFonts w:ascii="Simplified Arabic" w:hAnsi="Simplified Arabic" w:cs="Simplified Arabic"/>
          <w:sz w:val="28"/>
          <w:szCs w:val="28"/>
          <w:rtl/>
          <w:lang w:bidi="ar-YE"/>
        </w:rPr>
      </w:pPr>
      <w:r w:rsidRPr="00B322FF">
        <w:rPr>
          <w:rFonts w:ascii="Simplified Arabic" w:hAnsi="Simplified Arabic" w:cs="Simplified Arabic" w:hint="cs"/>
          <w:sz w:val="28"/>
          <w:szCs w:val="28"/>
          <w:rtl/>
          <w:lang w:bidi="ar-YE"/>
        </w:rPr>
        <w:t>ويتضح من الجدول (</w:t>
      </w:r>
      <w:r w:rsidR="002179E0">
        <w:rPr>
          <w:rFonts w:ascii="Simplified Arabic" w:hAnsi="Simplified Arabic" w:cs="Simplified Arabic" w:hint="cs"/>
          <w:sz w:val="28"/>
          <w:szCs w:val="28"/>
          <w:rtl/>
          <w:lang w:bidi="ar-YE"/>
        </w:rPr>
        <w:t>٤-2</w:t>
      </w:r>
      <w:r w:rsidRPr="00B322FF">
        <w:rPr>
          <w:rFonts w:ascii="Simplified Arabic" w:hAnsi="Simplified Arabic" w:cs="Simplified Arabic" w:hint="cs"/>
          <w:sz w:val="28"/>
          <w:szCs w:val="28"/>
          <w:rtl/>
          <w:lang w:bidi="ar-YE"/>
        </w:rPr>
        <w:t xml:space="preserve">) ما يلي: </w:t>
      </w:r>
    </w:p>
    <w:p w14:paraId="59FAA553" w14:textId="77777777" w:rsidR="001D3D5D" w:rsidRPr="00B322FF" w:rsidRDefault="001D3D5D" w:rsidP="00B527E5">
      <w:pPr>
        <w:spacing w:line="240" w:lineRule="auto"/>
        <w:jc w:val="both"/>
        <w:rPr>
          <w:rFonts w:ascii="Simplified Arabic" w:hAnsi="Simplified Arabic" w:cs="Simplified Arabic"/>
          <w:sz w:val="28"/>
          <w:szCs w:val="28"/>
          <w:rtl/>
          <w:lang w:bidi="ar-YE"/>
        </w:rPr>
      </w:pPr>
      <w:r w:rsidRPr="00B322FF">
        <w:rPr>
          <w:rFonts w:ascii="Simplified Arabic" w:hAnsi="Simplified Arabic" w:cs="Simplified Arabic" w:hint="cs"/>
          <w:sz w:val="28"/>
          <w:szCs w:val="28"/>
          <w:rtl/>
          <w:lang w:bidi="ar-YE"/>
        </w:rPr>
        <w:t>أظهرت النتائج الوصفية تبايناً في مستويات المتغيرات البحثية؛ حيث حلَّ متغير التحول الصحي في المرتبة الأولى بمتوسط حسابي قدره (3.59)، مما يعكس تقييماً إيجابياً مرتفعاً من قبل الكوادر الصحية لبرامج التحول الصحي ودورها في جودة الخدمات. كما جاء متغير رفاهية الموظفين في المرتبة الثانية بمتوسط (3.44)، وهو يقع أيضاً ضمن النطاق المرتفع، مما يشير إلى شعور المبحوثين بمستوى جيد من الاستقرار الجسدي والنفسي في ظل الظروف الراهنة.</w:t>
      </w:r>
    </w:p>
    <w:p w14:paraId="55274E3E" w14:textId="210278D4" w:rsidR="001D3D5D" w:rsidRPr="001919D1" w:rsidRDefault="001D3D5D" w:rsidP="001919D1">
      <w:pPr>
        <w:spacing w:line="240" w:lineRule="auto"/>
        <w:jc w:val="both"/>
        <w:rPr>
          <w:rFonts w:ascii="Simplified Arabic" w:hAnsi="Simplified Arabic" w:cs="Simplified Arabic"/>
          <w:sz w:val="28"/>
          <w:szCs w:val="28"/>
          <w:rtl/>
          <w:lang w:bidi="ar-YE"/>
        </w:rPr>
      </w:pPr>
      <w:r w:rsidRPr="00B322FF">
        <w:rPr>
          <w:rFonts w:ascii="Times New Roman" w:hAnsi="Times New Roman" w:cs="Times New Roman" w:hint="cs"/>
          <w:sz w:val="28"/>
          <w:szCs w:val="28"/>
          <w:rtl/>
          <w:lang w:bidi="ar-YE"/>
        </w:rPr>
        <w:t>​</w:t>
      </w:r>
      <w:r w:rsidRPr="00B322FF">
        <w:rPr>
          <w:rFonts w:ascii="Simplified Arabic" w:hAnsi="Simplified Arabic" w:cs="Simplified Arabic" w:hint="cs"/>
          <w:sz w:val="28"/>
          <w:szCs w:val="28"/>
          <w:rtl/>
          <w:lang w:bidi="ar-YE"/>
        </w:rPr>
        <w:t>في المقابل، سجل متغير بيئة العمل النفسية المستدامة متوسطاً حسابياً قدره (3.37)، مما يضعه في النطاق المتوسط المائل للارتفاع، وهو ما قد يعزى إلى وجود بعض التحديات التنظيمية التي تصاحب مراحل التحول الكبرى. أما بالنسبة لمتغير الاحتراق الوظيفي، فقد سجل أدنى متوسط حسابي (2.95)، وهو مؤشر يقع في النطاق المتوسط، إلا أنه يميل للانخفاض، وهو أمر إيجابي في الدراسات المتعلقة بالضغوط المهنية، مع ملاحظة أن الانحراف المعياري لهذا المتغير (0.99) هو الأعلى، مما يدل على تباين استجابات الموظفين وتفاوت شعورهم بالإجهاد النفسي بناءً على ظروف عملهم الفردية.</w:t>
      </w:r>
    </w:p>
    <w:p w14:paraId="5FF178F1" w14:textId="77777777" w:rsidR="001D3D5D" w:rsidRPr="000C5D98" w:rsidRDefault="001D3D5D" w:rsidP="000C5D98">
      <w:pPr>
        <w:pStyle w:val="2"/>
        <w:rPr>
          <w:b w:val="0"/>
          <w:bCs/>
          <w:lang w:bidi="ar-YE"/>
        </w:rPr>
      </w:pPr>
      <w:bookmarkStart w:id="48" w:name="_Toc234084456"/>
      <w:r w:rsidRPr="000C5D98">
        <w:rPr>
          <w:rFonts w:hint="cs"/>
          <w:b w:val="0"/>
          <w:bCs/>
          <w:rtl/>
          <w:lang w:bidi="ar-YE"/>
        </w:rPr>
        <w:t>ثانياً: اختبار فروض الدراسة</w:t>
      </w:r>
      <w:bookmarkEnd w:id="48"/>
    </w:p>
    <w:p w14:paraId="4DB98CEB"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لتحقيق أهداف الدراسة واختبار صحة فروضها، تم الاعتماد على مجموعة من الأساليب الإحصائية الاستدلالية. تبدأ هذه المرحلة بتحليل الارتباط للكشف عن طبيعة وقوة العلاقات البينية بين المتغيرات، يليه تحليل الانحدار لاختبار علاقات الأثر والتنبؤ، وصولاً إلى اختبارات الفروق الجوهرية.</w:t>
      </w:r>
    </w:p>
    <w:p w14:paraId="625FE544" w14:textId="77777777" w:rsidR="001D3D5D" w:rsidRPr="00B322FF" w:rsidRDefault="001D3D5D" w:rsidP="006C4CDD">
      <w:pPr>
        <w:pStyle w:val="ac"/>
        <w:numPr>
          <w:ilvl w:val="0"/>
          <w:numId w:val="13"/>
        </w:numPr>
        <w:bidi/>
        <w:jc w:val="both"/>
        <w:rPr>
          <w:rFonts w:ascii="Simplified Arabic" w:hAnsi="Simplified Arabic" w:cs="Simplified Arabic"/>
          <w:b/>
          <w:bCs/>
          <w:kern w:val="2"/>
          <w:sz w:val="32"/>
          <w:szCs w:val="32"/>
          <w:rtl/>
          <w:lang w:bidi="ar-YE"/>
          <w14:ligatures w14:val="standardContextual"/>
        </w:rPr>
      </w:pPr>
      <w:r w:rsidRPr="00B322FF">
        <w:rPr>
          <w:rFonts w:hint="cs"/>
          <w:sz w:val="28"/>
          <w:szCs w:val="28"/>
          <w:rtl/>
        </w:rPr>
        <w:t>​</w:t>
      </w:r>
      <w:r w:rsidRPr="00B322FF">
        <w:rPr>
          <w:rFonts w:ascii="Simplified Arabic" w:hAnsi="Simplified Arabic" w:cs="Simplified Arabic" w:hint="cs"/>
          <w:b/>
          <w:bCs/>
          <w:kern w:val="2"/>
          <w:sz w:val="32"/>
          <w:szCs w:val="32"/>
          <w:rtl/>
          <w:lang w:bidi="ar-YE"/>
          <w14:ligatures w14:val="standardContextual"/>
        </w:rPr>
        <w:t xml:space="preserve">تحليل الارتباط لبيرسون </w:t>
      </w:r>
    </w:p>
    <w:p w14:paraId="13EB5000"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تم حساب معامل ارتباط بيرسون للكشف عن نوع وقوة العلاقة بين متغيرات الدراسة الرئيسية: (التحول الصحي، بيئة العمل النفسية المستدامة، رفاهية الموظفين، والاحتراق الوظيفي). يوضح الجدول التالي مصفوفة الارتباط الكلية لهذه المتغيرات:</w:t>
      </w:r>
    </w:p>
    <w:p w14:paraId="4568D1DD" w14:textId="6895C6AF"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lastRenderedPageBreak/>
        <w:t>​</w:t>
      </w:r>
      <w:r w:rsidRPr="00B322FF">
        <w:rPr>
          <w:rFonts w:ascii="Simplified Arabic" w:hAnsi="Simplified Arabic" w:cs="Simplified Arabic" w:hint="cs"/>
          <w:b/>
          <w:bCs/>
          <w:kern w:val="2"/>
          <w:rtl/>
          <w14:ligatures w14:val="standardContextual"/>
        </w:rPr>
        <w:t>جدول (</w:t>
      </w:r>
      <w:r w:rsidR="002179E0">
        <w:rPr>
          <w:rFonts w:ascii="Simplified Arabic" w:hAnsi="Simplified Arabic" w:cs="Simplified Arabic" w:hint="cs"/>
          <w:b/>
          <w:bCs/>
          <w:kern w:val="2"/>
          <w:rtl/>
          <w14:ligatures w14:val="standardContextual"/>
        </w:rPr>
        <w:t>٤-٣</w:t>
      </w:r>
      <w:r w:rsidRPr="00B322FF">
        <w:rPr>
          <w:rFonts w:ascii="Simplified Arabic" w:hAnsi="Simplified Arabic" w:cs="Simplified Arabic" w:hint="cs"/>
          <w:b/>
          <w:bCs/>
          <w:kern w:val="2"/>
          <w:rtl/>
          <w14:ligatures w14:val="standardContextual"/>
        </w:rPr>
        <w:t>): مصفوفة ارتباط بيرسون لمتغيرات الدراسة الرئيسية</w:t>
      </w:r>
    </w:p>
    <w:tbl>
      <w:tblPr>
        <w:tblStyle w:val="af"/>
        <w:bidiVisual/>
        <w:tblW w:w="5000" w:type="pct"/>
        <w:tblLook w:val="06A0" w:firstRow="1" w:lastRow="0" w:firstColumn="1" w:lastColumn="0" w:noHBand="1" w:noVBand="1"/>
      </w:tblPr>
      <w:tblGrid>
        <w:gridCol w:w="1885"/>
        <w:gridCol w:w="1646"/>
        <w:gridCol w:w="1837"/>
        <w:gridCol w:w="1764"/>
        <w:gridCol w:w="1884"/>
      </w:tblGrid>
      <w:tr w:rsidR="001D3D5D" w:rsidRPr="00B322FF" w14:paraId="27D35CD1" w14:textId="77777777" w:rsidTr="00597597">
        <w:trPr>
          <w:trHeight w:val="270"/>
        </w:trPr>
        <w:tc>
          <w:tcPr>
            <w:tcW w:w="1045" w:type="pct"/>
            <w:vAlign w:val="center"/>
            <w:hideMark/>
          </w:tcPr>
          <w:p w14:paraId="6147D829"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المتغيرات</w:t>
            </w:r>
          </w:p>
        </w:tc>
        <w:tc>
          <w:tcPr>
            <w:tcW w:w="913" w:type="pct"/>
            <w:vAlign w:val="center"/>
            <w:hideMark/>
          </w:tcPr>
          <w:p w14:paraId="1C3C84A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1019" w:type="pct"/>
            <w:vAlign w:val="center"/>
            <w:hideMark/>
          </w:tcPr>
          <w:p w14:paraId="58BA83E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بيئة العمل النفسية</w:t>
            </w:r>
          </w:p>
        </w:tc>
        <w:tc>
          <w:tcPr>
            <w:tcW w:w="978" w:type="pct"/>
            <w:vAlign w:val="center"/>
            <w:hideMark/>
          </w:tcPr>
          <w:p w14:paraId="0663822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1045" w:type="pct"/>
            <w:vAlign w:val="center"/>
            <w:hideMark/>
          </w:tcPr>
          <w:p w14:paraId="3284B2F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الاحتراق الوظيفي</w:t>
            </w:r>
          </w:p>
        </w:tc>
      </w:tr>
      <w:tr w:rsidR="001D3D5D" w:rsidRPr="00B322FF" w14:paraId="26A5D72F" w14:textId="77777777" w:rsidTr="00597597">
        <w:trPr>
          <w:trHeight w:val="270"/>
        </w:trPr>
        <w:tc>
          <w:tcPr>
            <w:tcW w:w="1045" w:type="pct"/>
            <w:vAlign w:val="center"/>
            <w:hideMark/>
          </w:tcPr>
          <w:p w14:paraId="729C8DA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913" w:type="pct"/>
            <w:vAlign w:val="center"/>
            <w:hideMark/>
          </w:tcPr>
          <w:p w14:paraId="7AF2FD5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1019" w:type="pct"/>
            <w:vAlign w:val="center"/>
            <w:hideMark/>
          </w:tcPr>
          <w:p w14:paraId="56ED9299" w14:textId="77777777" w:rsidR="001D3D5D" w:rsidRPr="00B322FF" w:rsidRDefault="001D3D5D" w:rsidP="00B527E5">
            <w:pPr>
              <w:jc w:val="center"/>
              <w:rPr>
                <w:rFonts w:ascii="Simplified Arabic" w:eastAsia="Times New Roman" w:hAnsi="Simplified Arabic" w:cs="Simplified Arabic"/>
                <w:rtl/>
              </w:rPr>
            </w:pPr>
          </w:p>
        </w:tc>
        <w:tc>
          <w:tcPr>
            <w:tcW w:w="978" w:type="pct"/>
            <w:vAlign w:val="center"/>
            <w:hideMark/>
          </w:tcPr>
          <w:p w14:paraId="731DE6FF" w14:textId="77777777" w:rsidR="001D3D5D" w:rsidRPr="00B322FF" w:rsidRDefault="001D3D5D" w:rsidP="00B527E5">
            <w:pPr>
              <w:jc w:val="center"/>
              <w:rPr>
                <w:rFonts w:ascii="Simplified Arabic" w:eastAsia="Times New Roman" w:hAnsi="Simplified Arabic" w:cs="Simplified Arabic"/>
              </w:rPr>
            </w:pPr>
          </w:p>
        </w:tc>
        <w:tc>
          <w:tcPr>
            <w:tcW w:w="1045" w:type="pct"/>
            <w:vAlign w:val="center"/>
            <w:hideMark/>
          </w:tcPr>
          <w:p w14:paraId="5D33C8A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478D1F1F" w14:textId="77777777" w:rsidTr="00597597">
        <w:trPr>
          <w:trHeight w:val="270"/>
        </w:trPr>
        <w:tc>
          <w:tcPr>
            <w:tcW w:w="1045" w:type="pct"/>
            <w:vAlign w:val="center"/>
            <w:hideMark/>
          </w:tcPr>
          <w:p w14:paraId="433CED1B"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913" w:type="pct"/>
            <w:vAlign w:val="center"/>
            <w:hideMark/>
          </w:tcPr>
          <w:p w14:paraId="1361062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1019" w:type="pct"/>
            <w:vAlign w:val="center"/>
            <w:hideMark/>
          </w:tcPr>
          <w:p w14:paraId="0C356B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978" w:type="pct"/>
            <w:vAlign w:val="center"/>
            <w:hideMark/>
          </w:tcPr>
          <w:p w14:paraId="78586846" w14:textId="77777777" w:rsidR="001D3D5D" w:rsidRPr="00B322FF" w:rsidRDefault="001D3D5D" w:rsidP="00B527E5">
            <w:pPr>
              <w:jc w:val="center"/>
              <w:rPr>
                <w:rFonts w:ascii="Simplified Arabic" w:eastAsia="Times New Roman" w:hAnsi="Simplified Arabic" w:cs="Simplified Arabic"/>
                <w:rtl/>
              </w:rPr>
            </w:pPr>
          </w:p>
        </w:tc>
        <w:tc>
          <w:tcPr>
            <w:tcW w:w="1045" w:type="pct"/>
            <w:vAlign w:val="center"/>
            <w:hideMark/>
          </w:tcPr>
          <w:p w14:paraId="72A5391E"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56285671" w14:textId="77777777" w:rsidTr="00597597">
        <w:trPr>
          <w:trHeight w:val="270"/>
        </w:trPr>
        <w:tc>
          <w:tcPr>
            <w:tcW w:w="1045" w:type="pct"/>
            <w:vAlign w:val="center"/>
            <w:hideMark/>
          </w:tcPr>
          <w:p w14:paraId="0BEFBF68"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913" w:type="pct"/>
            <w:vAlign w:val="center"/>
            <w:hideMark/>
          </w:tcPr>
          <w:p w14:paraId="078EB5C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0.744**</w:t>
            </w:r>
          </w:p>
        </w:tc>
        <w:tc>
          <w:tcPr>
            <w:tcW w:w="1019" w:type="pct"/>
            <w:vAlign w:val="center"/>
            <w:hideMark/>
          </w:tcPr>
          <w:p w14:paraId="08E0413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0.821**</w:t>
            </w:r>
          </w:p>
        </w:tc>
        <w:tc>
          <w:tcPr>
            <w:tcW w:w="978" w:type="pct"/>
            <w:vAlign w:val="center"/>
            <w:hideMark/>
          </w:tcPr>
          <w:p w14:paraId="1E330ED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1045" w:type="pct"/>
            <w:vAlign w:val="center"/>
            <w:hideMark/>
          </w:tcPr>
          <w:p w14:paraId="27CBF2A4" w14:textId="77777777" w:rsidR="001D3D5D" w:rsidRPr="00B322FF" w:rsidRDefault="001D3D5D" w:rsidP="00B527E5">
            <w:pPr>
              <w:jc w:val="center"/>
              <w:rPr>
                <w:rFonts w:ascii="Simplified Arabic" w:eastAsia="Times New Roman" w:hAnsi="Simplified Arabic" w:cs="Simplified Arabic"/>
                <w:rtl/>
              </w:rPr>
            </w:pPr>
          </w:p>
        </w:tc>
      </w:tr>
      <w:tr w:rsidR="001D3D5D" w:rsidRPr="00B322FF" w14:paraId="399D0973" w14:textId="77777777" w:rsidTr="00597597">
        <w:trPr>
          <w:trHeight w:val="270"/>
        </w:trPr>
        <w:tc>
          <w:tcPr>
            <w:tcW w:w="1045" w:type="pct"/>
            <w:vAlign w:val="center"/>
            <w:hideMark/>
          </w:tcPr>
          <w:p w14:paraId="64891739"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913" w:type="pct"/>
            <w:vAlign w:val="center"/>
            <w:hideMark/>
          </w:tcPr>
          <w:p w14:paraId="7A4CCE4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1019" w:type="pct"/>
            <w:vAlign w:val="center"/>
            <w:hideMark/>
          </w:tcPr>
          <w:p w14:paraId="6F93760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-0.526**</w:t>
            </w:r>
          </w:p>
        </w:tc>
        <w:tc>
          <w:tcPr>
            <w:tcW w:w="978" w:type="pct"/>
            <w:vAlign w:val="center"/>
            <w:hideMark/>
          </w:tcPr>
          <w:p w14:paraId="0724CA5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1045" w:type="pct"/>
            <w:vAlign w:val="center"/>
            <w:hideMark/>
          </w:tcPr>
          <w:p w14:paraId="2972F13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r>
    </w:tbl>
    <w:p w14:paraId="58805046"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دالة إحصائياً عند مستوى دلالة 0.01 فأقل.</w:t>
      </w:r>
    </w:p>
    <w:p w14:paraId="4D9482EB" w14:textId="0A99D2B5"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من الجدول (</w:t>
      </w:r>
      <w:r w:rsidR="002179E0">
        <w:rPr>
          <w:rFonts w:ascii="Simplified Arabic" w:hAnsi="Simplified Arabic" w:cs="Simplified Arabic" w:hint="cs"/>
          <w:sz w:val="28"/>
          <w:szCs w:val="28"/>
          <w:rtl/>
        </w:rPr>
        <w:t>٤-3</w:t>
      </w:r>
      <w:r w:rsidRPr="00B322FF">
        <w:rPr>
          <w:rFonts w:ascii="Simplified Arabic" w:hAnsi="Simplified Arabic" w:cs="Simplified Arabic" w:hint="cs"/>
          <w:sz w:val="28"/>
          <w:szCs w:val="28"/>
          <w:rtl/>
        </w:rPr>
        <w:t xml:space="preserve">) ما يلي: </w:t>
      </w:r>
    </w:p>
    <w:p w14:paraId="556F440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تظهر نتائج مصفوفة الارتباط أعلاه وجود علاقات ذات دلالة إحصائية عند مستوى معنوية (0.01) بين جميع متغيرات الدراسة، وقد تراوحت قوة الارتباط ما بين القوية والمتوسطة، ويمكن ترتيب هذه العلاقات تنازلياً من حيث القوة على النحو التالي:</w:t>
      </w:r>
    </w:p>
    <w:p w14:paraId="289134B5"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بيئة العمل النفسية ورفاهية الموظفين: سجلت هذه العلاقة أعلى معامل ارتباط بقيمة (0.821)، وهي علاقة طردية قوية جداً ودالة إحصائياً، مما يشير إلى أن تحسن خصائص بيئة العمل النفسية يرتبط بشكل وثيق بارتفاع مستوى رفاهية الموظفين.</w:t>
      </w:r>
    </w:p>
    <w:p w14:paraId="659FC2C4"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وبينة العمل النفسية: جاءت في المرتبة الثانية بمعامل ارتباط قدره (0.802)، وهي علاقة طردية قوية ودالة، تعكس الدور الجوهري الذي تلعبه مبادرات التحول الصحي في تهيئة بيئة عمل نفسية مستدامة.</w:t>
      </w:r>
    </w:p>
    <w:p w14:paraId="3CFFD031"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ورفاهية الموظفين: بلغت قيمة الارتباط بينهما (0.744)، وهي علاقة طردية قوية، تؤكد أن التوجهات الاستراتيجية للتحول الصحي تنعكس إيجاباً على الرفاه العام للكوادر الصحية.</w:t>
      </w:r>
    </w:p>
    <w:p w14:paraId="3CE2AC5C"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الرفاهية والبيئة النفسية مع الاحتراق الوظيفي: لوحظ وجود علاقات ارتباطية عكسية دالة إحصائياً بين كل من رفاهية الموظفين والاحتراق الوظيفي (-0.527)، وبين بيئة العمل النفسية والاحتراق الوظيفي (-0.526). هذه القيم تشير بوضوح إلى أنه كلما ارتفعت مستويات الرفاهية وتحسنت بيئة العمل، انخفضت معدلات الاحتراق الوظيفي لدى الكوادر الطبية.</w:t>
      </w:r>
    </w:p>
    <w:p w14:paraId="5EFB26FA"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والاحتراق الوظيفي: سجلت هذه العلاقة معامل ارتباط قدره (-0.475)، وهي علاقة عكسية دالة إحصائياً، مما يثبت أن برامج التحول الصحي تساهم بشكل مباشر في الحد من مسببات الاحتراق الوظيفي.</w:t>
      </w:r>
    </w:p>
    <w:p w14:paraId="641331B0" w14:textId="77777777" w:rsidR="001D3D5D" w:rsidRPr="00B322FF" w:rsidRDefault="001D3D5D" w:rsidP="006C4CDD">
      <w:pPr>
        <w:pStyle w:val="ac"/>
        <w:numPr>
          <w:ilvl w:val="0"/>
          <w:numId w:val="13"/>
        </w:numPr>
        <w:bidi/>
        <w:jc w:val="both"/>
        <w:rPr>
          <w:rFonts w:ascii="Simplified Arabic" w:hAnsi="Simplified Arabic" w:cs="Simplified Arabic"/>
          <w:b/>
          <w:bCs/>
          <w:kern w:val="2"/>
          <w:sz w:val="32"/>
          <w:szCs w:val="32"/>
          <w:lang w:bidi="ar-YE"/>
          <w14:ligatures w14:val="standardContextual"/>
        </w:rPr>
      </w:pPr>
      <w:r w:rsidRPr="00B322FF">
        <w:rPr>
          <w:rFonts w:hint="cs"/>
          <w:sz w:val="28"/>
          <w:szCs w:val="28"/>
          <w:rtl/>
        </w:rPr>
        <w:lastRenderedPageBreak/>
        <w:t>​</w:t>
      </w:r>
      <w:r w:rsidRPr="00B322FF">
        <w:rPr>
          <w:rFonts w:ascii="Simplified Arabic" w:hAnsi="Simplified Arabic" w:cs="Simplified Arabic" w:hint="cs"/>
          <w:b/>
          <w:bCs/>
          <w:kern w:val="2"/>
          <w:sz w:val="32"/>
          <w:szCs w:val="32"/>
          <w:rtl/>
          <w:lang w:bidi="ar-YE"/>
          <w14:ligatures w14:val="standardContextual"/>
        </w:rPr>
        <w:t xml:space="preserve">تحليل الانحدار واختبار فرضيات الدراسة </w:t>
      </w:r>
    </w:p>
    <w:p w14:paraId="4F662A38" w14:textId="77777777" w:rsidR="001D3D5D" w:rsidRPr="00B322FF" w:rsidRDefault="001D3D5D" w:rsidP="00B527E5">
      <w:pPr>
        <w:pStyle w:val="ac"/>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sz w:val="28"/>
          <w:szCs w:val="28"/>
          <w:rtl/>
        </w:rPr>
        <w:t>أ</w:t>
      </w:r>
      <w:r w:rsidRPr="00B322FF">
        <w:rPr>
          <w:rFonts w:ascii="Cambria Math" w:hAnsi="Cambria Math" w:cs="Cambria Math" w:hint="cs"/>
          <w:b/>
          <w:bCs/>
          <w:sz w:val="28"/>
          <w:szCs w:val="28"/>
          <w:rtl/>
        </w:rPr>
        <w:t>‐</w:t>
      </w:r>
      <w:r w:rsidRPr="00B322FF">
        <w:rPr>
          <w:rFonts w:ascii="Simplified Arabic" w:hAnsi="Simplified Arabic" w:cs="Simplified Arabic" w:hint="cs"/>
          <w:b/>
          <w:bCs/>
          <w:sz w:val="28"/>
          <w:szCs w:val="28"/>
          <w:rtl/>
        </w:rPr>
        <w:t xml:space="preserve">  اختبار الفرضية الأولى </w:t>
      </w:r>
    </w:p>
    <w:p w14:paraId="1D6E74C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الأولى على أنه: </w:t>
      </w:r>
      <w:r w:rsidRPr="00B322FF">
        <w:rPr>
          <w:rFonts w:ascii="Simplified Arabic" w:hAnsi="Simplified Arabic" w:cs="Simplified Arabic" w:hint="cs"/>
          <w:b/>
          <w:bCs/>
          <w:sz w:val="28"/>
          <w:szCs w:val="28"/>
          <w:rtl/>
        </w:rPr>
        <w:t>يوجد أثر ذو دلالة إحصائية بين التحول الصحي وبيئة العمل النفسية المستدامة في القطاع الصحي الحكومي بمدينة الرياض</w:t>
      </w:r>
      <w:r w:rsidRPr="00B322FF">
        <w:rPr>
          <w:rFonts w:ascii="Simplified Arabic" w:hAnsi="Simplified Arabic" w:cs="Simplified Arabic" w:hint="cs"/>
          <w:sz w:val="28"/>
          <w:szCs w:val="28"/>
          <w:rtl/>
        </w:rPr>
        <w:t>.</w:t>
      </w:r>
    </w:p>
    <w:p w14:paraId="31837068"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لاختبار مدى صحة هذه الفرضية، تم استخدام تحليل الانحدار الخطي البسيط، حيث يمثل التحول الصحي المتغير المستقل، وتمثل بيئة العمل النفسية المستدامة المتغير التابع. يوضح الجدول التالي نتائج هذا التحليل:</w:t>
      </w:r>
    </w:p>
    <w:p w14:paraId="1A7C0566" w14:textId="6A4DBBBA"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476F90">
        <w:rPr>
          <w:rFonts w:ascii="Simplified Arabic" w:hAnsi="Simplified Arabic" w:cs="Simplified Arabic" w:hint="cs"/>
          <w:b/>
          <w:bCs/>
          <w:kern w:val="2"/>
          <w:rtl/>
          <w14:ligatures w14:val="standardContextual"/>
        </w:rPr>
        <w:t>٤-٤</w:t>
      </w:r>
      <w:r w:rsidRPr="00B322FF">
        <w:rPr>
          <w:rFonts w:ascii="Simplified Arabic" w:hAnsi="Simplified Arabic" w:cs="Simplified Arabic" w:hint="cs"/>
          <w:b/>
          <w:bCs/>
          <w:kern w:val="2"/>
          <w:rtl/>
          <w14:ligatures w14:val="standardContextual"/>
        </w:rPr>
        <w:t>): نتائج تحليل الانحدار لأثر التحول الصحي على بيئة العمل النفسية المستدامة</w:t>
      </w:r>
    </w:p>
    <w:tbl>
      <w:tblPr>
        <w:tblStyle w:val="af"/>
        <w:bidiVisual/>
        <w:tblW w:w="0" w:type="auto"/>
        <w:tblLook w:val="06A0" w:firstRow="1" w:lastRow="0" w:firstColumn="1" w:lastColumn="0" w:noHBand="1" w:noVBand="1"/>
      </w:tblPr>
      <w:tblGrid>
        <w:gridCol w:w="1329"/>
        <w:gridCol w:w="798"/>
        <w:gridCol w:w="798"/>
        <w:gridCol w:w="1050"/>
        <w:gridCol w:w="1695"/>
        <w:gridCol w:w="798"/>
        <w:gridCol w:w="924"/>
        <w:gridCol w:w="1624"/>
      </w:tblGrid>
      <w:tr w:rsidR="001D3D5D" w:rsidRPr="00B322FF" w14:paraId="43139EFE" w14:textId="77777777" w:rsidTr="00597597">
        <w:trPr>
          <w:trHeight w:val="270"/>
        </w:trPr>
        <w:tc>
          <w:tcPr>
            <w:tcW w:w="0" w:type="auto"/>
            <w:vAlign w:val="center"/>
            <w:hideMark/>
          </w:tcPr>
          <w:p w14:paraId="22E7D5B3"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 المستقل</w:t>
            </w:r>
          </w:p>
        </w:tc>
        <w:tc>
          <w:tcPr>
            <w:tcW w:w="0" w:type="auto"/>
            <w:vAlign w:val="center"/>
            <w:hideMark/>
          </w:tcPr>
          <w:p w14:paraId="32FDFDF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0" w:type="auto"/>
            <w:vAlign w:val="center"/>
            <w:hideMark/>
          </w:tcPr>
          <w:p w14:paraId="55056AB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0" w:type="auto"/>
            <w:vAlign w:val="center"/>
            <w:hideMark/>
          </w:tcPr>
          <w:p w14:paraId="4BDCA55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0" w:type="auto"/>
            <w:vAlign w:val="center"/>
            <w:hideMark/>
          </w:tcPr>
          <w:p w14:paraId="6AC085F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0" w:type="auto"/>
            <w:vAlign w:val="center"/>
            <w:hideMark/>
          </w:tcPr>
          <w:p w14:paraId="76DF98B6"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0" w:type="auto"/>
            <w:vAlign w:val="center"/>
            <w:hideMark/>
          </w:tcPr>
          <w:p w14:paraId="7AF26B5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0" w:type="auto"/>
            <w:vAlign w:val="center"/>
            <w:hideMark/>
          </w:tcPr>
          <w:p w14:paraId="410DA22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دلالة المعامل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79E93A7B" w14:textId="77777777" w:rsidTr="00597597">
        <w:trPr>
          <w:trHeight w:val="270"/>
        </w:trPr>
        <w:tc>
          <w:tcPr>
            <w:tcW w:w="0" w:type="auto"/>
            <w:vAlign w:val="center"/>
            <w:hideMark/>
          </w:tcPr>
          <w:p w14:paraId="62C75FC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0" w:type="auto"/>
            <w:vAlign w:val="center"/>
            <w:hideMark/>
          </w:tcPr>
          <w:p w14:paraId="15B1FF2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0" w:type="auto"/>
            <w:vAlign w:val="center"/>
            <w:hideMark/>
          </w:tcPr>
          <w:p w14:paraId="68974FC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0.643</w:t>
            </w:r>
          </w:p>
        </w:tc>
        <w:tc>
          <w:tcPr>
            <w:tcW w:w="0" w:type="auto"/>
            <w:vAlign w:val="center"/>
            <w:hideMark/>
          </w:tcPr>
          <w:p w14:paraId="0FDCEE8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688.933</w:t>
            </w:r>
          </w:p>
        </w:tc>
        <w:tc>
          <w:tcPr>
            <w:tcW w:w="0" w:type="auto"/>
            <w:vAlign w:val="center"/>
            <w:hideMark/>
          </w:tcPr>
          <w:p w14:paraId="29B8357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0" w:type="auto"/>
            <w:vAlign w:val="center"/>
            <w:hideMark/>
          </w:tcPr>
          <w:p w14:paraId="1AE90B4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0" w:type="auto"/>
            <w:vAlign w:val="center"/>
            <w:hideMark/>
          </w:tcPr>
          <w:p w14:paraId="79634B5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26.248</w:t>
            </w:r>
          </w:p>
        </w:tc>
        <w:tc>
          <w:tcPr>
            <w:tcW w:w="0" w:type="auto"/>
            <w:vAlign w:val="center"/>
            <w:hideMark/>
          </w:tcPr>
          <w:p w14:paraId="714EDFB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03757A25" w14:textId="64DEC585"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تشير النتائج الإحصائية الواردة في الجدول (٤</w:t>
      </w:r>
      <w:r w:rsidR="00476F90">
        <w:rPr>
          <w:rFonts w:ascii="Simplified Arabic" w:hAnsi="Simplified Arabic" w:cs="Simplified Arabic" w:hint="cs"/>
          <w:sz w:val="28"/>
          <w:szCs w:val="28"/>
          <w:rtl/>
        </w:rPr>
        <w:t>‐٤</w:t>
      </w:r>
      <w:r w:rsidRPr="00B322FF">
        <w:rPr>
          <w:rFonts w:ascii="Simplified Arabic" w:hAnsi="Simplified Arabic" w:cs="Simplified Arabic" w:hint="cs"/>
          <w:sz w:val="28"/>
          <w:szCs w:val="28"/>
          <w:rtl/>
        </w:rPr>
        <w:t>) إلى وجود أثر جوهري وذو دلالة إحصائية للمتغير المستقل في المتغير التابع، وتفصيل ذلك كما يلي:</w:t>
      </w:r>
    </w:p>
    <w:p w14:paraId="4CDBA1DA"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قوة النموذج التفسيرية: بلغت قيمة معامل التحديد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xml:space="preserve"> حوالي (0.643)، وهذا يعني أن متغير التحول الصحي يفسر ما نسبته (64.3%) من التباين الحاصل في بيئة العمل النفسية المستدامة، بينما تعزى النسبة المتبقية لعوامل أخرى خارج نطاق النموذج الحالي.</w:t>
      </w:r>
    </w:p>
    <w:p w14:paraId="20DCFBD1"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صلاحية النموذج: تؤكد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xml:space="preserve"> البالغة (688.933) بمستوى دلالة (0.000) الصلاحية العالية للنموذج من الناحية الإحصائية للتنبؤ بالعلاقة بين المتغيرين.</w:t>
      </w:r>
    </w:p>
    <w:p w14:paraId="58B54FAD"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معامل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أظهرت النتائج أن معامل الانحدار المعياري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بلغ (0.802)، وهو ارتباط طردي قوي وموجب عند مستوى دلالة (0.000)، مما يعني أنه كلما زاد الاهتمام بتطبيق برامج التحول الصحي بمقدار وحدة واحدة، أدى ذلك إلى تحسن في بيئة العمل النفسية المستدامة بمقدار (0.802). كما تعزز قيمة (</w:t>
      </w:r>
      <w:r w:rsidRPr="00B322FF">
        <w:rPr>
          <w:rFonts w:ascii="Simplified Arabic" w:eastAsia="Times New Roman" w:hAnsi="Simplified Arabic" w:cs="Simplified Arabic" w:hint="cs"/>
          <w:sz w:val="28"/>
          <w:szCs w:val="28"/>
        </w:rPr>
        <w:t>t</w:t>
      </w:r>
      <w:r w:rsidRPr="00B322FF">
        <w:rPr>
          <w:rFonts w:ascii="Simplified Arabic" w:eastAsia="Times New Roman" w:hAnsi="Simplified Arabic" w:cs="Simplified Arabic" w:hint="cs"/>
          <w:sz w:val="28"/>
          <w:szCs w:val="28"/>
          <w:rtl/>
        </w:rPr>
        <w:t>) البالغة (26.248) معنوية هذا الأثر.</w:t>
      </w:r>
    </w:p>
    <w:p w14:paraId="3EBE760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lastRenderedPageBreak/>
        <w:t>بناءً على ما تقدم من نتائج، وحيث إن مستوى الدلالة المعنوية (</w:t>
      </w:r>
      <w:r w:rsidRPr="00B322FF">
        <w:rPr>
          <w:rFonts w:ascii="Simplified Arabic" w:hAnsi="Simplified Arabic" w:cs="Simplified Arabic" w:hint="cs"/>
          <w:sz w:val="28"/>
          <w:szCs w:val="28"/>
        </w:rPr>
        <w:t>Sig = 0.000</w:t>
      </w:r>
      <w:r w:rsidRPr="00B322FF">
        <w:rPr>
          <w:rFonts w:ascii="Simplified Arabic" w:hAnsi="Simplified Arabic" w:cs="Simplified Arabic" w:hint="cs"/>
          <w:sz w:val="28"/>
          <w:szCs w:val="28"/>
          <w:rtl/>
        </w:rPr>
        <w:t>) هو أقل من مستوى الدلالة المعتمد (0.05): يتم قبول الفرضية الأولى، مما يؤكد وجود أثر إيجابي ذو دلالة إحصائية للتحول الصحي في تعزيز استدامة بيئة العمل النفسية في القطاع الصحي الحكومي بمدينة الرياض.</w:t>
      </w:r>
    </w:p>
    <w:p w14:paraId="2BC24CF3"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ب–  اختبار الفرضية الثانية:</w:t>
      </w:r>
    </w:p>
    <w:p w14:paraId="580EC36B"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الثانية على أنه: </w:t>
      </w:r>
      <w:r w:rsidRPr="00B322FF">
        <w:rPr>
          <w:rFonts w:ascii="Simplified Arabic" w:hAnsi="Simplified Arabic" w:cs="Simplified Arabic" w:hint="cs"/>
          <w:b/>
          <w:bCs/>
          <w:sz w:val="28"/>
          <w:szCs w:val="28"/>
          <w:rtl/>
        </w:rPr>
        <w:t>يوجد أثر ذو دلالة إحصائية بين التحول الصحي وتقليل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496BC21A"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لاختبار هذه الفرضية، تم إجراء تحليل الانحدار الخطي البسيط، حيث يمثل التحول الصحي المتغير المستقل، ويمثل الاحتراق الوظيفي المتغير التابع. يوضح الجدول التالي نتائج التحليل:</w:t>
      </w:r>
    </w:p>
    <w:p w14:paraId="46023E4E" w14:textId="45BD9274"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3E0DC4">
        <w:rPr>
          <w:rFonts w:ascii="Simplified Arabic" w:hAnsi="Simplified Arabic" w:cs="Simplified Arabic" w:hint="cs"/>
          <w:b/>
          <w:bCs/>
          <w:kern w:val="2"/>
          <w:rtl/>
          <w14:ligatures w14:val="standardContextual"/>
        </w:rPr>
        <w:t>٤-٥</w:t>
      </w:r>
      <w:r w:rsidRPr="00B322FF">
        <w:rPr>
          <w:rFonts w:ascii="Simplified Arabic" w:hAnsi="Simplified Arabic" w:cs="Simplified Arabic" w:hint="cs"/>
          <w:b/>
          <w:bCs/>
          <w:kern w:val="2"/>
          <w:rtl/>
          <w14:ligatures w14:val="standardContextual"/>
        </w:rPr>
        <w:t>): نتائج تحليل الانحدار لأثر التحول الصحي على الاحتراق الوظيفي</w:t>
      </w:r>
    </w:p>
    <w:tbl>
      <w:tblPr>
        <w:tblStyle w:val="af"/>
        <w:bidiVisual/>
        <w:tblW w:w="5000" w:type="pct"/>
        <w:tblLook w:val="06A0" w:firstRow="1" w:lastRow="0" w:firstColumn="1" w:lastColumn="0" w:noHBand="1" w:noVBand="1"/>
      </w:tblPr>
      <w:tblGrid>
        <w:gridCol w:w="1270"/>
        <w:gridCol w:w="919"/>
        <w:gridCol w:w="920"/>
        <w:gridCol w:w="1221"/>
        <w:gridCol w:w="1324"/>
        <w:gridCol w:w="952"/>
        <w:gridCol w:w="1104"/>
        <w:gridCol w:w="1306"/>
      </w:tblGrid>
      <w:tr w:rsidR="001D3D5D" w:rsidRPr="00B322FF" w14:paraId="0EA84374" w14:textId="77777777" w:rsidTr="00597597">
        <w:trPr>
          <w:trHeight w:val="270"/>
        </w:trPr>
        <w:tc>
          <w:tcPr>
            <w:tcW w:w="705" w:type="pct"/>
            <w:vAlign w:val="center"/>
            <w:hideMark/>
          </w:tcPr>
          <w:p w14:paraId="5F1D0E86"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 المستقل</w:t>
            </w:r>
          </w:p>
        </w:tc>
        <w:tc>
          <w:tcPr>
            <w:tcW w:w="510" w:type="pct"/>
            <w:vAlign w:val="center"/>
            <w:hideMark/>
          </w:tcPr>
          <w:p w14:paraId="78C322D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510" w:type="pct"/>
            <w:vAlign w:val="center"/>
            <w:hideMark/>
          </w:tcPr>
          <w:p w14:paraId="711D5F9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677" w:type="pct"/>
            <w:vAlign w:val="center"/>
            <w:hideMark/>
          </w:tcPr>
          <w:p w14:paraId="0EE9D01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734" w:type="pct"/>
            <w:vAlign w:val="center"/>
            <w:hideMark/>
          </w:tcPr>
          <w:p w14:paraId="3AE0FC4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528" w:type="pct"/>
            <w:vAlign w:val="center"/>
            <w:hideMark/>
          </w:tcPr>
          <w:p w14:paraId="643A847C"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612" w:type="pct"/>
            <w:vAlign w:val="center"/>
            <w:hideMark/>
          </w:tcPr>
          <w:p w14:paraId="33F9635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24" w:type="pct"/>
            <w:vAlign w:val="center"/>
            <w:hideMark/>
          </w:tcPr>
          <w:p w14:paraId="0164AF5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دلالة المعامل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4F26BED6" w14:textId="77777777" w:rsidTr="00597597">
        <w:trPr>
          <w:trHeight w:val="270"/>
        </w:trPr>
        <w:tc>
          <w:tcPr>
            <w:tcW w:w="705" w:type="pct"/>
            <w:vAlign w:val="center"/>
            <w:hideMark/>
          </w:tcPr>
          <w:p w14:paraId="6830634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510" w:type="pct"/>
            <w:vAlign w:val="center"/>
            <w:hideMark/>
          </w:tcPr>
          <w:p w14:paraId="235C76B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510" w:type="pct"/>
            <w:vAlign w:val="center"/>
            <w:hideMark/>
          </w:tcPr>
          <w:p w14:paraId="2D4402C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0.226</w:t>
            </w:r>
          </w:p>
        </w:tc>
        <w:tc>
          <w:tcPr>
            <w:tcW w:w="677" w:type="pct"/>
            <w:vAlign w:val="center"/>
            <w:hideMark/>
          </w:tcPr>
          <w:p w14:paraId="252B8F7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111.381</w:t>
            </w:r>
          </w:p>
        </w:tc>
        <w:tc>
          <w:tcPr>
            <w:tcW w:w="734" w:type="pct"/>
            <w:vAlign w:val="center"/>
            <w:hideMark/>
          </w:tcPr>
          <w:p w14:paraId="132CB0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528" w:type="pct"/>
            <w:vAlign w:val="center"/>
            <w:hideMark/>
          </w:tcPr>
          <w:p w14:paraId="34812B3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612" w:type="pct"/>
            <w:vAlign w:val="center"/>
            <w:hideMark/>
          </w:tcPr>
          <w:p w14:paraId="5A63BA3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-10.554</w:t>
            </w:r>
          </w:p>
        </w:tc>
        <w:tc>
          <w:tcPr>
            <w:tcW w:w="724" w:type="pct"/>
            <w:vAlign w:val="center"/>
            <w:hideMark/>
          </w:tcPr>
          <w:p w14:paraId="3EEAC22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1C73F6D4" w14:textId="0D326F9A"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من خلال استقراء النتائج الإحصائية الموضحة في الجدول (</w:t>
      </w:r>
      <w:r w:rsidR="008D0B8F">
        <w:rPr>
          <w:rFonts w:ascii="Simplified Arabic" w:hAnsi="Simplified Arabic" w:cs="Simplified Arabic" w:hint="cs"/>
          <w:sz w:val="28"/>
          <w:szCs w:val="28"/>
          <w:rtl/>
        </w:rPr>
        <w:t>٤-٥</w:t>
      </w:r>
      <w:r w:rsidRPr="00B322FF">
        <w:rPr>
          <w:rFonts w:ascii="Simplified Arabic" w:hAnsi="Simplified Arabic" w:cs="Simplified Arabic" w:hint="cs"/>
          <w:sz w:val="28"/>
          <w:szCs w:val="28"/>
          <w:rtl/>
        </w:rPr>
        <w:t>)، يمكن استخلاص الآتي:</w:t>
      </w:r>
    </w:p>
    <w:p w14:paraId="27D0E9C0"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القوة التفسيرية للنموذج: بلغت قيمة معامل التحديد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حوالي (0.226)، وهذا يشير إلى أن برامج ومبادرات التحول الصحي تساهم في تفسير ما نسبته (22.6%) من التباين (التغير) في مستوى الاحتراق الوظيفي لدى الكوادر الصحية، بينما تعود النسبة المتبقية لعوامل أخرى لم يتناولها النموذج الحالي.</w:t>
      </w:r>
    </w:p>
    <w:p w14:paraId="14A43036"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صلاحية النموذج: سجلت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المحسوبة (111.381) عند مستوى دلالة (0.000)، مما يؤكد كفاءة النموذج من الناحية الإحصائية وقدرته على قياس أثر المتغير المستقل في المتغير التابع.</w:t>
      </w:r>
    </w:p>
    <w:p w14:paraId="79DA49B3"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معامل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أظهرت النتائج أن معامل الانحدار المعياري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قد بلغ (-0.475)، وهي قيمة ذات دلالة إحصائية عند مستوى (0.000). نلاحظ هنا أن إشارة المعامل سالبة، وهو ما يتفق تماماً مع منطق الفرضية؛ حيث يعني ذلك وجود علاقة عكسية دالة إحصائياً؛ أي أن كل زيادة في تطبيق برامج التحول الصحي يصاحبها انخفاض ملموس في مستويات الاحتراق الوظيفي لدى الموظفين بمقدار (0.475). وتعزز قيمة (</w:t>
      </w:r>
      <w:r w:rsidRPr="00B322FF">
        <w:rPr>
          <w:rFonts w:ascii="Simplified Arabic" w:eastAsia="Times New Roman" w:hAnsi="Simplified Arabic" w:cs="Simplified Arabic" w:hint="cs"/>
          <w:sz w:val="28"/>
          <w:szCs w:val="28"/>
        </w:rPr>
        <w:t>t</w:t>
      </w:r>
      <w:r w:rsidRPr="00B322FF">
        <w:rPr>
          <w:rFonts w:ascii="Simplified Arabic" w:eastAsia="Times New Roman" w:hAnsi="Simplified Arabic" w:cs="Simplified Arabic" w:hint="cs"/>
          <w:sz w:val="28"/>
          <w:szCs w:val="28"/>
          <w:rtl/>
        </w:rPr>
        <w:t>) البالغة (-10.554) هذه المعنوية العالية للأثر.</w:t>
      </w:r>
    </w:p>
    <w:p w14:paraId="464A602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lastRenderedPageBreak/>
        <w:t>​</w:t>
      </w:r>
      <w:r w:rsidRPr="00B322FF">
        <w:rPr>
          <w:rFonts w:ascii="Simplified Arabic" w:hAnsi="Simplified Arabic" w:cs="Simplified Arabic" w:hint="cs"/>
          <w:sz w:val="28"/>
          <w:szCs w:val="28"/>
          <w:rtl/>
        </w:rPr>
        <w:t>في ضوء النتائج السابقة، وحيث إن مستوى الدلالة المعنوية (</w:t>
      </w:r>
      <w:r w:rsidRPr="00B322FF">
        <w:rPr>
          <w:rFonts w:ascii="Simplified Arabic" w:hAnsi="Simplified Arabic" w:cs="Simplified Arabic" w:hint="cs"/>
          <w:sz w:val="28"/>
          <w:szCs w:val="28"/>
        </w:rPr>
        <w:t>Sig = 0.000</w:t>
      </w:r>
      <w:r w:rsidRPr="00B322FF">
        <w:rPr>
          <w:rFonts w:ascii="Simplified Arabic" w:hAnsi="Simplified Arabic" w:cs="Simplified Arabic" w:hint="cs"/>
          <w:sz w:val="28"/>
          <w:szCs w:val="28"/>
          <w:rtl/>
        </w:rPr>
        <w:t>) أقل من مستوى الدلالة المعتمد (0.05): يتم قبول الفرضية الثانية، وهو ما يثبت علمياً أن التحول الصحي في المملكة العربية السعودية يلعب دوراً جوهرياً في تقليل حدة الاحتراق الوظيفي لدى العاملين في القطاع الصحي الحكومي بمدينة الرياض.</w:t>
      </w:r>
    </w:p>
    <w:p w14:paraId="2E585379"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 xml:space="preserve">جـ–  اختبار الفرضية الثالثة: </w:t>
      </w:r>
    </w:p>
    <w:p w14:paraId="0D871A7B"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الثالثة على أنه: </w:t>
      </w:r>
      <w:r w:rsidRPr="00B322FF">
        <w:rPr>
          <w:rFonts w:ascii="Simplified Arabic" w:hAnsi="Simplified Arabic" w:cs="Simplified Arabic" w:hint="cs"/>
          <w:b/>
          <w:bCs/>
          <w:sz w:val="28"/>
          <w:szCs w:val="28"/>
          <w:rtl/>
        </w:rPr>
        <w:t>توجد علاقة ارتباطية إيجابية بين التحول الصحي ورفاهية الموظفين في 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0A6A694A" w14:textId="76E21DD3"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لاختبار هذه الفرضية، تم استخدام تحليل الانحدار الخطي المتعدد للكشف عن القدرة التنبؤية لكل من (التحول الصحي، ورفاهية الموظفين) مجتمعين كمتغيرات مستقلة في التنبؤ بالمتغير التابع (الاحتراق الوظيفي). يوضح الجدول التالي النتائج المستخلصة:</w:t>
      </w:r>
    </w:p>
    <w:p w14:paraId="2F55F940" w14:textId="1FFBD305"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1C385C">
        <w:rPr>
          <w:rFonts w:ascii="Simplified Arabic" w:hAnsi="Simplified Arabic" w:cs="Simplified Arabic" w:hint="cs"/>
          <w:b/>
          <w:bCs/>
          <w:kern w:val="2"/>
          <w:rtl/>
          <w14:ligatures w14:val="standardContextual"/>
        </w:rPr>
        <w:t>٤-٦</w:t>
      </w:r>
      <w:r w:rsidRPr="00B322FF">
        <w:rPr>
          <w:rFonts w:ascii="Simplified Arabic" w:hAnsi="Simplified Arabic" w:cs="Simplified Arabic" w:hint="cs"/>
          <w:b/>
          <w:bCs/>
          <w:kern w:val="2"/>
          <w:rtl/>
          <w14:ligatures w14:val="standardContextual"/>
        </w:rPr>
        <w:t>): نتائج تحليل الانحدار المتعدد لأثر التحول الصحي ورفاهية الموظفين في تقليل الاحتراق الوظيفي</w:t>
      </w:r>
    </w:p>
    <w:tbl>
      <w:tblPr>
        <w:tblStyle w:val="af"/>
        <w:bidiVisual/>
        <w:tblW w:w="5000" w:type="pct"/>
        <w:tblLook w:val="04A0" w:firstRow="1" w:lastRow="0" w:firstColumn="1" w:lastColumn="0" w:noHBand="0" w:noVBand="1"/>
      </w:tblPr>
      <w:tblGrid>
        <w:gridCol w:w="1379"/>
        <w:gridCol w:w="942"/>
        <w:gridCol w:w="942"/>
        <w:gridCol w:w="1263"/>
        <w:gridCol w:w="1278"/>
        <w:gridCol w:w="948"/>
        <w:gridCol w:w="948"/>
        <w:gridCol w:w="1316"/>
      </w:tblGrid>
      <w:tr w:rsidR="001D3D5D" w:rsidRPr="00B322FF" w14:paraId="187C435B" w14:textId="77777777" w:rsidTr="00597597">
        <w:trPr>
          <w:trHeight w:val="270"/>
        </w:trPr>
        <w:tc>
          <w:tcPr>
            <w:tcW w:w="764" w:type="pct"/>
            <w:vAlign w:val="center"/>
            <w:hideMark/>
          </w:tcPr>
          <w:p w14:paraId="1047DD07"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المتغيرات المستقلة</w:t>
            </w:r>
          </w:p>
        </w:tc>
        <w:tc>
          <w:tcPr>
            <w:tcW w:w="522" w:type="pct"/>
            <w:vAlign w:val="center"/>
            <w:hideMark/>
          </w:tcPr>
          <w:p w14:paraId="2FF701A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522" w:type="pct"/>
            <w:vAlign w:val="center"/>
            <w:hideMark/>
          </w:tcPr>
          <w:p w14:paraId="3208232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700" w:type="pct"/>
            <w:vAlign w:val="center"/>
            <w:hideMark/>
          </w:tcPr>
          <w:p w14:paraId="7D39C98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709" w:type="pct"/>
            <w:vAlign w:val="center"/>
            <w:hideMark/>
          </w:tcPr>
          <w:p w14:paraId="2CF49CD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526" w:type="pct"/>
            <w:vAlign w:val="center"/>
            <w:hideMark/>
          </w:tcPr>
          <w:p w14:paraId="3F313C9E"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526" w:type="pct"/>
            <w:vAlign w:val="center"/>
            <w:hideMark/>
          </w:tcPr>
          <w:p w14:paraId="5EEF5DC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30" w:type="pct"/>
            <w:vAlign w:val="center"/>
            <w:hideMark/>
          </w:tcPr>
          <w:p w14:paraId="1FEE6A9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5A7E9BE7" w14:textId="77777777" w:rsidTr="00597597">
        <w:trPr>
          <w:trHeight w:val="270"/>
        </w:trPr>
        <w:tc>
          <w:tcPr>
            <w:tcW w:w="764" w:type="pct"/>
            <w:vAlign w:val="center"/>
            <w:hideMark/>
          </w:tcPr>
          <w:p w14:paraId="7230B06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522" w:type="pct"/>
            <w:vMerge w:val="restart"/>
            <w:vAlign w:val="center"/>
            <w:hideMark/>
          </w:tcPr>
          <w:p w14:paraId="50EB6D87" w14:textId="77777777" w:rsidR="001D3D5D" w:rsidRPr="00B322FF" w:rsidRDefault="001D3D5D" w:rsidP="00B527E5">
            <w:pPr>
              <w:bidi w:val="0"/>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0.589</w:t>
            </w:r>
          </w:p>
        </w:tc>
        <w:tc>
          <w:tcPr>
            <w:tcW w:w="522" w:type="pct"/>
            <w:vMerge w:val="restart"/>
            <w:vAlign w:val="center"/>
            <w:hideMark/>
          </w:tcPr>
          <w:p w14:paraId="72D5AA48"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0.347</w:t>
            </w:r>
          </w:p>
        </w:tc>
        <w:tc>
          <w:tcPr>
            <w:tcW w:w="700" w:type="pct"/>
            <w:vMerge w:val="restart"/>
            <w:vAlign w:val="center"/>
            <w:hideMark/>
          </w:tcPr>
          <w:p w14:paraId="09F28EFC"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101.127</w:t>
            </w:r>
          </w:p>
        </w:tc>
        <w:tc>
          <w:tcPr>
            <w:tcW w:w="709" w:type="pct"/>
            <w:vMerge w:val="restart"/>
            <w:vAlign w:val="center"/>
            <w:hideMark/>
          </w:tcPr>
          <w:p w14:paraId="39641291"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0</w:t>
            </w:r>
          </w:p>
        </w:tc>
        <w:tc>
          <w:tcPr>
            <w:tcW w:w="526" w:type="pct"/>
            <w:vAlign w:val="center"/>
            <w:hideMark/>
          </w:tcPr>
          <w:p w14:paraId="4F292748"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-0.155</w:t>
            </w:r>
          </w:p>
        </w:tc>
        <w:tc>
          <w:tcPr>
            <w:tcW w:w="526" w:type="pct"/>
            <w:vAlign w:val="center"/>
            <w:hideMark/>
          </w:tcPr>
          <w:p w14:paraId="78D4D0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-2.656</w:t>
            </w:r>
          </w:p>
        </w:tc>
        <w:tc>
          <w:tcPr>
            <w:tcW w:w="730" w:type="pct"/>
            <w:vAlign w:val="center"/>
            <w:hideMark/>
          </w:tcPr>
          <w:p w14:paraId="174F5BB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r>
      <w:tr w:rsidR="001D3D5D" w:rsidRPr="00B322FF" w14:paraId="3D47158D" w14:textId="77777777" w:rsidTr="00597597">
        <w:trPr>
          <w:trHeight w:val="270"/>
        </w:trPr>
        <w:tc>
          <w:tcPr>
            <w:tcW w:w="764" w:type="pct"/>
            <w:vAlign w:val="center"/>
            <w:hideMark/>
          </w:tcPr>
          <w:p w14:paraId="462FC2A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522" w:type="pct"/>
            <w:vMerge/>
            <w:vAlign w:val="center"/>
            <w:hideMark/>
          </w:tcPr>
          <w:p w14:paraId="314AB943" w14:textId="77777777" w:rsidR="001D3D5D" w:rsidRPr="00B322FF" w:rsidRDefault="001D3D5D" w:rsidP="00B527E5">
            <w:pPr>
              <w:jc w:val="center"/>
              <w:rPr>
                <w:rFonts w:ascii="Simplified Arabic" w:eastAsia="Times New Roman" w:hAnsi="Simplified Arabic" w:cs="Simplified Arabic"/>
              </w:rPr>
            </w:pPr>
          </w:p>
        </w:tc>
        <w:tc>
          <w:tcPr>
            <w:tcW w:w="522" w:type="pct"/>
            <w:vMerge/>
            <w:vAlign w:val="center"/>
            <w:hideMark/>
          </w:tcPr>
          <w:p w14:paraId="1AB21536" w14:textId="77777777" w:rsidR="001D3D5D" w:rsidRPr="00B322FF" w:rsidRDefault="001D3D5D" w:rsidP="00B527E5">
            <w:pPr>
              <w:jc w:val="center"/>
              <w:rPr>
                <w:rFonts w:ascii="Simplified Arabic" w:eastAsia="Times New Roman" w:hAnsi="Simplified Arabic" w:cs="Simplified Arabic"/>
              </w:rPr>
            </w:pPr>
          </w:p>
        </w:tc>
        <w:tc>
          <w:tcPr>
            <w:tcW w:w="700" w:type="pct"/>
            <w:vMerge/>
            <w:vAlign w:val="center"/>
            <w:hideMark/>
          </w:tcPr>
          <w:p w14:paraId="3CE4723D" w14:textId="77777777" w:rsidR="001D3D5D" w:rsidRPr="00B322FF" w:rsidRDefault="001D3D5D" w:rsidP="00B527E5">
            <w:pPr>
              <w:jc w:val="center"/>
              <w:rPr>
                <w:rFonts w:ascii="Simplified Arabic" w:eastAsia="Times New Roman" w:hAnsi="Simplified Arabic" w:cs="Simplified Arabic"/>
              </w:rPr>
            </w:pPr>
          </w:p>
        </w:tc>
        <w:tc>
          <w:tcPr>
            <w:tcW w:w="709" w:type="pct"/>
            <w:vMerge/>
            <w:vAlign w:val="center"/>
            <w:hideMark/>
          </w:tcPr>
          <w:p w14:paraId="22FF5BCA" w14:textId="77777777" w:rsidR="001D3D5D" w:rsidRPr="00B322FF" w:rsidRDefault="001D3D5D" w:rsidP="00B527E5">
            <w:pPr>
              <w:jc w:val="center"/>
              <w:rPr>
                <w:rFonts w:ascii="Simplified Arabic" w:eastAsia="Times New Roman" w:hAnsi="Simplified Arabic" w:cs="Simplified Arabic"/>
              </w:rPr>
            </w:pPr>
          </w:p>
        </w:tc>
        <w:tc>
          <w:tcPr>
            <w:tcW w:w="526" w:type="pct"/>
            <w:vAlign w:val="center"/>
            <w:hideMark/>
          </w:tcPr>
          <w:p w14:paraId="39710EC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-0.412</w:t>
            </w:r>
          </w:p>
        </w:tc>
        <w:tc>
          <w:tcPr>
            <w:tcW w:w="526" w:type="pct"/>
            <w:vAlign w:val="center"/>
            <w:hideMark/>
          </w:tcPr>
          <w:p w14:paraId="414FC8B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-7.067</w:t>
            </w:r>
          </w:p>
        </w:tc>
        <w:tc>
          <w:tcPr>
            <w:tcW w:w="730" w:type="pct"/>
            <w:vAlign w:val="center"/>
            <w:hideMark/>
          </w:tcPr>
          <w:p w14:paraId="2CD3328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6B12A341" w14:textId="7B66D306"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من خلال استقراء النتائج الإحصائية الموضحة في الجدول (</w:t>
      </w:r>
      <w:r w:rsidR="001C385C">
        <w:rPr>
          <w:rFonts w:ascii="Simplified Arabic" w:hAnsi="Simplified Arabic" w:cs="Simplified Arabic" w:hint="cs"/>
          <w:sz w:val="28"/>
          <w:szCs w:val="28"/>
          <w:rtl/>
        </w:rPr>
        <w:t>٤-٦</w:t>
      </w:r>
      <w:r w:rsidRPr="00B322FF">
        <w:rPr>
          <w:rFonts w:ascii="Simplified Arabic" w:hAnsi="Simplified Arabic" w:cs="Simplified Arabic" w:hint="cs"/>
          <w:sz w:val="28"/>
          <w:szCs w:val="28"/>
          <w:rtl/>
        </w:rPr>
        <w:t>)، نصل إلى الاستنتاجات التالية:</w:t>
      </w:r>
    </w:p>
    <w:p w14:paraId="450DD712"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القوة التفسيرية المشتركة: بلغت قيمة معامل التحديد الإجمالي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حوالي (0.347)، وهذا يعني أن كلاً من التحول الصحي ورفاهية الموظفين يفسران معاً ما نسبته (34.7%) من التغيرات الحاصلة في مستوى الاحتراق الوظيفي. وهي نسبة تفسيرية أعلى مما كان يحققه كل متغير بمفرده، مما يؤكد أهمية تكامل هذين العنصرين.</w:t>
      </w:r>
    </w:p>
    <w:p w14:paraId="3F009AF1"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صلاحية النموذج: أكدت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xml:space="preserve"> البالغة (101.127) وبمستوى دلالة (0.000) أن النموذج صالح إحصائياً وبقوة للتنبؤ بأثر المتغيرين المستقلين في المتغير التابع.</w:t>
      </w:r>
    </w:p>
    <w:p w14:paraId="1544DB62"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تحليل معاملات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أظهر متغير رفاهية الموظفين تأثيراً عكسياً قوياً ودالاً إحصائياً (</w:t>
      </w:r>
      <w:r w:rsidRPr="00B322FF">
        <w:rPr>
          <w:rFonts w:ascii="Cambria" w:eastAsia="Times New Roman" w:hAnsi="Cambria" w:cs="Cambria"/>
          <w:sz w:val="28"/>
          <w:szCs w:val="28"/>
          <w:lang w:bidi="ar-YE"/>
        </w:rPr>
        <w:t>β</w:t>
      </w:r>
      <w:r w:rsidRPr="00B322FF">
        <w:rPr>
          <w:rFonts w:ascii="Simplified Arabic" w:eastAsia="Times New Roman" w:hAnsi="Simplified Arabic" w:cs="Simplified Arabic" w:hint="cs"/>
          <w:sz w:val="28"/>
          <w:szCs w:val="28"/>
        </w:rPr>
        <w:t xml:space="preserve"> = -0.412</w:t>
      </w:r>
      <w:r w:rsidRPr="00B322FF">
        <w:rPr>
          <w:rFonts w:ascii="Simplified Arabic" w:eastAsia="Times New Roman" w:hAnsi="Simplified Arabic" w:cs="Simplified Arabic" w:hint="cs"/>
          <w:sz w:val="28"/>
          <w:szCs w:val="28"/>
          <w:rtl/>
        </w:rPr>
        <w:t>) عند مستوى دلالة (0.000)، مما يجعله المساهم الأكبر في تقليل الاحتراق الوظيفي. حيث سجل متغير التحول الصحي تأثيراً عكسياً دالاً إحصائياً (</w:t>
      </w:r>
      <w:r w:rsidRPr="00B322FF">
        <w:rPr>
          <w:rFonts w:ascii="Cambria" w:eastAsia="Times New Roman" w:hAnsi="Cambria" w:cs="Cambria"/>
          <w:sz w:val="28"/>
          <w:szCs w:val="28"/>
          <w:lang w:bidi="ar-YE"/>
        </w:rPr>
        <w:t>β</w:t>
      </w:r>
      <w:r w:rsidRPr="00B322FF">
        <w:rPr>
          <w:rFonts w:ascii="Simplified Arabic" w:eastAsia="Times New Roman" w:hAnsi="Simplified Arabic" w:cs="Simplified Arabic" w:hint="cs"/>
          <w:sz w:val="28"/>
          <w:szCs w:val="28"/>
        </w:rPr>
        <w:t xml:space="preserve"> = -0.155</w:t>
      </w:r>
      <w:r w:rsidRPr="00B322FF">
        <w:rPr>
          <w:rFonts w:ascii="Simplified Arabic" w:eastAsia="Times New Roman" w:hAnsi="Simplified Arabic" w:cs="Simplified Arabic" w:hint="cs"/>
          <w:sz w:val="28"/>
          <w:szCs w:val="28"/>
          <w:rtl/>
        </w:rPr>
        <w:t xml:space="preserve">) عند مستوى دلالة </w:t>
      </w:r>
      <w:r w:rsidRPr="00B322FF">
        <w:rPr>
          <w:rFonts w:ascii="Simplified Arabic" w:eastAsia="Times New Roman" w:hAnsi="Simplified Arabic" w:cs="Simplified Arabic" w:hint="cs"/>
          <w:sz w:val="28"/>
          <w:szCs w:val="28"/>
          <w:rtl/>
        </w:rPr>
        <w:lastRenderedPageBreak/>
        <w:t xml:space="preserve">(0.008)، مما يعني أنه يساهم أيضاً في خفض الاحتراق الوظيفي حتى بوجود متغير الرفاهية. ونلاحظ أن إشارات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سالبة، وهي تشير إلى تقليل الاحتراق، وهو ما يتسق مع جوهر الفرضية.</w:t>
      </w:r>
    </w:p>
    <w:p w14:paraId="3B8954A3" w14:textId="5B9F2C6D"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بناءً على المعطيات السابقة، وحيث إن مستوى الدلالة للنموذج ككل وللمتغيرات بشكل فردي أقل من مستوى الدلالة المعتمد (0.05): يتم قبول الفرضية الثالثة ، مما يثبت وجود علاقة معنوية وتكاملية بين التحول الصحي ورفاهية الموظفين تصب في مصلحة تقليل الاحتراق الوظيفي في القطاع المستهدف.</w:t>
      </w:r>
    </w:p>
    <w:p w14:paraId="1E80C36A"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 xml:space="preserve">د– اختبار الفرضية الرابعة: </w:t>
      </w:r>
    </w:p>
    <w:p w14:paraId="4CD576F3"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نصت الفرضية الرابعة على أنه: </w:t>
      </w:r>
      <w:r w:rsidRPr="00B322FF">
        <w:rPr>
          <w:rFonts w:ascii="Simplified Arabic" w:hAnsi="Simplified Arabic" w:cs="Simplified Arabic" w:hint="cs"/>
          <w:b/>
          <w:bCs/>
          <w:sz w:val="28"/>
          <w:szCs w:val="28"/>
          <w:rtl/>
        </w:rPr>
        <w:t>يوجد علاقة ذات دلالة معنوية بين التحول الصحي ورفاهية الموظفين يسهم في 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34412005"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تعد هذه الفرضية من الفرضيات المتقدمة التي تختبر الدور الوسيط لرفاهية الموظفين في العلاقة بين التحول الصحي (كمتغير مستقل) والاحتراق الوظيفي (كمتغير تابع). ولإثبات هذا الدور، تم فحص المسارات الإحصائية الأربعة التالية:</w:t>
      </w:r>
    </w:p>
    <w:p w14:paraId="41762E31" w14:textId="32D7D359"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1C385C">
        <w:rPr>
          <w:rFonts w:ascii="Simplified Arabic" w:hAnsi="Simplified Arabic" w:cs="Simplified Arabic" w:hint="cs"/>
          <w:b/>
          <w:bCs/>
          <w:kern w:val="2"/>
          <w:rtl/>
          <w14:ligatures w14:val="standardContextual"/>
        </w:rPr>
        <w:t>٤-٧</w:t>
      </w:r>
      <w:r w:rsidRPr="00B322FF">
        <w:rPr>
          <w:rFonts w:ascii="Simplified Arabic" w:hAnsi="Simplified Arabic" w:cs="Simplified Arabic" w:hint="cs"/>
          <w:b/>
          <w:bCs/>
          <w:kern w:val="2"/>
          <w:rtl/>
          <w14:ligatures w14:val="standardContextual"/>
        </w:rPr>
        <w:t>): ملخص نتائج المسارات الإحصائية لاختبار الدور الوسيط لرفاهية الموظفين</w:t>
      </w:r>
    </w:p>
    <w:tbl>
      <w:tblPr>
        <w:tblStyle w:val="af"/>
        <w:bidiVisual/>
        <w:tblW w:w="5000" w:type="pct"/>
        <w:tblLook w:val="04A0" w:firstRow="1" w:lastRow="0" w:firstColumn="1" w:lastColumn="0" w:noHBand="0" w:noVBand="1"/>
      </w:tblPr>
      <w:tblGrid>
        <w:gridCol w:w="999"/>
        <w:gridCol w:w="3141"/>
        <w:gridCol w:w="956"/>
        <w:gridCol w:w="1107"/>
        <w:gridCol w:w="1405"/>
        <w:gridCol w:w="1408"/>
      </w:tblGrid>
      <w:tr w:rsidR="001D3D5D" w:rsidRPr="00B322FF" w14:paraId="141246D3" w14:textId="77777777" w:rsidTr="00597597">
        <w:trPr>
          <w:trHeight w:val="270"/>
        </w:trPr>
        <w:tc>
          <w:tcPr>
            <w:tcW w:w="554" w:type="pct"/>
            <w:vAlign w:val="center"/>
            <w:hideMark/>
          </w:tcPr>
          <w:p w14:paraId="6DD6E77D"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المسار</w:t>
            </w:r>
          </w:p>
        </w:tc>
        <w:tc>
          <w:tcPr>
            <w:tcW w:w="1742" w:type="pct"/>
            <w:vAlign w:val="center"/>
            <w:hideMark/>
          </w:tcPr>
          <w:p w14:paraId="687B908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العلاقة المختبرة</w:t>
            </w:r>
          </w:p>
        </w:tc>
        <w:tc>
          <w:tcPr>
            <w:tcW w:w="530" w:type="pct"/>
            <w:vAlign w:val="center"/>
            <w:hideMark/>
          </w:tcPr>
          <w:p w14:paraId="6763ACDB"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614" w:type="pct"/>
            <w:vAlign w:val="center"/>
            <w:hideMark/>
          </w:tcPr>
          <w:p w14:paraId="75EB416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79" w:type="pct"/>
            <w:vAlign w:val="center"/>
            <w:hideMark/>
          </w:tcPr>
          <w:p w14:paraId="5D38B8D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781" w:type="pct"/>
            <w:vAlign w:val="center"/>
            <w:hideMark/>
          </w:tcPr>
          <w:p w14:paraId="6418521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 الإحصائية</w:t>
            </w:r>
          </w:p>
        </w:tc>
      </w:tr>
      <w:tr w:rsidR="001D3D5D" w:rsidRPr="00B322FF" w14:paraId="7A02D099" w14:textId="77777777" w:rsidTr="00597597">
        <w:trPr>
          <w:trHeight w:val="270"/>
        </w:trPr>
        <w:tc>
          <w:tcPr>
            <w:tcW w:w="554" w:type="pct"/>
            <w:vAlign w:val="center"/>
            <w:hideMark/>
          </w:tcPr>
          <w:p w14:paraId="1C33D9E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(أ)</w:t>
            </w:r>
          </w:p>
        </w:tc>
        <w:tc>
          <w:tcPr>
            <w:tcW w:w="1742" w:type="pct"/>
            <w:vAlign w:val="center"/>
            <w:hideMark/>
          </w:tcPr>
          <w:p w14:paraId="0C3B572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رفاهية الموظفين</w:t>
            </w:r>
          </w:p>
        </w:tc>
        <w:tc>
          <w:tcPr>
            <w:tcW w:w="530" w:type="pct"/>
            <w:vAlign w:val="center"/>
            <w:hideMark/>
          </w:tcPr>
          <w:p w14:paraId="5B8C0E2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0.744</w:t>
            </w:r>
          </w:p>
        </w:tc>
        <w:tc>
          <w:tcPr>
            <w:tcW w:w="614" w:type="pct"/>
            <w:vAlign w:val="center"/>
            <w:hideMark/>
          </w:tcPr>
          <w:p w14:paraId="27088A0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21.744</w:t>
            </w:r>
          </w:p>
        </w:tc>
        <w:tc>
          <w:tcPr>
            <w:tcW w:w="779" w:type="pct"/>
            <w:vAlign w:val="center"/>
            <w:hideMark/>
          </w:tcPr>
          <w:p w14:paraId="0DA2D79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3B34F75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63295E8E" w14:textId="77777777" w:rsidTr="00597597">
        <w:trPr>
          <w:trHeight w:val="270"/>
        </w:trPr>
        <w:tc>
          <w:tcPr>
            <w:tcW w:w="554" w:type="pct"/>
            <w:vAlign w:val="center"/>
            <w:hideMark/>
          </w:tcPr>
          <w:p w14:paraId="59097CA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(ب)</w:t>
            </w:r>
          </w:p>
        </w:tc>
        <w:tc>
          <w:tcPr>
            <w:tcW w:w="1742" w:type="pct"/>
            <w:vAlign w:val="center"/>
            <w:hideMark/>
          </w:tcPr>
          <w:p w14:paraId="5C003BA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رفاهية الموظفين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w:t>
            </w:r>
          </w:p>
        </w:tc>
        <w:tc>
          <w:tcPr>
            <w:tcW w:w="530" w:type="pct"/>
            <w:vAlign w:val="center"/>
            <w:hideMark/>
          </w:tcPr>
          <w:p w14:paraId="0FFC805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614" w:type="pct"/>
            <w:vAlign w:val="center"/>
            <w:hideMark/>
          </w:tcPr>
          <w:p w14:paraId="64D4057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-12.146</w:t>
            </w:r>
          </w:p>
        </w:tc>
        <w:tc>
          <w:tcPr>
            <w:tcW w:w="779" w:type="pct"/>
            <w:vAlign w:val="center"/>
            <w:hideMark/>
          </w:tcPr>
          <w:p w14:paraId="34E3404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0D2518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56522CC3" w14:textId="77777777" w:rsidTr="00597597">
        <w:trPr>
          <w:trHeight w:val="525"/>
        </w:trPr>
        <w:tc>
          <w:tcPr>
            <w:tcW w:w="554" w:type="pct"/>
            <w:vAlign w:val="center"/>
            <w:hideMark/>
          </w:tcPr>
          <w:p w14:paraId="451D640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(ج)</w:t>
            </w:r>
          </w:p>
        </w:tc>
        <w:tc>
          <w:tcPr>
            <w:tcW w:w="1742" w:type="pct"/>
            <w:vAlign w:val="center"/>
            <w:hideMark/>
          </w:tcPr>
          <w:p w14:paraId="139400D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 (الأثر الكلي)</w:t>
            </w:r>
          </w:p>
        </w:tc>
        <w:tc>
          <w:tcPr>
            <w:tcW w:w="530" w:type="pct"/>
            <w:vAlign w:val="center"/>
            <w:hideMark/>
          </w:tcPr>
          <w:p w14:paraId="2FF21CB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614" w:type="pct"/>
            <w:vAlign w:val="center"/>
            <w:hideMark/>
          </w:tcPr>
          <w:p w14:paraId="7643762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-10.554</w:t>
            </w:r>
          </w:p>
        </w:tc>
        <w:tc>
          <w:tcPr>
            <w:tcW w:w="779" w:type="pct"/>
            <w:vAlign w:val="center"/>
            <w:hideMark/>
          </w:tcPr>
          <w:p w14:paraId="1519D8A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1B98F74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2BA248E1" w14:textId="77777777" w:rsidTr="00597597">
        <w:trPr>
          <w:trHeight w:val="525"/>
        </w:trPr>
        <w:tc>
          <w:tcPr>
            <w:tcW w:w="554" w:type="pct"/>
            <w:vAlign w:val="center"/>
            <w:hideMark/>
          </w:tcPr>
          <w:p w14:paraId="298C1ED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(ج')</w:t>
            </w:r>
          </w:p>
        </w:tc>
        <w:tc>
          <w:tcPr>
            <w:tcW w:w="1742" w:type="pct"/>
            <w:vAlign w:val="center"/>
            <w:hideMark/>
          </w:tcPr>
          <w:p w14:paraId="7F88DEF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 (الأثر المباشر بوجود الوسيط)</w:t>
            </w:r>
          </w:p>
        </w:tc>
        <w:tc>
          <w:tcPr>
            <w:tcW w:w="530" w:type="pct"/>
            <w:vAlign w:val="center"/>
            <w:hideMark/>
          </w:tcPr>
          <w:p w14:paraId="40DDE1E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-0.155</w:t>
            </w:r>
          </w:p>
        </w:tc>
        <w:tc>
          <w:tcPr>
            <w:tcW w:w="614" w:type="pct"/>
            <w:vAlign w:val="center"/>
            <w:hideMark/>
          </w:tcPr>
          <w:p w14:paraId="1B2F20E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-2.656</w:t>
            </w:r>
          </w:p>
        </w:tc>
        <w:tc>
          <w:tcPr>
            <w:tcW w:w="779" w:type="pct"/>
            <w:vAlign w:val="center"/>
            <w:hideMark/>
          </w:tcPr>
          <w:p w14:paraId="7A0CE45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c>
          <w:tcPr>
            <w:tcW w:w="781" w:type="pct"/>
            <w:vAlign w:val="center"/>
            <w:hideMark/>
          </w:tcPr>
          <w:p w14:paraId="5BA031C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bl>
    <w:p w14:paraId="0BD2B250" w14:textId="77777777" w:rsidR="001D3D5D" w:rsidRPr="00B322FF" w:rsidRDefault="001D3D5D" w:rsidP="00B527E5">
      <w:pPr>
        <w:spacing w:line="240" w:lineRule="auto"/>
        <w:jc w:val="both"/>
        <w:rPr>
          <w:rFonts w:ascii="Simplified Arabic" w:hAnsi="Simplified Arabic" w:cs="Simplified Arabic"/>
          <w:sz w:val="28"/>
          <w:szCs w:val="28"/>
          <w:rtl/>
          <w:lang w:bidi="ar-YE"/>
        </w:rPr>
      </w:pPr>
    </w:p>
    <w:p w14:paraId="2D0F60FC" w14:textId="2B9DFC14"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في الجدول (</w:t>
      </w:r>
      <w:r w:rsidR="00AC2A5C">
        <w:rPr>
          <w:rFonts w:ascii="Simplified Arabic" w:hAnsi="Simplified Arabic" w:cs="Simplified Arabic" w:hint="cs"/>
          <w:sz w:val="28"/>
          <w:szCs w:val="28"/>
          <w:rtl/>
        </w:rPr>
        <w:t>٤-٧</w:t>
      </w:r>
      <w:r w:rsidRPr="00B322FF">
        <w:rPr>
          <w:rFonts w:ascii="Simplified Arabic" w:hAnsi="Simplified Arabic" w:cs="Simplified Arabic" w:hint="cs"/>
          <w:sz w:val="28"/>
          <w:szCs w:val="28"/>
          <w:rtl/>
        </w:rPr>
        <w:t>) أنه من خلال فحص المسارات السابقة، يتبين تحقق شروط الوساطة وفق القواعد الإحصائية التالية:</w:t>
      </w:r>
    </w:p>
    <w:p w14:paraId="420866AF"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تحقق المسار (أ): أظهرت النتائج أن التحول الصحي يؤثر إيجاباً وبقوة في رفاهية الموظفين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Pr>
        <w:t xml:space="preserve"> = 0.744, Sig = 0.000</w:t>
      </w:r>
      <w:r w:rsidRPr="00B322FF">
        <w:rPr>
          <w:rFonts w:ascii="Simplified Arabic" w:eastAsia="Times New Roman" w:hAnsi="Simplified Arabic" w:cs="Simplified Arabic" w:hint="cs"/>
          <w:sz w:val="28"/>
          <w:szCs w:val="28"/>
          <w:rtl/>
        </w:rPr>
        <w:t>)، مما يعني أن التحول يمثل بيئة خصبة لتعزيز الرفاهية.</w:t>
      </w:r>
    </w:p>
    <w:p w14:paraId="575817D2"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تحقق المسار (ب): أظهرت النتائج أن رفاهية الموظفين تؤثر سلباً (عكسياً) في الاحتراق الوظيفي، مما يعني أنها تساهم في تقليله.</w:t>
      </w:r>
    </w:p>
    <w:p w14:paraId="6996C1BB"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تحقق المسار (ج): ثبت وجود أثر كلي دال للتحول الصحي في تقليل الاحتراق الوظيفي قبل إدخال المتغير الوسيط.</w:t>
      </w:r>
    </w:p>
    <w:p w14:paraId="57931918"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تحليل المسار (ج') والوساطة الجزئية: نلاحظ عند إدخال رفاهية الموظفين كمتغير وسيط في النموذج، أن قيمة التأثير المباشر للتحول الصحي على الاحتراق الوظيفي قد انخفضت من (-0.475) لتصل إلى (-0.155)، ومع ذلك ظلت دالة إحصائياً (</w:t>
      </w:r>
      <w:r w:rsidRPr="00B322FF">
        <w:rPr>
          <w:rFonts w:ascii="Simplified Arabic" w:eastAsia="Times New Roman" w:hAnsi="Simplified Arabic" w:cs="Simplified Arabic" w:hint="cs"/>
          <w:sz w:val="28"/>
          <w:szCs w:val="28"/>
        </w:rPr>
        <w:t>Sig = 0.008</w:t>
      </w:r>
      <w:r w:rsidRPr="00B322FF">
        <w:rPr>
          <w:rFonts w:ascii="Simplified Arabic" w:eastAsia="Times New Roman" w:hAnsi="Simplified Arabic" w:cs="Simplified Arabic" w:hint="cs"/>
          <w:sz w:val="28"/>
          <w:szCs w:val="28"/>
          <w:rtl/>
        </w:rPr>
        <w:t>).</w:t>
      </w:r>
    </w:p>
    <w:p w14:paraId="413698B7"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بما أن الأثر المباشر للمتغير المستقل على التابع ظل دالاً إحصائياً ولكنه تناقص بشكل كبير بعد دخول المتغير الوسيط، فإن ذلك يشير إحصائياً إلى وجود وساطة جزئية.</w:t>
      </w:r>
    </w:p>
    <w:p w14:paraId="668D8D01"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وبناءً عليه: يتم قبول الفرضية الرابعة، مما يعني أن رفاهية الموظفين تلعب دور الوسيط في نقل جزء كبير من التحول الصحي لتقليل الاحتراق الوظيفي؛ أي أن برامج التحول لا تكتفي بتقليل الاحتراق مباشرة، بل تقوم بذلك بشكل أكثر فاعلية من خلال تحسين رفاهية الكوادر الصحية أولاً.</w:t>
      </w:r>
    </w:p>
    <w:p w14:paraId="5F67481D" w14:textId="77777777" w:rsidR="001D3D5D" w:rsidRPr="000C5D98" w:rsidRDefault="001D3D5D" w:rsidP="000C5D98">
      <w:pPr>
        <w:pStyle w:val="2"/>
        <w:rPr>
          <w:b w:val="0"/>
          <w:bCs/>
          <w:sz w:val="28"/>
          <w:szCs w:val="28"/>
          <w:lang w:bidi="ar-YE"/>
        </w:rPr>
      </w:pPr>
      <w:bookmarkStart w:id="49" w:name="_Toc234084457"/>
      <w:r w:rsidRPr="000C5D98">
        <w:rPr>
          <w:rFonts w:hint="cs"/>
          <w:b w:val="0"/>
          <w:bCs/>
          <w:rtl/>
          <w:lang w:bidi="ar-YE"/>
        </w:rPr>
        <w:t>ثالثاً: تحليل الفروق للإجابة على التساؤل الخامس للدراسة</w:t>
      </w:r>
      <w:bookmarkEnd w:id="49"/>
    </w:p>
    <w:p w14:paraId="184657D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يستكمل هذا الجزء من الفصل التحليلي عرض مخرجات الدراسة الميدانية للإجابة على التساؤل الخامس والذي ينص على: </w:t>
      </w:r>
      <w:r w:rsidRPr="00B322FF">
        <w:rPr>
          <w:rFonts w:ascii="Simplified Arabic" w:hAnsi="Simplified Arabic" w:cs="Simplified Arabic" w:hint="cs"/>
          <w:b/>
          <w:bCs/>
          <w:sz w:val="28"/>
          <w:szCs w:val="28"/>
          <w:rtl/>
        </w:rPr>
        <w:t>هل تختلف طبيعة الدور الوسيط لرفاهية الموظفين في العلاقة بين التحول الصحي وبيئة العمل النفسية المستدامة وتقليل الاحتراق الوظيفي باختلاف الخصائص الديموغرافية (الجنس، العمر، سنوات الخبرة، المسمى الوظيفي، الدخل، الحالة الاجتماعية)؟.</w:t>
      </w:r>
    </w:p>
    <w:p w14:paraId="5DA42AF1"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وللإجابة على هذا التساؤل، تم إجراء اختبارات الفروق الجوهرية لتحديد ما إذا كانت هذه الخصائص تؤدي إلى تباين ذي دلالة إحصائية في إدراك المبحوثين للتحول الصحي، وبيئة العمل، والرفاهية، ومستوى الاحتراق الوظيفي، وذلك على النحو التالي:</w:t>
      </w:r>
    </w:p>
    <w:p w14:paraId="7E1051F6"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الجنس</w:t>
      </w:r>
    </w:p>
    <w:p w14:paraId="4F3E565E" w14:textId="04782658"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الذكور والإناث، تم استخدام اختبار (</w:t>
      </w:r>
      <w:r w:rsidRPr="00B322FF">
        <w:rPr>
          <w:rFonts w:ascii="Simplified Arabic" w:hAnsi="Simplified Arabic" w:cs="Simplified Arabic" w:hint="cs"/>
          <w:sz w:val="28"/>
          <w:szCs w:val="28"/>
        </w:rPr>
        <w:t>t</w:t>
      </w:r>
      <w:r w:rsidRPr="00B322FF">
        <w:rPr>
          <w:rFonts w:ascii="Simplified Arabic" w:hAnsi="Simplified Arabic" w:cs="Simplified Arabic" w:hint="cs"/>
          <w:sz w:val="28"/>
          <w:szCs w:val="28"/>
          <w:rtl/>
        </w:rPr>
        <w:t>) للعينات المستقلة. يوضح الجدول التالي مخرجات هذا الاختبار للمحاور الأربعة الرئيسية:</w:t>
      </w:r>
    </w:p>
    <w:p w14:paraId="25843FE6" w14:textId="7CC84C38" w:rsidR="001D3D5D" w:rsidRPr="00B322FF" w:rsidRDefault="001D3D5D" w:rsidP="00B527E5">
      <w:pPr>
        <w:pStyle w:val="ac"/>
        <w:bidi/>
        <w:jc w:val="center"/>
        <w:rPr>
          <w:rFonts w:ascii="Simplified Arabic" w:hAnsi="Simplified Arabic" w:cs="Simplified Arabic"/>
          <w:rtl/>
        </w:rPr>
      </w:pPr>
      <w:r w:rsidRPr="00B322FF">
        <w:rPr>
          <w:rFonts w:hint="cs"/>
          <w:sz w:val="28"/>
          <w:szCs w:val="28"/>
          <w:rtl/>
        </w:rPr>
        <w:lastRenderedPageBreak/>
        <w:t>​</w:t>
      </w:r>
      <w:r w:rsidRPr="00B322FF">
        <w:rPr>
          <w:rFonts w:ascii="Simplified Arabic" w:hAnsi="Simplified Arabic" w:cs="Simplified Arabic" w:hint="cs"/>
          <w:b/>
          <w:bCs/>
          <w:rtl/>
        </w:rPr>
        <w:t>جدول (</w:t>
      </w:r>
      <w:r w:rsidR="00AC2A5C">
        <w:rPr>
          <w:rFonts w:ascii="Simplified Arabic" w:hAnsi="Simplified Arabic" w:cs="Simplified Arabic" w:hint="cs"/>
          <w:b/>
          <w:bCs/>
          <w:rtl/>
        </w:rPr>
        <w:t>٤-٨</w:t>
      </w:r>
      <w:r w:rsidRPr="00B322FF">
        <w:rPr>
          <w:rFonts w:ascii="Simplified Arabic" w:hAnsi="Simplified Arabic" w:cs="Simplified Arabic" w:hint="cs"/>
          <w:b/>
          <w:bCs/>
          <w:rtl/>
        </w:rPr>
        <w:t>): نتائج اختبار (</w:t>
      </w:r>
      <w:r w:rsidRPr="00B322FF">
        <w:rPr>
          <w:rFonts w:ascii="Simplified Arabic" w:hAnsi="Simplified Arabic" w:cs="Simplified Arabic" w:hint="cs"/>
          <w:b/>
          <w:bCs/>
        </w:rPr>
        <w:t>t</w:t>
      </w:r>
      <w:r w:rsidRPr="00B322FF">
        <w:rPr>
          <w:rFonts w:ascii="Simplified Arabic" w:hAnsi="Simplified Arabic" w:cs="Simplified Arabic" w:hint="cs"/>
          <w:b/>
          <w:bCs/>
          <w:rtl/>
        </w:rPr>
        <w:t>) للفروق بين متوسطات استجابات المبحوثين وفقاً لمتغير الجنس</w:t>
      </w:r>
    </w:p>
    <w:tbl>
      <w:tblPr>
        <w:tblStyle w:val="af"/>
        <w:bidiVisual/>
        <w:tblW w:w="5000" w:type="pct"/>
        <w:tblLook w:val="04A0" w:firstRow="1" w:lastRow="0" w:firstColumn="1" w:lastColumn="0" w:noHBand="0" w:noVBand="1"/>
      </w:tblPr>
      <w:tblGrid>
        <w:gridCol w:w="1445"/>
        <w:gridCol w:w="751"/>
        <w:gridCol w:w="612"/>
        <w:gridCol w:w="1401"/>
        <w:gridCol w:w="1471"/>
        <w:gridCol w:w="864"/>
        <w:gridCol w:w="1626"/>
        <w:gridCol w:w="846"/>
      </w:tblGrid>
      <w:tr w:rsidR="001D3D5D" w:rsidRPr="00B322FF" w14:paraId="41C9E6D6" w14:textId="77777777" w:rsidTr="00597597">
        <w:trPr>
          <w:trHeight w:val="330"/>
        </w:trPr>
        <w:tc>
          <w:tcPr>
            <w:tcW w:w="801" w:type="pct"/>
            <w:vAlign w:val="center"/>
            <w:hideMark/>
          </w:tcPr>
          <w:p w14:paraId="5D9415AC"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416" w:type="pct"/>
            <w:vAlign w:val="center"/>
            <w:hideMark/>
          </w:tcPr>
          <w:p w14:paraId="15104D6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الجنس</w:t>
            </w:r>
          </w:p>
        </w:tc>
        <w:tc>
          <w:tcPr>
            <w:tcW w:w="339" w:type="pct"/>
            <w:vAlign w:val="center"/>
            <w:hideMark/>
          </w:tcPr>
          <w:p w14:paraId="2D75AA0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العدد</w:t>
            </w:r>
          </w:p>
        </w:tc>
        <w:tc>
          <w:tcPr>
            <w:tcW w:w="777" w:type="pct"/>
            <w:vAlign w:val="center"/>
            <w:hideMark/>
          </w:tcPr>
          <w:p w14:paraId="1607B67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المتوسط الحسابي</w:t>
            </w:r>
          </w:p>
        </w:tc>
        <w:tc>
          <w:tcPr>
            <w:tcW w:w="816" w:type="pct"/>
            <w:vAlign w:val="center"/>
            <w:hideMark/>
          </w:tcPr>
          <w:p w14:paraId="40EECAD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الانحراف المعياري</w:t>
            </w:r>
          </w:p>
        </w:tc>
        <w:tc>
          <w:tcPr>
            <w:tcW w:w="479" w:type="pct"/>
            <w:vAlign w:val="center"/>
            <w:hideMark/>
          </w:tcPr>
          <w:p w14:paraId="23E97AD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قيمة (</w:t>
            </w:r>
            <w:r w:rsidRPr="00B322FF">
              <w:rPr>
                <w:rFonts w:ascii="Simplified Arabic" w:eastAsia="Times New Roman" w:hAnsi="Simplified Arabic" w:cs="Simplified Arabic" w:hint="cs"/>
                <w:b/>
                <w:bCs/>
              </w:rPr>
              <w:t>t</w:t>
            </w:r>
            <w:r w:rsidRPr="00B322FF">
              <w:rPr>
                <w:rFonts w:ascii="Simplified Arabic" w:eastAsia="Times New Roman" w:hAnsi="Simplified Arabic" w:cs="Simplified Arabic" w:hint="cs"/>
                <w:b/>
                <w:bCs/>
                <w:rtl/>
              </w:rPr>
              <w:t>)</w:t>
            </w:r>
          </w:p>
        </w:tc>
        <w:tc>
          <w:tcPr>
            <w:tcW w:w="902" w:type="pct"/>
            <w:vAlign w:val="center"/>
            <w:hideMark/>
          </w:tcPr>
          <w:p w14:paraId="4F1B76C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69" w:type="pct"/>
            <w:vAlign w:val="center"/>
            <w:hideMark/>
          </w:tcPr>
          <w:p w14:paraId="6BA8B23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1F2463C6" w14:textId="77777777" w:rsidTr="00597597">
        <w:trPr>
          <w:trHeight w:val="330"/>
        </w:trPr>
        <w:tc>
          <w:tcPr>
            <w:tcW w:w="801" w:type="pct"/>
            <w:vMerge w:val="restart"/>
            <w:vAlign w:val="center"/>
            <w:hideMark/>
          </w:tcPr>
          <w:p w14:paraId="79A9672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416" w:type="pct"/>
            <w:vAlign w:val="center"/>
            <w:hideMark/>
          </w:tcPr>
          <w:p w14:paraId="72E6FA9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222942C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23F2F1B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3.68</w:t>
            </w:r>
          </w:p>
        </w:tc>
        <w:tc>
          <w:tcPr>
            <w:tcW w:w="816" w:type="pct"/>
            <w:vAlign w:val="center"/>
            <w:hideMark/>
          </w:tcPr>
          <w:p w14:paraId="3A2F6F7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0.81</w:t>
            </w:r>
          </w:p>
        </w:tc>
        <w:tc>
          <w:tcPr>
            <w:tcW w:w="479" w:type="pct"/>
            <w:vAlign w:val="center"/>
            <w:hideMark/>
          </w:tcPr>
          <w:p w14:paraId="48D30ED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2.042</w:t>
            </w:r>
          </w:p>
        </w:tc>
        <w:tc>
          <w:tcPr>
            <w:tcW w:w="902" w:type="pct"/>
            <w:vAlign w:val="center"/>
            <w:hideMark/>
          </w:tcPr>
          <w:p w14:paraId="63EDA20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0.042</w:t>
            </w:r>
          </w:p>
        </w:tc>
        <w:tc>
          <w:tcPr>
            <w:tcW w:w="469" w:type="pct"/>
            <w:vMerge w:val="restart"/>
            <w:vAlign w:val="center"/>
            <w:hideMark/>
          </w:tcPr>
          <w:p w14:paraId="2E6CCD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20C96411" w14:textId="77777777" w:rsidTr="00597597">
        <w:trPr>
          <w:trHeight w:val="330"/>
        </w:trPr>
        <w:tc>
          <w:tcPr>
            <w:tcW w:w="801" w:type="pct"/>
            <w:vMerge/>
            <w:vAlign w:val="center"/>
            <w:hideMark/>
          </w:tcPr>
          <w:p w14:paraId="52146DA2"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74BEBD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547366A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6A354A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3.51</w:t>
            </w:r>
          </w:p>
        </w:tc>
        <w:tc>
          <w:tcPr>
            <w:tcW w:w="816" w:type="pct"/>
            <w:vAlign w:val="center"/>
            <w:hideMark/>
          </w:tcPr>
          <w:p w14:paraId="197A5DD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0.84</w:t>
            </w:r>
          </w:p>
        </w:tc>
        <w:tc>
          <w:tcPr>
            <w:tcW w:w="479" w:type="pct"/>
            <w:vAlign w:val="center"/>
            <w:hideMark/>
          </w:tcPr>
          <w:p w14:paraId="066FC22D"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0878F87D"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23E19978"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7CB35076" w14:textId="77777777" w:rsidTr="00597597">
        <w:trPr>
          <w:trHeight w:val="330"/>
        </w:trPr>
        <w:tc>
          <w:tcPr>
            <w:tcW w:w="801" w:type="pct"/>
            <w:vMerge w:val="restart"/>
            <w:vAlign w:val="center"/>
            <w:hideMark/>
          </w:tcPr>
          <w:p w14:paraId="6910A0FD"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416" w:type="pct"/>
            <w:vAlign w:val="center"/>
            <w:hideMark/>
          </w:tcPr>
          <w:p w14:paraId="3DFCE85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2A6966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288F59F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3.42</w:t>
            </w:r>
          </w:p>
        </w:tc>
        <w:tc>
          <w:tcPr>
            <w:tcW w:w="816" w:type="pct"/>
            <w:vAlign w:val="center"/>
            <w:hideMark/>
          </w:tcPr>
          <w:p w14:paraId="1E7ACAB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0.87</w:t>
            </w:r>
          </w:p>
        </w:tc>
        <w:tc>
          <w:tcPr>
            <w:tcW w:w="479" w:type="pct"/>
            <w:vAlign w:val="center"/>
            <w:hideMark/>
          </w:tcPr>
          <w:p w14:paraId="67BFCFF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1.146</w:t>
            </w:r>
          </w:p>
        </w:tc>
        <w:tc>
          <w:tcPr>
            <w:tcW w:w="902" w:type="pct"/>
            <w:vAlign w:val="center"/>
            <w:hideMark/>
          </w:tcPr>
          <w:p w14:paraId="4499BF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0.253</w:t>
            </w:r>
          </w:p>
        </w:tc>
        <w:tc>
          <w:tcPr>
            <w:tcW w:w="469" w:type="pct"/>
            <w:vMerge w:val="restart"/>
            <w:vAlign w:val="center"/>
            <w:hideMark/>
          </w:tcPr>
          <w:p w14:paraId="59430F6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3BCB5544" w14:textId="77777777" w:rsidTr="00597597">
        <w:trPr>
          <w:trHeight w:val="330"/>
        </w:trPr>
        <w:tc>
          <w:tcPr>
            <w:tcW w:w="801" w:type="pct"/>
            <w:vMerge/>
            <w:vAlign w:val="center"/>
            <w:hideMark/>
          </w:tcPr>
          <w:p w14:paraId="0622C1D8"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7E73426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26C829F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67FE9E7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3.31</w:t>
            </w:r>
          </w:p>
        </w:tc>
        <w:tc>
          <w:tcPr>
            <w:tcW w:w="816" w:type="pct"/>
            <w:vAlign w:val="center"/>
            <w:hideMark/>
          </w:tcPr>
          <w:p w14:paraId="2E11AB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0.91</w:t>
            </w:r>
          </w:p>
        </w:tc>
        <w:tc>
          <w:tcPr>
            <w:tcW w:w="479" w:type="pct"/>
            <w:vAlign w:val="center"/>
            <w:hideMark/>
          </w:tcPr>
          <w:p w14:paraId="76DBBC34"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66D016B7"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5804660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54E720C8" w14:textId="77777777" w:rsidTr="00597597">
        <w:trPr>
          <w:trHeight w:val="330"/>
        </w:trPr>
        <w:tc>
          <w:tcPr>
            <w:tcW w:w="801" w:type="pct"/>
            <w:vMerge w:val="restart"/>
            <w:vAlign w:val="center"/>
            <w:hideMark/>
          </w:tcPr>
          <w:p w14:paraId="0292DE0F"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416" w:type="pct"/>
            <w:vAlign w:val="center"/>
            <w:hideMark/>
          </w:tcPr>
          <w:p w14:paraId="575D9C7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3D47A7B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00F91F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3.48</w:t>
            </w:r>
          </w:p>
        </w:tc>
        <w:tc>
          <w:tcPr>
            <w:tcW w:w="816" w:type="pct"/>
            <w:vAlign w:val="center"/>
            <w:hideMark/>
          </w:tcPr>
          <w:p w14:paraId="7046920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0.85</w:t>
            </w:r>
          </w:p>
        </w:tc>
        <w:tc>
          <w:tcPr>
            <w:tcW w:w="479" w:type="pct"/>
            <w:vAlign w:val="center"/>
            <w:hideMark/>
          </w:tcPr>
          <w:p w14:paraId="5E5E09F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0.767</w:t>
            </w:r>
          </w:p>
        </w:tc>
        <w:tc>
          <w:tcPr>
            <w:tcW w:w="902" w:type="pct"/>
            <w:vAlign w:val="center"/>
            <w:hideMark/>
          </w:tcPr>
          <w:p w14:paraId="58B116B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0.443</w:t>
            </w:r>
          </w:p>
        </w:tc>
        <w:tc>
          <w:tcPr>
            <w:tcW w:w="469" w:type="pct"/>
            <w:vMerge w:val="restart"/>
            <w:vAlign w:val="center"/>
            <w:hideMark/>
          </w:tcPr>
          <w:p w14:paraId="1CC1E12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3C231E9B" w14:textId="77777777" w:rsidTr="00597597">
        <w:trPr>
          <w:trHeight w:val="330"/>
        </w:trPr>
        <w:tc>
          <w:tcPr>
            <w:tcW w:w="801" w:type="pct"/>
            <w:vMerge/>
            <w:vAlign w:val="center"/>
            <w:hideMark/>
          </w:tcPr>
          <w:p w14:paraId="41E1786A"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01D559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70DAE2F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1841701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3.41</w:t>
            </w:r>
          </w:p>
        </w:tc>
        <w:tc>
          <w:tcPr>
            <w:tcW w:w="816" w:type="pct"/>
            <w:vAlign w:val="center"/>
            <w:hideMark/>
          </w:tcPr>
          <w:p w14:paraId="21766E8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0.82</w:t>
            </w:r>
          </w:p>
        </w:tc>
        <w:tc>
          <w:tcPr>
            <w:tcW w:w="479" w:type="pct"/>
            <w:vAlign w:val="center"/>
            <w:hideMark/>
          </w:tcPr>
          <w:p w14:paraId="577B567C"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31B1AF49"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089E4E01"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74FE0D33" w14:textId="77777777" w:rsidTr="00597597">
        <w:trPr>
          <w:trHeight w:val="330"/>
        </w:trPr>
        <w:tc>
          <w:tcPr>
            <w:tcW w:w="801" w:type="pct"/>
            <w:vMerge w:val="restart"/>
            <w:vAlign w:val="center"/>
            <w:hideMark/>
          </w:tcPr>
          <w:p w14:paraId="2A59FA86"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416" w:type="pct"/>
            <w:vAlign w:val="center"/>
            <w:hideMark/>
          </w:tcPr>
          <w:p w14:paraId="58ECB4D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0BE2142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7B2C5F5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2.87</w:t>
            </w:r>
          </w:p>
        </w:tc>
        <w:tc>
          <w:tcPr>
            <w:tcW w:w="816" w:type="pct"/>
            <w:vAlign w:val="center"/>
            <w:hideMark/>
          </w:tcPr>
          <w:p w14:paraId="705306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479" w:type="pct"/>
            <w:vAlign w:val="center"/>
            <w:hideMark/>
          </w:tcPr>
          <w:p w14:paraId="3C2FC0B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-1.29</w:t>
            </w:r>
          </w:p>
        </w:tc>
        <w:tc>
          <w:tcPr>
            <w:tcW w:w="902" w:type="pct"/>
            <w:vAlign w:val="center"/>
            <w:hideMark/>
          </w:tcPr>
          <w:p w14:paraId="0F0116C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0.198</w:t>
            </w:r>
          </w:p>
        </w:tc>
        <w:tc>
          <w:tcPr>
            <w:tcW w:w="469" w:type="pct"/>
            <w:vMerge w:val="restart"/>
            <w:vAlign w:val="center"/>
            <w:hideMark/>
          </w:tcPr>
          <w:p w14:paraId="37D4AD0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D209501" w14:textId="77777777" w:rsidTr="00597597">
        <w:trPr>
          <w:trHeight w:val="330"/>
        </w:trPr>
        <w:tc>
          <w:tcPr>
            <w:tcW w:w="801" w:type="pct"/>
            <w:vMerge/>
            <w:vAlign w:val="center"/>
            <w:hideMark/>
          </w:tcPr>
          <w:p w14:paraId="514D57CF"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1F2E8A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5790865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5E7E683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816" w:type="pct"/>
            <w:vAlign w:val="center"/>
            <w:hideMark/>
          </w:tcPr>
          <w:p w14:paraId="32719B3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w:t>
            </w:r>
          </w:p>
        </w:tc>
        <w:tc>
          <w:tcPr>
            <w:tcW w:w="479" w:type="pct"/>
            <w:vAlign w:val="center"/>
            <w:hideMark/>
          </w:tcPr>
          <w:p w14:paraId="4B5C6984"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3348D34E"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0BDF35D3" w14:textId="77777777" w:rsidR="001D3D5D" w:rsidRPr="00B322FF" w:rsidRDefault="001D3D5D" w:rsidP="00B527E5">
            <w:pPr>
              <w:jc w:val="center"/>
              <w:rPr>
                <w:rFonts w:ascii="Simplified Arabic" w:eastAsia="Times New Roman" w:hAnsi="Simplified Arabic" w:cs="Simplified Arabic"/>
              </w:rPr>
            </w:pPr>
          </w:p>
        </w:tc>
      </w:tr>
    </w:tbl>
    <w:p w14:paraId="3601076E" w14:textId="6B481459"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AC2A5C">
        <w:rPr>
          <w:rFonts w:ascii="Simplified Arabic" w:hAnsi="Simplified Arabic" w:cs="Simplified Arabic" w:hint="cs"/>
          <w:sz w:val="28"/>
          <w:szCs w:val="28"/>
          <w:rtl/>
        </w:rPr>
        <w:t>٤-٨</w:t>
      </w:r>
      <w:r w:rsidRPr="00B322FF">
        <w:rPr>
          <w:rFonts w:ascii="Simplified Arabic" w:hAnsi="Simplified Arabic" w:cs="Simplified Arabic" w:hint="cs"/>
          <w:sz w:val="28"/>
          <w:szCs w:val="28"/>
          <w:rtl/>
        </w:rPr>
        <w:t xml:space="preserve">) ما يلي: </w:t>
      </w:r>
    </w:p>
    <w:p w14:paraId="6086C60D"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التحول الصحي: تبين وجود فروق ذات دلالة إحصائية بين متوسطات استجابات المبحوثين، حيث بلغت قيمة مستوى الدلالة (0.042)، وهي أقل من (0.05). وتميل هذه الفروق لصالح الإناث بمتوسط (3.68) مقابل (3.51) للذكور، مما يشير إلى أن الموظفات يدركن أثر برامج التحول الصحي بإيجابية أعلى نسبياً من زملائهن الذكور.</w:t>
      </w:r>
    </w:p>
    <w:p w14:paraId="2D68B851"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بيئة العمل النفسية المستدامة: أظهرت النتائج عدم وجود فروق دالة إحصائياً (</w:t>
      </w:r>
      <w:r w:rsidRPr="00B322FF">
        <w:rPr>
          <w:rFonts w:ascii="Simplified Arabic" w:eastAsia="Times New Roman" w:hAnsi="Simplified Arabic" w:cs="Simplified Arabic" w:hint="cs"/>
          <w:sz w:val="28"/>
          <w:szCs w:val="28"/>
        </w:rPr>
        <w:t>Sig = 0.253</w:t>
      </w:r>
      <w:r w:rsidRPr="00B322FF">
        <w:rPr>
          <w:rFonts w:ascii="Simplified Arabic" w:eastAsia="Times New Roman" w:hAnsi="Simplified Arabic" w:cs="Simplified Arabic" w:hint="cs"/>
          <w:sz w:val="28"/>
          <w:szCs w:val="28"/>
          <w:rtl/>
        </w:rPr>
        <w:t>)، مما يشير إلى تقارب وجهات نظر الجنسين تجاه جودة واستدامة بيئة العمل النفسية.</w:t>
      </w:r>
    </w:p>
    <w:p w14:paraId="2573BBDE"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رفاهية الموظفين: لم تسجل النتائج أي فروق جوهرية (</w:t>
      </w:r>
      <w:r w:rsidRPr="00B322FF">
        <w:rPr>
          <w:rFonts w:ascii="Simplified Arabic" w:eastAsia="Times New Roman" w:hAnsi="Simplified Arabic" w:cs="Simplified Arabic" w:hint="cs"/>
          <w:sz w:val="28"/>
          <w:szCs w:val="28"/>
        </w:rPr>
        <w:t>Sig = 0.443</w:t>
      </w:r>
      <w:r w:rsidRPr="00B322FF">
        <w:rPr>
          <w:rFonts w:ascii="Simplified Arabic" w:eastAsia="Times New Roman" w:hAnsi="Simplified Arabic" w:cs="Simplified Arabic" w:hint="cs"/>
          <w:sz w:val="28"/>
          <w:szCs w:val="28"/>
          <w:rtl/>
        </w:rPr>
        <w:t>)، مما يعكس تشابهاً في مستوى الرفاه المدرك بين الموظفين والموظفات.</w:t>
      </w:r>
    </w:p>
    <w:p w14:paraId="63FAEF37"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الاحتراق الوظيفي: كشفت النتائج عن عدم وجود فروق دالة إحصائياً (</w:t>
      </w:r>
      <w:r w:rsidRPr="00B322FF">
        <w:rPr>
          <w:rFonts w:ascii="Simplified Arabic" w:eastAsia="Times New Roman" w:hAnsi="Simplified Arabic" w:cs="Simplified Arabic" w:hint="cs"/>
          <w:sz w:val="28"/>
          <w:szCs w:val="28"/>
        </w:rPr>
        <w:t>Sig = 0.198</w:t>
      </w:r>
      <w:r w:rsidRPr="00B322FF">
        <w:rPr>
          <w:rFonts w:ascii="Simplified Arabic" w:eastAsia="Times New Roman" w:hAnsi="Simplified Arabic" w:cs="Simplified Arabic" w:hint="cs"/>
          <w:sz w:val="28"/>
          <w:szCs w:val="28"/>
          <w:rtl/>
        </w:rPr>
        <w:t>)، مما يعني أن الضغوط المهنية تؤثر في الكوادر الصحية بشكل متقارب بغض النظر عن النوع الاجتماعي.</w:t>
      </w:r>
    </w:p>
    <w:p w14:paraId="290B5131" w14:textId="0E942751" w:rsidR="001D3D5D" w:rsidRDefault="001D3D5D" w:rsidP="001919D1">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بناءً على ما سبق، يتضح أن طبيعة الاستجابات تختلف جزئياً باختلاف الجنس في محور التحول الصحي فقط، بينما لا تختلف في بقية المحاور، مما يثبت أن النوع الاجتماعي لا يمثل عاملاً حاسماً في تباين أغلب أبعاد الدراسة.</w:t>
      </w:r>
    </w:p>
    <w:p w14:paraId="64B506C5" w14:textId="77777777" w:rsidR="00891197" w:rsidRPr="00B322FF" w:rsidRDefault="00891197" w:rsidP="00891197">
      <w:pPr>
        <w:pStyle w:val="ac"/>
        <w:bidi/>
        <w:jc w:val="both"/>
        <w:rPr>
          <w:rFonts w:ascii="Simplified Arabic" w:hAnsi="Simplified Arabic" w:cs="Simplified Arabic"/>
          <w:sz w:val="28"/>
          <w:szCs w:val="28"/>
        </w:rPr>
      </w:pPr>
    </w:p>
    <w:p w14:paraId="32369520"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lastRenderedPageBreak/>
        <w:t>​</w:t>
      </w:r>
      <w:r w:rsidRPr="00B322FF">
        <w:rPr>
          <w:rFonts w:ascii="Simplified Arabic" w:hAnsi="Simplified Arabic" w:cs="Simplified Arabic" w:hint="cs"/>
          <w:b/>
          <w:bCs/>
          <w:sz w:val="32"/>
          <w:szCs w:val="32"/>
          <w:rtl/>
        </w:rPr>
        <w:t>الفروق تبعاً لمتغير العمر</w:t>
      </w:r>
    </w:p>
    <w:p w14:paraId="7303BBA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العمرية الأربع (أقل من 30، 30-39، 40-49، 50 فأكثر)،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النتائج المستخلصة:</w:t>
      </w:r>
    </w:p>
    <w:p w14:paraId="7143A786" w14:textId="164EDD43"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EC4824">
        <w:rPr>
          <w:rFonts w:ascii="Simplified Arabic" w:hAnsi="Simplified Arabic" w:cs="Simplified Arabic" w:hint="cs"/>
          <w:b/>
          <w:bCs/>
          <w:kern w:val="2"/>
          <w:rtl/>
          <w14:ligatures w14:val="standardContextual"/>
        </w:rPr>
        <w:t>٤-٩</w:t>
      </w:r>
      <w:r w:rsidRPr="00B322FF">
        <w:rPr>
          <w:rFonts w:ascii="Simplified Arabic" w:hAnsi="Simplified Arabic" w:cs="Simplified Arabic" w:hint="cs"/>
          <w:b/>
          <w:bCs/>
          <w:kern w:val="2"/>
          <w:rtl/>
          <w14:ligatures w14:val="standardContextual"/>
        </w:rPr>
        <w:t>): نتائج تحليل التباين الأحادي للفروق في استجابات المبحوثين وفقاً لمتغير العمر</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35A020CE" w14:textId="77777777" w:rsidTr="00597597">
        <w:trPr>
          <w:trHeight w:val="330"/>
        </w:trPr>
        <w:tc>
          <w:tcPr>
            <w:tcW w:w="742" w:type="pct"/>
            <w:vAlign w:val="center"/>
            <w:hideMark/>
          </w:tcPr>
          <w:p w14:paraId="4B7EAB0D"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59" w:type="pct"/>
            <w:vAlign w:val="center"/>
            <w:hideMark/>
          </w:tcPr>
          <w:p w14:paraId="5574F6C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032CF19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6E3CDC8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2FE553D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0BCDD78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72D295B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13C6330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05A19FBD" w14:textId="77777777" w:rsidTr="00597597">
        <w:trPr>
          <w:trHeight w:val="330"/>
        </w:trPr>
        <w:tc>
          <w:tcPr>
            <w:tcW w:w="742" w:type="pct"/>
            <w:vMerge w:val="restart"/>
            <w:vAlign w:val="center"/>
            <w:hideMark/>
          </w:tcPr>
          <w:p w14:paraId="5B175E7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2A8F0C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4CE1BF4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4.439</w:t>
            </w:r>
          </w:p>
        </w:tc>
        <w:tc>
          <w:tcPr>
            <w:tcW w:w="339" w:type="pct"/>
            <w:vAlign w:val="center"/>
            <w:hideMark/>
          </w:tcPr>
          <w:p w14:paraId="0B743E9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0592165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1.48</w:t>
            </w:r>
          </w:p>
        </w:tc>
        <w:tc>
          <w:tcPr>
            <w:tcW w:w="455" w:type="pct"/>
            <w:vAlign w:val="center"/>
            <w:hideMark/>
          </w:tcPr>
          <w:p w14:paraId="507038F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2.154</w:t>
            </w:r>
          </w:p>
        </w:tc>
        <w:tc>
          <w:tcPr>
            <w:tcW w:w="804" w:type="pct"/>
            <w:vAlign w:val="center"/>
            <w:hideMark/>
          </w:tcPr>
          <w:p w14:paraId="7C460D0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0.093</w:t>
            </w:r>
          </w:p>
        </w:tc>
        <w:tc>
          <w:tcPr>
            <w:tcW w:w="459" w:type="pct"/>
            <w:vMerge w:val="restart"/>
            <w:vAlign w:val="center"/>
            <w:hideMark/>
          </w:tcPr>
          <w:p w14:paraId="266ED9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215222EF" w14:textId="77777777" w:rsidTr="00597597">
        <w:trPr>
          <w:trHeight w:val="330"/>
        </w:trPr>
        <w:tc>
          <w:tcPr>
            <w:tcW w:w="742" w:type="pct"/>
            <w:vMerge/>
            <w:vAlign w:val="center"/>
            <w:hideMark/>
          </w:tcPr>
          <w:p w14:paraId="2479B9A1"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6CD3102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781FB0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261.068</w:t>
            </w:r>
          </w:p>
        </w:tc>
        <w:tc>
          <w:tcPr>
            <w:tcW w:w="339" w:type="pct"/>
            <w:vAlign w:val="center"/>
            <w:hideMark/>
          </w:tcPr>
          <w:p w14:paraId="72D5A74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098073F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0.687</w:t>
            </w:r>
          </w:p>
        </w:tc>
        <w:tc>
          <w:tcPr>
            <w:tcW w:w="455" w:type="pct"/>
            <w:vAlign w:val="center"/>
            <w:hideMark/>
          </w:tcPr>
          <w:p w14:paraId="1FEDA4B9"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AD50673"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5965614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5747B8D" w14:textId="77777777" w:rsidTr="00597597">
        <w:trPr>
          <w:trHeight w:val="330"/>
        </w:trPr>
        <w:tc>
          <w:tcPr>
            <w:tcW w:w="742" w:type="pct"/>
            <w:vMerge w:val="restart"/>
            <w:vAlign w:val="center"/>
            <w:hideMark/>
          </w:tcPr>
          <w:p w14:paraId="6712F680"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5D8777D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310E8B0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3.831</w:t>
            </w:r>
          </w:p>
        </w:tc>
        <w:tc>
          <w:tcPr>
            <w:tcW w:w="339" w:type="pct"/>
            <w:vAlign w:val="center"/>
            <w:hideMark/>
          </w:tcPr>
          <w:p w14:paraId="15F7EC9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633C82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1.277</w:t>
            </w:r>
          </w:p>
        </w:tc>
        <w:tc>
          <w:tcPr>
            <w:tcW w:w="455" w:type="pct"/>
            <w:vAlign w:val="center"/>
            <w:hideMark/>
          </w:tcPr>
          <w:p w14:paraId="2370B91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1.594</w:t>
            </w:r>
          </w:p>
        </w:tc>
        <w:tc>
          <w:tcPr>
            <w:tcW w:w="804" w:type="pct"/>
            <w:vAlign w:val="center"/>
            <w:hideMark/>
          </w:tcPr>
          <w:p w14:paraId="3678BFA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0.19</w:t>
            </w:r>
          </w:p>
        </w:tc>
        <w:tc>
          <w:tcPr>
            <w:tcW w:w="459" w:type="pct"/>
            <w:vMerge w:val="restart"/>
            <w:vAlign w:val="center"/>
            <w:hideMark/>
          </w:tcPr>
          <w:p w14:paraId="515D5AE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CBCDB14" w14:textId="77777777" w:rsidTr="00597597">
        <w:trPr>
          <w:trHeight w:val="330"/>
        </w:trPr>
        <w:tc>
          <w:tcPr>
            <w:tcW w:w="742" w:type="pct"/>
            <w:vMerge/>
            <w:vAlign w:val="center"/>
            <w:hideMark/>
          </w:tcPr>
          <w:p w14:paraId="60B495D4"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0AE4DC6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8E834F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304.4</w:t>
            </w:r>
          </w:p>
        </w:tc>
        <w:tc>
          <w:tcPr>
            <w:tcW w:w="339" w:type="pct"/>
            <w:vAlign w:val="center"/>
            <w:hideMark/>
          </w:tcPr>
          <w:p w14:paraId="4F44772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109C702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0.801</w:t>
            </w:r>
          </w:p>
        </w:tc>
        <w:tc>
          <w:tcPr>
            <w:tcW w:w="455" w:type="pct"/>
            <w:vAlign w:val="center"/>
            <w:hideMark/>
          </w:tcPr>
          <w:p w14:paraId="5C869514"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3211FA1B"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76B4AF7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325300D" w14:textId="77777777" w:rsidTr="00597597">
        <w:trPr>
          <w:trHeight w:val="330"/>
        </w:trPr>
        <w:tc>
          <w:tcPr>
            <w:tcW w:w="742" w:type="pct"/>
            <w:vMerge w:val="restart"/>
            <w:vAlign w:val="center"/>
            <w:hideMark/>
          </w:tcPr>
          <w:p w14:paraId="442D3634"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15853B9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334CBDE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6.452</w:t>
            </w:r>
          </w:p>
        </w:tc>
        <w:tc>
          <w:tcPr>
            <w:tcW w:w="339" w:type="pct"/>
            <w:vAlign w:val="center"/>
            <w:hideMark/>
          </w:tcPr>
          <w:p w14:paraId="221DB5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68B8DDF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2.151</w:t>
            </w:r>
          </w:p>
        </w:tc>
        <w:tc>
          <w:tcPr>
            <w:tcW w:w="455" w:type="pct"/>
            <w:vAlign w:val="center"/>
            <w:hideMark/>
          </w:tcPr>
          <w:p w14:paraId="17291A5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3.094</w:t>
            </w:r>
          </w:p>
        </w:tc>
        <w:tc>
          <w:tcPr>
            <w:tcW w:w="804" w:type="pct"/>
            <w:vAlign w:val="center"/>
            <w:hideMark/>
          </w:tcPr>
          <w:p w14:paraId="1EE33C0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0.027</w:t>
            </w:r>
          </w:p>
        </w:tc>
        <w:tc>
          <w:tcPr>
            <w:tcW w:w="459" w:type="pct"/>
            <w:vMerge w:val="restart"/>
            <w:vAlign w:val="center"/>
            <w:hideMark/>
          </w:tcPr>
          <w:p w14:paraId="0E822DD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7C904688" w14:textId="77777777" w:rsidTr="00597597">
        <w:trPr>
          <w:trHeight w:val="330"/>
        </w:trPr>
        <w:tc>
          <w:tcPr>
            <w:tcW w:w="742" w:type="pct"/>
            <w:vMerge/>
            <w:vAlign w:val="center"/>
            <w:hideMark/>
          </w:tcPr>
          <w:p w14:paraId="34B13D3D"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0E8710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6E9D22F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264.126</w:t>
            </w:r>
          </w:p>
        </w:tc>
        <w:tc>
          <w:tcPr>
            <w:tcW w:w="339" w:type="pct"/>
            <w:vAlign w:val="center"/>
            <w:hideMark/>
          </w:tcPr>
          <w:p w14:paraId="1D52BC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0A0C42A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13660059"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4B281D97"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5D03F9B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4CD871A" w14:textId="77777777" w:rsidTr="00597597">
        <w:trPr>
          <w:trHeight w:val="330"/>
        </w:trPr>
        <w:tc>
          <w:tcPr>
            <w:tcW w:w="742" w:type="pct"/>
            <w:vMerge w:val="restart"/>
            <w:vAlign w:val="center"/>
            <w:hideMark/>
          </w:tcPr>
          <w:p w14:paraId="45EEDA2C"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7734B31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3BC80CF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13.205</w:t>
            </w:r>
          </w:p>
        </w:tc>
        <w:tc>
          <w:tcPr>
            <w:tcW w:w="339" w:type="pct"/>
            <w:vAlign w:val="center"/>
            <w:hideMark/>
          </w:tcPr>
          <w:p w14:paraId="04A556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55EA30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4.402</w:t>
            </w:r>
          </w:p>
        </w:tc>
        <w:tc>
          <w:tcPr>
            <w:tcW w:w="455" w:type="pct"/>
            <w:vAlign w:val="center"/>
            <w:hideMark/>
          </w:tcPr>
          <w:p w14:paraId="144392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4.647</w:t>
            </w:r>
          </w:p>
        </w:tc>
        <w:tc>
          <w:tcPr>
            <w:tcW w:w="804" w:type="pct"/>
            <w:vAlign w:val="center"/>
            <w:hideMark/>
          </w:tcPr>
          <w:p w14:paraId="7F4DE44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0.003</w:t>
            </w:r>
          </w:p>
        </w:tc>
        <w:tc>
          <w:tcPr>
            <w:tcW w:w="459" w:type="pct"/>
            <w:vMerge w:val="restart"/>
            <w:vAlign w:val="center"/>
            <w:hideMark/>
          </w:tcPr>
          <w:p w14:paraId="6A3A97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7ADE0390" w14:textId="77777777" w:rsidTr="00597597">
        <w:trPr>
          <w:trHeight w:val="330"/>
        </w:trPr>
        <w:tc>
          <w:tcPr>
            <w:tcW w:w="742" w:type="pct"/>
            <w:vMerge/>
            <w:vAlign w:val="center"/>
            <w:hideMark/>
          </w:tcPr>
          <w:p w14:paraId="3BC4D2C0"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08D5F59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133B02D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359.927</w:t>
            </w:r>
          </w:p>
        </w:tc>
        <w:tc>
          <w:tcPr>
            <w:tcW w:w="339" w:type="pct"/>
            <w:vAlign w:val="center"/>
            <w:hideMark/>
          </w:tcPr>
          <w:p w14:paraId="59E89DF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4BFFE3F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0.947</w:t>
            </w:r>
          </w:p>
        </w:tc>
        <w:tc>
          <w:tcPr>
            <w:tcW w:w="455" w:type="pct"/>
            <w:vAlign w:val="center"/>
            <w:hideMark/>
          </w:tcPr>
          <w:p w14:paraId="32DA5F04"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E7BEAD3"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72ECA0B4" w14:textId="77777777" w:rsidR="001D3D5D" w:rsidRPr="00B322FF" w:rsidRDefault="001D3D5D" w:rsidP="00B527E5">
            <w:pPr>
              <w:jc w:val="center"/>
              <w:rPr>
                <w:rFonts w:ascii="Simplified Arabic" w:eastAsia="Times New Roman" w:hAnsi="Simplified Arabic" w:cs="Simplified Arabic"/>
              </w:rPr>
            </w:pPr>
          </w:p>
        </w:tc>
      </w:tr>
    </w:tbl>
    <w:p w14:paraId="323B93FD" w14:textId="3F29F4C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340FA8">
        <w:rPr>
          <w:rFonts w:ascii="Simplified Arabic" w:hAnsi="Simplified Arabic" w:cs="Simplified Arabic" w:hint="cs"/>
          <w:sz w:val="28"/>
          <w:szCs w:val="28"/>
          <w:rtl/>
        </w:rPr>
        <w:t>٤-٩</w:t>
      </w:r>
      <w:r w:rsidRPr="00B322FF">
        <w:rPr>
          <w:rFonts w:ascii="Simplified Arabic" w:hAnsi="Simplified Arabic" w:cs="Simplified Arabic" w:hint="cs"/>
          <w:sz w:val="28"/>
          <w:szCs w:val="28"/>
          <w:rtl/>
        </w:rPr>
        <w:t xml:space="preserve">) ما يلي: </w:t>
      </w:r>
    </w:p>
    <w:p w14:paraId="32A9214F"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محوري التحول الصحي وبيئة العمل النفسية: تشير النتائج إلى عدم وجود فروق تعزى لمتغير العمر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&gt; 0.05). وهذا يعكس تجانساً في رؤية الموظفين لهذه العوامل بغض النظر عن فئاتهم العمرية.</w:t>
      </w:r>
    </w:p>
    <w:p w14:paraId="1D6FA9B8"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محور رفاهية الموظفين: كشفت النتائج عن وجود فروق ذات دلالة إحصائية (</w:t>
      </w:r>
      <w:r w:rsidRPr="00B322FF">
        <w:rPr>
          <w:rFonts w:ascii="Simplified Arabic" w:eastAsia="Times New Roman" w:hAnsi="Simplified Arabic" w:cs="Simplified Arabic" w:hint="cs"/>
          <w:sz w:val="28"/>
          <w:szCs w:val="28"/>
        </w:rPr>
        <w:t>Sig = 0.027</w:t>
      </w:r>
      <w:r w:rsidRPr="00B322FF">
        <w:rPr>
          <w:rFonts w:ascii="Simplified Arabic" w:eastAsia="Times New Roman" w:hAnsi="Simplified Arabic" w:cs="Simplified Arabic" w:hint="cs"/>
          <w:sz w:val="28"/>
          <w:szCs w:val="28"/>
          <w:rtl/>
        </w:rPr>
        <w:t>)، مما يثبت أن العمر يلعب دوراً مؤثراً في مستوى الرفاهية المدرك وتوقعاته.</w:t>
      </w:r>
    </w:p>
    <w:p w14:paraId="5FCEBF66"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محور الاحتراق الوظيفي: أظهرت النتائج وجود فروق عالية الدلالة (</w:t>
      </w:r>
      <w:r w:rsidRPr="00B322FF">
        <w:rPr>
          <w:rFonts w:ascii="Simplified Arabic" w:eastAsia="Times New Roman" w:hAnsi="Simplified Arabic" w:cs="Simplified Arabic" w:hint="cs"/>
          <w:sz w:val="28"/>
          <w:szCs w:val="28"/>
        </w:rPr>
        <w:t>Sig = 0.003</w:t>
      </w:r>
      <w:r w:rsidRPr="00B322FF">
        <w:rPr>
          <w:rFonts w:ascii="Simplified Arabic" w:eastAsia="Times New Roman" w:hAnsi="Simplified Arabic" w:cs="Simplified Arabic" w:hint="cs"/>
          <w:sz w:val="28"/>
          <w:szCs w:val="28"/>
          <w:rtl/>
        </w:rPr>
        <w:t>)، مما يؤكد أن المرحلة العمرية تعد عاملاً حاسماً في تحديد مدى التعرض لضغوط الاحتراق الوظيفي.</w:t>
      </w:r>
    </w:p>
    <w:p w14:paraId="199197CE"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ما تقدم، يتبين وجود اختلاف جوهري في مستويات رفاهية الموظفين والاحتراق الوظيفي باختلاف الفئات العمرية، بينما لا تختلف استجابات الموظفين لمحوري التحول الصحي وبيئة العمل النفسية باختلاف أعمارهم.</w:t>
      </w:r>
    </w:p>
    <w:p w14:paraId="017974F5"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سنوات الخبرة</w:t>
      </w:r>
    </w:p>
    <w:p w14:paraId="2B889A8B"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الثلاث (أقل من 5 سنوات، 5-10 سنوات، أكثر من 10 سنوات)،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النتائج المستخلصة:</w:t>
      </w:r>
    </w:p>
    <w:p w14:paraId="329DA189" w14:textId="0CFAC864"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340FA8">
        <w:rPr>
          <w:rFonts w:ascii="Simplified Arabic" w:hAnsi="Simplified Arabic" w:cs="Simplified Arabic" w:hint="cs"/>
          <w:b/>
          <w:bCs/>
          <w:kern w:val="2"/>
          <w:rtl/>
          <w14:ligatures w14:val="standardContextual"/>
        </w:rPr>
        <w:t>٤-١٠</w:t>
      </w:r>
      <w:r w:rsidRPr="00B322FF">
        <w:rPr>
          <w:rFonts w:ascii="Simplified Arabic" w:hAnsi="Simplified Arabic" w:cs="Simplified Arabic" w:hint="cs"/>
          <w:b/>
          <w:bCs/>
          <w:kern w:val="2"/>
          <w:rtl/>
          <w14:ligatures w14:val="standardContextual"/>
        </w:rPr>
        <w:t>): نتائج تحليل التباين الأحادي للفروق وفقاً لسنوات الخبرة</w:t>
      </w:r>
    </w:p>
    <w:tbl>
      <w:tblPr>
        <w:tblStyle w:val="af"/>
        <w:bidiVisual/>
        <w:tblW w:w="5000" w:type="pct"/>
        <w:tblLook w:val="04A0" w:firstRow="1" w:lastRow="0" w:firstColumn="1" w:lastColumn="0" w:noHBand="0" w:noVBand="1"/>
      </w:tblPr>
      <w:tblGrid>
        <w:gridCol w:w="1321"/>
        <w:gridCol w:w="1383"/>
        <w:gridCol w:w="1361"/>
        <w:gridCol w:w="611"/>
        <w:gridCol w:w="1284"/>
        <w:gridCol w:w="820"/>
        <w:gridCol w:w="1421"/>
        <w:gridCol w:w="815"/>
      </w:tblGrid>
      <w:tr w:rsidR="001D3D5D" w:rsidRPr="00B322FF" w14:paraId="6788EFFB" w14:textId="77777777" w:rsidTr="00597597">
        <w:trPr>
          <w:trHeight w:val="330"/>
        </w:trPr>
        <w:tc>
          <w:tcPr>
            <w:tcW w:w="732" w:type="pct"/>
            <w:vAlign w:val="center"/>
            <w:hideMark/>
          </w:tcPr>
          <w:p w14:paraId="644ADE58"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67" w:type="pct"/>
            <w:vAlign w:val="center"/>
            <w:hideMark/>
          </w:tcPr>
          <w:p w14:paraId="2740C8C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55" w:type="pct"/>
            <w:vAlign w:val="center"/>
            <w:hideMark/>
          </w:tcPr>
          <w:p w14:paraId="7B640EC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4897CBD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712" w:type="pct"/>
            <w:vAlign w:val="center"/>
            <w:hideMark/>
          </w:tcPr>
          <w:p w14:paraId="0275134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6071B93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788" w:type="pct"/>
            <w:vAlign w:val="center"/>
            <w:hideMark/>
          </w:tcPr>
          <w:p w14:paraId="05DBBA8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2" w:type="pct"/>
            <w:vAlign w:val="center"/>
            <w:hideMark/>
          </w:tcPr>
          <w:p w14:paraId="598F3FA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15C22912" w14:textId="77777777" w:rsidTr="00597597">
        <w:trPr>
          <w:trHeight w:val="330"/>
        </w:trPr>
        <w:tc>
          <w:tcPr>
            <w:tcW w:w="732" w:type="pct"/>
            <w:vMerge w:val="restart"/>
            <w:vAlign w:val="center"/>
            <w:hideMark/>
          </w:tcPr>
          <w:p w14:paraId="0B6B70F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67" w:type="pct"/>
            <w:vAlign w:val="center"/>
            <w:hideMark/>
          </w:tcPr>
          <w:p w14:paraId="33DA569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5A3930B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2.045</w:t>
            </w:r>
          </w:p>
        </w:tc>
        <w:tc>
          <w:tcPr>
            <w:tcW w:w="339" w:type="pct"/>
            <w:vAlign w:val="center"/>
            <w:hideMark/>
          </w:tcPr>
          <w:p w14:paraId="5F0F472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68299F7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1.023</w:t>
            </w:r>
          </w:p>
        </w:tc>
        <w:tc>
          <w:tcPr>
            <w:tcW w:w="455" w:type="pct"/>
            <w:vAlign w:val="center"/>
            <w:hideMark/>
          </w:tcPr>
          <w:p w14:paraId="1FD7CB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1.479</w:t>
            </w:r>
          </w:p>
        </w:tc>
        <w:tc>
          <w:tcPr>
            <w:tcW w:w="788" w:type="pct"/>
            <w:vAlign w:val="center"/>
            <w:hideMark/>
          </w:tcPr>
          <w:p w14:paraId="34B6732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0.229</w:t>
            </w:r>
          </w:p>
        </w:tc>
        <w:tc>
          <w:tcPr>
            <w:tcW w:w="452" w:type="pct"/>
            <w:vMerge w:val="restart"/>
            <w:vAlign w:val="center"/>
            <w:hideMark/>
          </w:tcPr>
          <w:p w14:paraId="566C59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0F0891D" w14:textId="77777777" w:rsidTr="00597597">
        <w:trPr>
          <w:trHeight w:val="330"/>
        </w:trPr>
        <w:tc>
          <w:tcPr>
            <w:tcW w:w="732" w:type="pct"/>
            <w:vMerge/>
            <w:vAlign w:val="center"/>
            <w:hideMark/>
          </w:tcPr>
          <w:p w14:paraId="54AE60D1"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40C524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6615C53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263.462</w:t>
            </w:r>
          </w:p>
        </w:tc>
        <w:tc>
          <w:tcPr>
            <w:tcW w:w="339" w:type="pct"/>
            <w:vAlign w:val="center"/>
            <w:hideMark/>
          </w:tcPr>
          <w:p w14:paraId="6C3AFD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2E22F9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0.692</w:t>
            </w:r>
          </w:p>
        </w:tc>
        <w:tc>
          <w:tcPr>
            <w:tcW w:w="455" w:type="pct"/>
            <w:vAlign w:val="center"/>
            <w:hideMark/>
          </w:tcPr>
          <w:p w14:paraId="0EC4657C"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1F760896"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0E34215C"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355A4BE" w14:textId="77777777" w:rsidTr="00597597">
        <w:trPr>
          <w:trHeight w:val="330"/>
        </w:trPr>
        <w:tc>
          <w:tcPr>
            <w:tcW w:w="732" w:type="pct"/>
            <w:vMerge w:val="restart"/>
            <w:vAlign w:val="center"/>
            <w:hideMark/>
          </w:tcPr>
          <w:p w14:paraId="26C8C3FA"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67" w:type="pct"/>
            <w:vAlign w:val="center"/>
            <w:hideMark/>
          </w:tcPr>
          <w:p w14:paraId="7F13084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1830F1C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4.988</w:t>
            </w:r>
          </w:p>
        </w:tc>
        <w:tc>
          <w:tcPr>
            <w:tcW w:w="339" w:type="pct"/>
            <w:vAlign w:val="center"/>
            <w:hideMark/>
          </w:tcPr>
          <w:p w14:paraId="28B7617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1E23D33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2.494</w:t>
            </w:r>
          </w:p>
        </w:tc>
        <w:tc>
          <w:tcPr>
            <w:tcW w:w="455" w:type="pct"/>
            <w:vAlign w:val="center"/>
            <w:hideMark/>
          </w:tcPr>
          <w:p w14:paraId="5F6B11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3.134</w:t>
            </w:r>
          </w:p>
        </w:tc>
        <w:tc>
          <w:tcPr>
            <w:tcW w:w="788" w:type="pct"/>
            <w:vAlign w:val="center"/>
            <w:hideMark/>
          </w:tcPr>
          <w:p w14:paraId="298141B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0.045</w:t>
            </w:r>
          </w:p>
        </w:tc>
        <w:tc>
          <w:tcPr>
            <w:tcW w:w="452" w:type="pct"/>
            <w:vMerge w:val="restart"/>
            <w:vAlign w:val="center"/>
            <w:hideMark/>
          </w:tcPr>
          <w:p w14:paraId="5EC2697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52E6097B" w14:textId="77777777" w:rsidTr="00597597">
        <w:trPr>
          <w:trHeight w:val="330"/>
        </w:trPr>
        <w:tc>
          <w:tcPr>
            <w:tcW w:w="732" w:type="pct"/>
            <w:vMerge/>
            <w:vAlign w:val="center"/>
            <w:hideMark/>
          </w:tcPr>
          <w:p w14:paraId="679E0009"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3374528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108DF4A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303.243</w:t>
            </w:r>
          </w:p>
        </w:tc>
        <w:tc>
          <w:tcPr>
            <w:tcW w:w="339" w:type="pct"/>
            <w:vAlign w:val="center"/>
            <w:hideMark/>
          </w:tcPr>
          <w:p w14:paraId="30EFAA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755B601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0.796</w:t>
            </w:r>
          </w:p>
        </w:tc>
        <w:tc>
          <w:tcPr>
            <w:tcW w:w="455" w:type="pct"/>
            <w:vAlign w:val="center"/>
            <w:hideMark/>
          </w:tcPr>
          <w:p w14:paraId="4D82CC2A"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2DDF57BA"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6C3546B2"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20EF2AC8" w14:textId="77777777" w:rsidTr="00597597">
        <w:trPr>
          <w:trHeight w:val="330"/>
        </w:trPr>
        <w:tc>
          <w:tcPr>
            <w:tcW w:w="732" w:type="pct"/>
            <w:vMerge w:val="restart"/>
            <w:vAlign w:val="center"/>
            <w:hideMark/>
          </w:tcPr>
          <w:p w14:paraId="5E06A666"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67" w:type="pct"/>
            <w:vAlign w:val="center"/>
            <w:hideMark/>
          </w:tcPr>
          <w:p w14:paraId="402A746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37C0EC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5.725</w:t>
            </w:r>
          </w:p>
        </w:tc>
        <w:tc>
          <w:tcPr>
            <w:tcW w:w="339" w:type="pct"/>
            <w:vAlign w:val="center"/>
            <w:hideMark/>
          </w:tcPr>
          <w:p w14:paraId="7F48B28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22F6119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2.863</w:t>
            </w:r>
          </w:p>
        </w:tc>
        <w:tc>
          <w:tcPr>
            <w:tcW w:w="455" w:type="pct"/>
            <w:vAlign w:val="center"/>
            <w:hideMark/>
          </w:tcPr>
          <w:p w14:paraId="550E271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4.118</w:t>
            </w:r>
          </w:p>
        </w:tc>
        <w:tc>
          <w:tcPr>
            <w:tcW w:w="788" w:type="pct"/>
            <w:vAlign w:val="center"/>
            <w:hideMark/>
          </w:tcPr>
          <w:p w14:paraId="1AFDCD7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0.017</w:t>
            </w:r>
          </w:p>
        </w:tc>
        <w:tc>
          <w:tcPr>
            <w:tcW w:w="452" w:type="pct"/>
            <w:vMerge w:val="restart"/>
            <w:vAlign w:val="center"/>
            <w:hideMark/>
          </w:tcPr>
          <w:p w14:paraId="15C0CFC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0A10EBF8" w14:textId="77777777" w:rsidTr="00597597">
        <w:trPr>
          <w:trHeight w:val="330"/>
        </w:trPr>
        <w:tc>
          <w:tcPr>
            <w:tcW w:w="732" w:type="pct"/>
            <w:vMerge/>
            <w:vAlign w:val="center"/>
            <w:hideMark/>
          </w:tcPr>
          <w:p w14:paraId="12490450"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163739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5FAF0F3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264.852</w:t>
            </w:r>
          </w:p>
        </w:tc>
        <w:tc>
          <w:tcPr>
            <w:tcW w:w="339" w:type="pct"/>
            <w:vAlign w:val="center"/>
            <w:hideMark/>
          </w:tcPr>
          <w:p w14:paraId="59E72E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14E76B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0D1ABECB"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56161749"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2888256F"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586521F2" w14:textId="77777777" w:rsidTr="00597597">
        <w:trPr>
          <w:trHeight w:val="330"/>
        </w:trPr>
        <w:tc>
          <w:tcPr>
            <w:tcW w:w="732" w:type="pct"/>
            <w:vMerge w:val="restart"/>
            <w:vAlign w:val="center"/>
            <w:hideMark/>
          </w:tcPr>
          <w:p w14:paraId="46393800"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67" w:type="pct"/>
            <w:vAlign w:val="center"/>
            <w:hideMark/>
          </w:tcPr>
          <w:p w14:paraId="1C26269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7EA3AA2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5.391</w:t>
            </w:r>
          </w:p>
        </w:tc>
        <w:tc>
          <w:tcPr>
            <w:tcW w:w="339" w:type="pct"/>
            <w:vAlign w:val="center"/>
            <w:hideMark/>
          </w:tcPr>
          <w:p w14:paraId="67C45E1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735A2E7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2.695</w:t>
            </w:r>
          </w:p>
        </w:tc>
        <w:tc>
          <w:tcPr>
            <w:tcW w:w="455" w:type="pct"/>
            <w:vAlign w:val="center"/>
            <w:hideMark/>
          </w:tcPr>
          <w:p w14:paraId="65B52E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2.793</w:t>
            </w:r>
          </w:p>
        </w:tc>
        <w:tc>
          <w:tcPr>
            <w:tcW w:w="788" w:type="pct"/>
            <w:vAlign w:val="center"/>
            <w:hideMark/>
          </w:tcPr>
          <w:p w14:paraId="72CF32F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0.063</w:t>
            </w:r>
          </w:p>
        </w:tc>
        <w:tc>
          <w:tcPr>
            <w:tcW w:w="452" w:type="pct"/>
            <w:vMerge w:val="restart"/>
            <w:vAlign w:val="center"/>
            <w:hideMark/>
          </w:tcPr>
          <w:p w14:paraId="11E34F4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1A94B699" w14:textId="77777777" w:rsidTr="00597597">
        <w:trPr>
          <w:trHeight w:val="330"/>
        </w:trPr>
        <w:tc>
          <w:tcPr>
            <w:tcW w:w="732" w:type="pct"/>
            <w:vMerge/>
            <w:vAlign w:val="center"/>
            <w:hideMark/>
          </w:tcPr>
          <w:p w14:paraId="3AD421DF"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7724437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453E570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367.741</w:t>
            </w:r>
          </w:p>
        </w:tc>
        <w:tc>
          <w:tcPr>
            <w:tcW w:w="339" w:type="pct"/>
            <w:vAlign w:val="center"/>
            <w:hideMark/>
          </w:tcPr>
          <w:p w14:paraId="039D4C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4491B95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0.965</w:t>
            </w:r>
          </w:p>
        </w:tc>
        <w:tc>
          <w:tcPr>
            <w:tcW w:w="455" w:type="pct"/>
            <w:vAlign w:val="center"/>
            <w:hideMark/>
          </w:tcPr>
          <w:p w14:paraId="257F49CB"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1F3EC3C5"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45E919EF" w14:textId="77777777" w:rsidR="001D3D5D" w:rsidRPr="00B322FF" w:rsidRDefault="001D3D5D" w:rsidP="00B527E5">
            <w:pPr>
              <w:jc w:val="center"/>
              <w:rPr>
                <w:rFonts w:ascii="Simplified Arabic" w:eastAsia="Times New Roman" w:hAnsi="Simplified Arabic" w:cs="Simplified Arabic"/>
              </w:rPr>
            </w:pPr>
          </w:p>
        </w:tc>
      </w:tr>
    </w:tbl>
    <w:p w14:paraId="562DDE14" w14:textId="678D487C"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من الجدول (</w:t>
      </w:r>
      <w:r w:rsidR="004240E1">
        <w:rPr>
          <w:rFonts w:ascii="Simplified Arabic" w:hAnsi="Simplified Arabic" w:cs="Simplified Arabic" w:hint="cs"/>
          <w:sz w:val="28"/>
          <w:szCs w:val="28"/>
          <w:rtl/>
        </w:rPr>
        <w:t>٤-١٠</w:t>
      </w:r>
      <w:r w:rsidRPr="00B322FF">
        <w:rPr>
          <w:rFonts w:ascii="Simplified Arabic" w:hAnsi="Simplified Arabic" w:cs="Simplified Arabic" w:hint="cs"/>
          <w:sz w:val="28"/>
          <w:szCs w:val="28"/>
          <w:rtl/>
        </w:rPr>
        <w:t xml:space="preserve">) ما يلي: </w:t>
      </w:r>
    </w:p>
    <w:p w14:paraId="38AD7E95"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التحول الصحي و الاحتراق الوظيفي: تشير النتائج لعدم وجود فروق دالة إحصائياً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&gt; 0.05)، مما يعني أن جميع الكوادر يدركون التحول ويختبرون الضغوط بشكل متقارب بغض النظر عن طول مسيرتهم المهنية.</w:t>
      </w:r>
    </w:p>
    <w:p w14:paraId="72DDE162"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بيئة العمل النفسية ورفاهية الموظفين: توجد فروق دالة إحصائياً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&lt; 0.05)، مما يؤكد أن الخبرة التراكمية تؤثر جوهرياً في تقييم الموظف لاستدامة بيئة عمله ومستوى رفاهيته.</w:t>
      </w:r>
    </w:p>
    <w:p w14:paraId="451C62D7"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المعطيات أعلاه، تختلف الاستجابات جزئياً باختلاف سنوات الخبرة؛ حيث يظهر الاختلاف جلياً في إدراك بيئة العمل النفسية ورفاهية الموظفين، بينما تنتفي هذه الاختلافات في تقييم التحول الصحي والاحتراق الوظيفي.</w:t>
      </w:r>
    </w:p>
    <w:p w14:paraId="6D089DB5"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المسمى الوظيفي</w:t>
      </w:r>
    </w:p>
    <w:p w14:paraId="7E970D28"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المهنية (طبيب، ممرض، فني، إداري)،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مخرجات هذا التحليل:</w:t>
      </w:r>
    </w:p>
    <w:p w14:paraId="03E0A0A9" w14:textId="2228B0ED"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4240E1">
        <w:rPr>
          <w:rFonts w:ascii="Simplified Arabic" w:hAnsi="Simplified Arabic" w:cs="Simplified Arabic" w:hint="cs"/>
          <w:b/>
          <w:bCs/>
          <w:kern w:val="2"/>
          <w:rtl/>
          <w14:ligatures w14:val="standardContextual"/>
        </w:rPr>
        <w:t>٤-١١</w:t>
      </w:r>
      <w:r w:rsidRPr="00B322FF">
        <w:rPr>
          <w:rFonts w:ascii="Simplified Arabic" w:hAnsi="Simplified Arabic" w:cs="Simplified Arabic" w:hint="cs"/>
          <w:b/>
          <w:bCs/>
          <w:kern w:val="2"/>
          <w:rtl/>
          <w14:ligatures w14:val="standardContextual"/>
        </w:rPr>
        <w:t>): نتائج تحليل التباين الأحادي للفروق وفقاً للمسمى الوظيفي</w:t>
      </w:r>
    </w:p>
    <w:tbl>
      <w:tblPr>
        <w:tblStyle w:val="af"/>
        <w:bidiVisual/>
        <w:tblW w:w="5000" w:type="pct"/>
        <w:tblLook w:val="04A0" w:firstRow="1" w:lastRow="0" w:firstColumn="1" w:lastColumn="0" w:noHBand="0" w:noVBand="1"/>
      </w:tblPr>
      <w:tblGrid>
        <w:gridCol w:w="1301"/>
        <w:gridCol w:w="1371"/>
        <w:gridCol w:w="1349"/>
        <w:gridCol w:w="609"/>
        <w:gridCol w:w="1276"/>
        <w:gridCol w:w="946"/>
        <w:gridCol w:w="1419"/>
        <w:gridCol w:w="745"/>
      </w:tblGrid>
      <w:tr w:rsidR="001D3D5D" w:rsidRPr="00B322FF" w14:paraId="01EE8ED9" w14:textId="77777777" w:rsidTr="00597597">
        <w:trPr>
          <w:trHeight w:val="330"/>
        </w:trPr>
        <w:tc>
          <w:tcPr>
            <w:tcW w:w="723" w:type="pct"/>
            <w:vAlign w:val="center"/>
            <w:hideMark/>
          </w:tcPr>
          <w:p w14:paraId="5B8020E0"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62" w:type="pct"/>
            <w:vAlign w:val="center"/>
            <w:hideMark/>
          </w:tcPr>
          <w:p w14:paraId="5D7A150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9" w:type="pct"/>
            <w:vAlign w:val="center"/>
            <w:hideMark/>
          </w:tcPr>
          <w:p w14:paraId="2F859DB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340025B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709" w:type="pct"/>
            <w:vAlign w:val="center"/>
            <w:hideMark/>
          </w:tcPr>
          <w:p w14:paraId="04B4763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526" w:type="pct"/>
            <w:vAlign w:val="center"/>
            <w:hideMark/>
          </w:tcPr>
          <w:p w14:paraId="1A28CCF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788" w:type="pct"/>
            <w:vAlign w:val="center"/>
            <w:hideMark/>
          </w:tcPr>
          <w:p w14:paraId="2A4AF7A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04" w:type="pct"/>
            <w:vAlign w:val="center"/>
            <w:hideMark/>
          </w:tcPr>
          <w:p w14:paraId="190C24D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32C014B4" w14:textId="77777777" w:rsidTr="00597597">
        <w:trPr>
          <w:trHeight w:val="330"/>
        </w:trPr>
        <w:tc>
          <w:tcPr>
            <w:tcW w:w="723" w:type="pct"/>
            <w:vMerge w:val="restart"/>
            <w:vAlign w:val="center"/>
            <w:hideMark/>
          </w:tcPr>
          <w:p w14:paraId="37EAD18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62" w:type="pct"/>
            <w:vAlign w:val="center"/>
            <w:hideMark/>
          </w:tcPr>
          <w:p w14:paraId="467518D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1545BC3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13.698</w:t>
            </w:r>
          </w:p>
        </w:tc>
        <w:tc>
          <w:tcPr>
            <w:tcW w:w="339" w:type="pct"/>
            <w:vAlign w:val="center"/>
            <w:hideMark/>
          </w:tcPr>
          <w:p w14:paraId="2F51EC2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74DDAF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4.566</w:t>
            </w:r>
          </w:p>
        </w:tc>
        <w:tc>
          <w:tcPr>
            <w:tcW w:w="526" w:type="pct"/>
            <w:vAlign w:val="center"/>
            <w:hideMark/>
          </w:tcPr>
          <w:p w14:paraId="77A2635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6.891</w:t>
            </w:r>
          </w:p>
        </w:tc>
        <w:tc>
          <w:tcPr>
            <w:tcW w:w="788" w:type="pct"/>
            <w:vAlign w:val="center"/>
            <w:hideMark/>
          </w:tcPr>
          <w:p w14:paraId="2BCAEAE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404" w:type="pct"/>
            <w:vMerge w:val="restart"/>
            <w:vAlign w:val="center"/>
            <w:hideMark/>
          </w:tcPr>
          <w:p w14:paraId="22A1C2E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6B084D66" w14:textId="77777777" w:rsidTr="00597597">
        <w:trPr>
          <w:trHeight w:val="330"/>
        </w:trPr>
        <w:tc>
          <w:tcPr>
            <w:tcW w:w="723" w:type="pct"/>
            <w:vMerge/>
            <w:vAlign w:val="center"/>
            <w:hideMark/>
          </w:tcPr>
          <w:p w14:paraId="0DE71AFB"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7602BD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623207B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251.81</w:t>
            </w:r>
          </w:p>
        </w:tc>
        <w:tc>
          <w:tcPr>
            <w:tcW w:w="339" w:type="pct"/>
            <w:vAlign w:val="center"/>
            <w:hideMark/>
          </w:tcPr>
          <w:p w14:paraId="345F71F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4CA3F33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0.663</w:t>
            </w:r>
          </w:p>
        </w:tc>
        <w:tc>
          <w:tcPr>
            <w:tcW w:w="526" w:type="pct"/>
            <w:vAlign w:val="center"/>
            <w:hideMark/>
          </w:tcPr>
          <w:p w14:paraId="48B545D7"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6D4514EE"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0E40E7C6"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20285C7A" w14:textId="77777777" w:rsidTr="00597597">
        <w:trPr>
          <w:trHeight w:val="330"/>
        </w:trPr>
        <w:tc>
          <w:tcPr>
            <w:tcW w:w="723" w:type="pct"/>
            <w:vMerge w:val="restart"/>
            <w:vAlign w:val="center"/>
            <w:hideMark/>
          </w:tcPr>
          <w:p w14:paraId="388E4448"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62" w:type="pct"/>
            <w:vAlign w:val="center"/>
            <w:hideMark/>
          </w:tcPr>
          <w:p w14:paraId="44DE4C2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1F1C77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10.118</w:t>
            </w:r>
          </w:p>
        </w:tc>
        <w:tc>
          <w:tcPr>
            <w:tcW w:w="339" w:type="pct"/>
            <w:vAlign w:val="center"/>
            <w:hideMark/>
          </w:tcPr>
          <w:p w14:paraId="222A8C5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5557AB8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3.373</w:t>
            </w:r>
          </w:p>
        </w:tc>
        <w:tc>
          <w:tcPr>
            <w:tcW w:w="526" w:type="pct"/>
            <w:vAlign w:val="center"/>
            <w:hideMark/>
          </w:tcPr>
          <w:p w14:paraId="1F5CD29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4.299</w:t>
            </w:r>
          </w:p>
        </w:tc>
        <w:tc>
          <w:tcPr>
            <w:tcW w:w="788" w:type="pct"/>
            <w:vAlign w:val="center"/>
            <w:hideMark/>
          </w:tcPr>
          <w:p w14:paraId="470764D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0.005</w:t>
            </w:r>
          </w:p>
        </w:tc>
        <w:tc>
          <w:tcPr>
            <w:tcW w:w="404" w:type="pct"/>
            <w:vMerge w:val="restart"/>
            <w:vAlign w:val="center"/>
            <w:hideMark/>
          </w:tcPr>
          <w:p w14:paraId="01B537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177FB1B0" w14:textId="77777777" w:rsidTr="00597597">
        <w:trPr>
          <w:trHeight w:val="330"/>
        </w:trPr>
        <w:tc>
          <w:tcPr>
            <w:tcW w:w="723" w:type="pct"/>
            <w:vMerge/>
            <w:vAlign w:val="center"/>
            <w:hideMark/>
          </w:tcPr>
          <w:p w14:paraId="47706FBE"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3F7B981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0385F8C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298.114</w:t>
            </w:r>
          </w:p>
        </w:tc>
        <w:tc>
          <w:tcPr>
            <w:tcW w:w="339" w:type="pct"/>
            <w:vAlign w:val="center"/>
            <w:hideMark/>
          </w:tcPr>
          <w:p w14:paraId="45A4D48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5F797B9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0.785</w:t>
            </w:r>
          </w:p>
        </w:tc>
        <w:tc>
          <w:tcPr>
            <w:tcW w:w="526" w:type="pct"/>
            <w:vAlign w:val="center"/>
            <w:hideMark/>
          </w:tcPr>
          <w:p w14:paraId="5287D73A"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4058B7D1"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2690AE6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B1933DB" w14:textId="77777777" w:rsidTr="00597597">
        <w:trPr>
          <w:trHeight w:val="330"/>
        </w:trPr>
        <w:tc>
          <w:tcPr>
            <w:tcW w:w="723" w:type="pct"/>
            <w:vMerge w:val="restart"/>
            <w:vAlign w:val="center"/>
            <w:hideMark/>
          </w:tcPr>
          <w:p w14:paraId="18D0619D"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62" w:type="pct"/>
            <w:vAlign w:val="center"/>
            <w:hideMark/>
          </w:tcPr>
          <w:p w14:paraId="0D3D921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0E1B205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8.267</w:t>
            </w:r>
          </w:p>
        </w:tc>
        <w:tc>
          <w:tcPr>
            <w:tcW w:w="339" w:type="pct"/>
            <w:vAlign w:val="center"/>
            <w:hideMark/>
          </w:tcPr>
          <w:p w14:paraId="41B4F0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558B212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2.756</w:t>
            </w:r>
          </w:p>
        </w:tc>
        <w:tc>
          <w:tcPr>
            <w:tcW w:w="526" w:type="pct"/>
            <w:vAlign w:val="center"/>
            <w:hideMark/>
          </w:tcPr>
          <w:p w14:paraId="55833DA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3.992</w:t>
            </w:r>
          </w:p>
        </w:tc>
        <w:tc>
          <w:tcPr>
            <w:tcW w:w="788" w:type="pct"/>
            <w:vAlign w:val="center"/>
            <w:hideMark/>
          </w:tcPr>
          <w:p w14:paraId="26E0951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c>
          <w:tcPr>
            <w:tcW w:w="404" w:type="pct"/>
            <w:vMerge w:val="restart"/>
            <w:vAlign w:val="center"/>
            <w:hideMark/>
          </w:tcPr>
          <w:p w14:paraId="10C39AE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70859A1A" w14:textId="77777777" w:rsidTr="00597597">
        <w:trPr>
          <w:trHeight w:val="330"/>
        </w:trPr>
        <w:tc>
          <w:tcPr>
            <w:tcW w:w="723" w:type="pct"/>
            <w:vMerge/>
            <w:vAlign w:val="center"/>
            <w:hideMark/>
          </w:tcPr>
          <w:p w14:paraId="50E7200A"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4DC5046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1A4715C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262.311</w:t>
            </w:r>
          </w:p>
        </w:tc>
        <w:tc>
          <w:tcPr>
            <w:tcW w:w="339" w:type="pct"/>
            <w:vAlign w:val="center"/>
            <w:hideMark/>
          </w:tcPr>
          <w:p w14:paraId="341A25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6A2D609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w:t>
            </w:r>
          </w:p>
        </w:tc>
        <w:tc>
          <w:tcPr>
            <w:tcW w:w="526" w:type="pct"/>
            <w:vAlign w:val="center"/>
            <w:hideMark/>
          </w:tcPr>
          <w:p w14:paraId="69DE7D5B"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177BEE5E"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08744B9E"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D23FB43" w14:textId="77777777" w:rsidTr="00597597">
        <w:trPr>
          <w:trHeight w:val="330"/>
        </w:trPr>
        <w:tc>
          <w:tcPr>
            <w:tcW w:w="723" w:type="pct"/>
            <w:vMerge w:val="restart"/>
            <w:vAlign w:val="center"/>
            <w:hideMark/>
          </w:tcPr>
          <w:p w14:paraId="5075D00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lastRenderedPageBreak/>
              <w:t>الاحتراق الوظيفي</w:t>
            </w:r>
          </w:p>
        </w:tc>
        <w:tc>
          <w:tcPr>
            <w:tcW w:w="762" w:type="pct"/>
            <w:vAlign w:val="center"/>
            <w:hideMark/>
          </w:tcPr>
          <w:p w14:paraId="52B99A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355F1B3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30.85</w:t>
            </w:r>
          </w:p>
        </w:tc>
        <w:tc>
          <w:tcPr>
            <w:tcW w:w="339" w:type="pct"/>
            <w:vAlign w:val="center"/>
            <w:hideMark/>
          </w:tcPr>
          <w:p w14:paraId="1CA4970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7143A7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10.283</w:t>
            </w:r>
          </w:p>
        </w:tc>
        <w:tc>
          <w:tcPr>
            <w:tcW w:w="526" w:type="pct"/>
            <w:vAlign w:val="center"/>
            <w:hideMark/>
          </w:tcPr>
          <w:p w14:paraId="4B88B0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11.417</w:t>
            </w:r>
          </w:p>
        </w:tc>
        <w:tc>
          <w:tcPr>
            <w:tcW w:w="788" w:type="pct"/>
            <w:vAlign w:val="center"/>
            <w:hideMark/>
          </w:tcPr>
          <w:p w14:paraId="55EBAAA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404" w:type="pct"/>
            <w:vMerge w:val="restart"/>
            <w:vAlign w:val="center"/>
            <w:hideMark/>
          </w:tcPr>
          <w:p w14:paraId="4CFFD1E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13A81A07" w14:textId="77777777" w:rsidTr="00597597">
        <w:trPr>
          <w:trHeight w:val="330"/>
        </w:trPr>
        <w:tc>
          <w:tcPr>
            <w:tcW w:w="723" w:type="pct"/>
            <w:vMerge/>
            <w:vAlign w:val="center"/>
            <w:hideMark/>
          </w:tcPr>
          <w:p w14:paraId="386AEE3D"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79427D2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06C7A5E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342.282</w:t>
            </w:r>
          </w:p>
        </w:tc>
        <w:tc>
          <w:tcPr>
            <w:tcW w:w="339" w:type="pct"/>
            <w:vAlign w:val="center"/>
            <w:hideMark/>
          </w:tcPr>
          <w:p w14:paraId="343417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4D77B85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0.901</w:t>
            </w:r>
          </w:p>
        </w:tc>
        <w:tc>
          <w:tcPr>
            <w:tcW w:w="526" w:type="pct"/>
            <w:vAlign w:val="center"/>
            <w:hideMark/>
          </w:tcPr>
          <w:p w14:paraId="04E7A5B8"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45CD3B97"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6D73EF16" w14:textId="77777777" w:rsidR="001D3D5D" w:rsidRPr="00B322FF" w:rsidRDefault="001D3D5D" w:rsidP="00B527E5">
            <w:pPr>
              <w:jc w:val="center"/>
              <w:rPr>
                <w:rFonts w:ascii="Simplified Arabic" w:eastAsia="Times New Roman" w:hAnsi="Simplified Arabic" w:cs="Simplified Arabic"/>
              </w:rPr>
            </w:pPr>
          </w:p>
        </w:tc>
      </w:tr>
    </w:tbl>
    <w:p w14:paraId="32FB3BC3" w14:textId="1CC8372B"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تظهر النتائج في الجدول (</w:t>
      </w:r>
      <w:r w:rsidR="004240E1">
        <w:rPr>
          <w:rFonts w:ascii="Simplified Arabic" w:hAnsi="Simplified Arabic" w:cs="Simplified Arabic" w:hint="cs"/>
          <w:sz w:val="28"/>
          <w:szCs w:val="28"/>
          <w:rtl/>
        </w:rPr>
        <w:t>٤-١١</w:t>
      </w:r>
      <w:r w:rsidRPr="00B322FF">
        <w:rPr>
          <w:rFonts w:ascii="Simplified Arabic" w:hAnsi="Simplified Arabic" w:cs="Simplified Arabic" w:hint="cs"/>
          <w:sz w:val="28"/>
          <w:szCs w:val="28"/>
          <w:rtl/>
        </w:rPr>
        <w:t>) وجود فروق ذات دلالة إحصائية (</w:t>
      </w:r>
      <w:r w:rsidRPr="00B322FF">
        <w:rPr>
          <w:rFonts w:ascii="Simplified Arabic" w:hAnsi="Simplified Arabic" w:cs="Simplified Arabic" w:hint="cs"/>
          <w:sz w:val="28"/>
          <w:szCs w:val="28"/>
        </w:rPr>
        <w:t>Sig</w:t>
      </w:r>
      <w:r w:rsidRPr="00B322FF">
        <w:rPr>
          <w:rFonts w:ascii="Simplified Arabic" w:hAnsi="Simplified Arabic" w:cs="Simplified Arabic" w:hint="cs"/>
          <w:sz w:val="28"/>
          <w:szCs w:val="28"/>
          <w:rtl/>
        </w:rPr>
        <w:t xml:space="preserve"> &lt; 0.05) في جميع متغيرات الدراسة الرئيسية دون استثناء. تبرز </w:t>
      </w:r>
      <w:r w:rsidRPr="00B322FF">
        <w:rPr>
          <w:rFonts w:ascii="Simplified Arabic" w:hAnsi="Simplified Arabic" w:cs="Simplified Arabic" w:hint="cs"/>
          <w:sz w:val="28"/>
          <w:szCs w:val="28"/>
        </w:rPr>
        <w:t>(F)</w:t>
      </w:r>
      <w:r w:rsidRPr="00B322FF">
        <w:rPr>
          <w:rFonts w:ascii="Simplified Arabic" w:hAnsi="Simplified Arabic" w:cs="Simplified Arabic" w:hint="cs"/>
          <w:sz w:val="28"/>
          <w:szCs w:val="28"/>
          <w:rtl/>
        </w:rPr>
        <w:t xml:space="preserve"> المرتفعة للاحتراق الوظيفي (11.417) والتحول الصحي (6.891) كأقوى مؤشرات على تأثر هذه الظواهر بنوع المهنة وطبيعة العمل اليومية.</w:t>
      </w:r>
    </w:p>
    <w:p w14:paraId="6B306AA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 يتضح بشكل جلي أن طبيعة الدور الوسيط لكافة محاور الدراسة تختلف كلياً وبشكل جوهري باختلاف المسمى الوظيفي. وتؤكد هذه النتيجة ضرورة تصميم مبادرات التحول والرفاهية بشكل يراعي الخصائص والضغوط الفريدة لكل فئة مهنية على حدة.</w:t>
      </w:r>
    </w:p>
    <w:p w14:paraId="3B794996"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الدخل الشهري</w:t>
      </w:r>
    </w:p>
    <w:p w14:paraId="3708D82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تم إجراء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للكشف عن وجود فروق ذات دلالة إحصائية في استجابات المبحوثين حول متغيرات الدراسة تُعزى لمستوى دخلهم الشهري. يوضح الجدول التالي النتائج المحققة:</w:t>
      </w:r>
    </w:p>
    <w:p w14:paraId="6958659E" w14:textId="2D86C58F" w:rsidR="001D3D5D" w:rsidRPr="00B322FF" w:rsidRDefault="001D3D5D" w:rsidP="00B527E5">
      <w:pPr>
        <w:pStyle w:val="ac"/>
        <w:bidi/>
        <w:jc w:val="center"/>
        <w:rPr>
          <w:rFonts w:ascii="Simplified Arabic" w:hAnsi="Simplified Arabic" w:cs="Simplified Arabic"/>
          <w:b/>
          <w:bCs/>
          <w:kern w:val="2"/>
          <w:rtl/>
          <w14:ligatures w14:val="standardContextua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956DF2">
        <w:rPr>
          <w:rFonts w:ascii="Simplified Arabic" w:hAnsi="Simplified Arabic" w:cs="Simplified Arabic" w:hint="cs"/>
          <w:b/>
          <w:bCs/>
          <w:kern w:val="2"/>
          <w:rtl/>
          <w14:ligatures w14:val="standardContextual"/>
        </w:rPr>
        <w:t>٤-١٢</w:t>
      </w:r>
      <w:r w:rsidRPr="00B322FF">
        <w:rPr>
          <w:rFonts w:ascii="Simplified Arabic" w:hAnsi="Simplified Arabic" w:cs="Simplified Arabic" w:hint="cs"/>
          <w:b/>
          <w:bCs/>
          <w:kern w:val="2"/>
          <w:rtl/>
          <w14:ligatures w14:val="standardContextual"/>
        </w:rPr>
        <w:t>): نتائج تحليل التباين الأحادي للفروق وفقاً للدخل الشهري</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6A14A4C3" w14:textId="77777777" w:rsidTr="00597597">
        <w:trPr>
          <w:trHeight w:val="270"/>
        </w:trPr>
        <w:tc>
          <w:tcPr>
            <w:tcW w:w="742" w:type="pct"/>
            <w:vAlign w:val="center"/>
            <w:hideMark/>
          </w:tcPr>
          <w:p w14:paraId="7F3F535C"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59" w:type="pct"/>
            <w:vAlign w:val="center"/>
            <w:hideMark/>
          </w:tcPr>
          <w:p w14:paraId="3B6DDF0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01117A3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1689663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30224F1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2F40791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57730A4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735DA1C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5CADB8B4" w14:textId="77777777" w:rsidTr="00597597">
        <w:trPr>
          <w:trHeight w:val="270"/>
        </w:trPr>
        <w:tc>
          <w:tcPr>
            <w:tcW w:w="742" w:type="pct"/>
            <w:vMerge w:val="restart"/>
            <w:vAlign w:val="center"/>
            <w:hideMark/>
          </w:tcPr>
          <w:p w14:paraId="3501B9B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1E3E520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57DDF1B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0.601</w:t>
            </w:r>
          </w:p>
        </w:tc>
        <w:tc>
          <w:tcPr>
            <w:tcW w:w="339" w:type="pct"/>
            <w:vAlign w:val="center"/>
            <w:hideMark/>
          </w:tcPr>
          <w:p w14:paraId="788F008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2113147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0.301</w:t>
            </w:r>
          </w:p>
        </w:tc>
        <w:tc>
          <w:tcPr>
            <w:tcW w:w="455" w:type="pct"/>
            <w:vAlign w:val="center"/>
            <w:hideMark/>
          </w:tcPr>
          <w:p w14:paraId="74056E6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0.432</w:t>
            </w:r>
          </w:p>
        </w:tc>
        <w:tc>
          <w:tcPr>
            <w:tcW w:w="804" w:type="pct"/>
            <w:vAlign w:val="center"/>
            <w:hideMark/>
          </w:tcPr>
          <w:p w14:paraId="0F6936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0.649</w:t>
            </w:r>
          </w:p>
        </w:tc>
        <w:tc>
          <w:tcPr>
            <w:tcW w:w="459" w:type="pct"/>
            <w:vMerge w:val="restart"/>
            <w:vAlign w:val="center"/>
            <w:hideMark/>
          </w:tcPr>
          <w:p w14:paraId="5256880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15A08157" w14:textId="77777777" w:rsidTr="00597597">
        <w:trPr>
          <w:trHeight w:val="270"/>
        </w:trPr>
        <w:tc>
          <w:tcPr>
            <w:tcW w:w="742" w:type="pct"/>
            <w:vMerge/>
            <w:vAlign w:val="center"/>
            <w:hideMark/>
          </w:tcPr>
          <w:p w14:paraId="0F93BFC3"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323064A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592E3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264.907</w:t>
            </w:r>
          </w:p>
        </w:tc>
        <w:tc>
          <w:tcPr>
            <w:tcW w:w="339" w:type="pct"/>
            <w:vAlign w:val="center"/>
            <w:hideMark/>
          </w:tcPr>
          <w:p w14:paraId="6F24834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66CE59F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155E6B11"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623E3B33"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0871ED12"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7CBE5B64" w14:textId="77777777" w:rsidTr="00597597">
        <w:trPr>
          <w:trHeight w:val="270"/>
        </w:trPr>
        <w:tc>
          <w:tcPr>
            <w:tcW w:w="742" w:type="pct"/>
            <w:vMerge w:val="restart"/>
            <w:vAlign w:val="center"/>
            <w:hideMark/>
          </w:tcPr>
          <w:p w14:paraId="498EAA1E"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01210DA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6C148CF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1.053</w:t>
            </w:r>
          </w:p>
        </w:tc>
        <w:tc>
          <w:tcPr>
            <w:tcW w:w="339" w:type="pct"/>
            <w:vAlign w:val="center"/>
            <w:hideMark/>
          </w:tcPr>
          <w:p w14:paraId="6B70B16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5D52A1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455" w:type="pct"/>
            <w:vAlign w:val="center"/>
            <w:hideMark/>
          </w:tcPr>
          <w:p w14:paraId="4604A09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0.653</w:t>
            </w:r>
          </w:p>
        </w:tc>
        <w:tc>
          <w:tcPr>
            <w:tcW w:w="804" w:type="pct"/>
            <w:vAlign w:val="center"/>
            <w:hideMark/>
          </w:tcPr>
          <w:p w14:paraId="3A91586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0.521</w:t>
            </w:r>
          </w:p>
        </w:tc>
        <w:tc>
          <w:tcPr>
            <w:tcW w:w="459" w:type="pct"/>
            <w:vMerge w:val="restart"/>
            <w:vAlign w:val="center"/>
            <w:hideMark/>
          </w:tcPr>
          <w:p w14:paraId="74F882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5678FE1C" w14:textId="77777777" w:rsidTr="00597597">
        <w:trPr>
          <w:trHeight w:val="270"/>
        </w:trPr>
        <w:tc>
          <w:tcPr>
            <w:tcW w:w="742" w:type="pct"/>
            <w:vMerge/>
            <w:vAlign w:val="center"/>
            <w:hideMark/>
          </w:tcPr>
          <w:p w14:paraId="2DC50DA1"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7BA8AE8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113C777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307.178</w:t>
            </w:r>
          </w:p>
        </w:tc>
        <w:tc>
          <w:tcPr>
            <w:tcW w:w="339" w:type="pct"/>
            <w:vAlign w:val="center"/>
            <w:hideMark/>
          </w:tcPr>
          <w:p w14:paraId="57BFE4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77BA4F4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0.806</w:t>
            </w:r>
          </w:p>
        </w:tc>
        <w:tc>
          <w:tcPr>
            <w:tcW w:w="455" w:type="pct"/>
            <w:vAlign w:val="center"/>
            <w:hideMark/>
          </w:tcPr>
          <w:p w14:paraId="417FAAA9"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59C2EFD5"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2677A170"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32E65B7" w14:textId="77777777" w:rsidTr="00597597">
        <w:trPr>
          <w:trHeight w:val="270"/>
        </w:trPr>
        <w:tc>
          <w:tcPr>
            <w:tcW w:w="742" w:type="pct"/>
            <w:vMerge w:val="restart"/>
            <w:vAlign w:val="center"/>
            <w:hideMark/>
          </w:tcPr>
          <w:p w14:paraId="7AB94964"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31417D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387D96E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2.004</w:t>
            </w:r>
          </w:p>
        </w:tc>
        <w:tc>
          <w:tcPr>
            <w:tcW w:w="339" w:type="pct"/>
            <w:vAlign w:val="center"/>
            <w:hideMark/>
          </w:tcPr>
          <w:p w14:paraId="451206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5F85229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1.002</w:t>
            </w:r>
          </w:p>
        </w:tc>
        <w:tc>
          <w:tcPr>
            <w:tcW w:w="455" w:type="pct"/>
            <w:vAlign w:val="center"/>
            <w:hideMark/>
          </w:tcPr>
          <w:p w14:paraId="118D57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1.422</w:t>
            </w:r>
          </w:p>
        </w:tc>
        <w:tc>
          <w:tcPr>
            <w:tcW w:w="804" w:type="pct"/>
            <w:vAlign w:val="center"/>
            <w:hideMark/>
          </w:tcPr>
          <w:p w14:paraId="766C002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0.243</w:t>
            </w:r>
          </w:p>
        </w:tc>
        <w:tc>
          <w:tcPr>
            <w:tcW w:w="459" w:type="pct"/>
            <w:vMerge w:val="restart"/>
            <w:vAlign w:val="center"/>
            <w:hideMark/>
          </w:tcPr>
          <w:p w14:paraId="284E696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55B64CB4" w14:textId="77777777" w:rsidTr="00597597">
        <w:trPr>
          <w:trHeight w:val="270"/>
        </w:trPr>
        <w:tc>
          <w:tcPr>
            <w:tcW w:w="742" w:type="pct"/>
            <w:vMerge/>
            <w:vAlign w:val="center"/>
            <w:hideMark/>
          </w:tcPr>
          <w:p w14:paraId="0600FA65"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6E92B12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CA33BC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268.573</w:t>
            </w:r>
          </w:p>
        </w:tc>
        <w:tc>
          <w:tcPr>
            <w:tcW w:w="339" w:type="pct"/>
            <w:vAlign w:val="center"/>
            <w:hideMark/>
          </w:tcPr>
          <w:p w14:paraId="6D38F88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3DA2B4C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0.705</w:t>
            </w:r>
          </w:p>
        </w:tc>
        <w:tc>
          <w:tcPr>
            <w:tcW w:w="455" w:type="pct"/>
            <w:vAlign w:val="center"/>
            <w:hideMark/>
          </w:tcPr>
          <w:p w14:paraId="25FDDB16"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16CA9597"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74D976F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487C02BE" w14:textId="77777777" w:rsidTr="00597597">
        <w:trPr>
          <w:trHeight w:val="270"/>
        </w:trPr>
        <w:tc>
          <w:tcPr>
            <w:tcW w:w="742" w:type="pct"/>
            <w:vMerge w:val="restart"/>
            <w:vAlign w:val="center"/>
            <w:hideMark/>
          </w:tcPr>
          <w:p w14:paraId="4DA98735"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7BB4D2B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6304CE3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5.158</w:t>
            </w:r>
          </w:p>
        </w:tc>
        <w:tc>
          <w:tcPr>
            <w:tcW w:w="339" w:type="pct"/>
            <w:vAlign w:val="center"/>
            <w:hideMark/>
          </w:tcPr>
          <w:p w14:paraId="4A67C0B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0958F0D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2.579</w:t>
            </w:r>
          </w:p>
        </w:tc>
        <w:tc>
          <w:tcPr>
            <w:tcW w:w="455" w:type="pct"/>
            <w:vAlign w:val="center"/>
            <w:hideMark/>
          </w:tcPr>
          <w:p w14:paraId="341B4E9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2.67</w:t>
            </w:r>
          </w:p>
        </w:tc>
        <w:tc>
          <w:tcPr>
            <w:tcW w:w="804" w:type="pct"/>
            <w:vAlign w:val="center"/>
            <w:hideMark/>
          </w:tcPr>
          <w:p w14:paraId="16A256A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0.071</w:t>
            </w:r>
          </w:p>
        </w:tc>
        <w:tc>
          <w:tcPr>
            <w:tcW w:w="459" w:type="pct"/>
            <w:vMerge w:val="restart"/>
            <w:vAlign w:val="center"/>
            <w:hideMark/>
          </w:tcPr>
          <w:p w14:paraId="6CE2810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4753613F" w14:textId="77777777" w:rsidTr="00597597">
        <w:trPr>
          <w:trHeight w:val="270"/>
        </w:trPr>
        <w:tc>
          <w:tcPr>
            <w:tcW w:w="742" w:type="pct"/>
            <w:vMerge/>
            <w:vAlign w:val="center"/>
            <w:hideMark/>
          </w:tcPr>
          <w:p w14:paraId="588204C5"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0EFDD9E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3B9E233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367.974</w:t>
            </w:r>
          </w:p>
        </w:tc>
        <w:tc>
          <w:tcPr>
            <w:tcW w:w="339" w:type="pct"/>
            <w:vAlign w:val="center"/>
            <w:hideMark/>
          </w:tcPr>
          <w:p w14:paraId="3CB94E0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2BF2DE4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0.966</w:t>
            </w:r>
          </w:p>
        </w:tc>
        <w:tc>
          <w:tcPr>
            <w:tcW w:w="455" w:type="pct"/>
            <w:vAlign w:val="center"/>
            <w:hideMark/>
          </w:tcPr>
          <w:p w14:paraId="1F45EFB6"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5909C925"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67767AD6" w14:textId="77777777" w:rsidR="001D3D5D" w:rsidRPr="00B322FF" w:rsidRDefault="001D3D5D" w:rsidP="00B527E5">
            <w:pPr>
              <w:jc w:val="center"/>
              <w:rPr>
                <w:rFonts w:ascii="Simplified Arabic" w:eastAsia="Times New Roman" w:hAnsi="Simplified Arabic" w:cs="Simplified Arabic"/>
              </w:rPr>
            </w:pPr>
          </w:p>
        </w:tc>
      </w:tr>
    </w:tbl>
    <w:p w14:paraId="64C6913D" w14:textId="248ADD23"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تشير النتائج الإحصائية الواردة في الجدول (</w:t>
      </w:r>
      <w:r w:rsidR="00956DF2">
        <w:rPr>
          <w:rFonts w:ascii="Simplified Arabic" w:hAnsi="Simplified Arabic" w:cs="Simplified Arabic" w:hint="cs"/>
          <w:sz w:val="28"/>
          <w:szCs w:val="28"/>
          <w:rtl/>
        </w:rPr>
        <w:t>٤-١٢</w:t>
      </w:r>
      <w:r w:rsidRPr="00B322FF">
        <w:rPr>
          <w:rFonts w:ascii="Simplified Arabic" w:hAnsi="Simplified Arabic" w:cs="Simplified Arabic" w:hint="cs"/>
          <w:sz w:val="28"/>
          <w:szCs w:val="28"/>
          <w:rtl/>
        </w:rPr>
        <w:t>) إلى عدم وجود فروق ذات دلالة إحصائية عند مستوى دلالة (0.05) في كافة المتغيرات الرئيسية للدراسة تبعاً لمتغير الدخل الشهري، حيث جاءت جميع قيم مستوى الدلالة (</w:t>
      </w:r>
      <w:r w:rsidRPr="00B322FF">
        <w:rPr>
          <w:rFonts w:ascii="Simplified Arabic" w:hAnsi="Simplified Arabic" w:cs="Simplified Arabic" w:hint="cs"/>
          <w:sz w:val="28"/>
          <w:szCs w:val="28"/>
          <w:lang w:bidi="ar-YE"/>
        </w:rPr>
        <w:t>Sig</w:t>
      </w:r>
      <w:r w:rsidRPr="00B322FF">
        <w:rPr>
          <w:rFonts w:ascii="Simplified Arabic" w:hAnsi="Simplified Arabic" w:cs="Simplified Arabic" w:hint="cs"/>
          <w:sz w:val="28"/>
          <w:szCs w:val="28"/>
          <w:rtl/>
        </w:rPr>
        <w:t>) أكبر من القيمة المعتمدة؛ ففي محور أثر التحول الصحي بلغت (0.649)، وفي بيئة العمل النفسية (0.521)، وفي رفاهية الموظفين (0.243)، وفي الاحتراق الوظيفي (0.071).</w:t>
      </w:r>
    </w:p>
    <w:p w14:paraId="30BECBD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هذه النتائج، لا تختلف تصورات المبحوثين حول أثر التحول الصحي أو مستوى رفاهيتهم وبيئة عملهم النفسية، كما لا يختلف مستوى تأثرهم بالاحتراق الوظيفي باختلاف مستويات دخلهم الشهري، مما يشير إلى أن العوامل المعنوية والتنظيمية في القطاع الصحي هي المحرك الأساسي لإدراك الموظف لبيئته بعيداً عن الفوارق المادية المباشرة.</w:t>
      </w:r>
    </w:p>
    <w:p w14:paraId="229DF807"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الحالة الاجتماعية</w:t>
      </w:r>
    </w:p>
    <w:p w14:paraId="2140FBFD"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المبحوثين (أعزب، متزوج، أخرى) تجاه متغيرات الدراسة،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وتوضح النتائج في الجدول التالي المخرجات الإحصائية لهذا الاختبار:</w:t>
      </w:r>
    </w:p>
    <w:p w14:paraId="550FCB69" w14:textId="4F57113A"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6D3814">
        <w:rPr>
          <w:rFonts w:ascii="Simplified Arabic" w:hAnsi="Simplified Arabic" w:cs="Simplified Arabic" w:hint="cs"/>
          <w:b/>
          <w:bCs/>
          <w:kern w:val="2"/>
          <w:rtl/>
          <w14:ligatures w14:val="standardContextual"/>
        </w:rPr>
        <w:t>٤-١٣</w:t>
      </w:r>
      <w:r w:rsidRPr="00B322FF">
        <w:rPr>
          <w:rFonts w:ascii="Simplified Arabic" w:hAnsi="Simplified Arabic" w:cs="Simplified Arabic" w:hint="cs"/>
          <w:b/>
          <w:bCs/>
          <w:kern w:val="2"/>
          <w:rtl/>
          <w14:ligatures w14:val="standardContextual"/>
        </w:rPr>
        <w:t>): نتائج تحليل التباين الأحادي للفروق وفقاً للحالة الاجتماعية</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638786D5" w14:textId="77777777" w:rsidTr="00597597">
        <w:trPr>
          <w:trHeight w:val="270"/>
        </w:trPr>
        <w:tc>
          <w:tcPr>
            <w:tcW w:w="742" w:type="pct"/>
            <w:vAlign w:val="center"/>
            <w:hideMark/>
          </w:tcPr>
          <w:p w14:paraId="59FB6551"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59" w:type="pct"/>
            <w:vAlign w:val="center"/>
            <w:hideMark/>
          </w:tcPr>
          <w:p w14:paraId="1C6ABD0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45E27EE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1D2B10B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182D7AE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23CFABE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7102B68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10212B5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4A7B91E9" w14:textId="77777777" w:rsidTr="00597597">
        <w:trPr>
          <w:trHeight w:val="270"/>
        </w:trPr>
        <w:tc>
          <w:tcPr>
            <w:tcW w:w="742" w:type="pct"/>
            <w:vMerge w:val="restart"/>
            <w:vAlign w:val="center"/>
            <w:hideMark/>
          </w:tcPr>
          <w:p w14:paraId="614C935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51BE25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06B2CEF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1.586</w:t>
            </w:r>
          </w:p>
        </w:tc>
        <w:tc>
          <w:tcPr>
            <w:tcW w:w="339" w:type="pct"/>
            <w:vAlign w:val="center"/>
            <w:hideMark/>
          </w:tcPr>
          <w:p w14:paraId="14B9A2A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30A2D0B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0.793</w:t>
            </w:r>
          </w:p>
        </w:tc>
        <w:tc>
          <w:tcPr>
            <w:tcW w:w="455" w:type="pct"/>
            <w:vAlign w:val="center"/>
            <w:hideMark/>
          </w:tcPr>
          <w:p w14:paraId="712DDEB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1.145</w:t>
            </w:r>
          </w:p>
        </w:tc>
        <w:tc>
          <w:tcPr>
            <w:tcW w:w="804" w:type="pct"/>
            <w:vAlign w:val="center"/>
            <w:hideMark/>
          </w:tcPr>
          <w:p w14:paraId="07C5CAF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0.319</w:t>
            </w:r>
          </w:p>
        </w:tc>
        <w:tc>
          <w:tcPr>
            <w:tcW w:w="459" w:type="pct"/>
            <w:vMerge w:val="restart"/>
            <w:vAlign w:val="center"/>
            <w:hideMark/>
          </w:tcPr>
          <w:p w14:paraId="4A08B10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3E762299" w14:textId="77777777" w:rsidTr="00597597">
        <w:trPr>
          <w:trHeight w:val="270"/>
        </w:trPr>
        <w:tc>
          <w:tcPr>
            <w:tcW w:w="742" w:type="pct"/>
            <w:vMerge/>
            <w:vAlign w:val="center"/>
            <w:hideMark/>
          </w:tcPr>
          <w:p w14:paraId="01997EFA"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78A8DC7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11DA78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263.922</w:t>
            </w:r>
          </w:p>
        </w:tc>
        <w:tc>
          <w:tcPr>
            <w:tcW w:w="339" w:type="pct"/>
            <w:vAlign w:val="center"/>
            <w:hideMark/>
          </w:tcPr>
          <w:p w14:paraId="69B1C2F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639213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0.693</w:t>
            </w:r>
          </w:p>
        </w:tc>
        <w:tc>
          <w:tcPr>
            <w:tcW w:w="455" w:type="pct"/>
            <w:vAlign w:val="center"/>
            <w:hideMark/>
          </w:tcPr>
          <w:p w14:paraId="760574B1"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4A5AB465"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14C7578B"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4BBC21C0" w14:textId="77777777" w:rsidTr="00597597">
        <w:trPr>
          <w:trHeight w:val="270"/>
        </w:trPr>
        <w:tc>
          <w:tcPr>
            <w:tcW w:w="742" w:type="pct"/>
            <w:vMerge w:val="restart"/>
            <w:vAlign w:val="center"/>
            <w:hideMark/>
          </w:tcPr>
          <w:p w14:paraId="551A1CC6"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65CEC5E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488BE17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0.456</w:t>
            </w:r>
          </w:p>
        </w:tc>
        <w:tc>
          <w:tcPr>
            <w:tcW w:w="339" w:type="pct"/>
            <w:vAlign w:val="center"/>
            <w:hideMark/>
          </w:tcPr>
          <w:p w14:paraId="3954D62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06A7E2F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0.228</w:t>
            </w:r>
          </w:p>
        </w:tc>
        <w:tc>
          <w:tcPr>
            <w:tcW w:w="455" w:type="pct"/>
            <w:vAlign w:val="center"/>
            <w:hideMark/>
          </w:tcPr>
          <w:p w14:paraId="71BC01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0.282</w:t>
            </w:r>
          </w:p>
        </w:tc>
        <w:tc>
          <w:tcPr>
            <w:tcW w:w="804" w:type="pct"/>
            <w:vAlign w:val="center"/>
            <w:hideMark/>
          </w:tcPr>
          <w:p w14:paraId="549D823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0.754</w:t>
            </w:r>
          </w:p>
        </w:tc>
        <w:tc>
          <w:tcPr>
            <w:tcW w:w="459" w:type="pct"/>
            <w:vMerge w:val="restart"/>
            <w:vAlign w:val="center"/>
            <w:hideMark/>
          </w:tcPr>
          <w:p w14:paraId="39995E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54C534FA" w14:textId="77777777" w:rsidTr="00597597">
        <w:trPr>
          <w:trHeight w:val="270"/>
        </w:trPr>
        <w:tc>
          <w:tcPr>
            <w:tcW w:w="742" w:type="pct"/>
            <w:vMerge/>
            <w:vAlign w:val="center"/>
            <w:hideMark/>
          </w:tcPr>
          <w:p w14:paraId="0B67AAD4"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231145F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68B591A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307.775</w:t>
            </w:r>
          </w:p>
        </w:tc>
        <w:tc>
          <w:tcPr>
            <w:tcW w:w="339" w:type="pct"/>
            <w:vAlign w:val="center"/>
            <w:hideMark/>
          </w:tcPr>
          <w:p w14:paraId="18A1C91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11ABBF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0.808</w:t>
            </w:r>
          </w:p>
        </w:tc>
        <w:tc>
          <w:tcPr>
            <w:tcW w:w="455" w:type="pct"/>
            <w:vAlign w:val="center"/>
            <w:hideMark/>
          </w:tcPr>
          <w:p w14:paraId="04CE7906"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0005A058"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72E4F62E"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928711A" w14:textId="77777777" w:rsidTr="00597597">
        <w:trPr>
          <w:trHeight w:val="270"/>
        </w:trPr>
        <w:tc>
          <w:tcPr>
            <w:tcW w:w="742" w:type="pct"/>
            <w:vMerge w:val="restart"/>
            <w:vAlign w:val="center"/>
            <w:hideMark/>
          </w:tcPr>
          <w:p w14:paraId="2C8E4299"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689DB10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049C9A3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339" w:type="pct"/>
            <w:vAlign w:val="center"/>
            <w:hideMark/>
          </w:tcPr>
          <w:p w14:paraId="06D5909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4A19C64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0.263</w:t>
            </w:r>
          </w:p>
        </w:tc>
        <w:tc>
          <w:tcPr>
            <w:tcW w:w="455" w:type="pct"/>
            <w:vAlign w:val="center"/>
            <w:hideMark/>
          </w:tcPr>
          <w:p w14:paraId="59D96E0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0.372</w:t>
            </w:r>
          </w:p>
        </w:tc>
        <w:tc>
          <w:tcPr>
            <w:tcW w:w="804" w:type="pct"/>
            <w:vAlign w:val="center"/>
            <w:hideMark/>
          </w:tcPr>
          <w:p w14:paraId="0560197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w:t>
            </w:r>
          </w:p>
        </w:tc>
        <w:tc>
          <w:tcPr>
            <w:tcW w:w="459" w:type="pct"/>
            <w:vMerge w:val="restart"/>
            <w:vAlign w:val="center"/>
            <w:hideMark/>
          </w:tcPr>
          <w:p w14:paraId="52BE49F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59B41A45" w14:textId="77777777" w:rsidTr="00597597">
        <w:trPr>
          <w:trHeight w:val="270"/>
        </w:trPr>
        <w:tc>
          <w:tcPr>
            <w:tcW w:w="742" w:type="pct"/>
            <w:vMerge/>
            <w:vAlign w:val="center"/>
            <w:hideMark/>
          </w:tcPr>
          <w:p w14:paraId="4F87F39F"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2D99FA4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723FFC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270.051</w:t>
            </w:r>
          </w:p>
        </w:tc>
        <w:tc>
          <w:tcPr>
            <w:tcW w:w="339" w:type="pct"/>
            <w:vAlign w:val="center"/>
            <w:hideMark/>
          </w:tcPr>
          <w:p w14:paraId="0B18BB7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4EDD220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0.709</w:t>
            </w:r>
          </w:p>
        </w:tc>
        <w:tc>
          <w:tcPr>
            <w:tcW w:w="455" w:type="pct"/>
            <w:vAlign w:val="center"/>
            <w:hideMark/>
          </w:tcPr>
          <w:p w14:paraId="146EE679"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D8C5C76"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0CC41707"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CDC91B9" w14:textId="77777777" w:rsidTr="00597597">
        <w:trPr>
          <w:trHeight w:val="270"/>
        </w:trPr>
        <w:tc>
          <w:tcPr>
            <w:tcW w:w="742" w:type="pct"/>
            <w:vMerge w:val="restart"/>
            <w:vAlign w:val="center"/>
            <w:hideMark/>
          </w:tcPr>
          <w:p w14:paraId="6D60A1C7"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2F2B51E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2BF188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2.921</w:t>
            </w:r>
          </w:p>
        </w:tc>
        <w:tc>
          <w:tcPr>
            <w:tcW w:w="339" w:type="pct"/>
            <w:vAlign w:val="center"/>
            <w:hideMark/>
          </w:tcPr>
          <w:p w14:paraId="6C17D6F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699E717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1.461</w:t>
            </w:r>
          </w:p>
        </w:tc>
        <w:tc>
          <w:tcPr>
            <w:tcW w:w="455" w:type="pct"/>
            <w:vAlign w:val="center"/>
            <w:hideMark/>
          </w:tcPr>
          <w:p w14:paraId="7E738A7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1.503</w:t>
            </w:r>
          </w:p>
        </w:tc>
        <w:tc>
          <w:tcPr>
            <w:tcW w:w="804" w:type="pct"/>
            <w:vAlign w:val="center"/>
            <w:hideMark/>
          </w:tcPr>
          <w:p w14:paraId="3193E5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0.224</w:t>
            </w:r>
          </w:p>
        </w:tc>
        <w:tc>
          <w:tcPr>
            <w:tcW w:w="459" w:type="pct"/>
            <w:vMerge w:val="restart"/>
            <w:vAlign w:val="center"/>
            <w:hideMark/>
          </w:tcPr>
          <w:p w14:paraId="11E4AD6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6B8D7DD5" w14:textId="77777777" w:rsidTr="00597597">
        <w:trPr>
          <w:trHeight w:val="270"/>
        </w:trPr>
        <w:tc>
          <w:tcPr>
            <w:tcW w:w="742" w:type="pct"/>
            <w:vMerge/>
            <w:vAlign w:val="center"/>
            <w:hideMark/>
          </w:tcPr>
          <w:p w14:paraId="04CF291F"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1A69459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53A01FC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370.21</w:t>
            </w:r>
          </w:p>
        </w:tc>
        <w:tc>
          <w:tcPr>
            <w:tcW w:w="339" w:type="pct"/>
            <w:vAlign w:val="center"/>
            <w:hideMark/>
          </w:tcPr>
          <w:p w14:paraId="40EEFDC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2B8AFD9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0.972</w:t>
            </w:r>
          </w:p>
        </w:tc>
        <w:tc>
          <w:tcPr>
            <w:tcW w:w="455" w:type="pct"/>
            <w:vAlign w:val="center"/>
            <w:hideMark/>
          </w:tcPr>
          <w:p w14:paraId="0E2F16BF"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3F885A27"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6CF76FEB" w14:textId="77777777" w:rsidR="001D3D5D" w:rsidRPr="00B322FF" w:rsidRDefault="001D3D5D" w:rsidP="00B527E5">
            <w:pPr>
              <w:jc w:val="center"/>
              <w:rPr>
                <w:rFonts w:ascii="Simplified Arabic" w:eastAsia="Times New Roman" w:hAnsi="Simplified Arabic" w:cs="Simplified Arabic"/>
              </w:rPr>
            </w:pPr>
          </w:p>
        </w:tc>
      </w:tr>
    </w:tbl>
    <w:p w14:paraId="2E215123" w14:textId="5125A42E"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962FBD">
        <w:rPr>
          <w:rFonts w:ascii="Simplified Arabic" w:hAnsi="Simplified Arabic" w:cs="Simplified Arabic" w:hint="cs"/>
          <w:sz w:val="28"/>
          <w:szCs w:val="28"/>
          <w:rtl/>
        </w:rPr>
        <w:t>٤-١٣</w:t>
      </w:r>
      <w:r w:rsidRPr="00B322FF">
        <w:rPr>
          <w:rFonts w:ascii="Simplified Arabic" w:hAnsi="Simplified Arabic" w:cs="Simplified Arabic" w:hint="cs"/>
          <w:sz w:val="28"/>
          <w:szCs w:val="28"/>
          <w:rtl/>
        </w:rPr>
        <w:t>) عدم وجود فروق ذات دلالة إحصائية عند مستوى دلالة (0.05) في جميع محاور الدراسة وفقاً لمتغير الحالة الاجتماعية؛ حيث جاءت جميع قيم مستوى الدلالة (</w:t>
      </w:r>
      <w:r w:rsidRPr="00B322FF">
        <w:rPr>
          <w:rFonts w:ascii="Simplified Arabic" w:hAnsi="Simplified Arabic" w:cs="Simplified Arabic" w:hint="cs"/>
          <w:sz w:val="28"/>
          <w:szCs w:val="28"/>
          <w:lang w:bidi="ar-YE"/>
        </w:rPr>
        <w:t>Sig</w:t>
      </w:r>
      <w:r w:rsidRPr="00B322FF">
        <w:rPr>
          <w:rFonts w:ascii="Simplified Arabic" w:hAnsi="Simplified Arabic" w:cs="Simplified Arabic" w:hint="cs"/>
          <w:sz w:val="28"/>
          <w:szCs w:val="28"/>
          <w:rtl/>
        </w:rPr>
        <w:t>) أكبر من القيمة المعتمدة؛ فبلغت في محور أثر التحول الصحي (0.319)، وفي بيئة العمل النفسية المستدامة (0.754)، وفي رفاهية الموظفين (0.690)، وفي الاحتراق الوظيفي (0.224).</w:t>
      </w:r>
    </w:p>
    <w:p w14:paraId="4F326FD3"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هذه المعطيات، لا تختلف استجابات المبحوثين وتصوراتهم تجاه متغيرات الدراسة باختلاف حالاتهم الاجتماعية؛ حيث تفرض السياسات الإدارية والمبادرات الاستراتيجية للتحول الصحي تأثيرات عامة وموحدة تستهدف الموظف ككادر مهني بغض النظر عن التزاماته أو ظروفه الاجتماعية الشخصية.</w:t>
      </w:r>
    </w:p>
    <w:p w14:paraId="5CF8CFC3" w14:textId="77777777" w:rsidR="001D3D5D" w:rsidRPr="000C5D98" w:rsidRDefault="001D3D5D" w:rsidP="000C5D98">
      <w:pPr>
        <w:pStyle w:val="2"/>
        <w:rPr>
          <w:b w:val="0"/>
          <w:bCs/>
          <w:lang w:bidi="ar-YE"/>
        </w:rPr>
      </w:pPr>
      <w:bookmarkStart w:id="50" w:name="_Toc234084458"/>
      <w:r w:rsidRPr="000C5D98">
        <w:rPr>
          <w:rFonts w:hint="cs"/>
          <w:b w:val="0"/>
          <w:bCs/>
          <w:rtl/>
          <w:lang w:bidi="ar-YE"/>
        </w:rPr>
        <w:t>رابعاً: ملخص نتائج الدراسة</w:t>
      </w:r>
      <w:bookmarkEnd w:id="50"/>
      <w:r w:rsidRPr="000C5D98">
        <w:rPr>
          <w:rFonts w:hint="cs"/>
          <w:b w:val="0"/>
          <w:bCs/>
          <w:rtl/>
          <w:lang w:bidi="ar-YE"/>
        </w:rPr>
        <w:t xml:space="preserve"> </w:t>
      </w:r>
    </w:p>
    <w:p w14:paraId="50474B13" w14:textId="70DDA478" w:rsidR="001D3D5D" w:rsidRPr="00B322FF" w:rsidRDefault="001D3D5D" w:rsidP="00B527E5">
      <w:pPr>
        <w:spacing w:line="240" w:lineRule="auto"/>
        <w:jc w:val="center"/>
        <w:rPr>
          <w:rFonts w:ascii="Simplified Arabic" w:hAnsi="Simplified Arabic" w:cs="Simplified Arabic"/>
          <w:b/>
          <w:bCs/>
          <w:lang w:bidi="ar-YE"/>
        </w:rPr>
      </w:pPr>
      <w:r w:rsidRPr="00B322FF">
        <w:rPr>
          <w:rFonts w:ascii="Simplified Arabic" w:hAnsi="Simplified Arabic" w:cs="Simplified Arabic" w:hint="cs"/>
          <w:b/>
          <w:bCs/>
          <w:rtl/>
          <w:lang w:bidi="ar-YE"/>
        </w:rPr>
        <w:t>جدول (</w:t>
      </w:r>
      <w:r w:rsidR="00962FBD">
        <w:rPr>
          <w:rFonts w:ascii="Simplified Arabic" w:hAnsi="Simplified Arabic" w:cs="Simplified Arabic" w:hint="cs"/>
          <w:b/>
          <w:bCs/>
          <w:rtl/>
          <w:lang w:bidi="ar-YE"/>
        </w:rPr>
        <w:t>٤-١٤</w:t>
      </w:r>
      <w:r w:rsidRPr="00B322FF">
        <w:rPr>
          <w:rFonts w:ascii="Simplified Arabic" w:hAnsi="Simplified Arabic" w:cs="Simplified Arabic" w:hint="cs"/>
          <w:b/>
          <w:bCs/>
          <w:rtl/>
          <w:lang w:bidi="ar-YE"/>
        </w:rPr>
        <w:t>): ملخص نتائج اختبار فروض الدراسة</w:t>
      </w:r>
    </w:p>
    <w:tbl>
      <w:tblPr>
        <w:tblStyle w:val="10"/>
        <w:bidiVisual/>
        <w:tblW w:w="0" w:type="auto"/>
        <w:tblLook w:val="0620" w:firstRow="1" w:lastRow="0" w:firstColumn="0" w:lastColumn="0" w:noHBand="1" w:noVBand="1"/>
      </w:tblPr>
      <w:tblGrid>
        <w:gridCol w:w="343"/>
        <w:gridCol w:w="3216"/>
        <w:gridCol w:w="3148"/>
        <w:gridCol w:w="1367"/>
        <w:gridCol w:w="942"/>
      </w:tblGrid>
      <w:tr w:rsidR="001D3D5D" w:rsidRPr="00B322FF" w14:paraId="64A2415B" w14:textId="77777777" w:rsidTr="00597597">
        <w:trPr>
          <w:cnfStyle w:val="100000000000" w:firstRow="1" w:lastRow="0" w:firstColumn="0" w:lastColumn="0" w:oddVBand="0" w:evenVBand="0" w:oddHBand="0" w:evenHBand="0" w:firstRowFirstColumn="0" w:firstRowLastColumn="0" w:lastRowFirstColumn="0" w:lastRowLastColumn="0"/>
          <w:trHeight w:val="285"/>
        </w:trPr>
        <w:tc>
          <w:tcPr>
            <w:tcW w:w="0" w:type="auto"/>
            <w:vAlign w:val="center"/>
          </w:tcPr>
          <w:p w14:paraId="5A17EC92" w14:textId="77777777" w:rsidR="001D3D5D" w:rsidRPr="00B322FF" w:rsidRDefault="001D3D5D" w:rsidP="00B527E5">
            <w:pPr>
              <w:jc w:val="center"/>
              <w:rPr>
                <w:rFonts w:ascii="Simplified Arabic" w:eastAsia="Times New Roman" w:hAnsi="Simplified Arabic" w:cs="Simplified Arabic"/>
                <w:b w:val="0"/>
                <w:bCs w:val="0"/>
                <w:color w:val="000000"/>
                <w:rtl/>
              </w:rPr>
            </w:pPr>
          </w:p>
        </w:tc>
        <w:tc>
          <w:tcPr>
            <w:tcW w:w="0" w:type="auto"/>
            <w:vAlign w:val="center"/>
            <w:hideMark/>
          </w:tcPr>
          <w:p w14:paraId="62DB809E" w14:textId="77777777" w:rsidR="001D3D5D" w:rsidRPr="00B322FF" w:rsidRDefault="001D3D5D" w:rsidP="00B527E5">
            <w:pPr>
              <w:jc w:val="center"/>
              <w:rPr>
                <w:rFonts w:ascii="Simplified Arabic" w:eastAsia="Times New Roman" w:hAnsi="Simplified Arabic" w:cs="Simplified Arabic"/>
                <w:color w:val="000000"/>
                <w:kern w:val="0"/>
                <w14:ligatures w14:val="none"/>
              </w:rPr>
            </w:pPr>
            <w:r w:rsidRPr="00B322FF">
              <w:rPr>
                <w:rFonts w:ascii="Simplified Arabic" w:eastAsia="Times New Roman" w:hAnsi="Simplified Arabic" w:cs="Simplified Arabic" w:hint="cs"/>
                <w:color w:val="000000"/>
                <w:rtl/>
              </w:rPr>
              <w:t>التساؤل</w:t>
            </w:r>
          </w:p>
        </w:tc>
        <w:tc>
          <w:tcPr>
            <w:tcW w:w="0" w:type="auto"/>
            <w:vAlign w:val="center"/>
            <w:hideMark/>
          </w:tcPr>
          <w:p w14:paraId="19E2169A"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الفرض</w:t>
            </w:r>
          </w:p>
        </w:tc>
        <w:tc>
          <w:tcPr>
            <w:tcW w:w="0" w:type="auto"/>
            <w:vAlign w:val="center"/>
            <w:hideMark/>
          </w:tcPr>
          <w:p w14:paraId="1189C653"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أسلوب التحليل الإحصائي</w:t>
            </w:r>
          </w:p>
        </w:tc>
        <w:tc>
          <w:tcPr>
            <w:tcW w:w="0" w:type="auto"/>
            <w:vAlign w:val="center"/>
            <w:hideMark/>
          </w:tcPr>
          <w:p w14:paraId="6D8A105A"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النتيجة</w:t>
            </w:r>
          </w:p>
        </w:tc>
      </w:tr>
      <w:tr w:rsidR="001D3D5D" w:rsidRPr="00B322FF" w14:paraId="579015D3" w14:textId="77777777" w:rsidTr="00597597">
        <w:trPr>
          <w:trHeight w:val="1200"/>
        </w:trPr>
        <w:tc>
          <w:tcPr>
            <w:tcW w:w="0" w:type="auto"/>
            <w:vAlign w:val="center"/>
          </w:tcPr>
          <w:p w14:paraId="3FB23938"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١</w:t>
            </w:r>
          </w:p>
        </w:tc>
        <w:tc>
          <w:tcPr>
            <w:tcW w:w="0" w:type="auto"/>
            <w:vAlign w:val="center"/>
            <w:hideMark/>
          </w:tcPr>
          <w:p w14:paraId="3349E82B"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ما أثر التحول الصحي في المملكة العربية السعودية على بيئة العمل النفسية المستدامة في القطاع الصحي الحكومي بمدينة الرياض؟</w:t>
            </w:r>
          </w:p>
        </w:tc>
        <w:tc>
          <w:tcPr>
            <w:tcW w:w="0" w:type="auto"/>
            <w:vAlign w:val="center"/>
            <w:hideMark/>
          </w:tcPr>
          <w:p w14:paraId="355C96C2"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أثر ذو دلالة إحصائية بين التحول الصحي وبيئة العمل النفسية المستدامة في القطاع الصحي الحكومي بمدينة الرياض.</w:t>
            </w:r>
          </w:p>
        </w:tc>
        <w:tc>
          <w:tcPr>
            <w:tcW w:w="0" w:type="auto"/>
            <w:vAlign w:val="center"/>
            <w:hideMark/>
          </w:tcPr>
          <w:p w14:paraId="3C1061D9"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البسيط</w:t>
            </w:r>
          </w:p>
        </w:tc>
        <w:tc>
          <w:tcPr>
            <w:tcW w:w="0" w:type="auto"/>
            <w:vAlign w:val="center"/>
            <w:hideMark/>
          </w:tcPr>
          <w:p w14:paraId="5B86A5B6"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تم قبول الفرضية</w:t>
            </w:r>
          </w:p>
        </w:tc>
      </w:tr>
      <w:tr w:rsidR="001D3D5D" w:rsidRPr="00B322FF" w14:paraId="12398A37" w14:textId="77777777" w:rsidTr="00597597">
        <w:trPr>
          <w:trHeight w:val="1200"/>
        </w:trPr>
        <w:tc>
          <w:tcPr>
            <w:tcW w:w="0" w:type="auto"/>
            <w:vAlign w:val="center"/>
          </w:tcPr>
          <w:p w14:paraId="4DA23045"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٢</w:t>
            </w:r>
          </w:p>
        </w:tc>
        <w:tc>
          <w:tcPr>
            <w:tcW w:w="0" w:type="auto"/>
            <w:vAlign w:val="center"/>
            <w:hideMark/>
          </w:tcPr>
          <w:p w14:paraId="6222A121"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ما أثر التحول الصحي في المملكة العربية السعودية على تقليل الاحتراق الوظيفي في القطاع الصحي الحكومي بمدينة الرياض؟</w:t>
            </w:r>
          </w:p>
        </w:tc>
        <w:tc>
          <w:tcPr>
            <w:tcW w:w="0" w:type="auto"/>
            <w:vAlign w:val="center"/>
            <w:hideMark/>
          </w:tcPr>
          <w:p w14:paraId="658C5590"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أثر ذو دلالة إحصائية بين التحول الصحي وتقليل الاحتراق الوظيفي في القطاع الصحي الحكومي بمدينة الرياض.</w:t>
            </w:r>
          </w:p>
        </w:tc>
        <w:tc>
          <w:tcPr>
            <w:tcW w:w="0" w:type="auto"/>
            <w:vAlign w:val="center"/>
            <w:hideMark/>
          </w:tcPr>
          <w:p w14:paraId="53BB68B4"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البسيط</w:t>
            </w:r>
          </w:p>
        </w:tc>
        <w:tc>
          <w:tcPr>
            <w:tcW w:w="0" w:type="auto"/>
            <w:vAlign w:val="center"/>
            <w:hideMark/>
          </w:tcPr>
          <w:p w14:paraId="57AC90BD"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r w:rsidR="001D3D5D" w:rsidRPr="00B322FF" w14:paraId="52ED8D03" w14:textId="77777777" w:rsidTr="00597597">
        <w:trPr>
          <w:trHeight w:val="1785"/>
        </w:trPr>
        <w:tc>
          <w:tcPr>
            <w:tcW w:w="0" w:type="auto"/>
            <w:vAlign w:val="center"/>
          </w:tcPr>
          <w:p w14:paraId="44781481"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lastRenderedPageBreak/>
              <w:t>٣</w:t>
            </w:r>
          </w:p>
        </w:tc>
        <w:tc>
          <w:tcPr>
            <w:tcW w:w="0" w:type="auto"/>
            <w:vAlign w:val="center"/>
            <w:hideMark/>
          </w:tcPr>
          <w:p w14:paraId="4DB77F5D"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هل يوجد علاقة بين التحول الصحي ورفاهية الموظفين في تقليل الاحتراق الوظيفي في القطاع الصحي الحكومي بمدينة الرياض؟</w:t>
            </w:r>
          </w:p>
        </w:tc>
        <w:tc>
          <w:tcPr>
            <w:tcW w:w="0" w:type="auto"/>
            <w:vAlign w:val="center"/>
            <w:hideMark/>
          </w:tcPr>
          <w:p w14:paraId="139DFF36"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توجد علاقة ارتباطية إيجابية بين التحول الصحي ورفاهية الموظفين في تقليل الاحتراق الوظيفي في القطاع الصحي الحكومي بمدينة الرياض.</w:t>
            </w:r>
          </w:p>
        </w:tc>
        <w:tc>
          <w:tcPr>
            <w:tcW w:w="0" w:type="auto"/>
            <w:vAlign w:val="center"/>
            <w:hideMark/>
          </w:tcPr>
          <w:p w14:paraId="2F5467BA"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المتعدد</w:t>
            </w:r>
          </w:p>
        </w:tc>
        <w:tc>
          <w:tcPr>
            <w:tcW w:w="0" w:type="auto"/>
            <w:vAlign w:val="center"/>
            <w:hideMark/>
          </w:tcPr>
          <w:p w14:paraId="541C0B62"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r w:rsidR="001D3D5D" w:rsidRPr="00B322FF" w14:paraId="0687F4B5" w14:textId="77777777" w:rsidTr="00597597">
        <w:trPr>
          <w:trHeight w:val="1755"/>
        </w:trPr>
        <w:tc>
          <w:tcPr>
            <w:tcW w:w="0" w:type="auto"/>
            <w:vAlign w:val="center"/>
          </w:tcPr>
          <w:p w14:paraId="7E4780D5"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٤</w:t>
            </w:r>
          </w:p>
        </w:tc>
        <w:tc>
          <w:tcPr>
            <w:tcW w:w="0" w:type="auto"/>
            <w:vAlign w:val="center"/>
            <w:hideMark/>
          </w:tcPr>
          <w:p w14:paraId="182655EE"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هل يوجد علاقة ذات دلالة معنوية بين التحول الصحي ورفاهية الموظفين تسهم في تقليل الاحتراق الوظيفي في القطاع الصحي الحكومي بمدينة الرياض؟</w:t>
            </w:r>
          </w:p>
        </w:tc>
        <w:tc>
          <w:tcPr>
            <w:tcW w:w="0" w:type="auto"/>
            <w:vAlign w:val="center"/>
            <w:hideMark/>
          </w:tcPr>
          <w:p w14:paraId="11BB4A2E"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علاقة ذات دلالة معنوية بين التحول الصحي ورفاهية الموظفين يسهم في تقليل الاحتراق الوظيفي في القطاع الصحي الحكومي بمدينة الرياض.</w:t>
            </w:r>
          </w:p>
        </w:tc>
        <w:tc>
          <w:tcPr>
            <w:tcW w:w="0" w:type="auto"/>
            <w:vAlign w:val="center"/>
            <w:hideMark/>
          </w:tcPr>
          <w:p w14:paraId="59197B76"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المسار واختبار الدور الوسيط</w:t>
            </w:r>
          </w:p>
        </w:tc>
        <w:tc>
          <w:tcPr>
            <w:tcW w:w="0" w:type="auto"/>
            <w:vAlign w:val="center"/>
            <w:hideMark/>
          </w:tcPr>
          <w:p w14:paraId="41A232E9"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bl>
    <w:p w14:paraId="28C371FD"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أظهرت نتائج الدراسة أن التحول الصحي يمثل متغيراً مؤثراً بصورة جوهرية في بيئة العمل النفسية المستدامة وفي خفض الاحتراق الوظيفي لدى العاملين في القطاع الصحي الحكومي بمدينة الرياض؛ إذ ثبت وجود أثر إيجابي قوي للتحول الصحي على بيئة العمل النفسية المستدامة، كما ثبت وجود أثر عكسي دال إحصائياً له في تقليل الاحتراق الوظيفي. كذلك بينت النتائج وجود علاقات ارتباطية دالة بين متغيرات الدراسة، حيث ارتبط التحول الصحي ارتباطاً إيجابياً بكل من بيئة العمل النفسية المستدامة ورفاهية الموظفين، في حين ارتبط الاحتراق الوظيفي بعلاقات عكسية مع كل من التحول الصحي ورفاهية الموظفين وبيئة العمل النفسية المستدامة. </w:t>
      </w:r>
    </w:p>
    <w:p w14:paraId="6CF8AD28"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كما أوضحت النتائج أن رفاهية الموظفين تؤدي دوراً مهماً في تفسير التغير في مستوى الاحتراق الوظيفي، وأنها تسهم مع التحول الصحي في خفضه بدرجة معنوية، فضلاً عن ثبوت قيامها بدور وسيط جزئي في العلاقة بين التحول الصحي والاحتراق الوظيفي؛ وهو ما يعني أن أثر التحول الصحي لا يقتصر على التأثير المباشر، بل يمتد أيضاً من خلال تعزيز رفاهية العاملين.</w:t>
      </w:r>
    </w:p>
    <w:p w14:paraId="1B17C4DB"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وفيما يتعلق بالتساؤلات المرتبطة بالفروق الديموغرافية، فقد أظهرت النتائج وجود تباينات جزئية في بعض أبعاد الدراسة تبعاً للخصائص الشخصية والوظيفية؛ إذ ظهرت فروق بحسب الجنس في محور التحول الصحي فقط، وظهرت فروق بحسب العمر في رفاهية الموظفين والاحتراق الوظيفي، وبحسب سنوات الخبرة في بيئة العمل النفسية ورفاهية الموظفين، بينما كان المسمى الوظيفي أكثر المتغيرات الديموغرافية تأثيراً لظهور فروق دالة في جميع متغيرات الدراسة. في المقابل، لم تظهر فروق دالة تعزى إلى الدخل الشهري أو الحالة الاجتماعية. </w:t>
      </w:r>
    </w:p>
    <w:p w14:paraId="4833F75D" w14:textId="3DDC34AF" w:rsidR="00AB7263" w:rsidRDefault="001D3D5D" w:rsidP="000C5D98">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وبناءً على ذلك، يمكن القول إن الدراسة توصلت إلى أن نجاح التحول الصحي في القطاع الصحي الحكومي لا ينعكس فقط على تطوير الأداء التنظيمي، بل يمتد أثره إلى تحسين البيئة النفسية للعاملين، </w:t>
      </w:r>
      <w:r w:rsidRPr="00B322FF">
        <w:rPr>
          <w:rFonts w:ascii="Simplified Arabic" w:hAnsi="Simplified Arabic" w:cs="Simplified Arabic" w:hint="cs"/>
          <w:sz w:val="28"/>
          <w:szCs w:val="28"/>
          <w:rtl/>
          <w:lang w:bidi="ar-YE"/>
        </w:rPr>
        <w:lastRenderedPageBreak/>
        <w:t xml:space="preserve">وتعزيز رفاهيتهم، والحد من مستويات الاحتراق الوظيفي، مع أهمية مراعاة الفروق المهنية والديموغرافية عند تصميم السياسات والبرامج التطبيقية. </w:t>
      </w:r>
    </w:p>
    <w:p w14:paraId="63123590" w14:textId="77777777" w:rsidR="00AB7263" w:rsidRDefault="00AB7263">
      <w:pPr>
        <w:bidi w:val="0"/>
        <w:rPr>
          <w:rFonts w:ascii="Simplified Arabic" w:hAnsi="Simplified Arabic" w:cs="Simplified Arabic"/>
          <w:sz w:val="28"/>
          <w:szCs w:val="28"/>
          <w:lang w:bidi="ar-YE"/>
        </w:rPr>
      </w:pPr>
      <w:r>
        <w:rPr>
          <w:rFonts w:ascii="Simplified Arabic" w:hAnsi="Simplified Arabic" w:cs="Simplified Arabic"/>
          <w:sz w:val="28"/>
          <w:szCs w:val="28"/>
          <w:lang w:bidi="ar-YE"/>
        </w:rPr>
        <w:br w:type="page"/>
      </w:r>
    </w:p>
    <w:p w14:paraId="019DDC51" w14:textId="02FDF5BD" w:rsidR="00BD1526" w:rsidRPr="00891197" w:rsidRDefault="00BD1526" w:rsidP="00891197">
      <w:pPr>
        <w:pStyle w:val="1"/>
        <w:rPr>
          <w:b/>
          <w:bCs/>
          <w:rtl/>
        </w:rPr>
      </w:pPr>
      <w:bookmarkStart w:id="51" w:name="_Toc234084459"/>
      <w:r w:rsidRPr="00891197">
        <w:rPr>
          <w:rFonts w:hint="cs"/>
          <w:b/>
          <w:bCs/>
          <w:rtl/>
        </w:rPr>
        <w:lastRenderedPageBreak/>
        <w:t xml:space="preserve">الفصل الخامس: </w:t>
      </w:r>
      <w:r w:rsidR="006D56C2" w:rsidRPr="00891197">
        <w:rPr>
          <w:rFonts w:hint="cs"/>
          <w:b/>
          <w:bCs/>
          <w:rtl/>
        </w:rPr>
        <w:t xml:space="preserve">الخاتمة </w:t>
      </w:r>
      <w:r w:rsidR="00891197">
        <w:rPr>
          <w:rFonts w:hint="cs"/>
          <w:b/>
          <w:bCs/>
          <w:rtl/>
        </w:rPr>
        <w:t xml:space="preserve"> والتوصيات</w:t>
      </w:r>
      <w:bookmarkEnd w:id="51"/>
    </w:p>
    <w:p w14:paraId="2019B125" w14:textId="77777777" w:rsidR="00BD1526" w:rsidRPr="00891197" w:rsidRDefault="00BD1526" w:rsidP="00891197">
      <w:pPr>
        <w:pStyle w:val="2"/>
        <w:rPr>
          <w:b w:val="0"/>
          <w:bCs/>
          <w:rtl/>
        </w:rPr>
      </w:pPr>
      <w:bookmarkStart w:id="52" w:name="_Toc234084460"/>
      <w:r w:rsidRPr="00891197">
        <w:rPr>
          <w:rFonts w:hint="cs"/>
          <w:b w:val="0"/>
          <w:bCs/>
          <w:rtl/>
        </w:rPr>
        <w:t>تمهيد</w:t>
      </w:r>
      <w:bookmarkEnd w:id="52"/>
    </w:p>
    <w:p w14:paraId="14ADA83F"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يمثل الفصل الخامس المرحلة التطبيقية في الدراسة، إذ تنتقل فيه النتائج من مستوى التحليل الإحصائي إلى مستوى التوظيف العملي القابل للتنفيذ. فالقيمة العلمية للدراسة لا تكتمل بمجرد إثبات العلاقات بين التحول الصحي، وبيئة العمل النفسية المستدامة، ورفاهية الموظفين، والاحتراق الوظيفي، بل تتضح بصورة أكبر عندما تتحول هذه العلاقات إلى توصيات إجرائية تساعد متخذي القرار في القطاع الصحي الحكومي بمدينة الرياض على بناء سياسات أكثر اتساقاً مع واقع العاملين واحتياجاتهم المهنية والنفسية.</w:t>
      </w:r>
    </w:p>
    <w:p w14:paraId="651C22A8"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وقد بين الفصل الرابع أن التحول الصحي يمثل متغيراً مؤثراً في بيئة العمل النفسية المستدامة وفي خفض الاحتراق الوظيفي، كما بين أن رفاهية الموظفين تؤدي دوراً محورياً في تفسير انخفاض الاحتراق، سواء بصورة مباشرة أو من خلال دورها الوسيط الجزئي في العلاقة بين التحول الصحي والاحتراق الوظيفي. كما أظهرت النتائج أن بعض الخصائص المهنية والديموغرافية، وبخاصة المسمى الوظيفي والعمر وسنوات الخبرة، ينبغي مراعاتها عند تصميم برامج التحول والرفاهية.</w:t>
      </w:r>
    </w:p>
    <w:p w14:paraId="036A7E35"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وعليه، يعرض هذا الفصل توصيات إجرائية مصاغة في شكل خطة عمل مرتبطة مباشرة بنتائج الدراسة، ثم يقدم مقترحات لدراسات مستقبلية يمكن أن توسع نطاق البحث في هذا المجال، وأخيراً يختتم الفصل ببيان الأثر العملي والعلمي المتوقع من الدراسة.</w:t>
      </w:r>
    </w:p>
    <w:p w14:paraId="27787A17" w14:textId="77777777" w:rsidR="00BD1526" w:rsidRPr="00E1294E" w:rsidRDefault="00BD1526" w:rsidP="00597597">
      <w:pPr>
        <w:spacing w:line="240" w:lineRule="auto"/>
        <w:jc w:val="both"/>
        <w:rPr>
          <w:rFonts w:ascii="Simplified Arabic" w:hAnsi="Simplified Arabic" w:cs="Simplified Arabic"/>
          <w:sz w:val="28"/>
          <w:szCs w:val="28"/>
        </w:rPr>
        <w:sectPr w:rsidR="00BD1526" w:rsidRPr="00E1294E" w:rsidSect="00BD1526">
          <w:headerReference w:type="default" r:id="rId14"/>
          <w:footerReference w:type="default" r:id="rId15"/>
          <w:pgSz w:w="11906" w:h="16838"/>
          <w:pgMar w:top="1440" w:right="1440" w:bottom="1440" w:left="1440" w:header="720" w:footer="720" w:gutter="0"/>
          <w:cols w:space="720"/>
          <w:docGrid w:linePitch="360"/>
        </w:sectPr>
      </w:pPr>
    </w:p>
    <w:p w14:paraId="53F09F18" w14:textId="77777777" w:rsidR="00BD1526" w:rsidRPr="00891197" w:rsidRDefault="00BD1526" w:rsidP="00891197">
      <w:pPr>
        <w:pStyle w:val="2"/>
        <w:rPr>
          <w:b w:val="0"/>
          <w:bCs/>
        </w:rPr>
      </w:pPr>
      <w:bookmarkStart w:id="53" w:name="_Toc234084461"/>
      <w:r w:rsidRPr="00891197">
        <w:rPr>
          <w:rFonts w:hint="cs"/>
          <w:b w:val="0"/>
          <w:bCs/>
          <w:rtl/>
        </w:rPr>
        <w:lastRenderedPageBreak/>
        <w:t>التوصيات الإجرائية</w:t>
      </w:r>
      <w:bookmarkEnd w:id="53"/>
      <w:r w:rsidRPr="00891197">
        <w:rPr>
          <w:rFonts w:hint="cs"/>
          <w:b w:val="0"/>
          <w:bCs/>
          <w:rtl/>
        </w:rPr>
        <w:t xml:space="preserve"> </w:t>
      </w:r>
    </w:p>
    <w:p w14:paraId="51143449" w14:textId="77777777" w:rsidR="00BD1526" w:rsidRPr="00E1294E" w:rsidRDefault="00BD1526" w:rsidP="00597597">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يوضّح الجدول التالي التوصيات الإجرائية المستخلصة من نتائج الدراسة الميدانية، مُرتَّبةً في صورة خطة عمل تُحدّد لكل توصية: النتيجة العلمية المستندة إليها، وآلية تنفيذها، والجهة المسؤولة عنها، والمدى الزمني اللازم لتحقيقها. </w:t>
      </w:r>
    </w:p>
    <w:p w14:paraId="0F26A2D3" w14:textId="77777777" w:rsidR="00BD1526" w:rsidRPr="006B4630" w:rsidRDefault="00BD1526" w:rsidP="00597597">
      <w:pPr>
        <w:spacing w:before="80" w:after="120" w:line="240" w:lineRule="auto"/>
        <w:jc w:val="center"/>
        <w:rPr>
          <w:rFonts w:ascii="Simplified Arabic" w:hAnsi="Simplified Arabic" w:cs="Simplified Arabic"/>
          <w:bCs/>
          <w:sz w:val="28"/>
          <w:szCs w:val="28"/>
          <w:rtl/>
        </w:rPr>
      </w:pPr>
      <w:r w:rsidRPr="006B4630">
        <w:rPr>
          <w:rFonts w:ascii="Simplified Arabic" w:hAnsi="Simplified Arabic" w:cs="Simplified Arabic" w:hint="cs"/>
          <w:bCs/>
          <w:sz w:val="28"/>
          <w:szCs w:val="28"/>
          <w:rtl/>
        </w:rPr>
        <w:t>جدول (5-1): خطة العمل التنفيذية للتوصيات الإجرائية في ضوء نتائج الدراسة</w:t>
      </w:r>
    </w:p>
    <w:tbl>
      <w:tblPr>
        <w:tblStyle w:val="10"/>
        <w:bidiVisual/>
        <w:tblW w:w="5000" w:type="pct"/>
        <w:tblLook w:val="0620" w:firstRow="1" w:lastRow="0" w:firstColumn="0" w:lastColumn="0" w:noHBand="1" w:noVBand="1"/>
      </w:tblPr>
      <w:tblGrid>
        <w:gridCol w:w="3728"/>
        <w:gridCol w:w="2682"/>
        <w:gridCol w:w="4280"/>
        <w:gridCol w:w="2148"/>
        <w:gridCol w:w="1110"/>
      </w:tblGrid>
      <w:tr w:rsidR="00BD1526" w:rsidRPr="00C9310B" w14:paraId="6F953771" w14:textId="77777777" w:rsidTr="00597597">
        <w:trPr>
          <w:cnfStyle w:val="100000000000" w:firstRow="1" w:lastRow="0" w:firstColumn="0" w:lastColumn="0" w:oddVBand="0" w:evenVBand="0" w:oddHBand="0" w:evenHBand="0" w:firstRowFirstColumn="0" w:firstRowLastColumn="0" w:lastRowFirstColumn="0" w:lastRowLastColumn="0"/>
          <w:trHeight w:val="480"/>
        </w:trPr>
        <w:tc>
          <w:tcPr>
            <w:tcW w:w="1336" w:type="pct"/>
            <w:vAlign w:val="center"/>
            <w:hideMark/>
          </w:tcPr>
          <w:p w14:paraId="58412502" w14:textId="77777777" w:rsidR="00BD1526" w:rsidRPr="00C9310B" w:rsidRDefault="00BD1526" w:rsidP="00597597">
            <w:pPr>
              <w:rPr>
                <w:rFonts w:ascii="Simplified Arabic" w:eastAsia="Times New Roman" w:hAnsi="Simplified Arabic" w:cs="Simplified Arabic"/>
                <w:color w:val="000000"/>
                <w:kern w:val="0"/>
                <w:sz w:val="28"/>
                <w:szCs w:val="28"/>
                <w14:ligatures w14:val="none"/>
              </w:rPr>
            </w:pPr>
            <w:r w:rsidRPr="00C9310B">
              <w:rPr>
                <w:rFonts w:ascii="Simplified Arabic" w:eastAsia="Times New Roman" w:hAnsi="Simplified Arabic" w:cs="Simplified Arabic" w:hint="cs"/>
                <w:color w:val="000000"/>
                <w:sz w:val="28"/>
                <w:szCs w:val="28"/>
                <w:rtl/>
              </w:rPr>
              <w:t>النتيجة التي توصلت إليها الدراسة</w:t>
            </w:r>
          </w:p>
        </w:tc>
        <w:tc>
          <w:tcPr>
            <w:tcW w:w="961" w:type="pct"/>
            <w:vAlign w:val="center"/>
            <w:hideMark/>
          </w:tcPr>
          <w:p w14:paraId="5635ABF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التوصية الإجرائية</w:t>
            </w:r>
          </w:p>
        </w:tc>
        <w:tc>
          <w:tcPr>
            <w:tcW w:w="1534" w:type="pct"/>
            <w:vAlign w:val="center"/>
            <w:hideMark/>
          </w:tcPr>
          <w:p w14:paraId="6412442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آلية التنفيذ المقترحة</w:t>
            </w:r>
          </w:p>
        </w:tc>
        <w:tc>
          <w:tcPr>
            <w:tcW w:w="770" w:type="pct"/>
            <w:vAlign w:val="center"/>
            <w:hideMark/>
          </w:tcPr>
          <w:p w14:paraId="2BCE1CF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الجهة أو الجهات المسؤولة عن التنفيذ</w:t>
            </w:r>
          </w:p>
        </w:tc>
        <w:tc>
          <w:tcPr>
            <w:tcW w:w="398" w:type="pct"/>
            <w:vAlign w:val="center"/>
            <w:hideMark/>
          </w:tcPr>
          <w:p w14:paraId="1D3AB09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المدى الزمني المقترح</w:t>
            </w:r>
          </w:p>
        </w:tc>
      </w:tr>
      <w:tr w:rsidR="00BD1526" w:rsidRPr="00C9310B" w14:paraId="6323A9FB" w14:textId="77777777" w:rsidTr="00597597">
        <w:trPr>
          <w:trHeight w:val="3270"/>
        </w:trPr>
        <w:tc>
          <w:tcPr>
            <w:tcW w:w="1336" w:type="pct"/>
            <w:vAlign w:val="center"/>
            <w:hideMark/>
          </w:tcPr>
          <w:p w14:paraId="4A7CD8C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أثبتت نتائج الانحدار وجود أثر إيجابي قوي للتحول الصحي في بيئة العمل النفسية المستدامة؛ إذ فسر التحول الصحي ما نسبته (64.3%) من التباين في بيئة العمل النفسية المستدامة، وبلغ معامل التأثير (</w:t>
            </w:r>
            <w:r w:rsidRPr="00C9310B">
              <w:rPr>
                <w:rStyle w:val="font291"/>
                <w:rFonts w:eastAsia="Times New Roman" w:cs="Cambria"/>
              </w:rPr>
              <w:t>β</w:t>
            </w:r>
            <w:r w:rsidRPr="00C9310B">
              <w:rPr>
                <w:rStyle w:val="font281"/>
                <w:rFonts w:eastAsia="Times New Roman" w:hint="default"/>
                <w:rtl/>
              </w:rPr>
              <w:t xml:space="preserve"> = 0.802) عند مستوى دلالة (0.000).</w:t>
            </w:r>
          </w:p>
        </w:tc>
        <w:tc>
          <w:tcPr>
            <w:tcW w:w="961" w:type="pct"/>
            <w:vAlign w:val="center"/>
            <w:hideMark/>
          </w:tcPr>
          <w:p w14:paraId="3295CF6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بدمج البعد النفسي والتنظيمي للموظفين في سياسات التحول الصحي، بحيث تصبح استدامة بيئة العمل النفسية أحد مؤشرات نجاح التحول لا نتيجة ثانوية له.</w:t>
            </w:r>
          </w:p>
        </w:tc>
        <w:tc>
          <w:tcPr>
            <w:tcW w:w="1534" w:type="pct"/>
            <w:vAlign w:val="center"/>
            <w:hideMark/>
          </w:tcPr>
          <w:p w14:paraId="38431663"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إدراج أثر مبادرات التحول الصحي على العاملين ضمن خطط التحول السنوية، بحيث لا يقتصر التقييم على جودة الخدمة أو كفاءة التشغيل، بل يشمل مؤشرات مثل وضوح الأدوار، الدعم الإداري، المشاركة في القرار، وعدالة توزيع الأعباء. وتراجع المؤشرات بصورة ربع سنوية لربط التحول بنتائج الموارد البشرية.</w:t>
            </w:r>
          </w:p>
        </w:tc>
        <w:tc>
          <w:tcPr>
            <w:tcW w:w="770" w:type="pct"/>
            <w:vAlign w:val="center"/>
            <w:hideMark/>
          </w:tcPr>
          <w:p w14:paraId="00BE97A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بمدينة الرياض، إدارات التحول المؤسسي، إدارات الموارد البشرية.</w:t>
            </w:r>
          </w:p>
        </w:tc>
        <w:tc>
          <w:tcPr>
            <w:tcW w:w="398" w:type="pct"/>
            <w:vAlign w:val="center"/>
            <w:hideMark/>
          </w:tcPr>
          <w:p w14:paraId="2ACBAFC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68749883" w14:textId="77777777" w:rsidTr="00597597">
        <w:trPr>
          <w:trHeight w:val="3270"/>
        </w:trPr>
        <w:tc>
          <w:tcPr>
            <w:tcW w:w="1336" w:type="pct"/>
            <w:vAlign w:val="center"/>
            <w:hideMark/>
          </w:tcPr>
          <w:p w14:paraId="6A3CE01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سجلت بيئة العمل النفسية المستدامة متوسطاً حسابياً قدره (3.37)، وهو مستوى متوسط مائل للارتفاع، على الرغم من ارتفاع مستوى إدراك التحول الصحي، مما يدل على وجود مساحة عملية لتحسين المناخ النفسي داخل بيئة العمل.</w:t>
            </w:r>
          </w:p>
        </w:tc>
        <w:tc>
          <w:tcPr>
            <w:tcW w:w="961" w:type="pct"/>
            <w:vAlign w:val="center"/>
            <w:hideMark/>
          </w:tcPr>
          <w:p w14:paraId="3C6E4CD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بتبني برنامج مؤسسي لتحسين بيئة العمل النفسية المستدامة، مع إعطاء الأولوية للمنشآت أو الأقسام التي تظهر فيها مؤشرات ضغط تنظيمي أعلى.</w:t>
            </w:r>
          </w:p>
        </w:tc>
        <w:tc>
          <w:tcPr>
            <w:tcW w:w="1534" w:type="pct"/>
            <w:vAlign w:val="center"/>
            <w:hideMark/>
          </w:tcPr>
          <w:p w14:paraId="6E86B68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تنفيذ قياس نصف سنوي للمناخ النفسي داخل المنشآت الصحية، يشمل الأمان النفسي، العدالة التنظيمية، العلاقات الإنسانية، الدعم الإداري، والمشاركة في اتخاذ القرار. وبعد تحليل النتائج، تعد كل منشأة خطة تحسين خاصة بها، مع متابعة التقدم من خلال مؤشرات محددة ومسؤولة زمنياً.</w:t>
            </w:r>
          </w:p>
        </w:tc>
        <w:tc>
          <w:tcPr>
            <w:tcW w:w="770" w:type="pct"/>
            <w:vAlign w:val="center"/>
            <w:hideMark/>
          </w:tcPr>
          <w:p w14:paraId="41167FB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إدارات الموارد البشرية، إدارات الجودة، إدارات تجربة الموظف، مدراء المنشآت الصحية.</w:t>
            </w:r>
          </w:p>
        </w:tc>
        <w:tc>
          <w:tcPr>
            <w:tcW w:w="398" w:type="pct"/>
            <w:vAlign w:val="center"/>
            <w:hideMark/>
          </w:tcPr>
          <w:p w14:paraId="172E5B63"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6 إلى 9 أشهر</w:t>
            </w:r>
          </w:p>
        </w:tc>
      </w:tr>
      <w:tr w:rsidR="00BD1526" w:rsidRPr="00C9310B" w14:paraId="54DB7B6F" w14:textId="77777777" w:rsidTr="00597597">
        <w:trPr>
          <w:trHeight w:val="2805"/>
        </w:trPr>
        <w:tc>
          <w:tcPr>
            <w:tcW w:w="1336" w:type="pct"/>
            <w:vAlign w:val="center"/>
            <w:hideMark/>
          </w:tcPr>
          <w:p w14:paraId="5C0BD898"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جاء الاحتراق الوظيفي في مستوى متوسط بمتوسط حسابي (2.95)، وسجل أعلى انحراف معياري بين المتغيرات (0.99)، مما يشير إلى تباين واضح بين الموظفين في درجة التعرض للإجهاد المهني.</w:t>
            </w:r>
          </w:p>
        </w:tc>
        <w:tc>
          <w:tcPr>
            <w:tcW w:w="961" w:type="pct"/>
            <w:vAlign w:val="center"/>
            <w:hideMark/>
          </w:tcPr>
          <w:p w14:paraId="4D81147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بإنشاء نظام إنذار مبكر لرصد مؤشرات الاحتراق الوظيفي لدى العاملين في القطاع الصحي الحكومي، والتدخل قبل تحوله إلى مشكلة مهنية مزمنة.</w:t>
            </w:r>
          </w:p>
        </w:tc>
        <w:tc>
          <w:tcPr>
            <w:tcW w:w="1534" w:type="pct"/>
            <w:vAlign w:val="center"/>
            <w:hideMark/>
          </w:tcPr>
          <w:p w14:paraId="6BFBCE0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تطبيق أداة مختصرة لقياس الاحتراق الوظيفي مرتين سنوياً، وتصنيف النتائج إلى مستويات خطورة. ويقترن ذلك بتدخلات مبكرة تشمل الإرشاد المهني، الدعم النفسي، مراجعة جداول العمل، وتعديل الأعباء عند الحاجة، مع ضمان سرية البيانات وعدم استخدامها ضد الموظف.</w:t>
            </w:r>
          </w:p>
        </w:tc>
        <w:tc>
          <w:tcPr>
            <w:tcW w:w="770" w:type="pct"/>
            <w:vAlign w:val="center"/>
            <w:hideMark/>
          </w:tcPr>
          <w:p w14:paraId="361B115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إدارة الصحة المهنية، وحدات رفاهية الموظفين، الموارد البشرية، المشرفون المباشرون.</w:t>
            </w:r>
          </w:p>
        </w:tc>
        <w:tc>
          <w:tcPr>
            <w:tcW w:w="398" w:type="pct"/>
            <w:vAlign w:val="center"/>
            <w:hideMark/>
          </w:tcPr>
          <w:p w14:paraId="4774548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ثم متابعة مستمرة</w:t>
            </w:r>
          </w:p>
        </w:tc>
      </w:tr>
      <w:tr w:rsidR="00BD1526" w:rsidRPr="00C9310B" w14:paraId="327C960D" w14:textId="77777777" w:rsidTr="00597597">
        <w:trPr>
          <w:trHeight w:val="3270"/>
        </w:trPr>
        <w:tc>
          <w:tcPr>
            <w:tcW w:w="1336" w:type="pct"/>
            <w:vAlign w:val="center"/>
            <w:hideMark/>
          </w:tcPr>
          <w:p w14:paraId="031B3A9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أظهرت النتائج أن رفاهية الموظفين جاءت بمستوى مرتفع نسبياً بمتوسط (3.44)، كما ارتبطت عكسياً بالاحتراق الوظيفي بمعامل (-0.527)، وكانت من أقوى العوامل المفسرة لانخفاض الاحتراق.</w:t>
            </w:r>
          </w:p>
        </w:tc>
        <w:tc>
          <w:tcPr>
            <w:tcW w:w="961" w:type="pct"/>
            <w:vAlign w:val="center"/>
            <w:hideMark/>
          </w:tcPr>
          <w:p w14:paraId="46A3E14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بجعل رفاهية الموظفين برنامجاً استراتيجياً دائماً داخل المنشآت الصحية، لا نشاطاً موسمياً أو مبادرة محدودة الأثر.</w:t>
            </w:r>
          </w:p>
        </w:tc>
        <w:tc>
          <w:tcPr>
            <w:tcW w:w="1534" w:type="pct"/>
            <w:vAlign w:val="center"/>
            <w:hideMark/>
          </w:tcPr>
          <w:p w14:paraId="1806A85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تصميم برنامج رفاهية شامل يتضمن الدعم النفسي، تعزيز التوازن بين العمل والحياة، مبادرات الصحة الجسدية، برامج التقدير المعنوي، وفرص التطوير المهني. ويقاس أثر البرنامج من خلال مؤشرات الرضا، الغياب، دوران العمل، مستوى الاحتراق، ودرجة المشاركة في أنشطة الرفاهية.</w:t>
            </w:r>
          </w:p>
        </w:tc>
        <w:tc>
          <w:tcPr>
            <w:tcW w:w="770" w:type="pct"/>
            <w:vAlign w:val="center"/>
            <w:hideMark/>
          </w:tcPr>
          <w:p w14:paraId="5274843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الموارد البشرية، إدارات التدريب والتطوير، إدارات الصحة المهنية.</w:t>
            </w:r>
          </w:p>
        </w:tc>
        <w:tc>
          <w:tcPr>
            <w:tcW w:w="398" w:type="pct"/>
            <w:vAlign w:val="center"/>
            <w:hideMark/>
          </w:tcPr>
          <w:p w14:paraId="5B00384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781C61E9" w14:textId="77777777" w:rsidTr="00597597">
        <w:trPr>
          <w:trHeight w:val="2805"/>
        </w:trPr>
        <w:tc>
          <w:tcPr>
            <w:tcW w:w="1336" w:type="pct"/>
            <w:vAlign w:val="center"/>
            <w:hideMark/>
          </w:tcPr>
          <w:p w14:paraId="70952D6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سجلت العلاقة بين بيئة العمل النفسية المستدامة ورفاهية الموظفين أعلى معامل ارتباط في الدراسة (0.821)، مما يؤكد أن تحسين البيئة النفسية يعد مدخلاً رئيساً لتعزيز رفاهية العاملين.</w:t>
            </w:r>
          </w:p>
        </w:tc>
        <w:tc>
          <w:tcPr>
            <w:tcW w:w="961" w:type="pct"/>
            <w:vAlign w:val="center"/>
            <w:hideMark/>
          </w:tcPr>
          <w:p w14:paraId="25FC1A4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بربط تقييم أداء القيادات الإدارية بمدى قدرتها على بناء بيئة نفسية آمنة وداعمة لرفاهية العاملين.</w:t>
            </w:r>
          </w:p>
        </w:tc>
        <w:tc>
          <w:tcPr>
            <w:tcW w:w="1534" w:type="pct"/>
            <w:vAlign w:val="center"/>
            <w:hideMark/>
          </w:tcPr>
          <w:p w14:paraId="5389808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إضافة مؤشرات سلوكية إلى تقييم القيادات والمشرفين، مثل العدالة في توزيع العمل، الاستجابة لضغوط الموظفين، تمكين الفريق، إدارة النزاعات، ودعم الصحة النفسية. ويصاحب ذلك برنامج تدريبي للقيادات الوسطى في القيادة الداعمة والاتصال الإنساني في بيئات التحول.</w:t>
            </w:r>
          </w:p>
        </w:tc>
        <w:tc>
          <w:tcPr>
            <w:tcW w:w="770" w:type="pct"/>
            <w:vAlign w:val="center"/>
            <w:hideMark/>
          </w:tcPr>
          <w:p w14:paraId="5D153168"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الإدارة العليا، إدارات الأداء المؤسسي، الموارد البشرية، مراكز التدريب القيادي.</w:t>
            </w:r>
          </w:p>
        </w:tc>
        <w:tc>
          <w:tcPr>
            <w:tcW w:w="398" w:type="pct"/>
            <w:vAlign w:val="center"/>
            <w:hideMark/>
          </w:tcPr>
          <w:p w14:paraId="1115459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9 أشهر</w:t>
            </w:r>
          </w:p>
        </w:tc>
      </w:tr>
      <w:tr w:rsidR="00BD1526" w:rsidRPr="00C9310B" w14:paraId="4E296DCB" w14:textId="77777777" w:rsidTr="00597597">
        <w:trPr>
          <w:trHeight w:val="3270"/>
        </w:trPr>
        <w:tc>
          <w:tcPr>
            <w:tcW w:w="1336" w:type="pct"/>
            <w:vAlign w:val="center"/>
            <w:hideMark/>
          </w:tcPr>
          <w:p w14:paraId="73E52B9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أثبت تحليل الانحدار المتعدد أن التحول الصحي ورفاهية الموظفين يفسران معاً (34.7%) من التغير في الاحتراق الوظيفي، مع بقاء تأثير رفاهية الموظفين أقوى في تقليل الاحتراق (</w:t>
            </w:r>
            <w:r w:rsidRPr="00C9310B">
              <w:rPr>
                <w:rStyle w:val="font291"/>
                <w:rFonts w:eastAsia="Times New Roman" w:cs="Cambria"/>
              </w:rPr>
              <w:t>β</w:t>
            </w:r>
            <w:r w:rsidRPr="00C9310B">
              <w:rPr>
                <w:rStyle w:val="font281"/>
                <w:rFonts w:eastAsia="Times New Roman" w:hint="default"/>
                <w:rtl/>
              </w:rPr>
              <w:t xml:space="preserve"> = -0.412) مقارنة بالأثر المباشر للتحول الصحي (</w:t>
            </w:r>
            <w:r w:rsidRPr="00C9310B">
              <w:rPr>
                <w:rStyle w:val="font291"/>
                <w:rFonts w:eastAsia="Times New Roman" w:cs="Cambria"/>
              </w:rPr>
              <w:t>β</w:t>
            </w:r>
            <w:r w:rsidRPr="00C9310B">
              <w:rPr>
                <w:rStyle w:val="font281"/>
                <w:rFonts w:eastAsia="Times New Roman" w:hint="default"/>
                <w:rtl/>
              </w:rPr>
              <w:t xml:space="preserve"> = -0.155).</w:t>
            </w:r>
          </w:p>
        </w:tc>
        <w:tc>
          <w:tcPr>
            <w:tcW w:w="961" w:type="pct"/>
            <w:vAlign w:val="center"/>
            <w:hideMark/>
          </w:tcPr>
          <w:p w14:paraId="39C63B1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بأن يصاحب كل مشروع تحول صحي تقييم مسبق ولاحق لأثره على رفاهية الموظفين ومستوى الاحتراق الوظيفي.</w:t>
            </w:r>
          </w:p>
        </w:tc>
        <w:tc>
          <w:tcPr>
            <w:tcW w:w="1534" w:type="pct"/>
            <w:vAlign w:val="center"/>
            <w:hideMark/>
          </w:tcPr>
          <w:p w14:paraId="04D699B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إعداد نموذج تقييم أثر الموظف لكل مشروع تحول صحي أو رقمي جديد، يتضمن أثر المبادرة على عبء العمل، المهارات المطلوبة، وضوح الإجراءات، الحاجة للتدريب، ومخاطر الإجهاد. وبعد التنفيذ، تجمع الملاحظات من المستخدمين النهائيين وتعدل الإجراءات قبل التوسع في التطبيق.</w:t>
            </w:r>
          </w:p>
        </w:tc>
        <w:tc>
          <w:tcPr>
            <w:tcW w:w="770" w:type="pct"/>
            <w:vAlign w:val="center"/>
            <w:hideMark/>
          </w:tcPr>
          <w:p w14:paraId="37D47EB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مكاتب إدارة المشاريع، إدارات التحول الرقمي، الموارد البشرية، مدراء الإدارات التشغيلية.</w:t>
            </w:r>
          </w:p>
        </w:tc>
        <w:tc>
          <w:tcPr>
            <w:tcW w:w="398" w:type="pct"/>
            <w:vAlign w:val="center"/>
            <w:hideMark/>
          </w:tcPr>
          <w:p w14:paraId="6E0EF06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لوضع الإطار، ثم تطبيق مستمر</w:t>
            </w:r>
          </w:p>
        </w:tc>
      </w:tr>
      <w:tr w:rsidR="00BD1526" w:rsidRPr="00C9310B" w14:paraId="0848A810" w14:textId="77777777" w:rsidTr="00597597">
        <w:trPr>
          <w:trHeight w:val="3270"/>
        </w:trPr>
        <w:tc>
          <w:tcPr>
            <w:tcW w:w="1336" w:type="pct"/>
            <w:vAlign w:val="center"/>
            <w:hideMark/>
          </w:tcPr>
          <w:p w14:paraId="2665DE7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أثبت اختبار الدور الوسيط أن رفاهية الموظفين تؤدي وساطة جزئية؛ إذ انخفض الأثر المباشر للتحول الصحي على الاحتراق الوظيفي من (-0.475) إلى (-0.155) بعد إدخال الرفاهية، مع بقاء الأثر دالاً إحصائياً عند (</w:t>
            </w:r>
            <w:r w:rsidRPr="00C9310B">
              <w:rPr>
                <w:rFonts w:ascii="Simplified Arabic" w:eastAsia="Times New Roman" w:hAnsi="Simplified Arabic" w:cs="Simplified Arabic" w:hint="cs"/>
                <w:color w:val="000000"/>
                <w:sz w:val="28"/>
                <w:szCs w:val="28"/>
              </w:rPr>
              <w:t>Sig = 0.008</w:t>
            </w:r>
            <w:r w:rsidRPr="00C9310B">
              <w:rPr>
                <w:rFonts w:ascii="Simplified Arabic" w:eastAsia="Times New Roman" w:hAnsi="Simplified Arabic" w:cs="Simplified Arabic" w:hint="cs"/>
                <w:color w:val="000000"/>
                <w:sz w:val="28"/>
                <w:szCs w:val="28"/>
                <w:rtl/>
              </w:rPr>
              <w:t>).</w:t>
            </w:r>
          </w:p>
        </w:tc>
        <w:tc>
          <w:tcPr>
            <w:tcW w:w="961" w:type="pct"/>
            <w:vAlign w:val="center"/>
            <w:hideMark/>
          </w:tcPr>
          <w:p w14:paraId="2D13326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بتثبيت رفاهية الموظفين بوصفها متغيراً وسيطاً حاكماً في نجاح التحول الصحي وتقليل الاحتراق الوظيفي.</w:t>
            </w:r>
          </w:p>
        </w:tc>
        <w:tc>
          <w:tcPr>
            <w:tcW w:w="1534" w:type="pct"/>
            <w:vAlign w:val="center"/>
            <w:hideMark/>
          </w:tcPr>
          <w:p w14:paraId="54823AD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تحويل مؤشرات الرفاهية إلى مؤشرات أداء ضمن بطاقات الأداء المؤسسي للمنشآت، مثل مستوى الرفاه، معدل الغياب، دوران العمل، شكاوى ضغط العمل، ونسبة المشاركة في برامج الدعم. وتراجع هذه المؤشرات في اجتماعات الأداء جنباً إلى جنب مع مؤشرات جودة الخدمة والكفاءة التشغيلية.</w:t>
            </w:r>
          </w:p>
        </w:tc>
        <w:tc>
          <w:tcPr>
            <w:tcW w:w="770" w:type="pct"/>
            <w:vAlign w:val="center"/>
            <w:hideMark/>
          </w:tcPr>
          <w:p w14:paraId="2319242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الموارد البشرية، إدارات التخطيط الاستراتيجي.</w:t>
            </w:r>
          </w:p>
        </w:tc>
        <w:tc>
          <w:tcPr>
            <w:tcW w:w="398" w:type="pct"/>
            <w:vAlign w:val="center"/>
            <w:hideMark/>
          </w:tcPr>
          <w:p w14:paraId="168BB26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0C609E66" w14:textId="77777777" w:rsidTr="00597597">
        <w:trPr>
          <w:trHeight w:val="2805"/>
        </w:trPr>
        <w:tc>
          <w:tcPr>
            <w:tcW w:w="1336" w:type="pct"/>
            <w:vAlign w:val="center"/>
            <w:hideMark/>
          </w:tcPr>
          <w:p w14:paraId="6664249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أظهرت نتائج تحليل الفروق أن المسمى الوظيفي كان أكثر الخصائص الديموغرافية تأثيراً؛ حيث ظهرت فروق دالة إحصائياً في جميع متغيرات الدراسة الرئيسة.</w:t>
            </w:r>
          </w:p>
        </w:tc>
        <w:tc>
          <w:tcPr>
            <w:tcW w:w="961" w:type="pct"/>
            <w:vAlign w:val="center"/>
            <w:hideMark/>
          </w:tcPr>
          <w:p w14:paraId="2ADC5FD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بتصميم برامج تحول ورفاهية مهنية مخصصة حسب المسمى الوظيفي، بدلاً من اعتماد تدخلات موحدة لجميع العاملين.</w:t>
            </w:r>
          </w:p>
        </w:tc>
        <w:tc>
          <w:tcPr>
            <w:tcW w:w="1534" w:type="pct"/>
            <w:vAlign w:val="center"/>
            <w:hideMark/>
          </w:tcPr>
          <w:p w14:paraId="6356852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تحليل ضغوط كل فئة وظيفية على حدة، ثم تصميم حزم تدخل مختلفة. فالأطباء قد يحتاجون إلى تقليل الأعباء الإدارية غير السريرية، والممرضون إلى تحسين المناوبات، والفنيون إلى وضوح الإجراءات وتحديث المهارات، والإداريون إلى دعم التحول الرقمي وتبسيط تدفق العمل.</w:t>
            </w:r>
          </w:p>
        </w:tc>
        <w:tc>
          <w:tcPr>
            <w:tcW w:w="770" w:type="pct"/>
            <w:vAlign w:val="center"/>
            <w:hideMark/>
          </w:tcPr>
          <w:p w14:paraId="093F7AF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مدراء الأقسام الطبية والفنية والإدارية، الموارد البشرية، إدارات التشغيل، إدارات الجودة.</w:t>
            </w:r>
          </w:p>
        </w:tc>
        <w:tc>
          <w:tcPr>
            <w:tcW w:w="398" w:type="pct"/>
            <w:vAlign w:val="center"/>
            <w:hideMark/>
          </w:tcPr>
          <w:p w14:paraId="635D465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9 إلى 12 شهراً</w:t>
            </w:r>
          </w:p>
        </w:tc>
      </w:tr>
      <w:tr w:rsidR="00BD1526" w:rsidRPr="00C9310B" w14:paraId="0FE07B02" w14:textId="77777777" w:rsidTr="00597597">
        <w:trPr>
          <w:trHeight w:val="2805"/>
        </w:trPr>
        <w:tc>
          <w:tcPr>
            <w:tcW w:w="1336" w:type="pct"/>
            <w:vAlign w:val="center"/>
            <w:hideMark/>
          </w:tcPr>
          <w:p w14:paraId="71A96F4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بينت نتائج تحليل الفروق وجود فروق دالة حسب العمر في رفاهية الموظفين (</w:t>
            </w:r>
            <w:r w:rsidRPr="00C9310B">
              <w:rPr>
                <w:rFonts w:ascii="Simplified Arabic" w:eastAsia="Times New Roman" w:hAnsi="Simplified Arabic" w:cs="Simplified Arabic" w:hint="cs"/>
                <w:color w:val="000000"/>
                <w:sz w:val="28"/>
                <w:szCs w:val="28"/>
              </w:rPr>
              <w:t>Sig = 0.027</w:t>
            </w:r>
            <w:r w:rsidRPr="00C9310B">
              <w:rPr>
                <w:rFonts w:ascii="Simplified Arabic" w:eastAsia="Times New Roman" w:hAnsi="Simplified Arabic" w:cs="Simplified Arabic" w:hint="cs"/>
                <w:color w:val="000000"/>
                <w:sz w:val="28"/>
                <w:szCs w:val="28"/>
                <w:rtl/>
              </w:rPr>
              <w:t>) والاحتراق الوظيفي (</w:t>
            </w:r>
            <w:r w:rsidRPr="00C9310B">
              <w:rPr>
                <w:rFonts w:ascii="Simplified Arabic" w:eastAsia="Times New Roman" w:hAnsi="Simplified Arabic" w:cs="Simplified Arabic" w:hint="cs"/>
                <w:color w:val="000000"/>
                <w:sz w:val="28"/>
                <w:szCs w:val="28"/>
              </w:rPr>
              <w:t>Sig = 0.003</w:t>
            </w:r>
            <w:r w:rsidRPr="00C9310B">
              <w:rPr>
                <w:rFonts w:ascii="Simplified Arabic" w:eastAsia="Times New Roman" w:hAnsi="Simplified Arabic" w:cs="Simplified Arabic" w:hint="cs"/>
                <w:color w:val="000000"/>
                <w:sz w:val="28"/>
                <w:szCs w:val="28"/>
                <w:rtl/>
              </w:rPr>
              <w:t>)، بينما لم تظهر فروق عمرية في التحول الصحي أو بيئة العمل النفسية.</w:t>
            </w:r>
          </w:p>
        </w:tc>
        <w:tc>
          <w:tcPr>
            <w:tcW w:w="961" w:type="pct"/>
            <w:vAlign w:val="center"/>
            <w:hideMark/>
          </w:tcPr>
          <w:p w14:paraId="0C1E771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بتطوير برامج دعم تراعي الفروق العمرية، خصوصاً في موضوعي رفاهية الموظفين والاحتراق الوظيفي.</w:t>
            </w:r>
          </w:p>
        </w:tc>
        <w:tc>
          <w:tcPr>
            <w:tcW w:w="1534" w:type="pct"/>
            <w:vAlign w:val="center"/>
            <w:hideMark/>
          </w:tcPr>
          <w:p w14:paraId="07CBA31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تقسيم البرامج الداعمة بحسب المرحلة العمرية: برامج تهيئة وإرشاد للموظفين الأصغر سناً، برامج تطوير واستقرار مهني للفئات المتوسطة، وخيارات مرونة ونقل خبرة للموظفين الأكبر سناً. ويرتبط ذلك بقياس دوري لاختلاف الاحتياجات النفسية والمهنية لكل فئة.</w:t>
            </w:r>
          </w:p>
        </w:tc>
        <w:tc>
          <w:tcPr>
            <w:tcW w:w="770" w:type="pct"/>
            <w:vAlign w:val="center"/>
            <w:hideMark/>
          </w:tcPr>
          <w:p w14:paraId="2A3BAAB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إدارات الموارد البشرية، إدارات التدريب، المشرفون المباشرون، وحدات رفاهية الموظفين.</w:t>
            </w:r>
          </w:p>
        </w:tc>
        <w:tc>
          <w:tcPr>
            <w:tcW w:w="398" w:type="pct"/>
            <w:vAlign w:val="center"/>
            <w:hideMark/>
          </w:tcPr>
          <w:p w14:paraId="4E117C7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6 إلى 9 أشهر</w:t>
            </w:r>
          </w:p>
        </w:tc>
      </w:tr>
      <w:tr w:rsidR="00BD1526" w:rsidRPr="00C9310B" w14:paraId="46D02904" w14:textId="77777777" w:rsidTr="00597597">
        <w:trPr>
          <w:trHeight w:val="2805"/>
        </w:trPr>
        <w:tc>
          <w:tcPr>
            <w:tcW w:w="1336" w:type="pct"/>
            <w:vAlign w:val="center"/>
            <w:hideMark/>
          </w:tcPr>
          <w:p w14:paraId="31DBC1C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أظهرت النتائج وجود فروق دالة حسب سنوات الخبرة في بيئة العمل النفسية ورفاهية الموظفين، بينما لم تظهر فروق دالة في التحول الصحي أو الاحتراق الوظيفي.</w:t>
            </w:r>
          </w:p>
        </w:tc>
        <w:tc>
          <w:tcPr>
            <w:tcW w:w="961" w:type="pct"/>
            <w:vAlign w:val="center"/>
            <w:hideMark/>
          </w:tcPr>
          <w:p w14:paraId="56A60F7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بإطلاق برنامج إرشاد وتبادل خبرات يعزز اندماج الموظفين الأقل خبرة ويدعم استثمار خبرة العاملين القدامى.</w:t>
            </w:r>
          </w:p>
        </w:tc>
        <w:tc>
          <w:tcPr>
            <w:tcW w:w="1534" w:type="pct"/>
            <w:vAlign w:val="center"/>
            <w:hideMark/>
          </w:tcPr>
          <w:p w14:paraId="3BAD159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 xml:space="preserve">إطلاق برنامج إرشاد مهني يربط الموظفين الأقل خبرة بمرشدين من ذوي الخبرة، مع لقاءات شهرية لمناقشة تحديات العمل، فهم إجراءات التحول، بناء الثقة، وتبادل أساليب التعامل مع الضغوط. ويقاس أثر البرنامج من </w:t>
            </w:r>
            <w:r w:rsidRPr="00C9310B">
              <w:rPr>
                <w:rFonts w:ascii="Simplified Arabic" w:eastAsia="Times New Roman" w:hAnsi="Simplified Arabic" w:cs="Simplified Arabic" w:hint="cs"/>
                <w:color w:val="000000"/>
                <w:sz w:val="28"/>
                <w:szCs w:val="28"/>
                <w:rtl/>
              </w:rPr>
              <w:lastRenderedPageBreak/>
              <w:t>خلال مستوى الرفاهية وإدراك بيئة العمل قبل التطبيق وبعده.</w:t>
            </w:r>
          </w:p>
        </w:tc>
        <w:tc>
          <w:tcPr>
            <w:tcW w:w="770" w:type="pct"/>
            <w:vAlign w:val="center"/>
            <w:hideMark/>
          </w:tcPr>
          <w:p w14:paraId="7A21F9E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إدارات التدريب والتطوير، رؤساء الأقسام، الموارد البشرية، الموظفون ذوو الخبرة.</w:t>
            </w:r>
          </w:p>
        </w:tc>
        <w:tc>
          <w:tcPr>
            <w:tcW w:w="398" w:type="pct"/>
            <w:vAlign w:val="center"/>
            <w:hideMark/>
          </w:tcPr>
          <w:p w14:paraId="047CE7A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كمرحلة تجريبية، ثم تعميم تدريجي</w:t>
            </w:r>
          </w:p>
        </w:tc>
      </w:tr>
      <w:tr w:rsidR="00BD1526" w:rsidRPr="00C9310B" w14:paraId="432D2893" w14:textId="77777777" w:rsidTr="00597597">
        <w:trPr>
          <w:trHeight w:val="2805"/>
        </w:trPr>
        <w:tc>
          <w:tcPr>
            <w:tcW w:w="1336" w:type="pct"/>
            <w:vAlign w:val="center"/>
            <w:hideMark/>
          </w:tcPr>
          <w:p w14:paraId="3AC26A8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لم تظهر فروق دالة في متغيرات الدراسة تعزى إلى الدخل الشهري أو الحالة الاجتماعية، مما يشير إلى أن إدراك الموظفين للتحول والرفاهية والاحتراق يرتبط بدرجة أكبر بطبيعة البيئة التنظيمية والمهنية.</w:t>
            </w:r>
          </w:p>
        </w:tc>
        <w:tc>
          <w:tcPr>
            <w:tcW w:w="961" w:type="pct"/>
            <w:vAlign w:val="center"/>
            <w:hideMark/>
          </w:tcPr>
          <w:p w14:paraId="4F7C877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بالتركيز على العوامل التنظيمية غير المادية مثل العدالة، التقدير، وضوح المهام، المشاركة، والدعم الإداري.</w:t>
            </w:r>
          </w:p>
        </w:tc>
        <w:tc>
          <w:tcPr>
            <w:tcW w:w="1534" w:type="pct"/>
            <w:vAlign w:val="center"/>
            <w:hideMark/>
          </w:tcPr>
          <w:p w14:paraId="7766C23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إنشاء قنوات منتظمة لسماع صوت الموظف، وتفعيل اجتماعات تغذية راجعة، وبرامج تقدير معنوي، ومراجعة عدالة توزيع الأعباء. وينبغي أن تعالج السياسات مصادر الضغط التنظيمي مباشرة بدلاً من الاعتماد الحصري على الحوافز المالية أو الظروف الشخصية.</w:t>
            </w:r>
          </w:p>
        </w:tc>
        <w:tc>
          <w:tcPr>
            <w:tcW w:w="770" w:type="pct"/>
            <w:vAlign w:val="center"/>
            <w:hideMark/>
          </w:tcPr>
          <w:p w14:paraId="3C34AE5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الإدارة العليا، الموارد البشرية، الاتصال الداخلي، مدراء الأقسام.</w:t>
            </w:r>
          </w:p>
        </w:tc>
        <w:tc>
          <w:tcPr>
            <w:tcW w:w="398" w:type="pct"/>
            <w:vAlign w:val="center"/>
            <w:hideMark/>
          </w:tcPr>
          <w:p w14:paraId="4C10FFA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3 إلى 6 أشهر</w:t>
            </w:r>
          </w:p>
        </w:tc>
      </w:tr>
      <w:tr w:rsidR="00BD1526" w:rsidRPr="00C9310B" w14:paraId="7C211435" w14:textId="77777777" w:rsidTr="00597597">
        <w:trPr>
          <w:trHeight w:val="3270"/>
        </w:trPr>
        <w:tc>
          <w:tcPr>
            <w:tcW w:w="1336" w:type="pct"/>
            <w:vAlign w:val="center"/>
            <w:hideMark/>
          </w:tcPr>
          <w:p w14:paraId="367A66F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خلصت الدراسة إلى أن نجاح التحول الصحي لا ينعكس فقط على الأداء التنظيمي، بل يمتد إلى تحسين البيئة النفسية وتعزيز رفاهية العاملين والحد من الاحتراق، مع أهمية مراعاة الفروق المهنية والديموغرافية عند تصميم السياسات.</w:t>
            </w:r>
          </w:p>
        </w:tc>
        <w:tc>
          <w:tcPr>
            <w:tcW w:w="961" w:type="pct"/>
            <w:vAlign w:val="center"/>
            <w:hideMark/>
          </w:tcPr>
          <w:p w14:paraId="10CE051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بإنشاء نظام حوكمة بيانات للرفاهية والاحتراق الوظيفي يدعم القرار الإداري المبني على الدليل.</w:t>
            </w:r>
          </w:p>
        </w:tc>
        <w:tc>
          <w:tcPr>
            <w:tcW w:w="1534" w:type="pct"/>
            <w:vAlign w:val="center"/>
            <w:hideMark/>
          </w:tcPr>
          <w:p w14:paraId="4AA58BD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بناء لوحة مؤشرات موحدة تجمع بيانات الرفاهية، الاحتراق، الغياب، دوران العمل، رضا الموظف، ومؤشرات التحول الصحي. وتستخدم هذه البيانات في اتخاذ قرارات وقائية، مع مراعاة سرية البيانات، وتحليل الفروق حسب المسمى الوظيفي والعمر وسنوات الخبرة دون المساس بخصوصية الأفراد.</w:t>
            </w:r>
          </w:p>
        </w:tc>
        <w:tc>
          <w:tcPr>
            <w:tcW w:w="770" w:type="pct"/>
            <w:vAlign w:val="center"/>
            <w:hideMark/>
          </w:tcPr>
          <w:p w14:paraId="4BF253B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البيانات والتحليلات، الموارد البشرية، مراكز البحوث الصحية.</w:t>
            </w:r>
          </w:p>
        </w:tc>
        <w:tc>
          <w:tcPr>
            <w:tcW w:w="398" w:type="pct"/>
            <w:vAlign w:val="center"/>
            <w:hideMark/>
          </w:tcPr>
          <w:p w14:paraId="2A82EF3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12 شهراً</w:t>
            </w:r>
          </w:p>
        </w:tc>
      </w:tr>
    </w:tbl>
    <w:p w14:paraId="1C112AAB" w14:textId="77777777" w:rsidR="00BD1526" w:rsidRPr="00E1294E" w:rsidRDefault="00BD1526" w:rsidP="00597597">
      <w:pPr>
        <w:spacing w:line="240" w:lineRule="auto"/>
        <w:jc w:val="both"/>
        <w:rPr>
          <w:rFonts w:ascii="Simplified Arabic" w:hAnsi="Simplified Arabic" w:cs="Simplified Arabic"/>
          <w:sz w:val="28"/>
          <w:szCs w:val="28"/>
        </w:rPr>
        <w:sectPr w:rsidR="00BD1526" w:rsidRPr="00E1294E" w:rsidSect="00BD1526">
          <w:pgSz w:w="16838" w:h="11906" w:orient="landscape"/>
          <w:pgMar w:top="1440" w:right="1440" w:bottom="1440" w:left="1440" w:header="720" w:footer="720" w:gutter="0"/>
          <w:cols w:space="720"/>
          <w:docGrid w:linePitch="435"/>
        </w:sectPr>
      </w:pPr>
    </w:p>
    <w:p w14:paraId="599EADDF" w14:textId="77777777" w:rsidR="00BD1526" w:rsidRPr="00891197" w:rsidRDefault="00BD1526" w:rsidP="00891197">
      <w:pPr>
        <w:pStyle w:val="2"/>
        <w:rPr>
          <w:b w:val="0"/>
          <w:bCs/>
        </w:rPr>
      </w:pPr>
      <w:bookmarkStart w:id="54" w:name="_Toc234084462"/>
      <w:r w:rsidRPr="00891197">
        <w:rPr>
          <w:rFonts w:hint="cs"/>
          <w:b w:val="0"/>
          <w:bCs/>
          <w:rtl/>
        </w:rPr>
        <w:lastRenderedPageBreak/>
        <w:t>مقترحات الدراسات المستقبلية</w:t>
      </w:r>
      <w:bookmarkEnd w:id="54"/>
    </w:p>
    <w:p w14:paraId="3781365A"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على الرغم من أن الدراسة الحالية قدمت نموذجاً تفسيرياً للعلاقة بين التحول الصحي وبيئة العمل النفسية المستدامة ورفاهية الموظفين والاحتراق الوظيفي، فإن طبيعة الموضوع واتساع تطبيقات التحول الصحي يفتحان مجالاً لدراسات لاحقة أكثر تعمقاً. وفيما يأتي أبرز المقترحات البحثية المستقبلية:</w:t>
      </w:r>
    </w:p>
    <w:p w14:paraId="730EFB93" w14:textId="77777777" w:rsidR="00BD1526" w:rsidRPr="006B4630" w:rsidRDefault="00BD1526" w:rsidP="00597597">
      <w:pPr>
        <w:spacing w:before="80" w:after="120" w:line="240" w:lineRule="auto"/>
        <w:jc w:val="center"/>
        <w:rPr>
          <w:rFonts w:ascii="Simplified Arabic" w:hAnsi="Simplified Arabic" w:cs="Simplified Arabic"/>
          <w:bCs/>
          <w:sz w:val="28"/>
          <w:szCs w:val="28"/>
        </w:rPr>
      </w:pPr>
      <w:r w:rsidRPr="006B4630">
        <w:rPr>
          <w:rFonts w:ascii="Simplified Arabic" w:hAnsi="Simplified Arabic" w:cs="Simplified Arabic" w:hint="cs"/>
          <w:bCs/>
          <w:sz w:val="28"/>
          <w:szCs w:val="28"/>
          <w:rtl/>
        </w:rPr>
        <w:t>جدول (5-2): مقترحات الدراسات المستقبلية</w:t>
      </w:r>
    </w:p>
    <w:tbl>
      <w:tblPr>
        <w:tblStyle w:val="10"/>
        <w:bidiVisual/>
        <w:tblW w:w="5000" w:type="pct"/>
        <w:tblLook w:val="0620" w:firstRow="1" w:lastRow="0" w:firstColumn="0" w:lastColumn="0" w:noHBand="1" w:noVBand="1"/>
      </w:tblPr>
      <w:tblGrid>
        <w:gridCol w:w="3561"/>
        <w:gridCol w:w="3363"/>
        <w:gridCol w:w="2092"/>
      </w:tblGrid>
      <w:tr w:rsidR="00BD1526" w14:paraId="309C263B" w14:textId="77777777" w:rsidTr="00597597">
        <w:trPr>
          <w:cnfStyle w:val="100000000000" w:firstRow="1" w:lastRow="0" w:firstColumn="0" w:lastColumn="0" w:oddVBand="0" w:evenVBand="0" w:oddHBand="0" w:evenHBand="0" w:firstRowFirstColumn="0" w:firstRowLastColumn="0" w:lastRowFirstColumn="0" w:lastRowLastColumn="0"/>
          <w:trHeight w:val="525"/>
        </w:trPr>
        <w:tc>
          <w:tcPr>
            <w:tcW w:w="1974" w:type="pct"/>
            <w:vAlign w:val="center"/>
            <w:hideMark/>
          </w:tcPr>
          <w:p w14:paraId="20D63149" w14:textId="77777777" w:rsidR="00BD1526" w:rsidRDefault="00BD1526" w:rsidP="00597597">
            <w:pPr>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sz w:val="28"/>
                <w:szCs w:val="28"/>
                <w:rtl/>
              </w:rPr>
              <w:t>المقترح البحثي المستقبلي</w:t>
            </w:r>
          </w:p>
        </w:tc>
        <w:tc>
          <w:tcPr>
            <w:tcW w:w="1865" w:type="pct"/>
            <w:vAlign w:val="center"/>
            <w:hideMark/>
          </w:tcPr>
          <w:p w14:paraId="542D9329" w14:textId="77777777" w:rsidR="00BD1526" w:rsidRDefault="00BD1526" w:rsidP="00597597">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مبرر المقترح</w:t>
            </w:r>
          </w:p>
        </w:tc>
        <w:tc>
          <w:tcPr>
            <w:tcW w:w="1160" w:type="pct"/>
            <w:vAlign w:val="center"/>
            <w:hideMark/>
          </w:tcPr>
          <w:p w14:paraId="73737D55" w14:textId="77777777" w:rsidR="00BD1526" w:rsidRDefault="00BD1526" w:rsidP="00597597">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المنهج أو التصميم المقترح</w:t>
            </w:r>
          </w:p>
        </w:tc>
      </w:tr>
      <w:tr w:rsidR="00BD1526" w14:paraId="78CFD7DB" w14:textId="77777777" w:rsidTr="00597597">
        <w:trPr>
          <w:trHeight w:val="1410"/>
        </w:trPr>
        <w:tc>
          <w:tcPr>
            <w:tcW w:w="1974" w:type="pct"/>
            <w:vAlign w:val="center"/>
            <w:hideMark/>
          </w:tcPr>
          <w:p w14:paraId="7173851D"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إجراء دراسة طولية لتتبع أثر التحول الصحي على رفاهية الموظفين والاحتراق الوظيفي خلال عدة سنوات.</w:t>
            </w:r>
          </w:p>
        </w:tc>
        <w:tc>
          <w:tcPr>
            <w:tcW w:w="1865" w:type="pct"/>
            <w:vAlign w:val="center"/>
            <w:hideMark/>
          </w:tcPr>
          <w:p w14:paraId="77C6A803"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الدراسة الحالية تقيس اتجاهات العاملين في فترة محددة، بينما قد تتغير آثار التحول الصحي مع الزمن.</w:t>
            </w:r>
          </w:p>
        </w:tc>
        <w:tc>
          <w:tcPr>
            <w:tcW w:w="1160" w:type="pct"/>
            <w:vAlign w:val="center"/>
            <w:hideMark/>
          </w:tcPr>
          <w:p w14:paraId="1B286C4F"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طولية تتبع نفس المتغيرات عبر أكثر من نقطة زمنية.</w:t>
            </w:r>
          </w:p>
        </w:tc>
      </w:tr>
      <w:tr w:rsidR="00BD1526" w14:paraId="0B17BF86" w14:textId="77777777" w:rsidTr="00597597">
        <w:trPr>
          <w:trHeight w:val="1410"/>
        </w:trPr>
        <w:tc>
          <w:tcPr>
            <w:tcW w:w="1974" w:type="pct"/>
            <w:vAlign w:val="center"/>
            <w:hideMark/>
          </w:tcPr>
          <w:p w14:paraId="5898DF7F"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التجارب المعاشة للأطباء والممرضين والفنيين والإداريين في التعامل مع ضغوط التحول الصحي.</w:t>
            </w:r>
          </w:p>
        </w:tc>
        <w:tc>
          <w:tcPr>
            <w:tcW w:w="1865" w:type="pct"/>
            <w:vAlign w:val="center"/>
            <w:hideMark/>
          </w:tcPr>
          <w:p w14:paraId="7BC2FD66"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الاستبانة توضح اتجاه العلاقات، لكنها لا تكشف دائماً تفاصيل التجربة اليومية للموظف داخل بيئة التحول.</w:t>
            </w:r>
          </w:p>
        </w:tc>
        <w:tc>
          <w:tcPr>
            <w:tcW w:w="1160" w:type="pct"/>
            <w:vAlign w:val="center"/>
            <w:hideMark/>
          </w:tcPr>
          <w:p w14:paraId="02803256"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نوعية باستخدام مقابلات شبه مقننة أو مجموعات تركيز.</w:t>
            </w:r>
          </w:p>
        </w:tc>
      </w:tr>
      <w:tr w:rsidR="00BD1526" w14:paraId="36DDC232" w14:textId="77777777" w:rsidTr="00597597">
        <w:trPr>
          <w:trHeight w:val="1410"/>
        </w:trPr>
        <w:tc>
          <w:tcPr>
            <w:tcW w:w="1974" w:type="pct"/>
            <w:vAlign w:val="center"/>
            <w:hideMark/>
          </w:tcPr>
          <w:p w14:paraId="291B2697"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مقارنة القطاع الصحي الحكومي والخاص، أو مقارنة مدينة الرياض بمناطق سعودية أخرى في متغيرات الدراسة نفسها.</w:t>
            </w:r>
          </w:p>
        </w:tc>
        <w:tc>
          <w:tcPr>
            <w:tcW w:w="1865" w:type="pct"/>
            <w:vAlign w:val="center"/>
            <w:hideMark/>
          </w:tcPr>
          <w:p w14:paraId="11A42E17"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اقتصرت الدراسة الحالية على القطاع الصحي الحكومي بمدينة الرياض، مما يفتح المجال لاختبار قابلية تعميم النتائج.</w:t>
            </w:r>
          </w:p>
        </w:tc>
        <w:tc>
          <w:tcPr>
            <w:tcW w:w="1160" w:type="pct"/>
            <w:vAlign w:val="center"/>
            <w:hideMark/>
          </w:tcPr>
          <w:p w14:paraId="6288D845"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مقارنة بين قطاعات أو مناطق متعددة.</w:t>
            </w:r>
          </w:p>
        </w:tc>
      </w:tr>
      <w:tr w:rsidR="00BD1526" w14:paraId="69F5832F" w14:textId="77777777" w:rsidTr="00597597">
        <w:trPr>
          <w:trHeight w:val="1410"/>
        </w:trPr>
        <w:tc>
          <w:tcPr>
            <w:tcW w:w="1974" w:type="pct"/>
            <w:vAlign w:val="center"/>
            <w:hideMark/>
          </w:tcPr>
          <w:p w14:paraId="746FC257"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اختبار النموذج البحثي باستخدام نمذجة المعادلات الهيكلية لقياس الأثر المباشر وغير المباشر بدرجة أعلى من الدقة.</w:t>
            </w:r>
          </w:p>
        </w:tc>
        <w:tc>
          <w:tcPr>
            <w:tcW w:w="1865" w:type="pct"/>
            <w:vAlign w:val="center"/>
            <w:hideMark/>
          </w:tcPr>
          <w:p w14:paraId="7E7F7D10"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العلاقات بين التحول الصحي، البيئة النفسية، الرفاهية، والاحتراق قد تكون أكثر تعقيداً من النماذج الخطية المباشرة.</w:t>
            </w:r>
          </w:p>
        </w:tc>
        <w:tc>
          <w:tcPr>
            <w:tcW w:w="1160" w:type="pct"/>
            <w:vAlign w:val="center"/>
            <w:hideMark/>
          </w:tcPr>
          <w:p w14:paraId="7BEDB995"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نمذجة معادلات هيكلية أو تحليل مسار متقدم.</w:t>
            </w:r>
          </w:p>
        </w:tc>
      </w:tr>
      <w:tr w:rsidR="00BD1526" w14:paraId="1CF1F40A" w14:textId="77777777" w:rsidTr="00597597">
        <w:trPr>
          <w:trHeight w:val="1410"/>
        </w:trPr>
        <w:tc>
          <w:tcPr>
            <w:tcW w:w="1974" w:type="pct"/>
            <w:vAlign w:val="center"/>
            <w:hideMark/>
          </w:tcPr>
          <w:p w14:paraId="0AB69E3C"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قياس أثر برنامج فعلي لرفاهية الموظفين قبل التطبيق وبعده على مستوى الاحتراق الوظيفي وبيئة العمل النفسية.</w:t>
            </w:r>
          </w:p>
        </w:tc>
        <w:tc>
          <w:tcPr>
            <w:tcW w:w="1865" w:type="pct"/>
            <w:vAlign w:val="center"/>
            <w:hideMark/>
          </w:tcPr>
          <w:p w14:paraId="1AE11673"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تحتاج التوصيات التطبيقية إلى اختبار ميداني يبين أثر البرامج المقترحة وليس مجرد الارتباط الإحصائي بينها.</w:t>
            </w:r>
          </w:p>
        </w:tc>
        <w:tc>
          <w:tcPr>
            <w:tcW w:w="1160" w:type="pct"/>
            <w:vAlign w:val="center"/>
            <w:hideMark/>
          </w:tcPr>
          <w:p w14:paraId="48270B86"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تدخلية قبلية وبعدية.</w:t>
            </w:r>
          </w:p>
        </w:tc>
      </w:tr>
      <w:tr w:rsidR="00BD1526" w14:paraId="4430EC75" w14:textId="77777777" w:rsidTr="00597597">
        <w:trPr>
          <w:trHeight w:val="1410"/>
        </w:trPr>
        <w:tc>
          <w:tcPr>
            <w:tcW w:w="1974" w:type="pct"/>
            <w:vAlign w:val="center"/>
            <w:hideMark/>
          </w:tcPr>
          <w:p w14:paraId="092BEDBE"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اختبار دور القيادة الداعمة، العدالة التنظيمية، الرشاقة التنظيمية، رأس المال النفسي، وعبء التحول الرقمي كمتغيرات وسيطة أو معدلة.</w:t>
            </w:r>
          </w:p>
        </w:tc>
        <w:tc>
          <w:tcPr>
            <w:tcW w:w="1865" w:type="pct"/>
            <w:vAlign w:val="center"/>
            <w:hideMark/>
          </w:tcPr>
          <w:p w14:paraId="754C37C9"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أثبتت الدراسة دور الرفاهية كوسيط جزئي، مما يعني وجود عوامل أخرى قد تفسر بقية الأثر.</w:t>
            </w:r>
          </w:p>
        </w:tc>
        <w:tc>
          <w:tcPr>
            <w:tcW w:w="1160" w:type="pct"/>
            <w:vAlign w:val="center"/>
            <w:hideMark/>
          </w:tcPr>
          <w:p w14:paraId="080508D8"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متغيرات وسيطة ومعدلة إضافية.</w:t>
            </w:r>
          </w:p>
        </w:tc>
      </w:tr>
      <w:tr w:rsidR="00BD1526" w14:paraId="3F094CD9" w14:textId="77777777" w:rsidTr="00597597">
        <w:trPr>
          <w:trHeight w:val="1410"/>
        </w:trPr>
        <w:tc>
          <w:tcPr>
            <w:tcW w:w="1974" w:type="pct"/>
            <w:vAlign w:val="center"/>
            <w:hideMark/>
          </w:tcPr>
          <w:p w14:paraId="23EC21DE"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إجراء دراسات منفصلة على الأطباء أو الممرضين أو الفنيين أو الإداريين لتحديد احتياجات كل فئة بدقة أكبر.</w:t>
            </w:r>
          </w:p>
        </w:tc>
        <w:tc>
          <w:tcPr>
            <w:tcW w:w="1865" w:type="pct"/>
            <w:vAlign w:val="center"/>
            <w:hideMark/>
          </w:tcPr>
          <w:p w14:paraId="34DC0190"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أظهرت نتائج الفروق أن المسمى الوظيفي أكثر المتغيرات تأثيراً في تباين الاستجابات.</w:t>
            </w:r>
          </w:p>
        </w:tc>
        <w:tc>
          <w:tcPr>
            <w:tcW w:w="1160" w:type="pct"/>
            <w:vAlign w:val="center"/>
            <w:hideMark/>
          </w:tcPr>
          <w:p w14:paraId="7734C8D3"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فئوية مستقلة لكل مهنة.</w:t>
            </w:r>
          </w:p>
        </w:tc>
      </w:tr>
      <w:tr w:rsidR="00BD1526" w14:paraId="38D8E237" w14:textId="77777777" w:rsidTr="00597597">
        <w:trPr>
          <w:trHeight w:val="1410"/>
        </w:trPr>
        <w:tc>
          <w:tcPr>
            <w:tcW w:w="1974" w:type="pct"/>
            <w:vAlign w:val="center"/>
            <w:hideMark/>
          </w:tcPr>
          <w:p w14:paraId="62D606F5"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أثر التحول الرقمي الصحي تحديداً على عبء العمل، الرفاهية، والاحتراق الوظيفي لدى العاملين الصحيين.</w:t>
            </w:r>
          </w:p>
        </w:tc>
        <w:tc>
          <w:tcPr>
            <w:tcW w:w="1865" w:type="pct"/>
            <w:vAlign w:val="center"/>
            <w:hideMark/>
          </w:tcPr>
          <w:p w14:paraId="47D5D4F2"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يمثل التحول الرقمي أحد المكونات الرئيسة للتحول الصحي، وقد يكون مصدراً للتخفيف أو للضغط حسب طريقة التطبيق.</w:t>
            </w:r>
          </w:p>
        </w:tc>
        <w:tc>
          <w:tcPr>
            <w:tcW w:w="1160" w:type="pct"/>
            <w:vAlign w:val="center"/>
            <w:hideMark/>
          </w:tcPr>
          <w:p w14:paraId="71572FFD" w14:textId="77777777" w:rsidR="00BD1526" w:rsidRDefault="00BD1526" w:rsidP="0059759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دراسة كمية أو مختلطة تركز على الأنظمة الرقمية.</w:t>
            </w:r>
          </w:p>
        </w:tc>
      </w:tr>
    </w:tbl>
    <w:p w14:paraId="736B21A2" w14:textId="77777777" w:rsidR="00BD1526" w:rsidRDefault="00BD1526" w:rsidP="00597597">
      <w:pPr>
        <w:spacing w:before="240" w:line="240" w:lineRule="auto"/>
        <w:jc w:val="both"/>
        <w:rPr>
          <w:rFonts w:ascii="Simplified Arabic" w:hAnsi="Simplified Arabic" w:cs="Simplified Arabic"/>
          <w:b/>
          <w:sz w:val="28"/>
          <w:szCs w:val="28"/>
          <w:rtl/>
        </w:rPr>
      </w:pPr>
    </w:p>
    <w:p w14:paraId="6FF632E5" w14:textId="77777777" w:rsidR="00BD1526" w:rsidRPr="00891197" w:rsidRDefault="00BD1526" w:rsidP="00891197">
      <w:pPr>
        <w:pStyle w:val="2"/>
        <w:rPr>
          <w:b w:val="0"/>
          <w:bCs/>
        </w:rPr>
      </w:pPr>
      <w:bookmarkStart w:id="55" w:name="_Toc234084463"/>
      <w:r w:rsidRPr="00891197">
        <w:rPr>
          <w:rFonts w:hint="cs"/>
          <w:b w:val="0"/>
          <w:bCs/>
          <w:rtl/>
        </w:rPr>
        <w:t>الخاتمة</w:t>
      </w:r>
      <w:bookmarkEnd w:id="55"/>
    </w:p>
    <w:p w14:paraId="530B5C5F"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خلصت الدراسة إلى أن التحول الصحي في المملكة العربية السعودية لا يمثل مجرد تغيير إداري أو تقني في آليات تقديم الخدمة الصحية، بل يمتد أثره إلى البيئة النفسية والتنظيمية التي يعمل داخلها الموظفون. وقد بينت النتائج أن نجاح التحول الصحي يرتبط بقدرته على تحسين بيئة العمل النفسية المستدامة، وتعزيز رفاهية العاملين، وخفض مستويات الاحتراق الوظيفي، وهو ما يجعل العنصر البشري محوراً رئيساً في أي عملية تحول مؤسسي ناجحة داخل القطاع الصحي.</w:t>
      </w:r>
    </w:p>
    <w:p w14:paraId="75E398FA"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وتؤكد التوصيات التي قدمتها الدراسة أن معالجة الاحتراق الوظيفي لا ينبغي أن تقتصر على حلول فردية أو مؤقتة، بل يجب أن تنطلق من فهم مؤسسي متكامل يربط بين التحول الصحي، وسياسات الرفاهية، والعدالة التنظيمية، والدعم القيادي، وخصوصية الفئات المهنية المختلفة. فكلما شعر العاملون بالأمان النفسي، والوضوح، والتقدير، والقدرة على التوازن بين متطلبات العمل والحياة، ازدادت قدرتهم على التكيف مع التغيير، وانخفضت احتمالات تعرضهم للاحتراق الوظيفي.</w:t>
      </w:r>
    </w:p>
    <w:p w14:paraId="3770A150"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 xml:space="preserve">ومن الناحية العملية، يمكن أن تسهم نتائج هذه الدراسة في دعم صناع القرار ومديري المنشآت الصحية الحكومية بمدينة الرياض في بناء برامج تدخل أكثر دقة وارتباطاً بالواقع الميداني، ولا سيما في ظل التحولات المتسارعة المرتبطة برؤية المملكة 2030. أما من الناحية العلمية، فقد أسهمت الدراسة في تقديم نموذج يوضح العلاقة بين التحول الصحي وبيئة العمل النفسية المستدامة ورفاهية الموظفين والاحتراق الوظيفي، </w:t>
      </w:r>
      <w:r w:rsidRPr="00E1294E">
        <w:rPr>
          <w:rFonts w:ascii="Simplified Arabic" w:hAnsi="Simplified Arabic" w:cs="Simplified Arabic" w:hint="cs"/>
          <w:sz w:val="28"/>
          <w:szCs w:val="28"/>
          <w:rtl/>
        </w:rPr>
        <w:lastRenderedPageBreak/>
        <w:t>مع إبراز الدور الوسيط لرفاهية الموظفين. وبذلك تفتح الدراسة مجالاً بحثياً مهماً لفهم العلاقة بين التغيير المؤسسي والصحة النفسية للعاملين في القطاع الصحي.</w:t>
      </w:r>
    </w:p>
    <w:p w14:paraId="76E94284" w14:textId="2ED37868" w:rsidR="004E0A60" w:rsidRDefault="004E0A60" w:rsidP="00597597">
      <w:pPr>
        <w:spacing w:line="240" w:lineRule="auto"/>
        <w:rPr>
          <w:rtl/>
        </w:rPr>
      </w:pPr>
    </w:p>
    <w:p w14:paraId="01BEEB00" w14:textId="77777777" w:rsidR="004E0A60" w:rsidRDefault="004E0A60">
      <w:pPr>
        <w:bidi w:val="0"/>
        <w:rPr>
          <w:rtl/>
        </w:rPr>
      </w:pPr>
      <w:r>
        <w:rPr>
          <w:rtl/>
        </w:rPr>
        <w:br w:type="page"/>
      </w:r>
    </w:p>
    <w:p w14:paraId="5068564E" w14:textId="77777777" w:rsidR="004E0A60" w:rsidRPr="00891197" w:rsidRDefault="004E0A60" w:rsidP="00891197">
      <w:pPr>
        <w:pStyle w:val="1"/>
        <w:rPr>
          <w:b/>
          <w:bCs/>
        </w:rPr>
      </w:pPr>
      <w:bookmarkStart w:id="56" w:name="_Toc234084464"/>
      <w:r w:rsidRPr="00891197">
        <w:rPr>
          <w:rFonts w:hint="cs"/>
          <w:b/>
          <w:bCs/>
          <w:rtl/>
        </w:rPr>
        <w:lastRenderedPageBreak/>
        <w:t>قائمة المراجع</w:t>
      </w:r>
      <w:bookmarkEnd w:id="56"/>
    </w:p>
    <w:p w14:paraId="4DC3D104" w14:textId="77777777" w:rsidR="004E0A60" w:rsidRPr="00891197" w:rsidRDefault="004E0A60" w:rsidP="00891197">
      <w:pPr>
        <w:pStyle w:val="2"/>
        <w:rPr>
          <w:b w:val="0"/>
          <w:bCs/>
        </w:rPr>
      </w:pPr>
      <w:bookmarkStart w:id="57" w:name="_Toc234084465"/>
      <w:r w:rsidRPr="00891197">
        <w:rPr>
          <w:rFonts w:hint="cs"/>
          <w:b w:val="0"/>
          <w:bCs/>
          <w:rtl/>
        </w:rPr>
        <w:t>أولاً: المراجع العربية</w:t>
      </w:r>
      <w:bookmarkEnd w:id="57"/>
    </w:p>
    <w:p w14:paraId="6C3668C2"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أثر تطبيق استراتيجية التحول الصحي في تقديم الخدمات من وجهة نظر الموظفين في المملكة العربية السعودية. (2024). </w:t>
      </w:r>
      <w:r w:rsidRPr="00A44E4E">
        <w:rPr>
          <w:rStyle w:val="ae"/>
          <w:rFonts w:ascii="Simplified Arabic" w:hAnsi="Simplified Arabic" w:cs="Simplified Arabic" w:hint="cs"/>
          <w:sz w:val="28"/>
          <w:szCs w:val="28"/>
          <w:rtl/>
        </w:rPr>
        <w:t>المجلة العربية للعلوم ونشر الأبحاث، سلسلة العلوم الاقتصادية والإدارية والقانونية، 8</w:t>
      </w:r>
      <w:r w:rsidRPr="00A44E4E">
        <w:rPr>
          <w:rFonts w:ascii="Simplified Arabic" w:hAnsi="Simplified Arabic" w:cs="Simplified Arabic" w:hint="cs"/>
          <w:sz w:val="28"/>
          <w:szCs w:val="28"/>
        </w:rPr>
        <w:t>(4)، 45–67.</w:t>
      </w:r>
    </w:p>
    <w:p w14:paraId="7E5DC04D"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الإدارة العامة للتعليم – الرياض. (2020). أثر جودة الحياة الوظيفية على الاحتراق الوظيفي: دراسة ميدانية على عينة من الموظفات الإداريات بمنطقة الرياض. </w:t>
      </w:r>
      <w:r w:rsidRPr="00A44E4E">
        <w:rPr>
          <w:rStyle w:val="ae"/>
          <w:rFonts w:ascii="Simplified Arabic" w:hAnsi="Simplified Arabic" w:cs="Simplified Arabic" w:hint="cs"/>
          <w:sz w:val="28"/>
          <w:szCs w:val="28"/>
          <w:rtl/>
        </w:rPr>
        <w:t>المجلة العلمية للإدارة</w:t>
      </w:r>
      <w:r w:rsidRPr="00A44E4E">
        <w:rPr>
          <w:rFonts w:ascii="Simplified Arabic" w:hAnsi="Simplified Arabic" w:cs="Simplified Arabic" w:hint="cs"/>
          <w:sz w:val="28"/>
          <w:szCs w:val="28"/>
        </w:rPr>
        <w:t>.</w:t>
      </w:r>
    </w:p>
    <w:p w14:paraId="6DA7447A"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الأسمري، علي بن عوض حسن. (2022). دور الرشاقة التنظيمية للتخفيف من الاحتراق الوظيفي للأخصائيين الاجتماعيين بالمجال الصحي. </w:t>
      </w:r>
      <w:r w:rsidRPr="00A44E4E">
        <w:rPr>
          <w:rStyle w:val="ae"/>
          <w:rFonts w:ascii="Simplified Arabic" w:hAnsi="Simplified Arabic" w:cs="Simplified Arabic" w:hint="cs"/>
          <w:sz w:val="28"/>
          <w:szCs w:val="28"/>
          <w:rtl/>
        </w:rPr>
        <w:t>مجلة الخدمة الاجتماعية، 71</w:t>
      </w:r>
      <w:r w:rsidRPr="00A44E4E">
        <w:rPr>
          <w:rFonts w:ascii="Simplified Arabic" w:hAnsi="Simplified Arabic" w:cs="Simplified Arabic" w:hint="cs"/>
          <w:sz w:val="28"/>
          <w:szCs w:val="28"/>
        </w:rPr>
        <w:t>(2)، 241–279.</w:t>
      </w:r>
    </w:p>
    <w:p w14:paraId="44FAFBEC"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الجنابي، سجاد محمد عطية، وياس، خضير محمد. (2021). الرفاهية التنظيمية ودورها في الأداء الاستراتيجي: دراسة تحليلية لعينة من العاملين في مديرية إحصاء محافظة بابل. </w:t>
      </w:r>
      <w:r w:rsidRPr="00A44E4E">
        <w:rPr>
          <w:rStyle w:val="ae"/>
          <w:rFonts w:ascii="Simplified Arabic" w:hAnsi="Simplified Arabic" w:cs="Simplified Arabic" w:hint="cs"/>
          <w:sz w:val="28"/>
          <w:szCs w:val="28"/>
          <w:rtl/>
        </w:rPr>
        <w:t>مجلة الغري للعلوم الاقتصادية والإدارية</w:t>
      </w:r>
      <w:r w:rsidRPr="00A44E4E">
        <w:rPr>
          <w:rFonts w:ascii="Simplified Arabic" w:hAnsi="Simplified Arabic" w:cs="Simplified Arabic" w:hint="cs"/>
          <w:sz w:val="28"/>
          <w:szCs w:val="28"/>
        </w:rPr>
        <w:t>، 201–216.</w:t>
      </w:r>
    </w:p>
    <w:p w14:paraId="6B9F7375"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الشهري، حسن عامر. (2024). أثر تطبيق استراتيجية التحول الصحي في تقديم الخدمات من وجهة نظر الموظفين في المملكة العربية السعودية. </w:t>
      </w:r>
      <w:r w:rsidRPr="00A44E4E">
        <w:rPr>
          <w:rStyle w:val="ae"/>
          <w:rFonts w:ascii="Simplified Arabic" w:hAnsi="Simplified Arabic" w:cs="Simplified Arabic" w:hint="cs"/>
          <w:sz w:val="28"/>
          <w:szCs w:val="28"/>
          <w:rtl/>
        </w:rPr>
        <w:t>مجلة العلوم الاقتصادية والإدارية والقانونية، 8</w:t>
      </w:r>
      <w:r w:rsidRPr="00A44E4E">
        <w:rPr>
          <w:rFonts w:ascii="Simplified Arabic" w:hAnsi="Simplified Arabic" w:cs="Simplified Arabic" w:hint="cs"/>
          <w:sz w:val="28"/>
          <w:szCs w:val="28"/>
        </w:rPr>
        <w:t>(10)، 22–34. https://doi.org/10.26389/AJSRP.H270723</w:t>
      </w:r>
    </w:p>
    <w:p w14:paraId="5F1D50D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الصبحي، منار محمد. (2022). الاحتراق الوظيفي وتأثيره على أداء العاملين في وزارة الشؤون البلدية والقروية: دراسة تطبيقية على الإداريين العاملين بأمانة محافظة جدة. </w:t>
      </w:r>
      <w:r w:rsidRPr="00A44E4E">
        <w:rPr>
          <w:rStyle w:val="ae"/>
          <w:rFonts w:ascii="Simplified Arabic" w:hAnsi="Simplified Arabic" w:cs="Simplified Arabic" w:hint="cs"/>
          <w:sz w:val="28"/>
          <w:szCs w:val="28"/>
          <w:rtl/>
        </w:rPr>
        <w:t>المجلة الدولية لنشر البحوث والدراسات، 3</w:t>
      </w:r>
      <w:r w:rsidRPr="00A44E4E">
        <w:rPr>
          <w:rFonts w:ascii="Simplified Arabic" w:hAnsi="Simplified Arabic" w:cs="Simplified Arabic" w:hint="cs"/>
          <w:sz w:val="28"/>
          <w:szCs w:val="28"/>
        </w:rPr>
        <w:t>(27). https://doi.org/10.56807/buj.v5i4.40</w:t>
      </w:r>
    </w:p>
    <w:p w14:paraId="02B2C27D"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الظفيري، ع. م.، ومحمد، ع. ح. (2021). الرضا الوظيفي كوسيط بين الاحتراق الوظيفي والتزام الموظف والرغبة في ترك العمل. </w:t>
      </w:r>
      <w:r w:rsidRPr="00A44E4E">
        <w:rPr>
          <w:rStyle w:val="ae"/>
          <w:rFonts w:ascii="Simplified Arabic" w:hAnsi="Simplified Arabic" w:cs="Simplified Arabic" w:hint="cs"/>
          <w:sz w:val="28"/>
          <w:szCs w:val="28"/>
          <w:rtl/>
        </w:rPr>
        <w:t>مجلة الأعمال الكويتية، 51</w:t>
      </w:r>
      <w:r w:rsidRPr="00A44E4E">
        <w:rPr>
          <w:rFonts w:ascii="Simplified Arabic" w:hAnsi="Simplified Arabic" w:cs="Simplified Arabic" w:hint="cs"/>
          <w:sz w:val="28"/>
          <w:szCs w:val="28"/>
        </w:rPr>
        <w:t>(1)، 165–192.</w:t>
      </w:r>
    </w:p>
    <w:p w14:paraId="1EDBF759"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المطيري، د. ع. (2016). أثر القيادة التحويلية على الأداء التنظيمي في القطاع العام السعودي. </w:t>
      </w:r>
      <w:r w:rsidRPr="00A44E4E">
        <w:rPr>
          <w:rStyle w:val="ae"/>
          <w:rFonts w:ascii="Simplified Arabic" w:hAnsi="Simplified Arabic" w:cs="Simplified Arabic" w:hint="cs"/>
          <w:sz w:val="28"/>
          <w:szCs w:val="28"/>
          <w:rtl/>
        </w:rPr>
        <w:t>المجلة الدولية للأعمال والإدارة، 11</w:t>
      </w:r>
      <w:r w:rsidRPr="00A44E4E">
        <w:rPr>
          <w:rFonts w:ascii="Simplified Arabic" w:hAnsi="Simplified Arabic" w:cs="Simplified Arabic" w:hint="cs"/>
          <w:sz w:val="28"/>
          <w:szCs w:val="28"/>
        </w:rPr>
        <w:t>(6)، 85–94.</w:t>
      </w:r>
    </w:p>
    <w:p w14:paraId="77ACE52D"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المطيري، م. و.، العنزي، ي. د.، والعلياني، ن. أ. (2023). أثر نماذج القيادة على أداء العاملين في القطاع الخاص بالمنطقة الشرقية بالمملكة العربية السعودية. </w:t>
      </w:r>
      <w:r w:rsidRPr="00A44E4E">
        <w:rPr>
          <w:rStyle w:val="ae"/>
          <w:rFonts w:ascii="Simplified Arabic" w:hAnsi="Simplified Arabic" w:cs="Simplified Arabic" w:hint="cs"/>
          <w:sz w:val="28"/>
          <w:szCs w:val="28"/>
          <w:rtl/>
        </w:rPr>
        <w:t>مجلة البحوث والدراسات الاستراتيجية، 4</w:t>
      </w:r>
      <w:r w:rsidRPr="00A44E4E">
        <w:rPr>
          <w:rFonts w:ascii="Simplified Arabic" w:hAnsi="Simplified Arabic" w:cs="Simplified Arabic" w:hint="cs"/>
          <w:sz w:val="28"/>
          <w:szCs w:val="28"/>
        </w:rPr>
        <w:t>(43)، 214–239.</w:t>
      </w:r>
    </w:p>
    <w:p w14:paraId="3EE0EA01"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الهيئة الاتحادية للموارد البشرية الحكومية، الإمارات العربية المتحدة. (2018). </w:t>
      </w:r>
      <w:r w:rsidRPr="00A44E4E">
        <w:rPr>
          <w:rStyle w:val="ae"/>
          <w:rFonts w:ascii="Simplified Arabic" w:hAnsi="Simplified Arabic" w:cs="Simplified Arabic" w:hint="cs"/>
          <w:sz w:val="28"/>
          <w:szCs w:val="28"/>
          <w:rtl/>
        </w:rPr>
        <w:t>الدليل الاسترشادي للرفاه الوظيفي</w:t>
      </w:r>
      <w:r w:rsidRPr="00A44E4E">
        <w:rPr>
          <w:rFonts w:ascii="Simplified Arabic" w:hAnsi="Simplified Arabic" w:cs="Simplified Arabic" w:hint="cs"/>
          <w:sz w:val="28"/>
          <w:szCs w:val="28"/>
        </w:rPr>
        <w:t>. https://www.fahr.gov.ae/Portal/Userfiles/Assets/Documents/bb0f-b17a.pdf</w:t>
      </w:r>
    </w:p>
    <w:p w14:paraId="557E0F8A"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اليامي، داحن محمد، والسواط، طلق عوض. (2022). أثر تطبيق معايير الحوكمة على أداء العاملين في القطاع الصحي الحكومي بمنطقة نجران. </w:t>
      </w:r>
      <w:r w:rsidRPr="00A44E4E">
        <w:rPr>
          <w:rStyle w:val="ae"/>
          <w:rFonts w:ascii="Simplified Arabic" w:hAnsi="Simplified Arabic" w:cs="Simplified Arabic" w:hint="cs"/>
          <w:sz w:val="28"/>
          <w:szCs w:val="28"/>
          <w:rtl/>
        </w:rPr>
        <w:t>مجلة العلوم الاقتصادية والإدارية والقانونية، 6</w:t>
      </w:r>
      <w:r w:rsidRPr="00A44E4E">
        <w:rPr>
          <w:rFonts w:ascii="Simplified Arabic" w:hAnsi="Simplified Arabic" w:cs="Simplified Arabic" w:hint="cs"/>
          <w:sz w:val="28"/>
          <w:szCs w:val="28"/>
        </w:rPr>
        <w:t>(17)، 14–68.</w:t>
      </w:r>
    </w:p>
    <w:p w14:paraId="6026FF8A"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اليامي، علي فهد آل منصور، آل بحري، خالد نقطان، آل منصور، فهد محمد، آل مردف، علي حسن، واليامي، ناصر حسين. (2022). أثر الاحتراق الوظيفي على أداء العاملين بالمنشآت الصحية بمنطقة نجران. </w:t>
      </w:r>
      <w:r w:rsidRPr="00A44E4E">
        <w:rPr>
          <w:rStyle w:val="ae"/>
          <w:rFonts w:ascii="Simplified Arabic" w:hAnsi="Simplified Arabic" w:cs="Simplified Arabic" w:hint="cs"/>
          <w:sz w:val="28"/>
          <w:szCs w:val="28"/>
          <w:rtl/>
        </w:rPr>
        <w:t>مجلة رماح للبحوث والدراسات، 73</w:t>
      </w:r>
      <w:r w:rsidRPr="00A44E4E">
        <w:rPr>
          <w:rFonts w:ascii="Simplified Arabic" w:hAnsi="Simplified Arabic" w:cs="Simplified Arabic" w:hint="cs"/>
          <w:sz w:val="28"/>
          <w:szCs w:val="28"/>
        </w:rPr>
        <w:t>، 305–338. http://search.mandumah.com/Record/1329462</w:t>
      </w:r>
    </w:p>
    <w:p w14:paraId="53264C3D"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اليماني، زكي أبوبكر. (2023). الاحتراق الوظيفي وأثره على جودة الخدمات الصحية بالمستشفيات. </w:t>
      </w:r>
      <w:r w:rsidRPr="00A44E4E">
        <w:rPr>
          <w:rStyle w:val="ae"/>
          <w:rFonts w:ascii="Simplified Arabic" w:hAnsi="Simplified Arabic" w:cs="Simplified Arabic" w:hint="cs"/>
          <w:sz w:val="28"/>
          <w:szCs w:val="28"/>
          <w:rtl/>
        </w:rPr>
        <w:t>مجلة جامعة البيضاء، 5</w:t>
      </w:r>
      <w:r w:rsidRPr="00A44E4E">
        <w:rPr>
          <w:rFonts w:ascii="Simplified Arabic" w:hAnsi="Simplified Arabic" w:cs="Simplified Arabic" w:hint="cs"/>
          <w:sz w:val="28"/>
          <w:szCs w:val="28"/>
        </w:rPr>
        <w:t>(4). https://doi.org/10.56807/buj.v5i4.403</w:t>
      </w:r>
    </w:p>
    <w:p w14:paraId="7F47AAB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بو حالة، محمد المهدي، وبوطة، حاج بلقاسم. (2023). </w:t>
      </w:r>
      <w:r w:rsidRPr="00A44E4E">
        <w:rPr>
          <w:rStyle w:val="ae"/>
          <w:rFonts w:ascii="Simplified Arabic" w:hAnsi="Simplified Arabic" w:cs="Simplified Arabic" w:hint="cs"/>
          <w:sz w:val="28"/>
          <w:szCs w:val="28"/>
          <w:rtl/>
        </w:rPr>
        <w:t>بيئة العمل وأثرها في الإبداع التنظيمي بالمؤسسة الاقتصادية</w:t>
      </w:r>
      <w:r w:rsidRPr="00A44E4E">
        <w:rPr>
          <w:rFonts w:ascii="Simplified Arabic" w:hAnsi="Simplified Arabic" w:cs="Simplified Arabic" w:hint="cs"/>
          <w:sz w:val="28"/>
          <w:szCs w:val="28"/>
          <w:rtl/>
        </w:rPr>
        <w:t xml:space="preserve"> [رسالة ماجستير]. الجزائر.</w:t>
      </w:r>
    </w:p>
    <w:p w14:paraId="7B6CC6D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توتي، مراد. (2020). </w:t>
      </w:r>
      <w:r w:rsidRPr="00A44E4E">
        <w:rPr>
          <w:rStyle w:val="ae"/>
          <w:rFonts w:ascii="Simplified Arabic" w:hAnsi="Simplified Arabic" w:cs="Simplified Arabic" w:hint="cs"/>
          <w:sz w:val="28"/>
          <w:szCs w:val="28"/>
          <w:rtl/>
        </w:rPr>
        <w:t>بيئة العمل النفسية وعلاقتها بالأداء الوظيفي لدى عمال شركة الكهريف بمدينة تقرت</w:t>
      </w:r>
      <w:r w:rsidRPr="00A44E4E">
        <w:rPr>
          <w:rFonts w:ascii="Simplified Arabic" w:hAnsi="Simplified Arabic" w:cs="Simplified Arabic" w:hint="cs"/>
          <w:sz w:val="28"/>
          <w:szCs w:val="28"/>
          <w:rtl/>
        </w:rPr>
        <w:t xml:space="preserve"> [رسالة ماجستير، جامعة قاصدي مرباح ورقلة].</w:t>
      </w:r>
    </w:p>
    <w:p w14:paraId="1714B492"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جوده، رياض حميد، ومحمد، أثير عبد الله. (2022). تأثير رفاهية العاملين في المخرجات التنظيمية: بحث تحليلي في الشركة العامة لصناعات النسيج والجلود – مقر مصنع القطنية في بغداد. </w:t>
      </w:r>
      <w:r w:rsidRPr="00A44E4E">
        <w:rPr>
          <w:rStyle w:val="ae"/>
          <w:rFonts w:ascii="Simplified Arabic" w:hAnsi="Simplified Arabic" w:cs="Simplified Arabic" w:hint="cs"/>
          <w:sz w:val="28"/>
          <w:szCs w:val="28"/>
          <w:rtl/>
        </w:rPr>
        <w:t>مجلة تكريت للعلوم الإدارية والاقتصادية، 8</w:t>
      </w:r>
      <w:r w:rsidRPr="00A44E4E">
        <w:rPr>
          <w:rFonts w:ascii="Simplified Arabic" w:hAnsi="Simplified Arabic" w:cs="Simplified Arabic" w:hint="cs"/>
          <w:sz w:val="28"/>
          <w:szCs w:val="28"/>
        </w:rPr>
        <w:t>(59)، 208–227.</w:t>
      </w:r>
    </w:p>
    <w:p w14:paraId="105FFAC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حسين، عبد الله. (2020). </w:t>
      </w:r>
      <w:r w:rsidRPr="00A44E4E">
        <w:rPr>
          <w:rStyle w:val="ae"/>
          <w:rFonts w:ascii="Simplified Arabic" w:hAnsi="Simplified Arabic" w:cs="Simplified Arabic" w:hint="cs"/>
          <w:sz w:val="28"/>
          <w:szCs w:val="28"/>
          <w:rtl/>
        </w:rPr>
        <w:t>أثر الاحتراق الوظيفي على أداء العاملين في المستشفيات الخاصة في الأردن</w:t>
      </w:r>
      <w:r w:rsidRPr="00A44E4E">
        <w:rPr>
          <w:rFonts w:ascii="Simplified Arabic" w:hAnsi="Simplified Arabic" w:cs="Simplified Arabic" w:hint="cs"/>
          <w:sz w:val="28"/>
          <w:szCs w:val="28"/>
          <w:rtl/>
        </w:rPr>
        <w:t xml:space="preserve"> [رسالة ماجستير غير منشورة، جامعة آل البيت]. المفرق، الأردن.</w:t>
      </w:r>
    </w:p>
    <w:p w14:paraId="4D23EDBF"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رؤية المملكة العربية السعودية 2030. (2024). </w:t>
      </w:r>
      <w:r w:rsidRPr="00A44E4E">
        <w:rPr>
          <w:rStyle w:val="ae"/>
          <w:rFonts w:ascii="Simplified Arabic" w:hAnsi="Simplified Arabic" w:cs="Simplified Arabic" w:hint="cs"/>
          <w:sz w:val="28"/>
          <w:szCs w:val="28"/>
          <w:rtl/>
        </w:rPr>
        <w:t>برنامج التحول الصحي</w:t>
      </w:r>
      <w:r w:rsidRPr="00A44E4E">
        <w:rPr>
          <w:rFonts w:ascii="Simplified Arabic" w:hAnsi="Simplified Arabic" w:cs="Simplified Arabic" w:hint="cs"/>
          <w:sz w:val="28"/>
          <w:szCs w:val="28"/>
        </w:rPr>
        <w:t>. https://www.vision2030.gov.sa/ar/programs/health-sector-transformation-program</w:t>
      </w:r>
    </w:p>
    <w:p w14:paraId="7664893B"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سناني، لبنى، وبو عطيط، جلال الدين. (2021). دور جودة حياة العمل في تحقيق الرفاهية النفسية والاجتماعية في بيئة العمل. </w:t>
      </w:r>
      <w:r w:rsidRPr="00A44E4E">
        <w:rPr>
          <w:rStyle w:val="ae"/>
          <w:rFonts w:ascii="Simplified Arabic" w:hAnsi="Simplified Arabic" w:cs="Simplified Arabic" w:hint="cs"/>
          <w:sz w:val="28"/>
          <w:szCs w:val="28"/>
          <w:rtl/>
        </w:rPr>
        <w:t>مجلة سوسيولوجيا للدراسات والبحوث الاجتماعية، 5</w:t>
      </w:r>
      <w:r w:rsidRPr="00A44E4E">
        <w:rPr>
          <w:rFonts w:ascii="Simplified Arabic" w:hAnsi="Simplified Arabic" w:cs="Simplified Arabic" w:hint="cs"/>
          <w:sz w:val="28"/>
          <w:szCs w:val="28"/>
        </w:rPr>
        <w:t>(3)، 84–97.</w:t>
      </w:r>
    </w:p>
    <w:p w14:paraId="09F19C4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سعود، مناور العازمي، ونواف. (2025). فاعلية برامج التحول الصحي وتحقيق استدامة الخدمات الاجتماعية بالمؤسسات الصحية. </w:t>
      </w:r>
      <w:r w:rsidRPr="00A44E4E">
        <w:rPr>
          <w:rStyle w:val="ae"/>
          <w:rFonts w:ascii="Simplified Arabic" w:hAnsi="Simplified Arabic" w:cs="Simplified Arabic" w:hint="cs"/>
          <w:sz w:val="28"/>
          <w:szCs w:val="28"/>
          <w:rtl/>
        </w:rPr>
        <w:t>مجلة دراية: المجلة العلمية للسياسات العامة ودراسات التنمية، 4</w:t>
      </w:r>
      <w:r w:rsidRPr="00A44E4E">
        <w:rPr>
          <w:rFonts w:ascii="Simplified Arabic" w:hAnsi="Simplified Arabic" w:cs="Simplified Arabic" w:hint="cs"/>
          <w:sz w:val="28"/>
          <w:szCs w:val="28"/>
        </w:rPr>
        <w:t>(2)، 59–94.</w:t>
      </w:r>
    </w:p>
    <w:p w14:paraId="15048B89"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شلبي، يوسف، القصبي، سام، وأمحديش، صالحة. (2020). الإسهام النسبي لكل من الصمود والاحتراق الأكاديميين في التنبؤ بالرفاهية الأكاديمية لدى طلبة الجامعة. </w:t>
      </w:r>
      <w:r w:rsidRPr="00A44E4E">
        <w:rPr>
          <w:rStyle w:val="ae"/>
          <w:rFonts w:ascii="Simplified Arabic" w:hAnsi="Simplified Arabic" w:cs="Simplified Arabic" w:hint="cs"/>
          <w:sz w:val="28"/>
          <w:szCs w:val="28"/>
          <w:rtl/>
        </w:rPr>
        <w:t>مجلة كلية التربية، جامعة طنطا، 76</w:t>
      </w:r>
      <w:r w:rsidRPr="00A44E4E">
        <w:rPr>
          <w:rFonts w:ascii="Simplified Arabic" w:hAnsi="Simplified Arabic" w:cs="Simplified Arabic" w:hint="cs"/>
          <w:sz w:val="28"/>
          <w:szCs w:val="28"/>
        </w:rPr>
        <w:t>، 80.</w:t>
      </w:r>
    </w:p>
    <w:p w14:paraId="6A69CE66"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شناف، خديجة. (2022). استراتيجية كايزن لتفادي الضغوط النفسية في بيئة العمل. </w:t>
      </w:r>
      <w:r w:rsidRPr="00A44E4E">
        <w:rPr>
          <w:rStyle w:val="ae"/>
          <w:rFonts w:ascii="Simplified Arabic" w:hAnsi="Simplified Arabic" w:cs="Simplified Arabic" w:hint="cs"/>
          <w:sz w:val="28"/>
          <w:szCs w:val="28"/>
          <w:rtl/>
        </w:rPr>
        <w:t>مجلة آفاق للعلوم، 7</w:t>
      </w:r>
      <w:r w:rsidRPr="00A44E4E">
        <w:rPr>
          <w:rFonts w:ascii="Simplified Arabic" w:hAnsi="Simplified Arabic" w:cs="Simplified Arabic" w:hint="cs"/>
          <w:sz w:val="28"/>
          <w:szCs w:val="28"/>
        </w:rPr>
        <w:t>(3)، 543–557.</w:t>
      </w:r>
    </w:p>
    <w:p w14:paraId="782011C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عبد الشكور، هاني. (2023). تأثير روحانية مكان العمل على رفاهية العاملين وسلوك مشاركة المعرفة ونية البقاء في العمل: دراسة تطبيقية على قطاع الفنادق بمدينة شرم الشيخ. </w:t>
      </w:r>
      <w:r w:rsidRPr="00A44E4E">
        <w:rPr>
          <w:rStyle w:val="ae"/>
          <w:rFonts w:ascii="Simplified Arabic" w:hAnsi="Simplified Arabic" w:cs="Simplified Arabic" w:hint="cs"/>
          <w:sz w:val="28"/>
          <w:szCs w:val="28"/>
          <w:rtl/>
        </w:rPr>
        <w:t>المجلة العربية للإدارة، 34</w:t>
      </w:r>
      <w:r w:rsidRPr="00A44E4E">
        <w:rPr>
          <w:rFonts w:ascii="Simplified Arabic" w:hAnsi="Simplified Arabic" w:cs="Simplified Arabic" w:hint="cs"/>
          <w:sz w:val="28"/>
          <w:szCs w:val="28"/>
        </w:rPr>
        <w:t>(2)، 75–96.</w:t>
      </w:r>
    </w:p>
    <w:p w14:paraId="01568FE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عبدالرحمن، أ. (2024، 30 يوليو). الصحة النفسية في بيئة العمل السعودية: تحديات الواقع وطموحات رؤية 2030. </w:t>
      </w:r>
      <w:r w:rsidRPr="00A44E4E">
        <w:rPr>
          <w:rStyle w:val="ae"/>
          <w:rFonts w:ascii="Simplified Arabic" w:hAnsi="Simplified Arabic" w:cs="Simplified Arabic" w:hint="cs"/>
          <w:sz w:val="28"/>
          <w:szCs w:val="28"/>
          <w:rtl/>
        </w:rPr>
        <w:t>موجز الأنباء</w:t>
      </w:r>
      <w:r w:rsidRPr="00A44E4E">
        <w:rPr>
          <w:rFonts w:ascii="Simplified Arabic" w:hAnsi="Simplified Arabic" w:cs="Simplified Arabic" w:hint="cs"/>
          <w:sz w:val="28"/>
          <w:szCs w:val="28"/>
        </w:rPr>
        <w:t>.</w:t>
      </w:r>
    </w:p>
    <w:p w14:paraId="70DC5D5F"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عسيري، م. ع. ع. (2021). الاحتراق الوظيفي وأثره على إنتاجية الموظف ورضاه الوظيفي: دراسة ميدانية بمدينة تبوك. </w:t>
      </w:r>
      <w:r w:rsidRPr="00A44E4E">
        <w:rPr>
          <w:rStyle w:val="ae"/>
          <w:rFonts w:ascii="Simplified Arabic" w:hAnsi="Simplified Arabic" w:cs="Simplified Arabic" w:hint="cs"/>
          <w:sz w:val="28"/>
          <w:szCs w:val="28"/>
        </w:rPr>
        <w:t>International Journal of Research and Studies Publishing</w:t>
      </w:r>
      <w:r w:rsidRPr="00A44E4E">
        <w:rPr>
          <w:rFonts w:ascii="Simplified Arabic" w:hAnsi="Simplified Arabic" w:cs="Simplified Arabic" w:hint="cs"/>
          <w:sz w:val="28"/>
          <w:szCs w:val="28"/>
        </w:rPr>
        <w:t>.</w:t>
      </w:r>
    </w:p>
    <w:p w14:paraId="50F7036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علي، محمد. (2018). </w:t>
      </w:r>
      <w:r w:rsidRPr="00A44E4E">
        <w:rPr>
          <w:rStyle w:val="ae"/>
          <w:rFonts w:ascii="Simplified Arabic" w:hAnsi="Simplified Arabic" w:cs="Simplified Arabic" w:hint="cs"/>
          <w:sz w:val="28"/>
          <w:szCs w:val="28"/>
          <w:rtl/>
        </w:rPr>
        <w:t>التأثيرات السلبية لبيئة العمل النفسية</w:t>
      </w:r>
      <w:r w:rsidRPr="00A44E4E">
        <w:rPr>
          <w:rFonts w:ascii="Simplified Arabic" w:hAnsi="Simplified Arabic" w:cs="Simplified Arabic" w:hint="cs"/>
          <w:sz w:val="28"/>
          <w:szCs w:val="28"/>
          <w:rtl/>
        </w:rPr>
        <w:t xml:space="preserve"> (ط. 1). دار الفكر للنشر والتوزيع.</w:t>
      </w:r>
    </w:p>
    <w:p w14:paraId="2F49FEB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غالب، أكرم صادق حسن. (2024). أثر بيئة العمل الداخلية على الإبداع الإداري: دراسة ميدانية على المستشفى العسكري بمدينة تعز. </w:t>
      </w:r>
      <w:r w:rsidRPr="00A44E4E">
        <w:rPr>
          <w:rStyle w:val="ae"/>
          <w:rFonts w:ascii="Simplified Arabic" w:hAnsi="Simplified Arabic" w:cs="Simplified Arabic" w:hint="cs"/>
          <w:sz w:val="28"/>
          <w:szCs w:val="28"/>
          <w:rtl/>
        </w:rPr>
        <w:t>مجلة بحوث جامعة تعز، 41</w:t>
      </w:r>
      <w:r w:rsidRPr="00A44E4E">
        <w:rPr>
          <w:rFonts w:ascii="Simplified Arabic" w:hAnsi="Simplified Arabic" w:cs="Simplified Arabic" w:hint="cs"/>
          <w:sz w:val="28"/>
          <w:szCs w:val="28"/>
        </w:rPr>
        <w:t>(33)، 2958–7848.</w:t>
      </w:r>
    </w:p>
    <w:p w14:paraId="44BCFE08"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فرج، ع. ع. ف. ن.، والقبي، ط. م. (2023). الاحتراق الوظيفي وعلاقته بالأداء الوظيفي: دراسة حالة – جامعة سرت. </w:t>
      </w:r>
      <w:r w:rsidRPr="00A44E4E">
        <w:rPr>
          <w:rStyle w:val="ae"/>
          <w:rFonts w:ascii="Simplified Arabic" w:hAnsi="Simplified Arabic" w:cs="Simplified Arabic" w:hint="cs"/>
          <w:sz w:val="28"/>
          <w:szCs w:val="28"/>
          <w:rtl/>
        </w:rPr>
        <w:t>مجلة الدراسات الاقتصادية، 6</w:t>
      </w:r>
      <w:r w:rsidRPr="00A44E4E">
        <w:rPr>
          <w:rFonts w:ascii="Simplified Arabic" w:hAnsi="Simplified Arabic" w:cs="Simplified Arabic" w:hint="cs"/>
          <w:sz w:val="28"/>
          <w:szCs w:val="28"/>
        </w:rPr>
        <w:t>(1)، 185–209.</w:t>
      </w:r>
    </w:p>
    <w:p w14:paraId="216A4D0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فرطاقي، مفيدة. (2018). </w:t>
      </w:r>
      <w:r w:rsidRPr="00A44E4E">
        <w:rPr>
          <w:rStyle w:val="ae"/>
          <w:rFonts w:ascii="Simplified Arabic" w:hAnsi="Simplified Arabic" w:cs="Simplified Arabic" w:hint="cs"/>
          <w:sz w:val="28"/>
          <w:szCs w:val="28"/>
          <w:rtl/>
        </w:rPr>
        <w:t>النفقات الصحية وتحديات التمويل في الجزائر في ظل التحول الصحي الجاري</w:t>
      </w:r>
      <w:r w:rsidRPr="00A44E4E">
        <w:rPr>
          <w:rFonts w:ascii="Simplified Arabic" w:hAnsi="Simplified Arabic" w:cs="Simplified Arabic" w:hint="cs"/>
          <w:sz w:val="28"/>
          <w:szCs w:val="28"/>
        </w:rPr>
        <w:t>.</w:t>
      </w:r>
    </w:p>
    <w:p w14:paraId="061AC4E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قرني، حسام. (2023). تعزيز مقومات الرفاه الوظيفي وأثره في تحقيق الميزة التنافسية للمنظمات: دراسة حالة البنك الأهلي المصري. </w:t>
      </w:r>
      <w:r w:rsidRPr="00A44E4E">
        <w:rPr>
          <w:rStyle w:val="ae"/>
          <w:rFonts w:ascii="Simplified Arabic" w:hAnsi="Simplified Arabic" w:cs="Simplified Arabic" w:hint="cs"/>
          <w:sz w:val="28"/>
          <w:szCs w:val="28"/>
          <w:rtl/>
        </w:rPr>
        <w:t>مجلة كلية السياسة والاقتصاد، 17</w:t>
      </w:r>
      <w:r w:rsidRPr="00A44E4E">
        <w:rPr>
          <w:rFonts w:ascii="Simplified Arabic" w:hAnsi="Simplified Arabic" w:cs="Simplified Arabic" w:hint="cs"/>
          <w:sz w:val="28"/>
          <w:szCs w:val="28"/>
        </w:rPr>
        <w:t>(2)، 181–224.</w:t>
      </w:r>
    </w:p>
    <w:p w14:paraId="3AAB41EC" w14:textId="7D0440B3" w:rsidR="004E0A60" w:rsidRPr="00A44E4E" w:rsidRDefault="004E0A60" w:rsidP="00525D13">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كنتاوي، أمينة، وتيشات، سلوى. (2022). الدور الوسيط لرفاهية الموظف في العلاقة بين الرضا الوظيفي والأداء الاستراتيجي. </w:t>
      </w:r>
      <w:r w:rsidRPr="00A44E4E">
        <w:rPr>
          <w:rStyle w:val="ae"/>
          <w:rFonts w:ascii="Simplified Arabic" w:hAnsi="Simplified Arabic" w:cs="Simplified Arabic" w:hint="cs"/>
          <w:sz w:val="28"/>
          <w:szCs w:val="28"/>
          <w:rtl/>
        </w:rPr>
        <w:t>مجلة الدراسات الاقتصادية الكمية، 8</w:t>
      </w:r>
      <w:r w:rsidRPr="00A44E4E">
        <w:rPr>
          <w:rFonts w:ascii="Simplified Arabic" w:hAnsi="Simplified Arabic" w:cs="Simplified Arabic" w:hint="cs"/>
          <w:sz w:val="28"/>
          <w:szCs w:val="28"/>
        </w:rPr>
        <w:t>(1)، 311–324.</w:t>
      </w:r>
    </w:p>
    <w:p w14:paraId="570CC596" w14:textId="5CA38C7A"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وزارة الصحة في المملكة العربية السعودية. (</w:t>
      </w:r>
      <w:r w:rsidR="00CD484A">
        <w:rPr>
          <w:rFonts w:ascii="Simplified Arabic" w:hAnsi="Simplified Arabic" w:cs="Simplified Arabic" w:hint="cs"/>
          <w:sz w:val="28"/>
          <w:szCs w:val="28"/>
          <w:rtl/>
        </w:rPr>
        <w:t>2024</w:t>
      </w:r>
      <w:r w:rsidRPr="00A44E4E">
        <w:rPr>
          <w:rFonts w:ascii="Simplified Arabic" w:hAnsi="Simplified Arabic" w:cs="Simplified Arabic" w:hint="cs"/>
          <w:sz w:val="28"/>
          <w:szCs w:val="28"/>
          <w:rtl/>
        </w:rPr>
        <w:t xml:space="preserve">). </w:t>
      </w:r>
      <w:r w:rsidRPr="00A44E4E">
        <w:rPr>
          <w:rStyle w:val="ae"/>
          <w:rFonts w:ascii="Simplified Arabic" w:hAnsi="Simplified Arabic" w:cs="Simplified Arabic" w:hint="cs"/>
          <w:sz w:val="28"/>
          <w:szCs w:val="28"/>
          <w:rtl/>
        </w:rPr>
        <w:t>التقرير السنوي لوزارة الصحة لعام 2023: إنجازات التحول الصحي</w:t>
      </w:r>
      <w:r w:rsidRPr="00A44E4E">
        <w:rPr>
          <w:rFonts w:ascii="Simplified Arabic" w:hAnsi="Simplified Arabic" w:cs="Simplified Arabic" w:hint="cs"/>
          <w:sz w:val="28"/>
          <w:szCs w:val="28"/>
          <w:rtl/>
        </w:rPr>
        <w:t>. وزارة الصحة.</w:t>
      </w:r>
    </w:p>
    <w:p w14:paraId="05937AA5" w14:textId="77777777" w:rsidR="00DE1AA7" w:rsidRDefault="00DE1AA7" w:rsidP="00A44E4E">
      <w:pPr>
        <w:pStyle w:val="ac"/>
        <w:bidi/>
        <w:rPr>
          <w:rFonts w:ascii="Simplified Arabic" w:hAnsi="Simplified Arabic" w:cs="Simplified Arabic"/>
          <w:sz w:val="28"/>
          <w:szCs w:val="28"/>
          <w:rtl/>
        </w:rPr>
      </w:pPr>
      <w:r>
        <w:rPr>
          <w:rFonts w:ascii="Simplified Arabic" w:hAnsi="Simplified Arabic" w:cs="Simplified Arabic"/>
          <w:sz w:val="28"/>
          <w:szCs w:val="28"/>
          <w:rtl/>
        </w:rPr>
        <w:br w:type="page"/>
      </w:r>
    </w:p>
    <w:p w14:paraId="2004F6F1" w14:textId="18A4CE85" w:rsidR="004E0A60" w:rsidRPr="00891197" w:rsidRDefault="004E0A60" w:rsidP="00891197">
      <w:pPr>
        <w:pStyle w:val="2"/>
        <w:rPr>
          <w:b w:val="0"/>
          <w:bCs/>
        </w:rPr>
      </w:pPr>
      <w:bookmarkStart w:id="58" w:name="_Toc234084466"/>
      <w:r w:rsidRPr="00891197">
        <w:rPr>
          <w:rFonts w:hint="cs"/>
          <w:b w:val="0"/>
          <w:bCs/>
          <w:rtl/>
        </w:rPr>
        <w:lastRenderedPageBreak/>
        <w:t>ثانياً: المراجع الأجنبية</w:t>
      </w:r>
      <w:bookmarkEnd w:id="58"/>
    </w:p>
    <w:p w14:paraId="7982412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Aboobaker, N., Edward, M., &amp; Zakkariya, K. A. (2021). Workplace spirituality, well-being at work and employee loyalty in a gig economy: Multi-group analysis across temporary vs. permanent employment status. </w:t>
      </w:r>
      <w:r w:rsidRPr="00DE1AA7">
        <w:rPr>
          <w:rStyle w:val="ae"/>
          <w:rFonts w:asciiTheme="majorBidi" w:hAnsiTheme="majorBidi" w:cstheme="majorBidi"/>
        </w:rPr>
        <w:t>Personnel Review, 51</w:t>
      </w:r>
      <w:r w:rsidRPr="00DE1AA7">
        <w:rPr>
          <w:rFonts w:asciiTheme="majorBidi" w:hAnsiTheme="majorBidi" w:cstheme="majorBidi"/>
        </w:rPr>
        <w:t>(9), 2162–2180.</w:t>
      </w:r>
    </w:p>
    <w:p w14:paraId="150A91EC"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Abualrub, R. F., &amp; Alghamdi, M. G. (2012). The impact of leadership styles on nurses’ satisfaction and intention to stay among Saudi nurses. </w:t>
      </w:r>
      <w:r w:rsidRPr="00DE1AA7">
        <w:rPr>
          <w:rStyle w:val="ae"/>
          <w:rFonts w:asciiTheme="majorBidi" w:hAnsiTheme="majorBidi" w:cstheme="majorBidi"/>
        </w:rPr>
        <w:t>Journal of Nursing Management, 20</w:t>
      </w:r>
      <w:r w:rsidRPr="00DE1AA7">
        <w:rPr>
          <w:rFonts w:asciiTheme="majorBidi" w:hAnsiTheme="majorBidi" w:cstheme="majorBidi"/>
        </w:rPr>
        <w:t>(5), 668–678. https://doi.org/10.1111/j.1365-2834.2011.01320</w:t>
      </w:r>
    </w:p>
    <w:p w14:paraId="518CBDE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Ahsan, M. J., &amp; Khawaja, S. (2024). Sustainable leadership impact on environmental performance: Exploring employee well-being, innovation, and organizational resilience. </w:t>
      </w:r>
      <w:r w:rsidRPr="00DE1AA7">
        <w:rPr>
          <w:rStyle w:val="ae"/>
          <w:rFonts w:asciiTheme="majorBidi" w:hAnsiTheme="majorBidi" w:cstheme="majorBidi"/>
        </w:rPr>
        <w:t>Discover Sustainability, 5</w:t>
      </w:r>
      <w:r w:rsidRPr="00DE1AA7">
        <w:rPr>
          <w:rFonts w:asciiTheme="majorBidi" w:hAnsiTheme="majorBidi" w:cstheme="majorBidi"/>
        </w:rPr>
        <w:t>(1), 317.</w:t>
      </w:r>
    </w:p>
    <w:p w14:paraId="1F5E6FC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Alasiri, A. A., &amp; Mohammed, V. (2022). Healthcare transformation in Saudi Arabia: An overview since the launch of Vision 2030. </w:t>
      </w:r>
      <w:r w:rsidRPr="00DE1AA7">
        <w:rPr>
          <w:rStyle w:val="ae"/>
          <w:rFonts w:asciiTheme="majorBidi" w:hAnsiTheme="majorBidi" w:cstheme="majorBidi"/>
        </w:rPr>
        <w:t>Health Services Insights, 15</w:t>
      </w:r>
      <w:r w:rsidRPr="00DE1AA7">
        <w:rPr>
          <w:rFonts w:asciiTheme="majorBidi" w:hAnsiTheme="majorBidi" w:cstheme="majorBidi"/>
        </w:rPr>
        <w:t>, 11786329221121214. https://doi.org/10.1177/11786329221121214</w:t>
      </w:r>
    </w:p>
    <w:p w14:paraId="04F41BB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Alharbi, A. Y. (2017). Leadership styles of nurse managers and their effects on nurse and organisational performance, issues and problems. </w:t>
      </w:r>
      <w:r w:rsidRPr="00DE1AA7">
        <w:rPr>
          <w:rStyle w:val="ae"/>
          <w:rFonts w:asciiTheme="majorBidi" w:hAnsiTheme="majorBidi" w:cstheme="majorBidi"/>
        </w:rPr>
        <w:t>International Journal of Information Research and Review, 4</w:t>
      </w:r>
      <w:r w:rsidRPr="00DE1AA7">
        <w:rPr>
          <w:rFonts w:asciiTheme="majorBidi" w:hAnsiTheme="majorBidi" w:cstheme="majorBidi"/>
        </w:rPr>
        <w:t>(9), 4516–4525.</w:t>
      </w:r>
    </w:p>
    <w:p w14:paraId="23D7E1D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Al-Hussami, M. (2008). A study of nurses’ job satisfaction: The relationship to organizational commitment, perceived organizational support, transactional leadership, transformational leadership, and level of education. </w:t>
      </w:r>
      <w:r w:rsidRPr="00DE1AA7">
        <w:rPr>
          <w:rStyle w:val="ae"/>
          <w:rFonts w:asciiTheme="majorBidi" w:hAnsiTheme="majorBidi" w:cstheme="majorBidi"/>
        </w:rPr>
        <w:t>European Journal of Scientific Research, 22</w:t>
      </w:r>
      <w:r w:rsidRPr="00DE1AA7">
        <w:rPr>
          <w:rFonts w:asciiTheme="majorBidi" w:hAnsiTheme="majorBidi" w:cstheme="majorBidi"/>
        </w:rPr>
        <w:t>(2), 286–295.</w:t>
      </w:r>
    </w:p>
    <w:p w14:paraId="2BFFF54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Alqarni, T., Alghamdi, A., Alzahrani, A., Abumelha, K., Alqurashi, Z., &amp; Alsaleh, A. (2022). Prevalence of stress, burnout, and job satisfaction among mental healthcare professionals in Jeddah, Saudi Arabia. </w:t>
      </w:r>
      <w:r w:rsidRPr="00DE1AA7">
        <w:rPr>
          <w:rStyle w:val="ae"/>
          <w:rFonts w:asciiTheme="majorBidi" w:hAnsiTheme="majorBidi" w:cstheme="majorBidi"/>
        </w:rPr>
        <w:t>PLOS ONE, 17</w:t>
      </w:r>
      <w:r w:rsidRPr="00DE1AA7">
        <w:rPr>
          <w:rFonts w:asciiTheme="majorBidi" w:hAnsiTheme="majorBidi" w:cstheme="majorBidi"/>
        </w:rPr>
        <w:t>(4), e0267578.</w:t>
      </w:r>
    </w:p>
    <w:p w14:paraId="1572A96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Allen, I. E., &amp; Seaman, C. A. (2007). Likert scales and data analyses. </w:t>
      </w:r>
      <w:r w:rsidRPr="00DE1AA7">
        <w:rPr>
          <w:rStyle w:val="ae"/>
          <w:rFonts w:asciiTheme="majorBidi" w:hAnsiTheme="majorBidi" w:cstheme="majorBidi"/>
        </w:rPr>
        <w:t>Quality Progress, 40</w:t>
      </w:r>
      <w:r w:rsidRPr="00DE1AA7">
        <w:rPr>
          <w:rFonts w:asciiTheme="majorBidi" w:hAnsiTheme="majorBidi" w:cstheme="majorBidi"/>
        </w:rPr>
        <w:t>(7), 64–65.</w:t>
      </w:r>
    </w:p>
    <w:p w14:paraId="6AD87AE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Bakker, A. B., &amp; Costa, P. L. (2014). Chronic job burnout and daily functioning: A theoretical analysis. </w:t>
      </w:r>
      <w:r w:rsidRPr="00DE1AA7">
        <w:rPr>
          <w:rStyle w:val="ae"/>
          <w:rFonts w:asciiTheme="majorBidi" w:hAnsiTheme="majorBidi" w:cstheme="majorBidi"/>
        </w:rPr>
        <w:t>Burnout Research, 1</w:t>
      </w:r>
      <w:r w:rsidRPr="00DE1AA7">
        <w:rPr>
          <w:rFonts w:asciiTheme="majorBidi" w:hAnsiTheme="majorBidi" w:cstheme="majorBidi"/>
        </w:rPr>
        <w:t>(3), 112–119.</w:t>
      </w:r>
    </w:p>
    <w:p w14:paraId="0DEFBE2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Baron, R. M., &amp; Kenny, D. A. (1986). The moderator–mediator variable distinction in social psychological research: Conceptual, strategic, and statistical considerations. </w:t>
      </w:r>
      <w:r w:rsidRPr="00DE1AA7">
        <w:rPr>
          <w:rStyle w:val="ae"/>
          <w:rFonts w:asciiTheme="majorBidi" w:hAnsiTheme="majorBidi" w:cstheme="majorBidi"/>
        </w:rPr>
        <w:t>Journal of Personality and Social Psychology, 51</w:t>
      </w:r>
      <w:r w:rsidRPr="00DE1AA7">
        <w:rPr>
          <w:rFonts w:asciiTheme="majorBidi" w:hAnsiTheme="majorBidi" w:cstheme="majorBidi"/>
        </w:rPr>
        <w:t>(6), 1173–1182. https://doi.org/10.1037/0022-3514.51.6.1173</w:t>
      </w:r>
    </w:p>
    <w:p w14:paraId="415E5D32"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(1985). </w:t>
      </w:r>
      <w:r w:rsidRPr="00DE1AA7">
        <w:rPr>
          <w:rStyle w:val="ae"/>
          <w:rFonts w:asciiTheme="majorBidi" w:hAnsiTheme="majorBidi" w:cstheme="majorBidi"/>
        </w:rPr>
        <w:t>Leadership and performance beyond expectations</w:t>
      </w:r>
      <w:r w:rsidRPr="00DE1AA7">
        <w:rPr>
          <w:rFonts w:asciiTheme="majorBidi" w:hAnsiTheme="majorBidi" w:cstheme="majorBidi"/>
        </w:rPr>
        <w:t>. Free Press.</w:t>
      </w:r>
    </w:p>
    <w:p w14:paraId="5C2A132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&amp; Avolio, B. J. (1994). </w:t>
      </w:r>
      <w:r w:rsidRPr="00DE1AA7">
        <w:rPr>
          <w:rStyle w:val="ae"/>
          <w:rFonts w:asciiTheme="majorBidi" w:hAnsiTheme="majorBidi" w:cstheme="majorBidi"/>
        </w:rPr>
        <w:t>Improving organizational effectiveness through transformational leadership</w:t>
      </w:r>
      <w:r w:rsidRPr="00DE1AA7">
        <w:rPr>
          <w:rFonts w:asciiTheme="majorBidi" w:hAnsiTheme="majorBidi" w:cstheme="majorBidi"/>
        </w:rPr>
        <w:t>. Sage.</w:t>
      </w:r>
    </w:p>
    <w:p w14:paraId="552D2CF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&amp; Riggio, R. E. (2006). </w:t>
      </w:r>
      <w:r w:rsidRPr="00DE1AA7">
        <w:rPr>
          <w:rStyle w:val="ae"/>
          <w:rFonts w:asciiTheme="majorBidi" w:hAnsiTheme="majorBidi" w:cstheme="majorBidi"/>
        </w:rPr>
        <w:t>Transformational leadership</w:t>
      </w:r>
      <w:r w:rsidRPr="00DE1AA7">
        <w:rPr>
          <w:rFonts w:asciiTheme="majorBidi" w:hAnsiTheme="majorBidi" w:cstheme="majorBidi"/>
        </w:rPr>
        <w:t xml:space="preserve"> (2nd ed.). Lawrence Erlbaum Associates.</w:t>
      </w:r>
    </w:p>
    <w:p w14:paraId="4122ADE3"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Bastida, M., Neira, I., &amp; Lacalle-Calderon, M. (2022). Employee’s subjective well-being and job discretion: Designing gendered happy jobs. </w:t>
      </w:r>
      <w:r w:rsidRPr="00DE1AA7">
        <w:rPr>
          <w:rStyle w:val="ae"/>
          <w:rFonts w:asciiTheme="majorBidi" w:hAnsiTheme="majorBidi" w:cstheme="majorBidi"/>
        </w:rPr>
        <w:t>European Research on Management and Business Economics, 28</w:t>
      </w:r>
      <w:r w:rsidRPr="00DE1AA7">
        <w:rPr>
          <w:rFonts w:asciiTheme="majorBidi" w:hAnsiTheme="majorBidi" w:cstheme="majorBidi"/>
        </w:rPr>
        <w:t>(2), Article 100189.</w:t>
      </w:r>
    </w:p>
    <w:p w14:paraId="6A75B31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Boamah, S. A., Spence Laschinger, H. K., Wong, C., &amp; Clarke, S. (2018). Effect of transformational leadership on job satisfaction and patient safety outcomes. </w:t>
      </w:r>
      <w:r w:rsidRPr="00DE1AA7">
        <w:rPr>
          <w:rStyle w:val="ae"/>
          <w:rFonts w:asciiTheme="majorBidi" w:hAnsiTheme="majorBidi" w:cstheme="majorBidi"/>
        </w:rPr>
        <w:t>Nursing Outlook, 66</w:t>
      </w:r>
      <w:r w:rsidRPr="00DE1AA7">
        <w:rPr>
          <w:rFonts w:asciiTheme="majorBidi" w:hAnsiTheme="majorBidi" w:cstheme="majorBidi"/>
        </w:rPr>
        <w:t>(2), 180–189.</w:t>
      </w:r>
    </w:p>
    <w:p w14:paraId="4065044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Braim, N. (2025). </w:t>
      </w:r>
      <w:r w:rsidRPr="00DE1AA7">
        <w:rPr>
          <w:rStyle w:val="ae"/>
          <w:rFonts w:asciiTheme="majorBidi" w:hAnsiTheme="majorBidi" w:cstheme="majorBidi"/>
        </w:rPr>
        <w:t>Management commitment, implementation, and sustainable work environment in healthcare services</w:t>
      </w:r>
      <w:r w:rsidRPr="00DE1AA7">
        <w:rPr>
          <w:rFonts w:asciiTheme="majorBidi" w:hAnsiTheme="majorBidi" w:cstheme="majorBidi"/>
        </w:rPr>
        <w:t>.</w:t>
      </w:r>
    </w:p>
    <w:p w14:paraId="7E60E53C"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Bryman, A. (2016). </w:t>
      </w:r>
      <w:r w:rsidRPr="00DE1AA7">
        <w:rPr>
          <w:rStyle w:val="ae"/>
          <w:rFonts w:asciiTheme="majorBidi" w:hAnsiTheme="majorBidi" w:cstheme="majorBidi"/>
        </w:rPr>
        <w:t>Social research methods</w:t>
      </w:r>
      <w:r w:rsidRPr="00DE1AA7">
        <w:rPr>
          <w:rFonts w:asciiTheme="majorBidi" w:hAnsiTheme="majorBidi" w:cstheme="majorBidi"/>
        </w:rPr>
        <w:t xml:space="preserve"> (5th ed.). Oxford University Press.</w:t>
      </w:r>
    </w:p>
    <w:p w14:paraId="664734C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Burns, J. M. (1978). </w:t>
      </w:r>
      <w:r w:rsidRPr="00DE1AA7">
        <w:rPr>
          <w:rStyle w:val="ae"/>
          <w:rFonts w:asciiTheme="majorBidi" w:hAnsiTheme="majorBidi" w:cstheme="majorBidi"/>
        </w:rPr>
        <w:t>Leadership</w:t>
      </w:r>
      <w:r w:rsidRPr="00DE1AA7">
        <w:rPr>
          <w:rFonts w:asciiTheme="majorBidi" w:hAnsiTheme="majorBidi" w:cstheme="majorBidi"/>
        </w:rPr>
        <w:t>. Harper &amp; Row.</w:t>
      </w:r>
    </w:p>
    <w:p w14:paraId="54C03AB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Cochran, W. G. (1977). </w:t>
      </w:r>
      <w:r w:rsidRPr="00DE1AA7">
        <w:rPr>
          <w:rStyle w:val="ae"/>
          <w:rFonts w:asciiTheme="majorBidi" w:hAnsiTheme="majorBidi" w:cstheme="majorBidi"/>
        </w:rPr>
        <w:t>Sampling techniques</w:t>
      </w:r>
      <w:r w:rsidRPr="00DE1AA7">
        <w:rPr>
          <w:rFonts w:asciiTheme="majorBidi" w:hAnsiTheme="majorBidi" w:cstheme="majorBidi"/>
        </w:rPr>
        <w:t xml:space="preserve"> (3rd ed.). John Wiley &amp; Sons.</w:t>
      </w:r>
    </w:p>
    <w:p w14:paraId="6D994D7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Field, A. (2024). </w:t>
      </w:r>
      <w:r w:rsidRPr="00DE1AA7">
        <w:rPr>
          <w:rStyle w:val="ae"/>
          <w:rFonts w:asciiTheme="majorBidi" w:hAnsiTheme="majorBidi" w:cstheme="majorBidi"/>
        </w:rPr>
        <w:t>Discovering statistics using IBM SPSS statistics</w:t>
      </w:r>
      <w:r w:rsidRPr="00DE1AA7">
        <w:rPr>
          <w:rFonts w:asciiTheme="majorBidi" w:hAnsiTheme="majorBidi" w:cstheme="majorBidi"/>
        </w:rPr>
        <w:t xml:space="preserve"> (6th ed.). Sage Publications.</w:t>
      </w:r>
    </w:p>
    <w:p w14:paraId="2D3D463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Gabriel, K. P., &amp; Aguinis, H. (2022). How to prevent and combat employee burnout and create healthier workplaces during crises and beyond. </w:t>
      </w:r>
      <w:r w:rsidRPr="00DE1AA7">
        <w:rPr>
          <w:rStyle w:val="ae"/>
          <w:rFonts w:asciiTheme="majorBidi" w:hAnsiTheme="majorBidi" w:cstheme="majorBidi"/>
        </w:rPr>
        <w:t>Business Horizons, 65</w:t>
      </w:r>
      <w:r w:rsidRPr="00DE1AA7">
        <w:rPr>
          <w:rFonts w:asciiTheme="majorBidi" w:hAnsiTheme="majorBidi" w:cstheme="majorBidi"/>
        </w:rPr>
        <w:t>(2), 183–192.</w:t>
      </w:r>
    </w:p>
    <w:p w14:paraId="22BB753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Hair, J. F., Black, W. C., Babin, B. J., &amp; Anderson, R. E. (2019). </w:t>
      </w:r>
      <w:r w:rsidRPr="00DE1AA7">
        <w:rPr>
          <w:rStyle w:val="ae"/>
          <w:rFonts w:asciiTheme="majorBidi" w:hAnsiTheme="majorBidi" w:cstheme="majorBidi"/>
        </w:rPr>
        <w:t>Multivariate data analysis</w:t>
      </w:r>
      <w:r w:rsidRPr="00DE1AA7">
        <w:rPr>
          <w:rFonts w:asciiTheme="majorBidi" w:hAnsiTheme="majorBidi" w:cstheme="majorBidi"/>
        </w:rPr>
        <w:t xml:space="preserve"> (8th ed.). Cengage Learning.</w:t>
      </w:r>
    </w:p>
    <w:p w14:paraId="0C8B77A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Han, W., Kim, J., Park, J., &amp; Lee, M. (2022). Influential effects of emotional intelligence on the relationship between job stress and burnout among general hospital administrative staff. </w:t>
      </w:r>
      <w:r w:rsidRPr="00DE1AA7">
        <w:rPr>
          <w:rStyle w:val="ae"/>
          <w:rFonts w:asciiTheme="majorBidi" w:hAnsiTheme="majorBidi" w:cstheme="majorBidi"/>
        </w:rPr>
        <w:t>Healthcare, 10</w:t>
      </w:r>
      <w:r w:rsidRPr="00DE1AA7">
        <w:rPr>
          <w:rFonts w:asciiTheme="majorBidi" w:hAnsiTheme="majorBidi" w:cstheme="majorBidi"/>
        </w:rPr>
        <w:t>(2), 194.</w:t>
      </w:r>
    </w:p>
    <w:p w14:paraId="5D7AD50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Hayes, A. F. (2018). </w:t>
      </w:r>
      <w:r w:rsidRPr="00DE1AA7">
        <w:rPr>
          <w:rStyle w:val="ae"/>
          <w:rFonts w:asciiTheme="majorBidi" w:hAnsiTheme="majorBidi" w:cstheme="majorBidi"/>
        </w:rPr>
        <w:t>Introduction to mediation, moderation, and conditional process analysis: A regression-based approach</w:t>
      </w:r>
      <w:r w:rsidRPr="00DE1AA7">
        <w:rPr>
          <w:rFonts w:asciiTheme="majorBidi" w:hAnsiTheme="majorBidi" w:cstheme="majorBidi"/>
        </w:rPr>
        <w:t xml:space="preserve"> (2nd ed.). The Guilford Press.</w:t>
      </w:r>
    </w:p>
    <w:p w14:paraId="4C4B5BB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Hilton, S. K., Madilo, W., Awaah, F., &amp; Arkorful, H. (2023). Dimensions of transformational leadership and organizational performance: The mediating effect of job satisfaction. </w:t>
      </w:r>
      <w:r w:rsidRPr="00DE1AA7">
        <w:rPr>
          <w:rStyle w:val="ae"/>
          <w:rFonts w:asciiTheme="majorBidi" w:hAnsiTheme="majorBidi" w:cstheme="majorBidi"/>
        </w:rPr>
        <w:t>Management Research Review, 46</w:t>
      </w:r>
      <w:r w:rsidRPr="00DE1AA7">
        <w:rPr>
          <w:rFonts w:asciiTheme="majorBidi" w:hAnsiTheme="majorBidi" w:cstheme="majorBidi"/>
        </w:rPr>
        <w:t>(1), 1–19.</w:t>
      </w:r>
    </w:p>
    <w:p w14:paraId="0209493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Hunecke, M. (2018). Psychology of sustainability: Psychological resources for sustainable lifestyles. In </w:t>
      </w:r>
      <w:r w:rsidRPr="00DE1AA7">
        <w:rPr>
          <w:rStyle w:val="ae"/>
          <w:rFonts w:asciiTheme="majorBidi" w:hAnsiTheme="majorBidi" w:cstheme="majorBidi"/>
        </w:rPr>
        <w:t>Personal sustainability</w:t>
      </w:r>
      <w:r w:rsidRPr="00DE1AA7">
        <w:rPr>
          <w:rFonts w:asciiTheme="majorBidi" w:hAnsiTheme="majorBidi" w:cstheme="majorBidi"/>
        </w:rPr>
        <w:t xml:space="preserve"> (pp. 33–50). Routledge.</w:t>
      </w:r>
    </w:p>
    <w:p w14:paraId="394B0B3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Joshi, A., Kale, S., Chandel, S., &amp; Pal, D. K. (2015). Likert scale: Explored and explained. </w:t>
      </w:r>
      <w:r w:rsidRPr="00DE1AA7">
        <w:rPr>
          <w:rStyle w:val="ae"/>
          <w:rFonts w:asciiTheme="majorBidi" w:hAnsiTheme="majorBidi" w:cstheme="majorBidi"/>
        </w:rPr>
        <w:t>British Journal of Applied Science &amp; Technology, 7</w:t>
      </w:r>
      <w:r w:rsidRPr="00DE1AA7">
        <w:rPr>
          <w:rFonts w:asciiTheme="majorBidi" w:hAnsiTheme="majorBidi" w:cstheme="majorBidi"/>
        </w:rPr>
        <w:t>(4), 396–403. https://doi.org/10.9734/BJAST/2015/14975</w:t>
      </w:r>
    </w:p>
    <w:p w14:paraId="0EF9177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Kelloway, E. K., Turner, N., Barling, J., &amp; Loughlin, C. (2012). Transformational leadership and employee psychological well-being: The mediating role of employee trust in leadership. </w:t>
      </w:r>
      <w:r w:rsidRPr="00DE1AA7">
        <w:rPr>
          <w:rStyle w:val="ae"/>
          <w:rFonts w:asciiTheme="majorBidi" w:hAnsiTheme="majorBidi" w:cstheme="majorBidi"/>
        </w:rPr>
        <w:t>Work &amp; Stress, 26</w:t>
      </w:r>
      <w:r w:rsidRPr="00DE1AA7">
        <w:rPr>
          <w:rFonts w:asciiTheme="majorBidi" w:hAnsiTheme="majorBidi" w:cstheme="majorBidi"/>
        </w:rPr>
        <w:t>(1), 39–55.</w:t>
      </w:r>
    </w:p>
    <w:p w14:paraId="050617B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Kobal Grum, D., &amp; Babnik, K. (2022). The psychological concept of social sustainability in the workplace from the perspective of sustainable goals: A systematic review. </w:t>
      </w:r>
      <w:r w:rsidRPr="00DE1AA7">
        <w:rPr>
          <w:rStyle w:val="ae"/>
          <w:rFonts w:asciiTheme="majorBidi" w:hAnsiTheme="majorBidi" w:cstheme="majorBidi"/>
        </w:rPr>
        <w:t>Frontiers in Psychology, 13</w:t>
      </w:r>
      <w:r w:rsidRPr="00DE1AA7">
        <w:rPr>
          <w:rFonts w:asciiTheme="majorBidi" w:hAnsiTheme="majorBidi" w:cstheme="majorBidi"/>
        </w:rPr>
        <w:t>, Article 942204.</w:t>
      </w:r>
    </w:p>
    <w:p w14:paraId="55C84EAC"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Maslach, C., &amp; Leiter, M. P. (2016a). </w:t>
      </w:r>
      <w:r w:rsidRPr="00DE1AA7">
        <w:rPr>
          <w:rStyle w:val="ae"/>
          <w:rFonts w:asciiTheme="majorBidi" w:hAnsiTheme="majorBidi" w:cstheme="majorBidi"/>
        </w:rPr>
        <w:t>Burnout: A multidimensional perspective</w:t>
      </w:r>
      <w:r w:rsidRPr="00DE1AA7">
        <w:rPr>
          <w:rFonts w:asciiTheme="majorBidi" w:hAnsiTheme="majorBidi" w:cstheme="majorBidi"/>
        </w:rPr>
        <w:t>. Psychology Press.</w:t>
      </w:r>
    </w:p>
    <w:p w14:paraId="007F071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Maslach, C., &amp; Leiter, M. P. (2016b). Understanding the burnout experience: Recent research and its implications for psychiatry. </w:t>
      </w:r>
      <w:r w:rsidRPr="00DE1AA7">
        <w:rPr>
          <w:rStyle w:val="ae"/>
          <w:rFonts w:asciiTheme="majorBidi" w:hAnsiTheme="majorBidi" w:cstheme="majorBidi"/>
        </w:rPr>
        <w:t>World Psychiatry, 15</w:t>
      </w:r>
      <w:r w:rsidRPr="00DE1AA7">
        <w:rPr>
          <w:rFonts w:asciiTheme="majorBidi" w:hAnsiTheme="majorBidi" w:cstheme="majorBidi"/>
        </w:rPr>
        <w:t>(2), 103–111. https://doi.org/10.1002/wps.20311</w:t>
      </w:r>
    </w:p>
    <w:p w14:paraId="244082D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Northouse, P. G. (2018). </w:t>
      </w:r>
      <w:r w:rsidRPr="00DE1AA7">
        <w:rPr>
          <w:rStyle w:val="ae"/>
          <w:rFonts w:asciiTheme="majorBidi" w:hAnsiTheme="majorBidi" w:cstheme="majorBidi"/>
        </w:rPr>
        <w:t>Leadership: Theory and practice</w:t>
      </w:r>
      <w:r w:rsidRPr="00DE1AA7">
        <w:rPr>
          <w:rFonts w:asciiTheme="majorBidi" w:hAnsiTheme="majorBidi" w:cstheme="majorBidi"/>
        </w:rPr>
        <w:t xml:space="preserve"> (8th ed.). Sage Publications.</w:t>
      </w:r>
    </w:p>
    <w:p w14:paraId="59E8E28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Ongaro, F., Di Pietro, L., Guglielmetti-Moggion, R., &amp; Renzi, M. F. (2024). A systematic literature review on transformative practices and well-being outcomes in health care services. </w:t>
      </w:r>
      <w:r w:rsidRPr="00DE1AA7">
        <w:rPr>
          <w:rStyle w:val="ae"/>
          <w:rFonts w:asciiTheme="majorBidi" w:hAnsiTheme="majorBidi" w:cstheme="majorBidi"/>
        </w:rPr>
        <w:t>Journal of Service Theory and Practice, 34</w:t>
      </w:r>
      <w:r w:rsidRPr="00DE1AA7">
        <w:rPr>
          <w:rFonts w:asciiTheme="majorBidi" w:hAnsiTheme="majorBidi" w:cstheme="majorBidi"/>
        </w:rPr>
        <w:t>(3), 432–463.</w:t>
      </w:r>
    </w:p>
    <w:p w14:paraId="56481C2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Oppenheim, A. N. (2000). </w:t>
      </w:r>
      <w:r w:rsidRPr="00DE1AA7">
        <w:rPr>
          <w:rStyle w:val="ae"/>
          <w:rFonts w:asciiTheme="majorBidi" w:hAnsiTheme="majorBidi" w:cstheme="majorBidi"/>
        </w:rPr>
        <w:t>Questionnaire design, interviewing and attitude measurement</w:t>
      </w:r>
      <w:r w:rsidRPr="00DE1AA7">
        <w:rPr>
          <w:rFonts w:asciiTheme="majorBidi" w:hAnsiTheme="majorBidi" w:cstheme="majorBidi"/>
        </w:rPr>
        <w:t>. Continuum.</w:t>
      </w:r>
    </w:p>
    <w:p w14:paraId="276C7C4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Page, K. M., &amp; Vella-Brodrick, D. A. (2009). The “what,” “why,” and “how” of employee well-being: A new model. </w:t>
      </w:r>
      <w:r w:rsidRPr="00DE1AA7">
        <w:rPr>
          <w:rStyle w:val="ae"/>
          <w:rFonts w:asciiTheme="majorBidi" w:hAnsiTheme="majorBidi" w:cstheme="majorBidi"/>
        </w:rPr>
        <w:t>Social Indicators Research, 90</w:t>
      </w:r>
      <w:r w:rsidRPr="00DE1AA7">
        <w:rPr>
          <w:rFonts w:asciiTheme="majorBidi" w:hAnsiTheme="majorBidi" w:cstheme="majorBidi"/>
        </w:rPr>
        <w:t>(3), 441–458. https://doi.org/10.1007/s11205-008-9270-3</w:t>
      </w:r>
    </w:p>
    <w:p w14:paraId="07E96D0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Pallant, J. (2020). </w:t>
      </w:r>
      <w:r w:rsidRPr="00DE1AA7">
        <w:rPr>
          <w:rStyle w:val="ae"/>
          <w:rFonts w:asciiTheme="majorBidi" w:hAnsiTheme="majorBidi" w:cstheme="majorBidi"/>
        </w:rPr>
        <w:t>SPSS survival manual: A step by step guide to data analysis using IBM SPSS</w:t>
      </w:r>
      <w:r w:rsidRPr="00DE1AA7">
        <w:rPr>
          <w:rFonts w:asciiTheme="majorBidi" w:hAnsiTheme="majorBidi" w:cstheme="majorBidi"/>
        </w:rPr>
        <w:t xml:space="preserve"> (7th ed.). Routledge.</w:t>
      </w:r>
    </w:p>
    <w:p w14:paraId="2108F50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Putra, A. S. B., Kusumawati, E. D., &amp; Kartikasari, D. (2024). Psychological empowerment and psychological well-being as job performance mediators. </w:t>
      </w:r>
      <w:r w:rsidRPr="00DE1AA7">
        <w:rPr>
          <w:rStyle w:val="ae"/>
          <w:rFonts w:asciiTheme="majorBidi" w:hAnsiTheme="majorBidi" w:cstheme="majorBidi"/>
        </w:rPr>
        <w:t>Journal of Business Management and Economic Development, 2</w:t>
      </w:r>
      <w:r w:rsidRPr="00DE1AA7">
        <w:rPr>
          <w:rFonts w:asciiTheme="majorBidi" w:hAnsiTheme="majorBidi" w:cstheme="majorBidi"/>
        </w:rPr>
        <w:t>(1), 127–141.</w:t>
      </w:r>
    </w:p>
    <w:p w14:paraId="18A1BF8D" w14:textId="77777777" w:rsidR="00037B2A" w:rsidRPr="00037B2A" w:rsidRDefault="00037B2A" w:rsidP="00793F14">
      <w:pPr>
        <w:pStyle w:val="ac"/>
        <w:spacing w:line="360" w:lineRule="auto"/>
        <w:ind w:left="720" w:hanging="720"/>
        <w:rPr>
          <w:rFonts w:asciiTheme="majorBidi" w:hAnsiTheme="majorBidi" w:cstheme="majorBidi"/>
          <w:rtl/>
        </w:rPr>
      </w:pPr>
      <w:r w:rsidRPr="00037B2A">
        <w:rPr>
          <w:rFonts w:asciiTheme="majorBidi" w:eastAsia="Times New Roman" w:hAnsiTheme="majorBidi" w:cstheme="majorBidi"/>
          <w:color w:val="222222"/>
          <w:shd w:val="clear" w:color="auto" w:fill="FFFFFF"/>
        </w:rPr>
        <w:t>Rahi, S. (2022). Investigating the role of employee psychological well-being and psychological empowerment with relation to work engagement and sustainable employability. </w:t>
      </w:r>
      <w:r w:rsidRPr="00037B2A">
        <w:rPr>
          <w:rFonts w:asciiTheme="majorBidi" w:eastAsia="Times New Roman" w:hAnsiTheme="majorBidi" w:cstheme="majorBidi"/>
          <w:i/>
          <w:iCs/>
          <w:color w:val="222222"/>
          <w:shd w:val="clear" w:color="auto" w:fill="FFFFFF"/>
        </w:rPr>
        <w:t>International Journal of Ethics and Systems</w:t>
      </w:r>
      <w:r w:rsidRPr="00037B2A">
        <w:rPr>
          <w:rFonts w:asciiTheme="majorBidi" w:eastAsia="Times New Roman" w:hAnsiTheme="majorBidi" w:cstheme="majorBidi"/>
          <w:color w:val="222222"/>
          <w:shd w:val="clear" w:color="auto" w:fill="FFFFFF"/>
        </w:rPr>
        <w:t>, </w:t>
      </w:r>
      <w:r w:rsidRPr="00037B2A">
        <w:rPr>
          <w:rFonts w:asciiTheme="majorBidi" w:eastAsia="Times New Roman" w:hAnsiTheme="majorBidi" w:cstheme="majorBidi"/>
          <w:i/>
          <w:iCs/>
          <w:color w:val="222222"/>
          <w:shd w:val="clear" w:color="auto" w:fill="FFFFFF"/>
        </w:rPr>
        <w:t>38</w:t>
      </w:r>
      <w:r w:rsidRPr="00037B2A">
        <w:rPr>
          <w:rFonts w:asciiTheme="majorBidi" w:eastAsia="Times New Roman" w:hAnsiTheme="majorBidi" w:cstheme="majorBidi"/>
          <w:color w:val="222222"/>
          <w:shd w:val="clear" w:color="auto" w:fill="FFFFFF"/>
        </w:rPr>
        <w:t>(2), 266-285.</w:t>
      </w:r>
      <w:r w:rsidRPr="00037B2A">
        <w:rPr>
          <w:rFonts w:asciiTheme="majorBidi" w:eastAsia="Times New Roman" w:hAnsiTheme="majorBidi" w:cstheme="majorBidi"/>
          <w:color w:val="222222"/>
          <w:shd w:val="clear" w:color="auto" w:fill="FFFFFF"/>
          <w:rtl/>
        </w:rPr>
        <w:t>‏</w:t>
      </w:r>
    </w:p>
    <w:p w14:paraId="4B7F5329" w14:textId="1490F8B4"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Robertson, I. T., Cooper, C. L., &amp; Johnson, S. (2011). </w:t>
      </w:r>
      <w:r w:rsidRPr="00DE1AA7">
        <w:rPr>
          <w:rStyle w:val="ae"/>
          <w:rFonts w:asciiTheme="majorBidi" w:hAnsiTheme="majorBidi" w:cstheme="majorBidi"/>
        </w:rPr>
        <w:t>Well-being: Productivity and happiness at work</w:t>
      </w:r>
      <w:r w:rsidRPr="00DE1AA7">
        <w:rPr>
          <w:rFonts w:asciiTheme="majorBidi" w:hAnsiTheme="majorBidi" w:cstheme="majorBidi"/>
        </w:rPr>
        <w:t xml:space="preserve"> (Vol. 3). Palgrave Macmillan.</w:t>
      </w:r>
    </w:p>
    <w:p w14:paraId="6EA626EE"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Schaufeli, W., De Witte, H., &amp; Desart, S. (2019). </w:t>
      </w:r>
      <w:r w:rsidRPr="00DE1AA7">
        <w:rPr>
          <w:rStyle w:val="ae"/>
          <w:rFonts w:asciiTheme="majorBidi" w:hAnsiTheme="majorBidi" w:cstheme="majorBidi"/>
        </w:rPr>
        <w:t>Manual burnout assessment tool (BAT)</w:t>
      </w:r>
      <w:r w:rsidRPr="00DE1AA7">
        <w:rPr>
          <w:rFonts w:asciiTheme="majorBidi" w:hAnsiTheme="majorBidi" w:cstheme="majorBidi"/>
        </w:rPr>
        <w:t>. KU Leuven.</w:t>
      </w:r>
    </w:p>
    <w:p w14:paraId="77306CE5"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Sekaran, U., &amp; Bougie, R. (2016). </w:t>
      </w:r>
      <w:r w:rsidRPr="00DE1AA7">
        <w:rPr>
          <w:rStyle w:val="ae"/>
          <w:rFonts w:asciiTheme="majorBidi" w:hAnsiTheme="majorBidi" w:cstheme="majorBidi"/>
        </w:rPr>
        <w:t>Research methods for business: A skill-building approach</w:t>
      </w:r>
      <w:r w:rsidRPr="00DE1AA7">
        <w:rPr>
          <w:rFonts w:asciiTheme="majorBidi" w:hAnsiTheme="majorBidi" w:cstheme="majorBidi"/>
        </w:rPr>
        <w:t xml:space="preserve"> (7th ed.). John Wiley &amp; Sons.</w:t>
      </w:r>
    </w:p>
    <w:p w14:paraId="17CE97B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Speicher, L. L., &amp; Francis, D. (2023). Improving employee experience: Reducing burnout, decreasing turnover and building well-being. </w:t>
      </w:r>
      <w:r w:rsidRPr="00DE1AA7">
        <w:rPr>
          <w:rStyle w:val="ae"/>
          <w:rFonts w:asciiTheme="majorBidi" w:hAnsiTheme="majorBidi" w:cstheme="majorBidi"/>
        </w:rPr>
        <w:t>Clinical Gastroenterology and Hepatology, 21</w:t>
      </w:r>
      <w:r w:rsidRPr="00DE1AA7">
        <w:rPr>
          <w:rFonts w:asciiTheme="majorBidi" w:hAnsiTheme="majorBidi" w:cstheme="majorBidi"/>
        </w:rPr>
        <w:t>(1), 11–14.</w:t>
      </w:r>
    </w:p>
    <w:p w14:paraId="6B9FDB9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Taris, T. W., &amp; Schreurs, P. J. (2009). Well-being and organizational performance: An organizational-level test of the happy-productive worker hypothesis. </w:t>
      </w:r>
      <w:r w:rsidRPr="00DE1AA7">
        <w:rPr>
          <w:rStyle w:val="ae"/>
          <w:rFonts w:asciiTheme="majorBidi" w:hAnsiTheme="majorBidi" w:cstheme="majorBidi"/>
        </w:rPr>
        <w:t>Work &amp; Stress, 23</w:t>
      </w:r>
      <w:r w:rsidRPr="00DE1AA7">
        <w:rPr>
          <w:rFonts w:asciiTheme="majorBidi" w:hAnsiTheme="majorBidi" w:cstheme="majorBidi"/>
        </w:rPr>
        <w:t>(2), 120–136.</w:t>
      </w:r>
    </w:p>
    <w:p w14:paraId="6EB816F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Tavakol, M., &amp; Dennick, R. (2011). Making sense of Cronbach’s alpha. </w:t>
      </w:r>
      <w:r w:rsidRPr="00DE1AA7">
        <w:rPr>
          <w:rStyle w:val="ae"/>
          <w:rFonts w:asciiTheme="majorBidi" w:hAnsiTheme="majorBidi" w:cstheme="majorBidi"/>
        </w:rPr>
        <w:t>International Journal of Medical Education, 2</w:t>
      </w:r>
      <w:r w:rsidRPr="00DE1AA7">
        <w:rPr>
          <w:rFonts w:asciiTheme="majorBidi" w:hAnsiTheme="majorBidi" w:cstheme="majorBidi"/>
        </w:rPr>
        <w:t>, 53–55. https://doi.org/10.5116/ijme.4dfb.8dfd</w:t>
      </w:r>
    </w:p>
    <w:p w14:paraId="27558C72"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Van De Voorde, K., Paauwe, J., &amp; Van Veldhoven, M. (2012). Employee well-being and the HRM-organizational performance relationship: A review of quantitative studies. </w:t>
      </w:r>
      <w:r w:rsidRPr="00DE1AA7">
        <w:rPr>
          <w:rStyle w:val="ae"/>
          <w:rFonts w:asciiTheme="majorBidi" w:hAnsiTheme="majorBidi" w:cstheme="majorBidi"/>
        </w:rPr>
        <w:t>International Journal of Management Reviews, 14</w:t>
      </w:r>
      <w:r w:rsidRPr="00DE1AA7">
        <w:rPr>
          <w:rFonts w:asciiTheme="majorBidi" w:hAnsiTheme="majorBidi" w:cstheme="majorBidi"/>
        </w:rPr>
        <w:t>(4), 391–407.</w:t>
      </w:r>
    </w:p>
    <w:p w14:paraId="17F9CA5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Vuong, B., Tung, D., Tushar, H., Quan, T., &amp; Giao, H. (2021). Determinants of factors influencing job satisfaction and organizational loyalty. </w:t>
      </w:r>
      <w:r w:rsidRPr="00DE1AA7">
        <w:rPr>
          <w:rStyle w:val="ae"/>
          <w:rFonts w:asciiTheme="majorBidi" w:hAnsiTheme="majorBidi" w:cstheme="majorBidi"/>
        </w:rPr>
        <w:t>Management Science Letters, 11</w:t>
      </w:r>
      <w:r w:rsidRPr="00DE1AA7">
        <w:rPr>
          <w:rFonts w:asciiTheme="majorBidi" w:hAnsiTheme="majorBidi" w:cstheme="majorBidi"/>
        </w:rPr>
        <w:t>(1), 203–212.</w:t>
      </w:r>
    </w:p>
    <w:p w14:paraId="64D4CFD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World Health Organization. (2019). </w:t>
      </w:r>
      <w:r w:rsidRPr="00DE1AA7">
        <w:rPr>
          <w:rStyle w:val="ae"/>
          <w:rFonts w:asciiTheme="majorBidi" w:hAnsiTheme="majorBidi" w:cstheme="majorBidi"/>
        </w:rPr>
        <w:t>Burn-out an “occupational phenomenon”: International Classification of Diseases, 11th Revision (ICD-11)</w:t>
      </w:r>
      <w:r w:rsidRPr="00DE1AA7">
        <w:rPr>
          <w:rFonts w:asciiTheme="majorBidi" w:hAnsiTheme="majorBidi" w:cstheme="majorBidi"/>
        </w:rPr>
        <w:t>. https://www.who.int/news/item/28-05-2019-burn-out-an-occupational-phenomenon-international-classification-of-diseases</w:t>
      </w:r>
    </w:p>
    <w:p w14:paraId="5336293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World Health Organization. (2024). </w:t>
      </w:r>
      <w:r w:rsidRPr="00DE1AA7">
        <w:rPr>
          <w:rStyle w:val="ae"/>
          <w:rFonts w:asciiTheme="majorBidi" w:hAnsiTheme="majorBidi" w:cstheme="majorBidi"/>
        </w:rPr>
        <w:t>Mental health action plan</w:t>
      </w:r>
      <w:r w:rsidRPr="00DE1AA7">
        <w:rPr>
          <w:rFonts w:asciiTheme="majorBidi" w:hAnsiTheme="majorBidi" w:cstheme="majorBidi"/>
        </w:rPr>
        <w:t>. https://www.emro.who.int/ar/mnh/mental-health-action-plan/index.html</w:t>
      </w:r>
    </w:p>
    <w:p w14:paraId="5FD8396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Zimmerman, B. J., Dubois, N., Houle, J., Lloyd, S., Mercier, C., Brousselle, A., et al. (2011). How does complexity impact evaluation? An introduction to the special issue. </w:t>
      </w:r>
      <w:r w:rsidRPr="00DE1AA7">
        <w:rPr>
          <w:rStyle w:val="ae"/>
          <w:rFonts w:asciiTheme="majorBidi" w:hAnsiTheme="majorBidi" w:cstheme="majorBidi"/>
        </w:rPr>
        <w:t>Canadian Journal of Program Evaluation, 26</w:t>
      </w:r>
      <w:r w:rsidRPr="00DE1AA7">
        <w:rPr>
          <w:rFonts w:asciiTheme="majorBidi" w:hAnsiTheme="majorBidi" w:cstheme="majorBidi"/>
        </w:rPr>
        <w:t>, 5–20.</w:t>
      </w:r>
    </w:p>
    <w:p w14:paraId="409F0018" w14:textId="77777777" w:rsidR="00BD1526" w:rsidRPr="00DE1AA7" w:rsidRDefault="00BD1526" w:rsidP="00DE1AA7">
      <w:pPr>
        <w:bidi w:val="0"/>
        <w:spacing w:line="360" w:lineRule="auto"/>
        <w:rPr>
          <w:rFonts w:asciiTheme="majorBidi" w:hAnsiTheme="majorBidi" w:cstheme="majorBidi"/>
        </w:rPr>
      </w:pPr>
    </w:p>
    <w:p w14:paraId="4505FDFC" w14:textId="77777777" w:rsidR="00AB7263" w:rsidRPr="00DE1AA7" w:rsidRDefault="00AB7263" w:rsidP="00DE1AA7">
      <w:pPr>
        <w:bidi w:val="0"/>
        <w:spacing w:before="240" w:line="360" w:lineRule="auto"/>
        <w:rPr>
          <w:rFonts w:asciiTheme="majorBidi" w:hAnsiTheme="majorBidi" w:cstheme="majorBidi"/>
          <w:lang w:bidi="ar-YE"/>
        </w:rPr>
      </w:pPr>
    </w:p>
    <w:p w14:paraId="686F8598" w14:textId="527CBF65" w:rsidR="00EA7DE3" w:rsidRDefault="00EA7DE3" w:rsidP="00DE1AA7">
      <w:pPr>
        <w:bidi w:val="0"/>
        <w:spacing w:line="360" w:lineRule="auto"/>
        <w:rPr>
          <w:rFonts w:asciiTheme="majorBidi" w:hAnsiTheme="majorBidi" w:cstheme="majorBidi"/>
        </w:rPr>
      </w:pPr>
    </w:p>
    <w:p w14:paraId="16C7751D" w14:textId="77777777" w:rsidR="00EA7DE3" w:rsidRDefault="00EA7DE3">
      <w:pPr>
        <w:bidi w:val="0"/>
        <w:rPr>
          <w:rFonts w:asciiTheme="majorBidi" w:hAnsiTheme="majorBidi" w:cstheme="majorBidi"/>
        </w:rPr>
      </w:pPr>
      <w:r>
        <w:rPr>
          <w:rFonts w:asciiTheme="majorBidi" w:hAnsiTheme="majorBidi" w:cstheme="majorBidi"/>
        </w:rPr>
        <w:br w:type="page"/>
      </w:r>
    </w:p>
    <w:p w14:paraId="7B1AE980" w14:textId="0E305B17" w:rsidR="00FA1BFA" w:rsidRPr="00891197" w:rsidRDefault="00EA7DE3" w:rsidP="00891197">
      <w:pPr>
        <w:pStyle w:val="1"/>
        <w:rPr>
          <w:b/>
          <w:bCs/>
          <w:rtl/>
        </w:rPr>
      </w:pPr>
      <w:bookmarkStart w:id="59" w:name="_Toc234084467"/>
      <w:r w:rsidRPr="00891197">
        <w:rPr>
          <w:rFonts w:hint="cs"/>
          <w:b/>
          <w:bCs/>
          <w:rtl/>
        </w:rPr>
        <w:lastRenderedPageBreak/>
        <w:t>الملاحق</w:t>
      </w:r>
      <w:bookmarkEnd w:id="59"/>
      <w:r w:rsidRPr="00891197">
        <w:rPr>
          <w:rFonts w:hint="cs"/>
          <w:b/>
          <w:bCs/>
          <w:rtl/>
        </w:rPr>
        <w:t xml:space="preserve"> </w:t>
      </w:r>
    </w:p>
    <w:p w14:paraId="151E397B" w14:textId="5334AAEA" w:rsidR="00EA7DE3" w:rsidRPr="00891197" w:rsidRDefault="006D3A2B" w:rsidP="00891197">
      <w:pPr>
        <w:pStyle w:val="2"/>
        <w:rPr>
          <w:b w:val="0"/>
          <w:bCs/>
          <w:rtl/>
        </w:rPr>
      </w:pPr>
      <w:bookmarkStart w:id="60" w:name="_Toc234084468"/>
      <w:r w:rsidRPr="00891197">
        <w:rPr>
          <w:rFonts w:hint="cs"/>
          <w:b w:val="0"/>
          <w:bCs/>
          <w:rtl/>
        </w:rPr>
        <w:t>ملحق (١): استبيان الدراسة</w:t>
      </w:r>
      <w:bookmarkEnd w:id="60"/>
      <w:r w:rsidRPr="00891197">
        <w:rPr>
          <w:rFonts w:hint="cs"/>
          <w:b w:val="0"/>
          <w:bCs/>
          <w:rtl/>
        </w:rPr>
        <w:t xml:space="preserve"> </w:t>
      </w:r>
    </w:p>
    <w:p w14:paraId="0A89A5D9" w14:textId="77777777" w:rsidR="00403FF2" w:rsidRPr="006F5388" w:rsidRDefault="00403FF2" w:rsidP="00B01EA5">
      <w:pPr>
        <w:rPr>
          <w:rFonts w:eastAsia="Times New Roman"/>
        </w:rPr>
      </w:pPr>
      <w:r w:rsidRPr="006F5388">
        <w:rPr>
          <w:rStyle w:val="ad"/>
          <w:rFonts w:asciiTheme="minorBidi" w:eastAsia="Times New Roman" w:hAnsiTheme="minorBidi" w:hint="cs"/>
          <w:sz w:val="36"/>
          <w:szCs w:val="36"/>
          <w:rtl/>
        </w:rPr>
        <w:t>ا</w:t>
      </w:r>
      <w:r w:rsidRPr="006F5388">
        <w:rPr>
          <w:rStyle w:val="ad"/>
          <w:rFonts w:asciiTheme="minorBidi" w:eastAsia="Times New Roman" w:hAnsiTheme="minorBidi"/>
          <w:sz w:val="36"/>
          <w:szCs w:val="36"/>
          <w:rtl/>
        </w:rPr>
        <w:t>ستبانة بحث ميداني</w:t>
      </w:r>
    </w:p>
    <w:p w14:paraId="5DAC1DD8" w14:textId="77777777" w:rsidR="00403FF2" w:rsidRPr="00C72D86" w:rsidRDefault="00403FF2" w:rsidP="00B01EA5">
      <w:pPr>
        <w:rPr>
          <w:rFonts w:eastAsia="Times New Roman"/>
        </w:rPr>
      </w:pPr>
      <w:r w:rsidRPr="00C72D86">
        <w:rPr>
          <w:rStyle w:val="ad"/>
          <w:rFonts w:asciiTheme="minorBidi" w:eastAsia="Times New Roman" w:hAnsiTheme="minorBidi"/>
          <w:color w:val="C00000"/>
          <w:rtl/>
        </w:rPr>
        <w:t>عنوان الدراسة:</w:t>
      </w:r>
    </w:p>
    <w:p w14:paraId="1C805641" w14:textId="2EBF26A0" w:rsidR="00403FF2" w:rsidRDefault="00403FF2" w:rsidP="00B54325">
      <w:pPr>
        <w:rPr>
          <w:sz w:val="28"/>
          <w:szCs w:val="28"/>
          <w:rtl/>
        </w:rPr>
      </w:pPr>
      <w:r w:rsidRPr="00C72D86">
        <w:rPr>
          <w:color w:val="0070C0"/>
          <w:sz w:val="32"/>
          <w:szCs w:val="32"/>
          <w:rtl/>
        </w:rPr>
        <w:t>أثر التحول الصحي في المملكة العربية السعودية على بيئة العمل النفسية المستدامة ودور رفاهية الموظفين في تقليل الاحتراق الوظيفي</w:t>
      </w:r>
      <w:r w:rsidRPr="00C72D86">
        <w:rPr>
          <w:color w:val="0070C0"/>
          <w:sz w:val="32"/>
          <w:szCs w:val="32"/>
        </w:rPr>
        <w:br/>
      </w:r>
      <w:r w:rsidRPr="006F5388">
        <w:rPr>
          <w:sz w:val="28"/>
          <w:szCs w:val="28"/>
          <w:rtl/>
        </w:rPr>
        <w:t>(دراسة ميدانية على القطاع الصحي الحكومي بمدينة الرياض)</w:t>
      </w:r>
    </w:p>
    <w:p w14:paraId="0279C7BF" w14:textId="77777777" w:rsidR="00403FF2" w:rsidRPr="00FB7CC7" w:rsidRDefault="00403FF2" w:rsidP="00B01EA5">
      <w:pPr>
        <w:rPr>
          <w:sz w:val="28"/>
          <w:szCs w:val="28"/>
          <w:rtl/>
        </w:rPr>
      </w:pPr>
      <w:r w:rsidRPr="00FB7CC7">
        <w:rPr>
          <w:sz w:val="28"/>
          <w:szCs w:val="28"/>
          <w:rtl/>
        </w:rPr>
        <w:t>عزيزي المشارك/ عزيزتي المشاركة،</w:t>
      </w:r>
    </w:p>
    <w:p w14:paraId="14F08C7B" w14:textId="77777777" w:rsidR="00403FF2" w:rsidRPr="006F5388" w:rsidRDefault="00403FF2" w:rsidP="00B01EA5">
      <w:pPr>
        <w:rPr>
          <w:sz w:val="28"/>
          <w:szCs w:val="28"/>
          <w:rtl/>
        </w:rPr>
      </w:pPr>
      <w:r w:rsidRPr="006F5388">
        <w:rPr>
          <w:sz w:val="28"/>
          <w:szCs w:val="28"/>
          <w:rtl/>
        </w:rPr>
        <w:t xml:space="preserve">يُجري الباحث هذه الدراسة في إطار بحث علمي يهدف إلى </w:t>
      </w:r>
      <w:r w:rsidRPr="006F5388">
        <w:rPr>
          <w:rStyle w:val="ad"/>
          <w:rFonts w:asciiTheme="minorBidi" w:hAnsiTheme="minorBidi"/>
          <w:b w:val="0"/>
          <w:bCs w:val="0"/>
          <w:sz w:val="28"/>
          <w:szCs w:val="28"/>
          <w:rtl/>
        </w:rPr>
        <w:t>تحليل أثر التحول الصحي في المملكة العربية السعودية على بيئة العمل النفسية المستدامة، ودور رفاهية الموظفين في الحد من الاحتراق الوظيفي</w:t>
      </w:r>
      <w:r w:rsidRPr="006F5388">
        <w:rPr>
          <w:sz w:val="28"/>
          <w:szCs w:val="28"/>
          <w:rtl/>
        </w:rPr>
        <w:t xml:space="preserve"> في القطاع الصحي الحكومي بمدينة الرياض.</w:t>
      </w:r>
    </w:p>
    <w:p w14:paraId="6B4A16F6" w14:textId="77777777" w:rsidR="00403FF2" w:rsidRDefault="00403FF2" w:rsidP="00B01EA5">
      <w:pPr>
        <w:rPr>
          <w:sz w:val="28"/>
          <w:szCs w:val="28"/>
          <w:rtl/>
        </w:rPr>
      </w:pPr>
      <w:r w:rsidRPr="006F5388">
        <w:rPr>
          <w:sz w:val="28"/>
          <w:szCs w:val="28"/>
          <w:rtl/>
        </w:rPr>
        <w:t>تهدف مشاركتك إلى دعم الجهود العلمية الرامية إلى تطوير بيئة العمل في المؤسسات الصحية.</w:t>
      </w:r>
    </w:p>
    <w:p w14:paraId="145FC8C4" w14:textId="77777777" w:rsidR="00403FF2" w:rsidRPr="006F5388" w:rsidRDefault="00403FF2" w:rsidP="00B01EA5">
      <w:pPr>
        <w:rPr>
          <w:sz w:val="28"/>
          <w:szCs w:val="28"/>
          <w:rtl/>
        </w:rPr>
      </w:pPr>
      <w:r w:rsidRPr="006F5388">
        <w:rPr>
          <w:sz w:val="28"/>
          <w:szCs w:val="28"/>
          <w:rtl/>
        </w:rPr>
        <w:t>تُجمع البيانات بسرية تامة ولن تُستخدم إلا لأغراض البحث العلمي.</w:t>
      </w:r>
    </w:p>
    <w:p w14:paraId="2716E9F4" w14:textId="76398903" w:rsidR="00403FF2" w:rsidRPr="006F5388" w:rsidRDefault="00403FF2" w:rsidP="00B54325">
      <w:pPr>
        <w:rPr>
          <w:sz w:val="28"/>
          <w:szCs w:val="28"/>
          <w:rtl/>
        </w:rPr>
      </w:pPr>
      <w:r w:rsidRPr="006F5388">
        <w:rPr>
          <w:sz w:val="28"/>
          <w:szCs w:val="28"/>
          <w:rtl/>
        </w:rPr>
        <w:t>يرجى الإجابة على جميع العبارات والأسئلة بكل موضوعية وشفافية، حيث لا توجد إجابة صحيحة أو خاطئة، بل المطلوب هو رأيك الشخصي فقط.</w:t>
      </w:r>
    </w:p>
    <w:p w14:paraId="3519F28F" w14:textId="77777777" w:rsidR="00403FF2" w:rsidRPr="00FB7CC7" w:rsidRDefault="00403FF2" w:rsidP="00B01EA5">
      <w:pPr>
        <w:rPr>
          <w:sz w:val="28"/>
          <w:szCs w:val="28"/>
          <w:rtl/>
        </w:rPr>
      </w:pPr>
      <w:r w:rsidRPr="00FB7CC7">
        <w:rPr>
          <w:sz w:val="28"/>
          <w:szCs w:val="28"/>
          <w:rtl/>
        </w:rPr>
        <w:t>شكرًا مقدمًا على وقتك ومساهمتك القيّمة.</w:t>
      </w:r>
    </w:p>
    <w:p w14:paraId="3F7B2547" w14:textId="77777777" w:rsidR="00403FF2" w:rsidRPr="006F5388" w:rsidRDefault="00403FF2" w:rsidP="00B01EA5">
      <w:pPr>
        <w:rPr>
          <w:kern w:val="0"/>
          <w:sz w:val="28"/>
          <w:szCs w:val="28"/>
          <w:rtl/>
          <w14:ligatures w14:val="none"/>
        </w:rPr>
      </w:pPr>
      <w:r w:rsidRPr="006F5388">
        <w:rPr>
          <w:sz w:val="28"/>
          <w:szCs w:val="28"/>
          <w:rtl/>
        </w:rPr>
        <w:br w:type="page"/>
      </w:r>
    </w:p>
    <w:p w14:paraId="7251D9A6" w14:textId="77777777" w:rsidR="00403FF2" w:rsidRPr="00E37091" w:rsidRDefault="00403FF2" w:rsidP="00B01EA5">
      <w:pPr>
        <w:rPr>
          <w:rFonts w:eastAsia="Times New Roman"/>
          <w:rtl/>
        </w:rPr>
      </w:pPr>
      <w:r w:rsidRPr="00E37091">
        <w:rPr>
          <w:rStyle w:val="ad"/>
          <w:rFonts w:asciiTheme="minorBidi" w:eastAsia="Times New Roman" w:hAnsiTheme="minorBidi"/>
          <w:rtl/>
        </w:rPr>
        <w:lastRenderedPageBreak/>
        <w:t>القسم الأول: البيانات الديموغرافية</w:t>
      </w:r>
    </w:p>
    <w:p w14:paraId="4917B2BC" w14:textId="77777777" w:rsidR="00403FF2" w:rsidRPr="00577C52" w:rsidRDefault="00403FF2" w:rsidP="00B01EA5"/>
    <w:p w14:paraId="018FBFA4" w14:textId="73816511" w:rsidR="00403FF2" w:rsidRPr="006F5388" w:rsidRDefault="00403FF2" w:rsidP="00B01EA5">
      <w:pPr>
        <w:rPr>
          <w:sz w:val="28"/>
          <w:szCs w:val="28"/>
        </w:rPr>
      </w:pPr>
      <w:r w:rsidRPr="00E37091">
        <w:rPr>
          <w:sz w:val="28"/>
          <w:szCs w:val="28"/>
          <w:rtl/>
        </w:rPr>
        <w:t>يرجى اختيار الإجابة المناسبة:</w:t>
      </w:r>
    </w:p>
    <w:p w14:paraId="02B7AB2F"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الجنس: </w:t>
      </w:r>
    </w:p>
    <w:p w14:paraId="655A5619" w14:textId="460F33B6"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ذكر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أنثى</w:t>
      </w:r>
    </w:p>
    <w:p w14:paraId="55A5DA84"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العمر: </w:t>
      </w:r>
    </w:p>
    <w:p w14:paraId="6525D7F1" w14:textId="503FB4BE"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30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30–39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40–49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50 فأكثر</w:t>
      </w:r>
    </w:p>
    <w:p w14:paraId="77DA1B14"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المؤهل العلمي: </w:t>
      </w:r>
    </w:p>
    <w:p w14:paraId="62CE0F13" w14:textId="184A1D78"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دبلوم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بكالوريوس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ماجستير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دكتوراه</w:t>
      </w:r>
    </w:p>
    <w:p w14:paraId="16252525"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المسمى الوظيفي: </w:t>
      </w:r>
    </w:p>
    <w:p w14:paraId="339AE6B1" w14:textId="6E59554A"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طبيب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ممرض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إداري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فني</w:t>
      </w:r>
    </w:p>
    <w:p w14:paraId="5890D5DD" w14:textId="77777777" w:rsidR="00403FF2" w:rsidRPr="00C00035" w:rsidRDefault="00403FF2" w:rsidP="00B01EA5">
      <w:pPr>
        <w:rPr>
          <w:rFonts w:eastAsia="Times New Roman"/>
          <w:sz w:val="28"/>
          <w:szCs w:val="28"/>
        </w:rPr>
      </w:pPr>
      <w:r w:rsidRPr="00C00035">
        <w:rPr>
          <w:rFonts w:eastAsia="Times New Roman"/>
          <w:sz w:val="28"/>
          <w:szCs w:val="28"/>
          <w:rtl/>
        </w:rPr>
        <w:t xml:space="preserve">سنوات الخبرة: </w:t>
      </w:r>
    </w:p>
    <w:p w14:paraId="1624809C" w14:textId="7429E9C5"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5 سنوات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5–10 سنوات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10 سنوات</w:t>
      </w:r>
    </w:p>
    <w:p w14:paraId="1166A289"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الحالة الاجتماعية: </w:t>
      </w:r>
    </w:p>
    <w:p w14:paraId="2D79F746" w14:textId="06FA2E5E"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أعزب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متزوج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أخرى</w:t>
      </w:r>
    </w:p>
    <w:p w14:paraId="3B101292" w14:textId="77777777" w:rsidR="00403FF2" w:rsidRPr="00C00035" w:rsidRDefault="00403FF2" w:rsidP="00B01EA5">
      <w:pPr>
        <w:rPr>
          <w:rFonts w:eastAsia="Times New Roman"/>
          <w:sz w:val="28"/>
          <w:szCs w:val="28"/>
        </w:rPr>
      </w:pPr>
      <w:r w:rsidRPr="00C00035">
        <w:rPr>
          <w:rFonts w:eastAsia="Times New Roman"/>
          <w:sz w:val="28"/>
          <w:szCs w:val="28"/>
          <w:rtl/>
        </w:rPr>
        <w:t xml:space="preserve">متوسط الدخل الشهري: </w:t>
      </w:r>
    </w:p>
    <w:p w14:paraId="72A5323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7000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7000–12000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12000</w:t>
      </w:r>
    </w:p>
    <w:p w14:paraId="46847D9D" w14:textId="77777777" w:rsidR="00403FF2" w:rsidRPr="006F5388" w:rsidRDefault="00403FF2" w:rsidP="00B01EA5">
      <w:pPr>
        <w:rPr>
          <w:sz w:val="28"/>
          <w:szCs w:val="28"/>
          <w:rtl/>
        </w:rPr>
      </w:pPr>
    </w:p>
    <w:p w14:paraId="63D3BFD5" w14:textId="77777777" w:rsidR="00403FF2" w:rsidRPr="006F5388" w:rsidRDefault="00403FF2" w:rsidP="00B01EA5">
      <w:pPr>
        <w:rPr>
          <w:kern w:val="0"/>
          <w:sz w:val="28"/>
          <w:szCs w:val="28"/>
          <w:rtl/>
          <w14:ligatures w14:val="none"/>
        </w:rPr>
      </w:pPr>
      <w:r w:rsidRPr="006F5388">
        <w:rPr>
          <w:sz w:val="28"/>
          <w:szCs w:val="28"/>
          <w:rtl/>
        </w:rPr>
        <w:br w:type="page"/>
      </w:r>
    </w:p>
    <w:p w14:paraId="4D733960" w14:textId="77777777" w:rsidR="00403FF2" w:rsidRPr="00C53193" w:rsidRDefault="00403FF2" w:rsidP="00B01EA5">
      <w:pPr>
        <w:rPr>
          <w:rStyle w:val="ad"/>
          <w:rFonts w:asciiTheme="minorBidi" w:eastAsia="Times New Roman" w:hAnsiTheme="minorBidi"/>
          <w:sz w:val="32"/>
          <w:szCs w:val="32"/>
          <w:rtl/>
        </w:rPr>
      </w:pPr>
      <w:r w:rsidRPr="00C53193">
        <w:rPr>
          <w:rStyle w:val="ad"/>
          <w:rFonts w:asciiTheme="minorBidi" w:eastAsia="Times New Roman" w:hAnsiTheme="minorBidi"/>
          <w:sz w:val="32"/>
          <w:szCs w:val="32"/>
          <w:rtl/>
        </w:rPr>
        <w:lastRenderedPageBreak/>
        <w:t xml:space="preserve">القسم الثاني: </w:t>
      </w:r>
    </w:p>
    <w:p w14:paraId="586D0066" w14:textId="77777777" w:rsidR="00403FF2" w:rsidRPr="00C53193" w:rsidRDefault="00403FF2" w:rsidP="00B01EA5">
      <w:pPr>
        <w:rPr>
          <w:sz w:val="28"/>
          <w:szCs w:val="28"/>
          <w:rtl/>
        </w:rPr>
      </w:pPr>
      <w:r w:rsidRPr="00C53193">
        <w:rPr>
          <w:rStyle w:val="ad"/>
          <w:rFonts w:asciiTheme="minorBidi" w:eastAsia="Times New Roman" w:hAnsiTheme="minorBidi"/>
          <w:sz w:val="28"/>
          <w:szCs w:val="28"/>
          <w:rtl/>
        </w:rPr>
        <w:t>المحور الأول: التحول الصحي</w:t>
      </w:r>
    </w:p>
    <w:p w14:paraId="016753EC" w14:textId="71054D2B" w:rsidR="00403FF2" w:rsidRPr="006F5388" w:rsidRDefault="00403FF2" w:rsidP="00B54325">
      <w:pPr>
        <w:rPr>
          <w:sz w:val="28"/>
          <w:szCs w:val="28"/>
          <w:rtl/>
        </w:rPr>
      </w:pPr>
      <w:r w:rsidRPr="006F5388">
        <w:rPr>
          <w:sz w:val="28"/>
          <w:szCs w:val="28"/>
          <w:rtl/>
        </w:rPr>
        <w:t>هذا المحور يهدف إلى قياس إدراك العاملين لمستوى تطبيق مبادرات التحول الصحي في مؤسساتهم.</w:t>
      </w:r>
    </w:p>
    <w:tbl>
      <w:tblPr>
        <w:tblStyle w:val="af"/>
        <w:bidiVisual/>
        <w:tblW w:w="0" w:type="auto"/>
        <w:tblLook w:val="04A0" w:firstRow="1" w:lastRow="0" w:firstColumn="1" w:lastColumn="0" w:noHBand="0" w:noVBand="1"/>
      </w:tblPr>
      <w:tblGrid>
        <w:gridCol w:w="372"/>
        <w:gridCol w:w="4348"/>
        <w:gridCol w:w="1106"/>
        <w:gridCol w:w="828"/>
        <w:gridCol w:w="702"/>
        <w:gridCol w:w="691"/>
        <w:gridCol w:w="969"/>
      </w:tblGrid>
      <w:tr w:rsidR="00403FF2" w:rsidRPr="006F5388" w14:paraId="3A619126" w14:textId="77777777" w:rsidTr="00BD5864">
        <w:tc>
          <w:tcPr>
            <w:tcW w:w="0" w:type="auto"/>
            <w:vAlign w:val="center"/>
          </w:tcPr>
          <w:p w14:paraId="740B2A6C" w14:textId="77777777" w:rsidR="00403FF2" w:rsidRPr="006F5388" w:rsidRDefault="00403FF2" w:rsidP="00B01EA5">
            <w:pPr>
              <w:rPr>
                <w:sz w:val="28"/>
                <w:szCs w:val="28"/>
                <w:rtl/>
              </w:rPr>
            </w:pPr>
            <w:r w:rsidRPr="006F5388">
              <w:rPr>
                <w:rFonts w:eastAsia="Times New Roman"/>
                <w:sz w:val="28"/>
                <w:szCs w:val="28"/>
                <w:rtl/>
              </w:rPr>
              <w:t>#</w:t>
            </w:r>
          </w:p>
        </w:tc>
        <w:tc>
          <w:tcPr>
            <w:tcW w:w="0" w:type="auto"/>
            <w:vAlign w:val="center"/>
          </w:tcPr>
          <w:p w14:paraId="6B675915" w14:textId="77777777" w:rsidR="00403FF2" w:rsidRPr="006F5388" w:rsidRDefault="00403FF2" w:rsidP="00B01EA5">
            <w:pPr>
              <w:rPr>
                <w:sz w:val="28"/>
                <w:szCs w:val="28"/>
                <w:rtl/>
              </w:rPr>
            </w:pPr>
            <w:r w:rsidRPr="006F5388">
              <w:rPr>
                <w:rFonts w:eastAsia="Times New Roman"/>
                <w:sz w:val="28"/>
                <w:szCs w:val="28"/>
                <w:rtl/>
              </w:rPr>
              <w:t>العبارة</w:t>
            </w:r>
          </w:p>
        </w:tc>
        <w:tc>
          <w:tcPr>
            <w:tcW w:w="0" w:type="auto"/>
            <w:vAlign w:val="center"/>
          </w:tcPr>
          <w:p w14:paraId="76D17CED"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5DB28B81"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259EB400"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546C1933"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520F9204"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434EB904" w14:textId="77777777" w:rsidTr="00BD5864">
        <w:tc>
          <w:tcPr>
            <w:tcW w:w="0" w:type="auto"/>
            <w:vAlign w:val="center"/>
          </w:tcPr>
          <w:p w14:paraId="4C0A35A5"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3EB8E8C9" w14:textId="77777777" w:rsidR="00403FF2" w:rsidRPr="006F5388" w:rsidRDefault="00403FF2" w:rsidP="00B01EA5">
            <w:pPr>
              <w:rPr>
                <w:sz w:val="28"/>
                <w:szCs w:val="28"/>
                <w:rtl/>
              </w:rPr>
            </w:pPr>
            <w:r w:rsidRPr="006F5388">
              <w:rPr>
                <w:rFonts w:eastAsia="Times New Roman"/>
                <w:sz w:val="28"/>
                <w:szCs w:val="28"/>
                <w:rtl/>
              </w:rPr>
              <w:t>برامج التحول الصحي ساهمت في رفع جودة الخدمات المقدمة للمرضى.</w:t>
            </w:r>
          </w:p>
        </w:tc>
        <w:tc>
          <w:tcPr>
            <w:tcW w:w="0" w:type="auto"/>
            <w:vAlign w:val="center"/>
          </w:tcPr>
          <w:p w14:paraId="56C74BC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6B3B6B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77549A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9971D8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5539A2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3260B9F" w14:textId="77777777" w:rsidTr="00BD5864">
        <w:tc>
          <w:tcPr>
            <w:tcW w:w="0" w:type="auto"/>
            <w:vAlign w:val="center"/>
          </w:tcPr>
          <w:p w14:paraId="3E1CB448"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6E3D0239" w14:textId="77777777" w:rsidR="00403FF2" w:rsidRPr="006F5388" w:rsidRDefault="00403FF2" w:rsidP="00B01EA5">
            <w:pPr>
              <w:rPr>
                <w:sz w:val="28"/>
                <w:szCs w:val="28"/>
                <w:rtl/>
              </w:rPr>
            </w:pPr>
            <w:r w:rsidRPr="006F5388">
              <w:rPr>
                <w:rFonts w:eastAsia="Times New Roman"/>
                <w:sz w:val="28"/>
                <w:szCs w:val="28"/>
                <w:rtl/>
              </w:rPr>
              <w:t>التحول الصحي ساعد في تحسين الكفاءة التشغيلية للمؤسسات الصحية.</w:t>
            </w:r>
          </w:p>
        </w:tc>
        <w:tc>
          <w:tcPr>
            <w:tcW w:w="0" w:type="auto"/>
            <w:vAlign w:val="center"/>
          </w:tcPr>
          <w:p w14:paraId="358B3D4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9BA3D9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8D95BD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5A5115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897D07D"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F9B32D2" w14:textId="77777777" w:rsidTr="00BD5864">
        <w:tc>
          <w:tcPr>
            <w:tcW w:w="0" w:type="auto"/>
            <w:vAlign w:val="center"/>
          </w:tcPr>
          <w:p w14:paraId="4598C627"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10F69585" w14:textId="77777777" w:rsidR="00403FF2" w:rsidRPr="006F5388" w:rsidRDefault="00403FF2" w:rsidP="00B01EA5">
            <w:pPr>
              <w:rPr>
                <w:sz w:val="28"/>
                <w:szCs w:val="28"/>
                <w:rtl/>
              </w:rPr>
            </w:pPr>
            <w:r w:rsidRPr="006F5388">
              <w:rPr>
                <w:rFonts w:eastAsia="Times New Roman"/>
                <w:sz w:val="28"/>
                <w:szCs w:val="28"/>
                <w:rtl/>
              </w:rPr>
              <w:t>تتبنى منشأتي مبادرات رقمية متقدمة في الخدمات الصحية والإدارية.</w:t>
            </w:r>
          </w:p>
        </w:tc>
        <w:tc>
          <w:tcPr>
            <w:tcW w:w="0" w:type="auto"/>
            <w:vAlign w:val="center"/>
          </w:tcPr>
          <w:p w14:paraId="5ED2D08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895BFC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3EA0F4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557F6A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A9EF7F4"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397E6CC" w14:textId="77777777" w:rsidTr="00BD5864">
        <w:tc>
          <w:tcPr>
            <w:tcW w:w="0" w:type="auto"/>
            <w:vAlign w:val="center"/>
          </w:tcPr>
          <w:p w14:paraId="1FF95A56"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3C0B69FD" w14:textId="77777777" w:rsidR="00403FF2" w:rsidRPr="006F5388" w:rsidRDefault="00403FF2" w:rsidP="00B01EA5">
            <w:pPr>
              <w:rPr>
                <w:sz w:val="28"/>
                <w:szCs w:val="28"/>
                <w:rtl/>
              </w:rPr>
            </w:pPr>
            <w:r w:rsidRPr="006F5388">
              <w:rPr>
                <w:rFonts w:eastAsia="Times New Roman"/>
                <w:sz w:val="28"/>
                <w:szCs w:val="28"/>
                <w:rtl/>
              </w:rPr>
              <w:t>التحول الصحي عزز من ممارسات الحوكمة والشفافية في العمل.</w:t>
            </w:r>
          </w:p>
        </w:tc>
        <w:tc>
          <w:tcPr>
            <w:tcW w:w="0" w:type="auto"/>
            <w:vAlign w:val="center"/>
          </w:tcPr>
          <w:p w14:paraId="1CEDD31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AC824C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B38813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1C23CC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3A171CE"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6E17DCA" w14:textId="77777777" w:rsidTr="00BD5864">
        <w:tc>
          <w:tcPr>
            <w:tcW w:w="0" w:type="auto"/>
            <w:vAlign w:val="center"/>
          </w:tcPr>
          <w:p w14:paraId="457DD66F"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07982E41" w14:textId="77777777" w:rsidR="00403FF2" w:rsidRPr="006F5388" w:rsidRDefault="00403FF2" w:rsidP="00B01EA5">
            <w:pPr>
              <w:rPr>
                <w:sz w:val="28"/>
                <w:szCs w:val="28"/>
                <w:rtl/>
              </w:rPr>
            </w:pPr>
            <w:r w:rsidRPr="006F5388">
              <w:rPr>
                <w:rFonts w:eastAsia="Times New Roman"/>
                <w:sz w:val="28"/>
                <w:szCs w:val="28"/>
                <w:rtl/>
              </w:rPr>
              <w:t>أشعر أن التحول الصحي خلق بيئة عمل أكثر تنظيمًا وتحفيزًا.</w:t>
            </w:r>
          </w:p>
        </w:tc>
        <w:tc>
          <w:tcPr>
            <w:tcW w:w="0" w:type="auto"/>
            <w:vAlign w:val="center"/>
          </w:tcPr>
          <w:p w14:paraId="7433237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8E5753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5CF5E2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F5CED5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B0917C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FDE8D62" w14:textId="77777777" w:rsidTr="00BD5864">
        <w:tc>
          <w:tcPr>
            <w:tcW w:w="0" w:type="auto"/>
            <w:vAlign w:val="center"/>
          </w:tcPr>
          <w:p w14:paraId="23A38214"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52C20EFC" w14:textId="77777777" w:rsidR="00403FF2" w:rsidRPr="006F5388" w:rsidRDefault="00403FF2" w:rsidP="00B01EA5">
            <w:pPr>
              <w:rPr>
                <w:sz w:val="28"/>
                <w:szCs w:val="28"/>
                <w:rtl/>
              </w:rPr>
            </w:pPr>
            <w:r w:rsidRPr="006F5388">
              <w:rPr>
                <w:rFonts w:eastAsia="Times New Roman"/>
                <w:sz w:val="28"/>
                <w:szCs w:val="28"/>
                <w:rtl/>
              </w:rPr>
              <w:t>الإدارة العليا تدعم مبادرات التحول وتتابع تطبيقها بفاعلية.</w:t>
            </w:r>
          </w:p>
        </w:tc>
        <w:tc>
          <w:tcPr>
            <w:tcW w:w="0" w:type="auto"/>
            <w:vAlign w:val="center"/>
          </w:tcPr>
          <w:p w14:paraId="79C5AB9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F54BC1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0C077F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2C77F7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A71192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AC8124E" w14:textId="77777777" w:rsidTr="00BD5864">
        <w:tc>
          <w:tcPr>
            <w:tcW w:w="0" w:type="auto"/>
            <w:vAlign w:val="center"/>
          </w:tcPr>
          <w:p w14:paraId="47E2ECDA"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67A53199" w14:textId="77777777" w:rsidR="00403FF2" w:rsidRPr="006F5388" w:rsidRDefault="00403FF2" w:rsidP="00B01EA5">
            <w:pPr>
              <w:rPr>
                <w:sz w:val="28"/>
                <w:szCs w:val="28"/>
                <w:rtl/>
              </w:rPr>
            </w:pPr>
            <w:r w:rsidRPr="006F5388">
              <w:rPr>
                <w:rFonts w:eastAsia="Times New Roman"/>
                <w:sz w:val="28"/>
                <w:szCs w:val="28"/>
                <w:rtl/>
              </w:rPr>
              <w:t>يتم إشراك الموظفين في مبادرات التحول وتطوير الخدمات.</w:t>
            </w:r>
          </w:p>
        </w:tc>
        <w:tc>
          <w:tcPr>
            <w:tcW w:w="0" w:type="auto"/>
            <w:vAlign w:val="center"/>
          </w:tcPr>
          <w:p w14:paraId="476CA29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DA60C7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638FF0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39BB80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7EFEF9C"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8091EBF" w14:textId="77777777" w:rsidTr="00BD5864">
        <w:tc>
          <w:tcPr>
            <w:tcW w:w="0" w:type="auto"/>
            <w:vAlign w:val="center"/>
          </w:tcPr>
          <w:p w14:paraId="687323FC"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243858BC" w14:textId="77777777" w:rsidR="00403FF2" w:rsidRPr="006F5388" w:rsidRDefault="00403FF2" w:rsidP="00B01EA5">
            <w:pPr>
              <w:rPr>
                <w:sz w:val="28"/>
                <w:szCs w:val="28"/>
                <w:rtl/>
              </w:rPr>
            </w:pPr>
            <w:r w:rsidRPr="006F5388">
              <w:rPr>
                <w:rFonts w:eastAsia="Times New Roman"/>
                <w:sz w:val="28"/>
                <w:szCs w:val="28"/>
                <w:rtl/>
              </w:rPr>
              <w:t>التحول الصحي عزز ثقافة الابتكار والتعلم المستمر داخل المؤسسة.</w:t>
            </w:r>
          </w:p>
        </w:tc>
        <w:tc>
          <w:tcPr>
            <w:tcW w:w="0" w:type="auto"/>
            <w:vAlign w:val="center"/>
          </w:tcPr>
          <w:p w14:paraId="20B0E42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D2CE34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E17654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95D3E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8EFF14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30ED3DF5" w14:textId="77777777" w:rsidR="00403FF2" w:rsidRPr="006F5388" w:rsidRDefault="00403FF2" w:rsidP="00B01EA5">
      <w:pPr>
        <w:rPr>
          <w:rStyle w:val="ad"/>
          <w:rFonts w:asciiTheme="minorBidi" w:eastAsia="Times New Roman" w:hAnsiTheme="minorBidi"/>
          <w:b w:val="0"/>
          <w:bCs w:val="0"/>
          <w:sz w:val="28"/>
          <w:szCs w:val="28"/>
          <w:rtl/>
        </w:rPr>
      </w:pPr>
    </w:p>
    <w:p w14:paraId="186EBF2A" w14:textId="77777777" w:rsidR="00403FF2" w:rsidRPr="006F5388" w:rsidRDefault="00403FF2" w:rsidP="00B01EA5">
      <w:pPr>
        <w:rPr>
          <w:rStyle w:val="ad"/>
          <w:rFonts w:asciiTheme="minorBidi" w:eastAsia="Times New Roman" w:hAnsiTheme="minorBidi"/>
          <w:b w:val="0"/>
          <w:bCs w:val="0"/>
          <w:sz w:val="28"/>
          <w:szCs w:val="28"/>
          <w:rtl/>
        </w:rPr>
      </w:pPr>
    </w:p>
    <w:p w14:paraId="6BA87BF5" w14:textId="77777777" w:rsidR="00403FF2" w:rsidRPr="006F5388" w:rsidRDefault="00403FF2" w:rsidP="00B01EA5">
      <w:pPr>
        <w:rPr>
          <w:rStyle w:val="ad"/>
          <w:rFonts w:asciiTheme="minorBidi" w:eastAsia="Times New Roman" w:hAnsiTheme="minorBidi"/>
          <w:b w:val="0"/>
          <w:bCs w:val="0"/>
          <w:sz w:val="28"/>
          <w:szCs w:val="28"/>
          <w:rtl/>
        </w:rPr>
      </w:pPr>
    </w:p>
    <w:p w14:paraId="39A84DB5" w14:textId="77777777" w:rsidR="00403FF2" w:rsidRPr="006F5388" w:rsidRDefault="00403FF2" w:rsidP="00B01EA5">
      <w:pPr>
        <w:rPr>
          <w:rStyle w:val="ad"/>
          <w:rFonts w:asciiTheme="minorBidi" w:eastAsia="Times New Roman" w:hAnsiTheme="minorBidi"/>
          <w:b w:val="0"/>
          <w:bCs w:val="0"/>
          <w:sz w:val="28"/>
          <w:szCs w:val="28"/>
          <w:rtl/>
        </w:rPr>
      </w:pPr>
    </w:p>
    <w:p w14:paraId="08B9DB38" w14:textId="77777777" w:rsidR="00403FF2" w:rsidRPr="006F5388" w:rsidRDefault="00403FF2" w:rsidP="00B01EA5">
      <w:pPr>
        <w:rPr>
          <w:rStyle w:val="ad"/>
          <w:rFonts w:asciiTheme="minorBidi" w:eastAsia="Times New Roman" w:hAnsiTheme="minorBidi"/>
          <w:b w:val="0"/>
          <w:bCs w:val="0"/>
          <w:sz w:val="28"/>
          <w:szCs w:val="28"/>
          <w:rtl/>
        </w:rPr>
      </w:pPr>
    </w:p>
    <w:p w14:paraId="5D1BAB3D" w14:textId="77777777" w:rsidR="00403FF2" w:rsidRPr="006F5388" w:rsidRDefault="00403FF2" w:rsidP="00B01EA5">
      <w:pPr>
        <w:rPr>
          <w:rStyle w:val="ad"/>
          <w:rFonts w:asciiTheme="minorBidi" w:eastAsia="Times New Roman" w:hAnsiTheme="minorBidi"/>
          <w:b w:val="0"/>
          <w:bCs w:val="0"/>
          <w:sz w:val="28"/>
          <w:szCs w:val="28"/>
          <w:rtl/>
        </w:rPr>
      </w:pPr>
    </w:p>
    <w:p w14:paraId="09853056" w14:textId="77777777" w:rsidR="00403FF2" w:rsidRPr="006F5388" w:rsidRDefault="00403FF2" w:rsidP="00B01EA5">
      <w:pPr>
        <w:rPr>
          <w:rStyle w:val="ad"/>
          <w:rFonts w:asciiTheme="minorBidi" w:eastAsia="Times New Roman" w:hAnsiTheme="minorBidi"/>
          <w:b w:val="0"/>
          <w:bCs w:val="0"/>
          <w:sz w:val="28"/>
          <w:szCs w:val="28"/>
          <w:rtl/>
        </w:rPr>
      </w:pPr>
    </w:p>
    <w:p w14:paraId="559BF94E" w14:textId="77777777" w:rsidR="00403FF2" w:rsidRPr="006F5388" w:rsidRDefault="00403FF2" w:rsidP="00B01EA5">
      <w:pPr>
        <w:rPr>
          <w:rStyle w:val="ad"/>
          <w:rFonts w:asciiTheme="minorBidi" w:eastAsia="Times New Roman" w:hAnsiTheme="minorBidi"/>
          <w:b w:val="0"/>
          <w:bCs w:val="0"/>
          <w:sz w:val="28"/>
          <w:szCs w:val="28"/>
          <w:rtl/>
        </w:rPr>
      </w:pPr>
    </w:p>
    <w:p w14:paraId="5BB809AA" w14:textId="77777777" w:rsidR="00403FF2" w:rsidRPr="006F5388" w:rsidRDefault="00403FF2" w:rsidP="00B01EA5">
      <w:pPr>
        <w:rPr>
          <w:rStyle w:val="ad"/>
          <w:rFonts w:asciiTheme="minorBidi" w:eastAsia="Times New Roman" w:hAnsiTheme="minorBidi"/>
          <w:b w:val="0"/>
          <w:bCs w:val="0"/>
          <w:sz w:val="28"/>
          <w:szCs w:val="28"/>
          <w:rtl/>
        </w:rPr>
      </w:pPr>
    </w:p>
    <w:p w14:paraId="305B7848" w14:textId="77777777" w:rsidR="00403FF2" w:rsidRDefault="00403FF2" w:rsidP="00B01EA5">
      <w:pPr>
        <w:rPr>
          <w:rStyle w:val="ad"/>
          <w:rFonts w:asciiTheme="minorBidi" w:eastAsia="Times New Roman" w:hAnsiTheme="minorBidi"/>
          <w:b w:val="0"/>
          <w:bCs w:val="0"/>
          <w:sz w:val="28"/>
          <w:szCs w:val="28"/>
          <w:rtl/>
        </w:rPr>
      </w:pPr>
    </w:p>
    <w:p w14:paraId="6E5B2E84" w14:textId="77777777" w:rsidR="00B54325" w:rsidRDefault="00B54325" w:rsidP="00B01EA5">
      <w:pPr>
        <w:rPr>
          <w:rStyle w:val="ad"/>
          <w:rFonts w:asciiTheme="minorBidi" w:eastAsia="Times New Roman" w:hAnsiTheme="minorBidi"/>
          <w:b w:val="0"/>
          <w:bCs w:val="0"/>
          <w:sz w:val="28"/>
          <w:szCs w:val="28"/>
          <w:rtl/>
        </w:rPr>
      </w:pPr>
    </w:p>
    <w:p w14:paraId="1BEDD9A5" w14:textId="77777777" w:rsidR="00B54325" w:rsidRPr="006F5388" w:rsidRDefault="00B54325" w:rsidP="00B01EA5">
      <w:pPr>
        <w:rPr>
          <w:rStyle w:val="ad"/>
          <w:rFonts w:asciiTheme="minorBidi" w:eastAsia="Times New Roman" w:hAnsiTheme="minorBidi"/>
          <w:b w:val="0"/>
          <w:bCs w:val="0"/>
          <w:sz w:val="28"/>
          <w:szCs w:val="28"/>
          <w:rtl/>
        </w:rPr>
      </w:pPr>
    </w:p>
    <w:p w14:paraId="40223806" w14:textId="77777777" w:rsidR="00403FF2" w:rsidRPr="00DD5BED" w:rsidRDefault="00403FF2" w:rsidP="00B01EA5">
      <w:pPr>
        <w:rPr>
          <w:sz w:val="28"/>
          <w:szCs w:val="28"/>
          <w:rtl/>
        </w:rPr>
      </w:pPr>
      <w:r w:rsidRPr="00DD5BED">
        <w:rPr>
          <w:rStyle w:val="ad"/>
          <w:rFonts w:asciiTheme="minorBidi" w:eastAsia="Times New Roman" w:hAnsiTheme="minorBidi"/>
          <w:sz w:val="28"/>
          <w:szCs w:val="28"/>
          <w:rtl/>
        </w:rPr>
        <w:lastRenderedPageBreak/>
        <w:t>المحور الثاني: بيئة العمل النفسية المستدامة</w:t>
      </w:r>
    </w:p>
    <w:p w14:paraId="60ADFEE2" w14:textId="0EC340FF" w:rsidR="00403FF2" w:rsidRPr="006F5388" w:rsidRDefault="00403FF2" w:rsidP="00B54325">
      <w:pPr>
        <w:rPr>
          <w:sz w:val="28"/>
          <w:szCs w:val="28"/>
          <w:rtl/>
        </w:rPr>
      </w:pPr>
      <w:r w:rsidRPr="006F5388">
        <w:rPr>
          <w:sz w:val="28"/>
          <w:szCs w:val="28"/>
          <w:rtl/>
        </w:rPr>
        <w:t>هذا المحور يهدف إلى قياس درجة توفر المناخ النفسي الإيجابي الداعم للاستقرار والرفاهية.</w:t>
      </w:r>
    </w:p>
    <w:tbl>
      <w:tblPr>
        <w:tblStyle w:val="af"/>
        <w:bidiVisual/>
        <w:tblW w:w="0" w:type="auto"/>
        <w:tblLook w:val="04A0" w:firstRow="1" w:lastRow="0" w:firstColumn="1" w:lastColumn="0" w:noHBand="0" w:noVBand="1"/>
      </w:tblPr>
      <w:tblGrid>
        <w:gridCol w:w="372"/>
        <w:gridCol w:w="4363"/>
        <w:gridCol w:w="1099"/>
        <w:gridCol w:w="825"/>
        <w:gridCol w:w="702"/>
        <w:gridCol w:w="691"/>
        <w:gridCol w:w="964"/>
      </w:tblGrid>
      <w:tr w:rsidR="00403FF2" w:rsidRPr="006F5388" w14:paraId="74678619" w14:textId="77777777" w:rsidTr="00BD5864">
        <w:tc>
          <w:tcPr>
            <w:tcW w:w="0" w:type="auto"/>
            <w:vAlign w:val="center"/>
          </w:tcPr>
          <w:p w14:paraId="0E1804D6" w14:textId="77777777" w:rsidR="00403FF2" w:rsidRPr="006F5388" w:rsidRDefault="00403FF2" w:rsidP="00B01EA5">
            <w:pPr>
              <w:rPr>
                <w:sz w:val="28"/>
                <w:szCs w:val="28"/>
                <w:rtl/>
              </w:rPr>
            </w:pPr>
            <w:r w:rsidRPr="006F5388">
              <w:rPr>
                <w:sz w:val="28"/>
                <w:szCs w:val="28"/>
                <w:rtl/>
              </w:rPr>
              <w:t>#</w:t>
            </w:r>
          </w:p>
        </w:tc>
        <w:tc>
          <w:tcPr>
            <w:tcW w:w="0" w:type="auto"/>
            <w:vAlign w:val="center"/>
          </w:tcPr>
          <w:p w14:paraId="4A7E4C53"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6A42EA09"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24194BF7"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7983FD65"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579D1482"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4028B2FE"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387546A0" w14:textId="77777777" w:rsidTr="00BD5864">
        <w:tc>
          <w:tcPr>
            <w:tcW w:w="0" w:type="auto"/>
            <w:vAlign w:val="center"/>
          </w:tcPr>
          <w:p w14:paraId="42906664"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38B4E72A" w14:textId="77777777" w:rsidR="00403FF2" w:rsidRPr="006F5388" w:rsidRDefault="00403FF2" w:rsidP="00B01EA5">
            <w:pPr>
              <w:rPr>
                <w:rFonts w:eastAsia="Times New Roman"/>
                <w:sz w:val="28"/>
                <w:szCs w:val="28"/>
              </w:rPr>
            </w:pPr>
            <w:r w:rsidRPr="006F5388">
              <w:rPr>
                <w:rFonts w:eastAsia="Times New Roman"/>
                <w:sz w:val="28"/>
                <w:szCs w:val="28"/>
                <w:rtl/>
              </w:rPr>
              <w:t>أشعر بالأمان النفسي في عملي دون خوف من العقاب عند حدوث الخطأ.</w:t>
            </w:r>
          </w:p>
        </w:tc>
        <w:tc>
          <w:tcPr>
            <w:tcW w:w="0" w:type="auto"/>
            <w:vAlign w:val="center"/>
          </w:tcPr>
          <w:p w14:paraId="0F15122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664FD4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B54D08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FD1899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497391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2129048" w14:textId="77777777" w:rsidTr="00BD5864">
        <w:tc>
          <w:tcPr>
            <w:tcW w:w="0" w:type="auto"/>
            <w:vAlign w:val="center"/>
          </w:tcPr>
          <w:p w14:paraId="06232EDC"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0EC97362" w14:textId="77777777" w:rsidR="00403FF2" w:rsidRPr="006F5388" w:rsidRDefault="00403FF2" w:rsidP="00B01EA5">
            <w:pPr>
              <w:rPr>
                <w:rFonts w:eastAsia="Times New Roman"/>
                <w:sz w:val="28"/>
                <w:szCs w:val="28"/>
              </w:rPr>
            </w:pPr>
            <w:r w:rsidRPr="006F5388">
              <w:rPr>
                <w:rFonts w:eastAsia="Times New Roman"/>
                <w:sz w:val="28"/>
                <w:szCs w:val="28"/>
                <w:rtl/>
              </w:rPr>
              <w:t>العلاقة بين الزملاء في بيئة العمل يسودها الاحترام والثقة المتبادلة.</w:t>
            </w:r>
          </w:p>
        </w:tc>
        <w:tc>
          <w:tcPr>
            <w:tcW w:w="0" w:type="auto"/>
            <w:vAlign w:val="center"/>
          </w:tcPr>
          <w:p w14:paraId="615C38B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9F799B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D1034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F76C58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A84C1F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9324696" w14:textId="77777777" w:rsidTr="00BD5864">
        <w:tc>
          <w:tcPr>
            <w:tcW w:w="0" w:type="auto"/>
            <w:vAlign w:val="center"/>
          </w:tcPr>
          <w:p w14:paraId="1D35C252"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326C850E" w14:textId="77777777" w:rsidR="00403FF2" w:rsidRPr="006F5388" w:rsidRDefault="00403FF2" w:rsidP="00B01EA5">
            <w:pPr>
              <w:rPr>
                <w:rFonts w:eastAsia="Times New Roman"/>
                <w:sz w:val="28"/>
                <w:szCs w:val="28"/>
              </w:rPr>
            </w:pPr>
            <w:r w:rsidRPr="006F5388">
              <w:rPr>
                <w:rFonts w:eastAsia="Times New Roman"/>
                <w:sz w:val="28"/>
                <w:szCs w:val="28"/>
                <w:rtl/>
              </w:rPr>
              <w:t>تتسم سياسات الإدارة بالعدالة والمساواة في التعامل مع الموظفين.</w:t>
            </w:r>
          </w:p>
        </w:tc>
        <w:tc>
          <w:tcPr>
            <w:tcW w:w="0" w:type="auto"/>
            <w:vAlign w:val="center"/>
          </w:tcPr>
          <w:p w14:paraId="08393C9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D5F97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9CF51A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17D035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3F6AC0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D2E4D24" w14:textId="77777777" w:rsidTr="00BD5864">
        <w:tc>
          <w:tcPr>
            <w:tcW w:w="0" w:type="auto"/>
            <w:vAlign w:val="center"/>
          </w:tcPr>
          <w:p w14:paraId="08CAAB42"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6218B062" w14:textId="77777777" w:rsidR="00403FF2" w:rsidRPr="006F5388" w:rsidRDefault="00403FF2" w:rsidP="00B01EA5">
            <w:pPr>
              <w:rPr>
                <w:rFonts w:eastAsia="Times New Roman"/>
                <w:sz w:val="28"/>
                <w:szCs w:val="28"/>
              </w:rPr>
            </w:pPr>
            <w:r w:rsidRPr="006F5388">
              <w:rPr>
                <w:rFonts w:eastAsia="Times New Roman"/>
                <w:sz w:val="28"/>
                <w:szCs w:val="28"/>
                <w:rtl/>
              </w:rPr>
              <w:t>أحصل على دعم وتشجيع من المشرفين عند مواجهة ضغوط العمل.</w:t>
            </w:r>
          </w:p>
        </w:tc>
        <w:tc>
          <w:tcPr>
            <w:tcW w:w="0" w:type="auto"/>
            <w:vAlign w:val="center"/>
          </w:tcPr>
          <w:p w14:paraId="68337C4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33F0D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5AA0B7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785CA8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B6E2F9"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0975E54" w14:textId="77777777" w:rsidTr="00BD5864">
        <w:tc>
          <w:tcPr>
            <w:tcW w:w="0" w:type="auto"/>
            <w:vAlign w:val="center"/>
          </w:tcPr>
          <w:p w14:paraId="14521A06"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2CBD17A5" w14:textId="77777777" w:rsidR="00403FF2" w:rsidRPr="006F5388" w:rsidRDefault="00403FF2" w:rsidP="00B01EA5">
            <w:pPr>
              <w:rPr>
                <w:rFonts w:eastAsia="Times New Roman"/>
                <w:sz w:val="28"/>
                <w:szCs w:val="28"/>
              </w:rPr>
            </w:pPr>
            <w:r w:rsidRPr="006F5388">
              <w:rPr>
                <w:rFonts w:eastAsia="Times New Roman"/>
                <w:sz w:val="28"/>
                <w:szCs w:val="28"/>
                <w:rtl/>
              </w:rPr>
              <w:t>توفر المؤسسة فرصًا للتعبير عن الرأي والمشاركة في اتخاذ القرار.</w:t>
            </w:r>
          </w:p>
        </w:tc>
        <w:tc>
          <w:tcPr>
            <w:tcW w:w="0" w:type="auto"/>
            <w:vAlign w:val="center"/>
          </w:tcPr>
          <w:p w14:paraId="6D40E90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E37EA4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223D66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3E4E5D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F523A6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488A9B4" w14:textId="77777777" w:rsidTr="00BD5864">
        <w:tc>
          <w:tcPr>
            <w:tcW w:w="0" w:type="auto"/>
            <w:vAlign w:val="center"/>
          </w:tcPr>
          <w:p w14:paraId="7A0A9F58"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048FE34A" w14:textId="77777777" w:rsidR="00403FF2" w:rsidRPr="006F5388" w:rsidRDefault="00403FF2" w:rsidP="00B01EA5">
            <w:pPr>
              <w:rPr>
                <w:rFonts w:eastAsia="Times New Roman"/>
                <w:sz w:val="28"/>
                <w:szCs w:val="28"/>
              </w:rPr>
            </w:pPr>
            <w:r w:rsidRPr="006F5388">
              <w:rPr>
                <w:rFonts w:eastAsia="Times New Roman"/>
                <w:sz w:val="28"/>
                <w:szCs w:val="28"/>
                <w:rtl/>
              </w:rPr>
              <w:t>بيئة العمل تشجع على التعاون والتفاعل الإيجابي بين العاملين.</w:t>
            </w:r>
          </w:p>
        </w:tc>
        <w:tc>
          <w:tcPr>
            <w:tcW w:w="0" w:type="auto"/>
            <w:vAlign w:val="center"/>
          </w:tcPr>
          <w:p w14:paraId="1F0F4C2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8E9257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34F5A5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64A7F9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30DD3F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92A4CC9" w14:textId="77777777" w:rsidTr="00BD5864">
        <w:tc>
          <w:tcPr>
            <w:tcW w:w="0" w:type="auto"/>
            <w:vAlign w:val="center"/>
          </w:tcPr>
          <w:p w14:paraId="19E34079"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3E2D32E1" w14:textId="77777777" w:rsidR="00403FF2" w:rsidRPr="006F5388" w:rsidRDefault="00403FF2" w:rsidP="00B01EA5">
            <w:pPr>
              <w:rPr>
                <w:rFonts w:eastAsia="Times New Roman"/>
                <w:sz w:val="28"/>
                <w:szCs w:val="28"/>
              </w:rPr>
            </w:pPr>
            <w:r w:rsidRPr="006F5388">
              <w:rPr>
                <w:rFonts w:eastAsia="Times New Roman"/>
                <w:sz w:val="28"/>
                <w:szCs w:val="28"/>
                <w:rtl/>
              </w:rPr>
              <w:t>تتوفر في مكان العمل إمكانات ووسائل تقلل من الإرهاق والتوتر.</w:t>
            </w:r>
          </w:p>
        </w:tc>
        <w:tc>
          <w:tcPr>
            <w:tcW w:w="0" w:type="auto"/>
            <w:vAlign w:val="center"/>
          </w:tcPr>
          <w:p w14:paraId="6705C22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F6E30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717E7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10D175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E4506F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97A78B3" w14:textId="77777777" w:rsidTr="00BD5864">
        <w:tc>
          <w:tcPr>
            <w:tcW w:w="0" w:type="auto"/>
            <w:vAlign w:val="center"/>
          </w:tcPr>
          <w:p w14:paraId="16D0B2D5"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5F6959DD" w14:textId="77777777" w:rsidR="00403FF2" w:rsidRPr="006F5388" w:rsidRDefault="00403FF2" w:rsidP="00B01EA5">
            <w:pPr>
              <w:rPr>
                <w:rFonts w:eastAsia="Times New Roman"/>
                <w:sz w:val="28"/>
                <w:szCs w:val="28"/>
              </w:rPr>
            </w:pPr>
            <w:r w:rsidRPr="006F5388">
              <w:rPr>
                <w:rFonts w:eastAsia="Times New Roman"/>
                <w:sz w:val="28"/>
                <w:szCs w:val="28"/>
                <w:rtl/>
              </w:rPr>
              <w:t>المؤسسة تُظهر اهتمامًا حقيقيًا بصحة العاملين النفسية واستقرارهم.</w:t>
            </w:r>
          </w:p>
        </w:tc>
        <w:tc>
          <w:tcPr>
            <w:tcW w:w="0" w:type="auto"/>
            <w:vAlign w:val="center"/>
          </w:tcPr>
          <w:p w14:paraId="67A94DD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1D550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152DDE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317DF4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5DC8F8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3A7511EA" w14:textId="77777777" w:rsidR="00403FF2" w:rsidRPr="006F5388" w:rsidRDefault="00403FF2" w:rsidP="00B01EA5">
      <w:pPr>
        <w:rPr>
          <w:sz w:val="28"/>
          <w:szCs w:val="28"/>
          <w:rtl/>
        </w:rPr>
      </w:pPr>
    </w:p>
    <w:p w14:paraId="383D2243" w14:textId="77777777" w:rsidR="00403FF2" w:rsidRPr="006F5388" w:rsidRDefault="00403FF2" w:rsidP="00B01EA5">
      <w:pPr>
        <w:rPr>
          <w:kern w:val="0"/>
          <w:sz w:val="28"/>
          <w:szCs w:val="28"/>
          <w:rtl/>
          <w14:ligatures w14:val="none"/>
        </w:rPr>
      </w:pPr>
      <w:r w:rsidRPr="006F5388">
        <w:rPr>
          <w:sz w:val="28"/>
          <w:szCs w:val="28"/>
          <w:rtl/>
        </w:rPr>
        <w:br w:type="page"/>
      </w:r>
    </w:p>
    <w:p w14:paraId="1C583F88" w14:textId="77777777" w:rsidR="00403FF2" w:rsidRPr="004A6081" w:rsidRDefault="00403FF2" w:rsidP="00B01EA5">
      <w:pPr>
        <w:rPr>
          <w:sz w:val="28"/>
          <w:szCs w:val="28"/>
          <w:rtl/>
        </w:rPr>
      </w:pPr>
      <w:r w:rsidRPr="004A6081">
        <w:rPr>
          <w:rStyle w:val="ad"/>
          <w:rFonts w:asciiTheme="minorBidi" w:eastAsia="Times New Roman" w:hAnsiTheme="minorBidi"/>
          <w:sz w:val="28"/>
          <w:szCs w:val="28"/>
          <w:rtl/>
        </w:rPr>
        <w:lastRenderedPageBreak/>
        <w:t>المحور الثالث: رفاهية الموظفين</w:t>
      </w:r>
    </w:p>
    <w:p w14:paraId="484AC706" w14:textId="73A136FF" w:rsidR="00403FF2" w:rsidRPr="006F5388" w:rsidRDefault="00403FF2" w:rsidP="00B54325">
      <w:pPr>
        <w:rPr>
          <w:sz w:val="28"/>
          <w:szCs w:val="28"/>
          <w:rtl/>
        </w:rPr>
      </w:pPr>
      <w:r w:rsidRPr="006F5388">
        <w:rPr>
          <w:sz w:val="28"/>
          <w:szCs w:val="28"/>
          <w:rtl/>
        </w:rPr>
        <w:t>هذا المحور يهدف إلى قياس مستوى الرفاهية النفسية والاجتماعية والجسدية للموظف.</w:t>
      </w:r>
    </w:p>
    <w:tbl>
      <w:tblPr>
        <w:tblStyle w:val="af"/>
        <w:bidiVisual/>
        <w:tblW w:w="0" w:type="auto"/>
        <w:tblLook w:val="04A0" w:firstRow="1" w:lastRow="0" w:firstColumn="1" w:lastColumn="0" w:noHBand="0" w:noVBand="1"/>
      </w:tblPr>
      <w:tblGrid>
        <w:gridCol w:w="372"/>
        <w:gridCol w:w="4385"/>
        <w:gridCol w:w="1088"/>
        <w:gridCol w:w="821"/>
        <w:gridCol w:w="702"/>
        <w:gridCol w:w="691"/>
        <w:gridCol w:w="957"/>
      </w:tblGrid>
      <w:tr w:rsidR="00403FF2" w:rsidRPr="006F5388" w14:paraId="5E2D8F72" w14:textId="77777777" w:rsidTr="00BD5864">
        <w:tc>
          <w:tcPr>
            <w:tcW w:w="0" w:type="auto"/>
            <w:vAlign w:val="center"/>
          </w:tcPr>
          <w:p w14:paraId="77C20625" w14:textId="77777777" w:rsidR="00403FF2" w:rsidRPr="006F5388" w:rsidRDefault="00403FF2" w:rsidP="00B01EA5">
            <w:pPr>
              <w:rPr>
                <w:sz w:val="28"/>
                <w:szCs w:val="28"/>
                <w:rtl/>
              </w:rPr>
            </w:pPr>
            <w:r w:rsidRPr="006F5388">
              <w:rPr>
                <w:sz w:val="28"/>
                <w:szCs w:val="28"/>
                <w:rtl/>
              </w:rPr>
              <w:t>#</w:t>
            </w:r>
          </w:p>
        </w:tc>
        <w:tc>
          <w:tcPr>
            <w:tcW w:w="0" w:type="auto"/>
            <w:vAlign w:val="center"/>
          </w:tcPr>
          <w:p w14:paraId="6972C45B"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72E3CE1E"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286746CB"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1D1390D2"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12A78F2D"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412C5E61"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3F2326D1" w14:textId="77777777" w:rsidTr="00BD5864">
        <w:tc>
          <w:tcPr>
            <w:tcW w:w="0" w:type="auto"/>
            <w:vAlign w:val="center"/>
          </w:tcPr>
          <w:p w14:paraId="14E4EAF3"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2D161A49" w14:textId="77777777" w:rsidR="00403FF2" w:rsidRPr="006F5388" w:rsidRDefault="00403FF2" w:rsidP="00B01EA5">
            <w:pPr>
              <w:rPr>
                <w:rFonts w:eastAsia="Times New Roman"/>
                <w:sz w:val="28"/>
                <w:szCs w:val="28"/>
              </w:rPr>
            </w:pPr>
            <w:r w:rsidRPr="006F5388">
              <w:rPr>
                <w:rFonts w:eastAsia="Times New Roman"/>
                <w:sz w:val="28"/>
                <w:szCs w:val="28"/>
                <w:rtl/>
              </w:rPr>
              <w:t>أشعر بالرضا العام عن حياتي المهنية في المؤسسة.</w:t>
            </w:r>
          </w:p>
        </w:tc>
        <w:tc>
          <w:tcPr>
            <w:tcW w:w="0" w:type="auto"/>
            <w:vAlign w:val="center"/>
          </w:tcPr>
          <w:p w14:paraId="43FB2A3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58FC66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7BAC39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ED785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B2E028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D058DEC" w14:textId="77777777" w:rsidTr="00BD5864">
        <w:tc>
          <w:tcPr>
            <w:tcW w:w="0" w:type="auto"/>
            <w:vAlign w:val="center"/>
          </w:tcPr>
          <w:p w14:paraId="429507DA"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6A5B0D8F" w14:textId="77777777" w:rsidR="00403FF2" w:rsidRPr="006F5388" w:rsidRDefault="00403FF2" w:rsidP="00B01EA5">
            <w:pPr>
              <w:rPr>
                <w:rFonts w:eastAsia="Times New Roman"/>
                <w:sz w:val="28"/>
                <w:szCs w:val="28"/>
              </w:rPr>
            </w:pPr>
            <w:r w:rsidRPr="006F5388">
              <w:rPr>
                <w:rFonts w:eastAsia="Times New Roman"/>
                <w:sz w:val="28"/>
                <w:szCs w:val="28"/>
                <w:rtl/>
              </w:rPr>
              <w:t>أتمتع بصحة بدنية جيدة تساعدني على أداء مهامي بكفاءة.</w:t>
            </w:r>
          </w:p>
        </w:tc>
        <w:tc>
          <w:tcPr>
            <w:tcW w:w="0" w:type="auto"/>
            <w:vAlign w:val="center"/>
          </w:tcPr>
          <w:p w14:paraId="42241F3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ECE228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5103D1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B0441F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D62A94C"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B9A450E" w14:textId="77777777" w:rsidTr="00BD5864">
        <w:tc>
          <w:tcPr>
            <w:tcW w:w="0" w:type="auto"/>
            <w:vAlign w:val="center"/>
          </w:tcPr>
          <w:p w14:paraId="79224AE2"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339FAA20" w14:textId="77777777" w:rsidR="00403FF2" w:rsidRPr="006F5388" w:rsidRDefault="00403FF2" w:rsidP="00B01EA5">
            <w:pPr>
              <w:rPr>
                <w:rFonts w:eastAsia="Times New Roman"/>
                <w:sz w:val="28"/>
                <w:szCs w:val="28"/>
              </w:rPr>
            </w:pPr>
            <w:r w:rsidRPr="006F5388">
              <w:rPr>
                <w:rFonts w:eastAsia="Times New Roman"/>
                <w:sz w:val="28"/>
                <w:szCs w:val="28"/>
                <w:rtl/>
              </w:rPr>
              <w:t>أحقق توازنًا مقبولًا بين العمل والحياة الشخصية.</w:t>
            </w:r>
          </w:p>
        </w:tc>
        <w:tc>
          <w:tcPr>
            <w:tcW w:w="0" w:type="auto"/>
            <w:vAlign w:val="center"/>
          </w:tcPr>
          <w:p w14:paraId="0F4E685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E06905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CDC9AF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632FB5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CE1C04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3917F2F" w14:textId="77777777" w:rsidTr="00BD5864">
        <w:tc>
          <w:tcPr>
            <w:tcW w:w="0" w:type="auto"/>
            <w:vAlign w:val="center"/>
          </w:tcPr>
          <w:p w14:paraId="3857D4B9"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1C887E3F" w14:textId="77777777" w:rsidR="00403FF2" w:rsidRPr="006F5388" w:rsidRDefault="00403FF2" w:rsidP="00B01EA5">
            <w:pPr>
              <w:rPr>
                <w:rFonts w:eastAsia="Times New Roman"/>
                <w:sz w:val="28"/>
                <w:szCs w:val="28"/>
              </w:rPr>
            </w:pPr>
            <w:r w:rsidRPr="006F5388">
              <w:rPr>
                <w:rFonts w:eastAsia="Times New Roman"/>
                <w:sz w:val="28"/>
                <w:szCs w:val="28"/>
                <w:rtl/>
              </w:rPr>
              <w:t>أشعر بالتقدير والدعم من إدارة المؤسسة وزملائي.</w:t>
            </w:r>
          </w:p>
        </w:tc>
        <w:tc>
          <w:tcPr>
            <w:tcW w:w="0" w:type="auto"/>
            <w:vAlign w:val="center"/>
          </w:tcPr>
          <w:p w14:paraId="3B6003D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D80177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611DBB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626FC6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0AEF8F4"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4711CAD" w14:textId="77777777" w:rsidTr="00BD5864">
        <w:tc>
          <w:tcPr>
            <w:tcW w:w="0" w:type="auto"/>
            <w:vAlign w:val="center"/>
          </w:tcPr>
          <w:p w14:paraId="3FC9000C"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1D139B43" w14:textId="77777777" w:rsidR="00403FF2" w:rsidRPr="006F5388" w:rsidRDefault="00403FF2" w:rsidP="00B01EA5">
            <w:pPr>
              <w:rPr>
                <w:rFonts w:eastAsia="Times New Roman"/>
                <w:sz w:val="28"/>
                <w:szCs w:val="28"/>
              </w:rPr>
            </w:pPr>
            <w:r w:rsidRPr="006F5388">
              <w:rPr>
                <w:rFonts w:eastAsia="Times New Roman"/>
                <w:sz w:val="28"/>
                <w:szCs w:val="28"/>
                <w:rtl/>
              </w:rPr>
              <w:t>تتوفر لي فرص مناسبة للتطوير المهني والنمو الوظيفي.</w:t>
            </w:r>
          </w:p>
        </w:tc>
        <w:tc>
          <w:tcPr>
            <w:tcW w:w="0" w:type="auto"/>
            <w:vAlign w:val="center"/>
          </w:tcPr>
          <w:p w14:paraId="1438171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6DA4DE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FEA94F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562AF7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5F21DE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B367DD8" w14:textId="77777777" w:rsidTr="00BD5864">
        <w:tc>
          <w:tcPr>
            <w:tcW w:w="0" w:type="auto"/>
            <w:vAlign w:val="center"/>
          </w:tcPr>
          <w:p w14:paraId="4265EDD1"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5B614404" w14:textId="77777777" w:rsidR="00403FF2" w:rsidRPr="006F5388" w:rsidRDefault="00403FF2" w:rsidP="00B01EA5">
            <w:pPr>
              <w:rPr>
                <w:rFonts w:eastAsia="Times New Roman"/>
                <w:sz w:val="28"/>
                <w:szCs w:val="28"/>
              </w:rPr>
            </w:pPr>
            <w:r w:rsidRPr="006F5388">
              <w:rPr>
                <w:rFonts w:eastAsia="Times New Roman"/>
                <w:sz w:val="28"/>
                <w:szCs w:val="28"/>
                <w:rtl/>
              </w:rPr>
              <w:t>أحصل على مكافآت أو حوافز تشجعني على الاستمرار في الأداء المتميز.</w:t>
            </w:r>
          </w:p>
        </w:tc>
        <w:tc>
          <w:tcPr>
            <w:tcW w:w="0" w:type="auto"/>
            <w:vAlign w:val="center"/>
          </w:tcPr>
          <w:p w14:paraId="3D7B262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8741BD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95D916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59FE50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221F16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F0DFA7F" w14:textId="77777777" w:rsidTr="00BD5864">
        <w:tc>
          <w:tcPr>
            <w:tcW w:w="0" w:type="auto"/>
            <w:vAlign w:val="center"/>
          </w:tcPr>
          <w:p w14:paraId="34868C41"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28BF69B7" w14:textId="77777777" w:rsidR="00403FF2" w:rsidRPr="006F5388" w:rsidRDefault="00403FF2" w:rsidP="00B01EA5">
            <w:pPr>
              <w:rPr>
                <w:rFonts w:eastAsia="Times New Roman"/>
                <w:sz w:val="28"/>
                <w:szCs w:val="28"/>
              </w:rPr>
            </w:pPr>
            <w:r w:rsidRPr="006F5388">
              <w:rPr>
                <w:rFonts w:eastAsia="Times New Roman"/>
                <w:sz w:val="28"/>
                <w:szCs w:val="28"/>
                <w:rtl/>
              </w:rPr>
              <w:t>راتبي ومزاياي المالية تتناسب مع طبيعة الجهد والمسؤوليات.</w:t>
            </w:r>
          </w:p>
        </w:tc>
        <w:tc>
          <w:tcPr>
            <w:tcW w:w="0" w:type="auto"/>
            <w:vAlign w:val="center"/>
          </w:tcPr>
          <w:p w14:paraId="52474BA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42D112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FF8628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E7DE6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84D0D8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CA88F5A" w14:textId="77777777" w:rsidTr="00BD5864">
        <w:tc>
          <w:tcPr>
            <w:tcW w:w="0" w:type="auto"/>
            <w:vAlign w:val="center"/>
          </w:tcPr>
          <w:p w14:paraId="764FA1EA"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68038EA8" w14:textId="77777777" w:rsidR="00403FF2" w:rsidRPr="006F5388" w:rsidRDefault="00403FF2" w:rsidP="00B01EA5">
            <w:pPr>
              <w:rPr>
                <w:rFonts w:eastAsia="Times New Roman"/>
                <w:sz w:val="28"/>
                <w:szCs w:val="28"/>
              </w:rPr>
            </w:pPr>
            <w:r w:rsidRPr="006F5388">
              <w:rPr>
                <w:rFonts w:eastAsia="Times New Roman"/>
                <w:sz w:val="28"/>
                <w:szCs w:val="28"/>
                <w:rtl/>
              </w:rPr>
              <w:t>أتمكن من التعامل مع ضغوط العمل دون أن تؤثر سلبًا على نفسيتي.</w:t>
            </w:r>
          </w:p>
        </w:tc>
        <w:tc>
          <w:tcPr>
            <w:tcW w:w="0" w:type="auto"/>
            <w:vAlign w:val="center"/>
          </w:tcPr>
          <w:p w14:paraId="6B84BE9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E906E7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EB7DC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447F3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CD0ADCE"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4A66990B" w14:textId="77777777" w:rsidR="00B54325" w:rsidRDefault="00B54325" w:rsidP="00B01EA5">
      <w:pPr>
        <w:rPr>
          <w:rStyle w:val="ad"/>
          <w:rFonts w:asciiTheme="minorBidi" w:eastAsia="Times New Roman" w:hAnsiTheme="minorBidi"/>
          <w:sz w:val="28"/>
          <w:szCs w:val="28"/>
          <w:rtl/>
        </w:rPr>
      </w:pPr>
    </w:p>
    <w:p w14:paraId="65E831C2" w14:textId="77777777" w:rsidR="00B54325" w:rsidRDefault="00B54325" w:rsidP="00B01EA5">
      <w:pPr>
        <w:rPr>
          <w:rStyle w:val="ad"/>
          <w:rFonts w:asciiTheme="minorBidi" w:eastAsia="Times New Roman" w:hAnsiTheme="minorBidi"/>
          <w:sz w:val="28"/>
          <w:szCs w:val="28"/>
          <w:rtl/>
        </w:rPr>
      </w:pPr>
    </w:p>
    <w:p w14:paraId="342FC38F" w14:textId="77777777" w:rsidR="00B54325" w:rsidRDefault="00B54325" w:rsidP="00B01EA5">
      <w:pPr>
        <w:rPr>
          <w:rStyle w:val="ad"/>
          <w:rFonts w:asciiTheme="minorBidi" w:eastAsia="Times New Roman" w:hAnsiTheme="minorBidi"/>
          <w:sz w:val="28"/>
          <w:szCs w:val="28"/>
          <w:rtl/>
        </w:rPr>
      </w:pPr>
    </w:p>
    <w:p w14:paraId="467D7E9B" w14:textId="77777777" w:rsidR="00B54325" w:rsidRDefault="00B54325" w:rsidP="00B01EA5">
      <w:pPr>
        <w:rPr>
          <w:rStyle w:val="ad"/>
          <w:rFonts w:asciiTheme="minorBidi" w:eastAsia="Times New Roman" w:hAnsiTheme="minorBidi"/>
          <w:sz w:val="28"/>
          <w:szCs w:val="28"/>
          <w:rtl/>
        </w:rPr>
      </w:pPr>
    </w:p>
    <w:p w14:paraId="544BE31D" w14:textId="77777777" w:rsidR="00B54325" w:rsidRDefault="00B54325" w:rsidP="00B01EA5">
      <w:pPr>
        <w:rPr>
          <w:rStyle w:val="ad"/>
          <w:rFonts w:asciiTheme="minorBidi" w:eastAsia="Times New Roman" w:hAnsiTheme="minorBidi"/>
          <w:sz w:val="28"/>
          <w:szCs w:val="28"/>
          <w:rtl/>
        </w:rPr>
      </w:pPr>
    </w:p>
    <w:p w14:paraId="0F6BAB23" w14:textId="77777777" w:rsidR="00B54325" w:rsidRDefault="00B54325" w:rsidP="00B01EA5">
      <w:pPr>
        <w:rPr>
          <w:rStyle w:val="ad"/>
          <w:rFonts w:asciiTheme="minorBidi" w:eastAsia="Times New Roman" w:hAnsiTheme="minorBidi"/>
          <w:sz w:val="28"/>
          <w:szCs w:val="28"/>
          <w:rtl/>
        </w:rPr>
      </w:pPr>
    </w:p>
    <w:p w14:paraId="4BBCEEE6" w14:textId="77777777" w:rsidR="00B54325" w:rsidRDefault="00B54325" w:rsidP="00B01EA5">
      <w:pPr>
        <w:rPr>
          <w:rStyle w:val="ad"/>
          <w:rFonts w:asciiTheme="minorBidi" w:eastAsia="Times New Roman" w:hAnsiTheme="minorBidi"/>
          <w:sz w:val="28"/>
          <w:szCs w:val="28"/>
          <w:rtl/>
        </w:rPr>
      </w:pPr>
    </w:p>
    <w:p w14:paraId="070BB79C" w14:textId="77777777" w:rsidR="00B54325" w:rsidRDefault="00B54325" w:rsidP="00B01EA5">
      <w:pPr>
        <w:rPr>
          <w:rStyle w:val="ad"/>
          <w:rFonts w:asciiTheme="minorBidi" w:eastAsia="Times New Roman" w:hAnsiTheme="minorBidi"/>
          <w:sz w:val="28"/>
          <w:szCs w:val="28"/>
          <w:rtl/>
        </w:rPr>
      </w:pPr>
    </w:p>
    <w:p w14:paraId="06D2D4BE" w14:textId="77777777" w:rsidR="00B54325" w:rsidRDefault="00B54325" w:rsidP="00B01EA5">
      <w:pPr>
        <w:rPr>
          <w:rStyle w:val="ad"/>
          <w:rFonts w:asciiTheme="minorBidi" w:eastAsia="Times New Roman" w:hAnsiTheme="minorBidi"/>
          <w:sz w:val="28"/>
          <w:szCs w:val="28"/>
          <w:rtl/>
        </w:rPr>
      </w:pPr>
    </w:p>
    <w:p w14:paraId="446167E5" w14:textId="77777777" w:rsidR="00B54325" w:rsidRDefault="00B54325" w:rsidP="00B01EA5">
      <w:pPr>
        <w:rPr>
          <w:rStyle w:val="ad"/>
          <w:rFonts w:asciiTheme="minorBidi" w:eastAsia="Times New Roman" w:hAnsiTheme="minorBidi"/>
          <w:sz w:val="28"/>
          <w:szCs w:val="28"/>
          <w:rtl/>
        </w:rPr>
      </w:pPr>
    </w:p>
    <w:p w14:paraId="6EBE3B13" w14:textId="77777777" w:rsidR="00B54325" w:rsidRDefault="00B54325" w:rsidP="00B01EA5">
      <w:pPr>
        <w:rPr>
          <w:rStyle w:val="ad"/>
          <w:rFonts w:asciiTheme="minorBidi" w:eastAsia="Times New Roman" w:hAnsiTheme="minorBidi"/>
          <w:sz w:val="28"/>
          <w:szCs w:val="28"/>
          <w:rtl/>
        </w:rPr>
      </w:pPr>
    </w:p>
    <w:p w14:paraId="328F9598" w14:textId="77777777" w:rsidR="00B54325" w:rsidRDefault="00B54325" w:rsidP="00B01EA5">
      <w:pPr>
        <w:rPr>
          <w:rStyle w:val="ad"/>
          <w:rFonts w:asciiTheme="minorBidi" w:eastAsia="Times New Roman" w:hAnsiTheme="minorBidi"/>
          <w:sz w:val="28"/>
          <w:szCs w:val="28"/>
          <w:rtl/>
        </w:rPr>
      </w:pPr>
    </w:p>
    <w:p w14:paraId="1CB54CE1" w14:textId="77777777" w:rsidR="00B54325" w:rsidRDefault="00B54325" w:rsidP="00B01EA5">
      <w:pPr>
        <w:rPr>
          <w:rStyle w:val="ad"/>
          <w:rFonts w:asciiTheme="minorBidi" w:eastAsia="Times New Roman" w:hAnsiTheme="minorBidi"/>
          <w:sz w:val="28"/>
          <w:szCs w:val="28"/>
          <w:rtl/>
        </w:rPr>
      </w:pPr>
    </w:p>
    <w:p w14:paraId="06AF32E9" w14:textId="496AAE80" w:rsidR="00403FF2" w:rsidRPr="00CB39E6" w:rsidRDefault="00403FF2" w:rsidP="00B01EA5">
      <w:pPr>
        <w:rPr>
          <w:sz w:val="28"/>
          <w:szCs w:val="28"/>
          <w:rtl/>
        </w:rPr>
      </w:pPr>
      <w:r w:rsidRPr="00CB39E6">
        <w:rPr>
          <w:rStyle w:val="ad"/>
          <w:rFonts w:asciiTheme="minorBidi" w:eastAsia="Times New Roman" w:hAnsiTheme="minorBidi"/>
          <w:sz w:val="28"/>
          <w:szCs w:val="28"/>
          <w:rtl/>
        </w:rPr>
        <w:lastRenderedPageBreak/>
        <w:t>المحور الرابع: الاحتراق الوظيفي</w:t>
      </w:r>
    </w:p>
    <w:p w14:paraId="6FFCD971" w14:textId="0AC7D5F7" w:rsidR="00403FF2" w:rsidRPr="006F5388" w:rsidRDefault="00403FF2" w:rsidP="00B54325">
      <w:pPr>
        <w:rPr>
          <w:sz w:val="28"/>
          <w:szCs w:val="28"/>
          <w:rtl/>
        </w:rPr>
      </w:pPr>
      <w:r w:rsidRPr="006F5388">
        <w:rPr>
          <w:sz w:val="28"/>
          <w:szCs w:val="28"/>
          <w:rtl/>
        </w:rPr>
        <w:t>هذا المحور يهدف إلى قياس درجة الإرهاق العاطفي والتبلّد المهني وانخفاض الشعور بالإنجاز الشخصي.</w:t>
      </w:r>
    </w:p>
    <w:tbl>
      <w:tblPr>
        <w:tblStyle w:val="af"/>
        <w:bidiVisual/>
        <w:tblW w:w="0" w:type="auto"/>
        <w:tblLook w:val="04A0" w:firstRow="1" w:lastRow="0" w:firstColumn="1" w:lastColumn="0" w:noHBand="0" w:noVBand="1"/>
      </w:tblPr>
      <w:tblGrid>
        <w:gridCol w:w="372"/>
        <w:gridCol w:w="4256"/>
        <w:gridCol w:w="1152"/>
        <w:gridCol w:w="843"/>
        <w:gridCol w:w="702"/>
        <w:gridCol w:w="691"/>
        <w:gridCol w:w="1000"/>
      </w:tblGrid>
      <w:tr w:rsidR="00403FF2" w:rsidRPr="00C46AEC" w14:paraId="0727963A" w14:textId="77777777" w:rsidTr="00BD5864">
        <w:tc>
          <w:tcPr>
            <w:tcW w:w="0" w:type="auto"/>
            <w:vAlign w:val="center"/>
          </w:tcPr>
          <w:p w14:paraId="522EC4A0" w14:textId="77777777" w:rsidR="00403FF2" w:rsidRPr="00C46AEC" w:rsidRDefault="00403FF2" w:rsidP="00B01EA5">
            <w:pPr>
              <w:rPr>
                <w:sz w:val="28"/>
                <w:szCs w:val="28"/>
                <w:rtl/>
              </w:rPr>
            </w:pPr>
            <w:r w:rsidRPr="00C46AEC">
              <w:rPr>
                <w:sz w:val="28"/>
                <w:szCs w:val="28"/>
                <w:rtl/>
              </w:rPr>
              <w:t>#</w:t>
            </w:r>
          </w:p>
        </w:tc>
        <w:tc>
          <w:tcPr>
            <w:tcW w:w="0" w:type="auto"/>
            <w:vAlign w:val="center"/>
          </w:tcPr>
          <w:p w14:paraId="673A22A3" w14:textId="77777777" w:rsidR="00403FF2" w:rsidRPr="00C46AEC" w:rsidRDefault="00403FF2" w:rsidP="00B01EA5">
            <w:pPr>
              <w:rPr>
                <w:rFonts w:eastAsia="Times New Roman"/>
                <w:sz w:val="28"/>
                <w:szCs w:val="28"/>
                <w:rtl/>
              </w:rPr>
            </w:pPr>
            <w:r w:rsidRPr="00C46AEC">
              <w:rPr>
                <w:rFonts w:eastAsia="Times New Roman"/>
                <w:sz w:val="28"/>
                <w:szCs w:val="28"/>
                <w:rtl/>
              </w:rPr>
              <w:t>العبارة</w:t>
            </w:r>
          </w:p>
        </w:tc>
        <w:tc>
          <w:tcPr>
            <w:tcW w:w="0" w:type="auto"/>
            <w:vAlign w:val="center"/>
          </w:tcPr>
          <w:p w14:paraId="3C4FB25D" w14:textId="77777777" w:rsidR="00403FF2" w:rsidRPr="00C46AEC" w:rsidRDefault="00403FF2" w:rsidP="00B01EA5">
            <w:pPr>
              <w:rPr>
                <w:rFonts w:eastAsia="Times New Roman"/>
                <w:sz w:val="28"/>
                <w:szCs w:val="28"/>
              </w:rPr>
            </w:pPr>
            <w:r w:rsidRPr="00C46AEC">
              <w:rPr>
                <w:rFonts w:eastAsia="Times New Roman"/>
                <w:sz w:val="28"/>
                <w:szCs w:val="28"/>
                <w:rtl/>
              </w:rPr>
              <w:t>لا أوافق بشدة</w:t>
            </w:r>
          </w:p>
        </w:tc>
        <w:tc>
          <w:tcPr>
            <w:tcW w:w="0" w:type="auto"/>
            <w:vAlign w:val="center"/>
          </w:tcPr>
          <w:p w14:paraId="587A69E2" w14:textId="77777777" w:rsidR="00403FF2" w:rsidRPr="00C46AEC" w:rsidRDefault="00403FF2" w:rsidP="00B01EA5">
            <w:pPr>
              <w:rPr>
                <w:rFonts w:eastAsia="Times New Roman"/>
                <w:sz w:val="28"/>
                <w:szCs w:val="28"/>
              </w:rPr>
            </w:pPr>
            <w:r w:rsidRPr="00C46AEC">
              <w:rPr>
                <w:rFonts w:eastAsia="Times New Roman"/>
                <w:sz w:val="28"/>
                <w:szCs w:val="28"/>
                <w:rtl/>
              </w:rPr>
              <w:t>لا أوافق</w:t>
            </w:r>
          </w:p>
        </w:tc>
        <w:tc>
          <w:tcPr>
            <w:tcW w:w="0" w:type="auto"/>
            <w:vAlign w:val="center"/>
          </w:tcPr>
          <w:p w14:paraId="6B3CE39B" w14:textId="77777777" w:rsidR="00403FF2" w:rsidRPr="00C46AEC" w:rsidRDefault="00403FF2" w:rsidP="00B01EA5">
            <w:pPr>
              <w:rPr>
                <w:rFonts w:eastAsia="Times New Roman"/>
                <w:sz w:val="28"/>
                <w:szCs w:val="28"/>
              </w:rPr>
            </w:pPr>
            <w:r w:rsidRPr="00C46AEC">
              <w:rPr>
                <w:rFonts w:eastAsia="Times New Roman"/>
                <w:sz w:val="28"/>
                <w:szCs w:val="28"/>
                <w:rtl/>
              </w:rPr>
              <w:t>محايد</w:t>
            </w:r>
          </w:p>
        </w:tc>
        <w:tc>
          <w:tcPr>
            <w:tcW w:w="0" w:type="auto"/>
            <w:vAlign w:val="center"/>
          </w:tcPr>
          <w:p w14:paraId="19F4AFB7" w14:textId="77777777" w:rsidR="00403FF2" w:rsidRPr="00C46AEC" w:rsidRDefault="00403FF2" w:rsidP="00B01EA5">
            <w:pPr>
              <w:rPr>
                <w:rFonts w:eastAsia="Times New Roman"/>
                <w:sz w:val="28"/>
                <w:szCs w:val="28"/>
              </w:rPr>
            </w:pPr>
            <w:r w:rsidRPr="00C46AEC">
              <w:rPr>
                <w:rFonts w:eastAsia="Times New Roman"/>
                <w:sz w:val="28"/>
                <w:szCs w:val="28"/>
                <w:rtl/>
              </w:rPr>
              <w:t>أوافق</w:t>
            </w:r>
          </w:p>
        </w:tc>
        <w:tc>
          <w:tcPr>
            <w:tcW w:w="0" w:type="auto"/>
            <w:vAlign w:val="center"/>
          </w:tcPr>
          <w:p w14:paraId="5B05C370" w14:textId="77777777" w:rsidR="00403FF2" w:rsidRPr="00C46AEC" w:rsidRDefault="00403FF2" w:rsidP="00B01EA5">
            <w:pPr>
              <w:rPr>
                <w:sz w:val="28"/>
                <w:szCs w:val="28"/>
                <w:rtl/>
              </w:rPr>
            </w:pPr>
            <w:r w:rsidRPr="00C46AEC">
              <w:rPr>
                <w:rFonts w:eastAsia="Times New Roman"/>
                <w:sz w:val="28"/>
                <w:szCs w:val="28"/>
                <w:rtl/>
              </w:rPr>
              <w:t>أوافق بشدة</w:t>
            </w:r>
          </w:p>
        </w:tc>
      </w:tr>
      <w:tr w:rsidR="00403FF2" w:rsidRPr="006F5388" w14:paraId="4852E6E5" w14:textId="77777777" w:rsidTr="00BD5864">
        <w:tc>
          <w:tcPr>
            <w:tcW w:w="0" w:type="auto"/>
            <w:vAlign w:val="center"/>
          </w:tcPr>
          <w:p w14:paraId="14BAF030" w14:textId="77777777" w:rsidR="00403FF2" w:rsidRPr="00C46AEC" w:rsidRDefault="00403FF2" w:rsidP="00B01EA5">
            <w:pPr>
              <w:rPr>
                <w:sz w:val="28"/>
                <w:szCs w:val="28"/>
                <w:rtl/>
              </w:rPr>
            </w:pPr>
            <w:r w:rsidRPr="00C46AEC">
              <w:rPr>
                <w:rFonts w:eastAsia="Times New Roman"/>
                <w:sz w:val="28"/>
                <w:szCs w:val="28"/>
              </w:rPr>
              <w:t>1</w:t>
            </w:r>
          </w:p>
        </w:tc>
        <w:tc>
          <w:tcPr>
            <w:tcW w:w="0" w:type="auto"/>
            <w:vAlign w:val="center"/>
          </w:tcPr>
          <w:p w14:paraId="629D0EFE" w14:textId="77777777" w:rsidR="00403FF2" w:rsidRPr="006F5388" w:rsidRDefault="00403FF2" w:rsidP="00B01EA5">
            <w:pPr>
              <w:rPr>
                <w:rFonts w:eastAsia="Times New Roman"/>
                <w:sz w:val="28"/>
                <w:szCs w:val="28"/>
              </w:rPr>
            </w:pPr>
            <w:r w:rsidRPr="006F5388">
              <w:rPr>
                <w:rFonts w:eastAsia="Times New Roman"/>
                <w:sz w:val="28"/>
                <w:szCs w:val="28"/>
                <w:rtl/>
              </w:rPr>
              <w:t>أشعر بإرهاق عاطفي متكرر بسبب ضغوط العمل اليومية.</w:t>
            </w:r>
          </w:p>
        </w:tc>
        <w:tc>
          <w:tcPr>
            <w:tcW w:w="0" w:type="auto"/>
            <w:vAlign w:val="center"/>
          </w:tcPr>
          <w:p w14:paraId="3E5510E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0760D3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BE6B42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C9A119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DA1840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4872C98" w14:textId="77777777" w:rsidTr="00BD5864">
        <w:tc>
          <w:tcPr>
            <w:tcW w:w="0" w:type="auto"/>
            <w:vAlign w:val="center"/>
          </w:tcPr>
          <w:p w14:paraId="2F70BDAD" w14:textId="77777777" w:rsidR="00403FF2" w:rsidRPr="00C46AEC" w:rsidRDefault="00403FF2" w:rsidP="00B01EA5">
            <w:pPr>
              <w:rPr>
                <w:sz w:val="28"/>
                <w:szCs w:val="28"/>
                <w:rtl/>
              </w:rPr>
            </w:pPr>
            <w:r w:rsidRPr="00C46AEC">
              <w:rPr>
                <w:rFonts w:eastAsia="Times New Roman"/>
                <w:sz w:val="28"/>
                <w:szCs w:val="28"/>
              </w:rPr>
              <w:t>2</w:t>
            </w:r>
          </w:p>
        </w:tc>
        <w:tc>
          <w:tcPr>
            <w:tcW w:w="0" w:type="auto"/>
            <w:vAlign w:val="center"/>
          </w:tcPr>
          <w:p w14:paraId="13297190" w14:textId="77777777" w:rsidR="00403FF2" w:rsidRPr="006F5388" w:rsidRDefault="00403FF2" w:rsidP="00B01EA5">
            <w:pPr>
              <w:rPr>
                <w:rFonts w:eastAsia="Times New Roman"/>
                <w:sz w:val="28"/>
                <w:szCs w:val="28"/>
              </w:rPr>
            </w:pPr>
            <w:r w:rsidRPr="006F5388">
              <w:rPr>
                <w:rFonts w:eastAsia="Times New Roman"/>
                <w:sz w:val="28"/>
                <w:szCs w:val="28"/>
                <w:rtl/>
              </w:rPr>
              <w:t>أصبحت أقل حماسًا تجاه أداء مهامي المهنية.</w:t>
            </w:r>
          </w:p>
        </w:tc>
        <w:tc>
          <w:tcPr>
            <w:tcW w:w="0" w:type="auto"/>
            <w:vAlign w:val="center"/>
          </w:tcPr>
          <w:p w14:paraId="37F6616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202855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5C1BF1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4CD559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5A3A9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BA504EF" w14:textId="77777777" w:rsidTr="00BD5864">
        <w:tc>
          <w:tcPr>
            <w:tcW w:w="0" w:type="auto"/>
            <w:vAlign w:val="center"/>
          </w:tcPr>
          <w:p w14:paraId="50C6865B" w14:textId="77777777" w:rsidR="00403FF2" w:rsidRPr="00C46AEC" w:rsidRDefault="00403FF2" w:rsidP="00B01EA5">
            <w:pPr>
              <w:rPr>
                <w:rFonts w:eastAsia="Times New Roman"/>
                <w:sz w:val="28"/>
                <w:szCs w:val="28"/>
              </w:rPr>
            </w:pPr>
            <w:r w:rsidRPr="00C46AEC">
              <w:rPr>
                <w:rFonts w:eastAsia="Times New Roman"/>
                <w:sz w:val="28"/>
                <w:szCs w:val="28"/>
              </w:rPr>
              <w:t>3</w:t>
            </w:r>
          </w:p>
        </w:tc>
        <w:tc>
          <w:tcPr>
            <w:tcW w:w="0" w:type="auto"/>
            <w:vAlign w:val="center"/>
          </w:tcPr>
          <w:p w14:paraId="6B1D214E" w14:textId="77777777" w:rsidR="00403FF2" w:rsidRPr="006F5388" w:rsidRDefault="00403FF2" w:rsidP="00B01EA5">
            <w:pPr>
              <w:rPr>
                <w:rFonts w:eastAsia="Times New Roman"/>
                <w:sz w:val="28"/>
                <w:szCs w:val="28"/>
              </w:rPr>
            </w:pPr>
            <w:r w:rsidRPr="006F5388">
              <w:rPr>
                <w:rFonts w:eastAsia="Times New Roman"/>
                <w:sz w:val="28"/>
                <w:szCs w:val="28"/>
                <w:rtl/>
              </w:rPr>
              <w:t>أتعامل مع المرضى أو المستفيدين ببرود وانفصال عاطفي أحيانًا.</w:t>
            </w:r>
          </w:p>
        </w:tc>
        <w:tc>
          <w:tcPr>
            <w:tcW w:w="0" w:type="auto"/>
            <w:vAlign w:val="center"/>
          </w:tcPr>
          <w:p w14:paraId="57939BC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4CC177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ACA82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EBB2F3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E101FE9"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0EA9449" w14:textId="77777777" w:rsidTr="00BD5864">
        <w:tc>
          <w:tcPr>
            <w:tcW w:w="0" w:type="auto"/>
            <w:vAlign w:val="center"/>
          </w:tcPr>
          <w:p w14:paraId="64BB361D" w14:textId="77777777" w:rsidR="00403FF2" w:rsidRPr="00C46AEC" w:rsidRDefault="00403FF2" w:rsidP="00B01EA5">
            <w:pPr>
              <w:rPr>
                <w:rFonts w:eastAsia="Times New Roman"/>
                <w:sz w:val="28"/>
                <w:szCs w:val="28"/>
              </w:rPr>
            </w:pPr>
            <w:r w:rsidRPr="00C46AEC">
              <w:rPr>
                <w:rFonts w:eastAsia="Times New Roman"/>
                <w:sz w:val="28"/>
                <w:szCs w:val="28"/>
              </w:rPr>
              <w:t>4</w:t>
            </w:r>
          </w:p>
        </w:tc>
        <w:tc>
          <w:tcPr>
            <w:tcW w:w="0" w:type="auto"/>
            <w:vAlign w:val="center"/>
          </w:tcPr>
          <w:p w14:paraId="7D17E8F2" w14:textId="77777777" w:rsidR="00403FF2" w:rsidRPr="006F5388" w:rsidRDefault="00403FF2" w:rsidP="00B01EA5">
            <w:pPr>
              <w:rPr>
                <w:rFonts w:eastAsia="Times New Roman"/>
                <w:sz w:val="28"/>
                <w:szCs w:val="28"/>
              </w:rPr>
            </w:pPr>
            <w:r w:rsidRPr="006F5388">
              <w:rPr>
                <w:rFonts w:eastAsia="Times New Roman"/>
                <w:sz w:val="28"/>
                <w:szCs w:val="28"/>
                <w:rtl/>
              </w:rPr>
              <w:t>أواجه صعوبة في الشعور بالإنجاز عند نهاية يوم العمل.</w:t>
            </w:r>
          </w:p>
        </w:tc>
        <w:tc>
          <w:tcPr>
            <w:tcW w:w="0" w:type="auto"/>
            <w:vAlign w:val="center"/>
          </w:tcPr>
          <w:p w14:paraId="19509A2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435B46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B560FF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FAFFE1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DB4173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FEFB6BC" w14:textId="77777777" w:rsidTr="00BD5864">
        <w:tc>
          <w:tcPr>
            <w:tcW w:w="0" w:type="auto"/>
            <w:vAlign w:val="center"/>
          </w:tcPr>
          <w:p w14:paraId="32477423" w14:textId="77777777" w:rsidR="00403FF2" w:rsidRPr="00C46AEC" w:rsidRDefault="00403FF2" w:rsidP="00B01EA5">
            <w:pPr>
              <w:rPr>
                <w:rFonts w:eastAsia="Times New Roman"/>
                <w:sz w:val="28"/>
                <w:szCs w:val="28"/>
              </w:rPr>
            </w:pPr>
            <w:r w:rsidRPr="00C46AEC">
              <w:rPr>
                <w:rFonts w:eastAsia="Times New Roman"/>
                <w:sz w:val="28"/>
                <w:szCs w:val="28"/>
              </w:rPr>
              <w:t>5</w:t>
            </w:r>
          </w:p>
        </w:tc>
        <w:tc>
          <w:tcPr>
            <w:tcW w:w="0" w:type="auto"/>
            <w:vAlign w:val="center"/>
          </w:tcPr>
          <w:p w14:paraId="7A3F1E5B" w14:textId="77777777" w:rsidR="00403FF2" w:rsidRPr="006F5388" w:rsidRDefault="00403FF2" w:rsidP="00B01EA5">
            <w:pPr>
              <w:rPr>
                <w:rFonts w:eastAsia="Times New Roman"/>
                <w:sz w:val="28"/>
                <w:szCs w:val="28"/>
              </w:rPr>
            </w:pPr>
            <w:r w:rsidRPr="006F5388">
              <w:rPr>
                <w:rFonts w:eastAsia="Times New Roman"/>
                <w:sz w:val="28"/>
                <w:szCs w:val="28"/>
                <w:rtl/>
              </w:rPr>
              <w:t>تراودني مشاعر بالإنهاك وفقدان الطاقة خلال الأسبوع.</w:t>
            </w:r>
          </w:p>
        </w:tc>
        <w:tc>
          <w:tcPr>
            <w:tcW w:w="0" w:type="auto"/>
            <w:vAlign w:val="center"/>
          </w:tcPr>
          <w:p w14:paraId="627C796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C493C8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0A2F88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72540D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B344960"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5463578" w14:textId="77777777" w:rsidTr="00BD5864">
        <w:tc>
          <w:tcPr>
            <w:tcW w:w="0" w:type="auto"/>
            <w:vAlign w:val="center"/>
          </w:tcPr>
          <w:p w14:paraId="0A423E24" w14:textId="77777777" w:rsidR="00403FF2" w:rsidRPr="00C46AEC" w:rsidRDefault="00403FF2" w:rsidP="00B01EA5">
            <w:pPr>
              <w:rPr>
                <w:rFonts w:eastAsia="Times New Roman"/>
                <w:sz w:val="28"/>
                <w:szCs w:val="28"/>
              </w:rPr>
            </w:pPr>
            <w:r w:rsidRPr="00C46AEC">
              <w:rPr>
                <w:rFonts w:eastAsia="Times New Roman"/>
                <w:sz w:val="28"/>
                <w:szCs w:val="28"/>
              </w:rPr>
              <w:t>6</w:t>
            </w:r>
          </w:p>
        </w:tc>
        <w:tc>
          <w:tcPr>
            <w:tcW w:w="0" w:type="auto"/>
            <w:vAlign w:val="center"/>
          </w:tcPr>
          <w:p w14:paraId="2A569783" w14:textId="77777777" w:rsidR="00403FF2" w:rsidRPr="006F5388" w:rsidRDefault="00403FF2" w:rsidP="00B01EA5">
            <w:pPr>
              <w:rPr>
                <w:rFonts w:eastAsia="Times New Roman"/>
                <w:sz w:val="28"/>
                <w:szCs w:val="28"/>
              </w:rPr>
            </w:pPr>
            <w:r w:rsidRPr="006F5388">
              <w:rPr>
                <w:rFonts w:eastAsia="Times New Roman"/>
                <w:sz w:val="28"/>
                <w:szCs w:val="28"/>
                <w:rtl/>
              </w:rPr>
              <w:t>ألاحظ انخفاضًا في مستوى اهتمامي بالعمل مقارنة بالماضي.</w:t>
            </w:r>
          </w:p>
        </w:tc>
        <w:tc>
          <w:tcPr>
            <w:tcW w:w="0" w:type="auto"/>
            <w:vAlign w:val="center"/>
          </w:tcPr>
          <w:p w14:paraId="56FF4B6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FCFEA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6C1D14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487CDF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8F4755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071B6C6" w14:textId="77777777" w:rsidTr="00BD5864">
        <w:tc>
          <w:tcPr>
            <w:tcW w:w="0" w:type="auto"/>
            <w:vAlign w:val="center"/>
          </w:tcPr>
          <w:p w14:paraId="717DEC2C" w14:textId="77777777" w:rsidR="00403FF2" w:rsidRPr="00C46AEC" w:rsidRDefault="00403FF2" w:rsidP="00B01EA5">
            <w:pPr>
              <w:rPr>
                <w:rFonts w:eastAsia="Times New Roman"/>
                <w:sz w:val="28"/>
                <w:szCs w:val="28"/>
              </w:rPr>
            </w:pPr>
            <w:r w:rsidRPr="00C46AEC">
              <w:rPr>
                <w:rFonts w:eastAsia="Times New Roman"/>
                <w:sz w:val="28"/>
                <w:szCs w:val="28"/>
              </w:rPr>
              <w:t>7</w:t>
            </w:r>
          </w:p>
        </w:tc>
        <w:tc>
          <w:tcPr>
            <w:tcW w:w="0" w:type="auto"/>
            <w:vAlign w:val="center"/>
          </w:tcPr>
          <w:p w14:paraId="06DA3AF1" w14:textId="77777777" w:rsidR="00403FF2" w:rsidRPr="006F5388" w:rsidRDefault="00403FF2" w:rsidP="00B01EA5">
            <w:pPr>
              <w:rPr>
                <w:rFonts w:eastAsia="Times New Roman"/>
                <w:sz w:val="28"/>
                <w:szCs w:val="28"/>
              </w:rPr>
            </w:pPr>
            <w:r w:rsidRPr="006F5388">
              <w:rPr>
                <w:rFonts w:eastAsia="Times New Roman"/>
                <w:sz w:val="28"/>
                <w:szCs w:val="28"/>
                <w:rtl/>
              </w:rPr>
              <w:t>أحيانًا أفكر بترك العمل بسبب الإرهاق الذهني المستمر.</w:t>
            </w:r>
          </w:p>
        </w:tc>
        <w:tc>
          <w:tcPr>
            <w:tcW w:w="0" w:type="auto"/>
            <w:vAlign w:val="center"/>
          </w:tcPr>
          <w:p w14:paraId="7D13D2B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C86B16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650CC3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4B6D69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553F1D8"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7235E55" w14:textId="77777777" w:rsidTr="00BD5864">
        <w:tc>
          <w:tcPr>
            <w:tcW w:w="0" w:type="auto"/>
            <w:vAlign w:val="center"/>
          </w:tcPr>
          <w:p w14:paraId="457D9276" w14:textId="77777777" w:rsidR="00403FF2" w:rsidRPr="00C46AEC" w:rsidRDefault="00403FF2" w:rsidP="00B01EA5">
            <w:pPr>
              <w:rPr>
                <w:rFonts w:eastAsia="Times New Roman"/>
                <w:sz w:val="28"/>
                <w:szCs w:val="28"/>
              </w:rPr>
            </w:pPr>
            <w:r w:rsidRPr="00C46AEC">
              <w:rPr>
                <w:rFonts w:eastAsia="Times New Roman"/>
                <w:sz w:val="28"/>
                <w:szCs w:val="28"/>
              </w:rPr>
              <w:t>8</w:t>
            </w:r>
          </w:p>
        </w:tc>
        <w:tc>
          <w:tcPr>
            <w:tcW w:w="0" w:type="auto"/>
            <w:vAlign w:val="center"/>
          </w:tcPr>
          <w:p w14:paraId="7D688C1C" w14:textId="77777777" w:rsidR="00403FF2" w:rsidRPr="006F5388" w:rsidRDefault="00403FF2" w:rsidP="00B01EA5">
            <w:pPr>
              <w:rPr>
                <w:rFonts w:eastAsia="Times New Roman"/>
                <w:sz w:val="28"/>
                <w:szCs w:val="28"/>
              </w:rPr>
            </w:pPr>
            <w:r w:rsidRPr="006F5388">
              <w:rPr>
                <w:rFonts w:eastAsia="Times New Roman"/>
                <w:sz w:val="28"/>
                <w:szCs w:val="28"/>
                <w:rtl/>
              </w:rPr>
              <w:t>أفتقد الشعور بالحماس تجاه مهامي المعتادة.</w:t>
            </w:r>
          </w:p>
        </w:tc>
        <w:tc>
          <w:tcPr>
            <w:tcW w:w="0" w:type="auto"/>
            <w:vAlign w:val="center"/>
          </w:tcPr>
          <w:p w14:paraId="2ED406C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715F79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0C8EF4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790DEF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C7B2C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2DEE24FD" w14:textId="77777777" w:rsidR="00B90F2F" w:rsidRPr="00DE1AA7" w:rsidRDefault="00B90F2F">
      <w:pPr>
        <w:rPr>
          <w:rFonts w:asciiTheme="majorBidi" w:hAnsiTheme="majorBidi" w:cstheme="majorBidi"/>
        </w:rPr>
      </w:pPr>
    </w:p>
    <w:sectPr w:rsidR="00B90F2F" w:rsidRPr="00DE1AA7" w:rsidSect="00EE2486">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F8B99" w14:textId="77777777" w:rsidR="00305514" w:rsidRDefault="00305514" w:rsidP="000C5D98">
      <w:pPr>
        <w:spacing w:after="0" w:line="240" w:lineRule="auto"/>
      </w:pPr>
      <w:r>
        <w:separator/>
      </w:r>
    </w:p>
  </w:endnote>
  <w:endnote w:type="continuationSeparator" w:id="0">
    <w:p w14:paraId="1C28AC10" w14:textId="77777777" w:rsidR="00305514" w:rsidRDefault="00305514" w:rsidP="000C5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1758307"/>
      <w:docPartObj>
        <w:docPartGallery w:val="Page Numbers (Bottom of Page)"/>
        <w:docPartUnique/>
      </w:docPartObj>
    </w:sdtPr>
    <w:sdtEndPr>
      <w:rPr>
        <w:noProof/>
      </w:rPr>
    </w:sdtEndPr>
    <w:sdtContent>
      <w:p w14:paraId="6F8320C6" w14:textId="0994FE36"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4AF56CB4" w14:textId="77777777" w:rsidR="00B01EA5" w:rsidRDefault="00B01EA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9219211"/>
      <w:docPartObj>
        <w:docPartGallery w:val="Page Numbers (Bottom of Page)"/>
        <w:docPartUnique/>
      </w:docPartObj>
    </w:sdtPr>
    <w:sdtEndPr>
      <w:rPr>
        <w:noProof/>
      </w:rPr>
    </w:sdtEndPr>
    <w:sdtContent>
      <w:p w14:paraId="0A7D98AD" w14:textId="77777777"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0F56E4EA" w14:textId="77777777" w:rsidR="00B01EA5" w:rsidRDefault="00B01EA5">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7333265"/>
      <w:docPartObj>
        <w:docPartGallery w:val="Page Numbers (Bottom of Page)"/>
        <w:docPartUnique/>
      </w:docPartObj>
    </w:sdtPr>
    <w:sdtEndPr>
      <w:rPr>
        <w:noProof/>
      </w:rPr>
    </w:sdtEndPr>
    <w:sdtContent>
      <w:p w14:paraId="336C5341" w14:textId="1081D74D" w:rsidR="00B90F2F" w:rsidRDefault="00B90F2F">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5E1D15D0" w14:textId="77777777" w:rsidR="00B01EA5" w:rsidRDefault="00B01E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F2A6D" w14:textId="77777777" w:rsidR="00305514" w:rsidRDefault="00305514" w:rsidP="000C5D98">
      <w:pPr>
        <w:spacing w:after="0" w:line="240" w:lineRule="auto"/>
      </w:pPr>
      <w:r>
        <w:separator/>
      </w:r>
    </w:p>
  </w:footnote>
  <w:footnote w:type="continuationSeparator" w:id="0">
    <w:p w14:paraId="62C3C030" w14:textId="77777777" w:rsidR="00305514" w:rsidRDefault="00305514" w:rsidP="000C5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FA77A" w14:textId="77777777" w:rsidR="00B01EA5" w:rsidRDefault="00B01EA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D4A7D" w14:textId="77777777" w:rsidR="00B01EA5" w:rsidRDefault="00B01EA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47977" w14:textId="77777777" w:rsidR="00B01EA5" w:rsidRDefault="00B01EA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E12"/>
    <w:multiLevelType w:val="hybridMultilevel"/>
    <w:tmpl w:val="B7C47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F4170"/>
    <w:multiLevelType w:val="hybridMultilevel"/>
    <w:tmpl w:val="B8529BE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C63E8D"/>
    <w:multiLevelType w:val="hybridMultilevel"/>
    <w:tmpl w:val="EDDE0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E55FC"/>
    <w:multiLevelType w:val="hybridMultilevel"/>
    <w:tmpl w:val="B65EB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3E3956"/>
    <w:multiLevelType w:val="hybridMultilevel"/>
    <w:tmpl w:val="A82ABF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37414F"/>
    <w:multiLevelType w:val="hybridMultilevel"/>
    <w:tmpl w:val="616283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96E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CB7757"/>
    <w:multiLevelType w:val="hybridMultilevel"/>
    <w:tmpl w:val="303CF7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BE788A"/>
    <w:multiLevelType w:val="hybridMultilevel"/>
    <w:tmpl w:val="210404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C53E3"/>
    <w:multiLevelType w:val="hybridMultilevel"/>
    <w:tmpl w:val="F5CC46D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A8C1D43"/>
    <w:multiLevelType w:val="hybridMultilevel"/>
    <w:tmpl w:val="8214B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A6701B"/>
    <w:multiLevelType w:val="hybridMultilevel"/>
    <w:tmpl w:val="70FC16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3505D"/>
    <w:multiLevelType w:val="hybridMultilevel"/>
    <w:tmpl w:val="7AF8E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8454C9"/>
    <w:multiLevelType w:val="hybridMultilevel"/>
    <w:tmpl w:val="E30E49D4"/>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CA7831"/>
    <w:multiLevelType w:val="hybridMultilevel"/>
    <w:tmpl w:val="5E8A3E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45D47"/>
    <w:multiLevelType w:val="hybridMultilevel"/>
    <w:tmpl w:val="40067442"/>
    <w:lvl w:ilvl="0" w:tplc="FFFFFFFF">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4561F"/>
    <w:multiLevelType w:val="hybridMultilevel"/>
    <w:tmpl w:val="2AC059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3E43A3"/>
    <w:multiLevelType w:val="hybridMultilevel"/>
    <w:tmpl w:val="2BD4DA7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E135BD"/>
    <w:multiLevelType w:val="hybridMultilevel"/>
    <w:tmpl w:val="93DA8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2D2C21"/>
    <w:multiLevelType w:val="hybridMultilevel"/>
    <w:tmpl w:val="855A714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8965E6"/>
    <w:multiLevelType w:val="hybridMultilevel"/>
    <w:tmpl w:val="E5E0718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9251B4"/>
    <w:multiLevelType w:val="hybridMultilevel"/>
    <w:tmpl w:val="5F248592"/>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4AF2B3E"/>
    <w:multiLevelType w:val="hybridMultilevel"/>
    <w:tmpl w:val="498E5A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67C482A"/>
    <w:multiLevelType w:val="hybridMultilevel"/>
    <w:tmpl w:val="8436A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6DD4C76"/>
    <w:multiLevelType w:val="hybridMultilevel"/>
    <w:tmpl w:val="2A7097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6B61B8"/>
    <w:multiLevelType w:val="hybridMultilevel"/>
    <w:tmpl w:val="561CFF9E"/>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9A60A8"/>
    <w:multiLevelType w:val="hybridMultilevel"/>
    <w:tmpl w:val="AE2695B2"/>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F3024E8"/>
    <w:multiLevelType w:val="hybridMultilevel"/>
    <w:tmpl w:val="2960C5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432488"/>
    <w:multiLevelType w:val="hybridMultilevel"/>
    <w:tmpl w:val="8E780F26"/>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99C0F19"/>
    <w:multiLevelType w:val="hybridMultilevel"/>
    <w:tmpl w:val="E2B6E5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AB3994"/>
    <w:multiLevelType w:val="hybridMultilevel"/>
    <w:tmpl w:val="59F8EA26"/>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F866C5B"/>
    <w:multiLevelType w:val="hybridMultilevel"/>
    <w:tmpl w:val="5DA86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38413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1E5AF2"/>
    <w:multiLevelType w:val="hybridMultilevel"/>
    <w:tmpl w:val="934AF2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2ED3613"/>
    <w:multiLevelType w:val="hybridMultilevel"/>
    <w:tmpl w:val="5C4EA4D6"/>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6597DE9"/>
    <w:multiLevelType w:val="hybridMultilevel"/>
    <w:tmpl w:val="560685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6DD446D"/>
    <w:multiLevelType w:val="hybridMultilevel"/>
    <w:tmpl w:val="81B80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7B7E02"/>
    <w:multiLevelType w:val="hybridMultilevel"/>
    <w:tmpl w:val="9C40B9EA"/>
    <w:lvl w:ilvl="0" w:tplc="FFFFFFFF">
      <w:start w:val="1"/>
      <w:numFmt w:val="decimal"/>
      <w:lvlText w:val="%1-"/>
      <w:lvlJc w:val="left"/>
      <w:pPr>
        <w:ind w:left="720" w:hanging="360"/>
      </w:pPr>
      <w:rPr>
        <w:rFonts w:hint="default"/>
      </w:rPr>
    </w:lvl>
    <w:lvl w:ilvl="1" w:tplc="C6A42F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F354A"/>
    <w:multiLevelType w:val="hybridMultilevel"/>
    <w:tmpl w:val="47308D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1169819">
    <w:abstractNumId w:val="16"/>
  </w:num>
  <w:num w:numId="2" w16cid:durableId="1567493987">
    <w:abstractNumId w:val="28"/>
  </w:num>
  <w:num w:numId="3" w16cid:durableId="507018000">
    <w:abstractNumId w:val="19"/>
  </w:num>
  <w:num w:numId="4" w16cid:durableId="788284684">
    <w:abstractNumId w:val="27"/>
  </w:num>
  <w:num w:numId="5" w16cid:durableId="55402290">
    <w:abstractNumId w:val="34"/>
  </w:num>
  <w:num w:numId="6" w16cid:durableId="402416134">
    <w:abstractNumId w:val="33"/>
  </w:num>
  <w:num w:numId="7" w16cid:durableId="1790273208">
    <w:abstractNumId w:val="29"/>
  </w:num>
  <w:num w:numId="8" w16cid:durableId="313604653">
    <w:abstractNumId w:val="35"/>
  </w:num>
  <w:num w:numId="9" w16cid:durableId="1002390068">
    <w:abstractNumId w:val="5"/>
  </w:num>
  <w:num w:numId="10" w16cid:durableId="849948114">
    <w:abstractNumId w:val="10"/>
  </w:num>
  <w:num w:numId="11" w16cid:durableId="1213034252">
    <w:abstractNumId w:val="32"/>
  </w:num>
  <w:num w:numId="12" w16cid:durableId="430781226">
    <w:abstractNumId w:val="23"/>
  </w:num>
  <w:num w:numId="13" w16cid:durableId="391975463">
    <w:abstractNumId w:val="17"/>
  </w:num>
  <w:num w:numId="14" w16cid:durableId="1842621624">
    <w:abstractNumId w:val="1"/>
  </w:num>
  <w:num w:numId="15" w16cid:durableId="1388215088">
    <w:abstractNumId w:val="0"/>
  </w:num>
  <w:num w:numId="16" w16cid:durableId="1038896159">
    <w:abstractNumId w:val="24"/>
  </w:num>
  <w:num w:numId="17" w16cid:durableId="311982262">
    <w:abstractNumId w:val="14"/>
  </w:num>
  <w:num w:numId="18" w16cid:durableId="608851863">
    <w:abstractNumId w:val="8"/>
  </w:num>
  <w:num w:numId="19" w16cid:durableId="986124590">
    <w:abstractNumId w:val="15"/>
  </w:num>
  <w:num w:numId="20" w16cid:durableId="159583817">
    <w:abstractNumId w:val="37"/>
  </w:num>
  <w:num w:numId="21" w16cid:durableId="109665152">
    <w:abstractNumId w:val="11"/>
  </w:num>
  <w:num w:numId="22" w16cid:durableId="1100174175">
    <w:abstractNumId w:val="20"/>
  </w:num>
  <w:num w:numId="23" w16cid:durableId="1586499691">
    <w:abstractNumId w:val="4"/>
  </w:num>
  <w:num w:numId="24" w16cid:durableId="1793594244">
    <w:abstractNumId w:val="9"/>
  </w:num>
  <w:num w:numId="25" w16cid:durableId="960575955">
    <w:abstractNumId w:val="36"/>
  </w:num>
  <w:num w:numId="26" w16cid:durableId="1251544893">
    <w:abstractNumId w:val="12"/>
  </w:num>
  <w:num w:numId="27" w16cid:durableId="235673566">
    <w:abstractNumId w:val="2"/>
  </w:num>
  <w:num w:numId="28" w16cid:durableId="115175265">
    <w:abstractNumId w:val="22"/>
  </w:num>
  <w:num w:numId="29" w16cid:durableId="77756615">
    <w:abstractNumId w:val="18"/>
  </w:num>
  <w:num w:numId="30" w16cid:durableId="1037462035">
    <w:abstractNumId w:val="6"/>
  </w:num>
  <w:num w:numId="31" w16cid:durableId="824466859">
    <w:abstractNumId w:val="38"/>
  </w:num>
  <w:num w:numId="32" w16cid:durableId="2024625120">
    <w:abstractNumId w:val="7"/>
  </w:num>
  <w:num w:numId="33" w16cid:durableId="1016152419">
    <w:abstractNumId w:val="3"/>
  </w:num>
  <w:num w:numId="34" w16cid:durableId="2079815560">
    <w:abstractNumId w:val="31"/>
  </w:num>
  <w:num w:numId="35" w16cid:durableId="1056246200">
    <w:abstractNumId w:val="25"/>
  </w:num>
  <w:num w:numId="36" w16cid:durableId="799959852">
    <w:abstractNumId w:val="30"/>
  </w:num>
  <w:num w:numId="37" w16cid:durableId="1204976139">
    <w:abstractNumId w:val="21"/>
  </w:num>
  <w:num w:numId="38" w16cid:durableId="1474179343">
    <w:abstractNumId w:val="13"/>
  </w:num>
  <w:num w:numId="39" w16cid:durableId="161317219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E6"/>
    <w:rsid w:val="000017D9"/>
    <w:rsid w:val="00007A6F"/>
    <w:rsid w:val="000105D1"/>
    <w:rsid w:val="00037B2A"/>
    <w:rsid w:val="000517F6"/>
    <w:rsid w:val="00051BDB"/>
    <w:rsid w:val="000541BA"/>
    <w:rsid w:val="00060738"/>
    <w:rsid w:val="000622F2"/>
    <w:rsid w:val="00087A7A"/>
    <w:rsid w:val="00097C7F"/>
    <w:rsid w:val="000A07DC"/>
    <w:rsid w:val="000B1407"/>
    <w:rsid w:val="000B24AC"/>
    <w:rsid w:val="000C1D39"/>
    <w:rsid w:val="000C5D98"/>
    <w:rsid w:val="000D66BE"/>
    <w:rsid w:val="00103044"/>
    <w:rsid w:val="00142B41"/>
    <w:rsid w:val="00145302"/>
    <w:rsid w:val="00161DBA"/>
    <w:rsid w:val="001659DC"/>
    <w:rsid w:val="00166096"/>
    <w:rsid w:val="00167656"/>
    <w:rsid w:val="00167869"/>
    <w:rsid w:val="00172CC4"/>
    <w:rsid w:val="00187831"/>
    <w:rsid w:val="001919D1"/>
    <w:rsid w:val="00191F80"/>
    <w:rsid w:val="001959AA"/>
    <w:rsid w:val="00196873"/>
    <w:rsid w:val="001A06F7"/>
    <w:rsid w:val="001A665D"/>
    <w:rsid w:val="001B231A"/>
    <w:rsid w:val="001B7161"/>
    <w:rsid w:val="001C385C"/>
    <w:rsid w:val="001C4C86"/>
    <w:rsid w:val="001D3D5D"/>
    <w:rsid w:val="001E7C34"/>
    <w:rsid w:val="001F49C4"/>
    <w:rsid w:val="00216F6A"/>
    <w:rsid w:val="002179E0"/>
    <w:rsid w:val="00235AFE"/>
    <w:rsid w:val="0023644F"/>
    <w:rsid w:val="00236DCF"/>
    <w:rsid w:val="0023756D"/>
    <w:rsid w:val="00245300"/>
    <w:rsid w:val="00245D85"/>
    <w:rsid w:val="00252D6C"/>
    <w:rsid w:val="00263B4E"/>
    <w:rsid w:val="00270D4E"/>
    <w:rsid w:val="00271AE4"/>
    <w:rsid w:val="00283E81"/>
    <w:rsid w:val="0029528F"/>
    <w:rsid w:val="002A09E1"/>
    <w:rsid w:val="002C5E33"/>
    <w:rsid w:val="002E3FC2"/>
    <w:rsid w:val="00305514"/>
    <w:rsid w:val="00311420"/>
    <w:rsid w:val="0031302A"/>
    <w:rsid w:val="003167A9"/>
    <w:rsid w:val="0034028E"/>
    <w:rsid w:val="00340BD1"/>
    <w:rsid w:val="00340FA8"/>
    <w:rsid w:val="00364DF1"/>
    <w:rsid w:val="00372143"/>
    <w:rsid w:val="00375128"/>
    <w:rsid w:val="00377FF5"/>
    <w:rsid w:val="00387990"/>
    <w:rsid w:val="0039045E"/>
    <w:rsid w:val="0039107F"/>
    <w:rsid w:val="0039717E"/>
    <w:rsid w:val="003B00A1"/>
    <w:rsid w:val="003B2427"/>
    <w:rsid w:val="003D1AA8"/>
    <w:rsid w:val="003E0DC4"/>
    <w:rsid w:val="003E7E6A"/>
    <w:rsid w:val="003F2CD3"/>
    <w:rsid w:val="00403FF2"/>
    <w:rsid w:val="00415AF5"/>
    <w:rsid w:val="004240E1"/>
    <w:rsid w:val="004679E4"/>
    <w:rsid w:val="0047067B"/>
    <w:rsid w:val="00476F90"/>
    <w:rsid w:val="004839CF"/>
    <w:rsid w:val="00483DC8"/>
    <w:rsid w:val="00485C9D"/>
    <w:rsid w:val="004A241E"/>
    <w:rsid w:val="004B464B"/>
    <w:rsid w:val="004E0A60"/>
    <w:rsid w:val="00506EA9"/>
    <w:rsid w:val="005177AF"/>
    <w:rsid w:val="00517D15"/>
    <w:rsid w:val="00521B8D"/>
    <w:rsid w:val="00525D13"/>
    <w:rsid w:val="005272CB"/>
    <w:rsid w:val="005370DB"/>
    <w:rsid w:val="005705DC"/>
    <w:rsid w:val="00575DDB"/>
    <w:rsid w:val="0058381B"/>
    <w:rsid w:val="00597427"/>
    <w:rsid w:val="005B7494"/>
    <w:rsid w:val="005C5F29"/>
    <w:rsid w:val="005D0694"/>
    <w:rsid w:val="005E2821"/>
    <w:rsid w:val="005E4C35"/>
    <w:rsid w:val="005F723A"/>
    <w:rsid w:val="005F7875"/>
    <w:rsid w:val="006027A5"/>
    <w:rsid w:val="00607617"/>
    <w:rsid w:val="006118AF"/>
    <w:rsid w:val="00624E58"/>
    <w:rsid w:val="00632919"/>
    <w:rsid w:val="00633354"/>
    <w:rsid w:val="00667E47"/>
    <w:rsid w:val="00672359"/>
    <w:rsid w:val="00675EE4"/>
    <w:rsid w:val="00690C5F"/>
    <w:rsid w:val="006A45C0"/>
    <w:rsid w:val="006B4630"/>
    <w:rsid w:val="006B6084"/>
    <w:rsid w:val="006C4CDD"/>
    <w:rsid w:val="006D3814"/>
    <w:rsid w:val="006D3A2B"/>
    <w:rsid w:val="006D56C2"/>
    <w:rsid w:val="00702F4A"/>
    <w:rsid w:val="00714541"/>
    <w:rsid w:val="007320C9"/>
    <w:rsid w:val="00732DE5"/>
    <w:rsid w:val="0073679F"/>
    <w:rsid w:val="00756BB8"/>
    <w:rsid w:val="00765B51"/>
    <w:rsid w:val="0077094B"/>
    <w:rsid w:val="0077608F"/>
    <w:rsid w:val="00792ACF"/>
    <w:rsid w:val="00793F14"/>
    <w:rsid w:val="007946E6"/>
    <w:rsid w:val="007B1AC1"/>
    <w:rsid w:val="007E3FAC"/>
    <w:rsid w:val="007E7D59"/>
    <w:rsid w:val="007F6186"/>
    <w:rsid w:val="008042E6"/>
    <w:rsid w:val="008150AA"/>
    <w:rsid w:val="008435A7"/>
    <w:rsid w:val="00862E10"/>
    <w:rsid w:val="0086543C"/>
    <w:rsid w:val="00866CE6"/>
    <w:rsid w:val="008832D5"/>
    <w:rsid w:val="00884707"/>
    <w:rsid w:val="00890898"/>
    <w:rsid w:val="00891197"/>
    <w:rsid w:val="0089744B"/>
    <w:rsid w:val="008A1DE0"/>
    <w:rsid w:val="008B6F94"/>
    <w:rsid w:val="008C757A"/>
    <w:rsid w:val="008D0B8F"/>
    <w:rsid w:val="008F54BD"/>
    <w:rsid w:val="009051BB"/>
    <w:rsid w:val="00905E51"/>
    <w:rsid w:val="00912101"/>
    <w:rsid w:val="00917720"/>
    <w:rsid w:val="009231B5"/>
    <w:rsid w:val="009277D0"/>
    <w:rsid w:val="00953CEC"/>
    <w:rsid w:val="00956DF2"/>
    <w:rsid w:val="00962FBD"/>
    <w:rsid w:val="009631F6"/>
    <w:rsid w:val="00970324"/>
    <w:rsid w:val="00980907"/>
    <w:rsid w:val="009914A3"/>
    <w:rsid w:val="0099190A"/>
    <w:rsid w:val="009A7209"/>
    <w:rsid w:val="009B6679"/>
    <w:rsid w:val="009C0B5D"/>
    <w:rsid w:val="009C14D7"/>
    <w:rsid w:val="009C4018"/>
    <w:rsid w:val="009D776E"/>
    <w:rsid w:val="009F4738"/>
    <w:rsid w:val="00A05B9A"/>
    <w:rsid w:val="00A05E2A"/>
    <w:rsid w:val="00A0778C"/>
    <w:rsid w:val="00A3793F"/>
    <w:rsid w:val="00A43126"/>
    <w:rsid w:val="00A44E4E"/>
    <w:rsid w:val="00A55E33"/>
    <w:rsid w:val="00AB7263"/>
    <w:rsid w:val="00AB7E68"/>
    <w:rsid w:val="00AC2A5C"/>
    <w:rsid w:val="00AC48ED"/>
    <w:rsid w:val="00AD460A"/>
    <w:rsid w:val="00AD748B"/>
    <w:rsid w:val="00AF3C0E"/>
    <w:rsid w:val="00B01EA5"/>
    <w:rsid w:val="00B1334F"/>
    <w:rsid w:val="00B36C24"/>
    <w:rsid w:val="00B524F6"/>
    <w:rsid w:val="00B527E5"/>
    <w:rsid w:val="00B54325"/>
    <w:rsid w:val="00B63650"/>
    <w:rsid w:val="00B70974"/>
    <w:rsid w:val="00B723D2"/>
    <w:rsid w:val="00B7660A"/>
    <w:rsid w:val="00B8233C"/>
    <w:rsid w:val="00B90F2F"/>
    <w:rsid w:val="00BA0C8A"/>
    <w:rsid w:val="00BC1EFD"/>
    <w:rsid w:val="00BC2950"/>
    <w:rsid w:val="00BD1526"/>
    <w:rsid w:val="00BD24E8"/>
    <w:rsid w:val="00C03D0B"/>
    <w:rsid w:val="00C06A89"/>
    <w:rsid w:val="00C102A6"/>
    <w:rsid w:val="00C22EAF"/>
    <w:rsid w:val="00C25FBA"/>
    <w:rsid w:val="00C44026"/>
    <w:rsid w:val="00C6070D"/>
    <w:rsid w:val="00C65F3F"/>
    <w:rsid w:val="00C767C5"/>
    <w:rsid w:val="00CB1C49"/>
    <w:rsid w:val="00CB5D51"/>
    <w:rsid w:val="00CC1A54"/>
    <w:rsid w:val="00CC410A"/>
    <w:rsid w:val="00CD484A"/>
    <w:rsid w:val="00CD70F3"/>
    <w:rsid w:val="00CE231C"/>
    <w:rsid w:val="00D11BD7"/>
    <w:rsid w:val="00D2242D"/>
    <w:rsid w:val="00D40C11"/>
    <w:rsid w:val="00D46234"/>
    <w:rsid w:val="00D47240"/>
    <w:rsid w:val="00D473E0"/>
    <w:rsid w:val="00D67689"/>
    <w:rsid w:val="00D80977"/>
    <w:rsid w:val="00D81B6A"/>
    <w:rsid w:val="00D870FA"/>
    <w:rsid w:val="00DC1426"/>
    <w:rsid w:val="00DC1FEF"/>
    <w:rsid w:val="00DC6A8E"/>
    <w:rsid w:val="00DE1AA7"/>
    <w:rsid w:val="00DF44B3"/>
    <w:rsid w:val="00DF70FE"/>
    <w:rsid w:val="00E04133"/>
    <w:rsid w:val="00E1091B"/>
    <w:rsid w:val="00E13F6A"/>
    <w:rsid w:val="00E17564"/>
    <w:rsid w:val="00E20A0A"/>
    <w:rsid w:val="00E21018"/>
    <w:rsid w:val="00E21120"/>
    <w:rsid w:val="00E41967"/>
    <w:rsid w:val="00E46B27"/>
    <w:rsid w:val="00E55F14"/>
    <w:rsid w:val="00E64286"/>
    <w:rsid w:val="00E90974"/>
    <w:rsid w:val="00EA7DE3"/>
    <w:rsid w:val="00EC4824"/>
    <w:rsid w:val="00ED596F"/>
    <w:rsid w:val="00EE2486"/>
    <w:rsid w:val="00EE2A45"/>
    <w:rsid w:val="00EE4838"/>
    <w:rsid w:val="00EE65C5"/>
    <w:rsid w:val="00EF6E6A"/>
    <w:rsid w:val="00F128D0"/>
    <w:rsid w:val="00F173DD"/>
    <w:rsid w:val="00F24E31"/>
    <w:rsid w:val="00F32736"/>
    <w:rsid w:val="00F471D8"/>
    <w:rsid w:val="00F81DBD"/>
    <w:rsid w:val="00F96DA5"/>
    <w:rsid w:val="00FA1BFA"/>
    <w:rsid w:val="00FC4BC2"/>
    <w:rsid w:val="00FE21DC"/>
    <w:rsid w:val="00FF0861"/>
    <w:rsid w:val="00FF45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DC6F8"/>
  <w15:chartTrackingRefBased/>
  <w15:docId w15:val="{139FB9BE-5BB4-4541-AC68-73EEA4B1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C5E33"/>
    <w:pPr>
      <w:keepNext/>
      <w:keepLines/>
      <w:spacing w:before="480" w:after="200"/>
      <w:ind w:left="720"/>
      <w:jc w:val="center"/>
      <w:outlineLvl w:val="0"/>
    </w:pPr>
    <w:rPr>
      <w:rFonts w:ascii="Simplified Arabic" w:eastAsiaTheme="majorEastAsia" w:hAnsi="Simplified Arabic" w:cstheme="majorBidi"/>
      <w:sz w:val="40"/>
      <w:szCs w:val="40"/>
    </w:rPr>
  </w:style>
  <w:style w:type="paragraph" w:styleId="2">
    <w:name w:val="heading 2"/>
    <w:basedOn w:val="a"/>
    <w:next w:val="a"/>
    <w:link w:val="2Char"/>
    <w:uiPriority w:val="9"/>
    <w:unhideWhenUsed/>
    <w:qFormat/>
    <w:rsid w:val="002C5E33"/>
    <w:pPr>
      <w:keepNext/>
      <w:keepLines/>
      <w:spacing w:before="400" w:after="320"/>
      <w:outlineLvl w:val="1"/>
    </w:pPr>
    <w:rPr>
      <w:rFonts w:ascii="Simplified Arabic" w:eastAsiaTheme="majorEastAsia" w:hAnsi="Simplified Arabic" w:cstheme="majorBidi"/>
      <w:b/>
      <w:sz w:val="36"/>
      <w:szCs w:val="36"/>
    </w:rPr>
  </w:style>
  <w:style w:type="paragraph" w:styleId="3">
    <w:name w:val="heading 3"/>
    <w:basedOn w:val="a"/>
    <w:next w:val="a"/>
    <w:link w:val="3Char"/>
    <w:uiPriority w:val="9"/>
    <w:unhideWhenUsed/>
    <w:qFormat/>
    <w:rsid w:val="002C5E33"/>
    <w:pPr>
      <w:keepNext/>
      <w:keepLines/>
      <w:spacing w:before="280" w:after="200"/>
      <w:outlineLvl w:val="2"/>
    </w:pPr>
    <w:rPr>
      <w:rFonts w:ascii="Simplified Arabic" w:eastAsiaTheme="majorEastAsia" w:hAnsi="Simplified Arabic" w:cstheme="majorBidi"/>
      <w:b/>
      <w:sz w:val="32"/>
      <w:szCs w:val="28"/>
    </w:rPr>
  </w:style>
  <w:style w:type="paragraph" w:styleId="4">
    <w:name w:val="heading 4"/>
    <w:basedOn w:val="a"/>
    <w:next w:val="a"/>
    <w:link w:val="4Char"/>
    <w:uiPriority w:val="9"/>
    <w:semiHidden/>
    <w:unhideWhenUsed/>
    <w:qFormat/>
    <w:rsid w:val="00E55F14"/>
    <w:pPr>
      <w:keepNext/>
      <w:keepLines/>
      <w:spacing w:before="80" w:after="40"/>
      <w:outlineLvl w:val="3"/>
    </w:pPr>
    <w:rPr>
      <w:rFonts w:ascii="Simplified Arabic" w:eastAsiaTheme="majorEastAsia" w:hAnsi="Simplified Arabic" w:cstheme="majorBidi"/>
      <w:b/>
      <w:i/>
      <w:iCs/>
      <w:sz w:val="28"/>
    </w:rPr>
  </w:style>
  <w:style w:type="paragraph" w:styleId="5">
    <w:name w:val="heading 5"/>
    <w:basedOn w:val="a"/>
    <w:next w:val="a"/>
    <w:link w:val="5Char"/>
    <w:uiPriority w:val="9"/>
    <w:semiHidden/>
    <w:unhideWhenUsed/>
    <w:qFormat/>
    <w:rsid w:val="007946E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46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46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46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46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5E33"/>
    <w:rPr>
      <w:rFonts w:ascii="Simplified Arabic" w:eastAsiaTheme="majorEastAsia" w:hAnsi="Simplified Arabic" w:cstheme="majorBidi"/>
      <w:sz w:val="40"/>
      <w:szCs w:val="40"/>
    </w:rPr>
  </w:style>
  <w:style w:type="character" w:customStyle="1" w:styleId="2Char">
    <w:name w:val="عنوان 2 Char"/>
    <w:basedOn w:val="a0"/>
    <w:link w:val="2"/>
    <w:uiPriority w:val="9"/>
    <w:rsid w:val="002C5E33"/>
    <w:rPr>
      <w:rFonts w:ascii="Simplified Arabic" w:eastAsiaTheme="majorEastAsia" w:hAnsi="Simplified Arabic" w:cstheme="majorBidi"/>
      <w:b/>
      <w:sz w:val="36"/>
      <w:szCs w:val="36"/>
    </w:rPr>
  </w:style>
  <w:style w:type="character" w:customStyle="1" w:styleId="3Char">
    <w:name w:val="عنوان 3 Char"/>
    <w:basedOn w:val="a0"/>
    <w:link w:val="3"/>
    <w:uiPriority w:val="9"/>
    <w:rsid w:val="002C5E33"/>
    <w:rPr>
      <w:rFonts w:ascii="Simplified Arabic" w:eastAsiaTheme="majorEastAsia" w:hAnsi="Simplified Arabic" w:cstheme="majorBidi"/>
      <w:b/>
      <w:sz w:val="32"/>
      <w:szCs w:val="28"/>
    </w:rPr>
  </w:style>
  <w:style w:type="character" w:customStyle="1" w:styleId="4Char">
    <w:name w:val="عنوان 4 Char"/>
    <w:basedOn w:val="a0"/>
    <w:link w:val="4"/>
    <w:uiPriority w:val="9"/>
    <w:semiHidden/>
    <w:rsid w:val="00E55F14"/>
    <w:rPr>
      <w:rFonts w:ascii="Simplified Arabic" w:eastAsiaTheme="majorEastAsia" w:hAnsi="Simplified Arabic" w:cstheme="majorBidi"/>
      <w:b/>
      <w:i/>
      <w:iCs/>
      <w:sz w:val="28"/>
    </w:rPr>
  </w:style>
  <w:style w:type="character" w:customStyle="1" w:styleId="5Char">
    <w:name w:val="عنوان 5 Char"/>
    <w:basedOn w:val="a0"/>
    <w:link w:val="5"/>
    <w:uiPriority w:val="9"/>
    <w:semiHidden/>
    <w:rsid w:val="007946E6"/>
    <w:rPr>
      <w:rFonts w:eastAsiaTheme="majorEastAsia" w:cstheme="majorBidi"/>
      <w:color w:val="0F4761" w:themeColor="accent1" w:themeShade="BF"/>
    </w:rPr>
  </w:style>
  <w:style w:type="character" w:customStyle="1" w:styleId="6Char">
    <w:name w:val="عنوان 6 Char"/>
    <w:basedOn w:val="a0"/>
    <w:link w:val="6"/>
    <w:uiPriority w:val="9"/>
    <w:semiHidden/>
    <w:rsid w:val="007946E6"/>
    <w:rPr>
      <w:rFonts w:eastAsiaTheme="majorEastAsia" w:cstheme="majorBidi"/>
      <w:i/>
      <w:iCs/>
      <w:color w:val="595959" w:themeColor="text1" w:themeTint="A6"/>
    </w:rPr>
  </w:style>
  <w:style w:type="character" w:customStyle="1" w:styleId="7Char">
    <w:name w:val="عنوان 7 Char"/>
    <w:basedOn w:val="a0"/>
    <w:link w:val="7"/>
    <w:uiPriority w:val="9"/>
    <w:semiHidden/>
    <w:rsid w:val="007946E6"/>
    <w:rPr>
      <w:rFonts w:eastAsiaTheme="majorEastAsia" w:cstheme="majorBidi"/>
      <w:color w:val="595959" w:themeColor="text1" w:themeTint="A6"/>
    </w:rPr>
  </w:style>
  <w:style w:type="character" w:customStyle="1" w:styleId="8Char">
    <w:name w:val="عنوان 8 Char"/>
    <w:basedOn w:val="a0"/>
    <w:link w:val="8"/>
    <w:uiPriority w:val="9"/>
    <w:semiHidden/>
    <w:rsid w:val="007946E6"/>
    <w:rPr>
      <w:rFonts w:eastAsiaTheme="majorEastAsia" w:cstheme="majorBidi"/>
      <w:i/>
      <w:iCs/>
      <w:color w:val="272727" w:themeColor="text1" w:themeTint="D8"/>
    </w:rPr>
  </w:style>
  <w:style w:type="character" w:customStyle="1" w:styleId="9Char">
    <w:name w:val="عنوان 9 Char"/>
    <w:basedOn w:val="a0"/>
    <w:link w:val="9"/>
    <w:uiPriority w:val="9"/>
    <w:semiHidden/>
    <w:rsid w:val="007946E6"/>
    <w:rPr>
      <w:rFonts w:eastAsiaTheme="majorEastAsia" w:cstheme="majorBidi"/>
      <w:color w:val="272727" w:themeColor="text1" w:themeTint="D8"/>
    </w:rPr>
  </w:style>
  <w:style w:type="paragraph" w:styleId="a3">
    <w:name w:val="Title"/>
    <w:basedOn w:val="a"/>
    <w:next w:val="a"/>
    <w:link w:val="Char"/>
    <w:uiPriority w:val="10"/>
    <w:qFormat/>
    <w:rsid w:val="00794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46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46E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46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46E6"/>
    <w:pPr>
      <w:spacing w:before="160"/>
      <w:jc w:val="center"/>
    </w:pPr>
    <w:rPr>
      <w:i/>
      <w:iCs/>
      <w:color w:val="404040" w:themeColor="text1" w:themeTint="BF"/>
    </w:rPr>
  </w:style>
  <w:style w:type="character" w:customStyle="1" w:styleId="Char1">
    <w:name w:val="اقتباس Char"/>
    <w:basedOn w:val="a0"/>
    <w:link w:val="a5"/>
    <w:uiPriority w:val="29"/>
    <w:rsid w:val="007946E6"/>
    <w:rPr>
      <w:i/>
      <w:iCs/>
      <w:color w:val="404040" w:themeColor="text1" w:themeTint="BF"/>
    </w:rPr>
  </w:style>
  <w:style w:type="paragraph" w:styleId="a6">
    <w:name w:val="List Paragraph"/>
    <w:basedOn w:val="a"/>
    <w:uiPriority w:val="34"/>
    <w:qFormat/>
    <w:rsid w:val="007946E6"/>
    <w:pPr>
      <w:ind w:left="720"/>
      <w:contextualSpacing/>
    </w:pPr>
  </w:style>
  <w:style w:type="character" w:styleId="a7">
    <w:name w:val="Intense Emphasis"/>
    <w:basedOn w:val="a0"/>
    <w:uiPriority w:val="21"/>
    <w:qFormat/>
    <w:rsid w:val="007946E6"/>
    <w:rPr>
      <w:i/>
      <w:iCs/>
      <w:color w:val="0F4761" w:themeColor="accent1" w:themeShade="BF"/>
    </w:rPr>
  </w:style>
  <w:style w:type="paragraph" w:styleId="a8">
    <w:name w:val="Intense Quote"/>
    <w:basedOn w:val="a"/>
    <w:next w:val="a"/>
    <w:link w:val="Char2"/>
    <w:uiPriority w:val="30"/>
    <w:qFormat/>
    <w:rsid w:val="00794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46E6"/>
    <w:rPr>
      <w:i/>
      <w:iCs/>
      <w:color w:val="0F4761" w:themeColor="accent1" w:themeShade="BF"/>
    </w:rPr>
  </w:style>
  <w:style w:type="character" w:styleId="a9">
    <w:name w:val="Intense Reference"/>
    <w:basedOn w:val="a0"/>
    <w:uiPriority w:val="32"/>
    <w:qFormat/>
    <w:rsid w:val="007946E6"/>
    <w:rPr>
      <w:b/>
      <w:bCs/>
      <w:smallCaps/>
      <w:color w:val="0F4761" w:themeColor="accent1" w:themeShade="BF"/>
      <w:spacing w:val="5"/>
    </w:rPr>
  </w:style>
  <w:style w:type="character" w:styleId="aa">
    <w:name w:val="Placeholder Text"/>
    <w:basedOn w:val="a0"/>
    <w:uiPriority w:val="99"/>
    <w:semiHidden/>
    <w:rsid w:val="009277D0"/>
    <w:rPr>
      <w:color w:val="666666"/>
    </w:rPr>
  </w:style>
  <w:style w:type="character" w:styleId="Hyperlink">
    <w:name w:val="Hyperlink"/>
    <w:basedOn w:val="a0"/>
    <w:uiPriority w:val="99"/>
    <w:unhideWhenUsed/>
    <w:rsid w:val="0039045E"/>
    <w:rPr>
      <w:color w:val="467886" w:themeColor="hyperlink"/>
      <w:u w:val="single"/>
    </w:rPr>
  </w:style>
  <w:style w:type="character" w:styleId="ab">
    <w:name w:val="Unresolved Mention"/>
    <w:basedOn w:val="a0"/>
    <w:uiPriority w:val="99"/>
    <w:semiHidden/>
    <w:unhideWhenUsed/>
    <w:rsid w:val="0039045E"/>
    <w:rPr>
      <w:color w:val="605E5C"/>
      <w:shd w:val="clear" w:color="auto" w:fill="E1DFDD"/>
    </w:rPr>
  </w:style>
  <w:style w:type="paragraph" w:styleId="ac">
    <w:name w:val="Normal (Web)"/>
    <w:basedOn w:val="a"/>
    <w:uiPriority w:val="99"/>
    <w:unhideWhenUsed/>
    <w:rsid w:val="00283E81"/>
    <w:pPr>
      <w:bidi w:val="0"/>
      <w:spacing w:before="100" w:beforeAutospacing="1" w:after="100" w:afterAutospacing="1" w:line="240" w:lineRule="auto"/>
    </w:pPr>
    <w:rPr>
      <w:rFonts w:ascii="Times New Roman" w:hAnsi="Times New Roman" w:cs="Times New Roman"/>
      <w:kern w:val="0"/>
      <w14:ligatures w14:val="none"/>
    </w:rPr>
  </w:style>
  <w:style w:type="character" w:styleId="ad">
    <w:name w:val="Strong"/>
    <w:basedOn w:val="a0"/>
    <w:uiPriority w:val="22"/>
    <w:qFormat/>
    <w:rsid w:val="00283E81"/>
    <w:rPr>
      <w:b/>
      <w:bCs/>
    </w:rPr>
  </w:style>
  <w:style w:type="character" w:styleId="ae">
    <w:name w:val="Emphasis"/>
    <w:basedOn w:val="a0"/>
    <w:uiPriority w:val="20"/>
    <w:qFormat/>
    <w:rsid w:val="00283E81"/>
    <w:rPr>
      <w:i/>
      <w:iCs/>
    </w:rPr>
  </w:style>
  <w:style w:type="table" w:styleId="10">
    <w:name w:val="Grid Table 1 Light"/>
    <w:basedOn w:val="a1"/>
    <w:uiPriority w:val="46"/>
    <w:rsid w:val="009231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f">
    <w:name w:val="Table Grid"/>
    <w:basedOn w:val="a1"/>
    <w:uiPriority w:val="39"/>
    <w:rsid w:val="001D3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61">
    <w:name w:val="font161"/>
    <w:basedOn w:val="a0"/>
    <w:rsid w:val="001D3D5D"/>
    <w:rPr>
      <w:rFonts w:ascii="Arial" w:hAnsi="Arial" w:cs="Arial" w:hint="default"/>
      <w:b w:val="0"/>
      <w:bCs w:val="0"/>
      <w:i w:val="0"/>
      <w:iCs w:val="0"/>
      <w:strike w:val="0"/>
      <w:dstrike w:val="0"/>
      <w:color w:val="000000"/>
      <w:sz w:val="24"/>
      <w:szCs w:val="24"/>
      <w:u w:val="none"/>
      <w:effect w:val="none"/>
    </w:rPr>
  </w:style>
  <w:style w:type="character" w:customStyle="1" w:styleId="font581">
    <w:name w:val="font581"/>
    <w:basedOn w:val="a0"/>
    <w:rsid w:val="001D3D5D"/>
    <w:rPr>
      <w:rFonts w:ascii="Aptos" w:hAnsi="Aptos" w:hint="default"/>
      <w:b/>
      <w:bCs/>
      <w:i w:val="0"/>
      <w:iCs w:val="0"/>
      <w:strike w:val="0"/>
      <w:dstrike w:val="0"/>
      <w:color w:val="000000"/>
      <w:sz w:val="24"/>
      <w:szCs w:val="24"/>
      <w:u w:val="none"/>
      <w:effect w:val="none"/>
    </w:rPr>
  </w:style>
  <w:style w:type="character" w:customStyle="1" w:styleId="font171">
    <w:name w:val="font171"/>
    <w:basedOn w:val="a0"/>
    <w:rsid w:val="001D3D5D"/>
    <w:rPr>
      <w:rFonts w:ascii="Aptos" w:hAnsi="Aptos" w:hint="default"/>
      <w:b w:val="0"/>
      <w:bCs w:val="0"/>
      <w:i w:val="0"/>
      <w:iCs w:val="0"/>
      <w:strike w:val="0"/>
      <w:dstrike w:val="0"/>
      <w:color w:val="000000"/>
      <w:sz w:val="24"/>
      <w:szCs w:val="24"/>
      <w:u w:val="none"/>
      <w:effect w:val="none"/>
    </w:rPr>
  </w:style>
  <w:style w:type="character" w:customStyle="1" w:styleId="font571">
    <w:name w:val="font571"/>
    <w:basedOn w:val="a0"/>
    <w:rsid w:val="001D3D5D"/>
    <w:rPr>
      <w:rFonts w:ascii="Arial" w:hAnsi="Arial" w:cs="Arial" w:hint="default"/>
      <w:b/>
      <w:bCs/>
      <w:i w:val="0"/>
      <w:iCs w:val="0"/>
      <w:strike w:val="0"/>
      <w:dstrike w:val="0"/>
      <w:color w:val="000000"/>
      <w:sz w:val="24"/>
      <w:szCs w:val="24"/>
      <w:u w:val="none"/>
      <w:effect w:val="none"/>
    </w:rPr>
  </w:style>
  <w:style w:type="character" w:customStyle="1" w:styleId="font291">
    <w:name w:val="font291"/>
    <w:basedOn w:val="a0"/>
    <w:rsid w:val="00BD1526"/>
    <w:rPr>
      <w:rFonts w:ascii="Cambria" w:hAnsi="Cambria" w:hint="default"/>
      <w:b w:val="0"/>
      <w:bCs w:val="0"/>
      <w:i w:val="0"/>
      <w:iCs w:val="0"/>
      <w:strike w:val="0"/>
      <w:dstrike w:val="0"/>
      <w:color w:val="000000"/>
      <w:sz w:val="28"/>
      <w:szCs w:val="28"/>
      <w:u w:val="none"/>
      <w:effect w:val="none"/>
    </w:rPr>
  </w:style>
  <w:style w:type="character" w:customStyle="1" w:styleId="font281">
    <w:name w:val="font281"/>
    <w:basedOn w:val="a0"/>
    <w:rsid w:val="00BD1526"/>
    <w:rPr>
      <w:rFonts w:ascii="Simplified Arabic" w:hAnsi="Simplified Arabic" w:cs="Simplified Arabic" w:hint="cs"/>
      <w:b w:val="0"/>
      <w:bCs w:val="0"/>
      <w:i w:val="0"/>
      <w:iCs w:val="0"/>
      <w:strike w:val="0"/>
      <w:dstrike w:val="0"/>
      <w:color w:val="000000"/>
      <w:sz w:val="28"/>
      <w:szCs w:val="28"/>
      <w:u w:val="none"/>
      <w:effect w:val="none"/>
    </w:rPr>
  </w:style>
  <w:style w:type="paragraph" w:styleId="af0">
    <w:name w:val="header"/>
    <w:basedOn w:val="a"/>
    <w:link w:val="Char3"/>
    <w:uiPriority w:val="99"/>
    <w:unhideWhenUsed/>
    <w:rsid w:val="000C5D98"/>
    <w:pPr>
      <w:tabs>
        <w:tab w:val="center" w:pos="4320"/>
        <w:tab w:val="right" w:pos="8640"/>
      </w:tabs>
      <w:spacing w:after="0" w:line="240" w:lineRule="auto"/>
    </w:pPr>
  </w:style>
  <w:style w:type="character" w:customStyle="1" w:styleId="Char3">
    <w:name w:val="رأس الصفحة Char"/>
    <w:basedOn w:val="a0"/>
    <w:link w:val="af0"/>
    <w:uiPriority w:val="99"/>
    <w:rsid w:val="000C5D98"/>
  </w:style>
  <w:style w:type="paragraph" w:styleId="af1">
    <w:name w:val="footer"/>
    <w:basedOn w:val="a"/>
    <w:link w:val="Char4"/>
    <w:uiPriority w:val="99"/>
    <w:unhideWhenUsed/>
    <w:rsid w:val="000C5D98"/>
    <w:pPr>
      <w:tabs>
        <w:tab w:val="center" w:pos="4320"/>
        <w:tab w:val="right" w:pos="8640"/>
      </w:tabs>
      <w:spacing w:after="0" w:line="240" w:lineRule="auto"/>
    </w:pPr>
  </w:style>
  <w:style w:type="character" w:customStyle="1" w:styleId="Char4">
    <w:name w:val="تذييل الصفحة Char"/>
    <w:basedOn w:val="a0"/>
    <w:link w:val="af1"/>
    <w:uiPriority w:val="99"/>
    <w:rsid w:val="000C5D98"/>
  </w:style>
  <w:style w:type="paragraph" w:styleId="af2">
    <w:name w:val="TOC Heading"/>
    <w:basedOn w:val="1"/>
    <w:next w:val="a"/>
    <w:uiPriority w:val="39"/>
    <w:unhideWhenUsed/>
    <w:qFormat/>
    <w:rsid w:val="00891197"/>
    <w:pPr>
      <w:bidi w:val="0"/>
      <w:spacing w:before="240" w:after="0" w:line="259" w:lineRule="auto"/>
      <w:ind w:left="0"/>
      <w:jc w:val="left"/>
      <w:outlineLvl w:val="9"/>
    </w:pPr>
    <w:rPr>
      <w:rFonts w:asciiTheme="majorHAnsi" w:hAnsiTheme="majorHAnsi"/>
      <w:color w:val="0F4761" w:themeColor="accent1" w:themeShade="BF"/>
      <w:kern w:val="0"/>
      <w:sz w:val="32"/>
      <w:szCs w:val="32"/>
      <w14:ligatures w14:val="none"/>
    </w:rPr>
  </w:style>
  <w:style w:type="paragraph" w:styleId="20">
    <w:name w:val="toc 2"/>
    <w:basedOn w:val="a"/>
    <w:next w:val="a"/>
    <w:autoRedefine/>
    <w:uiPriority w:val="39"/>
    <w:unhideWhenUsed/>
    <w:rsid w:val="00891197"/>
    <w:pPr>
      <w:spacing w:after="0"/>
      <w:ind w:left="240"/>
    </w:pPr>
    <w:rPr>
      <w:rFonts w:cs="Times New Roman"/>
      <w:smallCaps/>
      <w:sz w:val="20"/>
    </w:rPr>
  </w:style>
  <w:style w:type="paragraph" w:styleId="11">
    <w:name w:val="toc 1"/>
    <w:basedOn w:val="a"/>
    <w:next w:val="a"/>
    <w:autoRedefine/>
    <w:uiPriority w:val="39"/>
    <w:unhideWhenUsed/>
    <w:rsid w:val="00891197"/>
    <w:pPr>
      <w:spacing w:before="120" w:after="120"/>
    </w:pPr>
    <w:rPr>
      <w:rFonts w:cs="Times New Roman"/>
      <w:b/>
      <w:bCs/>
      <w:caps/>
      <w:sz w:val="20"/>
    </w:rPr>
  </w:style>
  <w:style w:type="paragraph" w:styleId="30">
    <w:name w:val="toc 3"/>
    <w:basedOn w:val="a"/>
    <w:next w:val="a"/>
    <w:autoRedefine/>
    <w:uiPriority w:val="39"/>
    <w:unhideWhenUsed/>
    <w:rsid w:val="00891197"/>
    <w:pPr>
      <w:spacing w:after="0"/>
      <w:ind w:left="480"/>
    </w:pPr>
    <w:rPr>
      <w:rFonts w:cs="Times New Roman"/>
      <w:i/>
      <w:iCs/>
      <w:sz w:val="20"/>
    </w:rPr>
  </w:style>
  <w:style w:type="paragraph" w:styleId="40">
    <w:name w:val="toc 4"/>
    <w:basedOn w:val="a"/>
    <w:next w:val="a"/>
    <w:autoRedefine/>
    <w:uiPriority w:val="39"/>
    <w:unhideWhenUsed/>
    <w:rsid w:val="00B01EA5"/>
    <w:pPr>
      <w:spacing w:after="0"/>
      <w:ind w:left="720"/>
    </w:pPr>
    <w:rPr>
      <w:rFonts w:cs="Times New Roman"/>
      <w:sz w:val="18"/>
      <w:szCs w:val="21"/>
    </w:rPr>
  </w:style>
  <w:style w:type="paragraph" w:styleId="50">
    <w:name w:val="toc 5"/>
    <w:basedOn w:val="a"/>
    <w:next w:val="a"/>
    <w:autoRedefine/>
    <w:uiPriority w:val="39"/>
    <w:unhideWhenUsed/>
    <w:rsid w:val="00B01EA5"/>
    <w:pPr>
      <w:spacing w:after="0"/>
      <w:ind w:left="960"/>
    </w:pPr>
    <w:rPr>
      <w:rFonts w:cs="Times New Roman"/>
      <w:sz w:val="18"/>
      <w:szCs w:val="21"/>
    </w:rPr>
  </w:style>
  <w:style w:type="paragraph" w:styleId="60">
    <w:name w:val="toc 6"/>
    <w:basedOn w:val="a"/>
    <w:next w:val="a"/>
    <w:autoRedefine/>
    <w:uiPriority w:val="39"/>
    <w:unhideWhenUsed/>
    <w:rsid w:val="00B01EA5"/>
    <w:pPr>
      <w:spacing w:after="0"/>
      <w:ind w:left="1200"/>
    </w:pPr>
    <w:rPr>
      <w:rFonts w:cs="Times New Roman"/>
      <w:sz w:val="18"/>
      <w:szCs w:val="21"/>
    </w:rPr>
  </w:style>
  <w:style w:type="paragraph" w:styleId="70">
    <w:name w:val="toc 7"/>
    <w:basedOn w:val="a"/>
    <w:next w:val="a"/>
    <w:autoRedefine/>
    <w:uiPriority w:val="39"/>
    <w:unhideWhenUsed/>
    <w:rsid w:val="00B01EA5"/>
    <w:pPr>
      <w:spacing w:after="0"/>
      <w:ind w:left="1440"/>
    </w:pPr>
    <w:rPr>
      <w:rFonts w:cs="Times New Roman"/>
      <w:sz w:val="18"/>
      <w:szCs w:val="21"/>
    </w:rPr>
  </w:style>
  <w:style w:type="paragraph" w:styleId="80">
    <w:name w:val="toc 8"/>
    <w:basedOn w:val="a"/>
    <w:next w:val="a"/>
    <w:autoRedefine/>
    <w:uiPriority w:val="39"/>
    <w:unhideWhenUsed/>
    <w:rsid w:val="00B01EA5"/>
    <w:pPr>
      <w:spacing w:after="0"/>
      <w:ind w:left="1680"/>
    </w:pPr>
    <w:rPr>
      <w:rFonts w:cs="Times New Roman"/>
      <w:sz w:val="18"/>
      <w:szCs w:val="21"/>
    </w:rPr>
  </w:style>
  <w:style w:type="paragraph" w:styleId="90">
    <w:name w:val="toc 9"/>
    <w:basedOn w:val="a"/>
    <w:next w:val="a"/>
    <w:autoRedefine/>
    <w:uiPriority w:val="39"/>
    <w:unhideWhenUsed/>
    <w:rsid w:val="00B01EA5"/>
    <w:pPr>
      <w:spacing w:after="0"/>
      <w:ind w:left="192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5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eader" Target="header3.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1A65-06C8-4B0E-AD90-3B55A90BE3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20376</Words>
  <Characters>116148</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Algrady</dc:creator>
  <cp:keywords/>
  <dc:description/>
  <cp:lastModifiedBy>AKRAM Mohammed</cp:lastModifiedBy>
  <cp:revision>2</cp:revision>
  <dcterms:created xsi:type="dcterms:W3CDTF">2026-07-04T16:55:00Z</dcterms:created>
  <dcterms:modified xsi:type="dcterms:W3CDTF">2026-07-04T16:55:00Z</dcterms:modified>
</cp:coreProperties>
</file>