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A7F21" w14:textId="53555912" w:rsidR="004A7CFE" w:rsidRPr="00AC78B8" w:rsidRDefault="00975B4F" w:rsidP="00C215A2">
      <w:pPr>
        <w:spacing w:after="0" w:line="360" w:lineRule="auto"/>
        <w:jc w:val="both"/>
        <w:rPr>
          <w:rFonts w:asciiTheme="majorBidi" w:hAnsiTheme="majorBidi" w:cstheme="majorBidi"/>
          <w:sz w:val="28"/>
          <w:szCs w:val="28"/>
          <w:u w:val="single"/>
        </w:rPr>
      </w:pPr>
      <w:r w:rsidRPr="00AC78B8">
        <w:rPr>
          <w:rFonts w:asciiTheme="majorBidi" w:hAnsiTheme="majorBidi" w:cstheme="majorBidi"/>
          <w:b/>
          <w:bCs/>
          <w:noProof/>
          <w:sz w:val="28"/>
          <w:szCs w:val="28"/>
        </w:rPr>
        <w:drawing>
          <wp:anchor distT="0" distB="0" distL="114300" distR="114300" simplePos="0" relativeHeight="251676672" behindDoc="0" locked="0" layoutInCell="1" allowOverlap="1" wp14:anchorId="1B1F823B" wp14:editId="6A9DF376">
            <wp:simplePos x="0" y="0"/>
            <wp:positionH relativeFrom="margin">
              <wp:posOffset>4728210</wp:posOffset>
            </wp:positionH>
            <wp:positionV relativeFrom="margin">
              <wp:posOffset>-466090</wp:posOffset>
            </wp:positionV>
            <wp:extent cx="1718945" cy="1713865"/>
            <wp:effectExtent l="0" t="0" r="0"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8945" cy="1713865"/>
                    </a:xfrm>
                    <a:prstGeom prst="rect">
                      <a:avLst/>
                    </a:prstGeom>
                  </pic:spPr>
                </pic:pic>
              </a:graphicData>
            </a:graphic>
            <wp14:sizeRelH relativeFrom="margin">
              <wp14:pctWidth>0</wp14:pctWidth>
            </wp14:sizeRelH>
            <wp14:sizeRelV relativeFrom="margin">
              <wp14:pctHeight>0</wp14:pctHeight>
            </wp14:sizeRelV>
          </wp:anchor>
        </w:drawing>
      </w:r>
    </w:p>
    <w:p w14:paraId="2CABF0ED" w14:textId="77777777" w:rsidR="004A7CFE" w:rsidRPr="00AC78B8" w:rsidRDefault="004A7CFE" w:rsidP="00C215A2">
      <w:pPr>
        <w:spacing w:after="0" w:line="360" w:lineRule="auto"/>
        <w:jc w:val="both"/>
        <w:rPr>
          <w:rFonts w:asciiTheme="majorBidi" w:hAnsiTheme="majorBidi" w:cstheme="majorBidi"/>
          <w:sz w:val="28"/>
          <w:szCs w:val="28"/>
          <w:u w:val="single"/>
        </w:rPr>
      </w:pPr>
    </w:p>
    <w:p w14:paraId="5B468911" w14:textId="77777777" w:rsidR="004A7CFE" w:rsidRPr="00AC78B8" w:rsidRDefault="004A7CFE" w:rsidP="00C215A2">
      <w:pPr>
        <w:spacing w:after="0" w:line="360" w:lineRule="auto"/>
        <w:jc w:val="both"/>
        <w:rPr>
          <w:rFonts w:asciiTheme="majorBidi" w:hAnsiTheme="majorBidi" w:cstheme="majorBidi"/>
          <w:sz w:val="28"/>
          <w:szCs w:val="28"/>
          <w:u w:val="single"/>
        </w:rPr>
      </w:pPr>
    </w:p>
    <w:p w14:paraId="3C052A44" w14:textId="77777777" w:rsidR="004A7CFE" w:rsidRPr="00AC78B8" w:rsidRDefault="004A7CFE" w:rsidP="00C215A2">
      <w:pPr>
        <w:spacing w:after="0" w:line="360" w:lineRule="auto"/>
        <w:jc w:val="both"/>
        <w:rPr>
          <w:rFonts w:asciiTheme="majorBidi" w:hAnsiTheme="majorBidi" w:cstheme="majorBidi"/>
          <w:sz w:val="2"/>
          <w:szCs w:val="2"/>
          <w:u w:val="single"/>
        </w:rPr>
      </w:pPr>
    </w:p>
    <w:p w14:paraId="2D334B6B" w14:textId="77777777" w:rsidR="004A7CFE" w:rsidRPr="00AC78B8" w:rsidRDefault="004A7CFE" w:rsidP="00C215A2">
      <w:pPr>
        <w:spacing w:after="0" w:line="360" w:lineRule="auto"/>
        <w:jc w:val="both"/>
        <w:rPr>
          <w:rFonts w:asciiTheme="majorBidi" w:hAnsiTheme="majorBidi" w:cstheme="majorBidi"/>
          <w:sz w:val="28"/>
          <w:szCs w:val="28"/>
          <w:u w:val="single"/>
        </w:rPr>
      </w:pPr>
    </w:p>
    <w:p w14:paraId="23E1241C" w14:textId="0FD757F0" w:rsidR="004A7CFE" w:rsidRPr="00AC78B8" w:rsidRDefault="00000000" w:rsidP="00C215A2">
      <w:pPr>
        <w:spacing w:after="0" w:line="360" w:lineRule="auto"/>
        <w:jc w:val="both"/>
        <w:rPr>
          <w:rFonts w:asciiTheme="majorBidi" w:hAnsiTheme="majorBidi" w:cstheme="majorBidi"/>
          <w:b/>
          <w:bCs/>
          <w:sz w:val="28"/>
          <w:szCs w:val="28"/>
          <w:u w:val="single"/>
        </w:rPr>
      </w:pPr>
      <w:r w:rsidRPr="00AC78B8">
        <w:rPr>
          <w:rFonts w:asciiTheme="majorBidi" w:hAnsiTheme="majorBidi" w:cstheme="majorBidi"/>
          <w:b/>
          <w:bCs/>
          <w:sz w:val="28"/>
          <w:szCs w:val="28"/>
          <w:u w:val="single"/>
        </w:rPr>
        <w:t xml:space="preserve">Midocean University </w:t>
      </w:r>
    </w:p>
    <w:p w14:paraId="0F3310A7" w14:textId="77777777" w:rsidR="004A7CFE" w:rsidRPr="00AC78B8" w:rsidRDefault="00000000" w:rsidP="00C215A2">
      <w:pPr>
        <w:spacing w:after="0" w:line="360" w:lineRule="auto"/>
        <w:jc w:val="both"/>
        <w:rPr>
          <w:rFonts w:asciiTheme="majorBidi" w:hAnsiTheme="majorBidi" w:cstheme="majorBidi"/>
          <w:b/>
          <w:bCs/>
          <w:sz w:val="28"/>
          <w:szCs w:val="28"/>
          <w:u w:val="single"/>
        </w:rPr>
      </w:pPr>
      <w:r w:rsidRPr="00AC78B8">
        <w:rPr>
          <w:rFonts w:asciiTheme="majorBidi" w:hAnsiTheme="majorBidi" w:cstheme="majorBidi"/>
          <w:b/>
          <w:bCs/>
          <w:sz w:val="28"/>
          <w:szCs w:val="28"/>
          <w:u w:val="single"/>
        </w:rPr>
        <w:t>College of Management</w:t>
      </w:r>
    </w:p>
    <w:p w14:paraId="35129F46" w14:textId="77777777" w:rsidR="004A7CFE" w:rsidRPr="00AC78B8" w:rsidRDefault="00000000" w:rsidP="00C215A2">
      <w:pPr>
        <w:spacing w:after="0" w:line="360" w:lineRule="auto"/>
        <w:jc w:val="both"/>
        <w:rPr>
          <w:rFonts w:asciiTheme="majorBidi" w:hAnsiTheme="majorBidi" w:cstheme="majorBidi"/>
          <w:b/>
          <w:bCs/>
          <w:sz w:val="28"/>
          <w:szCs w:val="28"/>
          <w:u w:val="single"/>
        </w:rPr>
      </w:pPr>
      <w:r w:rsidRPr="00AC78B8">
        <w:rPr>
          <w:rFonts w:asciiTheme="majorBidi" w:hAnsiTheme="majorBidi" w:cstheme="majorBidi"/>
          <w:b/>
          <w:bCs/>
          <w:sz w:val="28"/>
          <w:szCs w:val="28"/>
          <w:u w:val="single"/>
        </w:rPr>
        <w:t>Department of</w:t>
      </w:r>
      <w:r w:rsidRPr="00AC78B8">
        <w:rPr>
          <w:rFonts w:asciiTheme="majorBidi" w:hAnsiTheme="majorBidi" w:cstheme="majorBidi"/>
        </w:rPr>
        <w:t xml:space="preserve"> </w:t>
      </w:r>
      <w:r w:rsidRPr="00AC78B8">
        <w:rPr>
          <w:rFonts w:asciiTheme="majorBidi" w:hAnsiTheme="majorBidi" w:cstheme="majorBidi"/>
          <w:b/>
          <w:bCs/>
          <w:sz w:val="28"/>
          <w:szCs w:val="28"/>
          <w:u w:val="single"/>
        </w:rPr>
        <w:t>Master of Business Administration</w:t>
      </w:r>
    </w:p>
    <w:p w14:paraId="26751AA5" w14:textId="77777777" w:rsidR="004A7CFE" w:rsidRPr="00AC78B8" w:rsidRDefault="00000000" w:rsidP="00C215A2">
      <w:pPr>
        <w:tabs>
          <w:tab w:val="left" w:pos="942"/>
        </w:tabs>
        <w:spacing w:after="0" w:line="360" w:lineRule="auto"/>
        <w:jc w:val="both"/>
        <w:rPr>
          <w:rFonts w:asciiTheme="majorBidi" w:hAnsiTheme="majorBidi" w:cstheme="majorBidi"/>
          <w:b/>
          <w:bCs/>
          <w:sz w:val="28"/>
          <w:szCs w:val="28"/>
        </w:rPr>
      </w:pPr>
      <w:r w:rsidRPr="00AC78B8">
        <w:rPr>
          <w:rFonts w:asciiTheme="majorBidi" w:hAnsiTheme="majorBidi" w:cstheme="majorBidi"/>
          <w:b/>
          <w:bCs/>
          <w:sz w:val="28"/>
          <w:szCs w:val="28"/>
        </w:rPr>
        <w:tab/>
      </w:r>
    </w:p>
    <w:p w14:paraId="758BFA17" w14:textId="77777777" w:rsidR="004A7CFE" w:rsidRPr="00AC78B8" w:rsidRDefault="004A7CFE" w:rsidP="00C215A2">
      <w:pPr>
        <w:spacing w:after="0" w:line="360" w:lineRule="auto"/>
        <w:jc w:val="both"/>
        <w:rPr>
          <w:rFonts w:asciiTheme="majorBidi" w:hAnsiTheme="majorBidi" w:cstheme="majorBidi"/>
          <w:sz w:val="28"/>
          <w:szCs w:val="28"/>
        </w:rPr>
      </w:pPr>
    </w:p>
    <w:p w14:paraId="16062F81" w14:textId="77777777" w:rsidR="004A7CFE" w:rsidRPr="00AC78B8" w:rsidRDefault="00000000" w:rsidP="00C215A2">
      <w:pPr>
        <w:spacing w:after="0" w:line="360" w:lineRule="auto"/>
        <w:jc w:val="center"/>
        <w:rPr>
          <w:rFonts w:asciiTheme="majorBidi" w:hAnsiTheme="majorBidi" w:cstheme="majorBidi"/>
          <w:sz w:val="28"/>
          <w:szCs w:val="28"/>
          <w:u w:val="single"/>
        </w:rPr>
      </w:pPr>
      <w:r w:rsidRPr="00AC78B8">
        <w:rPr>
          <w:rFonts w:asciiTheme="majorBidi" w:eastAsia="Times New Roman" w:hAnsiTheme="majorBidi" w:cstheme="majorBidi"/>
          <w:b/>
          <w:bCs/>
          <w:sz w:val="28"/>
          <w:szCs w:val="28"/>
          <w:u w:val="single"/>
        </w:rPr>
        <w:t>The Aggregation Solution:</w:t>
      </w:r>
    </w:p>
    <w:p w14:paraId="0659381E" w14:textId="77777777" w:rsidR="004A7CFE" w:rsidRPr="00AC78B8" w:rsidRDefault="00000000" w:rsidP="00C215A2">
      <w:pPr>
        <w:spacing w:after="0" w:line="360" w:lineRule="auto"/>
        <w:jc w:val="center"/>
        <w:rPr>
          <w:rFonts w:asciiTheme="majorBidi" w:hAnsiTheme="majorBidi" w:cstheme="majorBidi"/>
          <w:sz w:val="28"/>
          <w:szCs w:val="28"/>
          <w:u w:val="single"/>
        </w:rPr>
      </w:pPr>
      <w:r w:rsidRPr="00AC78B8">
        <w:rPr>
          <w:rFonts w:asciiTheme="majorBidi" w:eastAsia="Times New Roman" w:hAnsiTheme="majorBidi" w:cstheme="majorBidi"/>
          <w:b/>
          <w:bCs/>
          <w:sz w:val="28"/>
          <w:szCs w:val="28"/>
          <w:u w:val="single"/>
        </w:rPr>
        <w:t>Resolving the MRV Viability Gap to Unlock Carbon Revenue</w:t>
      </w:r>
    </w:p>
    <w:p w14:paraId="27CA789E" w14:textId="77777777" w:rsidR="004A7CFE" w:rsidRPr="00AC78B8" w:rsidRDefault="00000000" w:rsidP="00C215A2">
      <w:pPr>
        <w:spacing w:after="0" w:line="360" w:lineRule="auto"/>
        <w:jc w:val="center"/>
        <w:rPr>
          <w:rFonts w:asciiTheme="majorBidi" w:hAnsiTheme="majorBidi" w:cstheme="majorBidi"/>
          <w:sz w:val="28"/>
          <w:szCs w:val="28"/>
          <w:u w:val="single"/>
        </w:rPr>
      </w:pPr>
      <w:r w:rsidRPr="00AC78B8">
        <w:rPr>
          <w:rFonts w:asciiTheme="majorBidi" w:eastAsia="Times New Roman" w:hAnsiTheme="majorBidi" w:cstheme="majorBidi"/>
          <w:b/>
          <w:bCs/>
          <w:sz w:val="28"/>
          <w:szCs w:val="28"/>
          <w:u w:val="single"/>
        </w:rPr>
        <w:t>in Saudi Arabia's Facility Management Sector</w:t>
      </w:r>
    </w:p>
    <w:p w14:paraId="1D821533" w14:textId="77777777" w:rsidR="004A7CFE" w:rsidRPr="00AC78B8" w:rsidRDefault="004A7CFE" w:rsidP="00C215A2">
      <w:pPr>
        <w:tabs>
          <w:tab w:val="left" w:pos="5562"/>
        </w:tabs>
        <w:spacing w:after="0" w:line="360" w:lineRule="auto"/>
        <w:jc w:val="center"/>
        <w:rPr>
          <w:rFonts w:asciiTheme="majorBidi" w:hAnsiTheme="majorBidi" w:cstheme="majorBidi"/>
          <w:sz w:val="28"/>
          <w:szCs w:val="28"/>
        </w:rPr>
      </w:pPr>
    </w:p>
    <w:p w14:paraId="22740A2A" w14:textId="77777777" w:rsidR="004A7CFE" w:rsidRPr="00AC78B8" w:rsidRDefault="004A7CFE" w:rsidP="00C215A2">
      <w:pPr>
        <w:tabs>
          <w:tab w:val="left" w:pos="5562"/>
        </w:tabs>
        <w:spacing w:after="0" w:line="360" w:lineRule="auto"/>
        <w:jc w:val="center"/>
        <w:rPr>
          <w:rFonts w:asciiTheme="majorBidi" w:hAnsiTheme="majorBidi" w:cstheme="majorBidi"/>
          <w:sz w:val="2"/>
          <w:szCs w:val="2"/>
        </w:rPr>
      </w:pPr>
    </w:p>
    <w:p w14:paraId="58B6AF6B" w14:textId="77777777" w:rsidR="004A7CFE" w:rsidRPr="00AC78B8" w:rsidRDefault="004A7CFE" w:rsidP="00C215A2">
      <w:pPr>
        <w:tabs>
          <w:tab w:val="left" w:pos="5562"/>
        </w:tabs>
        <w:spacing w:after="0" w:line="360" w:lineRule="auto"/>
        <w:jc w:val="center"/>
        <w:rPr>
          <w:rFonts w:asciiTheme="majorBidi" w:hAnsiTheme="majorBidi" w:cstheme="majorBidi"/>
          <w:sz w:val="28"/>
          <w:szCs w:val="28"/>
        </w:rPr>
      </w:pPr>
    </w:p>
    <w:p w14:paraId="7374849E" w14:textId="77777777" w:rsidR="004A7CFE" w:rsidRPr="00AC78B8" w:rsidRDefault="00000000" w:rsidP="00C215A2">
      <w:pPr>
        <w:spacing w:after="0" w:line="360" w:lineRule="auto"/>
        <w:jc w:val="center"/>
        <w:rPr>
          <w:rFonts w:asciiTheme="majorBidi" w:hAnsiTheme="majorBidi" w:cstheme="majorBidi"/>
          <w:b/>
          <w:bCs/>
          <w:sz w:val="28"/>
          <w:szCs w:val="28"/>
        </w:rPr>
      </w:pPr>
      <w:r w:rsidRPr="00AC78B8">
        <w:rPr>
          <w:rFonts w:asciiTheme="majorBidi" w:hAnsiTheme="majorBidi" w:cstheme="majorBidi"/>
          <w:b/>
          <w:bCs/>
          <w:sz w:val="28"/>
          <w:szCs w:val="28"/>
        </w:rPr>
        <w:t>Prepared by:</w:t>
      </w:r>
    </w:p>
    <w:p w14:paraId="58109F0D" w14:textId="77777777" w:rsidR="004A7CFE" w:rsidRPr="00AC78B8" w:rsidRDefault="00000000" w:rsidP="00C215A2">
      <w:pPr>
        <w:spacing w:after="0" w:line="360" w:lineRule="auto"/>
        <w:jc w:val="center"/>
        <w:rPr>
          <w:rFonts w:asciiTheme="majorBidi" w:eastAsia="Times New Roman" w:hAnsiTheme="majorBidi" w:cstheme="majorBidi"/>
          <w:b/>
          <w:bCs/>
          <w:sz w:val="28"/>
          <w:szCs w:val="28"/>
        </w:rPr>
      </w:pPr>
      <w:r w:rsidRPr="00AC78B8">
        <w:rPr>
          <w:rFonts w:asciiTheme="majorBidi" w:eastAsia="Times New Roman" w:hAnsiTheme="majorBidi" w:cstheme="majorBidi"/>
          <w:b/>
          <w:bCs/>
          <w:sz w:val="28"/>
          <w:szCs w:val="28"/>
        </w:rPr>
        <w:t>Ahmed Salih</w:t>
      </w:r>
    </w:p>
    <w:p w14:paraId="10B2A718" w14:textId="77777777" w:rsidR="004A7CFE" w:rsidRPr="00AC78B8" w:rsidRDefault="004A7CFE" w:rsidP="00C215A2">
      <w:pPr>
        <w:spacing w:after="0" w:line="360" w:lineRule="auto"/>
        <w:jc w:val="center"/>
        <w:rPr>
          <w:rFonts w:asciiTheme="majorBidi" w:hAnsiTheme="majorBidi" w:cstheme="majorBidi"/>
          <w:b/>
          <w:bCs/>
          <w:sz w:val="28"/>
          <w:szCs w:val="28"/>
        </w:rPr>
      </w:pPr>
    </w:p>
    <w:p w14:paraId="30C0F061" w14:textId="77777777" w:rsidR="004A7CFE" w:rsidRPr="00AC78B8" w:rsidRDefault="00000000" w:rsidP="00C215A2">
      <w:pPr>
        <w:spacing w:after="0" w:line="360" w:lineRule="auto"/>
        <w:jc w:val="center"/>
        <w:rPr>
          <w:rFonts w:asciiTheme="majorBidi" w:hAnsiTheme="majorBidi" w:cstheme="majorBidi"/>
          <w:b/>
          <w:bCs/>
          <w:sz w:val="28"/>
          <w:szCs w:val="28"/>
        </w:rPr>
      </w:pPr>
      <w:r w:rsidRPr="00AC78B8">
        <w:rPr>
          <w:rFonts w:asciiTheme="majorBidi" w:hAnsiTheme="majorBidi" w:cstheme="majorBidi"/>
          <w:b/>
          <w:bCs/>
          <w:sz w:val="28"/>
          <w:szCs w:val="28"/>
        </w:rPr>
        <w:t>Supervised by:</w:t>
      </w:r>
    </w:p>
    <w:p w14:paraId="74D2769A"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sz w:val="28"/>
          <w:szCs w:val="28"/>
        </w:rPr>
        <w:t>Dr. / Fayez Jrad</w:t>
      </w:r>
    </w:p>
    <w:p w14:paraId="491CE915" w14:textId="77777777" w:rsidR="004A7CFE" w:rsidRPr="00AC78B8" w:rsidRDefault="004A7CFE" w:rsidP="00C215A2">
      <w:pPr>
        <w:spacing w:after="0" w:line="360" w:lineRule="auto"/>
        <w:jc w:val="center"/>
        <w:rPr>
          <w:rFonts w:asciiTheme="majorBidi" w:hAnsiTheme="majorBidi" w:cstheme="majorBidi"/>
          <w:b/>
          <w:bCs/>
          <w:sz w:val="16"/>
          <w:szCs w:val="16"/>
        </w:rPr>
      </w:pPr>
    </w:p>
    <w:p w14:paraId="75269D46" w14:textId="77777777" w:rsidR="004A7CFE" w:rsidRDefault="004A7CFE" w:rsidP="00C215A2">
      <w:pPr>
        <w:spacing w:after="0" w:line="360" w:lineRule="auto"/>
        <w:jc w:val="center"/>
        <w:rPr>
          <w:rFonts w:asciiTheme="majorBidi" w:hAnsiTheme="majorBidi" w:cstheme="majorBidi"/>
          <w:b/>
          <w:bCs/>
          <w:sz w:val="28"/>
          <w:szCs w:val="28"/>
        </w:rPr>
      </w:pPr>
    </w:p>
    <w:p w14:paraId="4A60FBE6" w14:textId="77777777" w:rsidR="00C215A2" w:rsidRDefault="00C215A2" w:rsidP="00C215A2">
      <w:pPr>
        <w:spacing w:after="0" w:line="360" w:lineRule="auto"/>
        <w:jc w:val="center"/>
        <w:rPr>
          <w:rFonts w:asciiTheme="majorBidi" w:hAnsiTheme="majorBidi" w:cstheme="majorBidi"/>
          <w:b/>
          <w:bCs/>
          <w:sz w:val="28"/>
          <w:szCs w:val="28"/>
        </w:rPr>
      </w:pPr>
    </w:p>
    <w:p w14:paraId="44AFA0E8" w14:textId="77777777" w:rsidR="00C215A2" w:rsidRDefault="00C215A2" w:rsidP="00C215A2">
      <w:pPr>
        <w:spacing w:after="0" w:line="360" w:lineRule="auto"/>
        <w:jc w:val="center"/>
        <w:rPr>
          <w:rFonts w:asciiTheme="majorBidi" w:hAnsiTheme="majorBidi" w:cstheme="majorBidi"/>
          <w:b/>
          <w:bCs/>
          <w:sz w:val="28"/>
          <w:szCs w:val="28"/>
        </w:rPr>
      </w:pPr>
    </w:p>
    <w:p w14:paraId="062F41E9" w14:textId="77777777" w:rsidR="00C215A2" w:rsidRDefault="00C215A2" w:rsidP="00C215A2">
      <w:pPr>
        <w:spacing w:after="0" w:line="360" w:lineRule="auto"/>
        <w:jc w:val="center"/>
        <w:rPr>
          <w:rFonts w:asciiTheme="majorBidi" w:hAnsiTheme="majorBidi" w:cstheme="majorBidi"/>
          <w:b/>
          <w:bCs/>
          <w:sz w:val="28"/>
          <w:szCs w:val="28"/>
        </w:rPr>
      </w:pPr>
    </w:p>
    <w:p w14:paraId="473FA495" w14:textId="77777777" w:rsidR="00C215A2" w:rsidRDefault="00C215A2" w:rsidP="00C215A2">
      <w:pPr>
        <w:spacing w:after="0" w:line="360" w:lineRule="auto"/>
        <w:jc w:val="center"/>
        <w:rPr>
          <w:rFonts w:asciiTheme="majorBidi" w:hAnsiTheme="majorBidi" w:cstheme="majorBidi"/>
          <w:b/>
          <w:bCs/>
          <w:sz w:val="28"/>
          <w:szCs w:val="28"/>
        </w:rPr>
      </w:pPr>
    </w:p>
    <w:p w14:paraId="7B455B26" w14:textId="77777777" w:rsidR="00C215A2" w:rsidRDefault="00C215A2" w:rsidP="00C215A2">
      <w:pPr>
        <w:spacing w:after="0" w:line="360" w:lineRule="auto"/>
        <w:jc w:val="center"/>
        <w:rPr>
          <w:rFonts w:asciiTheme="majorBidi" w:hAnsiTheme="majorBidi" w:cstheme="majorBidi"/>
          <w:b/>
          <w:bCs/>
          <w:sz w:val="28"/>
          <w:szCs w:val="28"/>
        </w:rPr>
      </w:pPr>
    </w:p>
    <w:p w14:paraId="166663D3" w14:textId="77777777" w:rsidR="00C215A2" w:rsidRDefault="00C215A2" w:rsidP="00C215A2">
      <w:pPr>
        <w:spacing w:after="0" w:line="360" w:lineRule="auto"/>
        <w:jc w:val="center"/>
        <w:rPr>
          <w:rFonts w:asciiTheme="majorBidi" w:hAnsiTheme="majorBidi" w:cstheme="majorBidi"/>
          <w:b/>
          <w:bCs/>
          <w:sz w:val="28"/>
          <w:szCs w:val="28"/>
        </w:rPr>
      </w:pPr>
    </w:p>
    <w:p w14:paraId="1CC33B45" w14:textId="77777777" w:rsidR="00C215A2" w:rsidRPr="00AC78B8" w:rsidRDefault="00C215A2" w:rsidP="00C215A2">
      <w:pPr>
        <w:spacing w:after="0" w:line="360" w:lineRule="auto"/>
        <w:jc w:val="center"/>
        <w:rPr>
          <w:rFonts w:asciiTheme="majorBidi" w:hAnsiTheme="majorBidi" w:cstheme="majorBidi"/>
          <w:b/>
          <w:bCs/>
          <w:sz w:val="28"/>
          <w:szCs w:val="28"/>
        </w:rPr>
      </w:pPr>
    </w:p>
    <w:p w14:paraId="656C6DAE" w14:textId="77777777" w:rsidR="004A7CFE" w:rsidRDefault="00000000" w:rsidP="00C215A2">
      <w:pPr>
        <w:spacing w:after="0" w:line="360" w:lineRule="auto"/>
        <w:jc w:val="center"/>
        <w:rPr>
          <w:rFonts w:asciiTheme="majorBidi" w:hAnsiTheme="majorBidi" w:cstheme="majorBidi"/>
          <w:b/>
          <w:bCs/>
          <w:sz w:val="28"/>
          <w:szCs w:val="28"/>
        </w:rPr>
      </w:pPr>
      <w:r w:rsidRPr="00AC78B8">
        <w:rPr>
          <w:rFonts w:asciiTheme="majorBidi" w:hAnsiTheme="majorBidi" w:cstheme="majorBidi"/>
          <w:b/>
          <w:bCs/>
          <w:sz w:val="28"/>
          <w:szCs w:val="28"/>
        </w:rPr>
        <w:t>Year:2026</w:t>
      </w:r>
    </w:p>
    <w:p w14:paraId="393636AA" w14:textId="77777777" w:rsidR="00C215A2" w:rsidRPr="00AC78B8" w:rsidRDefault="00C215A2" w:rsidP="00C215A2">
      <w:pPr>
        <w:spacing w:after="0" w:line="360" w:lineRule="auto"/>
        <w:rPr>
          <w:rFonts w:asciiTheme="majorBidi" w:hAnsiTheme="majorBidi" w:cstheme="majorBidi"/>
          <w:b/>
          <w:bCs/>
          <w:sz w:val="28"/>
          <w:szCs w:val="28"/>
        </w:rPr>
      </w:pPr>
    </w:p>
    <w:p w14:paraId="0BB891BE" w14:textId="77777777" w:rsidR="004A7CFE" w:rsidRPr="00AC78B8" w:rsidRDefault="004A7CFE" w:rsidP="00C215A2">
      <w:pPr>
        <w:spacing w:after="0" w:line="360" w:lineRule="auto"/>
        <w:jc w:val="both"/>
        <w:rPr>
          <w:rFonts w:asciiTheme="majorBidi" w:hAnsiTheme="majorBidi" w:cstheme="majorBidi"/>
          <w:b/>
          <w:bCs/>
          <w:sz w:val="28"/>
          <w:szCs w:val="28"/>
        </w:rPr>
      </w:pPr>
    </w:p>
    <w:p w14:paraId="42BBDE38" w14:textId="77777777" w:rsidR="004A7CFE" w:rsidRPr="00AC78B8" w:rsidRDefault="00000000" w:rsidP="00C215A2">
      <w:pPr>
        <w:spacing w:after="0" w:line="360" w:lineRule="auto"/>
        <w:jc w:val="center"/>
        <w:rPr>
          <w:rFonts w:asciiTheme="majorBidi" w:eastAsia="Times New Roman" w:hAnsiTheme="majorBidi" w:cstheme="majorBidi"/>
          <w:b/>
          <w:bCs/>
          <w:color w:val="000000"/>
          <w:sz w:val="30"/>
          <w:szCs w:val="30"/>
          <w:u w:val="single"/>
        </w:rPr>
      </w:pPr>
      <w:r w:rsidRPr="00AC78B8">
        <w:rPr>
          <w:rFonts w:asciiTheme="majorBidi" w:eastAsia="Times New Roman" w:hAnsiTheme="majorBidi" w:cstheme="majorBidi"/>
          <w:b/>
          <w:bCs/>
          <w:color w:val="000000"/>
          <w:sz w:val="30"/>
          <w:szCs w:val="30"/>
          <w:u w:val="single"/>
        </w:rPr>
        <w:t>Copyright</w:t>
      </w:r>
    </w:p>
    <w:p w14:paraId="3C48ED06" w14:textId="77777777" w:rsidR="004A7CFE" w:rsidRDefault="004A7CFE" w:rsidP="00C215A2">
      <w:pPr>
        <w:spacing w:after="0" w:line="360" w:lineRule="auto"/>
        <w:jc w:val="both"/>
        <w:rPr>
          <w:rFonts w:asciiTheme="majorBidi" w:eastAsia="Times New Roman" w:hAnsiTheme="majorBidi" w:cstheme="majorBidi"/>
          <w:b/>
          <w:bCs/>
          <w:color w:val="000000"/>
          <w:sz w:val="30"/>
          <w:szCs w:val="30"/>
          <w:u w:val="single"/>
        </w:rPr>
      </w:pPr>
    </w:p>
    <w:p w14:paraId="2AA2ABAA" w14:textId="77777777" w:rsidR="00C215A2" w:rsidRPr="00AC78B8" w:rsidRDefault="00C215A2" w:rsidP="00C215A2">
      <w:pPr>
        <w:spacing w:after="0" w:line="360" w:lineRule="auto"/>
        <w:jc w:val="both"/>
        <w:rPr>
          <w:rFonts w:asciiTheme="majorBidi" w:eastAsia="Times New Roman" w:hAnsiTheme="majorBidi" w:cstheme="majorBidi"/>
          <w:b/>
          <w:bCs/>
          <w:color w:val="000000"/>
          <w:sz w:val="30"/>
          <w:szCs w:val="30"/>
          <w:u w:val="single"/>
        </w:rPr>
      </w:pPr>
    </w:p>
    <w:p w14:paraId="54B9E17C"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sz w:val="24"/>
          <w:szCs w:val="24"/>
        </w:rPr>
        <w:t>The copyright of this research is owned by Midocean University. All materials and contents contained in this research are the property of the University, and may not be used, republished, or distributed without prior permission from Midocean University.</w:t>
      </w:r>
    </w:p>
    <w:p w14:paraId="7A0C37DF" w14:textId="77777777" w:rsidR="004A7CFE" w:rsidRPr="00AC78B8" w:rsidRDefault="004A7CFE" w:rsidP="00C215A2">
      <w:pPr>
        <w:spacing w:after="0" w:line="360" w:lineRule="auto"/>
        <w:jc w:val="both"/>
        <w:rPr>
          <w:rFonts w:asciiTheme="majorBidi" w:hAnsiTheme="majorBidi" w:cstheme="majorBidi"/>
        </w:rPr>
      </w:pPr>
    </w:p>
    <w:p w14:paraId="41C86072" w14:textId="77777777" w:rsidR="004A7CFE" w:rsidRPr="00AC78B8" w:rsidRDefault="004A7CFE" w:rsidP="00C215A2">
      <w:pPr>
        <w:spacing w:after="0" w:line="360" w:lineRule="auto"/>
        <w:jc w:val="both"/>
        <w:rPr>
          <w:rFonts w:asciiTheme="majorBidi" w:hAnsiTheme="majorBidi" w:cstheme="majorBidi"/>
        </w:rPr>
      </w:pPr>
    </w:p>
    <w:p w14:paraId="3F28C7C3" w14:textId="77777777" w:rsidR="004A7CFE" w:rsidRPr="00AC78B8" w:rsidRDefault="00000000" w:rsidP="00C215A2">
      <w:pPr>
        <w:spacing w:before="200" w:after="0" w:line="360" w:lineRule="auto"/>
        <w:jc w:val="right"/>
        <w:rPr>
          <w:rFonts w:asciiTheme="majorBidi" w:hAnsiTheme="majorBidi" w:cstheme="majorBidi"/>
        </w:rPr>
      </w:pPr>
      <w:r w:rsidRPr="00AC78B8">
        <w:rPr>
          <w:rFonts w:asciiTheme="majorBidi" w:eastAsia="Times New Roman" w:hAnsiTheme="majorBidi" w:cstheme="majorBidi"/>
          <w:b/>
          <w:bCs/>
          <w:sz w:val="24"/>
          <w:szCs w:val="24"/>
        </w:rPr>
        <w:t>The Researcher</w:t>
      </w:r>
    </w:p>
    <w:p w14:paraId="1A844F38"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hAnsiTheme="majorBidi" w:cstheme="majorBidi"/>
        </w:rPr>
        <w:br w:type="page"/>
      </w:r>
    </w:p>
    <w:p w14:paraId="60DFE6D7" w14:textId="77777777" w:rsidR="004A7CFE" w:rsidRPr="00AC78B8" w:rsidRDefault="00000000" w:rsidP="00C215A2">
      <w:pPr>
        <w:spacing w:after="0" w:line="360" w:lineRule="auto"/>
        <w:jc w:val="center"/>
        <w:rPr>
          <w:rFonts w:asciiTheme="majorBidi" w:eastAsia="Times New Roman" w:hAnsiTheme="majorBidi" w:cstheme="majorBidi"/>
          <w:b/>
          <w:bCs/>
          <w:color w:val="000000"/>
          <w:sz w:val="30"/>
          <w:szCs w:val="30"/>
          <w:u w:val="single"/>
        </w:rPr>
      </w:pPr>
      <w:r w:rsidRPr="00AC78B8">
        <w:rPr>
          <w:rFonts w:asciiTheme="majorBidi" w:eastAsia="Times New Roman" w:hAnsiTheme="majorBidi" w:cstheme="majorBidi"/>
          <w:b/>
          <w:bCs/>
          <w:color w:val="000000"/>
          <w:sz w:val="30"/>
          <w:szCs w:val="30"/>
          <w:u w:val="single"/>
        </w:rPr>
        <w:lastRenderedPageBreak/>
        <w:t>Abstract</w:t>
      </w:r>
    </w:p>
    <w:p w14:paraId="08A7BB99" w14:textId="7777777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This study examines why Saudi Arabia’s commercial office sector hasn’t joined the Regional Voluntary Carbon Market (RVCMC) despite its emission-reduction potential, and how this could change in support of Vision 2030. The main barrier is high third-party Monitoring, Reporting, and Verification (MRV) costs , currently SAR 60,000 annually which exceed the carbon revenue from a typical 10,000 m² office, causing a market failure for single properties.</w:t>
      </w:r>
    </w:p>
    <w:p w14:paraId="25D488DE" w14:textId="7777777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To investigate this, the research uses a multi-method quantitative approach: a financial model with SEEC benchmarks tested across several scenarios, a case study of a 17,615 m² Riyadh telecom headquarters with two years of energy data, and a survey of 29 facility management professionals.</w:t>
      </w:r>
    </w:p>
    <w:p w14:paraId="65936D89" w14:textId="6B3C8DF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The results show that carbon revenue covers only 38% of the estimated MRV cost for a standalone building (32.9% in the real case), so a single property cannot make the economics work. Pooling buildings </w:t>
      </w:r>
      <w:r w:rsidR="00126FF7" w:rsidRPr="00AC78B8">
        <w:rPr>
          <w:rFonts w:asciiTheme="majorBidi" w:eastAsia="Times New Roman" w:hAnsiTheme="majorBidi" w:cstheme="majorBidi"/>
          <w:sz w:val="24"/>
          <w:szCs w:val="24"/>
        </w:rPr>
        <w:t>change</w:t>
      </w:r>
      <w:r w:rsidRPr="00AC78B8">
        <w:rPr>
          <w:rFonts w:asciiTheme="majorBidi" w:eastAsia="Times New Roman" w:hAnsiTheme="majorBidi" w:cstheme="majorBidi"/>
          <w:sz w:val="24"/>
          <w:szCs w:val="24"/>
        </w:rPr>
        <w:t xml:space="preserve"> the arithmetic: verification cost falls from SAR 98.52 to SAR 8.72 per tonne, and the break-even point where carbon revenue finally covers the shared audit is reached at four benchmark buildings, or 2,267 verified tonnes a year. The ten-building portfolio returns 106.5% over fifteen years at low capital cost, with a net present value of SAR 4.28 million at an 8% real discount rate. A five-year government MRV subsidy delivers a leverage ratio of 56:1. Under a CBAM-driven price path, carbon revenue would rise 460%, and a zero-interest Green Retrofit Facility makes every capital tier cash-positive from year one with no upfront equity.</w:t>
      </w:r>
    </w:p>
    <w:p w14:paraId="63DE0625" w14:textId="7777777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The survey finds that aggregation greatly boosts participation intent (p = .004), especially with the full policy package (p = .002), and highlights a knowledge gap among practitioners. The study proposes a Three-Pathways Investment Framework: self-investment, government-backed financing, and group transitions with ten or more buildings. These strategies help facility managers lead owners into the carbon market, increasing returns and preparing for future regulations.</w:t>
      </w:r>
    </w:p>
    <w:p w14:paraId="579EB06D" w14:textId="77777777" w:rsidR="004A7CFE" w:rsidRPr="00AC78B8" w:rsidRDefault="004A7CFE" w:rsidP="00C215A2">
      <w:pPr>
        <w:spacing w:after="0" w:line="360" w:lineRule="auto"/>
        <w:jc w:val="both"/>
        <w:rPr>
          <w:rFonts w:asciiTheme="majorBidi" w:eastAsia="Times New Roman" w:hAnsiTheme="majorBidi" w:cstheme="majorBidi"/>
          <w:sz w:val="16"/>
          <w:szCs w:val="16"/>
        </w:rPr>
      </w:pPr>
    </w:p>
    <w:p w14:paraId="7DE33084" w14:textId="7777777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b/>
          <w:bCs/>
          <w:sz w:val="24"/>
          <w:szCs w:val="24"/>
        </w:rPr>
        <w:t>Keywords:</w:t>
      </w:r>
      <w:r w:rsidRPr="00AC78B8">
        <w:rPr>
          <w:rFonts w:asciiTheme="majorBidi" w:eastAsia="Times New Roman" w:hAnsiTheme="majorBidi" w:cstheme="majorBidi"/>
          <w:sz w:val="24"/>
          <w:szCs w:val="24"/>
        </w:rPr>
        <w:t xml:space="preserve"> Saudi Vision 2030, Saudi Green Initiative, Voluntary Carbon Market, RVCMC, Facility Management, Energy Retrofit, MRV Transaction Costs, Program of Activities, CBAM, Energy Performance Contracts, Split Incentive, Carbon Aggregation, Green Finance, Asset Life Cycle, Case Study Validation.</w:t>
      </w:r>
    </w:p>
    <w:p w14:paraId="0FC93FE0" w14:textId="77777777" w:rsidR="004A7CFE" w:rsidRDefault="004A7CFE" w:rsidP="00C215A2">
      <w:pPr>
        <w:spacing w:after="0" w:line="360" w:lineRule="auto"/>
        <w:jc w:val="both"/>
        <w:rPr>
          <w:rFonts w:asciiTheme="majorBidi" w:eastAsia="Times New Roman" w:hAnsiTheme="majorBidi" w:cstheme="majorBidi"/>
          <w:sz w:val="24"/>
          <w:szCs w:val="24"/>
        </w:rPr>
      </w:pPr>
    </w:p>
    <w:p w14:paraId="7773B52D" w14:textId="77777777" w:rsidR="00C215A2" w:rsidRDefault="00C215A2" w:rsidP="00C215A2">
      <w:pPr>
        <w:spacing w:after="0" w:line="360" w:lineRule="auto"/>
        <w:jc w:val="both"/>
        <w:rPr>
          <w:rFonts w:asciiTheme="majorBidi" w:eastAsia="Times New Roman" w:hAnsiTheme="majorBidi" w:cstheme="majorBidi"/>
          <w:sz w:val="24"/>
          <w:szCs w:val="24"/>
        </w:rPr>
      </w:pPr>
    </w:p>
    <w:p w14:paraId="1C78484A" w14:textId="77777777" w:rsidR="00C215A2" w:rsidRDefault="00C215A2" w:rsidP="00C215A2">
      <w:pPr>
        <w:spacing w:after="0" w:line="360" w:lineRule="auto"/>
        <w:jc w:val="both"/>
        <w:rPr>
          <w:rFonts w:asciiTheme="majorBidi" w:eastAsia="Times New Roman" w:hAnsiTheme="majorBidi" w:cstheme="majorBidi"/>
          <w:sz w:val="24"/>
          <w:szCs w:val="24"/>
        </w:rPr>
      </w:pPr>
    </w:p>
    <w:p w14:paraId="5C13F0EB" w14:textId="77777777" w:rsidR="00C215A2" w:rsidRDefault="00C215A2" w:rsidP="00C215A2">
      <w:pPr>
        <w:spacing w:after="0" w:line="360" w:lineRule="auto"/>
        <w:jc w:val="both"/>
        <w:rPr>
          <w:rFonts w:asciiTheme="majorBidi" w:eastAsia="Times New Roman" w:hAnsiTheme="majorBidi" w:cstheme="majorBidi"/>
          <w:sz w:val="24"/>
          <w:szCs w:val="24"/>
        </w:rPr>
      </w:pPr>
    </w:p>
    <w:p w14:paraId="333BB708" w14:textId="77777777" w:rsidR="00C215A2" w:rsidRDefault="00C215A2" w:rsidP="00C215A2">
      <w:pPr>
        <w:spacing w:after="0" w:line="360" w:lineRule="auto"/>
        <w:jc w:val="both"/>
        <w:rPr>
          <w:rFonts w:asciiTheme="majorBidi" w:eastAsia="Times New Roman" w:hAnsiTheme="majorBidi" w:cstheme="majorBidi"/>
          <w:sz w:val="24"/>
          <w:szCs w:val="24"/>
        </w:rPr>
      </w:pPr>
    </w:p>
    <w:p w14:paraId="5A15A994" w14:textId="77777777" w:rsidR="00C215A2" w:rsidRDefault="00C215A2" w:rsidP="00C215A2">
      <w:pPr>
        <w:spacing w:after="0" w:line="360" w:lineRule="auto"/>
        <w:jc w:val="both"/>
        <w:rPr>
          <w:rFonts w:asciiTheme="majorBidi" w:eastAsia="Times New Roman" w:hAnsiTheme="majorBidi" w:cstheme="majorBidi"/>
          <w:sz w:val="24"/>
          <w:szCs w:val="24"/>
        </w:rPr>
      </w:pPr>
    </w:p>
    <w:p w14:paraId="5C31F6AA" w14:textId="77777777" w:rsidR="00C215A2" w:rsidRPr="00AC78B8" w:rsidRDefault="00C215A2" w:rsidP="00C215A2">
      <w:pPr>
        <w:spacing w:after="0" w:line="360" w:lineRule="auto"/>
        <w:jc w:val="both"/>
        <w:rPr>
          <w:rFonts w:asciiTheme="majorBidi" w:eastAsia="Times New Roman" w:hAnsiTheme="majorBidi" w:cstheme="majorBidi"/>
          <w:sz w:val="24"/>
          <w:szCs w:val="24"/>
        </w:rPr>
      </w:pPr>
    </w:p>
    <w:p w14:paraId="7E48D2F4" w14:textId="77777777" w:rsidR="00C215A2" w:rsidRDefault="00C215A2" w:rsidP="00C215A2">
      <w:pPr>
        <w:spacing w:after="0" w:line="360" w:lineRule="auto"/>
        <w:jc w:val="center"/>
        <w:rPr>
          <w:rFonts w:asciiTheme="majorBidi" w:eastAsia="Times New Roman" w:hAnsiTheme="majorBidi" w:cstheme="majorBidi"/>
          <w:b/>
          <w:bCs/>
          <w:color w:val="000000"/>
          <w:sz w:val="30"/>
          <w:szCs w:val="30"/>
          <w:u w:val="single"/>
        </w:rPr>
      </w:pPr>
    </w:p>
    <w:p w14:paraId="36A43B09" w14:textId="0C178B54" w:rsidR="004A7CFE" w:rsidRPr="00AC78B8" w:rsidRDefault="00000000" w:rsidP="00C215A2">
      <w:pPr>
        <w:spacing w:after="0" w:line="360" w:lineRule="auto"/>
        <w:jc w:val="center"/>
        <w:rPr>
          <w:rFonts w:asciiTheme="majorBidi" w:eastAsia="Times New Roman" w:hAnsiTheme="majorBidi" w:cstheme="majorBidi"/>
          <w:b/>
          <w:bCs/>
          <w:color w:val="000000"/>
          <w:sz w:val="30"/>
          <w:szCs w:val="30"/>
          <w:u w:val="single"/>
        </w:rPr>
      </w:pPr>
      <w:r w:rsidRPr="00AC78B8">
        <w:rPr>
          <w:rFonts w:asciiTheme="majorBidi" w:eastAsia="Times New Roman" w:hAnsiTheme="majorBidi" w:cstheme="majorBidi"/>
          <w:b/>
          <w:bCs/>
          <w:color w:val="000000"/>
          <w:sz w:val="30"/>
          <w:szCs w:val="30"/>
          <w:u w:val="single"/>
        </w:rPr>
        <w:t>Acknowledgments</w:t>
      </w:r>
    </w:p>
    <w:p w14:paraId="557986C2" w14:textId="77777777" w:rsidR="004A7CFE" w:rsidRPr="00AC78B8" w:rsidRDefault="004A7CFE" w:rsidP="00C215A2">
      <w:pPr>
        <w:spacing w:after="0" w:line="360" w:lineRule="auto"/>
        <w:jc w:val="both"/>
        <w:rPr>
          <w:rFonts w:asciiTheme="majorBidi" w:eastAsia="Times New Roman" w:hAnsiTheme="majorBidi" w:cstheme="majorBidi"/>
          <w:sz w:val="24"/>
          <w:szCs w:val="24"/>
        </w:rPr>
      </w:pPr>
    </w:p>
    <w:p w14:paraId="3233AD0C" w14:textId="77777777" w:rsidR="004A7CFE" w:rsidRPr="00AC78B8" w:rsidRDefault="00000000" w:rsidP="00C215A2">
      <w:pPr>
        <w:spacing w:before="160"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I am deeply grateful to God, whose grace and generosity made this journey possible.</w:t>
      </w:r>
    </w:p>
    <w:p w14:paraId="038286C5" w14:textId="77777777" w:rsidR="004A7CFE" w:rsidRPr="00AC78B8" w:rsidRDefault="00000000" w:rsidP="00C215A2">
      <w:pPr>
        <w:spacing w:before="160"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My heartfelt thanks go to </w:t>
      </w:r>
      <w:r w:rsidRPr="00AC78B8">
        <w:rPr>
          <w:rFonts w:asciiTheme="majorBidi" w:eastAsia="Times New Roman" w:hAnsiTheme="majorBidi" w:cstheme="majorBidi"/>
          <w:b/>
          <w:bCs/>
          <w:sz w:val="24"/>
          <w:szCs w:val="24"/>
        </w:rPr>
        <w:t>my beloved wife</w:t>
      </w:r>
      <w:r w:rsidRPr="00AC78B8">
        <w:rPr>
          <w:rFonts w:asciiTheme="majorBidi" w:eastAsia="Times New Roman" w:hAnsiTheme="majorBidi" w:cstheme="majorBidi"/>
          <w:sz w:val="24"/>
          <w:szCs w:val="24"/>
        </w:rPr>
        <w:t>. Words cannot capture the depth of my gratitude for her patience, sacrifices, and steadfast support throughout every stage of this journey. This accomplishment belongs to her as much as it does to me. I am also deeply thankful to my family and friends, whose encouragement and belief in me made all the difference.</w:t>
      </w:r>
    </w:p>
    <w:p w14:paraId="4178EC23" w14:textId="77777777" w:rsidR="004A7CFE" w:rsidRPr="00AC78B8" w:rsidRDefault="004A7CFE" w:rsidP="00C215A2">
      <w:pPr>
        <w:spacing w:before="160" w:after="0" w:line="360" w:lineRule="auto"/>
        <w:jc w:val="both"/>
        <w:rPr>
          <w:rFonts w:asciiTheme="majorBidi" w:eastAsia="Times New Roman" w:hAnsiTheme="majorBidi" w:cstheme="majorBidi"/>
          <w:sz w:val="24"/>
          <w:szCs w:val="24"/>
        </w:rPr>
      </w:pPr>
    </w:p>
    <w:p w14:paraId="5707D9DF" w14:textId="77777777" w:rsidR="004A7CFE" w:rsidRPr="00AC78B8" w:rsidRDefault="00000000" w:rsidP="00C215A2">
      <w:pPr>
        <w:spacing w:before="160"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I am sincerely thankful to </w:t>
      </w:r>
      <w:r w:rsidRPr="00AC78B8">
        <w:rPr>
          <w:rFonts w:asciiTheme="majorBidi" w:eastAsia="Times New Roman" w:hAnsiTheme="majorBidi" w:cstheme="majorBidi"/>
          <w:b/>
          <w:bCs/>
          <w:sz w:val="24"/>
          <w:szCs w:val="24"/>
        </w:rPr>
        <w:t>Midocean University</w:t>
      </w:r>
      <w:r w:rsidRPr="00AC78B8">
        <w:rPr>
          <w:rFonts w:asciiTheme="majorBidi" w:eastAsia="Times New Roman" w:hAnsiTheme="majorBidi" w:cstheme="majorBidi"/>
          <w:sz w:val="24"/>
          <w:szCs w:val="24"/>
        </w:rPr>
        <w:t xml:space="preserve"> for providing the academic environment and resources that made this research possible. My deepest appreciation goes to my supervisor, </w:t>
      </w:r>
      <w:r w:rsidRPr="00AC78B8">
        <w:rPr>
          <w:rFonts w:asciiTheme="majorBidi" w:eastAsia="Times New Roman" w:hAnsiTheme="majorBidi" w:cstheme="majorBidi"/>
          <w:b/>
          <w:bCs/>
          <w:sz w:val="24"/>
          <w:szCs w:val="24"/>
        </w:rPr>
        <w:t>Dr. Fayez Jrad,</w:t>
      </w:r>
      <w:r w:rsidRPr="00AC78B8">
        <w:rPr>
          <w:rFonts w:asciiTheme="majorBidi" w:eastAsia="Times New Roman" w:hAnsiTheme="majorBidi" w:cstheme="majorBidi"/>
          <w:sz w:val="24"/>
          <w:szCs w:val="24"/>
        </w:rPr>
        <w:t xml:space="preserve"> whose guidance and expertise were instrumental in shaping the direction and quality of this work.</w:t>
      </w:r>
    </w:p>
    <w:p w14:paraId="633E3413" w14:textId="77777777" w:rsidR="004A7CFE" w:rsidRPr="00AC78B8" w:rsidRDefault="004A7CFE" w:rsidP="00C215A2">
      <w:pPr>
        <w:spacing w:before="160" w:after="0" w:line="360" w:lineRule="auto"/>
        <w:jc w:val="both"/>
        <w:rPr>
          <w:rFonts w:asciiTheme="majorBidi" w:eastAsia="Times New Roman" w:hAnsiTheme="majorBidi" w:cstheme="majorBidi"/>
          <w:sz w:val="24"/>
          <w:szCs w:val="24"/>
        </w:rPr>
      </w:pPr>
    </w:p>
    <w:p w14:paraId="6460A49A" w14:textId="77777777" w:rsidR="004A7CFE" w:rsidRPr="00AC78B8" w:rsidRDefault="00000000" w:rsidP="00C215A2">
      <w:pPr>
        <w:spacing w:before="160"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I would also like to thank </w:t>
      </w:r>
      <w:r w:rsidRPr="00AC78B8">
        <w:rPr>
          <w:rFonts w:asciiTheme="majorBidi" w:eastAsia="Times New Roman" w:hAnsiTheme="majorBidi" w:cstheme="majorBidi"/>
          <w:b/>
          <w:bCs/>
          <w:sz w:val="24"/>
          <w:szCs w:val="24"/>
        </w:rPr>
        <w:t>the expert reviewers</w:t>
      </w:r>
      <w:r w:rsidRPr="00AC78B8">
        <w:rPr>
          <w:rFonts w:asciiTheme="majorBidi" w:eastAsia="Times New Roman" w:hAnsiTheme="majorBidi" w:cstheme="majorBidi"/>
          <w:sz w:val="24"/>
          <w:szCs w:val="24"/>
        </w:rPr>
        <w:t xml:space="preserve"> and </w:t>
      </w:r>
      <w:r w:rsidRPr="00AC78B8">
        <w:rPr>
          <w:rFonts w:asciiTheme="majorBidi" w:eastAsia="Times New Roman" w:hAnsiTheme="majorBidi" w:cstheme="majorBidi"/>
          <w:b/>
          <w:bCs/>
          <w:sz w:val="24"/>
          <w:szCs w:val="24"/>
        </w:rPr>
        <w:t>survey participants</w:t>
      </w:r>
      <w:r w:rsidRPr="00AC78B8">
        <w:rPr>
          <w:rFonts w:asciiTheme="majorBidi" w:eastAsia="Times New Roman" w:hAnsiTheme="majorBidi" w:cstheme="majorBidi"/>
          <w:sz w:val="24"/>
          <w:szCs w:val="24"/>
        </w:rPr>
        <w:t xml:space="preserve"> from Saudi Arabia’s facility management sector. Their professional insights greatly enriched this research. I am equally grateful to the authors whose work provided a foundation for my own.</w:t>
      </w:r>
    </w:p>
    <w:p w14:paraId="6A9790C5" w14:textId="77777777" w:rsidR="004A7CFE" w:rsidRPr="00AC78B8" w:rsidRDefault="00000000" w:rsidP="00C215A2">
      <w:pPr>
        <w:spacing w:before="160"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 </w:t>
      </w:r>
    </w:p>
    <w:p w14:paraId="5399B3D3" w14:textId="77777777" w:rsidR="004A7CFE" w:rsidRPr="00AC78B8" w:rsidRDefault="00000000" w:rsidP="00C215A2">
      <w:pPr>
        <w:spacing w:before="160" w:after="0" w:line="360" w:lineRule="auto"/>
        <w:jc w:val="both"/>
        <w:rPr>
          <w:rFonts w:asciiTheme="majorBidi" w:eastAsia="Times New Roman" w:hAnsiTheme="majorBidi" w:cstheme="majorBidi"/>
          <w:b/>
          <w:bCs/>
          <w:sz w:val="24"/>
          <w:szCs w:val="24"/>
        </w:rPr>
      </w:pPr>
      <w:r w:rsidRPr="00AC78B8">
        <w:rPr>
          <w:rFonts w:asciiTheme="majorBidi" w:eastAsia="Times New Roman" w:hAnsiTheme="majorBidi" w:cstheme="majorBidi"/>
          <w:sz w:val="24"/>
          <w:szCs w:val="24"/>
        </w:rPr>
        <w:t>Finally, to everyone who supported me, whether directly or behind the scenes, this achievement reflects your collective effort. I am truly grateful to each one of you.</w:t>
      </w:r>
    </w:p>
    <w:p w14:paraId="4A9492D3" w14:textId="77777777" w:rsidR="004A7CFE" w:rsidRPr="00AC78B8" w:rsidRDefault="004A7CFE" w:rsidP="00C215A2">
      <w:pPr>
        <w:spacing w:before="160" w:after="0" w:line="360" w:lineRule="auto"/>
        <w:jc w:val="both"/>
        <w:rPr>
          <w:rFonts w:asciiTheme="majorBidi" w:eastAsia="Times New Roman" w:hAnsiTheme="majorBidi" w:cstheme="majorBidi"/>
          <w:b/>
          <w:bCs/>
          <w:sz w:val="24"/>
          <w:szCs w:val="24"/>
        </w:rPr>
      </w:pPr>
    </w:p>
    <w:p w14:paraId="40D17514" w14:textId="77777777" w:rsidR="004A7CFE" w:rsidRPr="00AC78B8" w:rsidRDefault="004A7CFE" w:rsidP="00C215A2">
      <w:pPr>
        <w:spacing w:before="160" w:after="0" w:line="360" w:lineRule="auto"/>
        <w:jc w:val="both"/>
        <w:rPr>
          <w:rFonts w:asciiTheme="majorBidi" w:eastAsia="Times New Roman" w:hAnsiTheme="majorBidi" w:cstheme="majorBidi"/>
          <w:b/>
          <w:bCs/>
          <w:sz w:val="24"/>
          <w:szCs w:val="24"/>
        </w:rPr>
      </w:pPr>
    </w:p>
    <w:p w14:paraId="3E856498" w14:textId="77777777" w:rsidR="004A7CFE" w:rsidRPr="00AC78B8" w:rsidRDefault="004A7CFE" w:rsidP="00C215A2">
      <w:pPr>
        <w:spacing w:before="160" w:after="0" w:line="360" w:lineRule="auto"/>
        <w:jc w:val="both"/>
        <w:rPr>
          <w:rFonts w:asciiTheme="majorBidi" w:eastAsia="Times New Roman" w:hAnsiTheme="majorBidi" w:cstheme="majorBidi"/>
          <w:b/>
          <w:bCs/>
          <w:sz w:val="24"/>
          <w:szCs w:val="24"/>
        </w:rPr>
      </w:pPr>
    </w:p>
    <w:p w14:paraId="1E70FD61" w14:textId="77777777" w:rsidR="004A7CFE" w:rsidRPr="00AC78B8" w:rsidRDefault="004A7CFE" w:rsidP="00C215A2">
      <w:pPr>
        <w:spacing w:before="160" w:after="0" w:line="360" w:lineRule="auto"/>
        <w:jc w:val="both"/>
        <w:rPr>
          <w:rFonts w:asciiTheme="majorBidi" w:eastAsia="Times New Roman" w:hAnsiTheme="majorBidi" w:cstheme="majorBidi"/>
          <w:b/>
          <w:bCs/>
          <w:sz w:val="24"/>
          <w:szCs w:val="24"/>
        </w:rPr>
      </w:pPr>
    </w:p>
    <w:p w14:paraId="6FB523C3" w14:textId="77777777" w:rsidR="004A7CFE" w:rsidRPr="00AC78B8" w:rsidRDefault="00000000" w:rsidP="00C215A2">
      <w:pPr>
        <w:spacing w:before="160" w:after="0" w:line="360" w:lineRule="auto"/>
        <w:jc w:val="right"/>
        <w:rPr>
          <w:rFonts w:asciiTheme="majorBidi" w:hAnsiTheme="majorBidi" w:cstheme="majorBidi"/>
        </w:rPr>
      </w:pPr>
      <w:r w:rsidRPr="00AC78B8">
        <w:rPr>
          <w:rFonts w:asciiTheme="majorBidi" w:eastAsia="Times New Roman" w:hAnsiTheme="majorBidi" w:cstheme="majorBidi"/>
          <w:b/>
          <w:bCs/>
          <w:sz w:val="24"/>
          <w:szCs w:val="24"/>
        </w:rPr>
        <w:t>The Researcher</w:t>
      </w:r>
    </w:p>
    <w:p w14:paraId="1329F285"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hAnsiTheme="majorBidi" w:cstheme="majorBidi"/>
        </w:rPr>
        <w:br w:type="page"/>
      </w:r>
    </w:p>
    <w:p w14:paraId="4B498366" w14:textId="77777777" w:rsidR="004A7CFE" w:rsidRPr="00AC78B8" w:rsidRDefault="00000000" w:rsidP="00C215A2">
      <w:pPr>
        <w:spacing w:after="0" w:line="276" w:lineRule="auto"/>
        <w:jc w:val="center"/>
        <w:rPr>
          <w:rFonts w:asciiTheme="majorBidi" w:eastAsia="Times New Roman" w:hAnsiTheme="majorBidi" w:cstheme="majorBidi"/>
          <w:b/>
          <w:bCs/>
          <w:color w:val="000000"/>
          <w:sz w:val="30"/>
          <w:szCs w:val="30"/>
          <w:u w:val="single"/>
        </w:rPr>
      </w:pPr>
      <w:r w:rsidRPr="00AC78B8">
        <w:rPr>
          <w:rFonts w:asciiTheme="majorBidi" w:eastAsia="Times New Roman" w:hAnsiTheme="majorBidi" w:cstheme="majorBidi"/>
          <w:b/>
          <w:bCs/>
          <w:color w:val="000000"/>
          <w:sz w:val="30"/>
          <w:szCs w:val="30"/>
          <w:u w:val="single"/>
        </w:rPr>
        <w:lastRenderedPageBreak/>
        <w:t>Table of Contents</w:t>
      </w:r>
    </w:p>
    <w:sdt>
      <w:sdtPr>
        <w:rPr>
          <w:rFonts w:asciiTheme="majorBidi" w:eastAsiaTheme="minorHAnsi" w:hAnsiTheme="majorBidi" w:cstheme="minorBidi"/>
          <w:b/>
          <w:bCs/>
          <w:color w:val="auto"/>
          <w:kern w:val="2"/>
          <w:sz w:val="28"/>
          <w:szCs w:val="28"/>
          <w14:ligatures w14:val="standardContextual"/>
        </w:rPr>
        <w:id w:val="-1557156717"/>
        <w:docPartObj>
          <w:docPartGallery w:val="Table of Contents"/>
          <w:docPartUnique/>
        </w:docPartObj>
      </w:sdtPr>
      <w:sdtEndPr>
        <w:rPr>
          <w:noProof/>
        </w:rPr>
      </w:sdtEndPr>
      <w:sdtContent>
        <w:p w14:paraId="5E42CAE7" w14:textId="77777777" w:rsidR="004A7CFE" w:rsidRPr="00AC78B8" w:rsidRDefault="004A7CFE" w:rsidP="00C215A2">
          <w:pPr>
            <w:pStyle w:val="TOCHeading"/>
            <w:spacing w:line="276" w:lineRule="auto"/>
            <w:jc w:val="both"/>
            <w:rPr>
              <w:rFonts w:asciiTheme="majorBidi" w:hAnsiTheme="majorBidi"/>
              <w:b/>
              <w:bCs/>
              <w:color w:val="auto"/>
              <w:sz w:val="28"/>
              <w:szCs w:val="28"/>
            </w:rPr>
          </w:pPr>
        </w:p>
        <w:p w14:paraId="436EDA82" w14:textId="676E9944" w:rsidR="004A7CFE" w:rsidRPr="00AC78B8" w:rsidRDefault="00000000" w:rsidP="00C215A2">
          <w:pPr>
            <w:pStyle w:val="TOC1"/>
            <w:spacing w:after="0" w:line="276" w:lineRule="auto"/>
            <w:jc w:val="both"/>
            <w:rPr>
              <w:rStyle w:val="Hyperlink"/>
              <w:color w:val="auto"/>
              <w:sz w:val="28"/>
              <w:szCs w:val="28"/>
            </w:rPr>
          </w:pPr>
          <w:r w:rsidRPr="00AC78B8">
            <w:rPr>
              <w:noProof w:val="0"/>
              <w:sz w:val="28"/>
              <w:szCs w:val="28"/>
            </w:rPr>
            <w:fldChar w:fldCharType="begin"/>
          </w:r>
          <w:r w:rsidRPr="00AC78B8">
            <w:rPr>
              <w:sz w:val="28"/>
              <w:szCs w:val="28"/>
            </w:rPr>
            <w:instrText xml:space="preserve"> TOC \o "1-3" \h \z \u </w:instrText>
          </w:r>
          <w:r w:rsidRPr="00AC78B8">
            <w:rPr>
              <w:noProof w:val="0"/>
              <w:sz w:val="28"/>
              <w:szCs w:val="28"/>
            </w:rPr>
            <w:fldChar w:fldCharType="separate"/>
          </w:r>
          <w:hyperlink w:anchor="_Toc235367730" w:history="1">
            <w:r w:rsidR="004A7CFE" w:rsidRPr="00AC78B8">
              <w:rPr>
                <w:rStyle w:val="Hyperlink"/>
                <w:color w:val="auto"/>
                <w:sz w:val="28"/>
                <w:szCs w:val="28"/>
              </w:rPr>
              <w:t>1.1 Introduction</w:t>
            </w:r>
            <w:r w:rsidR="004A7CFE" w:rsidRPr="00AC78B8">
              <w:rPr>
                <w:rStyle w:val="Hyperlink"/>
                <w:webHidden/>
                <w:color w:val="auto"/>
                <w:sz w:val="28"/>
                <w:szCs w:val="28"/>
              </w:rPr>
              <w:tab/>
            </w:r>
            <w:r w:rsidR="004A7CFE" w:rsidRPr="00AC78B8">
              <w:rPr>
                <w:rStyle w:val="Hyperlink"/>
                <w:webHidden/>
                <w:color w:val="auto"/>
                <w:sz w:val="28"/>
                <w:szCs w:val="28"/>
              </w:rPr>
              <w:fldChar w:fldCharType="begin"/>
            </w:r>
            <w:r w:rsidR="004A7CFE" w:rsidRPr="00AC78B8">
              <w:rPr>
                <w:rStyle w:val="Hyperlink"/>
                <w:webHidden/>
                <w:color w:val="auto"/>
                <w:sz w:val="28"/>
                <w:szCs w:val="28"/>
              </w:rPr>
              <w:instrText xml:space="preserve"> PAGEREF _Toc235367730 \h </w:instrText>
            </w:r>
            <w:r w:rsidR="004A7CFE" w:rsidRPr="00AC78B8">
              <w:rPr>
                <w:rStyle w:val="Hyperlink"/>
                <w:webHidden/>
                <w:color w:val="auto"/>
                <w:sz w:val="28"/>
                <w:szCs w:val="28"/>
              </w:rPr>
            </w:r>
            <w:r w:rsidR="004A7CFE" w:rsidRPr="00AC78B8">
              <w:rPr>
                <w:rStyle w:val="Hyperlink"/>
                <w:webHidden/>
                <w:color w:val="auto"/>
                <w:sz w:val="28"/>
                <w:szCs w:val="28"/>
              </w:rPr>
              <w:fldChar w:fldCharType="separate"/>
            </w:r>
            <w:r w:rsidR="007F3262">
              <w:rPr>
                <w:rStyle w:val="Hyperlink"/>
                <w:webHidden/>
                <w:color w:val="auto"/>
                <w:sz w:val="28"/>
                <w:szCs w:val="28"/>
              </w:rPr>
              <w:t>11</w:t>
            </w:r>
            <w:r w:rsidR="004A7CFE" w:rsidRPr="00AC78B8">
              <w:rPr>
                <w:rStyle w:val="Hyperlink"/>
                <w:webHidden/>
                <w:color w:val="auto"/>
                <w:sz w:val="28"/>
                <w:szCs w:val="28"/>
              </w:rPr>
              <w:fldChar w:fldCharType="end"/>
            </w:r>
          </w:hyperlink>
        </w:p>
        <w:p w14:paraId="0EC177DC" w14:textId="65176304" w:rsidR="004A7CFE" w:rsidRPr="00AC78B8" w:rsidRDefault="004A7CFE" w:rsidP="00C215A2">
          <w:pPr>
            <w:pStyle w:val="TOC1"/>
            <w:spacing w:after="0" w:line="276" w:lineRule="auto"/>
            <w:jc w:val="both"/>
            <w:rPr>
              <w:rStyle w:val="Hyperlink"/>
              <w:color w:val="auto"/>
              <w:sz w:val="28"/>
              <w:szCs w:val="28"/>
            </w:rPr>
          </w:pPr>
          <w:hyperlink w:anchor="_Toc235367736" w:history="1">
            <w:r w:rsidRPr="00AC78B8">
              <w:rPr>
                <w:rStyle w:val="Hyperlink"/>
                <w:color w:val="auto"/>
                <w:sz w:val="28"/>
                <w:szCs w:val="28"/>
              </w:rPr>
              <w:t>1.2 Research Gap</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_Toc235367736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11</w:t>
            </w:r>
            <w:r w:rsidRPr="00AC78B8">
              <w:rPr>
                <w:rStyle w:val="Hyperlink"/>
                <w:webHidden/>
                <w:color w:val="auto"/>
                <w:sz w:val="28"/>
                <w:szCs w:val="28"/>
              </w:rPr>
              <w:fldChar w:fldCharType="end"/>
            </w:r>
          </w:hyperlink>
        </w:p>
        <w:p w14:paraId="2F1FE31A" w14:textId="70385D21" w:rsidR="004A7CFE" w:rsidRPr="00AC78B8" w:rsidRDefault="004A7CFE" w:rsidP="00C215A2">
          <w:pPr>
            <w:pStyle w:val="TOC1"/>
            <w:spacing w:after="0" w:line="276" w:lineRule="auto"/>
            <w:jc w:val="both"/>
            <w:rPr>
              <w:rStyle w:val="Hyperlink"/>
              <w:color w:val="auto"/>
              <w:sz w:val="28"/>
              <w:szCs w:val="28"/>
            </w:rPr>
          </w:pPr>
          <w:hyperlink w:anchor="_Toc235367737" w:history="1">
            <w:r w:rsidRPr="00AC78B8">
              <w:rPr>
                <w:rStyle w:val="Hyperlink"/>
                <w:color w:val="auto"/>
                <w:sz w:val="28"/>
                <w:szCs w:val="28"/>
              </w:rPr>
              <w:t>1.3 Problem Statement</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_Toc235367737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12</w:t>
            </w:r>
            <w:r w:rsidRPr="00AC78B8">
              <w:rPr>
                <w:rStyle w:val="Hyperlink"/>
                <w:webHidden/>
                <w:color w:val="auto"/>
                <w:sz w:val="28"/>
                <w:szCs w:val="28"/>
              </w:rPr>
              <w:fldChar w:fldCharType="end"/>
            </w:r>
          </w:hyperlink>
        </w:p>
        <w:p w14:paraId="75582E6A" w14:textId="33DCD63D" w:rsidR="004A7CFE" w:rsidRPr="00AC78B8" w:rsidRDefault="004A7CFE" w:rsidP="00C215A2">
          <w:pPr>
            <w:pStyle w:val="TOC1"/>
            <w:spacing w:after="0" w:line="276" w:lineRule="auto"/>
            <w:jc w:val="both"/>
            <w:rPr>
              <w:rStyle w:val="Hyperlink"/>
              <w:color w:val="auto"/>
              <w:sz w:val="28"/>
              <w:szCs w:val="28"/>
            </w:rPr>
          </w:pPr>
          <w:hyperlink w:anchor="_Toc235367738" w:history="1">
            <w:r w:rsidRPr="00AC78B8">
              <w:rPr>
                <w:rStyle w:val="Hyperlink"/>
                <w:color w:val="auto"/>
                <w:sz w:val="28"/>
                <w:szCs w:val="28"/>
              </w:rPr>
              <w:t>1.4 Importance of the Study</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_Toc235367738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14</w:t>
            </w:r>
            <w:r w:rsidRPr="00AC78B8">
              <w:rPr>
                <w:rStyle w:val="Hyperlink"/>
                <w:webHidden/>
                <w:color w:val="auto"/>
                <w:sz w:val="28"/>
                <w:szCs w:val="28"/>
              </w:rPr>
              <w:fldChar w:fldCharType="end"/>
            </w:r>
          </w:hyperlink>
        </w:p>
        <w:p w14:paraId="52F98DC5" w14:textId="21D840E8" w:rsidR="004A7CFE" w:rsidRPr="00AC78B8" w:rsidRDefault="004A7CFE" w:rsidP="00C215A2">
          <w:pPr>
            <w:pStyle w:val="TOC1"/>
            <w:spacing w:after="0" w:line="276" w:lineRule="auto"/>
            <w:jc w:val="both"/>
            <w:rPr>
              <w:rStyle w:val="Hyperlink"/>
              <w:color w:val="auto"/>
              <w:sz w:val="28"/>
              <w:szCs w:val="28"/>
            </w:rPr>
          </w:pPr>
          <w:hyperlink w:anchor="_Toc235367741" w:history="1">
            <w:r w:rsidRPr="00AC78B8">
              <w:rPr>
                <w:rStyle w:val="Hyperlink"/>
                <w:color w:val="auto"/>
                <w:sz w:val="28"/>
                <w:szCs w:val="28"/>
              </w:rPr>
              <w:t>1.5 Research Objectives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_Toc235367741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14</w:t>
            </w:r>
            <w:r w:rsidRPr="00AC78B8">
              <w:rPr>
                <w:rStyle w:val="Hyperlink"/>
                <w:webHidden/>
                <w:color w:val="auto"/>
                <w:sz w:val="28"/>
                <w:szCs w:val="28"/>
              </w:rPr>
              <w:fldChar w:fldCharType="end"/>
            </w:r>
          </w:hyperlink>
        </w:p>
        <w:p w14:paraId="4AC0A2BF" w14:textId="04FC1289" w:rsidR="004A7CFE" w:rsidRPr="00AC78B8" w:rsidRDefault="004A7CFE" w:rsidP="00C215A2">
          <w:pPr>
            <w:pStyle w:val="TOC1"/>
            <w:spacing w:after="0" w:line="276" w:lineRule="auto"/>
            <w:jc w:val="both"/>
            <w:rPr>
              <w:rStyle w:val="Hyperlink"/>
              <w:color w:val="auto"/>
              <w:sz w:val="28"/>
              <w:szCs w:val="28"/>
            </w:rPr>
          </w:pPr>
          <w:hyperlink w:anchor="_Toc235367744" w:history="1">
            <w:r w:rsidRPr="00AC78B8">
              <w:rPr>
                <w:rStyle w:val="Hyperlink"/>
                <w:color w:val="auto"/>
                <w:sz w:val="28"/>
                <w:szCs w:val="28"/>
              </w:rPr>
              <w:t>1.6 Research Questions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_Toc235367744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16</w:t>
            </w:r>
            <w:r w:rsidRPr="00AC78B8">
              <w:rPr>
                <w:rStyle w:val="Hyperlink"/>
                <w:webHidden/>
                <w:color w:val="auto"/>
                <w:sz w:val="28"/>
                <w:szCs w:val="28"/>
              </w:rPr>
              <w:fldChar w:fldCharType="end"/>
            </w:r>
          </w:hyperlink>
        </w:p>
        <w:p w14:paraId="5B304D9B" w14:textId="55B486B7" w:rsidR="004A7CFE" w:rsidRPr="00AC78B8" w:rsidRDefault="004A7CFE" w:rsidP="00C215A2">
          <w:pPr>
            <w:pStyle w:val="TOC1"/>
            <w:spacing w:after="0" w:line="276" w:lineRule="auto"/>
            <w:jc w:val="both"/>
            <w:rPr>
              <w:rStyle w:val="Hyperlink"/>
              <w:color w:val="auto"/>
              <w:sz w:val="28"/>
              <w:szCs w:val="28"/>
            </w:rPr>
          </w:pPr>
          <w:hyperlink w:anchor="_Toc235367745" w:history="1">
            <w:r w:rsidRPr="00AC78B8">
              <w:rPr>
                <w:rStyle w:val="Hyperlink"/>
                <w:color w:val="auto"/>
                <w:sz w:val="28"/>
                <w:szCs w:val="28"/>
              </w:rPr>
              <w:t>1.7 Research Hypotheses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_Toc235367745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16</w:t>
            </w:r>
            <w:r w:rsidRPr="00AC78B8">
              <w:rPr>
                <w:rStyle w:val="Hyperlink"/>
                <w:webHidden/>
                <w:color w:val="auto"/>
                <w:sz w:val="28"/>
                <w:szCs w:val="28"/>
              </w:rPr>
              <w:fldChar w:fldCharType="end"/>
            </w:r>
          </w:hyperlink>
        </w:p>
        <w:p w14:paraId="671E1371" w14:textId="002E2F6E" w:rsidR="004A7CFE" w:rsidRPr="00AC78B8" w:rsidRDefault="004A7CFE" w:rsidP="00C215A2">
          <w:pPr>
            <w:pStyle w:val="TOC1"/>
            <w:spacing w:after="0" w:line="276" w:lineRule="auto"/>
            <w:jc w:val="both"/>
            <w:rPr>
              <w:rStyle w:val="Hyperlink"/>
              <w:color w:val="auto"/>
              <w:sz w:val="28"/>
              <w:szCs w:val="28"/>
            </w:rPr>
          </w:pPr>
          <w:hyperlink w:anchor="_Toc235367746" w:history="1">
            <w:r w:rsidRPr="00AC78B8">
              <w:rPr>
                <w:rStyle w:val="Hyperlink"/>
                <w:color w:val="auto"/>
                <w:sz w:val="28"/>
                <w:szCs w:val="28"/>
              </w:rPr>
              <w:t>1.8 Conceptual Model</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_Toc235367746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19</w:t>
            </w:r>
            <w:r w:rsidRPr="00AC78B8">
              <w:rPr>
                <w:rStyle w:val="Hyperlink"/>
                <w:webHidden/>
                <w:color w:val="auto"/>
                <w:sz w:val="28"/>
                <w:szCs w:val="28"/>
              </w:rPr>
              <w:fldChar w:fldCharType="end"/>
            </w:r>
          </w:hyperlink>
        </w:p>
        <w:p w14:paraId="07DCB19E" w14:textId="15BEEA59" w:rsidR="004A7CFE" w:rsidRPr="00AC78B8" w:rsidRDefault="004A7CFE" w:rsidP="00C215A2">
          <w:pPr>
            <w:pStyle w:val="TOC1"/>
            <w:spacing w:after="0" w:line="276" w:lineRule="auto"/>
            <w:jc w:val="both"/>
            <w:rPr>
              <w:rStyle w:val="Hyperlink"/>
              <w:color w:val="auto"/>
              <w:sz w:val="28"/>
              <w:szCs w:val="28"/>
            </w:rPr>
          </w:pPr>
          <w:hyperlink w:anchor="_Toc235367747" w:history="1">
            <w:r w:rsidRPr="00AC78B8">
              <w:rPr>
                <w:rStyle w:val="Hyperlink"/>
                <w:color w:val="auto"/>
                <w:sz w:val="28"/>
                <w:szCs w:val="28"/>
              </w:rPr>
              <w:t>1.9 Research Limitations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_Toc235367747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19</w:t>
            </w:r>
            <w:r w:rsidRPr="00AC78B8">
              <w:rPr>
                <w:rStyle w:val="Hyperlink"/>
                <w:webHidden/>
                <w:color w:val="auto"/>
                <w:sz w:val="28"/>
                <w:szCs w:val="28"/>
              </w:rPr>
              <w:fldChar w:fldCharType="end"/>
            </w:r>
          </w:hyperlink>
        </w:p>
        <w:p w14:paraId="3896AC87" w14:textId="70365082" w:rsidR="004A7CFE" w:rsidRPr="00AC78B8" w:rsidRDefault="004A7CFE" w:rsidP="00C215A2">
          <w:pPr>
            <w:pStyle w:val="TOC1"/>
            <w:spacing w:after="0" w:line="276" w:lineRule="auto"/>
            <w:jc w:val="both"/>
            <w:rPr>
              <w:rStyle w:val="Hyperlink"/>
              <w:color w:val="auto"/>
              <w:sz w:val="28"/>
              <w:szCs w:val="28"/>
            </w:rPr>
          </w:pPr>
          <w:hyperlink w:anchor="_Toc235367748" w:history="1">
            <w:r w:rsidRPr="00AC78B8">
              <w:rPr>
                <w:rStyle w:val="Hyperlink"/>
                <w:color w:val="auto"/>
                <w:sz w:val="28"/>
                <w:szCs w:val="28"/>
              </w:rPr>
              <w:t>1.10 Conclusion of the Chapter</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_Toc235367748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19</w:t>
            </w:r>
            <w:r w:rsidRPr="00AC78B8">
              <w:rPr>
                <w:rStyle w:val="Hyperlink"/>
                <w:webHidden/>
                <w:color w:val="auto"/>
                <w:sz w:val="28"/>
                <w:szCs w:val="28"/>
              </w:rPr>
              <w:fldChar w:fldCharType="end"/>
            </w:r>
          </w:hyperlink>
        </w:p>
        <w:p w14:paraId="07657E61" w14:textId="2CBE22AD" w:rsidR="004A7CFE" w:rsidRPr="00AC78B8" w:rsidRDefault="004A7CFE" w:rsidP="00C215A2">
          <w:pPr>
            <w:pStyle w:val="TOC1"/>
            <w:spacing w:after="0" w:line="276" w:lineRule="auto"/>
            <w:jc w:val="both"/>
            <w:rPr>
              <w:rStyle w:val="Hyperlink"/>
              <w:color w:val="auto"/>
              <w:sz w:val="28"/>
              <w:szCs w:val="28"/>
            </w:rPr>
          </w:pPr>
          <w:hyperlink w:anchor="_Toc235367750" w:history="1">
            <w:r w:rsidRPr="00AC78B8">
              <w:rPr>
                <w:rStyle w:val="Hyperlink"/>
                <w:color w:val="auto"/>
                <w:sz w:val="28"/>
                <w:szCs w:val="28"/>
              </w:rPr>
              <w:t>2.1 Introduction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_Toc235367750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23</w:t>
            </w:r>
            <w:r w:rsidRPr="00AC78B8">
              <w:rPr>
                <w:rStyle w:val="Hyperlink"/>
                <w:webHidden/>
                <w:color w:val="auto"/>
                <w:sz w:val="28"/>
                <w:szCs w:val="28"/>
              </w:rPr>
              <w:fldChar w:fldCharType="end"/>
            </w:r>
          </w:hyperlink>
        </w:p>
        <w:p w14:paraId="5BADFFB7" w14:textId="1665E43C" w:rsidR="004A7CFE" w:rsidRPr="00AC78B8" w:rsidRDefault="004A7CFE" w:rsidP="00C215A2">
          <w:pPr>
            <w:pStyle w:val="TOC1"/>
            <w:spacing w:after="0" w:line="276" w:lineRule="auto"/>
            <w:jc w:val="both"/>
            <w:rPr>
              <w:rStyle w:val="Hyperlink"/>
              <w:color w:val="auto"/>
              <w:sz w:val="28"/>
              <w:szCs w:val="28"/>
            </w:rPr>
          </w:pPr>
          <w:hyperlink w:anchor="_Toc235367756" w:history="1">
            <w:r w:rsidRPr="00AC78B8">
              <w:rPr>
                <w:rStyle w:val="Hyperlink"/>
                <w:color w:val="auto"/>
                <w:sz w:val="28"/>
                <w:szCs w:val="28"/>
              </w:rPr>
              <w:t>2.3 Previous Studies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_Toc235367756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24</w:t>
            </w:r>
            <w:r w:rsidRPr="00AC78B8">
              <w:rPr>
                <w:rStyle w:val="Hyperlink"/>
                <w:webHidden/>
                <w:color w:val="auto"/>
                <w:sz w:val="28"/>
                <w:szCs w:val="28"/>
              </w:rPr>
              <w:fldChar w:fldCharType="end"/>
            </w:r>
          </w:hyperlink>
        </w:p>
        <w:p w14:paraId="3D37FD53" w14:textId="183341D8" w:rsidR="004A7CFE" w:rsidRPr="00AC78B8" w:rsidRDefault="004A7CFE" w:rsidP="00C215A2">
          <w:pPr>
            <w:pStyle w:val="TOC1"/>
            <w:spacing w:after="0" w:line="276" w:lineRule="auto"/>
            <w:jc w:val="both"/>
            <w:rPr>
              <w:rStyle w:val="Hyperlink"/>
              <w:color w:val="auto"/>
              <w:sz w:val="28"/>
              <w:szCs w:val="28"/>
            </w:rPr>
          </w:pPr>
          <w:hyperlink w:anchor="_Toc235367765" w:history="1">
            <w:r w:rsidRPr="00AC78B8">
              <w:rPr>
                <w:rStyle w:val="Hyperlink"/>
                <w:color w:val="auto"/>
                <w:sz w:val="28"/>
                <w:szCs w:val="28"/>
              </w:rPr>
              <w:t>2.4 Benefit of Previous Studies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_Toc235367765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29</w:t>
            </w:r>
            <w:r w:rsidRPr="00AC78B8">
              <w:rPr>
                <w:rStyle w:val="Hyperlink"/>
                <w:webHidden/>
                <w:color w:val="auto"/>
                <w:sz w:val="28"/>
                <w:szCs w:val="28"/>
              </w:rPr>
              <w:fldChar w:fldCharType="end"/>
            </w:r>
          </w:hyperlink>
        </w:p>
        <w:p w14:paraId="27FE3DEF" w14:textId="0076D56B" w:rsidR="004A7CFE" w:rsidRPr="00AC78B8" w:rsidRDefault="004A7CFE" w:rsidP="00C215A2">
          <w:pPr>
            <w:pStyle w:val="TOC1"/>
            <w:spacing w:after="0" w:line="276" w:lineRule="auto"/>
            <w:jc w:val="both"/>
            <w:rPr>
              <w:rStyle w:val="Hyperlink"/>
              <w:color w:val="auto"/>
              <w:sz w:val="28"/>
              <w:szCs w:val="28"/>
            </w:rPr>
          </w:pPr>
          <w:hyperlink w:anchor="_Toc235367766" w:history="1">
            <w:r w:rsidRPr="00AC78B8">
              <w:rPr>
                <w:rStyle w:val="Hyperlink"/>
                <w:color w:val="auto"/>
                <w:sz w:val="28"/>
                <w:szCs w:val="28"/>
              </w:rPr>
              <w:t>2.5 Comparative Analysis and Research Gap</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_Toc235367766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31</w:t>
            </w:r>
            <w:r w:rsidRPr="00AC78B8">
              <w:rPr>
                <w:rStyle w:val="Hyperlink"/>
                <w:webHidden/>
                <w:color w:val="auto"/>
                <w:sz w:val="28"/>
                <w:szCs w:val="28"/>
              </w:rPr>
              <w:fldChar w:fldCharType="end"/>
            </w:r>
          </w:hyperlink>
        </w:p>
        <w:p w14:paraId="5F9AB910" w14:textId="3CE0F26B" w:rsidR="004A7CFE" w:rsidRPr="00AC78B8" w:rsidRDefault="004A7CFE" w:rsidP="00C215A2">
          <w:pPr>
            <w:pStyle w:val="TOC1"/>
            <w:spacing w:after="0" w:line="276" w:lineRule="auto"/>
            <w:jc w:val="both"/>
            <w:rPr>
              <w:rStyle w:val="Hyperlink"/>
              <w:color w:val="auto"/>
              <w:sz w:val="28"/>
              <w:szCs w:val="28"/>
            </w:rPr>
          </w:pPr>
          <w:hyperlink w:anchor="_Toc235367767" w:history="1">
            <w:r w:rsidRPr="00AC78B8">
              <w:rPr>
                <w:rStyle w:val="Hyperlink"/>
                <w:color w:val="auto"/>
                <w:sz w:val="28"/>
                <w:szCs w:val="28"/>
              </w:rPr>
              <w:t>3.1 Introduction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_Toc235367767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33</w:t>
            </w:r>
            <w:r w:rsidRPr="00AC78B8">
              <w:rPr>
                <w:rStyle w:val="Hyperlink"/>
                <w:webHidden/>
                <w:color w:val="auto"/>
                <w:sz w:val="28"/>
                <w:szCs w:val="28"/>
              </w:rPr>
              <w:fldChar w:fldCharType="end"/>
            </w:r>
          </w:hyperlink>
        </w:p>
        <w:p w14:paraId="4DBA8057" w14:textId="27FC3C03" w:rsidR="004A7CFE" w:rsidRPr="00AC78B8" w:rsidRDefault="004A7CFE" w:rsidP="00C215A2">
          <w:pPr>
            <w:pStyle w:val="TOC1"/>
            <w:spacing w:after="0" w:line="276" w:lineRule="auto"/>
            <w:jc w:val="both"/>
            <w:rPr>
              <w:rStyle w:val="Hyperlink"/>
              <w:color w:val="auto"/>
              <w:sz w:val="28"/>
              <w:szCs w:val="28"/>
            </w:rPr>
          </w:pPr>
          <w:hyperlink w:anchor="_Toc235367768" w:history="1">
            <w:r w:rsidRPr="00AC78B8">
              <w:rPr>
                <w:rStyle w:val="Hyperlink"/>
                <w:color w:val="auto"/>
                <w:sz w:val="28"/>
                <w:szCs w:val="28"/>
              </w:rPr>
              <w:t>3.2 Research Design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_Toc235367768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33</w:t>
            </w:r>
            <w:r w:rsidRPr="00AC78B8">
              <w:rPr>
                <w:rStyle w:val="Hyperlink"/>
                <w:webHidden/>
                <w:color w:val="auto"/>
                <w:sz w:val="28"/>
                <w:szCs w:val="28"/>
              </w:rPr>
              <w:fldChar w:fldCharType="end"/>
            </w:r>
          </w:hyperlink>
        </w:p>
        <w:p w14:paraId="06DA682B" w14:textId="462BFC18" w:rsidR="004A7CFE" w:rsidRPr="00AC78B8" w:rsidRDefault="004A7CFE" w:rsidP="00C215A2">
          <w:pPr>
            <w:pStyle w:val="TOC1"/>
            <w:spacing w:after="0" w:line="276" w:lineRule="auto"/>
            <w:jc w:val="both"/>
            <w:rPr>
              <w:rStyle w:val="Hyperlink"/>
              <w:color w:val="auto"/>
              <w:sz w:val="28"/>
              <w:szCs w:val="28"/>
            </w:rPr>
          </w:pPr>
          <w:hyperlink w:anchor="_Toc235367769" w:history="1">
            <w:r w:rsidRPr="00AC78B8">
              <w:rPr>
                <w:rStyle w:val="Hyperlink"/>
                <w:color w:val="auto"/>
                <w:sz w:val="28"/>
                <w:szCs w:val="28"/>
              </w:rPr>
              <w:t>3.3 Data Sources and Key Assumptions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_Toc235367769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34</w:t>
            </w:r>
            <w:r w:rsidRPr="00AC78B8">
              <w:rPr>
                <w:rStyle w:val="Hyperlink"/>
                <w:webHidden/>
                <w:color w:val="auto"/>
                <w:sz w:val="28"/>
                <w:szCs w:val="28"/>
              </w:rPr>
              <w:fldChar w:fldCharType="end"/>
            </w:r>
          </w:hyperlink>
        </w:p>
        <w:p w14:paraId="03DAF5F1" w14:textId="77A7D997" w:rsidR="004A7CFE" w:rsidRPr="00AC78B8" w:rsidRDefault="004A7CFE" w:rsidP="00C215A2">
          <w:pPr>
            <w:pStyle w:val="TOC1"/>
            <w:spacing w:after="0" w:line="276" w:lineRule="auto"/>
            <w:jc w:val="both"/>
            <w:rPr>
              <w:rStyle w:val="Hyperlink"/>
              <w:color w:val="auto"/>
              <w:sz w:val="28"/>
              <w:szCs w:val="28"/>
            </w:rPr>
          </w:pPr>
          <w:hyperlink w:anchor="_Toc235367770" w:history="1">
            <w:r w:rsidRPr="00AC78B8">
              <w:rPr>
                <w:rStyle w:val="Hyperlink"/>
                <w:color w:val="auto"/>
                <w:sz w:val="28"/>
                <w:szCs w:val="28"/>
              </w:rPr>
              <w:t>3.4 Carbon Yield Calculation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_Toc235367770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35</w:t>
            </w:r>
            <w:r w:rsidRPr="00AC78B8">
              <w:rPr>
                <w:rStyle w:val="Hyperlink"/>
                <w:webHidden/>
                <w:color w:val="auto"/>
                <w:sz w:val="28"/>
                <w:szCs w:val="28"/>
              </w:rPr>
              <w:fldChar w:fldCharType="end"/>
            </w:r>
          </w:hyperlink>
        </w:p>
        <w:p w14:paraId="0219DA7F" w14:textId="05E20F67" w:rsidR="004A7CFE" w:rsidRPr="00AC78B8" w:rsidRDefault="004A7CFE" w:rsidP="00C215A2">
          <w:pPr>
            <w:pStyle w:val="TOC1"/>
            <w:spacing w:after="0" w:line="276" w:lineRule="auto"/>
            <w:jc w:val="both"/>
            <w:rPr>
              <w:rStyle w:val="Hyperlink"/>
              <w:color w:val="auto"/>
              <w:sz w:val="28"/>
              <w:szCs w:val="28"/>
            </w:rPr>
          </w:pPr>
          <w:hyperlink w:anchor="_Toc235367771" w:history="1">
            <w:r w:rsidRPr="00AC78B8">
              <w:rPr>
                <w:rStyle w:val="Hyperlink"/>
                <w:color w:val="auto"/>
                <w:sz w:val="28"/>
                <w:szCs w:val="28"/>
              </w:rPr>
              <w:t>3.5 Scenario Definitions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_Toc235367771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35</w:t>
            </w:r>
            <w:r w:rsidRPr="00AC78B8">
              <w:rPr>
                <w:rStyle w:val="Hyperlink"/>
                <w:webHidden/>
                <w:color w:val="auto"/>
                <w:sz w:val="28"/>
                <w:szCs w:val="28"/>
              </w:rPr>
              <w:fldChar w:fldCharType="end"/>
            </w:r>
          </w:hyperlink>
        </w:p>
        <w:p w14:paraId="34DFF99A" w14:textId="58AAA557" w:rsidR="004A7CFE" w:rsidRPr="00AC78B8" w:rsidRDefault="004A7CFE" w:rsidP="00C215A2">
          <w:pPr>
            <w:pStyle w:val="TOC1"/>
            <w:spacing w:after="0" w:line="276" w:lineRule="auto"/>
            <w:jc w:val="both"/>
            <w:rPr>
              <w:rStyle w:val="Hyperlink"/>
              <w:color w:val="auto"/>
              <w:sz w:val="28"/>
              <w:szCs w:val="28"/>
            </w:rPr>
          </w:pPr>
          <w:hyperlink w:anchor="_Toc235367772" w:history="1">
            <w:r w:rsidRPr="00AC78B8">
              <w:rPr>
                <w:rStyle w:val="Hyperlink"/>
                <w:color w:val="auto"/>
                <w:sz w:val="28"/>
                <w:szCs w:val="28"/>
              </w:rPr>
              <w:t>3.6 Sensitivity Analysis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_Toc235367772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37</w:t>
            </w:r>
            <w:r w:rsidRPr="00AC78B8">
              <w:rPr>
                <w:rStyle w:val="Hyperlink"/>
                <w:webHidden/>
                <w:color w:val="auto"/>
                <w:sz w:val="28"/>
                <w:szCs w:val="28"/>
              </w:rPr>
              <w:fldChar w:fldCharType="end"/>
            </w:r>
          </w:hyperlink>
        </w:p>
        <w:p w14:paraId="0F775D05" w14:textId="03AD00EE" w:rsidR="004A7CFE" w:rsidRPr="00AC78B8" w:rsidRDefault="004A7CFE" w:rsidP="00C215A2">
          <w:pPr>
            <w:pStyle w:val="TOC1"/>
            <w:spacing w:after="0" w:line="276" w:lineRule="auto"/>
            <w:jc w:val="both"/>
            <w:rPr>
              <w:rStyle w:val="Hyperlink"/>
              <w:color w:val="auto"/>
              <w:sz w:val="28"/>
              <w:szCs w:val="28"/>
            </w:rPr>
          </w:pPr>
          <w:hyperlink w:anchor="_Toc235367773" w:history="1">
            <w:r w:rsidRPr="00AC78B8">
              <w:rPr>
                <w:rStyle w:val="Hyperlink"/>
                <w:color w:val="auto"/>
                <w:sz w:val="28"/>
                <w:szCs w:val="28"/>
              </w:rPr>
              <w:t>3.7 Model Validation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_Toc235367773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37</w:t>
            </w:r>
            <w:r w:rsidRPr="00AC78B8">
              <w:rPr>
                <w:rStyle w:val="Hyperlink"/>
                <w:webHidden/>
                <w:color w:val="auto"/>
                <w:sz w:val="28"/>
                <w:szCs w:val="28"/>
              </w:rPr>
              <w:fldChar w:fldCharType="end"/>
            </w:r>
          </w:hyperlink>
        </w:p>
        <w:p w14:paraId="71384BA6" w14:textId="453793EE" w:rsidR="004A7CFE" w:rsidRPr="00AC78B8" w:rsidRDefault="004A7CFE" w:rsidP="00C215A2">
          <w:pPr>
            <w:pStyle w:val="TOC1"/>
            <w:spacing w:after="0" w:line="276" w:lineRule="auto"/>
            <w:jc w:val="both"/>
            <w:rPr>
              <w:rStyle w:val="Hyperlink"/>
              <w:color w:val="auto"/>
              <w:sz w:val="28"/>
              <w:szCs w:val="28"/>
            </w:rPr>
          </w:pPr>
          <w:hyperlink w:anchor="_Toc235367774" w:history="1">
            <w:r w:rsidRPr="00AC78B8">
              <w:rPr>
                <w:rStyle w:val="Hyperlink"/>
                <w:color w:val="auto"/>
                <w:sz w:val="28"/>
                <w:szCs w:val="28"/>
              </w:rPr>
              <w:t>3.8 Primary Data Collection — Survey of FM Professionals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_Toc235367774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37</w:t>
            </w:r>
            <w:r w:rsidRPr="00AC78B8">
              <w:rPr>
                <w:rStyle w:val="Hyperlink"/>
                <w:webHidden/>
                <w:color w:val="auto"/>
                <w:sz w:val="28"/>
                <w:szCs w:val="28"/>
              </w:rPr>
              <w:fldChar w:fldCharType="end"/>
            </w:r>
          </w:hyperlink>
        </w:p>
        <w:p w14:paraId="17BB2069" w14:textId="3ACA8E0B" w:rsidR="004A7CFE" w:rsidRPr="00AC78B8" w:rsidRDefault="004A7CFE" w:rsidP="00C215A2">
          <w:pPr>
            <w:pStyle w:val="TOC1"/>
            <w:spacing w:after="0" w:line="276" w:lineRule="auto"/>
            <w:jc w:val="both"/>
            <w:rPr>
              <w:rStyle w:val="Hyperlink"/>
              <w:color w:val="auto"/>
              <w:sz w:val="28"/>
              <w:szCs w:val="28"/>
            </w:rPr>
          </w:pPr>
          <w:hyperlink w:anchor="_Toc235367780" w:history="1">
            <w:r w:rsidRPr="00AC78B8">
              <w:rPr>
                <w:rStyle w:val="Hyperlink"/>
                <w:color w:val="auto"/>
                <w:sz w:val="28"/>
                <w:szCs w:val="28"/>
              </w:rPr>
              <w:t>4.1 Financial Model and Findings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_Toc235367780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42</w:t>
            </w:r>
            <w:r w:rsidRPr="00AC78B8">
              <w:rPr>
                <w:rStyle w:val="Hyperlink"/>
                <w:webHidden/>
                <w:color w:val="auto"/>
                <w:sz w:val="28"/>
                <w:szCs w:val="28"/>
              </w:rPr>
              <w:fldChar w:fldCharType="end"/>
            </w:r>
          </w:hyperlink>
        </w:p>
        <w:p w14:paraId="00D70E6D" w14:textId="3CC00C13" w:rsidR="004A7CFE" w:rsidRPr="00AC78B8" w:rsidRDefault="004A7CFE" w:rsidP="00C215A2">
          <w:pPr>
            <w:pStyle w:val="TOC1"/>
            <w:spacing w:after="0" w:line="276" w:lineRule="auto"/>
            <w:jc w:val="both"/>
            <w:rPr>
              <w:rStyle w:val="Hyperlink"/>
              <w:color w:val="auto"/>
              <w:sz w:val="28"/>
              <w:szCs w:val="28"/>
            </w:rPr>
          </w:pPr>
          <w:hyperlink w:anchor="_Toc235367802" w:history="1">
            <w:r w:rsidRPr="00AC78B8">
              <w:rPr>
                <w:rStyle w:val="Hyperlink"/>
                <w:color w:val="auto"/>
                <w:sz w:val="28"/>
                <w:szCs w:val="28"/>
              </w:rPr>
              <w:t>5.1 Discussion</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_Toc235367802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65</w:t>
            </w:r>
            <w:r w:rsidRPr="00AC78B8">
              <w:rPr>
                <w:rStyle w:val="Hyperlink"/>
                <w:webHidden/>
                <w:color w:val="auto"/>
                <w:sz w:val="28"/>
                <w:szCs w:val="28"/>
              </w:rPr>
              <w:fldChar w:fldCharType="end"/>
            </w:r>
          </w:hyperlink>
        </w:p>
        <w:p w14:paraId="55511A80" w14:textId="35868E55" w:rsidR="004A7CFE" w:rsidRPr="00AC78B8" w:rsidRDefault="004A7CFE" w:rsidP="00C215A2">
          <w:pPr>
            <w:pStyle w:val="TOC1"/>
            <w:spacing w:after="0" w:line="276" w:lineRule="auto"/>
            <w:jc w:val="both"/>
            <w:rPr>
              <w:rStyle w:val="Hyperlink"/>
              <w:color w:val="auto"/>
              <w:sz w:val="28"/>
              <w:szCs w:val="28"/>
            </w:rPr>
          </w:pPr>
          <w:hyperlink w:anchor="_Toc235367809" w:history="1">
            <w:r w:rsidRPr="00AC78B8">
              <w:rPr>
                <w:rStyle w:val="Hyperlink"/>
                <w:color w:val="auto"/>
                <w:sz w:val="28"/>
                <w:szCs w:val="28"/>
              </w:rPr>
              <w:t>5.2 Conclusion and Recommendations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_Toc235367809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68</w:t>
            </w:r>
            <w:r w:rsidRPr="00AC78B8">
              <w:rPr>
                <w:rStyle w:val="Hyperlink"/>
                <w:webHidden/>
                <w:color w:val="auto"/>
                <w:sz w:val="28"/>
                <w:szCs w:val="28"/>
              </w:rPr>
              <w:fldChar w:fldCharType="end"/>
            </w:r>
          </w:hyperlink>
        </w:p>
        <w:p w14:paraId="23729577" w14:textId="0DAC721B" w:rsidR="004A7CFE" w:rsidRPr="00AC78B8" w:rsidRDefault="004A7CFE" w:rsidP="00C215A2">
          <w:pPr>
            <w:pStyle w:val="TOC1"/>
            <w:spacing w:after="0" w:line="276" w:lineRule="auto"/>
            <w:jc w:val="both"/>
            <w:rPr>
              <w:rStyle w:val="Hyperlink"/>
              <w:color w:val="auto"/>
              <w:sz w:val="28"/>
              <w:szCs w:val="28"/>
            </w:rPr>
          </w:pPr>
          <w:hyperlink w:anchor="_Toc235367815" w:history="1">
            <w:r w:rsidRPr="00AC78B8">
              <w:rPr>
                <w:rStyle w:val="Hyperlink"/>
                <w:color w:val="auto"/>
                <w:sz w:val="28"/>
                <w:szCs w:val="28"/>
              </w:rPr>
              <w:t>References</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_Toc235367815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74</w:t>
            </w:r>
            <w:r w:rsidRPr="00AC78B8">
              <w:rPr>
                <w:rStyle w:val="Hyperlink"/>
                <w:webHidden/>
                <w:color w:val="auto"/>
                <w:sz w:val="28"/>
                <w:szCs w:val="28"/>
              </w:rPr>
              <w:fldChar w:fldCharType="end"/>
            </w:r>
          </w:hyperlink>
        </w:p>
        <w:p w14:paraId="7DDCC9EC" w14:textId="0A863F9F" w:rsidR="004A7CFE" w:rsidRPr="00AC78B8" w:rsidRDefault="004A7CFE" w:rsidP="00C215A2">
          <w:pPr>
            <w:pStyle w:val="TOC1"/>
            <w:spacing w:after="0" w:line="276" w:lineRule="auto"/>
            <w:jc w:val="both"/>
            <w:rPr>
              <w:rStyle w:val="Hyperlink"/>
              <w:color w:val="auto"/>
              <w:sz w:val="28"/>
              <w:szCs w:val="28"/>
            </w:rPr>
          </w:pPr>
          <w:hyperlink w:anchor="_Toc235367816" w:history="1">
            <w:r w:rsidRPr="00AC78B8">
              <w:rPr>
                <w:rStyle w:val="Hyperlink"/>
                <w:color w:val="auto"/>
                <w:sz w:val="28"/>
                <w:szCs w:val="28"/>
              </w:rPr>
              <w:t>Appendix A — Survey Instrument</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_Toc235367816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78</w:t>
            </w:r>
            <w:r w:rsidRPr="00AC78B8">
              <w:rPr>
                <w:rStyle w:val="Hyperlink"/>
                <w:webHidden/>
                <w:color w:val="auto"/>
                <w:sz w:val="28"/>
                <w:szCs w:val="28"/>
              </w:rPr>
              <w:fldChar w:fldCharType="end"/>
            </w:r>
          </w:hyperlink>
        </w:p>
        <w:p w14:paraId="1A3B5ED1" w14:textId="44FBF013" w:rsidR="004A7CFE" w:rsidRPr="00AC78B8" w:rsidRDefault="004A7CFE" w:rsidP="00C215A2">
          <w:pPr>
            <w:pStyle w:val="TOC1"/>
            <w:spacing w:after="0" w:line="276" w:lineRule="auto"/>
            <w:jc w:val="both"/>
            <w:rPr>
              <w:rStyle w:val="Hyperlink"/>
              <w:color w:val="auto"/>
              <w:sz w:val="28"/>
              <w:szCs w:val="28"/>
            </w:rPr>
          </w:pPr>
          <w:hyperlink w:anchor="_Toc235367824" w:history="1">
            <w:r w:rsidRPr="00AC78B8">
              <w:rPr>
                <w:rStyle w:val="Hyperlink"/>
                <w:color w:val="auto"/>
                <w:sz w:val="28"/>
                <w:szCs w:val="28"/>
              </w:rPr>
              <w:t>Appendix B — Financial Model Workbook Guide</w:t>
            </w:r>
            <w:r w:rsidRPr="00AC78B8">
              <w:rPr>
                <w:rStyle w:val="Hyperlink"/>
                <w:webHidden/>
                <w:color w:val="auto"/>
                <w:sz w:val="28"/>
                <w:szCs w:val="28"/>
              </w:rPr>
              <w:tab/>
            </w:r>
            <w:r w:rsidRPr="00AC78B8">
              <w:rPr>
                <w:rStyle w:val="Hyperlink"/>
                <w:webHidden/>
                <w:color w:val="auto"/>
                <w:sz w:val="28"/>
                <w:szCs w:val="28"/>
              </w:rPr>
              <w:fldChar w:fldCharType="begin"/>
            </w:r>
            <w:r w:rsidRPr="00AC78B8">
              <w:rPr>
                <w:rStyle w:val="Hyperlink"/>
                <w:webHidden/>
                <w:color w:val="auto"/>
                <w:sz w:val="28"/>
                <w:szCs w:val="28"/>
              </w:rPr>
              <w:instrText xml:space="preserve"> PAGEREF _Toc235367824 \h </w:instrText>
            </w:r>
            <w:r w:rsidRPr="00AC78B8">
              <w:rPr>
                <w:rStyle w:val="Hyperlink"/>
                <w:webHidden/>
                <w:color w:val="auto"/>
                <w:sz w:val="28"/>
                <w:szCs w:val="28"/>
              </w:rPr>
            </w:r>
            <w:r w:rsidRPr="00AC78B8">
              <w:rPr>
                <w:rStyle w:val="Hyperlink"/>
                <w:webHidden/>
                <w:color w:val="auto"/>
                <w:sz w:val="28"/>
                <w:szCs w:val="28"/>
              </w:rPr>
              <w:fldChar w:fldCharType="separate"/>
            </w:r>
            <w:r w:rsidR="007F3262">
              <w:rPr>
                <w:rStyle w:val="Hyperlink"/>
                <w:webHidden/>
                <w:color w:val="auto"/>
                <w:sz w:val="28"/>
                <w:szCs w:val="28"/>
              </w:rPr>
              <w:t>81</w:t>
            </w:r>
            <w:r w:rsidRPr="00AC78B8">
              <w:rPr>
                <w:rStyle w:val="Hyperlink"/>
                <w:webHidden/>
                <w:color w:val="auto"/>
                <w:sz w:val="28"/>
                <w:szCs w:val="28"/>
              </w:rPr>
              <w:fldChar w:fldCharType="end"/>
            </w:r>
          </w:hyperlink>
        </w:p>
        <w:p w14:paraId="72B149F8" w14:textId="6CBBF3B2" w:rsidR="004A7CFE" w:rsidRPr="00AC78B8" w:rsidRDefault="00000000" w:rsidP="00C215A2">
          <w:pPr>
            <w:pStyle w:val="TOC1"/>
            <w:spacing w:after="0" w:line="276" w:lineRule="auto"/>
            <w:jc w:val="both"/>
            <w:rPr>
              <w:rStyle w:val="Hyperlink"/>
              <w:color w:val="auto"/>
              <w:sz w:val="28"/>
              <w:szCs w:val="28"/>
              <w:u w:val="none"/>
            </w:rPr>
          </w:pPr>
          <w:r w:rsidRPr="00AC78B8">
            <w:rPr>
              <w:rStyle w:val="Hyperlink"/>
              <w:color w:val="auto"/>
              <w:sz w:val="28"/>
              <w:szCs w:val="28"/>
              <w:u w:val="none"/>
            </w:rPr>
            <w:t>Appendix C - Financial Model Workbook …………………..……</w:t>
          </w:r>
          <w:r w:rsidR="007F3262">
            <w:rPr>
              <w:rStyle w:val="Hyperlink"/>
              <w:color w:val="auto"/>
              <w:sz w:val="28"/>
              <w:szCs w:val="28"/>
              <w:u w:val="none"/>
            </w:rPr>
            <w:t>…..</w:t>
          </w:r>
          <w:r w:rsidRPr="00AC78B8">
            <w:rPr>
              <w:rStyle w:val="Hyperlink"/>
              <w:color w:val="auto"/>
              <w:sz w:val="28"/>
              <w:szCs w:val="28"/>
              <w:u w:val="none"/>
            </w:rPr>
            <w:t>…………</w:t>
          </w:r>
          <w:r w:rsidR="007F3262">
            <w:rPr>
              <w:rStyle w:val="Hyperlink"/>
              <w:color w:val="auto"/>
              <w:sz w:val="28"/>
              <w:szCs w:val="28"/>
              <w:u w:val="none"/>
            </w:rPr>
            <w:t>82</w:t>
          </w:r>
        </w:p>
        <w:p w14:paraId="166FAB54" w14:textId="77777777" w:rsidR="004A7CFE" w:rsidRPr="00AC78B8" w:rsidRDefault="00000000" w:rsidP="00C215A2">
          <w:pPr>
            <w:spacing w:after="0" w:line="276" w:lineRule="auto"/>
            <w:jc w:val="both"/>
            <w:rPr>
              <w:rFonts w:asciiTheme="majorBidi" w:hAnsiTheme="majorBidi" w:cstheme="majorBidi"/>
            </w:rPr>
          </w:pPr>
          <w:r w:rsidRPr="00AC78B8">
            <w:rPr>
              <w:rFonts w:asciiTheme="majorBidi" w:hAnsiTheme="majorBidi" w:cstheme="majorBidi"/>
              <w:b/>
              <w:bCs/>
              <w:noProof/>
              <w:sz w:val="28"/>
              <w:szCs w:val="28"/>
            </w:rPr>
            <w:fldChar w:fldCharType="end"/>
          </w:r>
        </w:p>
      </w:sdtContent>
    </w:sdt>
    <w:p w14:paraId="550C6F49" w14:textId="77777777" w:rsidR="004A7CFE" w:rsidRDefault="004A7CFE" w:rsidP="00C215A2">
      <w:pPr>
        <w:spacing w:after="0" w:line="360" w:lineRule="auto"/>
        <w:jc w:val="both"/>
        <w:rPr>
          <w:rFonts w:asciiTheme="majorBidi" w:eastAsia="Times New Roman" w:hAnsiTheme="majorBidi" w:cstheme="majorBidi"/>
          <w:b/>
          <w:bCs/>
          <w:color w:val="000000"/>
          <w:sz w:val="30"/>
          <w:szCs w:val="30"/>
        </w:rPr>
      </w:pPr>
    </w:p>
    <w:p w14:paraId="3C59C9D6" w14:textId="77777777" w:rsidR="00C215A2" w:rsidRDefault="00C215A2" w:rsidP="00C215A2">
      <w:pPr>
        <w:spacing w:after="0" w:line="360" w:lineRule="auto"/>
        <w:jc w:val="both"/>
        <w:rPr>
          <w:rFonts w:asciiTheme="majorBidi" w:eastAsia="Times New Roman" w:hAnsiTheme="majorBidi" w:cstheme="majorBidi"/>
          <w:b/>
          <w:bCs/>
          <w:color w:val="000000"/>
          <w:sz w:val="30"/>
          <w:szCs w:val="30"/>
        </w:rPr>
      </w:pPr>
    </w:p>
    <w:p w14:paraId="46182E5F" w14:textId="77777777" w:rsidR="00C215A2" w:rsidRDefault="00C215A2" w:rsidP="00C215A2">
      <w:pPr>
        <w:spacing w:after="0" w:line="360" w:lineRule="auto"/>
        <w:jc w:val="both"/>
        <w:rPr>
          <w:rFonts w:asciiTheme="majorBidi" w:eastAsia="Times New Roman" w:hAnsiTheme="majorBidi" w:cstheme="majorBidi"/>
          <w:b/>
          <w:bCs/>
          <w:color w:val="000000"/>
          <w:sz w:val="30"/>
          <w:szCs w:val="30"/>
        </w:rPr>
      </w:pPr>
    </w:p>
    <w:p w14:paraId="3071CFFC" w14:textId="77777777" w:rsidR="00C215A2" w:rsidRDefault="00C215A2" w:rsidP="00C215A2">
      <w:pPr>
        <w:spacing w:after="0" w:line="360" w:lineRule="auto"/>
        <w:jc w:val="both"/>
        <w:rPr>
          <w:rFonts w:asciiTheme="majorBidi" w:eastAsia="Times New Roman" w:hAnsiTheme="majorBidi" w:cstheme="majorBidi"/>
          <w:b/>
          <w:bCs/>
          <w:color w:val="000000"/>
          <w:sz w:val="30"/>
          <w:szCs w:val="30"/>
        </w:rPr>
      </w:pPr>
    </w:p>
    <w:p w14:paraId="006872BA" w14:textId="77777777" w:rsidR="00C215A2" w:rsidRPr="00AC78B8" w:rsidRDefault="00C215A2" w:rsidP="00C215A2">
      <w:pPr>
        <w:spacing w:after="0" w:line="360" w:lineRule="auto"/>
        <w:jc w:val="both"/>
        <w:rPr>
          <w:rFonts w:asciiTheme="majorBidi" w:eastAsia="Times New Roman" w:hAnsiTheme="majorBidi" w:cstheme="majorBidi"/>
          <w:b/>
          <w:bCs/>
          <w:color w:val="000000"/>
          <w:sz w:val="30"/>
          <w:szCs w:val="30"/>
        </w:rPr>
      </w:pPr>
    </w:p>
    <w:p w14:paraId="59161F15" w14:textId="77777777" w:rsidR="004A7CFE" w:rsidRDefault="00000000" w:rsidP="00C215A2">
      <w:pPr>
        <w:spacing w:after="0" w:line="360" w:lineRule="auto"/>
        <w:jc w:val="center"/>
        <w:rPr>
          <w:rFonts w:asciiTheme="majorBidi" w:eastAsia="Times New Roman" w:hAnsiTheme="majorBidi" w:cstheme="majorBidi"/>
          <w:b/>
          <w:bCs/>
          <w:color w:val="000000"/>
          <w:sz w:val="30"/>
          <w:szCs w:val="30"/>
          <w:u w:val="single"/>
        </w:rPr>
      </w:pPr>
      <w:r w:rsidRPr="00AC78B8">
        <w:rPr>
          <w:rFonts w:asciiTheme="majorBidi" w:eastAsia="Times New Roman" w:hAnsiTheme="majorBidi" w:cstheme="majorBidi"/>
          <w:b/>
          <w:bCs/>
          <w:color w:val="000000"/>
          <w:sz w:val="30"/>
          <w:szCs w:val="30"/>
          <w:u w:val="single"/>
        </w:rPr>
        <w:lastRenderedPageBreak/>
        <w:t>List of Tables</w:t>
      </w:r>
    </w:p>
    <w:p w14:paraId="5386B54F" w14:textId="77777777" w:rsidR="00C215A2" w:rsidRPr="00AC78B8" w:rsidRDefault="00C215A2" w:rsidP="00C215A2">
      <w:pPr>
        <w:spacing w:after="0" w:line="360" w:lineRule="auto"/>
        <w:jc w:val="center"/>
        <w:rPr>
          <w:rFonts w:asciiTheme="majorBidi" w:eastAsia="Times New Roman" w:hAnsiTheme="majorBidi" w:cstheme="majorBidi"/>
          <w:b/>
          <w:bCs/>
          <w:color w:val="000000"/>
          <w:sz w:val="30"/>
          <w:szCs w:val="30"/>
          <w:u w:val="single"/>
        </w:rPr>
      </w:pPr>
    </w:p>
    <w:p w14:paraId="40B3411F" w14:textId="77777777" w:rsidR="004A7CFE" w:rsidRPr="00AC78B8" w:rsidRDefault="004A7CFE" w:rsidP="00C215A2">
      <w:pPr>
        <w:spacing w:after="0" w:line="360" w:lineRule="auto"/>
        <w:jc w:val="both"/>
        <w:rPr>
          <w:rFonts w:asciiTheme="majorBidi" w:hAnsiTheme="majorBidi" w:cstheme="majorBidi"/>
          <w:sz w:val="2"/>
          <w:szCs w:val="2"/>
        </w:rPr>
      </w:pPr>
    </w:p>
    <w:tbl>
      <w:tblPr>
        <w:tblStyle w:val="TableGrid"/>
        <w:tblW w:w="10260" w:type="dxa"/>
        <w:tblInd w:w="-275" w:type="dxa"/>
        <w:tblLook w:val="04A0" w:firstRow="1" w:lastRow="0" w:firstColumn="1" w:lastColumn="0" w:noHBand="0" w:noVBand="1"/>
      </w:tblPr>
      <w:tblGrid>
        <w:gridCol w:w="1800"/>
        <w:gridCol w:w="7560"/>
        <w:gridCol w:w="900"/>
      </w:tblGrid>
      <w:tr w:rsidR="004A7CFE" w:rsidRPr="00AC78B8" w14:paraId="661CB606" w14:textId="77777777">
        <w:trPr>
          <w:trHeight w:val="467"/>
        </w:trPr>
        <w:tc>
          <w:tcPr>
            <w:tcW w:w="1800" w:type="dxa"/>
            <w:vAlign w:val="center"/>
          </w:tcPr>
          <w:p w14:paraId="37D60998" w14:textId="77777777" w:rsidR="004A7CFE" w:rsidRPr="00AC78B8" w:rsidRDefault="00000000" w:rsidP="00C215A2">
            <w:pPr>
              <w:spacing w:line="276" w:lineRule="auto"/>
              <w:jc w:val="both"/>
              <w:rPr>
                <w:rFonts w:asciiTheme="majorBidi" w:hAnsiTheme="majorBidi" w:cstheme="majorBidi"/>
                <w:b/>
                <w:bCs/>
              </w:rPr>
            </w:pPr>
            <w:r w:rsidRPr="00AC78B8">
              <w:rPr>
                <w:rFonts w:asciiTheme="majorBidi" w:hAnsiTheme="majorBidi" w:cstheme="majorBidi"/>
                <w:b/>
                <w:bCs/>
              </w:rPr>
              <w:t>Table Number</w:t>
            </w:r>
          </w:p>
        </w:tc>
        <w:tc>
          <w:tcPr>
            <w:tcW w:w="7560" w:type="dxa"/>
            <w:vAlign w:val="center"/>
          </w:tcPr>
          <w:p w14:paraId="293AE310" w14:textId="77777777" w:rsidR="004A7CFE" w:rsidRPr="00AC78B8" w:rsidRDefault="00000000" w:rsidP="00C215A2">
            <w:pPr>
              <w:spacing w:line="276" w:lineRule="auto"/>
              <w:jc w:val="both"/>
              <w:rPr>
                <w:rFonts w:asciiTheme="majorBidi" w:hAnsiTheme="majorBidi" w:cstheme="majorBidi"/>
                <w:b/>
                <w:bCs/>
              </w:rPr>
            </w:pPr>
            <w:r w:rsidRPr="00AC78B8">
              <w:rPr>
                <w:rFonts w:asciiTheme="majorBidi" w:hAnsiTheme="majorBidi" w:cstheme="majorBidi"/>
                <w:b/>
                <w:bCs/>
              </w:rPr>
              <w:t>Description</w:t>
            </w:r>
          </w:p>
        </w:tc>
        <w:tc>
          <w:tcPr>
            <w:tcW w:w="900" w:type="dxa"/>
            <w:vAlign w:val="center"/>
          </w:tcPr>
          <w:p w14:paraId="5325A44B" w14:textId="77777777" w:rsidR="004A7CFE" w:rsidRPr="00AC78B8" w:rsidRDefault="00000000" w:rsidP="00C215A2">
            <w:pPr>
              <w:spacing w:line="276" w:lineRule="auto"/>
              <w:jc w:val="both"/>
              <w:rPr>
                <w:rFonts w:asciiTheme="majorBidi" w:hAnsiTheme="majorBidi" w:cstheme="majorBidi"/>
                <w:b/>
                <w:bCs/>
              </w:rPr>
            </w:pPr>
            <w:r w:rsidRPr="00AC78B8">
              <w:rPr>
                <w:rFonts w:asciiTheme="majorBidi" w:hAnsiTheme="majorBidi" w:cstheme="majorBidi"/>
                <w:b/>
                <w:bCs/>
              </w:rPr>
              <w:t>Page</w:t>
            </w:r>
          </w:p>
        </w:tc>
      </w:tr>
      <w:tr w:rsidR="003969CB" w:rsidRPr="00AC78B8" w14:paraId="72BED5C1" w14:textId="77777777">
        <w:trPr>
          <w:trHeight w:val="467"/>
        </w:trPr>
        <w:tc>
          <w:tcPr>
            <w:tcW w:w="1800" w:type="dxa"/>
            <w:vAlign w:val="center"/>
          </w:tcPr>
          <w:p w14:paraId="08D492AF" w14:textId="7F37D76E" w:rsidR="003969CB" w:rsidRPr="00AC78B8" w:rsidRDefault="003969CB" w:rsidP="00C215A2">
            <w:pPr>
              <w:spacing w:line="276" w:lineRule="auto"/>
              <w:jc w:val="both"/>
              <w:rPr>
                <w:rFonts w:asciiTheme="majorBidi" w:hAnsiTheme="majorBidi" w:cstheme="majorBidi"/>
                <w:bCs/>
              </w:rPr>
            </w:pPr>
            <w:r w:rsidRPr="00AC78B8">
              <w:rPr>
                <w:rFonts w:asciiTheme="majorBidi" w:hAnsiTheme="majorBidi" w:cstheme="majorBidi"/>
                <w:bCs/>
              </w:rPr>
              <w:t>Table 1-1</w:t>
            </w:r>
          </w:p>
        </w:tc>
        <w:tc>
          <w:tcPr>
            <w:tcW w:w="7560" w:type="dxa"/>
            <w:vAlign w:val="center"/>
          </w:tcPr>
          <w:p w14:paraId="5E0BFC12" w14:textId="268ED740" w:rsidR="003969CB" w:rsidRPr="00AC78B8" w:rsidRDefault="003969CB" w:rsidP="00C215A2">
            <w:pPr>
              <w:spacing w:line="276" w:lineRule="auto"/>
              <w:jc w:val="both"/>
              <w:rPr>
                <w:rFonts w:asciiTheme="majorBidi" w:hAnsiTheme="majorBidi" w:cstheme="majorBidi"/>
                <w:bCs/>
              </w:rPr>
            </w:pPr>
            <w:r w:rsidRPr="00AC78B8">
              <w:rPr>
                <w:rFonts w:asciiTheme="majorBidi" w:hAnsiTheme="majorBidi" w:cstheme="majorBidi"/>
                <w:bCs/>
              </w:rPr>
              <w:t>Conceptual Framework</w:t>
            </w:r>
          </w:p>
        </w:tc>
        <w:tc>
          <w:tcPr>
            <w:tcW w:w="900" w:type="dxa"/>
            <w:vAlign w:val="center"/>
          </w:tcPr>
          <w:p w14:paraId="0CD216BC" w14:textId="69B70D58" w:rsidR="003969CB" w:rsidRPr="00AC78B8" w:rsidRDefault="003969CB" w:rsidP="00C215A2">
            <w:pPr>
              <w:spacing w:line="276" w:lineRule="auto"/>
              <w:jc w:val="center"/>
              <w:rPr>
                <w:rFonts w:asciiTheme="majorBidi" w:hAnsiTheme="majorBidi" w:cstheme="majorBidi"/>
              </w:rPr>
            </w:pPr>
            <w:r w:rsidRPr="00AC78B8">
              <w:rPr>
                <w:rFonts w:asciiTheme="majorBidi" w:hAnsiTheme="majorBidi" w:cstheme="majorBidi"/>
              </w:rPr>
              <w:t>19</w:t>
            </w:r>
          </w:p>
        </w:tc>
      </w:tr>
      <w:tr w:rsidR="003969CB" w:rsidRPr="00AC78B8" w14:paraId="4C0F8967" w14:textId="77777777">
        <w:trPr>
          <w:trHeight w:val="467"/>
        </w:trPr>
        <w:tc>
          <w:tcPr>
            <w:tcW w:w="1800" w:type="dxa"/>
            <w:vAlign w:val="center"/>
          </w:tcPr>
          <w:p w14:paraId="767FE9C8"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2-1</w:t>
            </w:r>
          </w:p>
        </w:tc>
        <w:tc>
          <w:tcPr>
            <w:tcW w:w="7560" w:type="dxa"/>
            <w:vAlign w:val="center"/>
          </w:tcPr>
          <w:p w14:paraId="24388330"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The Three-Pathways Investment Framework</w:t>
            </w:r>
          </w:p>
        </w:tc>
        <w:tc>
          <w:tcPr>
            <w:tcW w:w="900" w:type="dxa"/>
            <w:vAlign w:val="center"/>
          </w:tcPr>
          <w:p w14:paraId="270D80B6" w14:textId="699AD8CE" w:rsidR="003969CB" w:rsidRPr="00AC78B8" w:rsidRDefault="00967BF6" w:rsidP="00C215A2">
            <w:pPr>
              <w:spacing w:line="276" w:lineRule="auto"/>
              <w:jc w:val="center"/>
              <w:rPr>
                <w:rFonts w:asciiTheme="majorBidi" w:hAnsiTheme="majorBidi" w:cstheme="majorBidi"/>
                <w:b/>
                <w:bCs/>
              </w:rPr>
            </w:pPr>
            <w:r>
              <w:rPr>
                <w:rFonts w:asciiTheme="majorBidi" w:hAnsiTheme="majorBidi" w:cstheme="majorBidi"/>
              </w:rPr>
              <w:t>24</w:t>
            </w:r>
          </w:p>
        </w:tc>
      </w:tr>
      <w:tr w:rsidR="003969CB" w:rsidRPr="00AC78B8" w14:paraId="28743EA7" w14:textId="77777777">
        <w:trPr>
          <w:trHeight w:val="467"/>
        </w:trPr>
        <w:tc>
          <w:tcPr>
            <w:tcW w:w="1800" w:type="dxa"/>
            <w:vAlign w:val="center"/>
          </w:tcPr>
          <w:p w14:paraId="0B17129B"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2-2</w:t>
            </w:r>
          </w:p>
        </w:tc>
        <w:tc>
          <w:tcPr>
            <w:tcW w:w="7560" w:type="dxa"/>
            <w:vAlign w:val="center"/>
          </w:tcPr>
          <w:p w14:paraId="0F318427"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Comparative Literature Matrix</w:t>
            </w:r>
          </w:p>
        </w:tc>
        <w:tc>
          <w:tcPr>
            <w:tcW w:w="900" w:type="dxa"/>
            <w:vAlign w:val="center"/>
          </w:tcPr>
          <w:p w14:paraId="79A77659" w14:textId="446A68B0" w:rsidR="003969CB" w:rsidRPr="00AC78B8" w:rsidRDefault="00967BF6" w:rsidP="00C215A2">
            <w:pPr>
              <w:spacing w:line="276" w:lineRule="auto"/>
              <w:jc w:val="center"/>
              <w:rPr>
                <w:rFonts w:asciiTheme="majorBidi" w:hAnsiTheme="majorBidi" w:cstheme="majorBidi"/>
                <w:b/>
                <w:bCs/>
              </w:rPr>
            </w:pPr>
            <w:r>
              <w:rPr>
                <w:rFonts w:asciiTheme="majorBidi" w:hAnsiTheme="majorBidi" w:cstheme="majorBidi"/>
              </w:rPr>
              <w:t>31</w:t>
            </w:r>
          </w:p>
        </w:tc>
      </w:tr>
      <w:tr w:rsidR="003969CB" w:rsidRPr="00AC78B8" w14:paraId="1B6084C5" w14:textId="77777777">
        <w:trPr>
          <w:trHeight w:val="467"/>
        </w:trPr>
        <w:tc>
          <w:tcPr>
            <w:tcW w:w="1800" w:type="dxa"/>
            <w:vAlign w:val="center"/>
          </w:tcPr>
          <w:p w14:paraId="0E944C23"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3-1</w:t>
            </w:r>
          </w:p>
        </w:tc>
        <w:tc>
          <w:tcPr>
            <w:tcW w:w="7560" w:type="dxa"/>
            <w:vAlign w:val="center"/>
          </w:tcPr>
          <w:p w14:paraId="6A39886B"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Model Input Parameters and Data Sources</w:t>
            </w:r>
          </w:p>
        </w:tc>
        <w:tc>
          <w:tcPr>
            <w:tcW w:w="900" w:type="dxa"/>
            <w:vAlign w:val="center"/>
          </w:tcPr>
          <w:p w14:paraId="3C33696E" w14:textId="272BB860"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3</w:t>
            </w:r>
            <w:r w:rsidR="00967BF6">
              <w:rPr>
                <w:rFonts w:asciiTheme="majorBidi" w:hAnsiTheme="majorBidi" w:cstheme="majorBidi"/>
              </w:rPr>
              <w:t>4</w:t>
            </w:r>
          </w:p>
        </w:tc>
      </w:tr>
      <w:tr w:rsidR="003969CB" w:rsidRPr="00AC78B8" w14:paraId="3530EF37" w14:textId="77777777">
        <w:trPr>
          <w:trHeight w:val="467"/>
        </w:trPr>
        <w:tc>
          <w:tcPr>
            <w:tcW w:w="1800" w:type="dxa"/>
            <w:vAlign w:val="center"/>
          </w:tcPr>
          <w:p w14:paraId="60D22AF1"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3-2</w:t>
            </w:r>
          </w:p>
        </w:tc>
        <w:tc>
          <w:tcPr>
            <w:tcW w:w="7560" w:type="dxa"/>
            <w:vAlign w:val="center"/>
          </w:tcPr>
          <w:p w14:paraId="79C65449"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Survey Construct Mapping</w:t>
            </w:r>
          </w:p>
        </w:tc>
        <w:tc>
          <w:tcPr>
            <w:tcW w:w="900" w:type="dxa"/>
            <w:vAlign w:val="center"/>
          </w:tcPr>
          <w:p w14:paraId="489C7492" w14:textId="53238D60" w:rsidR="003969CB" w:rsidRPr="00AC78B8" w:rsidRDefault="00967BF6" w:rsidP="00C215A2">
            <w:pPr>
              <w:spacing w:line="276" w:lineRule="auto"/>
              <w:jc w:val="center"/>
              <w:rPr>
                <w:rFonts w:asciiTheme="majorBidi" w:hAnsiTheme="majorBidi" w:cstheme="majorBidi"/>
                <w:b/>
                <w:bCs/>
              </w:rPr>
            </w:pPr>
            <w:r>
              <w:rPr>
                <w:rFonts w:asciiTheme="majorBidi" w:hAnsiTheme="majorBidi" w:cstheme="majorBidi"/>
              </w:rPr>
              <w:t>39</w:t>
            </w:r>
          </w:p>
        </w:tc>
      </w:tr>
      <w:tr w:rsidR="003969CB" w:rsidRPr="00AC78B8" w14:paraId="407E31D5" w14:textId="77777777">
        <w:trPr>
          <w:trHeight w:val="467"/>
        </w:trPr>
        <w:tc>
          <w:tcPr>
            <w:tcW w:w="1800" w:type="dxa"/>
            <w:vAlign w:val="center"/>
          </w:tcPr>
          <w:p w14:paraId="3155D338"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w:t>
            </w:r>
          </w:p>
        </w:tc>
        <w:tc>
          <w:tcPr>
            <w:tcW w:w="7560" w:type="dxa"/>
            <w:vAlign w:val="center"/>
          </w:tcPr>
          <w:p w14:paraId="4494D4B3"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Annual Operating Profile — Building Prototypes</w:t>
            </w:r>
          </w:p>
        </w:tc>
        <w:tc>
          <w:tcPr>
            <w:tcW w:w="900" w:type="dxa"/>
            <w:vAlign w:val="center"/>
          </w:tcPr>
          <w:p w14:paraId="1CB0AA33" w14:textId="372308B9"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2</w:t>
            </w:r>
          </w:p>
        </w:tc>
      </w:tr>
      <w:tr w:rsidR="003969CB" w:rsidRPr="00AC78B8" w14:paraId="18297802" w14:textId="77777777">
        <w:trPr>
          <w:trHeight w:val="467"/>
        </w:trPr>
        <w:tc>
          <w:tcPr>
            <w:tcW w:w="1800" w:type="dxa"/>
            <w:vAlign w:val="center"/>
          </w:tcPr>
          <w:p w14:paraId="444A80E9"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4-2</w:t>
            </w:r>
          </w:p>
        </w:tc>
        <w:tc>
          <w:tcPr>
            <w:tcW w:w="7560" w:type="dxa"/>
            <w:vAlign w:val="center"/>
          </w:tcPr>
          <w:p w14:paraId="79403DE3"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Scenario A — Single Building</w:t>
            </w:r>
          </w:p>
        </w:tc>
        <w:tc>
          <w:tcPr>
            <w:tcW w:w="900" w:type="dxa"/>
            <w:vAlign w:val="center"/>
          </w:tcPr>
          <w:p w14:paraId="3093261A" w14:textId="1DAB512C"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3</w:t>
            </w:r>
          </w:p>
        </w:tc>
      </w:tr>
      <w:tr w:rsidR="003969CB" w:rsidRPr="00AC78B8" w14:paraId="5D4A1980" w14:textId="77777777">
        <w:trPr>
          <w:trHeight w:val="467"/>
        </w:trPr>
        <w:tc>
          <w:tcPr>
            <w:tcW w:w="1800" w:type="dxa"/>
            <w:vAlign w:val="center"/>
          </w:tcPr>
          <w:p w14:paraId="09ED9FEC"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4-3</w:t>
            </w:r>
          </w:p>
        </w:tc>
        <w:tc>
          <w:tcPr>
            <w:tcW w:w="7560" w:type="dxa"/>
            <w:vAlign w:val="center"/>
          </w:tcPr>
          <w:p w14:paraId="7C1CE73D"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MRV Cost Dilution as Portfolio Grows — The Aggregation Advantage</w:t>
            </w:r>
          </w:p>
        </w:tc>
        <w:tc>
          <w:tcPr>
            <w:tcW w:w="900" w:type="dxa"/>
            <w:vAlign w:val="center"/>
          </w:tcPr>
          <w:p w14:paraId="7BE00C70" w14:textId="0604FC5A"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4</w:t>
            </w:r>
          </w:p>
        </w:tc>
      </w:tr>
      <w:tr w:rsidR="003969CB" w:rsidRPr="00AC78B8" w14:paraId="210658B3" w14:textId="77777777">
        <w:trPr>
          <w:trHeight w:val="467"/>
        </w:trPr>
        <w:tc>
          <w:tcPr>
            <w:tcW w:w="1800" w:type="dxa"/>
            <w:vAlign w:val="center"/>
          </w:tcPr>
          <w:p w14:paraId="7EC1243B"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4-4</w:t>
            </w:r>
          </w:p>
        </w:tc>
        <w:tc>
          <w:tcPr>
            <w:tcW w:w="7560" w:type="dxa"/>
            <w:vAlign w:val="center"/>
          </w:tcPr>
          <w:p w14:paraId="5297D861"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Scenario B — Aggregated Portfolio Financial Results</w:t>
            </w:r>
          </w:p>
        </w:tc>
        <w:tc>
          <w:tcPr>
            <w:tcW w:w="900" w:type="dxa"/>
            <w:vAlign w:val="center"/>
          </w:tcPr>
          <w:p w14:paraId="2654DF46" w14:textId="4034521C"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5</w:t>
            </w:r>
          </w:p>
        </w:tc>
      </w:tr>
      <w:tr w:rsidR="003969CB" w:rsidRPr="00AC78B8" w14:paraId="7CC41947" w14:textId="77777777">
        <w:trPr>
          <w:trHeight w:val="467"/>
        </w:trPr>
        <w:tc>
          <w:tcPr>
            <w:tcW w:w="1800" w:type="dxa"/>
            <w:vAlign w:val="center"/>
          </w:tcPr>
          <w:p w14:paraId="0B857D75"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4-5</w:t>
            </w:r>
          </w:p>
        </w:tc>
        <w:tc>
          <w:tcPr>
            <w:tcW w:w="7560" w:type="dxa"/>
            <w:vAlign w:val="center"/>
          </w:tcPr>
          <w:p w14:paraId="1B2AAE59"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Scenario C — 5-Year SGI MRV Subsidy Impact (Low CAPEX)</w:t>
            </w:r>
          </w:p>
        </w:tc>
        <w:tc>
          <w:tcPr>
            <w:tcW w:w="900" w:type="dxa"/>
            <w:vAlign w:val="center"/>
          </w:tcPr>
          <w:p w14:paraId="4F6F52B0" w14:textId="2D775BDA"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6</w:t>
            </w:r>
          </w:p>
        </w:tc>
      </w:tr>
      <w:tr w:rsidR="003969CB" w:rsidRPr="00AC78B8" w14:paraId="3AD851F5" w14:textId="77777777">
        <w:trPr>
          <w:trHeight w:val="467"/>
        </w:trPr>
        <w:tc>
          <w:tcPr>
            <w:tcW w:w="1800" w:type="dxa"/>
            <w:vAlign w:val="center"/>
          </w:tcPr>
          <w:p w14:paraId="0A0AB5DA"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4-6</w:t>
            </w:r>
          </w:p>
        </w:tc>
        <w:tc>
          <w:tcPr>
            <w:tcW w:w="7560" w:type="dxa"/>
            <w:vAlign w:val="center"/>
          </w:tcPr>
          <w:p w14:paraId="57EF25D0"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Scenario D — SGI Green Retrofit Facility Results</w:t>
            </w:r>
          </w:p>
        </w:tc>
        <w:tc>
          <w:tcPr>
            <w:tcW w:w="900" w:type="dxa"/>
            <w:vAlign w:val="center"/>
          </w:tcPr>
          <w:p w14:paraId="0C8A908E" w14:textId="713DFA52"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w:t>
            </w:r>
            <w:r w:rsidR="00967BF6">
              <w:rPr>
                <w:rFonts w:asciiTheme="majorBidi" w:hAnsiTheme="majorBidi" w:cstheme="majorBidi"/>
              </w:rPr>
              <w:t>8</w:t>
            </w:r>
          </w:p>
        </w:tc>
      </w:tr>
      <w:tr w:rsidR="003969CB" w:rsidRPr="00AC78B8" w14:paraId="7CEA6CB4" w14:textId="77777777">
        <w:trPr>
          <w:trHeight w:val="467"/>
        </w:trPr>
        <w:tc>
          <w:tcPr>
            <w:tcW w:w="1800" w:type="dxa"/>
            <w:vAlign w:val="center"/>
          </w:tcPr>
          <w:p w14:paraId="17CCEA97"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4-7</w:t>
            </w:r>
          </w:p>
        </w:tc>
        <w:tc>
          <w:tcPr>
            <w:tcW w:w="7560" w:type="dxa"/>
            <w:vAlign w:val="center"/>
          </w:tcPr>
          <w:p w14:paraId="2B505A61"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Sensitivity Analysis — Carbon Price Variability (Portfolio Mid CAPEX)</w:t>
            </w:r>
          </w:p>
        </w:tc>
        <w:tc>
          <w:tcPr>
            <w:tcW w:w="900" w:type="dxa"/>
            <w:vAlign w:val="center"/>
          </w:tcPr>
          <w:p w14:paraId="44A80591" w14:textId="77777777"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49</w:t>
            </w:r>
          </w:p>
        </w:tc>
      </w:tr>
      <w:tr w:rsidR="003969CB" w:rsidRPr="00AC78B8" w14:paraId="15E6E2AC" w14:textId="77777777">
        <w:trPr>
          <w:trHeight w:val="467"/>
        </w:trPr>
        <w:tc>
          <w:tcPr>
            <w:tcW w:w="1800" w:type="dxa"/>
            <w:vAlign w:val="center"/>
          </w:tcPr>
          <w:p w14:paraId="48593E36"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4-8</w:t>
            </w:r>
          </w:p>
        </w:tc>
        <w:tc>
          <w:tcPr>
            <w:tcW w:w="7560" w:type="dxa"/>
            <w:vAlign w:val="center"/>
          </w:tcPr>
          <w:p w14:paraId="22B46B2C"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Multi-Variable Sensitivity of Portfolio NPV (Low CAPEX, 8% real)</w:t>
            </w:r>
          </w:p>
        </w:tc>
        <w:tc>
          <w:tcPr>
            <w:tcW w:w="900" w:type="dxa"/>
            <w:vAlign w:val="center"/>
          </w:tcPr>
          <w:p w14:paraId="7E802A62" w14:textId="6FB0A084" w:rsidR="003969CB" w:rsidRPr="00AC78B8" w:rsidRDefault="00967BF6" w:rsidP="00C215A2">
            <w:pPr>
              <w:spacing w:line="276" w:lineRule="auto"/>
              <w:jc w:val="center"/>
              <w:rPr>
                <w:rFonts w:asciiTheme="majorBidi" w:hAnsiTheme="majorBidi" w:cstheme="majorBidi"/>
                <w:b/>
                <w:bCs/>
              </w:rPr>
            </w:pPr>
            <w:r>
              <w:rPr>
                <w:rFonts w:asciiTheme="majorBidi" w:hAnsiTheme="majorBidi" w:cstheme="majorBidi"/>
              </w:rPr>
              <w:t>49</w:t>
            </w:r>
          </w:p>
        </w:tc>
      </w:tr>
      <w:tr w:rsidR="003969CB" w:rsidRPr="00AC78B8" w14:paraId="264BF99F" w14:textId="77777777">
        <w:trPr>
          <w:trHeight w:val="467"/>
        </w:trPr>
        <w:tc>
          <w:tcPr>
            <w:tcW w:w="1800" w:type="dxa"/>
            <w:vAlign w:val="center"/>
          </w:tcPr>
          <w:p w14:paraId="559297B5"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4-9</w:t>
            </w:r>
          </w:p>
        </w:tc>
        <w:tc>
          <w:tcPr>
            <w:tcW w:w="7560" w:type="dxa"/>
            <w:vAlign w:val="center"/>
          </w:tcPr>
          <w:p w14:paraId="73D2CF92"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Carbon Asset Appreciation Projection — CBAM &amp; KSA VCM Growth Trajectory</w:t>
            </w:r>
          </w:p>
        </w:tc>
        <w:tc>
          <w:tcPr>
            <w:tcW w:w="900" w:type="dxa"/>
            <w:vAlign w:val="center"/>
          </w:tcPr>
          <w:p w14:paraId="7972058D" w14:textId="77777777"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51</w:t>
            </w:r>
          </w:p>
        </w:tc>
      </w:tr>
      <w:tr w:rsidR="003969CB" w:rsidRPr="00AC78B8" w14:paraId="2E9C2850" w14:textId="77777777">
        <w:trPr>
          <w:trHeight w:val="467"/>
        </w:trPr>
        <w:tc>
          <w:tcPr>
            <w:tcW w:w="1800" w:type="dxa"/>
            <w:vAlign w:val="center"/>
          </w:tcPr>
          <w:p w14:paraId="4BB404EE"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4-10</w:t>
            </w:r>
          </w:p>
        </w:tc>
        <w:tc>
          <w:tcPr>
            <w:tcW w:w="7560" w:type="dxa"/>
            <w:vAlign w:val="center"/>
          </w:tcPr>
          <w:p w14:paraId="542DF2D4"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Consolidated Financial Summary</w:t>
            </w:r>
          </w:p>
        </w:tc>
        <w:tc>
          <w:tcPr>
            <w:tcW w:w="900" w:type="dxa"/>
            <w:vAlign w:val="center"/>
          </w:tcPr>
          <w:p w14:paraId="01C99D17" w14:textId="4B5979A0"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2</w:t>
            </w:r>
          </w:p>
        </w:tc>
      </w:tr>
      <w:tr w:rsidR="003969CB" w:rsidRPr="00AC78B8" w14:paraId="3F9608EC" w14:textId="77777777">
        <w:trPr>
          <w:trHeight w:val="467"/>
        </w:trPr>
        <w:tc>
          <w:tcPr>
            <w:tcW w:w="1800" w:type="dxa"/>
            <w:vAlign w:val="center"/>
          </w:tcPr>
          <w:p w14:paraId="37C35E4E"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4-11</w:t>
            </w:r>
          </w:p>
        </w:tc>
        <w:tc>
          <w:tcPr>
            <w:tcW w:w="7560" w:type="dxa"/>
            <w:vAlign w:val="center"/>
          </w:tcPr>
          <w:p w14:paraId="5D05ADA0"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Case Study Operating Profile — Telecom Headquarters, Riyadh</w:t>
            </w:r>
          </w:p>
        </w:tc>
        <w:tc>
          <w:tcPr>
            <w:tcW w:w="900" w:type="dxa"/>
            <w:vAlign w:val="center"/>
          </w:tcPr>
          <w:p w14:paraId="3DE2C46B" w14:textId="6E739226"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3</w:t>
            </w:r>
          </w:p>
        </w:tc>
      </w:tr>
      <w:tr w:rsidR="003969CB" w:rsidRPr="00AC78B8" w14:paraId="6B282742" w14:textId="77777777">
        <w:trPr>
          <w:trHeight w:val="467"/>
        </w:trPr>
        <w:tc>
          <w:tcPr>
            <w:tcW w:w="1800" w:type="dxa"/>
            <w:vAlign w:val="center"/>
          </w:tcPr>
          <w:p w14:paraId="79E12D95"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4-12</w:t>
            </w:r>
          </w:p>
        </w:tc>
        <w:tc>
          <w:tcPr>
            <w:tcW w:w="7560" w:type="dxa"/>
            <w:vAlign w:val="center"/>
          </w:tcPr>
          <w:p w14:paraId="4E9EA3E4"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Case Study Scenario A</w:t>
            </w:r>
          </w:p>
        </w:tc>
        <w:tc>
          <w:tcPr>
            <w:tcW w:w="900" w:type="dxa"/>
            <w:vAlign w:val="center"/>
          </w:tcPr>
          <w:p w14:paraId="370237EC" w14:textId="2EBD6211"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4</w:t>
            </w:r>
          </w:p>
        </w:tc>
      </w:tr>
      <w:tr w:rsidR="003969CB" w:rsidRPr="00AC78B8" w14:paraId="31C8FEC1" w14:textId="77777777">
        <w:trPr>
          <w:trHeight w:val="467"/>
        </w:trPr>
        <w:tc>
          <w:tcPr>
            <w:tcW w:w="1800" w:type="dxa"/>
            <w:vAlign w:val="center"/>
          </w:tcPr>
          <w:p w14:paraId="7E76F699"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4-13</w:t>
            </w:r>
          </w:p>
        </w:tc>
        <w:tc>
          <w:tcPr>
            <w:tcW w:w="7560" w:type="dxa"/>
            <w:vAlign w:val="center"/>
          </w:tcPr>
          <w:p w14:paraId="34DF53E1"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Case Study Scenarios B and C</w:t>
            </w:r>
          </w:p>
        </w:tc>
        <w:tc>
          <w:tcPr>
            <w:tcW w:w="900" w:type="dxa"/>
            <w:vAlign w:val="center"/>
          </w:tcPr>
          <w:p w14:paraId="76A1A1CC" w14:textId="58CD2288"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5</w:t>
            </w:r>
          </w:p>
        </w:tc>
      </w:tr>
      <w:tr w:rsidR="003969CB" w:rsidRPr="00AC78B8" w14:paraId="0A61B2DF" w14:textId="77777777">
        <w:trPr>
          <w:trHeight w:val="467"/>
        </w:trPr>
        <w:tc>
          <w:tcPr>
            <w:tcW w:w="1800" w:type="dxa"/>
            <w:vAlign w:val="center"/>
          </w:tcPr>
          <w:p w14:paraId="06E1FE78"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4-14</w:t>
            </w:r>
          </w:p>
        </w:tc>
        <w:tc>
          <w:tcPr>
            <w:tcW w:w="7560" w:type="dxa"/>
            <w:vAlign w:val="center"/>
          </w:tcPr>
          <w:p w14:paraId="26EBF898"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Prototype Model vs Real Case Study</w:t>
            </w:r>
          </w:p>
        </w:tc>
        <w:tc>
          <w:tcPr>
            <w:tcW w:w="900" w:type="dxa"/>
            <w:vAlign w:val="center"/>
          </w:tcPr>
          <w:p w14:paraId="45AC9F22" w14:textId="708FA6FA"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6</w:t>
            </w:r>
          </w:p>
        </w:tc>
      </w:tr>
      <w:tr w:rsidR="003969CB" w:rsidRPr="00AC78B8" w14:paraId="7325DE43" w14:textId="77777777">
        <w:trPr>
          <w:trHeight w:val="467"/>
        </w:trPr>
        <w:tc>
          <w:tcPr>
            <w:tcW w:w="1800" w:type="dxa"/>
            <w:vAlign w:val="center"/>
          </w:tcPr>
          <w:p w14:paraId="6117CE7B"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4-15</w:t>
            </w:r>
          </w:p>
        </w:tc>
        <w:tc>
          <w:tcPr>
            <w:tcW w:w="7560" w:type="dxa"/>
            <w:vAlign w:val="center"/>
          </w:tcPr>
          <w:p w14:paraId="69592ABC"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Achieved Sample Profile (n = 29)</w:t>
            </w:r>
          </w:p>
        </w:tc>
        <w:tc>
          <w:tcPr>
            <w:tcW w:w="900" w:type="dxa"/>
            <w:vAlign w:val="center"/>
          </w:tcPr>
          <w:p w14:paraId="1CC95746" w14:textId="3E119ACB"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5</w:t>
            </w:r>
            <w:r w:rsidR="00967BF6">
              <w:rPr>
                <w:rFonts w:asciiTheme="majorBidi" w:hAnsiTheme="majorBidi" w:cstheme="majorBidi"/>
              </w:rPr>
              <w:t>8</w:t>
            </w:r>
          </w:p>
        </w:tc>
      </w:tr>
      <w:tr w:rsidR="003969CB" w:rsidRPr="00AC78B8" w14:paraId="4E6EA666" w14:textId="77777777">
        <w:trPr>
          <w:trHeight w:val="467"/>
        </w:trPr>
        <w:tc>
          <w:tcPr>
            <w:tcW w:w="1800" w:type="dxa"/>
            <w:vAlign w:val="center"/>
          </w:tcPr>
          <w:p w14:paraId="0ECC9546"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4-16</w:t>
            </w:r>
          </w:p>
        </w:tc>
        <w:tc>
          <w:tcPr>
            <w:tcW w:w="7560" w:type="dxa"/>
            <w:vAlign w:val="center"/>
          </w:tcPr>
          <w:p w14:paraId="59874551"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Likert Item Descriptives (n = 29; 5-point scale)</w:t>
            </w:r>
          </w:p>
        </w:tc>
        <w:tc>
          <w:tcPr>
            <w:tcW w:w="900" w:type="dxa"/>
            <w:vAlign w:val="center"/>
          </w:tcPr>
          <w:p w14:paraId="357B18AE" w14:textId="7CEEF48D" w:rsidR="003969CB" w:rsidRPr="00AC78B8" w:rsidRDefault="00F52F4E" w:rsidP="00C215A2">
            <w:pPr>
              <w:spacing w:line="276" w:lineRule="auto"/>
              <w:jc w:val="center"/>
              <w:rPr>
                <w:rFonts w:asciiTheme="majorBidi" w:hAnsiTheme="majorBidi" w:cstheme="majorBidi"/>
                <w:b/>
                <w:bCs/>
              </w:rPr>
            </w:pPr>
            <w:r w:rsidRPr="00AC78B8">
              <w:rPr>
                <w:rFonts w:asciiTheme="majorBidi" w:hAnsiTheme="majorBidi" w:cstheme="majorBidi"/>
              </w:rPr>
              <w:t>59</w:t>
            </w:r>
          </w:p>
        </w:tc>
      </w:tr>
      <w:tr w:rsidR="003969CB" w:rsidRPr="00AC78B8" w14:paraId="04806DF5" w14:textId="77777777">
        <w:trPr>
          <w:trHeight w:val="467"/>
        </w:trPr>
        <w:tc>
          <w:tcPr>
            <w:tcW w:w="1800" w:type="dxa"/>
            <w:vAlign w:val="center"/>
          </w:tcPr>
          <w:p w14:paraId="05F27312"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Table 4-17</w:t>
            </w:r>
          </w:p>
        </w:tc>
        <w:tc>
          <w:tcPr>
            <w:tcW w:w="7560" w:type="dxa"/>
            <w:vAlign w:val="center"/>
          </w:tcPr>
          <w:p w14:paraId="41352F1D" w14:textId="77777777" w:rsidR="003969CB" w:rsidRPr="00AC78B8" w:rsidRDefault="003969CB" w:rsidP="00C215A2">
            <w:pPr>
              <w:spacing w:line="276" w:lineRule="auto"/>
              <w:jc w:val="both"/>
              <w:rPr>
                <w:rFonts w:asciiTheme="majorBidi" w:hAnsiTheme="majorBidi" w:cstheme="majorBidi"/>
                <w:b/>
                <w:bCs/>
              </w:rPr>
            </w:pPr>
            <w:r w:rsidRPr="00AC78B8">
              <w:rPr>
                <w:rFonts w:asciiTheme="majorBidi" w:hAnsiTheme="majorBidi" w:cstheme="majorBidi"/>
                <w:bCs/>
              </w:rPr>
              <w:t>H6 Paired Intent Tests — Wilcoxon Signed-Rank with Holm Correction</w:t>
            </w:r>
          </w:p>
        </w:tc>
        <w:tc>
          <w:tcPr>
            <w:tcW w:w="900" w:type="dxa"/>
            <w:vAlign w:val="center"/>
          </w:tcPr>
          <w:p w14:paraId="305D4081" w14:textId="04F0FA70" w:rsidR="003969CB" w:rsidRPr="00AC78B8" w:rsidRDefault="003969CB" w:rsidP="00C215A2">
            <w:pPr>
              <w:spacing w:line="276" w:lineRule="auto"/>
              <w:jc w:val="center"/>
              <w:rPr>
                <w:rFonts w:asciiTheme="majorBidi" w:hAnsiTheme="majorBidi" w:cstheme="majorBidi"/>
                <w:b/>
                <w:bCs/>
              </w:rPr>
            </w:pPr>
            <w:r w:rsidRPr="00AC78B8">
              <w:rPr>
                <w:rFonts w:asciiTheme="majorBidi" w:hAnsiTheme="majorBidi" w:cstheme="majorBidi"/>
              </w:rPr>
              <w:t>6</w:t>
            </w:r>
            <w:r w:rsidR="00967BF6">
              <w:rPr>
                <w:rFonts w:asciiTheme="majorBidi" w:hAnsiTheme="majorBidi" w:cstheme="majorBidi"/>
              </w:rPr>
              <w:t>1</w:t>
            </w:r>
          </w:p>
        </w:tc>
      </w:tr>
    </w:tbl>
    <w:p w14:paraId="77EDC452" w14:textId="77777777" w:rsidR="004A7CFE" w:rsidRDefault="004A7CFE" w:rsidP="00C215A2">
      <w:pPr>
        <w:spacing w:after="0" w:line="276" w:lineRule="auto"/>
        <w:jc w:val="both"/>
        <w:rPr>
          <w:rFonts w:asciiTheme="majorBidi" w:hAnsiTheme="majorBidi" w:cstheme="majorBidi"/>
        </w:rPr>
      </w:pPr>
    </w:p>
    <w:p w14:paraId="24EED352" w14:textId="77777777" w:rsidR="00967BF6" w:rsidRDefault="00967BF6" w:rsidP="00C215A2">
      <w:pPr>
        <w:spacing w:after="0" w:line="276" w:lineRule="auto"/>
        <w:jc w:val="both"/>
        <w:rPr>
          <w:rFonts w:asciiTheme="majorBidi" w:hAnsiTheme="majorBidi" w:cstheme="majorBidi"/>
        </w:rPr>
      </w:pPr>
    </w:p>
    <w:p w14:paraId="68CCA1CF" w14:textId="77777777" w:rsidR="00967BF6" w:rsidRPr="00AC78B8" w:rsidRDefault="00967BF6" w:rsidP="00C215A2">
      <w:pPr>
        <w:spacing w:after="0" w:line="276" w:lineRule="auto"/>
        <w:jc w:val="both"/>
        <w:rPr>
          <w:rFonts w:asciiTheme="majorBidi" w:hAnsiTheme="majorBidi" w:cstheme="majorBidi"/>
        </w:rPr>
      </w:pPr>
    </w:p>
    <w:p w14:paraId="77916A0F" w14:textId="77777777" w:rsidR="004A7CFE" w:rsidRPr="00AC78B8" w:rsidRDefault="004A7CFE" w:rsidP="00C215A2">
      <w:pPr>
        <w:spacing w:after="0" w:line="276" w:lineRule="auto"/>
        <w:jc w:val="both"/>
        <w:rPr>
          <w:rFonts w:asciiTheme="majorBidi" w:hAnsiTheme="majorBidi" w:cstheme="majorBidi"/>
        </w:rPr>
      </w:pPr>
    </w:p>
    <w:p w14:paraId="209EAD6C" w14:textId="77777777" w:rsidR="004A7CFE" w:rsidRPr="00AC78B8" w:rsidRDefault="004A7CFE" w:rsidP="00C215A2">
      <w:pPr>
        <w:spacing w:after="0" w:line="276" w:lineRule="auto"/>
        <w:jc w:val="both"/>
        <w:rPr>
          <w:rFonts w:asciiTheme="majorBidi" w:hAnsiTheme="majorBidi" w:cstheme="majorBidi"/>
        </w:rPr>
      </w:pPr>
    </w:p>
    <w:p w14:paraId="026FD856" w14:textId="77777777" w:rsidR="004A7CFE" w:rsidRPr="00AC78B8" w:rsidRDefault="004A7CFE" w:rsidP="00C215A2">
      <w:pPr>
        <w:spacing w:after="0" w:line="276" w:lineRule="auto"/>
        <w:jc w:val="both"/>
        <w:rPr>
          <w:rFonts w:asciiTheme="majorBidi" w:hAnsiTheme="majorBidi" w:cstheme="majorBidi"/>
        </w:rPr>
      </w:pPr>
    </w:p>
    <w:p w14:paraId="17CB1564" w14:textId="77777777" w:rsidR="004A7CFE" w:rsidRPr="00AC78B8" w:rsidRDefault="004A7CFE" w:rsidP="00C215A2">
      <w:pPr>
        <w:spacing w:after="0" w:line="276" w:lineRule="auto"/>
        <w:ind w:left="360" w:hanging="360"/>
        <w:jc w:val="both"/>
        <w:rPr>
          <w:rFonts w:asciiTheme="majorBidi" w:hAnsiTheme="majorBidi" w:cstheme="majorBidi"/>
        </w:rPr>
      </w:pPr>
    </w:p>
    <w:p w14:paraId="65004F02" w14:textId="77777777" w:rsidR="004A7CFE" w:rsidRPr="00AC78B8" w:rsidRDefault="00000000" w:rsidP="00C215A2">
      <w:pPr>
        <w:spacing w:before="100" w:after="0" w:line="360" w:lineRule="auto"/>
        <w:jc w:val="center"/>
        <w:rPr>
          <w:rFonts w:asciiTheme="majorBidi" w:eastAsia="Times New Roman" w:hAnsiTheme="majorBidi" w:cstheme="majorBidi"/>
          <w:b/>
          <w:bCs/>
          <w:color w:val="000000"/>
          <w:sz w:val="40"/>
          <w:szCs w:val="40"/>
          <w:u w:val="single"/>
        </w:rPr>
      </w:pPr>
      <w:r w:rsidRPr="00AC78B8">
        <w:rPr>
          <w:rFonts w:asciiTheme="majorBidi" w:eastAsia="Times New Roman" w:hAnsiTheme="majorBidi" w:cstheme="majorBidi"/>
          <w:b/>
          <w:bCs/>
          <w:color w:val="000000"/>
          <w:sz w:val="40"/>
          <w:szCs w:val="40"/>
          <w:u w:val="single"/>
        </w:rPr>
        <w:lastRenderedPageBreak/>
        <w:t>List of Figures</w:t>
      </w:r>
    </w:p>
    <w:p w14:paraId="57E3DA9D" w14:textId="77777777" w:rsidR="004A7CFE" w:rsidRPr="00AC78B8" w:rsidRDefault="004A7CFE" w:rsidP="00C215A2">
      <w:pPr>
        <w:spacing w:before="100" w:after="0" w:line="360" w:lineRule="auto"/>
        <w:jc w:val="both"/>
        <w:rPr>
          <w:rFonts w:asciiTheme="majorBidi" w:eastAsia="Times New Roman" w:hAnsiTheme="majorBidi" w:cstheme="majorBidi"/>
          <w:b/>
          <w:bCs/>
          <w:color w:val="000000"/>
          <w:sz w:val="30"/>
          <w:szCs w:val="30"/>
          <w:u w:val="single"/>
        </w:rPr>
      </w:pPr>
    </w:p>
    <w:tbl>
      <w:tblPr>
        <w:tblStyle w:val="TableGrid"/>
        <w:tblW w:w="10080" w:type="dxa"/>
        <w:tblInd w:w="-275" w:type="dxa"/>
        <w:tblLook w:val="04A0" w:firstRow="1" w:lastRow="0" w:firstColumn="1" w:lastColumn="0" w:noHBand="0" w:noVBand="1"/>
      </w:tblPr>
      <w:tblGrid>
        <w:gridCol w:w="1980"/>
        <w:gridCol w:w="7020"/>
        <w:gridCol w:w="1080"/>
      </w:tblGrid>
      <w:tr w:rsidR="004A7CFE" w:rsidRPr="00AC78B8" w14:paraId="7D4E0C3D" w14:textId="77777777">
        <w:trPr>
          <w:trHeight w:val="467"/>
        </w:trPr>
        <w:tc>
          <w:tcPr>
            <w:tcW w:w="1980" w:type="dxa"/>
            <w:vAlign w:val="center"/>
          </w:tcPr>
          <w:p w14:paraId="5B469F89" w14:textId="77777777" w:rsidR="004A7CFE" w:rsidRPr="00AC78B8" w:rsidRDefault="00000000" w:rsidP="006B661D">
            <w:pPr>
              <w:spacing w:line="360" w:lineRule="auto"/>
              <w:jc w:val="center"/>
              <w:rPr>
                <w:rFonts w:asciiTheme="majorBidi" w:hAnsiTheme="majorBidi" w:cstheme="majorBidi"/>
                <w:b/>
                <w:bCs/>
              </w:rPr>
            </w:pPr>
            <w:r w:rsidRPr="00AC78B8">
              <w:rPr>
                <w:rFonts w:asciiTheme="majorBidi" w:hAnsiTheme="majorBidi" w:cstheme="majorBidi"/>
                <w:b/>
                <w:bCs/>
              </w:rPr>
              <w:t>Figure Number</w:t>
            </w:r>
          </w:p>
        </w:tc>
        <w:tc>
          <w:tcPr>
            <w:tcW w:w="7020" w:type="dxa"/>
            <w:vAlign w:val="center"/>
          </w:tcPr>
          <w:p w14:paraId="3F633731" w14:textId="77777777" w:rsidR="004A7CFE" w:rsidRPr="00AC78B8" w:rsidRDefault="00000000" w:rsidP="006B661D">
            <w:pPr>
              <w:spacing w:line="360" w:lineRule="auto"/>
              <w:jc w:val="center"/>
              <w:rPr>
                <w:rFonts w:asciiTheme="majorBidi" w:hAnsiTheme="majorBidi" w:cstheme="majorBidi"/>
                <w:b/>
                <w:bCs/>
              </w:rPr>
            </w:pPr>
            <w:r w:rsidRPr="00AC78B8">
              <w:rPr>
                <w:rFonts w:asciiTheme="majorBidi" w:hAnsiTheme="majorBidi" w:cstheme="majorBidi"/>
                <w:b/>
                <w:bCs/>
              </w:rPr>
              <w:t>Description</w:t>
            </w:r>
          </w:p>
        </w:tc>
        <w:tc>
          <w:tcPr>
            <w:tcW w:w="1080" w:type="dxa"/>
            <w:vAlign w:val="center"/>
          </w:tcPr>
          <w:p w14:paraId="5C492645" w14:textId="77777777" w:rsidR="004A7CFE" w:rsidRPr="00AC78B8" w:rsidRDefault="00000000" w:rsidP="006B661D">
            <w:pPr>
              <w:spacing w:line="360" w:lineRule="auto"/>
              <w:jc w:val="center"/>
              <w:rPr>
                <w:rFonts w:asciiTheme="majorBidi" w:hAnsiTheme="majorBidi" w:cstheme="majorBidi"/>
                <w:b/>
                <w:bCs/>
              </w:rPr>
            </w:pPr>
            <w:r w:rsidRPr="00AC78B8">
              <w:rPr>
                <w:rFonts w:asciiTheme="majorBidi" w:hAnsiTheme="majorBidi" w:cstheme="majorBidi"/>
                <w:b/>
                <w:bCs/>
              </w:rPr>
              <w:t>Page</w:t>
            </w:r>
          </w:p>
        </w:tc>
      </w:tr>
      <w:tr w:rsidR="004A7CFE" w:rsidRPr="00AC78B8" w14:paraId="23FE5671" w14:textId="77777777">
        <w:trPr>
          <w:trHeight w:val="467"/>
        </w:trPr>
        <w:tc>
          <w:tcPr>
            <w:tcW w:w="1980" w:type="dxa"/>
            <w:vAlign w:val="center"/>
          </w:tcPr>
          <w:p w14:paraId="268DD736"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4-1</w:t>
            </w:r>
          </w:p>
        </w:tc>
        <w:tc>
          <w:tcPr>
            <w:tcW w:w="7020" w:type="dxa"/>
            <w:vAlign w:val="center"/>
          </w:tcPr>
          <w:p w14:paraId="2A85E858"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MRV Cost Dilution across Portfolio Configurations</w:t>
            </w:r>
          </w:p>
        </w:tc>
        <w:tc>
          <w:tcPr>
            <w:tcW w:w="1080" w:type="dxa"/>
            <w:vAlign w:val="center"/>
          </w:tcPr>
          <w:p w14:paraId="6E2F3482" w14:textId="6FEFF682"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4</w:t>
            </w:r>
            <w:r w:rsidR="00FA4F46">
              <w:rPr>
                <w:rFonts w:asciiTheme="majorBidi" w:hAnsiTheme="majorBidi" w:cstheme="majorBidi"/>
              </w:rPr>
              <w:t>5</w:t>
            </w:r>
          </w:p>
        </w:tc>
      </w:tr>
      <w:tr w:rsidR="004A7CFE" w:rsidRPr="00AC78B8" w14:paraId="3812952B" w14:textId="77777777">
        <w:trPr>
          <w:trHeight w:val="467"/>
        </w:trPr>
        <w:tc>
          <w:tcPr>
            <w:tcW w:w="1980" w:type="dxa"/>
            <w:vAlign w:val="center"/>
          </w:tcPr>
          <w:p w14:paraId="6F46E039"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4-2</w:t>
            </w:r>
          </w:p>
        </w:tc>
        <w:tc>
          <w:tcPr>
            <w:tcW w:w="7020" w:type="dxa"/>
            <w:vAlign w:val="center"/>
          </w:tcPr>
          <w:p w14:paraId="0D14ED3C"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Cumulative Net Cash Position, Scenarios B, C, and D</w:t>
            </w:r>
          </w:p>
        </w:tc>
        <w:tc>
          <w:tcPr>
            <w:tcW w:w="1080" w:type="dxa"/>
            <w:vAlign w:val="center"/>
          </w:tcPr>
          <w:p w14:paraId="76DDDA74" w14:textId="5A247178"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4</w:t>
            </w:r>
            <w:r w:rsidR="00FA4F46">
              <w:rPr>
                <w:rFonts w:asciiTheme="majorBidi" w:hAnsiTheme="majorBidi" w:cstheme="majorBidi"/>
              </w:rPr>
              <w:t>8</w:t>
            </w:r>
          </w:p>
        </w:tc>
      </w:tr>
      <w:tr w:rsidR="004A7CFE" w:rsidRPr="00AC78B8" w14:paraId="27B0B402" w14:textId="77777777">
        <w:trPr>
          <w:trHeight w:val="467"/>
        </w:trPr>
        <w:tc>
          <w:tcPr>
            <w:tcW w:w="1980" w:type="dxa"/>
            <w:vAlign w:val="center"/>
          </w:tcPr>
          <w:p w14:paraId="3BF1645E"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4-3</w:t>
            </w:r>
          </w:p>
        </w:tc>
        <w:tc>
          <w:tcPr>
            <w:tcW w:w="7020" w:type="dxa"/>
            <w:vAlign w:val="center"/>
          </w:tcPr>
          <w:p w14:paraId="36A44A82"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NPV Sensitivity to Six Model Drivers (Tornado Analysis)</w:t>
            </w:r>
          </w:p>
        </w:tc>
        <w:tc>
          <w:tcPr>
            <w:tcW w:w="1080" w:type="dxa"/>
            <w:vAlign w:val="center"/>
          </w:tcPr>
          <w:p w14:paraId="57CB2754" w14:textId="06B92556"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5</w:t>
            </w:r>
            <w:r w:rsidR="00FA4F46">
              <w:rPr>
                <w:rFonts w:asciiTheme="majorBidi" w:hAnsiTheme="majorBidi" w:cstheme="majorBidi"/>
              </w:rPr>
              <w:t>0</w:t>
            </w:r>
          </w:p>
        </w:tc>
      </w:tr>
      <w:tr w:rsidR="004A7CFE" w:rsidRPr="00AC78B8" w14:paraId="3B998964" w14:textId="77777777">
        <w:trPr>
          <w:trHeight w:val="467"/>
        </w:trPr>
        <w:tc>
          <w:tcPr>
            <w:tcW w:w="1980" w:type="dxa"/>
            <w:vAlign w:val="center"/>
          </w:tcPr>
          <w:p w14:paraId="40F6792F"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4-4</w:t>
            </w:r>
          </w:p>
        </w:tc>
        <w:tc>
          <w:tcPr>
            <w:tcW w:w="7020" w:type="dxa"/>
            <w:vAlign w:val="center"/>
          </w:tcPr>
          <w:p w14:paraId="4A93CC5A"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Carbon Asset Appreciation under CBAM-Driven Demand</w:t>
            </w:r>
          </w:p>
        </w:tc>
        <w:tc>
          <w:tcPr>
            <w:tcW w:w="1080" w:type="dxa"/>
            <w:vAlign w:val="center"/>
          </w:tcPr>
          <w:p w14:paraId="23136F17" w14:textId="51335D5A"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5</w:t>
            </w:r>
            <w:r w:rsidR="00FA4F46">
              <w:rPr>
                <w:rFonts w:asciiTheme="majorBidi" w:hAnsiTheme="majorBidi" w:cstheme="majorBidi"/>
              </w:rPr>
              <w:t>1</w:t>
            </w:r>
          </w:p>
        </w:tc>
      </w:tr>
      <w:tr w:rsidR="004A7CFE" w:rsidRPr="00AC78B8" w14:paraId="3E379437" w14:textId="77777777">
        <w:trPr>
          <w:trHeight w:val="467"/>
        </w:trPr>
        <w:tc>
          <w:tcPr>
            <w:tcW w:w="1980" w:type="dxa"/>
            <w:vAlign w:val="center"/>
          </w:tcPr>
          <w:p w14:paraId="0C389879"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4-5</w:t>
            </w:r>
          </w:p>
        </w:tc>
        <w:tc>
          <w:tcPr>
            <w:tcW w:w="7020" w:type="dxa"/>
            <w:vAlign w:val="center"/>
          </w:tcPr>
          <w:p w14:paraId="723E16F2"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15-Year ROI by Scenario and CAPEX Level</w:t>
            </w:r>
          </w:p>
        </w:tc>
        <w:tc>
          <w:tcPr>
            <w:tcW w:w="1080" w:type="dxa"/>
            <w:vAlign w:val="center"/>
          </w:tcPr>
          <w:p w14:paraId="53033C92" w14:textId="474EF8B0" w:rsidR="004A7CFE" w:rsidRPr="00FA4F46" w:rsidRDefault="00FA4F46" w:rsidP="003964AD">
            <w:pPr>
              <w:spacing w:line="360" w:lineRule="auto"/>
              <w:jc w:val="center"/>
              <w:rPr>
                <w:rFonts w:asciiTheme="majorBidi" w:hAnsiTheme="majorBidi" w:cstheme="majorBidi"/>
              </w:rPr>
            </w:pPr>
            <w:r w:rsidRPr="00FA4F46">
              <w:rPr>
                <w:rFonts w:asciiTheme="majorBidi" w:hAnsiTheme="majorBidi" w:cstheme="majorBidi"/>
              </w:rPr>
              <w:t>52</w:t>
            </w:r>
          </w:p>
        </w:tc>
      </w:tr>
      <w:tr w:rsidR="004A7CFE" w:rsidRPr="00AC78B8" w14:paraId="436692F1" w14:textId="77777777">
        <w:trPr>
          <w:trHeight w:val="467"/>
        </w:trPr>
        <w:tc>
          <w:tcPr>
            <w:tcW w:w="1980" w:type="dxa"/>
            <w:vAlign w:val="center"/>
          </w:tcPr>
          <w:p w14:paraId="753DE063"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4-6</w:t>
            </w:r>
          </w:p>
        </w:tc>
        <w:tc>
          <w:tcPr>
            <w:tcW w:w="7020" w:type="dxa"/>
            <w:vAlign w:val="center"/>
          </w:tcPr>
          <w:p w14:paraId="61D63112"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Response Distributions across All Likert Items (n = 29)</w:t>
            </w:r>
          </w:p>
        </w:tc>
        <w:tc>
          <w:tcPr>
            <w:tcW w:w="1080" w:type="dxa"/>
            <w:vAlign w:val="center"/>
          </w:tcPr>
          <w:p w14:paraId="71256A29" w14:textId="6DEF2212" w:rsidR="004A7CFE" w:rsidRPr="00FA4F46" w:rsidRDefault="00FA4F46" w:rsidP="003964AD">
            <w:pPr>
              <w:spacing w:line="360" w:lineRule="auto"/>
              <w:jc w:val="center"/>
              <w:rPr>
                <w:rFonts w:asciiTheme="majorBidi" w:hAnsiTheme="majorBidi" w:cstheme="majorBidi"/>
              </w:rPr>
            </w:pPr>
            <w:r>
              <w:rPr>
                <w:rFonts w:asciiTheme="majorBidi" w:hAnsiTheme="majorBidi" w:cstheme="majorBidi"/>
              </w:rPr>
              <w:t>59</w:t>
            </w:r>
          </w:p>
        </w:tc>
      </w:tr>
      <w:tr w:rsidR="004A7CFE" w:rsidRPr="00AC78B8" w14:paraId="4B941B41" w14:textId="77777777">
        <w:trPr>
          <w:trHeight w:val="467"/>
        </w:trPr>
        <w:tc>
          <w:tcPr>
            <w:tcW w:w="1980" w:type="dxa"/>
            <w:vAlign w:val="center"/>
          </w:tcPr>
          <w:p w14:paraId="511FFEB1"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4-7</w:t>
            </w:r>
          </w:p>
        </w:tc>
        <w:tc>
          <w:tcPr>
            <w:tcW w:w="7020" w:type="dxa"/>
            <w:vAlign w:val="center"/>
          </w:tcPr>
          <w:p w14:paraId="537AAFA8"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The H5 Finding Visualized</w:t>
            </w:r>
          </w:p>
        </w:tc>
        <w:tc>
          <w:tcPr>
            <w:tcW w:w="1080" w:type="dxa"/>
            <w:vAlign w:val="center"/>
          </w:tcPr>
          <w:p w14:paraId="24B19454" w14:textId="7C1F69A1"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6</w:t>
            </w:r>
            <w:r w:rsidR="00FA4F46">
              <w:rPr>
                <w:rFonts w:asciiTheme="majorBidi" w:hAnsiTheme="majorBidi" w:cstheme="majorBidi"/>
              </w:rPr>
              <w:t>0</w:t>
            </w:r>
          </w:p>
        </w:tc>
      </w:tr>
      <w:tr w:rsidR="004A7CFE" w:rsidRPr="00AC78B8" w14:paraId="09C9D562" w14:textId="77777777">
        <w:trPr>
          <w:trHeight w:val="467"/>
        </w:trPr>
        <w:tc>
          <w:tcPr>
            <w:tcW w:w="1980" w:type="dxa"/>
            <w:vAlign w:val="center"/>
          </w:tcPr>
          <w:p w14:paraId="0BE6640F"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4-8</w:t>
            </w:r>
          </w:p>
        </w:tc>
        <w:tc>
          <w:tcPr>
            <w:tcW w:w="7020" w:type="dxa"/>
            <w:vAlign w:val="center"/>
          </w:tcPr>
          <w:p w14:paraId="209945F4"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Survey Participation Intent under the Three Scenarios (n = 29)</w:t>
            </w:r>
          </w:p>
        </w:tc>
        <w:tc>
          <w:tcPr>
            <w:tcW w:w="1080" w:type="dxa"/>
            <w:vAlign w:val="center"/>
          </w:tcPr>
          <w:p w14:paraId="331D6574" w14:textId="77777777"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62</w:t>
            </w:r>
          </w:p>
        </w:tc>
      </w:tr>
      <w:tr w:rsidR="004A7CFE" w:rsidRPr="00AC78B8" w14:paraId="597EC362" w14:textId="77777777">
        <w:trPr>
          <w:trHeight w:val="467"/>
        </w:trPr>
        <w:tc>
          <w:tcPr>
            <w:tcW w:w="1980" w:type="dxa"/>
            <w:vAlign w:val="center"/>
          </w:tcPr>
          <w:p w14:paraId="1F0BB398"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Figure 4-9</w:t>
            </w:r>
          </w:p>
        </w:tc>
        <w:tc>
          <w:tcPr>
            <w:tcW w:w="7020" w:type="dxa"/>
            <w:vAlign w:val="center"/>
          </w:tcPr>
          <w:p w14:paraId="1EF5A164"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Cs/>
              </w:rPr>
              <w:t>Program Design Signals</w:t>
            </w:r>
          </w:p>
        </w:tc>
        <w:tc>
          <w:tcPr>
            <w:tcW w:w="1080" w:type="dxa"/>
            <w:vAlign w:val="center"/>
          </w:tcPr>
          <w:p w14:paraId="503D44A1" w14:textId="77777777" w:rsidR="004A7CFE" w:rsidRPr="00FA4F46" w:rsidRDefault="00000000" w:rsidP="003964AD">
            <w:pPr>
              <w:spacing w:line="360" w:lineRule="auto"/>
              <w:jc w:val="center"/>
              <w:rPr>
                <w:rFonts w:asciiTheme="majorBidi" w:hAnsiTheme="majorBidi" w:cstheme="majorBidi"/>
              </w:rPr>
            </w:pPr>
            <w:r w:rsidRPr="00AC78B8">
              <w:rPr>
                <w:rFonts w:asciiTheme="majorBidi" w:hAnsiTheme="majorBidi" w:cstheme="majorBidi"/>
              </w:rPr>
              <w:t>63</w:t>
            </w:r>
          </w:p>
        </w:tc>
      </w:tr>
    </w:tbl>
    <w:p w14:paraId="6F1A59D8" w14:textId="77777777" w:rsidR="004A7CFE" w:rsidRPr="00AC78B8" w:rsidRDefault="004A7CFE" w:rsidP="00C215A2">
      <w:pPr>
        <w:spacing w:before="100" w:after="0" w:line="360" w:lineRule="auto"/>
        <w:jc w:val="both"/>
        <w:rPr>
          <w:rFonts w:asciiTheme="majorBidi" w:eastAsia="Times New Roman" w:hAnsiTheme="majorBidi" w:cstheme="majorBidi"/>
          <w:b/>
          <w:bCs/>
          <w:color w:val="000000"/>
          <w:sz w:val="30"/>
          <w:szCs w:val="30"/>
          <w:u w:val="single"/>
        </w:rPr>
      </w:pPr>
    </w:p>
    <w:p w14:paraId="60F5AC1A"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4BD84C5E"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43F693B5"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658D4D42"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78D9DA41"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5896E46D"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2FC60A55"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5B872576" w14:textId="77777777" w:rsidR="004A7CFE" w:rsidRDefault="004A7CFE" w:rsidP="00C215A2">
      <w:pPr>
        <w:spacing w:before="160" w:after="0" w:line="360" w:lineRule="auto"/>
        <w:jc w:val="both"/>
        <w:rPr>
          <w:rFonts w:asciiTheme="majorBidi" w:eastAsia="Times New Roman" w:hAnsiTheme="majorBidi" w:cstheme="majorBidi"/>
          <w:b/>
          <w:bCs/>
          <w:sz w:val="21"/>
          <w:szCs w:val="21"/>
        </w:rPr>
      </w:pPr>
    </w:p>
    <w:p w14:paraId="2FD835BB" w14:textId="77777777" w:rsidR="00C215A2" w:rsidRDefault="00C215A2" w:rsidP="00C215A2">
      <w:pPr>
        <w:spacing w:before="160" w:after="0" w:line="360" w:lineRule="auto"/>
        <w:jc w:val="both"/>
        <w:rPr>
          <w:rFonts w:asciiTheme="majorBidi" w:eastAsia="Times New Roman" w:hAnsiTheme="majorBidi" w:cstheme="majorBidi"/>
          <w:b/>
          <w:bCs/>
          <w:sz w:val="21"/>
          <w:szCs w:val="21"/>
        </w:rPr>
      </w:pPr>
    </w:p>
    <w:p w14:paraId="4190852D" w14:textId="77777777" w:rsidR="00C215A2" w:rsidRPr="00AC78B8" w:rsidRDefault="00C215A2" w:rsidP="00C215A2">
      <w:pPr>
        <w:spacing w:before="160" w:after="0" w:line="360" w:lineRule="auto"/>
        <w:jc w:val="both"/>
        <w:rPr>
          <w:rFonts w:asciiTheme="majorBidi" w:eastAsia="Times New Roman" w:hAnsiTheme="majorBidi" w:cstheme="majorBidi"/>
          <w:b/>
          <w:bCs/>
          <w:sz w:val="21"/>
          <w:szCs w:val="21"/>
        </w:rPr>
      </w:pPr>
    </w:p>
    <w:p w14:paraId="6AB4FDC0"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3C779F71"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542C9315"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4D136F16" w14:textId="77777777" w:rsidR="004A7CFE" w:rsidRPr="00AC78B8" w:rsidRDefault="004A7CFE" w:rsidP="00C215A2">
      <w:pPr>
        <w:spacing w:before="160" w:after="0" w:line="360" w:lineRule="auto"/>
        <w:jc w:val="both"/>
        <w:rPr>
          <w:rFonts w:asciiTheme="majorBidi" w:eastAsia="Times New Roman" w:hAnsiTheme="majorBidi" w:cstheme="majorBidi"/>
          <w:b/>
          <w:bCs/>
          <w:sz w:val="21"/>
          <w:szCs w:val="21"/>
        </w:rPr>
      </w:pPr>
    </w:p>
    <w:p w14:paraId="7D996C64" w14:textId="77777777" w:rsidR="004A7CFE" w:rsidRPr="00AC78B8" w:rsidRDefault="004A7CFE" w:rsidP="00C215A2">
      <w:pPr>
        <w:spacing w:before="160" w:after="0" w:line="360" w:lineRule="auto"/>
        <w:jc w:val="both"/>
        <w:rPr>
          <w:rFonts w:asciiTheme="majorBidi" w:eastAsia="Times New Roman" w:hAnsiTheme="majorBidi" w:cstheme="majorBidi"/>
          <w:b/>
          <w:bCs/>
          <w:sz w:val="2"/>
          <w:szCs w:val="2"/>
        </w:rPr>
      </w:pPr>
    </w:p>
    <w:p w14:paraId="4DF34A26" w14:textId="77777777" w:rsidR="00820A74" w:rsidRPr="00AC78B8" w:rsidRDefault="00820A74" w:rsidP="00C215A2">
      <w:pPr>
        <w:spacing w:before="100" w:after="0" w:line="360" w:lineRule="auto"/>
        <w:jc w:val="center"/>
        <w:rPr>
          <w:rFonts w:asciiTheme="majorBidi" w:eastAsia="Times New Roman" w:hAnsiTheme="majorBidi" w:cstheme="majorBidi"/>
          <w:b/>
          <w:bCs/>
          <w:color w:val="000000"/>
          <w:sz w:val="24"/>
          <w:szCs w:val="24"/>
          <w:u w:val="single"/>
        </w:rPr>
      </w:pPr>
    </w:p>
    <w:p w14:paraId="01E02A86" w14:textId="40F68FB1" w:rsidR="004A7CFE" w:rsidRPr="00AC78B8" w:rsidRDefault="00000000" w:rsidP="00C215A2">
      <w:pPr>
        <w:spacing w:before="100" w:after="0" w:line="360" w:lineRule="auto"/>
        <w:jc w:val="center"/>
        <w:rPr>
          <w:rFonts w:asciiTheme="majorBidi" w:eastAsia="Times New Roman" w:hAnsiTheme="majorBidi" w:cstheme="majorBidi"/>
          <w:b/>
          <w:bCs/>
          <w:color w:val="000000"/>
          <w:sz w:val="40"/>
          <w:szCs w:val="40"/>
          <w:u w:val="single"/>
        </w:rPr>
      </w:pPr>
      <w:r w:rsidRPr="00AC78B8">
        <w:rPr>
          <w:rFonts w:asciiTheme="majorBidi" w:eastAsia="Times New Roman" w:hAnsiTheme="majorBidi" w:cstheme="majorBidi"/>
          <w:b/>
          <w:bCs/>
          <w:color w:val="000000"/>
          <w:sz w:val="40"/>
          <w:szCs w:val="40"/>
          <w:u w:val="single"/>
        </w:rPr>
        <w:t>List of Appendices</w:t>
      </w:r>
    </w:p>
    <w:p w14:paraId="0FCC0344" w14:textId="77777777" w:rsidR="004A7CFE" w:rsidRPr="00AC78B8" w:rsidRDefault="004A7CFE" w:rsidP="00C215A2">
      <w:pPr>
        <w:spacing w:before="100" w:after="0" w:line="360" w:lineRule="auto"/>
        <w:jc w:val="both"/>
        <w:rPr>
          <w:rFonts w:asciiTheme="majorBidi" w:eastAsia="Times New Roman" w:hAnsiTheme="majorBidi" w:cstheme="majorBidi"/>
          <w:b/>
          <w:bCs/>
          <w:color w:val="000000"/>
          <w:sz w:val="30"/>
          <w:szCs w:val="30"/>
        </w:rPr>
      </w:pPr>
    </w:p>
    <w:tbl>
      <w:tblPr>
        <w:tblStyle w:val="TableGrid"/>
        <w:tblW w:w="10080" w:type="dxa"/>
        <w:tblInd w:w="-275" w:type="dxa"/>
        <w:tblLook w:val="04A0" w:firstRow="1" w:lastRow="0" w:firstColumn="1" w:lastColumn="0" w:noHBand="0" w:noVBand="1"/>
      </w:tblPr>
      <w:tblGrid>
        <w:gridCol w:w="1980"/>
        <w:gridCol w:w="7020"/>
        <w:gridCol w:w="1080"/>
      </w:tblGrid>
      <w:tr w:rsidR="004A7CFE" w:rsidRPr="00AC78B8" w14:paraId="13A247D8" w14:textId="77777777">
        <w:trPr>
          <w:trHeight w:val="467"/>
        </w:trPr>
        <w:tc>
          <w:tcPr>
            <w:tcW w:w="1980" w:type="dxa"/>
            <w:vAlign w:val="center"/>
          </w:tcPr>
          <w:p w14:paraId="20A5FE1B"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
                <w:bCs/>
              </w:rPr>
              <w:t>Appendix</w:t>
            </w:r>
          </w:p>
        </w:tc>
        <w:tc>
          <w:tcPr>
            <w:tcW w:w="7020" w:type="dxa"/>
            <w:vAlign w:val="center"/>
          </w:tcPr>
          <w:p w14:paraId="1B121758"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
                <w:bCs/>
              </w:rPr>
              <w:t>Description</w:t>
            </w:r>
          </w:p>
        </w:tc>
        <w:tc>
          <w:tcPr>
            <w:tcW w:w="1080" w:type="dxa"/>
            <w:vAlign w:val="center"/>
          </w:tcPr>
          <w:p w14:paraId="20165407" w14:textId="77777777" w:rsidR="004A7CFE" w:rsidRPr="00AC78B8" w:rsidRDefault="00000000" w:rsidP="00C215A2">
            <w:pPr>
              <w:spacing w:line="360" w:lineRule="auto"/>
              <w:jc w:val="both"/>
              <w:rPr>
                <w:rFonts w:asciiTheme="majorBidi" w:hAnsiTheme="majorBidi" w:cstheme="majorBidi"/>
                <w:b/>
                <w:bCs/>
              </w:rPr>
            </w:pPr>
            <w:r w:rsidRPr="00AC78B8">
              <w:rPr>
                <w:rFonts w:asciiTheme="majorBidi" w:hAnsiTheme="majorBidi" w:cstheme="majorBidi"/>
                <w:b/>
                <w:bCs/>
              </w:rPr>
              <w:t>Page</w:t>
            </w:r>
          </w:p>
        </w:tc>
      </w:tr>
      <w:tr w:rsidR="004A7CFE" w:rsidRPr="00AC78B8" w14:paraId="3E56C199" w14:textId="77777777">
        <w:trPr>
          <w:trHeight w:val="602"/>
        </w:trPr>
        <w:tc>
          <w:tcPr>
            <w:tcW w:w="1980" w:type="dxa"/>
            <w:vAlign w:val="center"/>
          </w:tcPr>
          <w:p w14:paraId="53AADEE4" w14:textId="77777777" w:rsidR="004A7CFE" w:rsidRPr="00AC78B8" w:rsidRDefault="00000000" w:rsidP="00C215A2">
            <w:pPr>
              <w:spacing w:line="360" w:lineRule="auto"/>
              <w:jc w:val="both"/>
              <w:rPr>
                <w:rFonts w:asciiTheme="majorBidi" w:hAnsiTheme="majorBidi" w:cstheme="majorBidi"/>
              </w:rPr>
            </w:pPr>
            <w:r w:rsidRPr="00AC78B8">
              <w:rPr>
                <w:rFonts w:asciiTheme="majorBidi" w:hAnsiTheme="majorBidi" w:cstheme="majorBidi"/>
              </w:rPr>
              <w:t>Appendix A</w:t>
            </w:r>
          </w:p>
        </w:tc>
        <w:tc>
          <w:tcPr>
            <w:tcW w:w="7020" w:type="dxa"/>
            <w:vAlign w:val="center"/>
          </w:tcPr>
          <w:p w14:paraId="5D35BE39" w14:textId="77777777" w:rsidR="004A7CFE" w:rsidRPr="00AC78B8" w:rsidRDefault="00000000" w:rsidP="00C215A2">
            <w:pPr>
              <w:spacing w:line="360" w:lineRule="auto"/>
              <w:jc w:val="both"/>
              <w:rPr>
                <w:rFonts w:asciiTheme="majorBidi" w:hAnsiTheme="majorBidi" w:cstheme="majorBidi"/>
              </w:rPr>
            </w:pPr>
            <w:r w:rsidRPr="00AC78B8">
              <w:rPr>
                <w:rFonts w:asciiTheme="majorBidi" w:hAnsiTheme="majorBidi" w:cstheme="majorBidi"/>
              </w:rPr>
              <w:t>Survey Instrument</w:t>
            </w:r>
          </w:p>
        </w:tc>
        <w:tc>
          <w:tcPr>
            <w:tcW w:w="1080" w:type="dxa"/>
            <w:vAlign w:val="center"/>
          </w:tcPr>
          <w:p w14:paraId="71CF7209" w14:textId="77777777" w:rsidR="004A7CFE" w:rsidRPr="00AC78B8" w:rsidRDefault="00000000" w:rsidP="00C215A2">
            <w:pPr>
              <w:spacing w:line="360" w:lineRule="auto"/>
              <w:jc w:val="center"/>
              <w:rPr>
                <w:rFonts w:asciiTheme="majorBidi" w:hAnsiTheme="majorBidi" w:cstheme="majorBidi"/>
              </w:rPr>
            </w:pPr>
            <w:r w:rsidRPr="00AC78B8">
              <w:rPr>
                <w:rFonts w:asciiTheme="majorBidi" w:hAnsiTheme="majorBidi" w:cstheme="majorBidi"/>
              </w:rPr>
              <w:t>78</w:t>
            </w:r>
          </w:p>
        </w:tc>
      </w:tr>
      <w:tr w:rsidR="004A7CFE" w:rsidRPr="00AC78B8" w14:paraId="52532BAA" w14:textId="77777777">
        <w:trPr>
          <w:trHeight w:val="674"/>
        </w:trPr>
        <w:tc>
          <w:tcPr>
            <w:tcW w:w="1980" w:type="dxa"/>
            <w:vAlign w:val="center"/>
          </w:tcPr>
          <w:p w14:paraId="214DEE04" w14:textId="77777777" w:rsidR="004A7CFE" w:rsidRPr="00AC78B8" w:rsidRDefault="00000000" w:rsidP="00C215A2">
            <w:pPr>
              <w:spacing w:line="360" w:lineRule="auto"/>
              <w:jc w:val="both"/>
              <w:rPr>
                <w:rFonts w:asciiTheme="majorBidi" w:hAnsiTheme="majorBidi" w:cstheme="majorBidi"/>
              </w:rPr>
            </w:pPr>
            <w:r w:rsidRPr="00AC78B8">
              <w:rPr>
                <w:rFonts w:asciiTheme="majorBidi" w:hAnsiTheme="majorBidi" w:cstheme="majorBidi"/>
              </w:rPr>
              <w:t>Appendix B</w:t>
            </w:r>
          </w:p>
        </w:tc>
        <w:tc>
          <w:tcPr>
            <w:tcW w:w="7020" w:type="dxa"/>
            <w:vAlign w:val="center"/>
          </w:tcPr>
          <w:p w14:paraId="45B0C45A" w14:textId="77777777" w:rsidR="004A7CFE" w:rsidRPr="00AC78B8" w:rsidRDefault="00000000" w:rsidP="00C215A2">
            <w:pPr>
              <w:tabs>
                <w:tab w:val="left" w:pos="2603"/>
              </w:tabs>
              <w:spacing w:line="360" w:lineRule="auto"/>
              <w:jc w:val="both"/>
              <w:rPr>
                <w:rFonts w:asciiTheme="majorBidi" w:hAnsiTheme="majorBidi" w:cstheme="majorBidi"/>
              </w:rPr>
            </w:pPr>
            <w:r w:rsidRPr="00AC78B8">
              <w:rPr>
                <w:rFonts w:asciiTheme="majorBidi" w:hAnsiTheme="majorBidi" w:cstheme="majorBidi"/>
              </w:rPr>
              <w:t>Financial Model Workbook Guide</w:t>
            </w:r>
          </w:p>
        </w:tc>
        <w:tc>
          <w:tcPr>
            <w:tcW w:w="1080" w:type="dxa"/>
            <w:vAlign w:val="center"/>
          </w:tcPr>
          <w:p w14:paraId="296993AD" w14:textId="77777777" w:rsidR="004A7CFE" w:rsidRPr="00AC78B8" w:rsidRDefault="00000000" w:rsidP="00C215A2">
            <w:pPr>
              <w:spacing w:line="360" w:lineRule="auto"/>
              <w:jc w:val="center"/>
              <w:rPr>
                <w:rFonts w:asciiTheme="majorBidi" w:hAnsiTheme="majorBidi" w:cstheme="majorBidi"/>
              </w:rPr>
            </w:pPr>
            <w:r w:rsidRPr="00AC78B8">
              <w:rPr>
                <w:rFonts w:asciiTheme="majorBidi" w:hAnsiTheme="majorBidi" w:cstheme="majorBidi"/>
              </w:rPr>
              <w:t>81</w:t>
            </w:r>
          </w:p>
        </w:tc>
      </w:tr>
      <w:tr w:rsidR="004A7CFE" w:rsidRPr="00AC78B8" w14:paraId="28A7B46D" w14:textId="77777777">
        <w:trPr>
          <w:trHeight w:val="552"/>
        </w:trPr>
        <w:tc>
          <w:tcPr>
            <w:tcW w:w="1980" w:type="dxa"/>
            <w:vAlign w:val="center"/>
          </w:tcPr>
          <w:p w14:paraId="5BBEEE1A" w14:textId="77777777" w:rsidR="004A7CFE" w:rsidRPr="00AC78B8" w:rsidRDefault="00000000" w:rsidP="00C215A2">
            <w:pPr>
              <w:spacing w:line="360" w:lineRule="auto"/>
              <w:jc w:val="both"/>
              <w:rPr>
                <w:rFonts w:asciiTheme="majorBidi" w:hAnsiTheme="majorBidi" w:cstheme="majorBidi"/>
              </w:rPr>
            </w:pPr>
            <w:r w:rsidRPr="00AC78B8">
              <w:rPr>
                <w:rFonts w:asciiTheme="majorBidi" w:hAnsiTheme="majorBidi" w:cstheme="majorBidi"/>
              </w:rPr>
              <w:t>Appendix C</w:t>
            </w:r>
          </w:p>
        </w:tc>
        <w:tc>
          <w:tcPr>
            <w:tcW w:w="7020" w:type="dxa"/>
            <w:vAlign w:val="center"/>
          </w:tcPr>
          <w:p w14:paraId="46C13103" w14:textId="77777777" w:rsidR="004A7CFE" w:rsidRPr="00AC78B8" w:rsidRDefault="00000000" w:rsidP="00C215A2">
            <w:pPr>
              <w:spacing w:line="360" w:lineRule="auto"/>
              <w:jc w:val="both"/>
              <w:rPr>
                <w:rFonts w:asciiTheme="majorBidi" w:hAnsiTheme="majorBidi" w:cstheme="majorBidi"/>
              </w:rPr>
            </w:pPr>
            <w:r w:rsidRPr="00AC78B8">
              <w:rPr>
                <w:rFonts w:asciiTheme="majorBidi" w:hAnsiTheme="majorBidi" w:cstheme="majorBidi"/>
              </w:rPr>
              <w:t>Financial Model Workbook</w:t>
            </w:r>
          </w:p>
        </w:tc>
        <w:tc>
          <w:tcPr>
            <w:tcW w:w="1080" w:type="dxa"/>
            <w:vAlign w:val="center"/>
          </w:tcPr>
          <w:p w14:paraId="7C822A8F" w14:textId="77777777" w:rsidR="004A7CFE" w:rsidRPr="00AC78B8" w:rsidRDefault="00000000" w:rsidP="00C215A2">
            <w:pPr>
              <w:spacing w:line="360" w:lineRule="auto"/>
              <w:jc w:val="center"/>
              <w:rPr>
                <w:rFonts w:asciiTheme="majorBidi" w:hAnsiTheme="majorBidi" w:cstheme="majorBidi"/>
              </w:rPr>
            </w:pPr>
            <w:r w:rsidRPr="00AC78B8">
              <w:rPr>
                <w:rFonts w:asciiTheme="majorBidi" w:hAnsiTheme="majorBidi" w:cstheme="majorBidi"/>
              </w:rPr>
              <w:t>82</w:t>
            </w:r>
          </w:p>
        </w:tc>
      </w:tr>
    </w:tbl>
    <w:p w14:paraId="44C17278" w14:textId="77777777" w:rsidR="004A7CFE" w:rsidRPr="00AC78B8" w:rsidRDefault="004A7CFE" w:rsidP="00C215A2">
      <w:pPr>
        <w:spacing w:before="160" w:after="0" w:line="360" w:lineRule="auto"/>
        <w:jc w:val="both"/>
        <w:rPr>
          <w:rFonts w:asciiTheme="majorBidi" w:hAnsiTheme="majorBidi" w:cstheme="majorBidi"/>
        </w:rPr>
      </w:pPr>
    </w:p>
    <w:p w14:paraId="4C513A43" w14:textId="77777777" w:rsidR="004A7CFE" w:rsidRPr="00AC78B8" w:rsidRDefault="004A7CFE" w:rsidP="00C215A2">
      <w:pPr>
        <w:spacing w:after="0" w:line="360" w:lineRule="auto"/>
        <w:ind w:left="360" w:hanging="360"/>
        <w:jc w:val="both"/>
        <w:rPr>
          <w:rFonts w:asciiTheme="majorBidi" w:eastAsia="Times New Roman" w:hAnsiTheme="majorBidi" w:cstheme="majorBidi"/>
          <w:color w:val="FF0000"/>
          <w:sz w:val="21"/>
          <w:szCs w:val="21"/>
        </w:rPr>
      </w:pPr>
    </w:p>
    <w:p w14:paraId="6334FFEB" w14:textId="77777777" w:rsidR="004A7CFE" w:rsidRPr="00AC78B8" w:rsidRDefault="004A7CFE" w:rsidP="00C215A2">
      <w:pPr>
        <w:spacing w:after="0" w:line="360" w:lineRule="auto"/>
        <w:ind w:left="360" w:hanging="360"/>
        <w:jc w:val="both"/>
        <w:rPr>
          <w:rFonts w:asciiTheme="majorBidi" w:hAnsiTheme="majorBidi" w:cstheme="majorBidi"/>
        </w:rPr>
      </w:pPr>
    </w:p>
    <w:p w14:paraId="3B0DBAF0" w14:textId="18C96C52" w:rsidR="00C215A2" w:rsidRPr="00C215A2" w:rsidRDefault="00000000" w:rsidP="00C215A2">
      <w:pPr>
        <w:spacing w:after="0" w:line="360" w:lineRule="auto"/>
        <w:jc w:val="both"/>
        <w:rPr>
          <w:rFonts w:asciiTheme="majorBidi" w:hAnsiTheme="majorBidi" w:cstheme="majorBidi"/>
        </w:rPr>
      </w:pPr>
      <w:r w:rsidRPr="00AC78B8">
        <w:rPr>
          <w:rFonts w:asciiTheme="majorBidi" w:hAnsiTheme="majorBidi" w:cstheme="majorBidi"/>
        </w:rPr>
        <w:br w:type="page"/>
      </w:r>
    </w:p>
    <w:p w14:paraId="06755478" w14:textId="5E3629C7" w:rsidR="00C215A2" w:rsidRPr="00C215A2" w:rsidRDefault="00000000" w:rsidP="00C215A2">
      <w:pPr>
        <w:spacing w:before="100" w:after="0" w:line="360" w:lineRule="auto"/>
        <w:jc w:val="center"/>
        <w:rPr>
          <w:rFonts w:asciiTheme="majorBidi" w:eastAsia="Times New Roman" w:hAnsiTheme="majorBidi" w:cstheme="majorBidi"/>
          <w:b/>
          <w:bCs/>
          <w:color w:val="000000"/>
          <w:sz w:val="40"/>
          <w:szCs w:val="40"/>
          <w:u w:val="single"/>
        </w:rPr>
      </w:pPr>
      <w:r w:rsidRPr="00AC78B8">
        <w:rPr>
          <w:rFonts w:asciiTheme="majorBidi" w:eastAsia="Times New Roman" w:hAnsiTheme="majorBidi" w:cstheme="majorBidi"/>
          <w:b/>
          <w:bCs/>
          <w:color w:val="000000"/>
          <w:sz w:val="40"/>
          <w:szCs w:val="40"/>
          <w:u w:val="single"/>
        </w:rPr>
        <w:lastRenderedPageBreak/>
        <w:t>Research Terminology</w:t>
      </w:r>
    </w:p>
    <w:tbl>
      <w:tblPr>
        <w:tblW w:w="9000" w:type="dxa"/>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2070"/>
        <w:gridCol w:w="6930"/>
      </w:tblGrid>
      <w:tr w:rsidR="004A7CFE" w:rsidRPr="00C215A2" w14:paraId="30E50354" w14:textId="77777777">
        <w:tc>
          <w:tcPr>
            <w:tcW w:w="2070" w:type="dxa"/>
            <w:shd w:val="clear" w:color="auto" w:fill="D9D9D9"/>
            <w:tcMar>
              <w:top w:w="60" w:type="dxa"/>
              <w:left w:w="90" w:type="dxa"/>
              <w:bottom w:w="60" w:type="dxa"/>
              <w:right w:w="90" w:type="dxa"/>
            </w:tcMar>
            <w:vAlign w:val="center"/>
          </w:tcPr>
          <w:p w14:paraId="780B4139"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b/>
                <w:bCs/>
                <w:color w:val="000000"/>
              </w:rPr>
              <w:t>Abbreviation</w:t>
            </w:r>
          </w:p>
        </w:tc>
        <w:tc>
          <w:tcPr>
            <w:tcW w:w="6930" w:type="dxa"/>
            <w:shd w:val="clear" w:color="auto" w:fill="D9D9D9"/>
            <w:tcMar>
              <w:top w:w="60" w:type="dxa"/>
              <w:left w:w="90" w:type="dxa"/>
              <w:bottom w:w="60" w:type="dxa"/>
              <w:right w:w="90" w:type="dxa"/>
            </w:tcMar>
            <w:vAlign w:val="center"/>
          </w:tcPr>
          <w:p w14:paraId="62D217B9"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b/>
                <w:bCs/>
                <w:color w:val="000000"/>
              </w:rPr>
              <w:t>Meaning</w:t>
            </w:r>
          </w:p>
        </w:tc>
      </w:tr>
      <w:tr w:rsidR="004A7CFE" w:rsidRPr="00C215A2" w14:paraId="112C3B6C" w14:textId="77777777">
        <w:tc>
          <w:tcPr>
            <w:tcW w:w="2070" w:type="dxa"/>
            <w:tcMar>
              <w:top w:w="60" w:type="dxa"/>
              <w:left w:w="90" w:type="dxa"/>
              <w:bottom w:w="60" w:type="dxa"/>
              <w:right w:w="90" w:type="dxa"/>
            </w:tcMar>
            <w:vAlign w:val="center"/>
          </w:tcPr>
          <w:p w14:paraId="5CBD6F4D"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BMS</w:t>
            </w:r>
          </w:p>
        </w:tc>
        <w:tc>
          <w:tcPr>
            <w:tcW w:w="6930" w:type="dxa"/>
            <w:tcMar>
              <w:top w:w="60" w:type="dxa"/>
              <w:left w:w="90" w:type="dxa"/>
              <w:bottom w:w="60" w:type="dxa"/>
              <w:right w:w="90" w:type="dxa"/>
            </w:tcMar>
            <w:vAlign w:val="center"/>
          </w:tcPr>
          <w:p w14:paraId="6A63C93E"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Building Management System</w:t>
            </w:r>
          </w:p>
        </w:tc>
      </w:tr>
      <w:tr w:rsidR="004A7CFE" w:rsidRPr="00C215A2" w14:paraId="3AD93349" w14:textId="77777777">
        <w:tc>
          <w:tcPr>
            <w:tcW w:w="2070" w:type="dxa"/>
            <w:shd w:val="clear" w:color="auto" w:fill="FFFFFF"/>
            <w:tcMar>
              <w:top w:w="60" w:type="dxa"/>
              <w:left w:w="90" w:type="dxa"/>
              <w:bottom w:w="60" w:type="dxa"/>
              <w:right w:w="90" w:type="dxa"/>
            </w:tcMar>
            <w:vAlign w:val="center"/>
          </w:tcPr>
          <w:p w14:paraId="68F0674A"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CAPEX / OPEX</w:t>
            </w:r>
          </w:p>
        </w:tc>
        <w:tc>
          <w:tcPr>
            <w:tcW w:w="6930" w:type="dxa"/>
            <w:tcMar>
              <w:top w:w="60" w:type="dxa"/>
              <w:left w:w="90" w:type="dxa"/>
              <w:bottom w:w="60" w:type="dxa"/>
              <w:right w:w="90" w:type="dxa"/>
            </w:tcMar>
            <w:vAlign w:val="center"/>
          </w:tcPr>
          <w:p w14:paraId="69B75F8A"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Capital Expenditure / Operating Expenditure</w:t>
            </w:r>
          </w:p>
        </w:tc>
      </w:tr>
      <w:tr w:rsidR="004A7CFE" w:rsidRPr="00C215A2" w14:paraId="3298878E" w14:textId="77777777">
        <w:tc>
          <w:tcPr>
            <w:tcW w:w="2070" w:type="dxa"/>
            <w:tcMar>
              <w:top w:w="60" w:type="dxa"/>
              <w:left w:w="90" w:type="dxa"/>
              <w:bottom w:w="60" w:type="dxa"/>
              <w:right w:w="90" w:type="dxa"/>
            </w:tcMar>
            <w:vAlign w:val="center"/>
          </w:tcPr>
          <w:p w14:paraId="39913E8D"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CBAM</w:t>
            </w:r>
          </w:p>
        </w:tc>
        <w:tc>
          <w:tcPr>
            <w:tcW w:w="6930" w:type="dxa"/>
            <w:tcMar>
              <w:top w:w="60" w:type="dxa"/>
              <w:left w:w="90" w:type="dxa"/>
              <w:bottom w:w="60" w:type="dxa"/>
              <w:right w:w="90" w:type="dxa"/>
            </w:tcMar>
            <w:vAlign w:val="center"/>
          </w:tcPr>
          <w:p w14:paraId="1419888F"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Carbon Border Adjustment Mechanism (European Union)</w:t>
            </w:r>
          </w:p>
        </w:tc>
      </w:tr>
      <w:tr w:rsidR="004A7CFE" w:rsidRPr="00C215A2" w14:paraId="0CE83DAA" w14:textId="77777777">
        <w:tc>
          <w:tcPr>
            <w:tcW w:w="2070" w:type="dxa"/>
            <w:shd w:val="clear" w:color="auto" w:fill="FFFFFF"/>
            <w:tcMar>
              <w:top w:w="60" w:type="dxa"/>
              <w:left w:w="90" w:type="dxa"/>
              <w:bottom w:w="60" w:type="dxa"/>
              <w:right w:w="90" w:type="dxa"/>
            </w:tcMar>
            <w:vAlign w:val="center"/>
          </w:tcPr>
          <w:p w14:paraId="20950F81"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CDM</w:t>
            </w:r>
          </w:p>
        </w:tc>
        <w:tc>
          <w:tcPr>
            <w:tcW w:w="6930" w:type="dxa"/>
            <w:tcMar>
              <w:top w:w="60" w:type="dxa"/>
              <w:left w:w="90" w:type="dxa"/>
              <w:bottom w:w="60" w:type="dxa"/>
              <w:right w:w="90" w:type="dxa"/>
            </w:tcMar>
            <w:vAlign w:val="center"/>
          </w:tcPr>
          <w:p w14:paraId="11809531"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Clean Development Mechanism (UNFCCC)</w:t>
            </w:r>
          </w:p>
        </w:tc>
      </w:tr>
      <w:tr w:rsidR="004A7CFE" w:rsidRPr="00C215A2" w14:paraId="48FB4007" w14:textId="77777777">
        <w:tc>
          <w:tcPr>
            <w:tcW w:w="2070" w:type="dxa"/>
            <w:tcMar>
              <w:top w:w="60" w:type="dxa"/>
              <w:left w:w="90" w:type="dxa"/>
              <w:bottom w:w="60" w:type="dxa"/>
              <w:right w:w="90" w:type="dxa"/>
            </w:tcMar>
            <w:vAlign w:val="center"/>
          </w:tcPr>
          <w:p w14:paraId="44925376"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CER</w:t>
            </w:r>
          </w:p>
        </w:tc>
        <w:tc>
          <w:tcPr>
            <w:tcW w:w="6930" w:type="dxa"/>
            <w:tcMar>
              <w:top w:w="60" w:type="dxa"/>
              <w:left w:w="90" w:type="dxa"/>
              <w:bottom w:w="60" w:type="dxa"/>
              <w:right w:w="90" w:type="dxa"/>
            </w:tcMar>
            <w:vAlign w:val="center"/>
          </w:tcPr>
          <w:p w14:paraId="3C98B241"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Certified Emission Reduction (tCO₂e)</w:t>
            </w:r>
          </w:p>
        </w:tc>
      </w:tr>
      <w:tr w:rsidR="004A7CFE" w:rsidRPr="00C215A2" w14:paraId="322A2F04" w14:textId="77777777">
        <w:tc>
          <w:tcPr>
            <w:tcW w:w="2070" w:type="dxa"/>
            <w:shd w:val="clear" w:color="auto" w:fill="FFFFFF"/>
            <w:tcMar>
              <w:top w:w="60" w:type="dxa"/>
              <w:left w:w="90" w:type="dxa"/>
              <w:bottom w:w="60" w:type="dxa"/>
              <w:right w:w="90" w:type="dxa"/>
            </w:tcMar>
            <w:vAlign w:val="center"/>
          </w:tcPr>
          <w:p w14:paraId="69D4334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EPC</w:t>
            </w:r>
          </w:p>
        </w:tc>
        <w:tc>
          <w:tcPr>
            <w:tcW w:w="6930" w:type="dxa"/>
            <w:tcMar>
              <w:top w:w="60" w:type="dxa"/>
              <w:left w:w="90" w:type="dxa"/>
              <w:bottom w:w="60" w:type="dxa"/>
              <w:right w:w="90" w:type="dxa"/>
            </w:tcMar>
            <w:vAlign w:val="center"/>
          </w:tcPr>
          <w:p w14:paraId="0CBFB908"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Energy Performance Contract</w:t>
            </w:r>
          </w:p>
        </w:tc>
      </w:tr>
      <w:tr w:rsidR="004A7CFE" w:rsidRPr="00C215A2" w14:paraId="404469A4" w14:textId="77777777">
        <w:tc>
          <w:tcPr>
            <w:tcW w:w="2070" w:type="dxa"/>
            <w:tcMar>
              <w:top w:w="60" w:type="dxa"/>
              <w:left w:w="90" w:type="dxa"/>
              <w:bottom w:w="60" w:type="dxa"/>
              <w:right w:w="90" w:type="dxa"/>
            </w:tcMar>
            <w:vAlign w:val="center"/>
          </w:tcPr>
          <w:p w14:paraId="175A6E65"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ESG</w:t>
            </w:r>
          </w:p>
        </w:tc>
        <w:tc>
          <w:tcPr>
            <w:tcW w:w="6930" w:type="dxa"/>
            <w:tcMar>
              <w:top w:w="60" w:type="dxa"/>
              <w:left w:w="90" w:type="dxa"/>
              <w:bottom w:w="60" w:type="dxa"/>
              <w:right w:w="90" w:type="dxa"/>
            </w:tcMar>
            <w:vAlign w:val="center"/>
          </w:tcPr>
          <w:p w14:paraId="0349C62D"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Environmental, Social, and Governance</w:t>
            </w:r>
          </w:p>
        </w:tc>
      </w:tr>
      <w:tr w:rsidR="004A7CFE" w:rsidRPr="00C215A2" w14:paraId="14C87595" w14:textId="77777777">
        <w:tc>
          <w:tcPr>
            <w:tcW w:w="2070" w:type="dxa"/>
            <w:shd w:val="clear" w:color="auto" w:fill="FFFFFF"/>
            <w:tcMar>
              <w:top w:w="60" w:type="dxa"/>
              <w:left w:w="90" w:type="dxa"/>
              <w:bottom w:w="60" w:type="dxa"/>
              <w:right w:w="90" w:type="dxa"/>
            </w:tcMar>
            <w:vAlign w:val="center"/>
          </w:tcPr>
          <w:p w14:paraId="1B958263"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EUI</w:t>
            </w:r>
          </w:p>
        </w:tc>
        <w:tc>
          <w:tcPr>
            <w:tcW w:w="6930" w:type="dxa"/>
            <w:tcMar>
              <w:top w:w="60" w:type="dxa"/>
              <w:left w:w="90" w:type="dxa"/>
              <w:bottom w:w="60" w:type="dxa"/>
              <w:right w:w="90" w:type="dxa"/>
            </w:tcMar>
            <w:vAlign w:val="center"/>
          </w:tcPr>
          <w:p w14:paraId="51B7D739"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Energy Use Intensity (kWh/m²/year)</w:t>
            </w:r>
          </w:p>
        </w:tc>
      </w:tr>
      <w:tr w:rsidR="004A7CFE" w:rsidRPr="00C215A2" w14:paraId="5B7B6E5D" w14:textId="77777777">
        <w:tc>
          <w:tcPr>
            <w:tcW w:w="2070" w:type="dxa"/>
            <w:tcMar>
              <w:top w:w="60" w:type="dxa"/>
              <w:left w:w="90" w:type="dxa"/>
              <w:bottom w:w="60" w:type="dxa"/>
              <w:right w:w="90" w:type="dxa"/>
            </w:tcMar>
            <w:vAlign w:val="center"/>
          </w:tcPr>
          <w:p w14:paraId="6953A0BB"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FM</w:t>
            </w:r>
          </w:p>
        </w:tc>
        <w:tc>
          <w:tcPr>
            <w:tcW w:w="6930" w:type="dxa"/>
            <w:tcMar>
              <w:top w:w="60" w:type="dxa"/>
              <w:left w:w="90" w:type="dxa"/>
              <w:bottom w:w="60" w:type="dxa"/>
              <w:right w:w="90" w:type="dxa"/>
            </w:tcMar>
            <w:vAlign w:val="center"/>
          </w:tcPr>
          <w:p w14:paraId="484A0A56"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Facility Management</w:t>
            </w:r>
          </w:p>
        </w:tc>
      </w:tr>
      <w:tr w:rsidR="004A7CFE" w:rsidRPr="00C215A2" w14:paraId="7CFD685F" w14:textId="77777777">
        <w:tc>
          <w:tcPr>
            <w:tcW w:w="2070" w:type="dxa"/>
            <w:shd w:val="clear" w:color="auto" w:fill="FFFFFF"/>
            <w:tcMar>
              <w:top w:w="60" w:type="dxa"/>
              <w:left w:w="90" w:type="dxa"/>
              <w:bottom w:w="60" w:type="dxa"/>
              <w:right w:w="90" w:type="dxa"/>
            </w:tcMar>
            <w:vAlign w:val="center"/>
          </w:tcPr>
          <w:p w14:paraId="2945DFEC"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GCC</w:t>
            </w:r>
          </w:p>
        </w:tc>
        <w:tc>
          <w:tcPr>
            <w:tcW w:w="6930" w:type="dxa"/>
            <w:tcMar>
              <w:top w:w="60" w:type="dxa"/>
              <w:left w:w="90" w:type="dxa"/>
              <w:bottom w:w="60" w:type="dxa"/>
              <w:right w:w="90" w:type="dxa"/>
            </w:tcMar>
            <w:vAlign w:val="center"/>
          </w:tcPr>
          <w:p w14:paraId="78AC170E"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Gulf Cooperation Council</w:t>
            </w:r>
          </w:p>
        </w:tc>
      </w:tr>
      <w:tr w:rsidR="004A7CFE" w:rsidRPr="00C215A2" w14:paraId="0E9560AE" w14:textId="77777777">
        <w:tc>
          <w:tcPr>
            <w:tcW w:w="2070" w:type="dxa"/>
            <w:tcMar>
              <w:top w:w="60" w:type="dxa"/>
              <w:left w:w="90" w:type="dxa"/>
              <w:bottom w:w="60" w:type="dxa"/>
              <w:right w:w="90" w:type="dxa"/>
            </w:tcMar>
            <w:vAlign w:val="center"/>
          </w:tcPr>
          <w:p w14:paraId="209A011F"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GEF</w:t>
            </w:r>
          </w:p>
        </w:tc>
        <w:tc>
          <w:tcPr>
            <w:tcW w:w="6930" w:type="dxa"/>
            <w:tcMar>
              <w:top w:w="60" w:type="dxa"/>
              <w:left w:w="90" w:type="dxa"/>
              <w:bottom w:w="60" w:type="dxa"/>
              <w:right w:w="90" w:type="dxa"/>
            </w:tcMar>
            <w:vAlign w:val="center"/>
          </w:tcPr>
          <w:p w14:paraId="4F29B86F"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Grid Emission Factor (kgCO₂e/kWh)</w:t>
            </w:r>
          </w:p>
        </w:tc>
      </w:tr>
      <w:tr w:rsidR="004A7CFE" w:rsidRPr="00C215A2" w14:paraId="463F0248" w14:textId="77777777">
        <w:tc>
          <w:tcPr>
            <w:tcW w:w="2070" w:type="dxa"/>
            <w:shd w:val="clear" w:color="auto" w:fill="FFFFFF"/>
            <w:tcMar>
              <w:top w:w="60" w:type="dxa"/>
              <w:left w:w="90" w:type="dxa"/>
              <w:bottom w:w="60" w:type="dxa"/>
              <w:right w:w="90" w:type="dxa"/>
            </w:tcMar>
            <w:vAlign w:val="center"/>
          </w:tcPr>
          <w:p w14:paraId="13AAAB56"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GLA</w:t>
            </w:r>
          </w:p>
        </w:tc>
        <w:tc>
          <w:tcPr>
            <w:tcW w:w="6930" w:type="dxa"/>
            <w:tcMar>
              <w:top w:w="60" w:type="dxa"/>
              <w:left w:w="90" w:type="dxa"/>
              <w:bottom w:w="60" w:type="dxa"/>
              <w:right w:w="90" w:type="dxa"/>
            </w:tcMar>
            <w:vAlign w:val="center"/>
          </w:tcPr>
          <w:p w14:paraId="157BB798"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Gross Leasable Area (m²)</w:t>
            </w:r>
          </w:p>
        </w:tc>
      </w:tr>
      <w:tr w:rsidR="004A7CFE" w:rsidRPr="00C215A2" w14:paraId="6925BA37" w14:textId="77777777">
        <w:tc>
          <w:tcPr>
            <w:tcW w:w="2070" w:type="dxa"/>
            <w:tcMar>
              <w:top w:w="60" w:type="dxa"/>
              <w:left w:w="90" w:type="dxa"/>
              <w:bottom w:w="60" w:type="dxa"/>
              <w:right w:w="90" w:type="dxa"/>
            </w:tcMar>
            <w:vAlign w:val="center"/>
          </w:tcPr>
          <w:p w14:paraId="7A47699B"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HVAC</w:t>
            </w:r>
          </w:p>
        </w:tc>
        <w:tc>
          <w:tcPr>
            <w:tcW w:w="6930" w:type="dxa"/>
            <w:tcMar>
              <w:top w:w="60" w:type="dxa"/>
              <w:left w:w="90" w:type="dxa"/>
              <w:bottom w:w="60" w:type="dxa"/>
              <w:right w:w="90" w:type="dxa"/>
            </w:tcMar>
            <w:vAlign w:val="center"/>
          </w:tcPr>
          <w:p w14:paraId="20AB5D4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Heating, Ventilation, and Air Conditioning</w:t>
            </w:r>
          </w:p>
        </w:tc>
      </w:tr>
      <w:tr w:rsidR="004A7CFE" w:rsidRPr="00C215A2" w14:paraId="75FE10C7" w14:textId="77777777">
        <w:tc>
          <w:tcPr>
            <w:tcW w:w="2070" w:type="dxa"/>
            <w:shd w:val="clear" w:color="auto" w:fill="FFFFFF"/>
            <w:tcMar>
              <w:top w:w="60" w:type="dxa"/>
              <w:left w:w="90" w:type="dxa"/>
              <w:bottom w:w="60" w:type="dxa"/>
              <w:right w:w="90" w:type="dxa"/>
            </w:tcMar>
            <w:vAlign w:val="center"/>
          </w:tcPr>
          <w:p w14:paraId="6765B8E1"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KAPSARC</w:t>
            </w:r>
          </w:p>
        </w:tc>
        <w:tc>
          <w:tcPr>
            <w:tcW w:w="6930" w:type="dxa"/>
            <w:tcMar>
              <w:top w:w="60" w:type="dxa"/>
              <w:left w:w="90" w:type="dxa"/>
              <w:bottom w:w="60" w:type="dxa"/>
              <w:right w:w="90" w:type="dxa"/>
            </w:tcMar>
            <w:vAlign w:val="center"/>
          </w:tcPr>
          <w:p w14:paraId="447274F7"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King Abdullah Petroleum Studies and Research Center</w:t>
            </w:r>
          </w:p>
        </w:tc>
      </w:tr>
      <w:tr w:rsidR="004A7CFE" w:rsidRPr="00C215A2" w14:paraId="5639CC7C" w14:textId="77777777">
        <w:tc>
          <w:tcPr>
            <w:tcW w:w="2070" w:type="dxa"/>
            <w:tcMar>
              <w:top w:w="60" w:type="dxa"/>
              <w:left w:w="90" w:type="dxa"/>
              <w:bottom w:w="60" w:type="dxa"/>
              <w:right w:w="90" w:type="dxa"/>
            </w:tcMar>
            <w:vAlign w:val="center"/>
          </w:tcPr>
          <w:p w14:paraId="2ED69576"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MRV</w:t>
            </w:r>
          </w:p>
        </w:tc>
        <w:tc>
          <w:tcPr>
            <w:tcW w:w="6930" w:type="dxa"/>
            <w:tcMar>
              <w:top w:w="60" w:type="dxa"/>
              <w:left w:w="90" w:type="dxa"/>
              <w:bottom w:w="60" w:type="dxa"/>
              <w:right w:w="90" w:type="dxa"/>
            </w:tcMar>
            <w:vAlign w:val="center"/>
          </w:tcPr>
          <w:p w14:paraId="79308A62"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Monitoring, Reporting, and Verification</w:t>
            </w:r>
          </w:p>
        </w:tc>
      </w:tr>
      <w:tr w:rsidR="004A7CFE" w:rsidRPr="00C215A2" w14:paraId="5BD7063A" w14:textId="77777777">
        <w:tc>
          <w:tcPr>
            <w:tcW w:w="2070" w:type="dxa"/>
            <w:shd w:val="clear" w:color="auto" w:fill="FFFFFF"/>
            <w:tcMar>
              <w:top w:w="60" w:type="dxa"/>
              <w:left w:w="90" w:type="dxa"/>
              <w:bottom w:w="60" w:type="dxa"/>
              <w:right w:w="90" w:type="dxa"/>
            </w:tcMar>
            <w:vAlign w:val="center"/>
          </w:tcPr>
          <w:p w14:paraId="026686B2"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NCF</w:t>
            </w:r>
          </w:p>
        </w:tc>
        <w:tc>
          <w:tcPr>
            <w:tcW w:w="6930" w:type="dxa"/>
            <w:tcMar>
              <w:top w:w="60" w:type="dxa"/>
              <w:left w:w="90" w:type="dxa"/>
              <w:bottom w:w="60" w:type="dxa"/>
              <w:right w:w="90" w:type="dxa"/>
            </w:tcMar>
            <w:vAlign w:val="center"/>
          </w:tcPr>
          <w:p w14:paraId="3249FF61"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Net Cash Flow (SAR/year)</w:t>
            </w:r>
          </w:p>
        </w:tc>
      </w:tr>
      <w:tr w:rsidR="004A7CFE" w:rsidRPr="00C215A2" w14:paraId="55A596D4" w14:textId="77777777">
        <w:tc>
          <w:tcPr>
            <w:tcW w:w="2070" w:type="dxa"/>
            <w:tcMar>
              <w:top w:w="60" w:type="dxa"/>
              <w:left w:w="90" w:type="dxa"/>
              <w:bottom w:w="60" w:type="dxa"/>
              <w:right w:w="90" w:type="dxa"/>
            </w:tcMar>
            <w:vAlign w:val="center"/>
          </w:tcPr>
          <w:p w14:paraId="6316D5AE"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NDC</w:t>
            </w:r>
          </w:p>
        </w:tc>
        <w:tc>
          <w:tcPr>
            <w:tcW w:w="6930" w:type="dxa"/>
            <w:tcMar>
              <w:top w:w="60" w:type="dxa"/>
              <w:left w:w="90" w:type="dxa"/>
              <w:bottom w:w="60" w:type="dxa"/>
              <w:right w:w="90" w:type="dxa"/>
            </w:tcMar>
            <w:vAlign w:val="center"/>
          </w:tcPr>
          <w:p w14:paraId="7E1062A7"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Nationally Determined Contribution (UNFCCC)</w:t>
            </w:r>
          </w:p>
        </w:tc>
      </w:tr>
      <w:tr w:rsidR="004A7CFE" w:rsidRPr="00C215A2" w14:paraId="283906AD" w14:textId="77777777">
        <w:tc>
          <w:tcPr>
            <w:tcW w:w="2070" w:type="dxa"/>
            <w:shd w:val="clear" w:color="auto" w:fill="FFFFFF"/>
            <w:tcMar>
              <w:top w:w="60" w:type="dxa"/>
              <w:left w:w="90" w:type="dxa"/>
              <w:bottom w:w="60" w:type="dxa"/>
              <w:right w:w="90" w:type="dxa"/>
            </w:tcMar>
            <w:vAlign w:val="center"/>
          </w:tcPr>
          <w:p w14:paraId="4C982E16"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PIF</w:t>
            </w:r>
          </w:p>
        </w:tc>
        <w:tc>
          <w:tcPr>
            <w:tcW w:w="6930" w:type="dxa"/>
            <w:tcMar>
              <w:top w:w="60" w:type="dxa"/>
              <w:left w:w="90" w:type="dxa"/>
              <w:bottom w:w="60" w:type="dxa"/>
              <w:right w:w="90" w:type="dxa"/>
            </w:tcMar>
            <w:vAlign w:val="center"/>
          </w:tcPr>
          <w:p w14:paraId="052CF17D"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Public Investment Fund</w:t>
            </w:r>
          </w:p>
        </w:tc>
      </w:tr>
      <w:tr w:rsidR="004A7CFE" w:rsidRPr="00C215A2" w14:paraId="3F199C3C" w14:textId="77777777">
        <w:tc>
          <w:tcPr>
            <w:tcW w:w="2070" w:type="dxa"/>
            <w:tcMar>
              <w:top w:w="60" w:type="dxa"/>
              <w:left w:w="90" w:type="dxa"/>
              <w:bottom w:w="60" w:type="dxa"/>
              <w:right w:w="90" w:type="dxa"/>
            </w:tcMar>
            <w:vAlign w:val="center"/>
          </w:tcPr>
          <w:p w14:paraId="2EC1F28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PoA</w:t>
            </w:r>
          </w:p>
        </w:tc>
        <w:tc>
          <w:tcPr>
            <w:tcW w:w="6930" w:type="dxa"/>
            <w:tcMar>
              <w:top w:w="60" w:type="dxa"/>
              <w:left w:w="90" w:type="dxa"/>
              <w:bottom w:w="60" w:type="dxa"/>
              <w:right w:w="90" w:type="dxa"/>
            </w:tcMar>
            <w:vAlign w:val="center"/>
          </w:tcPr>
          <w:p w14:paraId="6181795C"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Program of Activities</w:t>
            </w:r>
          </w:p>
        </w:tc>
      </w:tr>
      <w:tr w:rsidR="004A7CFE" w:rsidRPr="00C215A2" w14:paraId="62A727A7" w14:textId="77777777">
        <w:tc>
          <w:tcPr>
            <w:tcW w:w="2070" w:type="dxa"/>
            <w:shd w:val="clear" w:color="auto" w:fill="FFFFFF"/>
            <w:tcMar>
              <w:top w:w="60" w:type="dxa"/>
              <w:left w:w="90" w:type="dxa"/>
              <w:bottom w:w="60" w:type="dxa"/>
              <w:right w:w="90" w:type="dxa"/>
            </w:tcMar>
            <w:vAlign w:val="center"/>
          </w:tcPr>
          <w:p w14:paraId="548B6D28"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ROI</w:t>
            </w:r>
          </w:p>
        </w:tc>
        <w:tc>
          <w:tcPr>
            <w:tcW w:w="6930" w:type="dxa"/>
            <w:tcMar>
              <w:top w:w="60" w:type="dxa"/>
              <w:left w:w="90" w:type="dxa"/>
              <w:bottom w:w="60" w:type="dxa"/>
              <w:right w:w="90" w:type="dxa"/>
            </w:tcMar>
            <w:vAlign w:val="center"/>
          </w:tcPr>
          <w:p w14:paraId="03E77CB0"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Return on Investment</w:t>
            </w:r>
          </w:p>
        </w:tc>
      </w:tr>
      <w:tr w:rsidR="004A7CFE" w:rsidRPr="00C215A2" w14:paraId="1B241EFA" w14:textId="77777777">
        <w:tc>
          <w:tcPr>
            <w:tcW w:w="2070" w:type="dxa"/>
            <w:tcMar>
              <w:top w:w="60" w:type="dxa"/>
              <w:left w:w="90" w:type="dxa"/>
              <w:bottom w:w="60" w:type="dxa"/>
              <w:right w:w="90" w:type="dxa"/>
            </w:tcMar>
            <w:vAlign w:val="center"/>
          </w:tcPr>
          <w:p w14:paraId="41A928F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RVCMC</w:t>
            </w:r>
          </w:p>
        </w:tc>
        <w:tc>
          <w:tcPr>
            <w:tcW w:w="6930" w:type="dxa"/>
            <w:tcMar>
              <w:top w:w="60" w:type="dxa"/>
              <w:left w:w="90" w:type="dxa"/>
              <w:bottom w:w="60" w:type="dxa"/>
              <w:right w:w="90" w:type="dxa"/>
            </w:tcMar>
            <w:vAlign w:val="center"/>
          </w:tcPr>
          <w:p w14:paraId="1194F91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Regional Voluntary Carbon Market Company</w:t>
            </w:r>
          </w:p>
        </w:tc>
      </w:tr>
      <w:tr w:rsidR="004A7CFE" w:rsidRPr="00C215A2" w14:paraId="44A7CA96" w14:textId="77777777">
        <w:tc>
          <w:tcPr>
            <w:tcW w:w="2070" w:type="dxa"/>
            <w:shd w:val="clear" w:color="auto" w:fill="FFFFFF"/>
            <w:tcMar>
              <w:top w:w="60" w:type="dxa"/>
              <w:left w:w="90" w:type="dxa"/>
              <w:bottom w:w="60" w:type="dxa"/>
              <w:right w:w="90" w:type="dxa"/>
            </w:tcMar>
            <w:vAlign w:val="center"/>
          </w:tcPr>
          <w:p w14:paraId="53C524D3"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SEEC</w:t>
            </w:r>
          </w:p>
        </w:tc>
        <w:tc>
          <w:tcPr>
            <w:tcW w:w="6930" w:type="dxa"/>
            <w:tcMar>
              <w:top w:w="60" w:type="dxa"/>
              <w:left w:w="90" w:type="dxa"/>
              <w:bottom w:w="60" w:type="dxa"/>
              <w:right w:w="90" w:type="dxa"/>
            </w:tcMar>
            <w:vAlign w:val="center"/>
          </w:tcPr>
          <w:p w14:paraId="4D22A1D8"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Saudi Energy Efficiency Center</w:t>
            </w:r>
          </w:p>
        </w:tc>
      </w:tr>
      <w:tr w:rsidR="004A7CFE" w:rsidRPr="00C215A2" w14:paraId="7FDF77CD" w14:textId="77777777">
        <w:tc>
          <w:tcPr>
            <w:tcW w:w="2070" w:type="dxa"/>
            <w:tcMar>
              <w:top w:w="60" w:type="dxa"/>
              <w:left w:w="90" w:type="dxa"/>
              <w:bottom w:w="60" w:type="dxa"/>
              <w:right w:w="90" w:type="dxa"/>
            </w:tcMar>
            <w:vAlign w:val="center"/>
          </w:tcPr>
          <w:p w14:paraId="7413C4A4"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SGI</w:t>
            </w:r>
          </w:p>
        </w:tc>
        <w:tc>
          <w:tcPr>
            <w:tcW w:w="6930" w:type="dxa"/>
            <w:tcMar>
              <w:top w:w="60" w:type="dxa"/>
              <w:left w:w="90" w:type="dxa"/>
              <w:bottom w:w="60" w:type="dxa"/>
              <w:right w:w="90" w:type="dxa"/>
            </w:tcMar>
            <w:vAlign w:val="center"/>
          </w:tcPr>
          <w:p w14:paraId="356BB3DA"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Saudi Green Initiative</w:t>
            </w:r>
          </w:p>
        </w:tc>
      </w:tr>
      <w:tr w:rsidR="004A7CFE" w:rsidRPr="00C215A2" w14:paraId="57E06907" w14:textId="77777777">
        <w:tc>
          <w:tcPr>
            <w:tcW w:w="2070" w:type="dxa"/>
            <w:shd w:val="clear" w:color="auto" w:fill="FFFFFF"/>
            <w:tcMar>
              <w:top w:w="60" w:type="dxa"/>
              <w:left w:w="90" w:type="dxa"/>
              <w:bottom w:w="60" w:type="dxa"/>
              <w:right w:w="90" w:type="dxa"/>
            </w:tcMar>
            <w:vAlign w:val="center"/>
          </w:tcPr>
          <w:p w14:paraId="3B03E9DC"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SPP</w:t>
            </w:r>
          </w:p>
        </w:tc>
        <w:tc>
          <w:tcPr>
            <w:tcW w:w="6930" w:type="dxa"/>
            <w:tcMar>
              <w:top w:w="60" w:type="dxa"/>
              <w:left w:w="90" w:type="dxa"/>
              <w:bottom w:w="60" w:type="dxa"/>
              <w:right w:w="90" w:type="dxa"/>
            </w:tcMar>
            <w:vAlign w:val="center"/>
          </w:tcPr>
          <w:p w14:paraId="202F7677"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Simple Payback Period (years)</w:t>
            </w:r>
          </w:p>
        </w:tc>
      </w:tr>
      <w:tr w:rsidR="004A7CFE" w:rsidRPr="00C215A2" w14:paraId="67395B6B" w14:textId="77777777">
        <w:tc>
          <w:tcPr>
            <w:tcW w:w="2070" w:type="dxa"/>
            <w:tcMar>
              <w:top w:w="60" w:type="dxa"/>
              <w:left w:w="90" w:type="dxa"/>
              <w:bottom w:w="60" w:type="dxa"/>
              <w:right w:w="90" w:type="dxa"/>
            </w:tcMar>
            <w:vAlign w:val="center"/>
          </w:tcPr>
          <w:p w14:paraId="572A1B6A"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TCE</w:t>
            </w:r>
          </w:p>
        </w:tc>
        <w:tc>
          <w:tcPr>
            <w:tcW w:w="6930" w:type="dxa"/>
            <w:tcMar>
              <w:top w:w="60" w:type="dxa"/>
              <w:left w:w="90" w:type="dxa"/>
              <w:bottom w:w="60" w:type="dxa"/>
              <w:right w:w="90" w:type="dxa"/>
            </w:tcMar>
            <w:vAlign w:val="center"/>
          </w:tcPr>
          <w:p w14:paraId="056AA49A"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Transaction Cost Economics</w:t>
            </w:r>
          </w:p>
        </w:tc>
      </w:tr>
      <w:tr w:rsidR="004A7CFE" w:rsidRPr="00C215A2" w14:paraId="13BC64B6" w14:textId="77777777">
        <w:tc>
          <w:tcPr>
            <w:tcW w:w="2070" w:type="dxa"/>
            <w:shd w:val="clear" w:color="auto" w:fill="FFFFFF"/>
            <w:tcMar>
              <w:top w:w="60" w:type="dxa"/>
              <w:left w:w="90" w:type="dxa"/>
              <w:bottom w:w="60" w:type="dxa"/>
              <w:right w:w="90" w:type="dxa"/>
            </w:tcMar>
            <w:vAlign w:val="center"/>
          </w:tcPr>
          <w:p w14:paraId="1E750FE9"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tCO₂e</w:t>
            </w:r>
          </w:p>
        </w:tc>
        <w:tc>
          <w:tcPr>
            <w:tcW w:w="6930" w:type="dxa"/>
            <w:tcMar>
              <w:top w:w="60" w:type="dxa"/>
              <w:left w:w="90" w:type="dxa"/>
              <w:bottom w:w="60" w:type="dxa"/>
              <w:right w:w="90" w:type="dxa"/>
            </w:tcMar>
            <w:vAlign w:val="center"/>
          </w:tcPr>
          <w:p w14:paraId="0BF010AD"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Tonnes of Carbon Dioxide Equivalent</w:t>
            </w:r>
          </w:p>
        </w:tc>
      </w:tr>
      <w:tr w:rsidR="004A7CFE" w:rsidRPr="00C215A2" w14:paraId="69D0B5CA" w14:textId="77777777">
        <w:tc>
          <w:tcPr>
            <w:tcW w:w="2070" w:type="dxa"/>
            <w:tcMar>
              <w:top w:w="60" w:type="dxa"/>
              <w:left w:w="90" w:type="dxa"/>
              <w:bottom w:w="60" w:type="dxa"/>
              <w:right w:w="90" w:type="dxa"/>
            </w:tcMar>
            <w:vAlign w:val="center"/>
          </w:tcPr>
          <w:p w14:paraId="3D7065DF"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TR</w:t>
            </w:r>
          </w:p>
        </w:tc>
        <w:tc>
          <w:tcPr>
            <w:tcW w:w="6930" w:type="dxa"/>
            <w:tcMar>
              <w:top w:w="60" w:type="dxa"/>
              <w:left w:w="90" w:type="dxa"/>
              <w:bottom w:w="60" w:type="dxa"/>
              <w:right w:w="90" w:type="dxa"/>
            </w:tcMar>
            <w:vAlign w:val="center"/>
          </w:tcPr>
          <w:p w14:paraId="1C00E7FE"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Tons of Refrigeration (cooling capacity)</w:t>
            </w:r>
          </w:p>
        </w:tc>
      </w:tr>
      <w:tr w:rsidR="004A7CFE" w:rsidRPr="00C215A2" w14:paraId="2E0C1869" w14:textId="77777777">
        <w:tc>
          <w:tcPr>
            <w:tcW w:w="2070" w:type="dxa"/>
            <w:shd w:val="clear" w:color="auto" w:fill="FFFFFF"/>
            <w:tcMar>
              <w:top w:w="60" w:type="dxa"/>
              <w:left w:w="90" w:type="dxa"/>
              <w:bottom w:w="60" w:type="dxa"/>
              <w:right w:w="90" w:type="dxa"/>
            </w:tcMar>
            <w:vAlign w:val="center"/>
          </w:tcPr>
          <w:p w14:paraId="06DB0145"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VCM</w:t>
            </w:r>
          </w:p>
        </w:tc>
        <w:tc>
          <w:tcPr>
            <w:tcW w:w="6930" w:type="dxa"/>
            <w:tcMar>
              <w:top w:w="60" w:type="dxa"/>
              <w:left w:w="90" w:type="dxa"/>
              <w:bottom w:w="60" w:type="dxa"/>
              <w:right w:w="90" w:type="dxa"/>
            </w:tcMar>
            <w:vAlign w:val="center"/>
          </w:tcPr>
          <w:p w14:paraId="1ACC6359" w14:textId="77777777" w:rsidR="004A7CFE" w:rsidRPr="00C215A2" w:rsidRDefault="00000000"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Voluntary Carbon Market</w:t>
            </w:r>
          </w:p>
        </w:tc>
      </w:tr>
      <w:tr w:rsidR="004A7CFE" w:rsidRPr="00C215A2" w14:paraId="0A8EA785" w14:textId="77777777">
        <w:tc>
          <w:tcPr>
            <w:tcW w:w="2070" w:type="dxa"/>
            <w:shd w:val="clear" w:color="auto" w:fill="FFFFFF"/>
            <w:tcMar>
              <w:top w:w="60" w:type="dxa"/>
              <w:left w:w="90" w:type="dxa"/>
              <w:bottom w:w="60" w:type="dxa"/>
              <w:right w:w="90" w:type="dxa"/>
            </w:tcMar>
            <w:vAlign w:val="center"/>
          </w:tcPr>
          <w:p w14:paraId="21114E23" w14:textId="1E8A947D"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NPV</w:t>
            </w:r>
          </w:p>
        </w:tc>
        <w:tc>
          <w:tcPr>
            <w:tcW w:w="6930" w:type="dxa"/>
            <w:tcMar>
              <w:top w:w="60" w:type="dxa"/>
              <w:left w:w="90" w:type="dxa"/>
              <w:bottom w:w="60" w:type="dxa"/>
              <w:right w:w="90" w:type="dxa"/>
            </w:tcMar>
            <w:vAlign w:val="center"/>
          </w:tcPr>
          <w:p w14:paraId="2FEF4DF6" w14:textId="3F3B08F1"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 xml:space="preserve">Net Present Value </w:t>
            </w:r>
          </w:p>
        </w:tc>
      </w:tr>
      <w:tr w:rsidR="004A7CFE" w:rsidRPr="00C215A2" w14:paraId="3DBABD1D" w14:textId="77777777">
        <w:tc>
          <w:tcPr>
            <w:tcW w:w="2070" w:type="dxa"/>
            <w:shd w:val="clear" w:color="auto" w:fill="FFFFFF"/>
            <w:tcMar>
              <w:top w:w="60" w:type="dxa"/>
              <w:left w:w="90" w:type="dxa"/>
              <w:bottom w:w="60" w:type="dxa"/>
              <w:right w:w="90" w:type="dxa"/>
            </w:tcMar>
            <w:vAlign w:val="center"/>
          </w:tcPr>
          <w:p w14:paraId="1DBD41EE" w14:textId="39402191"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IRR</w:t>
            </w:r>
          </w:p>
        </w:tc>
        <w:tc>
          <w:tcPr>
            <w:tcW w:w="6930" w:type="dxa"/>
            <w:tcMar>
              <w:top w:w="60" w:type="dxa"/>
              <w:left w:w="90" w:type="dxa"/>
              <w:bottom w:w="60" w:type="dxa"/>
              <w:right w:w="90" w:type="dxa"/>
            </w:tcMar>
            <w:vAlign w:val="center"/>
          </w:tcPr>
          <w:p w14:paraId="00970C2D" w14:textId="39B6EA1D"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Internal Rate of Return (%)</w:t>
            </w:r>
          </w:p>
        </w:tc>
      </w:tr>
      <w:tr w:rsidR="004A7CFE" w:rsidRPr="00C215A2" w14:paraId="26C707B8" w14:textId="77777777">
        <w:tc>
          <w:tcPr>
            <w:tcW w:w="2070" w:type="dxa"/>
            <w:shd w:val="clear" w:color="auto" w:fill="FFFFFF"/>
            <w:tcMar>
              <w:top w:w="60" w:type="dxa"/>
              <w:left w:w="90" w:type="dxa"/>
              <w:bottom w:w="60" w:type="dxa"/>
              <w:right w:w="90" w:type="dxa"/>
            </w:tcMar>
            <w:vAlign w:val="center"/>
          </w:tcPr>
          <w:p w14:paraId="3FF5E62A" w14:textId="3000942B"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DPP</w:t>
            </w:r>
          </w:p>
        </w:tc>
        <w:tc>
          <w:tcPr>
            <w:tcW w:w="6930" w:type="dxa"/>
            <w:tcMar>
              <w:top w:w="60" w:type="dxa"/>
              <w:left w:w="90" w:type="dxa"/>
              <w:bottom w:w="60" w:type="dxa"/>
              <w:right w:w="90" w:type="dxa"/>
            </w:tcMar>
            <w:vAlign w:val="center"/>
          </w:tcPr>
          <w:p w14:paraId="578BBC63" w14:textId="35A903B9" w:rsidR="004A7CFE" w:rsidRPr="00C215A2" w:rsidRDefault="00B0532B" w:rsidP="00C215A2">
            <w:pPr>
              <w:spacing w:after="0" w:line="276" w:lineRule="auto"/>
              <w:jc w:val="both"/>
              <w:rPr>
                <w:rFonts w:asciiTheme="majorBidi" w:hAnsiTheme="majorBidi" w:cstheme="majorBidi"/>
              </w:rPr>
            </w:pPr>
            <w:r w:rsidRPr="00C215A2">
              <w:rPr>
                <w:rFonts w:asciiTheme="majorBidi" w:eastAsia="Times New Roman" w:hAnsiTheme="majorBidi" w:cstheme="majorBidi"/>
              </w:rPr>
              <w:t>Discounted Payback Period (years)</w:t>
            </w:r>
          </w:p>
        </w:tc>
      </w:tr>
    </w:tbl>
    <w:p w14:paraId="3C7FEAF2" w14:textId="77777777" w:rsidR="004A7CFE" w:rsidRPr="00AC78B8" w:rsidRDefault="004A7CFE" w:rsidP="00C215A2">
      <w:pPr>
        <w:spacing w:after="0" w:line="360" w:lineRule="auto"/>
        <w:jc w:val="both"/>
        <w:rPr>
          <w:rFonts w:asciiTheme="majorBidi" w:hAnsiTheme="majorBidi" w:cstheme="majorBidi"/>
        </w:rPr>
      </w:pPr>
    </w:p>
    <w:p w14:paraId="12651C3C" w14:textId="77777777" w:rsidR="004A7CFE" w:rsidRPr="00AC78B8" w:rsidRDefault="004A7CFE" w:rsidP="00C215A2">
      <w:pPr>
        <w:spacing w:after="0" w:line="360" w:lineRule="auto"/>
        <w:jc w:val="both"/>
        <w:rPr>
          <w:rFonts w:asciiTheme="majorBidi" w:eastAsia="Times New Roman" w:hAnsiTheme="majorBidi" w:cstheme="majorBidi"/>
          <w:b/>
          <w:bCs/>
          <w:sz w:val="40"/>
          <w:szCs w:val="40"/>
          <w:u w:val="single"/>
        </w:rPr>
      </w:pPr>
    </w:p>
    <w:p w14:paraId="4BF8E6DD" w14:textId="77777777" w:rsidR="004A7CFE" w:rsidRPr="00AC78B8" w:rsidRDefault="004A7CFE" w:rsidP="00C215A2">
      <w:pPr>
        <w:spacing w:after="0" w:line="360" w:lineRule="auto"/>
        <w:rPr>
          <w:rFonts w:asciiTheme="majorBidi" w:eastAsia="Times New Roman" w:hAnsiTheme="majorBidi" w:cstheme="majorBidi"/>
          <w:b/>
          <w:bCs/>
          <w:sz w:val="40"/>
          <w:szCs w:val="40"/>
          <w:u w:val="single"/>
        </w:rPr>
      </w:pPr>
    </w:p>
    <w:p w14:paraId="26BD878D" w14:textId="77777777" w:rsidR="004A7CFE" w:rsidRDefault="00000000" w:rsidP="00C215A2">
      <w:pPr>
        <w:spacing w:after="0" w:line="360" w:lineRule="auto"/>
        <w:jc w:val="center"/>
        <w:rPr>
          <w:rFonts w:asciiTheme="majorBidi" w:eastAsia="Times New Roman" w:hAnsiTheme="majorBidi" w:cstheme="majorBidi"/>
          <w:b/>
          <w:bCs/>
          <w:sz w:val="40"/>
          <w:szCs w:val="40"/>
          <w:u w:val="single"/>
        </w:rPr>
      </w:pPr>
      <w:r w:rsidRPr="00AC78B8">
        <w:rPr>
          <w:rFonts w:asciiTheme="majorBidi" w:eastAsia="Times New Roman" w:hAnsiTheme="majorBidi" w:cstheme="majorBidi"/>
          <w:b/>
          <w:bCs/>
          <w:sz w:val="40"/>
          <w:szCs w:val="40"/>
          <w:u w:val="single"/>
        </w:rPr>
        <w:t>Chapter One</w:t>
      </w:r>
    </w:p>
    <w:p w14:paraId="5C69A590" w14:textId="77777777" w:rsidR="00C215A2" w:rsidRPr="00AC78B8" w:rsidRDefault="00C215A2" w:rsidP="00C215A2">
      <w:pPr>
        <w:spacing w:after="0" w:line="360" w:lineRule="auto"/>
        <w:jc w:val="center"/>
        <w:rPr>
          <w:rFonts w:asciiTheme="majorBidi" w:hAnsiTheme="majorBidi" w:cstheme="majorBidi"/>
          <w:b/>
          <w:bCs/>
          <w:sz w:val="40"/>
          <w:szCs w:val="40"/>
          <w:u w:val="single"/>
        </w:rPr>
      </w:pPr>
    </w:p>
    <w:p w14:paraId="0DC257ED" w14:textId="77777777" w:rsidR="004A7CFE" w:rsidRPr="00AC78B8" w:rsidRDefault="004A7CFE" w:rsidP="00C215A2">
      <w:pPr>
        <w:spacing w:after="0" w:line="360" w:lineRule="auto"/>
        <w:rPr>
          <w:rFonts w:asciiTheme="majorBidi" w:hAnsiTheme="majorBidi" w:cstheme="majorBidi"/>
          <w:sz w:val="40"/>
          <w:szCs w:val="40"/>
          <w:u w:val="single"/>
        </w:rPr>
      </w:pPr>
    </w:p>
    <w:p w14:paraId="73B3CE13" w14:textId="77777777" w:rsidR="004A7CFE" w:rsidRPr="00AC78B8" w:rsidRDefault="00000000" w:rsidP="00C215A2">
      <w:pPr>
        <w:spacing w:after="0" w:line="360" w:lineRule="auto"/>
        <w:jc w:val="center"/>
        <w:rPr>
          <w:rFonts w:asciiTheme="majorBidi" w:hAnsiTheme="majorBidi" w:cstheme="majorBidi"/>
          <w:sz w:val="40"/>
          <w:szCs w:val="40"/>
          <w:u w:val="single"/>
        </w:rPr>
      </w:pPr>
      <w:r w:rsidRPr="00AC78B8">
        <w:rPr>
          <w:rFonts w:asciiTheme="majorBidi" w:eastAsia="Times New Roman" w:hAnsiTheme="majorBidi" w:cstheme="majorBidi"/>
          <w:b/>
          <w:bCs/>
          <w:sz w:val="40"/>
          <w:szCs w:val="40"/>
          <w:u w:val="single"/>
        </w:rPr>
        <w:t xml:space="preserve">General Introduction to </w:t>
      </w:r>
      <w:r w:rsidRPr="00AC78B8">
        <w:rPr>
          <w:rFonts w:asciiTheme="majorBidi" w:hAnsiTheme="majorBidi" w:cstheme="majorBidi"/>
          <w:b/>
          <w:bCs/>
          <w:sz w:val="40"/>
          <w:szCs w:val="40"/>
          <w:u w:val="single"/>
        </w:rPr>
        <w:t>Research</w:t>
      </w:r>
    </w:p>
    <w:p w14:paraId="53F5AAD5"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hAnsiTheme="majorBidi" w:cstheme="majorBidi"/>
        </w:rPr>
        <w:br w:type="page"/>
      </w:r>
    </w:p>
    <w:p w14:paraId="12A79801" w14:textId="77777777" w:rsidR="004A7CFE" w:rsidRPr="00AC78B8" w:rsidRDefault="00000000" w:rsidP="00C215A2">
      <w:pPr>
        <w:pStyle w:val="Heading1"/>
        <w:spacing w:before="300" w:line="360" w:lineRule="auto"/>
        <w:jc w:val="both"/>
        <w:rPr>
          <w:rFonts w:asciiTheme="majorBidi" w:hAnsiTheme="majorBidi" w:cstheme="majorBidi"/>
        </w:rPr>
      </w:pPr>
      <w:bookmarkStart w:id="0" w:name="_Toc235093267"/>
      <w:bookmarkStart w:id="1" w:name="_Toc235367730"/>
      <w:r w:rsidRPr="00AC78B8">
        <w:rPr>
          <w:rFonts w:asciiTheme="majorBidi" w:hAnsiTheme="majorBidi" w:cstheme="majorBidi"/>
          <w:b/>
          <w:bCs/>
          <w:color w:val="000000"/>
        </w:rPr>
        <w:lastRenderedPageBreak/>
        <w:t>1.1 Introduction</w:t>
      </w:r>
      <w:bookmarkEnd w:id="0"/>
      <w:bookmarkEnd w:id="1"/>
    </w:p>
    <w:p w14:paraId="112F55DC" w14:textId="44427AEF" w:rsidR="00C215A2" w:rsidRPr="00C215A2" w:rsidRDefault="00C215A2" w:rsidP="00C215A2">
      <w:pPr>
        <w:pStyle w:val="Heading1"/>
        <w:spacing w:before="240" w:line="360" w:lineRule="auto"/>
        <w:rPr>
          <w:rFonts w:asciiTheme="majorBidi" w:hAnsiTheme="majorBidi" w:cstheme="majorBidi"/>
          <w:color w:val="auto"/>
          <w:kern w:val="2"/>
          <w:sz w:val="24"/>
          <w:szCs w:val="24"/>
          <w14:ligatures w14:val="standardContextual"/>
        </w:rPr>
      </w:pPr>
      <w:bookmarkStart w:id="2" w:name="_Toc235093268"/>
      <w:bookmarkStart w:id="3" w:name="_Toc235367736"/>
      <w:r w:rsidRPr="00C215A2">
        <w:rPr>
          <w:rFonts w:asciiTheme="majorBidi" w:hAnsiTheme="majorBidi" w:cstheme="majorBidi"/>
          <w:color w:val="auto"/>
          <w:kern w:val="2"/>
          <w:sz w:val="24"/>
          <w:szCs w:val="24"/>
          <w14:ligatures w14:val="standardContextual"/>
        </w:rPr>
        <w:t>Vision 2030 is normally interpreted as an economic diversification plan. That reading is correct but incomplete. And it’s right at the heart of environmental sustainability. That commitment becomes concrete in the Saudi Green Initiative (SGI): 278 million tons of CO2 abated annually by 2030 and net zero by 2060. Neither figure is aspirational in the looser sense. They are both linked to the Kingdom’s commitments under the UN climate framework and are backed by more than SAR 705 billion pledged across more than eighty-five ongoing initiatives (SGI, 2024).</w:t>
      </w:r>
    </w:p>
    <w:p w14:paraId="209D8D16" w14:textId="4572E98E" w:rsidR="00C215A2" w:rsidRPr="00C215A2" w:rsidRDefault="00C215A2" w:rsidP="00C215A2">
      <w:pPr>
        <w:pStyle w:val="Heading1"/>
        <w:spacing w:before="240" w:line="360" w:lineRule="auto"/>
        <w:rPr>
          <w:rFonts w:asciiTheme="majorBidi" w:hAnsiTheme="majorBidi" w:cstheme="majorBidi"/>
          <w:color w:val="auto"/>
          <w:kern w:val="2"/>
          <w:sz w:val="24"/>
          <w:szCs w:val="24"/>
          <w14:ligatures w14:val="standardContextual"/>
        </w:rPr>
      </w:pPr>
      <w:r w:rsidRPr="00C215A2">
        <w:rPr>
          <w:rFonts w:asciiTheme="majorBidi" w:hAnsiTheme="majorBidi" w:cstheme="majorBidi"/>
          <w:color w:val="auto"/>
          <w:kern w:val="2"/>
          <w:sz w:val="24"/>
          <w:szCs w:val="24"/>
          <w14:ligatures w14:val="standardContextual"/>
        </w:rPr>
        <w:t>They count more here than their profile implies. In 2023, buildings accounted for 78% of the Kingdom’s total energy (Almasri et al., 2025). Buildings are therefore the largest pool of certified emission reductions available to private companies, and the least exploited. What’s different now is there’s a way to monetize those reductions. The RVCMC, a creation of the Public Investment Fund, launched a carbon credit exchange in November 2024 with credits clearing at SAR 37.50 per ton of CO₂e (RVCMC, 2024). What matters is the price below. Level 1 retrofits, or simple retrofits to existing buildings, can reduce the country’s electricity consumption by 10,054 GWh per year and reduce CO₂ emissions by 7.611 million tons (Krarti et al., 2017), which is nearly 3% of the SGI target and is primarily driven by private investment to run these facilities.</w:t>
      </w:r>
    </w:p>
    <w:p w14:paraId="71DF8AE1" w14:textId="3EBE0538" w:rsidR="00C215A2" w:rsidRPr="00C215A2" w:rsidRDefault="00C215A2" w:rsidP="00C215A2">
      <w:pPr>
        <w:pStyle w:val="Heading1"/>
        <w:spacing w:before="240" w:line="360" w:lineRule="auto"/>
        <w:rPr>
          <w:rFonts w:asciiTheme="majorBidi" w:hAnsiTheme="majorBidi" w:cstheme="majorBidi"/>
          <w:color w:val="auto"/>
          <w:kern w:val="2"/>
          <w:sz w:val="24"/>
          <w:szCs w:val="24"/>
          <w14:ligatures w14:val="standardContextual"/>
        </w:rPr>
      </w:pPr>
      <w:r w:rsidRPr="00C215A2">
        <w:rPr>
          <w:rFonts w:asciiTheme="majorBidi" w:hAnsiTheme="majorBidi" w:cstheme="majorBidi"/>
          <w:color w:val="auto"/>
          <w:kern w:val="2"/>
          <w:sz w:val="24"/>
          <w:szCs w:val="24"/>
          <w14:ligatures w14:val="standardContextual"/>
        </w:rPr>
        <w:t xml:space="preserve">It is the widest in Riyadh’s office stock. Cooling is always on and energy consumption is between 250 and 350 kWh per square meter per year (SEEC, 2024), two to three times the equivalent Western benchmark and more than double the same buildings could achieve after upgrade. For the facilities management teams that </w:t>
      </w:r>
      <w:proofErr w:type="gramStart"/>
      <w:r w:rsidRPr="00C215A2">
        <w:rPr>
          <w:rFonts w:asciiTheme="majorBidi" w:hAnsiTheme="majorBidi" w:cstheme="majorBidi"/>
          <w:color w:val="auto"/>
          <w:kern w:val="2"/>
          <w:sz w:val="24"/>
          <w:szCs w:val="24"/>
          <w14:ligatures w14:val="standardContextual"/>
        </w:rPr>
        <w:t>actually run</w:t>
      </w:r>
      <w:proofErr w:type="gramEnd"/>
      <w:r w:rsidRPr="00C215A2">
        <w:rPr>
          <w:rFonts w:asciiTheme="majorBidi" w:hAnsiTheme="majorBidi" w:cstheme="majorBidi"/>
          <w:color w:val="auto"/>
          <w:kern w:val="2"/>
          <w:sz w:val="24"/>
          <w:szCs w:val="24"/>
          <w14:ligatures w14:val="standardContextual"/>
        </w:rPr>
        <w:t xml:space="preserve"> those cooling systems, that gap is an unbooked </w:t>
      </w:r>
      <w:r w:rsidR="006B661D" w:rsidRPr="00C215A2">
        <w:rPr>
          <w:rFonts w:asciiTheme="majorBidi" w:hAnsiTheme="majorBidi" w:cstheme="majorBidi"/>
          <w:color w:val="auto"/>
          <w:kern w:val="2"/>
          <w:sz w:val="24"/>
          <w:szCs w:val="24"/>
          <w14:ligatures w14:val="standardContextual"/>
        </w:rPr>
        <w:t>asset.</w:t>
      </w:r>
      <w:r w:rsidRPr="00C215A2">
        <w:rPr>
          <w:rFonts w:asciiTheme="majorBidi" w:hAnsiTheme="majorBidi" w:cstheme="majorBidi"/>
          <w:color w:val="auto"/>
          <w:kern w:val="2"/>
          <w:sz w:val="24"/>
          <w:szCs w:val="24"/>
          <w14:ligatures w14:val="standardContextual"/>
        </w:rPr>
        <w:t xml:space="preserve"> Energy is not wasted so carbon emissions are avoided and carbon savings can be measured and sold.</w:t>
      </w:r>
    </w:p>
    <w:p w14:paraId="5225FF62" w14:textId="59D4D21E" w:rsidR="00C215A2" w:rsidRPr="00C215A2" w:rsidRDefault="00C215A2" w:rsidP="00C215A2">
      <w:pPr>
        <w:pStyle w:val="Heading1"/>
        <w:spacing w:before="240" w:line="360" w:lineRule="auto"/>
        <w:rPr>
          <w:rFonts w:asciiTheme="majorBidi" w:hAnsiTheme="majorBidi" w:cstheme="majorBidi"/>
          <w:color w:val="auto"/>
          <w:kern w:val="2"/>
          <w:sz w:val="24"/>
          <w:szCs w:val="24"/>
          <w14:ligatures w14:val="standardContextual"/>
        </w:rPr>
      </w:pPr>
      <w:r w:rsidRPr="00C215A2">
        <w:rPr>
          <w:rFonts w:asciiTheme="majorBidi" w:hAnsiTheme="majorBidi" w:cstheme="majorBidi"/>
          <w:color w:val="auto"/>
          <w:kern w:val="2"/>
          <w:sz w:val="24"/>
          <w:szCs w:val="24"/>
          <w14:ligatures w14:val="standardContextual"/>
        </w:rPr>
        <w:t xml:space="preserve">But something is standing in the way, and it isn’t a matter of technology but of structure. The cost of third-party MRV certification ranges from SAR 40,000 to SAR 80,000 per building per </w:t>
      </w:r>
      <w:r w:rsidR="006B661D" w:rsidRPr="00C215A2">
        <w:rPr>
          <w:rFonts w:asciiTheme="majorBidi" w:hAnsiTheme="majorBidi" w:cstheme="majorBidi"/>
          <w:color w:val="auto"/>
          <w:kern w:val="2"/>
          <w:sz w:val="24"/>
          <w:szCs w:val="24"/>
          <w14:ligatures w14:val="standardContextual"/>
        </w:rPr>
        <w:t>cycle and</w:t>
      </w:r>
      <w:r w:rsidRPr="00C215A2">
        <w:rPr>
          <w:rFonts w:asciiTheme="majorBidi" w:hAnsiTheme="majorBidi" w:cstheme="majorBidi"/>
          <w:color w:val="auto"/>
          <w:kern w:val="2"/>
          <w:sz w:val="24"/>
          <w:szCs w:val="24"/>
          <w14:ligatures w14:val="standardContextual"/>
        </w:rPr>
        <w:t xml:space="preserve"> is not dependent on the floor area (PwC Middle East, 2024). 10,000 m 2 office with 609 tons of CO 2 e savings: Carbon revenue is about 38% of the middle of SAR 60,000. </w:t>
      </w:r>
      <w:r w:rsidR="006B661D" w:rsidRPr="00C215A2">
        <w:rPr>
          <w:rFonts w:asciiTheme="majorBidi" w:hAnsiTheme="majorBidi" w:cstheme="majorBidi"/>
          <w:color w:val="auto"/>
          <w:kern w:val="2"/>
          <w:sz w:val="24"/>
          <w:szCs w:val="24"/>
          <w14:ligatures w14:val="standardContextual"/>
        </w:rPr>
        <w:t>Math</w:t>
      </w:r>
      <w:r w:rsidRPr="00C215A2">
        <w:rPr>
          <w:rFonts w:asciiTheme="majorBidi" w:hAnsiTheme="majorBidi" w:cstheme="majorBidi"/>
          <w:color w:val="auto"/>
          <w:kern w:val="2"/>
          <w:sz w:val="24"/>
          <w:szCs w:val="24"/>
          <w14:ligatures w14:val="standardContextual"/>
        </w:rPr>
        <w:t xml:space="preserve"> is the problem, not the building. This research presents a shared program (PoA) to pool buildings to reduce the verification cost from SAR 98.52 to SAR 8.72 per ton for ten buildings with four buildings reaching the break-even. Add in the electricity savings and the appreciation of credits under CBAM pressure and a retrofit begins to look like a defensible fifteen year investment and one that sits squarely inside vision 2030 rather than alongside it.</w:t>
      </w:r>
    </w:p>
    <w:p w14:paraId="16C32FD1" w14:textId="77777777" w:rsidR="00C215A2" w:rsidRPr="00C215A2" w:rsidRDefault="00C215A2" w:rsidP="00C215A2">
      <w:pPr>
        <w:pStyle w:val="Heading1"/>
        <w:spacing w:before="240" w:line="360" w:lineRule="auto"/>
        <w:rPr>
          <w:rFonts w:asciiTheme="majorBidi" w:hAnsiTheme="majorBidi" w:cstheme="majorBidi"/>
          <w:color w:val="auto"/>
          <w:kern w:val="2"/>
          <w:sz w:val="24"/>
          <w:szCs w:val="24"/>
          <w14:ligatures w14:val="standardContextual"/>
        </w:rPr>
      </w:pPr>
      <w:r w:rsidRPr="00C215A2">
        <w:rPr>
          <w:rFonts w:asciiTheme="majorBidi" w:hAnsiTheme="majorBidi" w:cstheme="majorBidi"/>
          <w:color w:val="auto"/>
          <w:kern w:val="2"/>
          <w:sz w:val="24"/>
          <w:szCs w:val="24"/>
          <w14:ligatures w14:val="standardContextual"/>
        </w:rPr>
        <w:t xml:space="preserve">Two things make the timing sharper. The regulatory landscape in the region is changing. Deloitte Middle East (2025) reports a trend that could bring mandatory carbon reporting in Saudi Arabia </w:t>
      </w:r>
      <w:r w:rsidRPr="00C215A2">
        <w:rPr>
          <w:rFonts w:asciiTheme="majorBidi" w:hAnsiTheme="majorBidi" w:cstheme="majorBidi"/>
          <w:color w:val="auto"/>
          <w:kern w:val="2"/>
          <w:sz w:val="24"/>
          <w:szCs w:val="24"/>
          <w14:ligatures w14:val="standardContextual"/>
        </w:rPr>
        <w:lastRenderedPageBreak/>
        <w:t>within two to three years. Early registrants and MRV baseline setters meet and benefit from that requirement. Latecomers inherit the requirement but not the revenue. A second advantage of conventional appraisals is that they usually pass over. Retrofits not only reduce consumption but also increase the lifespan of the equipment, delay expensive replacements, and decrease the burden of maintenance (Azcarate-Aguerre et al., 2022). The study brings together all these benefits in a Three-Pathways Investment Framework: self-financed retrofits, government-backed financing and collective transition via shared program registration.</w:t>
      </w:r>
    </w:p>
    <w:p w14:paraId="2E4CDF50" w14:textId="5976E4C8" w:rsidR="004A7CFE" w:rsidRPr="00AC78B8" w:rsidRDefault="00000000" w:rsidP="00C215A2">
      <w:pPr>
        <w:pStyle w:val="Heading1"/>
        <w:spacing w:before="300" w:line="360" w:lineRule="auto"/>
        <w:jc w:val="both"/>
        <w:rPr>
          <w:rFonts w:asciiTheme="majorBidi" w:hAnsiTheme="majorBidi" w:cstheme="majorBidi"/>
          <w:sz w:val="28"/>
          <w:szCs w:val="28"/>
        </w:rPr>
      </w:pPr>
      <w:r w:rsidRPr="00AC78B8">
        <w:rPr>
          <w:rFonts w:asciiTheme="majorBidi" w:hAnsiTheme="majorBidi" w:cstheme="majorBidi"/>
          <w:b/>
          <w:bCs/>
          <w:color w:val="000000"/>
          <w:sz w:val="28"/>
          <w:szCs w:val="28"/>
        </w:rPr>
        <w:t>1.2 Research Gap</w:t>
      </w:r>
      <w:bookmarkStart w:id="4" w:name="_Toc235093269"/>
      <w:bookmarkStart w:id="5" w:name="_Toc235367737"/>
      <w:bookmarkEnd w:id="2"/>
      <w:bookmarkEnd w:id="3"/>
    </w:p>
    <w:p w14:paraId="0CEC102B" w14:textId="585881F4" w:rsidR="001120CA" w:rsidRDefault="001120CA" w:rsidP="00C215A2">
      <w:pPr>
        <w:pStyle w:val="Heading1"/>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 xml:space="preserve">The literature is split into two streams that seldom intersect, and Vision 2030 requires them linked. At the macro level </w:t>
      </w:r>
      <w:r w:rsidR="006B661D" w:rsidRPr="00AC78B8">
        <w:rPr>
          <w:rFonts w:asciiTheme="majorBidi" w:hAnsiTheme="majorBidi" w:cstheme="majorBidi"/>
          <w:color w:val="auto"/>
          <w:kern w:val="2"/>
          <w:sz w:val="24"/>
          <w:szCs w:val="24"/>
          <w14:ligatures w14:val="standardContextual"/>
        </w:rPr>
        <w:t>is</w:t>
      </w:r>
      <w:r w:rsidRPr="00AC78B8">
        <w:rPr>
          <w:rFonts w:asciiTheme="majorBidi" w:hAnsiTheme="majorBidi" w:cstheme="majorBidi"/>
          <w:color w:val="auto"/>
          <w:kern w:val="2"/>
          <w:sz w:val="24"/>
          <w:szCs w:val="24"/>
          <w14:ligatures w14:val="standardContextual"/>
        </w:rPr>
        <w:t xml:space="preserve"> research on carbon market structure, SGI policy design and global VCM trends. While this information is obviously important in context, it does not create a financial model that an operator may employ. At the micro level are the technical treatments: retrofit engineering, building energy standards and GCC FM Operations. These solve the physics, and leave the economics unaltered. What is lacking is one model to address the following:</w:t>
      </w:r>
    </w:p>
    <w:p w14:paraId="5BF8CBB5" w14:textId="77777777" w:rsidR="00C215A2" w:rsidRPr="00C215A2" w:rsidRDefault="00C215A2" w:rsidP="00C215A2">
      <w:pPr>
        <w:pStyle w:val="Heading1"/>
        <w:spacing w:before="300" w:line="360" w:lineRule="auto"/>
        <w:jc w:val="both"/>
        <w:rPr>
          <w:rFonts w:asciiTheme="majorBidi" w:hAnsiTheme="majorBidi" w:cstheme="majorBidi"/>
          <w:color w:val="auto"/>
          <w:kern w:val="2"/>
          <w:sz w:val="2"/>
          <w:szCs w:val="2"/>
          <w14:ligatures w14:val="standardContextual"/>
        </w:rPr>
      </w:pPr>
    </w:p>
    <w:p w14:paraId="27AE1A9B" w14:textId="3A0B64FB" w:rsidR="001120CA" w:rsidRPr="00AC78B8" w:rsidRDefault="001120CA" w:rsidP="00C215A2">
      <w:pPr>
        <w:pStyle w:val="Heading1"/>
        <w:numPr>
          <w:ilvl w:val="0"/>
          <w:numId w:val="34"/>
        </w:numPr>
        <w:spacing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Utilizes Saudi-specific input data calibrated to SEEC and RVCMC norms.</w:t>
      </w:r>
    </w:p>
    <w:p w14:paraId="67A8A162" w14:textId="758C102E" w:rsidR="001120CA" w:rsidRPr="00AC78B8" w:rsidRDefault="001120CA" w:rsidP="00C215A2">
      <w:pPr>
        <w:pStyle w:val="Heading1"/>
        <w:numPr>
          <w:ilvl w:val="0"/>
          <w:numId w:val="34"/>
        </w:numPr>
        <w:spacing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Quantifies the MRV cost barrier at the building scale.</w:t>
      </w:r>
    </w:p>
    <w:p w14:paraId="0CE00168" w14:textId="1955A781" w:rsidR="001120CA" w:rsidRPr="00AC78B8" w:rsidRDefault="001120CA" w:rsidP="00C215A2">
      <w:pPr>
        <w:pStyle w:val="Heading1"/>
        <w:numPr>
          <w:ilvl w:val="0"/>
          <w:numId w:val="34"/>
        </w:numPr>
        <w:spacing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Identifies the exact aggregation scale where market failure is resolved.</w:t>
      </w:r>
    </w:p>
    <w:p w14:paraId="50DCDC85" w14:textId="1048717C" w:rsidR="004A7CFE" w:rsidRDefault="001120CA" w:rsidP="00C215A2">
      <w:pPr>
        <w:pStyle w:val="Heading1"/>
        <w:numPr>
          <w:ilvl w:val="0"/>
          <w:numId w:val="34"/>
        </w:numPr>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 xml:space="preserve">Projects potential carbon credit value appreciation amid CBAM demand, aligned with Saudi Arabia’s Vision 2030 export goals. It is this space that this research seeks out to fill. The lack of such an approach is more obvious by contrast: KAPSARC’s Residential Energy Model (REEM) provides an extensive bottom-up simulation of Saudi residential buildings by type, vintage, and climate zone (Belaïd &amp; Aldubyan, 2024), but there is nothing similar for </w:t>
      </w:r>
      <w:r w:rsidR="004C4DCE" w:rsidRPr="00AC78B8">
        <w:rPr>
          <w:rFonts w:asciiTheme="majorBidi" w:hAnsiTheme="majorBidi" w:cstheme="majorBidi"/>
          <w:color w:val="auto"/>
          <w:kern w:val="2"/>
          <w:sz w:val="24"/>
          <w:szCs w:val="24"/>
          <w14:ligatures w14:val="standardContextual"/>
        </w:rPr>
        <w:t>monetizing</w:t>
      </w:r>
      <w:r w:rsidRPr="00AC78B8">
        <w:rPr>
          <w:rFonts w:asciiTheme="majorBidi" w:hAnsiTheme="majorBidi" w:cstheme="majorBidi"/>
          <w:color w:val="auto"/>
          <w:kern w:val="2"/>
          <w:sz w:val="24"/>
          <w:szCs w:val="24"/>
          <w14:ligatures w14:val="standardContextual"/>
        </w:rPr>
        <w:t xml:space="preserve"> carbon in the commercial facilities management sector. This study tries to offer that commercial-side model.</w:t>
      </w:r>
    </w:p>
    <w:p w14:paraId="44FD010A" w14:textId="77777777" w:rsidR="00C215A2" w:rsidRDefault="00C215A2" w:rsidP="00C215A2">
      <w:pPr>
        <w:pStyle w:val="Heading1"/>
        <w:spacing w:before="300" w:line="360" w:lineRule="auto"/>
        <w:jc w:val="both"/>
        <w:rPr>
          <w:rFonts w:asciiTheme="majorBidi" w:hAnsiTheme="majorBidi" w:cstheme="majorBidi"/>
          <w:color w:val="auto"/>
          <w:kern w:val="2"/>
          <w:sz w:val="24"/>
          <w:szCs w:val="24"/>
          <w14:ligatures w14:val="standardContextual"/>
        </w:rPr>
      </w:pPr>
    </w:p>
    <w:p w14:paraId="45528198" w14:textId="77777777" w:rsidR="00C215A2" w:rsidRDefault="00C215A2" w:rsidP="00C215A2">
      <w:pPr>
        <w:pStyle w:val="Heading1"/>
        <w:spacing w:before="300" w:line="360" w:lineRule="auto"/>
        <w:jc w:val="both"/>
        <w:rPr>
          <w:rFonts w:asciiTheme="majorBidi" w:hAnsiTheme="majorBidi" w:cstheme="majorBidi"/>
          <w:color w:val="auto"/>
          <w:kern w:val="2"/>
          <w:sz w:val="24"/>
          <w:szCs w:val="24"/>
          <w14:ligatures w14:val="standardContextual"/>
        </w:rPr>
      </w:pPr>
    </w:p>
    <w:p w14:paraId="55022D1B" w14:textId="77777777" w:rsidR="00C215A2" w:rsidRDefault="00C215A2" w:rsidP="00C215A2">
      <w:pPr>
        <w:pStyle w:val="Heading1"/>
        <w:spacing w:before="300" w:line="360" w:lineRule="auto"/>
        <w:jc w:val="both"/>
        <w:rPr>
          <w:rFonts w:asciiTheme="majorBidi" w:hAnsiTheme="majorBidi" w:cstheme="majorBidi"/>
          <w:color w:val="auto"/>
          <w:kern w:val="2"/>
          <w:sz w:val="24"/>
          <w:szCs w:val="24"/>
          <w14:ligatures w14:val="standardContextual"/>
        </w:rPr>
      </w:pPr>
    </w:p>
    <w:p w14:paraId="60A5276C" w14:textId="77777777" w:rsidR="00C215A2" w:rsidRPr="00AC78B8" w:rsidRDefault="00C215A2" w:rsidP="00C215A2">
      <w:pPr>
        <w:pStyle w:val="Heading1"/>
        <w:spacing w:before="300" w:line="360" w:lineRule="auto"/>
        <w:jc w:val="both"/>
        <w:rPr>
          <w:rFonts w:asciiTheme="majorBidi" w:hAnsiTheme="majorBidi" w:cstheme="majorBidi"/>
          <w:color w:val="auto"/>
          <w:kern w:val="2"/>
          <w:sz w:val="24"/>
          <w:szCs w:val="24"/>
          <w14:ligatures w14:val="standardContextual"/>
        </w:rPr>
      </w:pPr>
    </w:p>
    <w:p w14:paraId="134F27A7" w14:textId="77777777" w:rsidR="004A7CFE" w:rsidRPr="00AC78B8" w:rsidRDefault="00000000" w:rsidP="00C215A2">
      <w:pPr>
        <w:pStyle w:val="Heading1"/>
        <w:spacing w:before="300" w:line="360" w:lineRule="auto"/>
        <w:jc w:val="both"/>
        <w:rPr>
          <w:rFonts w:asciiTheme="majorBidi" w:hAnsiTheme="majorBidi" w:cstheme="majorBidi"/>
        </w:rPr>
      </w:pPr>
      <w:r w:rsidRPr="00AC78B8">
        <w:rPr>
          <w:rFonts w:asciiTheme="majorBidi" w:hAnsiTheme="majorBidi" w:cstheme="majorBidi"/>
          <w:b/>
          <w:bCs/>
          <w:color w:val="000000"/>
        </w:rPr>
        <w:lastRenderedPageBreak/>
        <w:t>1.3 Problem Statement</w:t>
      </w:r>
      <w:bookmarkEnd w:id="4"/>
      <w:bookmarkEnd w:id="5"/>
    </w:p>
    <w:p w14:paraId="5EB0DA5A"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sz w:val="24"/>
          <w:szCs w:val="24"/>
        </w:rPr>
        <w:t>The central research problem of this research is articulated as follows:</w:t>
      </w:r>
    </w:p>
    <w:p w14:paraId="41B5A0BD" w14:textId="77777777" w:rsidR="004A7CFE" w:rsidRPr="00AC78B8" w:rsidRDefault="004A7CFE" w:rsidP="00C215A2">
      <w:pPr>
        <w:spacing w:after="0" w:line="360" w:lineRule="auto"/>
        <w:jc w:val="both"/>
        <w:rPr>
          <w:rFonts w:asciiTheme="majorBidi" w:hAnsiTheme="majorBidi" w:cstheme="majorBidi"/>
        </w:rPr>
      </w:pPr>
    </w:p>
    <w:p w14:paraId="6FE437AB" w14:textId="4D72FDA5" w:rsidR="004A7CFE" w:rsidRPr="00AC78B8" w:rsidRDefault="00000000" w:rsidP="00C215A2">
      <w:pPr>
        <w:pBdr>
          <w:left w:val="single" w:sz="8" w:space="12" w:color="7F7F7F"/>
        </w:pBdr>
        <w:spacing w:before="120" w:after="0" w:line="360" w:lineRule="auto"/>
        <w:ind w:left="720" w:right="720"/>
        <w:jc w:val="both"/>
        <w:rPr>
          <w:rFonts w:asciiTheme="majorBidi" w:hAnsiTheme="majorBidi" w:cstheme="majorBidi"/>
        </w:rPr>
      </w:pPr>
      <w:r w:rsidRPr="00AC78B8">
        <w:rPr>
          <w:rFonts w:asciiTheme="majorBidi" w:eastAsia="Times New Roman" w:hAnsiTheme="majorBidi" w:cstheme="majorBidi"/>
          <w:b/>
          <w:bCs/>
          <w:i/>
          <w:iCs/>
          <w:color w:val="000000"/>
          <w:sz w:val="24"/>
          <w:szCs w:val="24"/>
        </w:rPr>
        <w:t>“</w:t>
      </w:r>
      <w:r w:rsidR="00CF1697" w:rsidRPr="00AC78B8">
        <w:rPr>
          <w:rFonts w:asciiTheme="majorBidi" w:eastAsia="Times New Roman" w:hAnsiTheme="majorBidi" w:cstheme="majorBidi"/>
          <w:b/>
          <w:bCs/>
          <w:i/>
          <w:iCs/>
          <w:color w:val="000000"/>
          <w:sz w:val="24"/>
          <w:szCs w:val="24"/>
        </w:rPr>
        <w:t>To what extent do current MRV transaction costs on the Regional Voluntary Carbon Market create a financial viability gap for individual commercial facilities in Riyadh and what structural interventions specifically portfolio aggregation and government subsidy are required to convert energy efficiency into a commercially viable carbon revenue stream aligned with Vision 2030 targets?”</w:t>
      </w:r>
    </w:p>
    <w:p w14:paraId="21388020" w14:textId="77777777" w:rsidR="004A7CFE" w:rsidRPr="00AC78B8" w:rsidRDefault="004A7CFE" w:rsidP="00C215A2">
      <w:pPr>
        <w:spacing w:after="0" w:line="360" w:lineRule="auto"/>
        <w:jc w:val="both"/>
        <w:rPr>
          <w:rFonts w:asciiTheme="majorBidi" w:hAnsiTheme="majorBidi" w:cstheme="majorBidi"/>
        </w:rPr>
      </w:pPr>
    </w:p>
    <w:p w14:paraId="767670DA" w14:textId="08DB9B7D" w:rsidR="00CF1697" w:rsidRPr="00AC78B8" w:rsidRDefault="00CF1697" w:rsidP="00C215A2">
      <w:pPr>
        <w:spacing w:after="0" w:line="360" w:lineRule="auto"/>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Central to this dilemma is a financial conundrum that obstructs the objectives of Vision 2030 regarding the construction of the environment. The RVCMC has created a voluntary carbon market including an exceptionally elevated clearance price of SAR 37.50, almost 7 to 8 times greater than the global average of USD 1–5 per tonne (World Bank, 2025). This marketplace currently functions as a real-time exchange, bolstered by twenty-three initial member firms (RVCMC, 2024). Nonetheless, involvement from the commercial office sector is still limited. The issue is not technological but rather structural: MRV expenses remain constant and cannot be apportioned at the project level, but carbon output escalates with the scale of the building. For instance, a 10,000 m² office structure, a standard dimension in Riyadh's business areas, produces carbon income of SAR 22,838, which is below the projected average MRV expense of SAR 60,000 (the median of the stated SAR 40,000-80,000 spectrum). This leads to a yearly deficit of SAR 37,163. Consequently, the capacity of the constructed environment to facilitate the attainment of Vision 2030's SGI reduction objectives is constrained not by technological or policy factors, but by basic arithmetic.</w:t>
      </w:r>
    </w:p>
    <w:p w14:paraId="71D4629D" w14:textId="58625AD0" w:rsidR="004A7CFE" w:rsidRDefault="00CF1697"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Prior research has failed to address this issue. Current studies primarily concentrate on the carbon market through a policy lens (Luomi et al., 2025; World Bank, 2025) or investigate operational difficulties in facility management while neglecting carbon integration (MEFMA, 2023; Al-Surf &amp; Al-Fagih, 2024). To date, no research has simulated the aggregation scale required to surmount this obstacle in the Saudi market or projected the long-term appreciation of Saudi carbon credits amidst rising European demand. This study addresses these deficiencies via innovative financial modelling, with results intended to directly facilitate the execution of Vision 2030.</w:t>
      </w:r>
    </w:p>
    <w:p w14:paraId="2DC73ECC" w14:textId="77777777" w:rsidR="00C215A2" w:rsidRDefault="00C215A2" w:rsidP="00C215A2">
      <w:pPr>
        <w:spacing w:after="0" w:line="360" w:lineRule="auto"/>
        <w:jc w:val="both"/>
        <w:rPr>
          <w:rFonts w:asciiTheme="majorBidi" w:eastAsia="Times New Roman" w:hAnsiTheme="majorBidi" w:cstheme="majorBidi"/>
          <w:sz w:val="24"/>
          <w:szCs w:val="24"/>
        </w:rPr>
      </w:pPr>
    </w:p>
    <w:p w14:paraId="376250B6" w14:textId="77777777" w:rsidR="00C215A2" w:rsidRDefault="00C215A2" w:rsidP="00C215A2">
      <w:pPr>
        <w:spacing w:after="0" w:line="360" w:lineRule="auto"/>
        <w:jc w:val="both"/>
        <w:rPr>
          <w:rFonts w:asciiTheme="majorBidi" w:eastAsia="Times New Roman" w:hAnsiTheme="majorBidi" w:cstheme="majorBidi"/>
          <w:sz w:val="24"/>
          <w:szCs w:val="24"/>
        </w:rPr>
      </w:pPr>
    </w:p>
    <w:p w14:paraId="123B9570" w14:textId="77777777" w:rsidR="00C215A2" w:rsidRDefault="00C215A2" w:rsidP="00C215A2">
      <w:pPr>
        <w:spacing w:after="0" w:line="360" w:lineRule="auto"/>
        <w:jc w:val="both"/>
        <w:rPr>
          <w:rFonts w:asciiTheme="majorBidi" w:eastAsia="Times New Roman" w:hAnsiTheme="majorBidi" w:cstheme="majorBidi"/>
          <w:sz w:val="24"/>
          <w:szCs w:val="24"/>
        </w:rPr>
      </w:pPr>
    </w:p>
    <w:p w14:paraId="56F3437F" w14:textId="77777777" w:rsidR="00C215A2" w:rsidRPr="00AC78B8" w:rsidRDefault="00C215A2" w:rsidP="00C215A2">
      <w:pPr>
        <w:spacing w:after="0" w:line="360" w:lineRule="auto"/>
        <w:jc w:val="both"/>
        <w:rPr>
          <w:rFonts w:asciiTheme="majorBidi" w:eastAsia="Times New Roman" w:hAnsiTheme="majorBidi" w:cstheme="majorBidi"/>
          <w:sz w:val="24"/>
          <w:szCs w:val="24"/>
        </w:rPr>
      </w:pPr>
    </w:p>
    <w:p w14:paraId="7BD81F83" w14:textId="77777777" w:rsidR="004A7CFE" w:rsidRPr="00AC78B8" w:rsidRDefault="00000000" w:rsidP="00C215A2">
      <w:pPr>
        <w:pStyle w:val="Heading1"/>
        <w:spacing w:before="300" w:line="360" w:lineRule="auto"/>
        <w:jc w:val="both"/>
        <w:rPr>
          <w:rFonts w:asciiTheme="majorBidi" w:hAnsiTheme="majorBidi" w:cstheme="majorBidi"/>
        </w:rPr>
      </w:pPr>
      <w:bookmarkStart w:id="6" w:name="_Toc235093270"/>
      <w:bookmarkStart w:id="7" w:name="_Toc235367738"/>
      <w:r w:rsidRPr="00AC78B8">
        <w:rPr>
          <w:rFonts w:asciiTheme="majorBidi" w:hAnsiTheme="majorBidi" w:cstheme="majorBidi"/>
          <w:b/>
          <w:bCs/>
          <w:color w:val="000000"/>
        </w:rPr>
        <w:lastRenderedPageBreak/>
        <w:t>1.4 Importance of the Study</w:t>
      </w:r>
      <w:bookmarkEnd w:id="6"/>
      <w:bookmarkEnd w:id="7"/>
    </w:p>
    <w:p w14:paraId="2D3DD5CF" w14:textId="77777777" w:rsidR="004A7CFE" w:rsidRPr="00AC78B8" w:rsidRDefault="00000000" w:rsidP="00C215A2">
      <w:pPr>
        <w:pStyle w:val="Heading2"/>
        <w:spacing w:before="240" w:line="360" w:lineRule="auto"/>
        <w:jc w:val="both"/>
        <w:rPr>
          <w:rFonts w:asciiTheme="majorBidi" w:hAnsiTheme="majorBidi" w:cstheme="majorBidi"/>
        </w:rPr>
      </w:pPr>
      <w:bookmarkStart w:id="8" w:name="_Toc235093271"/>
      <w:bookmarkStart w:id="9" w:name="_Toc235097821"/>
      <w:bookmarkStart w:id="10" w:name="_Toc235367739"/>
      <w:r w:rsidRPr="00AC78B8">
        <w:rPr>
          <w:rFonts w:asciiTheme="majorBidi" w:hAnsiTheme="majorBidi" w:cstheme="majorBidi"/>
          <w:b/>
          <w:bCs/>
          <w:color w:val="000000"/>
          <w:sz w:val="28"/>
          <w:szCs w:val="28"/>
        </w:rPr>
        <w:t>1.4.1 Scientific Importance</w:t>
      </w:r>
      <w:bookmarkEnd w:id="8"/>
      <w:bookmarkEnd w:id="9"/>
      <w:bookmarkEnd w:id="10"/>
    </w:p>
    <w:p w14:paraId="10CC3500" w14:textId="7B5AB8C2" w:rsidR="004A7CFE" w:rsidRPr="00AC78B8" w:rsidRDefault="00CF1697" w:rsidP="00C215A2">
      <w:pPr>
        <w:spacing w:after="0" w:line="360" w:lineRule="auto"/>
        <w:jc w:val="both"/>
        <w:rPr>
          <w:rFonts w:asciiTheme="majorBidi" w:eastAsia="Times New Roman" w:hAnsiTheme="majorBidi" w:cstheme="majorBidi"/>
          <w:sz w:val="6"/>
          <w:szCs w:val="6"/>
        </w:rPr>
      </w:pPr>
      <w:bookmarkStart w:id="11" w:name="_Toc235093272"/>
      <w:bookmarkStart w:id="12" w:name="_Toc235097822"/>
      <w:bookmarkStart w:id="13" w:name="_Toc235367740"/>
      <w:r w:rsidRPr="00AC78B8">
        <w:rPr>
          <w:rFonts w:asciiTheme="majorBidi" w:eastAsia="Times New Roman" w:hAnsiTheme="majorBidi" w:cstheme="majorBidi"/>
          <w:sz w:val="24"/>
          <w:szCs w:val="24"/>
        </w:rPr>
        <w:t>This research offers three key theoretical insights. First, it builds on Transaction Cost Economics (Coase, 1937; Williamson, 1981) by showing how MRV costs can cause the voluntary carbon market to fail. It also shows that combining multiple projects into a portfolio acts as a practical solution to this failure, especially within the Vision 2030 policy framework. Second, it uses agency theory (Jensen &amp; Meckling, 1976) to analyze the split-incentive issue in the GCC, illustrating that carbon monetization generates a separate revenue source for landlords. This income stream bypasses tenants’ control of operational savings, directly addressing the barrier that discourages landlords from investing in energy efficiency. Third, the research introduces a step-by-step modeling approach for joining voluntary carbon markets in oil-producing countries with subsidized energy prices, a method that can be replicated in other GCC countries aligned with the Vision 2030 agenda, such as the UAE, Kuwait, and Bahrain.</w:t>
      </w:r>
    </w:p>
    <w:p w14:paraId="051A0CE8" w14:textId="77777777" w:rsidR="004A7CFE" w:rsidRPr="00AC78B8" w:rsidRDefault="00000000" w:rsidP="00C215A2">
      <w:pPr>
        <w:pStyle w:val="Heading2"/>
        <w:spacing w:before="240" w:line="360" w:lineRule="auto"/>
        <w:jc w:val="both"/>
        <w:rPr>
          <w:rFonts w:asciiTheme="majorBidi" w:hAnsiTheme="majorBidi" w:cstheme="majorBidi"/>
          <w:b/>
          <w:bCs/>
          <w:color w:val="000000"/>
          <w:sz w:val="28"/>
          <w:szCs w:val="28"/>
        </w:rPr>
      </w:pPr>
      <w:r w:rsidRPr="00AC78B8">
        <w:rPr>
          <w:rFonts w:asciiTheme="majorBidi" w:hAnsiTheme="majorBidi" w:cstheme="majorBidi"/>
          <w:b/>
          <w:bCs/>
          <w:color w:val="000000"/>
          <w:sz w:val="28"/>
          <w:szCs w:val="28"/>
        </w:rPr>
        <w:t>1.4.2 Practical Importance Vision 2030 Alignment</w:t>
      </w:r>
      <w:bookmarkStart w:id="14" w:name="_Toc235093273"/>
      <w:bookmarkStart w:id="15" w:name="_Toc235367741"/>
      <w:bookmarkEnd w:id="11"/>
      <w:bookmarkEnd w:id="12"/>
      <w:bookmarkEnd w:id="13"/>
    </w:p>
    <w:p w14:paraId="662A31F4" w14:textId="77777777" w:rsidR="00CF1697" w:rsidRPr="00AC78B8" w:rsidRDefault="00CF1697"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color w:val="auto"/>
          <w:sz w:val="24"/>
          <w:szCs w:val="24"/>
        </w:rPr>
        <w:t>This research's practical importance is based on the four foundations of Vision 2030's sustainability framework:</w:t>
      </w:r>
    </w:p>
    <w:p w14:paraId="37646B05" w14:textId="45834B9D" w:rsidR="004A7CFE" w:rsidRPr="00AC78B8" w:rsidRDefault="00000000"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Macroeconomic (Vision 2030 SGI &amp; Fiscal Diversification):</w:t>
      </w:r>
      <w:r w:rsidRPr="00AC78B8">
        <w:rPr>
          <w:rFonts w:asciiTheme="majorBidi" w:hAnsiTheme="majorBidi" w:cstheme="majorBidi"/>
          <w:color w:val="auto"/>
          <w:sz w:val="24"/>
          <w:szCs w:val="24"/>
        </w:rPr>
        <w:t xml:space="preserve"> </w:t>
      </w:r>
      <w:r w:rsidR="00CF1697" w:rsidRPr="00AC78B8">
        <w:rPr>
          <w:rFonts w:asciiTheme="majorBidi" w:hAnsiTheme="majorBidi" w:cstheme="majorBidi"/>
          <w:color w:val="auto"/>
          <w:sz w:val="24"/>
          <w:szCs w:val="24"/>
        </w:rPr>
        <w:t xml:space="preserve">Saudi Arabia's Saudi Green Initiative (SGI) is supported by an investment of SAR 705 billion across over 85 sustainability projects (SGI, 2024). This study illustrates that a specific government MRV subsidy, approximated at SAR 85,000 annually per portfolio, can catalyze substantial private-sector expenditures in retrofitting, resulting in a leverage ratio of 56:1 relative to the government’s spending. Reducing electricity use in commercial structures facilitates the availability of </w:t>
      </w:r>
      <w:r w:rsidR="006B661D" w:rsidRPr="00AC78B8">
        <w:rPr>
          <w:rFonts w:asciiTheme="majorBidi" w:hAnsiTheme="majorBidi" w:cstheme="majorBidi"/>
          <w:color w:val="auto"/>
          <w:sz w:val="24"/>
          <w:szCs w:val="24"/>
        </w:rPr>
        <w:t>subsidized</w:t>
      </w:r>
      <w:r w:rsidR="00CF1697" w:rsidRPr="00AC78B8">
        <w:rPr>
          <w:rFonts w:asciiTheme="majorBidi" w:hAnsiTheme="majorBidi" w:cstheme="majorBidi"/>
          <w:color w:val="auto"/>
          <w:sz w:val="24"/>
          <w:szCs w:val="24"/>
        </w:rPr>
        <w:t xml:space="preserve"> oil for export, so directly promoting the financial diversification objectives of Vision 2030.</w:t>
      </w:r>
    </w:p>
    <w:p w14:paraId="7BD6869D" w14:textId="56451899" w:rsidR="00CF1697" w:rsidRPr="00AC78B8" w:rsidRDefault="00000000"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Industry-level (Facility Management Transformation):</w:t>
      </w:r>
      <w:r w:rsidRPr="00AC78B8">
        <w:rPr>
          <w:rFonts w:asciiTheme="majorBidi" w:hAnsiTheme="majorBidi" w:cstheme="majorBidi"/>
          <w:color w:val="auto"/>
          <w:sz w:val="24"/>
          <w:szCs w:val="24"/>
        </w:rPr>
        <w:t xml:space="preserve"> </w:t>
      </w:r>
      <w:r w:rsidR="00CF1697" w:rsidRPr="00AC78B8">
        <w:rPr>
          <w:rFonts w:asciiTheme="majorBidi" w:hAnsiTheme="majorBidi" w:cstheme="majorBidi"/>
          <w:color w:val="auto"/>
          <w:sz w:val="24"/>
          <w:szCs w:val="24"/>
        </w:rPr>
        <w:t xml:space="preserve">Vision 2030 seeks to cultivate a more efficient private sector. This paper provides facility management leaders with a compelling financial rationale for transitioning from conventional headcount-driven maintenance agreements to Energy Performance Contracts (EPCs). By adopting this approach, facilities management transitions from a cost center to a pivotal player in the nation's </w:t>
      </w:r>
      <w:r w:rsidR="006B661D" w:rsidRPr="00AC78B8">
        <w:rPr>
          <w:rFonts w:asciiTheme="majorBidi" w:hAnsiTheme="majorBidi" w:cstheme="majorBidi"/>
          <w:color w:val="auto"/>
          <w:sz w:val="24"/>
          <w:szCs w:val="24"/>
        </w:rPr>
        <w:t>decarbonization</w:t>
      </w:r>
      <w:r w:rsidR="00CF1697" w:rsidRPr="00AC78B8">
        <w:rPr>
          <w:rFonts w:asciiTheme="majorBidi" w:hAnsiTheme="majorBidi" w:cstheme="majorBidi"/>
          <w:color w:val="auto"/>
          <w:sz w:val="24"/>
          <w:szCs w:val="24"/>
        </w:rPr>
        <w:t xml:space="preserve"> initiatives.</w:t>
      </w:r>
    </w:p>
    <w:p w14:paraId="62172385" w14:textId="77777777" w:rsidR="000D7B9B" w:rsidRPr="00AC78B8" w:rsidRDefault="00000000"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Asset-level (Office Asset Valuation &amp; the 'Quality of Life' Vision):</w:t>
      </w:r>
      <w:r w:rsidRPr="00AC78B8">
        <w:rPr>
          <w:rFonts w:asciiTheme="majorBidi" w:hAnsiTheme="majorBidi" w:cstheme="majorBidi"/>
          <w:color w:val="auto"/>
          <w:sz w:val="24"/>
          <w:szCs w:val="24"/>
        </w:rPr>
        <w:t xml:space="preserve"> </w:t>
      </w:r>
      <w:r w:rsidR="000D7B9B" w:rsidRPr="00AC78B8">
        <w:rPr>
          <w:rFonts w:asciiTheme="majorBidi" w:hAnsiTheme="majorBidi" w:cstheme="majorBidi"/>
          <w:color w:val="auto"/>
          <w:sz w:val="24"/>
          <w:szCs w:val="24"/>
        </w:rPr>
        <w:t xml:space="preserve">In 2024, the Sustainable Building Program of the Saudi Arabian Ministry of Municipalities and Housing evaluated 75 projects representing 47 million m2, up 32% from the prior year (Skyline Holdings, 2025). Furthermore, Saudi </w:t>
      </w:r>
      <w:r w:rsidR="000D7B9B" w:rsidRPr="00AC78B8">
        <w:rPr>
          <w:rFonts w:asciiTheme="majorBidi" w:hAnsiTheme="majorBidi" w:cstheme="majorBidi"/>
          <w:color w:val="auto"/>
          <w:sz w:val="24"/>
          <w:szCs w:val="24"/>
        </w:rPr>
        <w:lastRenderedPageBreak/>
        <w:t>Arabia has the highest number of LEED-certified buildings in the Middle East (GBCI, 2024), indicating a mature market for green asset premiums. This research provides a methodology for developers to incorporate carbon revenue into NPV calculations, strengthening the well-documented Green Premium from JLL (2024).</w:t>
      </w:r>
    </w:p>
    <w:p w14:paraId="7735AAD8" w14:textId="77777777" w:rsidR="000D7B9B" w:rsidRPr="00AC78B8" w:rsidRDefault="00000000"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International Markets (Vision 2030 New Economy &amp; Export Positioning):</w:t>
      </w:r>
      <w:r w:rsidRPr="00AC78B8">
        <w:rPr>
          <w:rFonts w:asciiTheme="majorBidi" w:hAnsiTheme="majorBidi" w:cstheme="majorBidi"/>
          <w:color w:val="auto"/>
          <w:sz w:val="24"/>
          <w:szCs w:val="24"/>
        </w:rPr>
        <w:t xml:space="preserve"> </w:t>
      </w:r>
      <w:r w:rsidR="000D7B9B" w:rsidRPr="00AC78B8">
        <w:rPr>
          <w:rFonts w:asciiTheme="majorBidi" w:hAnsiTheme="majorBidi" w:cstheme="majorBidi"/>
          <w:color w:val="auto"/>
          <w:sz w:val="24"/>
          <w:szCs w:val="24"/>
        </w:rPr>
        <w:t>The Saudi voluntary carbon market is expected to expand from USD 21.7 million to USD 124.6 million by 2030 (Grand View Research, 2025). Aggregated, verified Saudi carbon credits will position the Kingdom as a top-tier supplier in a global market increasingly driven by European CBAM rules and growing demand for high-quality offsets from the Global South. Facility management companies that move early help Saudi Arabia lead the Global South carbon market while creating new export revenues directly supporting Vision 2030’s economic diversification goals.</w:t>
      </w:r>
    </w:p>
    <w:p w14:paraId="6024FBEF" w14:textId="77777777" w:rsidR="000D7B9B" w:rsidRPr="00AC78B8" w:rsidRDefault="00000000" w:rsidP="00C215A2">
      <w:pPr>
        <w:pStyle w:val="Heading2"/>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For decision-makers, this research offers practical tools:</w:t>
      </w:r>
      <w:r w:rsidRPr="00AC78B8">
        <w:rPr>
          <w:rFonts w:asciiTheme="majorBidi" w:hAnsiTheme="majorBidi" w:cstheme="majorBidi"/>
          <w:color w:val="auto"/>
          <w:sz w:val="24"/>
          <w:szCs w:val="24"/>
        </w:rPr>
        <w:t xml:space="preserve"> </w:t>
      </w:r>
      <w:r w:rsidR="000D7B9B" w:rsidRPr="00AC78B8">
        <w:rPr>
          <w:rFonts w:asciiTheme="majorBidi" w:hAnsiTheme="majorBidi" w:cstheme="majorBidi"/>
          <w:color w:val="auto"/>
          <w:sz w:val="24"/>
          <w:szCs w:val="24"/>
        </w:rPr>
        <w:t>a financial plan for facility management leaders, a subsidy design template for RVCMC and Ministry of Energy policymakers, and a framework for increasing the value of assets for office owners and institutional investors.</w:t>
      </w:r>
    </w:p>
    <w:p w14:paraId="2479166C" w14:textId="0FA5A12D" w:rsidR="004A7CFE" w:rsidRPr="00AC78B8" w:rsidRDefault="00000000" w:rsidP="00C215A2">
      <w:pPr>
        <w:pStyle w:val="Heading2"/>
        <w:spacing w:before="240" w:line="360" w:lineRule="auto"/>
        <w:jc w:val="both"/>
        <w:rPr>
          <w:rFonts w:asciiTheme="majorBidi" w:hAnsiTheme="majorBidi" w:cstheme="majorBidi"/>
          <w:sz w:val="28"/>
          <w:szCs w:val="28"/>
        </w:rPr>
      </w:pPr>
      <w:r w:rsidRPr="00AC78B8">
        <w:rPr>
          <w:rFonts w:asciiTheme="majorBidi" w:hAnsiTheme="majorBidi" w:cstheme="majorBidi"/>
          <w:b/>
          <w:bCs/>
          <w:color w:val="000000"/>
          <w:sz w:val="28"/>
          <w:szCs w:val="28"/>
        </w:rPr>
        <w:t>1.5 Research Objectives</w:t>
      </w:r>
      <w:bookmarkEnd w:id="14"/>
      <w:bookmarkEnd w:id="15"/>
    </w:p>
    <w:p w14:paraId="545DF71D" w14:textId="77777777" w:rsidR="004A7CFE" w:rsidRPr="00AC78B8" w:rsidRDefault="00000000" w:rsidP="00C215A2">
      <w:pPr>
        <w:pStyle w:val="Heading2"/>
        <w:spacing w:before="240" w:line="360" w:lineRule="auto"/>
        <w:jc w:val="both"/>
        <w:rPr>
          <w:rFonts w:asciiTheme="majorBidi" w:hAnsiTheme="majorBidi" w:cstheme="majorBidi"/>
          <w:sz w:val="24"/>
          <w:szCs w:val="24"/>
        </w:rPr>
      </w:pPr>
      <w:bookmarkStart w:id="16" w:name="_Toc235093274"/>
      <w:bookmarkStart w:id="17" w:name="_Toc235097824"/>
      <w:bookmarkStart w:id="18" w:name="_Toc235367742"/>
      <w:r w:rsidRPr="00AC78B8">
        <w:rPr>
          <w:rFonts w:asciiTheme="majorBidi" w:hAnsiTheme="majorBidi" w:cstheme="majorBidi"/>
          <w:b/>
          <w:bCs/>
          <w:color w:val="000000"/>
          <w:sz w:val="24"/>
          <w:szCs w:val="24"/>
        </w:rPr>
        <w:t>1.5.1 Primary Objectives</w:t>
      </w:r>
      <w:bookmarkEnd w:id="16"/>
      <w:bookmarkEnd w:id="17"/>
      <w:bookmarkEnd w:id="18"/>
    </w:p>
    <w:p w14:paraId="33DDF11F" w14:textId="08DBDD83" w:rsidR="004A7CFE" w:rsidRPr="00AC78B8" w:rsidRDefault="00000000" w:rsidP="00C215A2">
      <w:pPr>
        <w:pStyle w:val="ListParagraph"/>
        <w:numPr>
          <w:ilvl w:val="0"/>
          <w:numId w:val="14"/>
        </w:numPr>
        <w:spacing w:line="360" w:lineRule="auto"/>
        <w:rPr>
          <w:rFonts w:asciiTheme="majorBidi" w:hAnsiTheme="majorBidi" w:cstheme="majorBidi"/>
        </w:rPr>
      </w:pPr>
      <w:bookmarkStart w:id="19" w:name="_Toc235093275"/>
      <w:bookmarkStart w:id="20" w:name="_Toc235097825"/>
      <w:bookmarkStart w:id="21" w:name="_Toc235367743"/>
      <w:r w:rsidRPr="00AC78B8">
        <w:rPr>
          <w:rFonts w:asciiTheme="majorBidi" w:hAnsiTheme="majorBidi" w:cstheme="majorBidi"/>
          <w:b/>
          <w:bCs/>
        </w:rPr>
        <w:t>Quantify the Viability Gap:</w:t>
      </w:r>
      <w:r w:rsidRPr="00AC78B8">
        <w:rPr>
          <w:rFonts w:asciiTheme="majorBidi" w:hAnsiTheme="majorBidi" w:cstheme="majorBidi"/>
        </w:rPr>
        <w:t xml:space="preserve"> </w:t>
      </w:r>
      <w:r w:rsidR="000D7B9B" w:rsidRPr="00AC78B8">
        <w:rPr>
          <w:rFonts w:asciiTheme="majorBidi" w:hAnsiTheme="majorBidi" w:cstheme="majorBidi"/>
        </w:rPr>
        <w:t>Calculate the annual net cash flow shortfall for a typical small commercial building (10,000 m2) participating in the RVCM. This demonstrates the real magnitude of the MRV transaction cost barrier that prevents private-sector actors from supporting Vision 2030 in meeting its carbon goals for the built environment.</w:t>
      </w:r>
    </w:p>
    <w:p w14:paraId="64780714" w14:textId="77777777" w:rsidR="004A7CFE" w:rsidRPr="00AC78B8" w:rsidRDefault="00000000" w:rsidP="00C215A2">
      <w:pPr>
        <w:pStyle w:val="Heading2"/>
        <w:numPr>
          <w:ilvl w:val="0"/>
          <w:numId w:val="14"/>
        </w:numPr>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Model Aggregation Economics:</w:t>
      </w:r>
      <w:r w:rsidRPr="00AC78B8">
        <w:rPr>
          <w:rFonts w:asciiTheme="majorBidi" w:hAnsiTheme="majorBidi" w:cstheme="majorBidi"/>
          <w:color w:val="auto"/>
          <w:sz w:val="24"/>
          <w:szCs w:val="24"/>
        </w:rPr>
        <w:t xml:space="preserve"> Determine the MRV cost per tonne as a portfolio grows and pinpoint the smallest portfolio size where carbon participation pays for itself under RVCMC’s current market rules.</w:t>
      </w:r>
    </w:p>
    <w:p w14:paraId="0F774255" w14:textId="1F355FAB" w:rsidR="000D7B9B" w:rsidRPr="00AC78B8" w:rsidRDefault="000D7B9B" w:rsidP="00C215A2">
      <w:pPr>
        <w:pStyle w:val="Heading2"/>
        <w:numPr>
          <w:ilvl w:val="0"/>
          <w:numId w:val="14"/>
        </w:numPr>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 xml:space="preserve">Consider the effect of government policy: </w:t>
      </w:r>
      <w:r w:rsidRPr="00AC78B8">
        <w:rPr>
          <w:rFonts w:asciiTheme="majorBidi" w:hAnsiTheme="majorBidi" w:cstheme="majorBidi"/>
          <w:color w:val="auto"/>
          <w:sz w:val="24"/>
          <w:szCs w:val="24"/>
        </w:rPr>
        <w:t>Analysis of the impact of five-year subsidy of MRV on portfolio SPP and 15-year ROI. This will provide a clear cost-benefit structure for the policymakers to design the private sector incentives in line with Vision 2030.</w:t>
      </w:r>
    </w:p>
    <w:p w14:paraId="2A65DEF0" w14:textId="7632264A" w:rsidR="000D7B9B" w:rsidRPr="00AC78B8" w:rsidRDefault="000D7B9B" w:rsidP="00C215A2">
      <w:pPr>
        <w:pStyle w:val="Heading2"/>
        <w:numPr>
          <w:ilvl w:val="0"/>
          <w:numId w:val="14"/>
        </w:numPr>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 xml:space="preserve">Project Carbon Asset Appreciation: </w:t>
      </w:r>
      <w:r w:rsidRPr="00AC78B8">
        <w:rPr>
          <w:rFonts w:asciiTheme="majorBidi" w:hAnsiTheme="majorBidi" w:cstheme="majorBidi"/>
          <w:color w:val="auto"/>
          <w:sz w:val="24"/>
          <w:szCs w:val="24"/>
        </w:rPr>
        <w:t xml:space="preserve">Estimate the potential increase in Saudi Arabia’s consolidated portfolio’s annual carbon earnings over the next 15 years, driven by the rising global demand for carbon credits </w:t>
      </w:r>
      <w:proofErr w:type="gramStart"/>
      <w:r w:rsidRPr="00AC78B8">
        <w:rPr>
          <w:rFonts w:asciiTheme="majorBidi" w:hAnsiTheme="majorBidi" w:cstheme="majorBidi"/>
          <w:color w:val="auto"/>
          <w:sz w:val="24"/>
          <w:szCs w:val="24"/>
        </w:rPr>
        <w:t>as a consequence of</w:t>
      </w:r>
      <w:proofErr w:type="gramEnd"/>
      <w:r w:rsidRPr="00AC78B8">
        <w:rPr>
          <w:rFonts w:asciiTheme="majorBidi" w:hAnsiTheme="majorBidi" w:cstheme="majorBidi"/>
          <w:color w:val="auto"/>
          <w:sz w:val="24"/>
          <w:szCs w:val="24"/>
        </w:rPr>
        <w:t xml:space="preserve"> EU CBAM regulations. This role </w:t>
      </w:r>
      <w:r w:rsidRPr="00AC78B8">
        <w:rPr>
          <w:rFonts w:asciiTheme="majorBidi" w:hAnsiTheme="majorBidi" w:cstheme="majorBidi"/>
          <w:color w:val="auto"/>
          <w:sz w:val="24"/>
          <w:szCs w:val="24"/>
        </w:rPr>
        <w:lastRenderedPageBreak/>
        <w:t>positioned RVCMC credits as a new financial instrument supporting the Vision 2030 objectives for the new economy.</w:t>
      </w:r>
    </w:p>
    <w:p w14:paraId="2126595B" w14:textId="68F972F2" w:rsidR="000D7B9B" w:rsidRPr="00AC78B8" w:rsidRDefault="000D7B9B" w:rsidP="00C215A2">
      <w:pPr>
        <w:pStyle w:val="Heading2"/>
        <w:numPr>
          <w:ilvl w:val="0"/>
          <w:numId w:val="14"/>
        </w:numPr>
        <w:spacing w:before="240" w:line="360" w:lineRule="auto"/>
        <w:jc w:val="both"/>
        <w:rPr>
          <w:rFonts w:asciiTheme="majorBidi" w:hAnsiTheme="majorBidi" w:cstheme="majorBidi"/>
          <w:color w:val="auto"/>
          <w:sz w:val="24"/>
          <w:szCs w:val="24"/>
        </w:rPr>
      </w:pPr>
      <w:r w:rsidRPr="00AC78B8">
        <w:rPr>
          <w:rFonts w:asciiTheme="majorBidi" w:hAnsiTheme="majorBidi" w:cstheme="majorBidi"/>
          <w:b/>
          <w:bCs/>
          <w:color w:val="auto"/>
          <w:sz w:val="24"/>
          <w:szCs w:val="24"/>
        </w:rPr>
        <w:t xml:space="preserve">Evaluate The 3 Investment Options: </w:t>
      </w:r>
      <w:r w:rsidRPr="00AC78B8">
        <w:rPr>
          <w:rFonts w:asciiTheme="majorBidi" w:hAnsiTheme="majorBidi" w:cstheme="majorBidi"/>
          <w:color w:val="auto"/>
          <w:sz w:val="24"/>
          <w:szCs w:val="24"/>
        </w:rPr>
        <w:t xml:space="preserve">Structure the findings in a decision-making framework comparing 3 approaches for asset owners to fund the transition: self-funding, government backed financing (including SGI/PIF green funds and concessional loans), and collective transition </w:t>
      </w:r>
      <w:r w:rsidR="006B661D" w:rsidRPr="00AC78B8">
        <w:rPr>
          <w:rFonts w:asciiTheme="majorBidi" w:hAnsiTheme="majorBidi" w:cstheme="majorBidi"/>
          <w:color w:val="auto"/>
          <w:sz w:val="24"/>
          <w:szCs w:val="24"/>
        </w:rPr>
        <w:t>through</w:t>
      </w:r>
      <w:r w:rsidRPr="00AC78B8">
        <w:rPr>
          <w:rFonts w:asciiTheme="majorBidi" w:hAnsiTheme="majorBidi" w:cstheme="majorBidi"/>
          <w:color w:val="auto"/>
          <w:sz w:val="24"/>
          <w:szCs w:val="24"/>
        </w:rPr>
        <w:t xml:space="preserve"> shared multi-building initiatives. This helps match each pathway to the correct owner profile and highlights the financial returns, asset life and compliance readiness for each.</w:t>
      </w:r>
    </w:p>
    <w:p w14:paraId="376207F2"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1.5.2 Secondary Objectives</w:t>
      </w:r>
      <w:bookmarkEnd w:id="19"/>
      <w:bookmarkEnd w:id="20"/>
      <w:bookmarkEnd w:id="21"/>
    </w:p>
    <w:p w14:paraId="2E260910" w14:textId="6D4ECA3D"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sz w:val="24"/>
          <w:szCs w:val="24"/>
        </w:rPr>
      </w:pPr>
      <w:bookmarkStart w:id="22" w:name="_Toc235093276"/>
      <w:bookmarkStart w:id="23" w:name="_Toc235367744"/>
      <w:r w:rsidRPr="00AC78B8">
        <w:rPr>
          <w:rFonts w:asciiTheme="majorBidi" w:hAnsiTheme="majorBidi" w:cstheme="majorBidi"/>
          <w:b/>
          <w:bCs/>
          <w:color w:val="auto"/>
          <w:sz w:val="24"/>
          <w:szCs w:val="24"/>
        </w:rPr>
        <w:t xml:space="preserve">Validate the Model with a Real Case Study: </w:t>
      </w:r>
      <w:r w:rsidRPr="00AC78B8">
        <w:rPr>
          <w:rFonts w:asciiTheme="majorBidi" w:hAnsiTheme="majorBidi" w:cstheme="majorBidi"/>
          <w:color w:val="auto"/>
          <w:sz w:val="24"/>
          <w:szCs w:val="24"/>
        </w:rPr>
        <w:t>Validate the prototype model major findings using the actual 23 months metered consumption data for a Grade A commercial building in Riyadh, which is provided by the building FM contractor. This step confirms the effectiveness of the viability gap, aggregation solution and policy leverage mechanism in real operation.</w:t>
      </w:r>
    </w:p>
    <w:p w14:paraId="398BF7DA" w14:textId="02560CC6"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sz w:val="24"/>
          <w:szCs w:val="24"/>
        </w:rPr>
      </w:pPr>
      <w:r w:rsidRPr="00AC78B8">
        <w:rPr>
          <w:rFonts w:asciiTheme="majorBidi" w:hAnsiTheme="majorBidi" w:cstheme="majorBidi"/>
          <w:b/>
          <w:bCs/>
          <w:color w:val="auto"/>
          <w:sz w:val="24"/>
          <w:szCs w:val="24"/>
        </w:rPr>
        <w:t xml:space="preserve">FM Transition to EPCs: </w:t>
      </w:r>
      <w:r w:rsidRPr="00AC78B8">
        <w:rPr>
          <w:rFonts w:asciiTheme="majorBidi" w:hAnsiTheme="majorBidi" w:cstheme="majorBidi"/>
          <w:color w:val="auto"/>
          <w:sz w:val="24"/>
          <w:szCs w:val="24"/>
        </w:rPr>
        <w:t>Describes transition in Saudi Arabia from facility management contracts based on traditional headcount to energy performance contracts. This step will enable FM companies to directly reap efficiency gains and will also make them private sector partners in the achievement of Vision 2030.</w:t>
      </w:r>
    </w:p>
    <w:p w14:paraId="06FD68D2" w14:textId="78BEF767"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sz w:val="24"/>
          <w:szCs w:val="24"/>
        </w:rPr>
      </w:pPr>
      <w:r w:rsidRPr="00AC78B8">
        <w:rPr>
          <w:rFonts w:asciiTheme="majorBidi" w:hAnsiTheme="majorBidi" w:cstheme="majorBidi"/>
          <w:b/>
          <w:bCs/>
          <w:color w:val="auto"/>
          <w:sz w:val="24"/>
          <w:szCs w:val="24"/>
        </w:rPr>
        <w:t xml:space="preserve">Sensitivity Analysis of Carbon Price: </w:t>
      </w:r>
      <w:r w:rsidRPr="00AC78B8">
        <w:rPr>
          <w:rFonts w:asciiTheme="majorBidi" w:hAnsiTheme="majorBidi" w:cstheme="majorBidi"/>
          <w:color w:val="auto"/>
          <w:sz w:val="24"/>
          <w:szCs w:val="24"/>
        </w:rPr>
        <w:t>Assess the robustness of the financial model to a ±20% change in the RVCM carbon price. This analysis helps set realistic expectations for minimum and optimistic returns.</w:t>
      </w:r>
    </w:p>
    <w:p w14:paraId="72AF91C9" w14:textId="05FA08E0"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sz w:val="24"/>
          <w:szCs w:val="24"/>
        </w:rPr>
      </w:pPr>
      <w:r w:rsidRPr="00AC78B8">
        <w:rPr>
          <w:rFonts w:asciiTheme="majorBidi" w:hAnsiTheme="majorBidi" w:cstheme="majorBidi"/>
          <w:b/>
          <w:bCs/>
          <w:color w:val="auto"/>
          <w:sz w:val="24"/>
          <w:szCs w:val="24"/>
        </w:rPr>
        <w:t xml:space="preserve">Scrutinize Greening Grid Risks: </w:t>
      </w:r>
      <w:r w:rsidRPr="00AC78B8">
        <w:rPr>
          <w:rFonts w:asciiTheme="majorBidi" w:hAnsiTheme="majorBidi" w:cstheme="majorBidi"/>
          <w:color w:val="auto"/>
          <w:sz w:val="24"/>
          <w:szCs w:val="24"/>
        </w:rPr>
        <w:t>Analyze the possible effect of the Saudi Grid Emission Factor’s slow reduction following the 50% renewables goal by Vision 2030 on carbon credit yields over time. Propose early registration schemes to help protect credit returns as the grid gets greener.</w:t>
      </w:r>
    </w:p>
    <w:p w14:paraId="7A2CA9D3" w14:textId="17960E4E" w:rsidR="004A7CFE" w:rsidRPr="00AC78B8" w:rsidRDefault="00000000" w:rsidP="00C215A2">
      <w:pPr>
        <w:pStyle w:val="Heading1"/>
        <w:spacing w:before="300" w:line="360" w:lineRule="auto"/>
        <w:jc w:val="both"/>
        <w:rPr>
          <w:rFonts w:asciiTheme="majorBidi" w:hAnsiTheme="majorBidi" w:cstheme="majorBidi"/>
        </w:rPr>
      </w:pPr>
      <w:r w:rsidRPr="00AC78B8">
        <w:rPr>
          <w:rFonts w:asciiTheme="majorBidi" w:hAnsiTheme="majorBidi" w:cstheme="majorBidi"/>
          <w:b/>
          <w:bCs/>
          <w:color w:val="000000"/>
        </w:rPr>
        <w:t>1.6 Research Questions</w:t>
      </w:r>
      <w:bookmarkEnd w:id="22"/>
      <w:bookmarkEnd w:id="23"/>
    </w:p>
    <w:p w14:paraId="50A6C803" w14:textId="61BC84C9"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bookmarkStart w:id="24" w:name="_Toc235093277"/>
      <w:bookmarkStart w:id="25" w:name="_Toc235367745"/>
      <w:r w:rsidRPr="00AC78B8">
        <w:rPr>
          <w:rFonts w:asciiTheme="majorBidi" w:hAnsiTheme="majorBidi" w:cstheme="majorBidi"/>
          <w:b/>
          <w:bCs/>
          <w:color w:val="auto"/>
          <w:kern w:val="2"/>
          <w:sz w:val="24"/>
          <w:szCs w:val="24"/>
          <w14:ligatures w14:val="standardContextual"/>
        </w:rPr>
        <w:t xml:space="preserve">RQ1 (The Viability Gap): </w:t>
      </w:r>
      <w:r w:rsidRPr="00AC78B8">
        <w:rPr>
          <w:rFonts w:asciiTheme="majorBidi" w:hAnsiTheme="majorBidi" w:cstheme="majorBidi"/>
          <w:color w:val="auto"/>
          <w:kern w:val="2"/>
          <w:sz w:val="24"/>
          <w:szCs w:val="24"/>
          <w14:ligatures w14:val="standardContextual"/>
        </w:rPr>
        <w:t>Given the current RVCM carbon price of SAR 37.50 per ton of CO₂e, how significant are MRV transaction costs to the financial viability of individual commercial facilities in Riyadh? Furthermore, what is the minimum carbon revenue required for these facilities to be able to participate in the market?</w:t>
      </w:r>
    </w:p>
    <w:p w14:paraId="18495935" w14:textId="183F0EBB"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lastRenderedPageBreak/>
        <w:t xml:space="preserve">RQ2 (The Aggregation Solution): </w:t>
      </w:r>
      <w:r w:rsidRPr="00AC78B8">
        <w:rPr>
          <w:rFonts w:asciiTheme="majorBidi" w:hAnsiTheme="majorBidi" w:cstheme="majorBidi"/>
          <w:color w:val="auto"/>
          <w:kern w:val="2"/>
          <w:sz w:val="24"/>
          <w:szCs w:val="24"/>
          <w14:ligatures w14:val="standardContextual"/>
        </w:rPr>
        <w:t>How large a portfolio is required in the aggregation of projects under a single program of activities (PoA) to bring down the MRV cost per ton to a positive 15-year return on investment for facilities management providers operating within the Saudi RVCMC framework?</w:t>
      </w:r>
    </w:p>
    <w:p w14:paraId="250F4149" w14:textId="4624CB23"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RQ3 (The policy effect): </w:t>
      </w:r>
      <w:r w:rsidRPr="00AC78B8">
        <w:rPr>
          <w:rFonts w:asciiTheme="majorBidi" w:hAnsiTheme="majorBidi" w:cstheme="majorBidi"/>
          <w:color w:val="auto"/>
          <w:kern w:val="2"/>
          <w:sz w:val="24"/>
          <w:szCs w:val="24"/>
          <w14:ligatures w14:val="standardContextual"/>
        </w:rPr>
        <w:t>How does a 5-year government MRV subsidy impact the financial performance of projects in terms of portfolio SPP and ROI? What does this finding imply about the cost-effectiveness of such a policy as a tool to incentivize private-sector participation under Vision 2030?</w:t>
      </w:r>
    </w:p>
    <w:p w14:paraId="55484112" w14:textId="0C91E831" w:rsidR="007A2CF5" w:rsidRPr="00AC78B8" w:rsidRDefault="007A2CF5"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RQ4 (Carbon as an Appreciating Asset):</w:t>
      </w:r>
      <w:r w:rsidRPr="00AC78B8">
        <w:rPr>
          <w:rFonts w:asciiTheme="majorBidi" w:hAnsiTheme="majorBidi" w:cstheme="majorBidi"/>
          <w:color w:val="auto"/>
          <w:kern w:val="2"/>
          <w:sz w:val="24"/>
          <w:szCs w:val="24"/>
          <w14:ligatures w14:val="standardContextual"/>
        </w:rPr>
        <w:t xml:space="preserve"> What will be the impact of the expected increase in European demand for voluntary carbon offsets because of CBAM and the expansion of the Saudi VCM from USD 21.7 million to USD 124.6 million by 2030 on the 15-year financial returns for a portfolio of Saudi office buildings with verified RVCMC credits?</w:t>
      </w:r>
    </w:p>
    <w:p w14:paraId="584B42E9" w14:textId="77777777" w:rsidR="004A7CFE" w:rsidRPr="00AC78B8" w:rsidRDefault="00000000" w:rsidP="00C215A2">
      <w:pPr>
        <w:pStyle w:val="Heading1"/>
        <w:spacing w:before="300" w:line="360" w:lineRule="auto"/>
        <w:jc w:val="both"/>
        <w:rPr>
          <w:rFonts w:asciiTheme="majorBidi" w:hAnsiTheme="majorBidi" w:cstheme="majorBidi"/>
        </w:rPr>
      </w:pPr>
      <w:r w:rsidRPr="00AC78B8">
        <w:rPr>
          <w:rFonts w:asciiTheme="majorBidi" w:hAnsiTheme="majorBidi" w:cstheme="majorBidi"/>
          <w:b/>
          <w:bCs/>
          <w:color w:val="000000"/>
        </w:rPr>
        <w:t>1.7 Research Hypotheses</w:t>
      </w:r>
      <w:bookmarkEnd w:id="24"/>
      <w:bookmarkEnd w:id="25"/>
    </w:p>
    <w:p w14:paraId="718FE900" w14:textId="63FBEAEA" w:rsidR="00BA0582" w:rsidRPr="00AC78B8" w:rsidRDefault="00BA0582" w:rsidP="00C215A2">
      <w:pPr>
        <w:spacing w:after="0" w:line="360" w:lineRule="auto"/>
        <w:jc w:val="both"/>
        <w:rPr>
          <w:rFonts w:asciiTheme="majorBidi" w:hAnsiTheme="majorBidi" w:cstheme="majorBidi"/>
          <w:kern w:val="0"/>
          <w14:ligatures w14:val="none"/>
        </w:rPr>
      </w:pPr>
      <w:r w:rsidRPr="00AC78B8">
        <w:rPr>
          <w:rFonts w:asciiTheme="majorBidi" w:hAnsiTheme="majorBidi" w:cstheme="majorBidi"/>
        </w:rPr>
        <w:t>The hypotheses below follow the logic of the study design. H1 to H4 are directional financial propositions, evaluated through deterministic scenario modelling rather than statistical inference. H5 and H6 are propositions about practitioner perception and stated behavior, and they are tested with non-parametric inferential statistics on the survey sample. Each hypothesis ties directly to a specific Vision 2030 policy or market area.</w:t>
      </w:r>
    </w:p>
    <w:p w14:paraId="63780FB1" w14:textId="12405AD7" w:rsidR="00BA0582" w:rsidRPr="00AC78B8" w:rsidRDefault="00BA0582"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H1 (Transaction Cost Barrier): </w:t>
      </w:r>
      <w:r w:rsidRPr="00AC78B8">
        <w:rPr>
          <w:rFonts w:asciiTheme="majorBidi" w:hAnsiTheme="majorBidi" w:cstheme="majorBidi"/>
          <w:color w:val="auto"/>
          <w:kern w:val="2"/>
          <w:sz w:val="24"/>
          <w:szCs w:val="24"/>
          <w14:ligatures w14:val="standardContextual"/>
        </w:rPr>
        <w:t>A single commercial building of 10,000 m² has a net cash flow deficit after MRV costs for the current RVCM price of SAR 37.50 per ton of CO₂e, attributable to carbon revenues. This also means that individual participation in the carbon market is not economically viable, which shows that the built-environment targets of Vision 2030 cannot be achieved by individual buildings acting alone.</w:t>
      </w:r>
    </w:p>
    <w:p w14:paraId="41BCB24C" w14:textId="3E5E35ED" w:rsidR="00BA0582" w:rsidRPr="00AC78B8" w:rsidRDefault="00BA0582" w:rsidP="00C215A2">
      <w:pPr>
        <w:pStyle w:val="Heading1"/>
        <w:numPr>
          <w:ilvl w:val="0"/>
          <w:numId w:val="14"/>
        </w:numPr>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H2 (Aggregation Threshold): </w:t>
      </w:r>
      <w:r w:rsidRPr="00AC78B8">
        <w:rPr>
          <w:rFonts w:asciiTheme="majorBidi" w:hAnsiTheme="majorBidi" w:cstheme="majorBidi"/>
          <w:color w:val="auto"/>
          <w:kern w:val="2"/>
          <w:sz w:val="24"/>
          <w:szCs w:val="24"/>
          <w14:ligatures w14:val="standardContextual"/>
        </w:rPr>
        <w:t>By aggregating 10 buildings (7 small and 3 large buildings, with a total area of 160,000 m²) under one PoA registered with RVCMC, MRV costs can be brought down to below SAR 10/tonne CO₂e. This approach yields a 15-year positive ROI under both low and medium CAPEX scenarios, meeting the private developers’ expected returns.</w:t>
      </w:r>
    </w:p>
    <w:p w14:paraId="45F0BF6F" w14:textId="1A1E31CF" w:rsidR="00BA0582" w:rsidRPr="00AC78B8" w:rsidRDefault="00BA0582"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H3 (Policy Accelerator): </w:t>
      </w:r>
      <w:r w:rsidRPr="00AC78B8">
        <w:rPr>
          <w:rFonts w:asciiTheme="majorBidi" w:hAnsiTheme="majorBidi" w:cstheme="majorBidi"/>
          <w:color w:val="auto"/>
          <w:kern w:val="2"/>
          <w:sz w:val="24"/>
          <w:szCs w:val="24"/>
          <w14:ligatures w14:val="standardContextual"/>
        </w:rPr>
        <w:t>A five-year government subsidy on MRV will improve the 15-year ROI and speed payback. The leverage ratio indicates that such a subsidy is a cost-effective policy tool for stimulating private investment to meet the SGI commitments of Vision 2030.</w:t>
      </w:r>
    </w:p>
    <w:p w14:paraId="7C03ADE5" w14:textId="1882BC67" w:rsidR="00BA0582" w:rsidRPr="00AC78B8" w:rsidRDefault="00BA0582"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lastRenderedPageBreak/>
        <w:t xml:space="preserve">H4 (Carbon Asset Appreciation): </w:t>
      </w:r>
      <w:r w:rsidRPr="00AC78B8">
        <w:rPr>
          <w:rFonts w:asciiTheme="majorBidi" w:hAnsiTheme="majorBidi" w:cstheme="majorBidi"/>
          <w:color w:val="auto"/>
          <w:kern w:val="2"/>
          <w:sz w:val="24"/>
          <w:szCs w:val="24"/>
          <w14:ligatures w14:val="standardContextual"/>
        </w:rPr>
        <w:t>The combined portfolio’s carbon revenue is expected to grow by at least 300% per year over a 15-year period as the Saudi VCM market grows to USD 124.6 million by 2030 and the European CBAM rules boost international demand. This policy will turn verified Saudi credits into a valuable financial asset that directly supports the economic diversification goals of Vision 2030.”</w:t>
      </w:r>
    </w:p>
    <w:p w14:paraId="27929199" w14:textId="1A49F1C6" w:rsidR="00BA0582" w:rsidRPr="00AC78B8" w:rsidRDefault="00BA0582"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H5 (Perceived Barrier - Survey): </w:t>
      </w:r>
      <w:r w:rsidRPr="00AC78B8">
        <w:rPr>
          <w:rFonts w:asciiTheme="majorBidi" w:hAnsiTheme="majorBidi" w:cstheme="majorBidi"/>
          <w:color w:val="auto"/>
          <w:kern w:val="2"/>
          <w:sz w:val="24"/>
          <w:szCs w:val="24"/>
          <w14:ligatures w14:val="standardContextual"/>
        </w:rPr>
        <w:t>The ratings distribution for the MRV cost barrier is above the 3.5 benchmark on a five-point scale for facility management professionals and asset owners in Saudi Arabia. The hypothesis is stated in terms of the location of the distribution (not the arithmetic mean) so that it is equivalent to the same parameter being tested by the one-sample Wilcoxon signed-rank test (Section 3.8.5). A positive result would confirm the model finding in H1 with real-world perception data.</w:t>
      </w:r>
    </w:p>
    <w:p w14:paraId="5EA432DE" w14:textId="7DC7C9A1" w:rsidR="00BA0582" w:rsidRPr="00AC78B8" w:rsidRDefault="00BA0582"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H6 (Intent Shift - Survey): </w:t>
      </w:r>
      <w:r w:rsidRPr="00AC78B8">
        <w:rPr>
          <w:rFonts w:asciiTheme="majorBidi" w:hAnsiTheme="majorBidi" w:cstheme="majorBidi"/>
          <w:color w:val="auto"/>
          <w:kern w:val="2"/>
          <w:sz w:val="24"/>
          <w:szCs w:val="24"/>
          <w14:ligatures w14:val="standardContextual"/>
        </w:rPr>
        <w:t>The willingness to enter the carbon market is significantly higher with aggregation under a shared PoA and then a five-year government MRV subsidy than going it alone. We test for differences between paired groups using Wilcoxon signed-rank tests at p &lt; 0.05, with the family-wise error rate across the three paired tests controlled by the Holm-Bonferroni procedure (Holm, 1979). A positive result would support the effects found in H2 and H3 with behavioral intent data.</w:t>
      </w:r>
    </w:p>
    <w:p w14:paraId="179F2418" w14:textId="3B3796E2"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Hypotheses H1 to H4 are tested using financial scenario modeling in Chapter Four, comparing results across three different operational scenarios. They are also checked against actual metered building data in the real-world case study in Section 4.1.10. Hypotheses H5 and H6 are assessed through a structured survey of facility management professionals described in Section 3.8, adding a perception-based perspective to the model’s main findings.</w:t>
      </w:r>
    </w:p>
    <w:p w14:paraId="2CAFB71B" w14:textId="77777777" w:rsidR="00BA0582" w:rsidRPr="00AC78B8" w:rsidRDefault="00BA0582" w:rsidP="00C215A2">
      <w:pPr>
        <w:spacing w:after="0" w:line="360" w:lineRule="auto"/>
        <w:jc w:val="both"/>
        <w:rPr>
          <w:rFonts w:asciiTheme="majorBidi" w:eastAsia="Times New Roman" w:hAnsiTheme="majorBidi" w:cstheme="majorBidi"/>
          <w:sz w:val="24"/>
          <w:szCs w:val="24"/>
        </w:rPr>
      </w:pPr>
    </w:p>
    <w:p w14:paraId="4B7B106D" w14:textId="77777777" w:rsidR="00BA0582" w:rsidRPr="00AC78B8" w:rsidRDefault="00BA0582" w:rsidP="00C215A2">
      <w:pPr>
        <w:spacing w:after="0" w:line="360" w:lineRule="auto"/>
        <w:jc w:val="both"/>
        <w:rPr>
          <w:rFonts w:asciiTheme="majorBidi" w:eastAsia="Times New Roman" w:hAnsiTheme="majorBidi" w:cstheme="majorBidi"/>
          <w:sz w:val="24"/>
          <w:szCs w:val="24"/>
        </w:rPr>
      </w:pPr>
    </w:p>
    <w:p w14:paraId="4881261A" w14:textId="77777777" w:rsidR="00BA0582" w:rsidRDefault="00BA0582" w:rsidP="00C215A2">
      <w:pPr>
        <w:spacing w:after="0" w:line="360" w:lineRule="auto"/>
        <w:jc w:val="both"/>
        <w:rPr>
          <w:rFonts w:asciiTheme="majorBidi" w:eastAsia="Times New Roman" w:hAnsiTheme="majorBidi" w:cstheme="majorBidi"/>
          <w:sz w:val="24"/>
          <w:szCs w:val="24"/>
        </w:rPr>
      </w:pPr>
    </w:p>
    <w:p w14:paraId="6FBF5366" w14:textId="77777777" w:rsidR="00C215A2" w:rsidRDefault="00C215A2" w:rsidP="00C215A2">
      <w:pPr>
        <w:spacing w:after="0" w:line="360" w:lineRule="auto"/>
        <w:jc w:val="both"/>
        <w:rPr>
          <w:rFonts w:asciiTheme="majorBidi" w:eastAsia="Times New Roman" w:hAnsiTheme="majorBidi" w:cstheme="majorBidi"/>
          <w:sz w:val="24"/>
          <w:szCs w:val="24"/>
        </w:rPr>
      </w:pPr>
    </w:p>
    <w:p w14:paraId="55193B28" w14:textId="77777777" w:rsidR="00C215A2" w:rsidRDefault="00C215A2" w:rsidP="00C215A2">
      <w:pPr>
        <w:spacing w:after="0" w:line="360" w:lineRule="auto"/>
        <w:jc w:val="both"/>
        <w:rPr>
          <w:rFonts w:asciiTheme="majorBidi" w:eastAsia="Times New Roman" w:hAnsiTheme="majorBidi" w:cstheme="majorBidi"/>
          <w:sz w:val="24"/>
          <w:szCs w:val="24"/>
        </w:rPr>
      </w:pPr>
    </w:p>
    <w:p w14:paraId="29270AE7" w14:textId="77777777" w:rsidR="00C215A2" w:rsidRDefault="00C215A2" w:rsidP="00C215A2">
      <w:pPr>
        <w:spacing w:after="0" w:line="360" w:lineRule="auto"/>
        <w:jc w:val="both"/>
        <w:rPr>
          <w:rFonts w:asciiTheme="majorBidi" w:eastAsia="Times New Roman" w:hAnsiTheme="majorBidi" w:cstheme="majorBidi"/>
          <w:sz w:val="24"/>
          <w:szCs w:val="24"/>
        </w:rPr>
      </w:pPr>
    </w:p>
    <w:p w14:paraId="3258E47C" w14:textId="77777777" w:rsidR="00C215A2" w:rsidRDefault="00C215A2" w:rsidP="00C215A2">
      <w:pPr>
        <w:spacing w:after="0" w:line="360" w:lineRule="auto"/>
        <w:jc w:val="both"/>
        <w:rPr>
          <w:rFonts w:asciiTheme="majorBidi" w:eastAsia="Times New Roman" w:hAnsiTheme="majorBidi" w:cstheme="majorBidi"/>
          <w:sz w:val="24"/>
          <w:szCs w:val="24"/>
        </w:rPr>
      </w:pPr>
    </w:p>
    <w:p w14:paraId="5F3A80EB" w14:textId="77777777" w:rsidR="00C215A2" w:rsidRDefault="00C215A2" w:rsidP="00C215A2">
      <w:pPr>
        <w:spacing w:after="0" w:line="360" w:lineRule="auto"/>
        <w:jc w:val="both"/>
        <w:rPr>
          <w:rFonts w:asciiTheme="majorBidi" w:eastAsia="Times New Roman" w:hAnsiTheme="majorBidi" w:cstheme="majorBidi"/>
          <w:sz w:val="24"/>
          <w:szCs w:val="24"/>
        </w:rPr>
      </w:pPr>
    </w:p>
    <w:p w14:paraId="58CCADD0" w14:textId="77777777" w:rsidR="00C215A2" w:rsidRDefault="00C215A2" w:rsidP="00C215A2">
      <w:pPr>
        <w:spacing w:after="0" w:line="360" w:lineRule="auto"/>
        <w:jc w:val="both"/>
        <w:rPr>
          <w:rFonts w:asciiTheme="majorBidi" w:eastAsia="Times New Roman" w:hAnsiTheme="majorBidi" w:cstheme="majorBidi"/>
          <w:sz w:val="24"/>
          <w:szCs w:val="24"/>
        </w:rPr>
      </w:pPr>
    </w:p>
    <w:p w14:paraId="18A940A2" w14:textId="77777777" w:rsidR="00C215A2" w:rsidRPr="00AC78B8" w:rsidRDefault="00C215A2" w:rsidP="00C215A2">
      <w:pPr>
        <w:spacing w:after="0" w:line="360" w:lineRule="auto"/>
        <w:jc w:val="both"/>
        <w:rPr>
          <w:rFonts w:asciiTheme="majorBidi" w:eastAsia="Times New Roman" w:hAnsiTheme="majorBidi" w:cstheme="majorBidi"/>
          <w:sz w:val="24"/>
          <w:szCs w:val="24"/>
        </w:rPr>
      </w:pPr>
    </w:p>
    <w:p w14:paraId="4F385EEC" w14:textId="77777777" w:rsidR="004A7CFE" w:rsidRPr="00AC78B8" w:rsidRDefault="00000000" w:rsidP="00C215A2">
      <w:pPr>
        <w:pStyle w:val="Heading1"/>
        <w:spacing w:before="300" w:line="360" w:lineRule="auto"/>
        <w:jc w:val="both"/>
        <w:rPr>
          <w:rFonts w:asciiTheme="majorBidi" w:hAnsiTheme="majorBidi" w:cstheme="majorBidi"/>
        </w:rPr>
      </w:pPr>
      <w:bookmarkStart w:id="26" w:name="_Toc235093278"/>
      <w:bookmarkStart w:id="27" w:name="_Toc235367746"/>
      <w:r w:rsidRPr="00AC78B8">
        <w:rPr>
          <w:rFonts w:asciiTheme="majorBidi" w:hAnsiTheme="majorBidi" w:cstheme="majorBidi"/>
          <w:b/>
          <w:bCs/>
          <w:color w:val="000000"/>
        </w:rPr>
        <w:lastRenderedPageBreak/>
        <w:t>1.8 Conceptual Model</w:t>
      </w:r>
      <w:bookmarkEnd w:id="26"/>
      <w:bookmarkEnd w:id="27"/>
    </w:p>
    <w:p w14:paraId="409E5209"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sz w:val="24"/>
          <w:szCs w:val="24"/>
        </w:rPr>
        <w:t>The interaction between the two theoretical pillars, the proposed solution, and Vision 2030 alignment is captured in the following framework:</w:t>
      </w:r>
    </w:p>
    <w:tbl>
      <w:tblPr>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300"/>
        <w:gridCol w:w="3135"/>
      </w:tblGrid>
      <w:tr w:rsidR="004A7CFE" w:rsidRPr="00AC78B8" w14:paraId="606349E2" w14:textId="77777777">
        <w:tc>
          <w:tcPr>
            <w:tcW w:w="3100" w:type="dxa"/>
            <w:shd w:val="clear" w:color="auto" w:fill="D9D9D9"/>
            <w:tcMar>
              <w:top w:w="60" w:type="dxa"/>
              <w:left w:w="90" w:type="dxa"/>
              <w:bottom w:w="60" w:type="dxa"/>
              <w:right w:w="90" w:type="dxa"/>
            </w:tcMar>
            <w:vAlign w:val="center"/>
          </w:tcPr>
          <w:p w14:paraId="14BDF5FE"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Independent Variables</w:t>
            </w:r>
          </w:p>
        </w:tc>
        <w:tc>
          <w:tcPr>
            <w:tcW w:w="3300" w:type="dxa"/>
            <w:shd w:val="clear" w:color="auto" w:fill="D9D9D9"/>
            <w:tcMar>
              <w:top w:w="60" w:type="dxa"/>
              <w:left w:w="90" w:type="dxa"/>
              <w:bottom w:w="60" w:type="dxa"/>
              <w:right w:w="90" w:type="dxa"/>
            </w:tcMar>
            <w:vAlign w:val="center"/>
          </w:tcPr>
          <w:p w14:paraId="5692D921"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Mediating Mechanism</w:t>
            </w:r>
          </w:p>
        </w:tc>
        <w:tc>
          <w:tcPr>
            <w:tcW w:w="3135" w:type="dxa"/>
            <w:shd w:val="clear" w:color="auto" w:fill="D9D9D9"/>
            <w:tcMar>
              <w:top w:w="60" w:type="dxa"/>
              <w:left w:w="90" w:type="dxa"/>
              <w:bottom w:w="60" w:type="dxa"/>
              <w:right w:w="90" w:type="dxa"/>
            </w:tcMar>
            <w:vAlign w:val="center"/>
          </w:tcPr>
          <w:p w14:paraId="5AA0A83E"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Annual Carbon Revenue (SAR)</w:t>
            </w:r>
            <w:r w:rsidRPr="00AC78B8">
              <w:rPr>
                <w:rFonts w:asciiTheme="majorBidi" w:eastAsia="Times New Roman" w:hAnsiTheme="majorBidi" w:cstheme="majorBidi"/>
                <w:b/>
                <w:bCs/>
                <w:color w:val="000000"/>
                <w:sz w:val="20"/>
                <w:szCs w:val="20"/>
              </w:rPr>
              <w:br/>
              <w:t>OPEX Savings (SAR/yr)</w:t>
            </w:r>
            <w:r w:rsidRPr="00AC78B8">
              <w:rPr>
                <w:rFonts w:asciiTheme="majorBidi" w:eastAsia="Times New Roman" w:hAnsiTheme="majorBidi" w:cstheme="majorBidi"/>
                <w:b/>
                <w:bCs/>
                <w:color w:val="000000"/>
                <w:sz w:val="20"/>
                <w:szCs w:val="20"/>
              </w:rPr>
              <w:br/>
              <w:t>Net Cash Flow (SAR/yr)</w:t>
            </w:r>
            <w:r w:rsidRPr="00AC78B8">
              <w:rPr>
                <w:rFonts w:asciiTheme="majorBidi" w:eastAsia="Times New Roman" w:hAnsiTheme="majorBidi" w:cstheme="majorBidi"/>
                <w:b/>
                <w:bCs/>
                <w:color w:val="000000"/>
                <w:sz w:val="20"/>
                <w:szCs w:val="20"/>
              </w:rPr>
              <w:br/>
              <w:t>Simple Payback Period (years)</w:t>
            </w:r>
            <w:r w:rsidRPr="00AC78B8">
              <w:rPr>
                <w:rFonts w:asciiTheme="majorBidi" w:eastAsia="Times New Roman" w:hAnsiTheme="majorBidi" w:cstheme="majorBidi"/>
                <w:b/>
                <w:bCs/>
                <w:color w:val="000000"/>
                <w:sz w:val="20"/>
                <w:szCs w:val="20"/>
              </w:rPr>
              <w:br/>
              <w:t>Discounted Payback Period (years)</w:t>
            </w:r>
            <w:r w:rsidRPr="00AC78B8">
              <w:rPr>
                <w:rFonts w:asciiTheme="majorBidi" w:eastAsia="Times New Roman" w:hAnsiTheme="majorBidi" w:cstheme="majorBidi"/>
                <w:b/>
                <w:bCs/>
                <w:color w:val="000000"/>
                <w:sz w:val="20"/>
                <w:szCs w:val="20"/>
              </w:rPr>
              <w:br/>
              <w:t>Net Present Value at 8% real (SAR)</w:t>
            </w:r>
            <w:r w:rsidRPr="00AC78B8">
              <w:rPr>
                <w:rFonts w:asciiTheme="majorBidi" w:eastAsia="Times New Roman" w:hAnsiTheme="majorBidi" w:cstheme="majorBidi"/>
                <w:b/>
                <w:bCs/>
                <w:color w:val="000000"/>
                <w:sz w:val="20"/>
                <w:szCs w:val="20"/>
              </w:rPr>
              <w:br/>
              <w:t>Internal Rate of Return (%)</w:t>
            </w:r>
            <w:r w:rsidRPr="00AC78B8">
              <w:rPr>
                <w:rFonts w:asciiTheme="majorBidi" w:eastAsia="Times New Roman" w:hAnsiTheme="majorBidi" w:cstheme="majorBidi"/>
                <w:b/>
                <w:bCs/>
                <w:color w:val="000000"/>
                <w:sz w:val="20"/>
                <w:szCs w:val="20"/>
              </w:rPr>
              <w:br/>
              <w:t>15-Year ROI (%)</w:t>
            </w:r>
          </w:p>
        </w:tc>
      </w:tr>
      <w:tr w:rsidR="004A7CFE" w:rsidRPr="00AC78B8" w14:paraId="32EBBC36" w14:textId="77777777">
        <w:trPr>
          <w:trHeight w:val="1847"/>
        </w:trPr>
        <w:tc>
          <w:tcPr>
            <w:tcW w:w="3100" w:type="dxa"/>
            <w:tcMar>
              <w:top w:w="60" w:type="dxa"/>
              <w:left w:w="90" w:type="dxa"/>
              <w:bottom w:w="60" w:type="dxa"/>
              <w:right w:w="90" w:type="dxa"/>
            </w:tcMar>
            <w:vAlign w:val="center"/>
          </w:tcPr>
          <w:p w14:paraId="5C164A80"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MRV Transaction Cost</w:t>
            </w:r>
          </w:p>
          <w:p w14:paraId="5E3503D0"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Portfolio Scale (No. buildings)</w:t>
            </w:r>
          </w:p>
          <w:p w14:paraId="32E0314F"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Carbon Price (SAR/tCO₂e)</w:t>
            </w:r>
          </w:p>
          <w:p w14:paraId="5DD06902"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Govt. MRV Subsidy (V2030 policy)</w:t>
            </w:r>
          </w:p>
          <w:p w14:paraId="1F594C3E"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Grid Emission Factor</w:t>
            </w:r>
          </w:p>
        </w:tc>
        <w:tc>
          <w:tcPr>
            <w:tcW w:w="3300" w:type="dxa"/>
            <w:tcMar>
              <w:top w:w="60" w:type="dxa"/>
              <w:left w:w="90" w:type="dxa"/>
              <w:bottom w:w="60" w:type="dxa"/>
              <w:right w:w="90" w:type="dxa"/>
            </w:tcMar>
            <w:vAlign w:val="center"/>
          </w:tcPr>
          <w:p w14:paraId="3FCEAA2F"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Aggregation via RVCMC PoA</w:t>
            </w:r>
          </w:p>
          <w:p w14:paraId="7663A7BC"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(Program of Activities)</w:t>
            </w:r>
          </w:p>
          <w:p w14:paraId="6826CF41"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w:t>
            </w:r>
          </w:p>
          <w:p w14:paraId="33E9E979"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MRV cost dilution.</w:t>
            </w:r>
          </w:p>
          <w:p w14:paraId="2FAEA046"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 Carbon revenue pooling</w:t>
            </w:r>
          </w:p>
          <w:p w14:paraId="594764AF"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 CBAM price appreciation</w:t>
            </w:r>
          </w:p>
          <w:p w14:paraId="22EE83D0"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 Vision 2030 SGI alignment</w:t>
            </w:r>
          </w:p>
        </w:tc>
        <w:tc>
          <w:tcPr>
            <w:tcW w:w="3135" w:type="dxa"/>
            <w:tcMar>
              <w:top w:w="60" w:type="dxa"/>
              <w:left w:w="90" w:type="dxa"/>
              <w:bottom w:w="60" w:type="dxa"/>
              <w:right w:w="90" w:type="dxa"/>
            </w:tcMar>
            <w:vAlign w:val="center"/>
          </w:tcPr>
          <w:p w14:paraId="33438E2B"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Annual Carbon Revenue (SAR)</w:t>
            </w:r>
          </w:p>
          <w:p w14:paraId="41B1C5A9"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OPEX Savings (SAR/yr)</w:t>
            </w:r>
          </w:p>
          <w:p w14:paraId="5BF8CD84"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Net Cash Flow (SAR/yr)</w:t>
            </w:r>
          </w:p>
          <w:p w14:paraId="72F13B15"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Simple Payback Period (years)</w:t>
            </w:r>
          </w:p>
          <w:p w14:paraId="2B7497AE"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15-Year ROI (%)</w:t>
            </w:r>
          </w:p>
        </w:tc>
      </w:tr>
      <w:tr w:rsidR="004A7CFE" w:rsidRPr="00AC78B8" w14:paraId="392AF003" w14:textId="77777777">
        <w:tc>
          <w:tcPr>
            <w:tcW w:w="3100" w:type="dxa"/>
            <w:tcMar>
              <w:top w:w="60" w:type="dxa"/>
              <w:left w:w="90" w:type="dxa"/>
              <w:bottom w:w="60" w:type="dxa"/>
              <w:right w:w="90" w:type="dxa"/>
            </w:tcMar>
            <w:vAlign w:val="center"/>
          </w:tcPr>
          <w:p w14:paraId="18A040D5"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Barrier (TCE): Fixed MRV &gt; single-building carbon revenue</w:t>
            </w:r>
          </w:p>
        </w:tc>
        <w:tc>
          <w:tcPr>
            <w:tcW w:w="3300" w:type="dxa"/>
            <w:tcMar>
              <w:top w:w="60" w:type="dxa"/>
              <w:left w:w="90" w:type="dxa"/>
              <w:bottom w:w="60" w:type="dxa"/>
              <w:right w:w="90" w:type="dxa"/>
            </w:tcMar>
            <w:vAlign w:val="center"/>
          </w:tcPr>
          <w:p w14:paraId="56E3DD5B"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Moderator: SGI MRV Subsidy Fund (Vision 2030, Yr 1–5)</w:t>
            </w:r>
          </w:p>
        </w:tc>
        <w:tc>
          <w:tcPr>
            <w:tcW w:w="3135" w:type="dxa"/>
            <w:tcMar>
              <w:top w:w="60" w:type="dxa"/>
              <w:left w:w="90" w:type="dxa"/>
              <w:bottom w:w="60" w:type="dxa"/>
              <w:right w:w="90" w:type="dxa"/>
            </w:tcMar>
            <w:vAlign w:val="center"/>
          </w:tcPr>
          <w:p w14:paraId="7EAFCBD0" w14:textId="77777777" w:rsidR="004A7CFE" w:rsidRPr="00AC78B8" w:rsidRDefault="00000000" w:rsidP="00C215A2">
            <w:pPr>
              <w:spacing w:after="0" w:line="360" w:lineRule="auto"/>
              <w:jc w:val="both"/>
              <w:rPr>
                <w:rFonts w:asciiTheme="majorBidi" w:hAnsiTheme="majorBidi" w:cstheme="majorBidi"/>
                <w:sz w:val="24"/>
                <w:szCs w:val="24"/>
              </w:rPr>
            </w:pPr>
            <w:r w:rsidRPr="00AC78B8">
              <w:rPr>
                <w:rFonts w:asciiTheme="majorBidi" w:eastAsia="Times New Roman" w:hAnsiTheme="majorBidi" w:cstheme="majorBidi"/>
                <w:sz w:val="24"/>
                <w:szCs w:val="24"/>
              </w:rPr>
              <w:t>Barrier (Agency Theory): Tenant captures OPEX → resolved by carbon bypass</w:t>
            </w:r>
          </w:p>
        </w:tc>
      </w:tr>
    </w:tbl>
    <w:p w14:paraId="3F4669E6" w14:textId="61BE1711" w:rsidR="004A7CFE" w:rsidRPr="00AC78B8" w:rsidRDefault="007F3262" w:rsidP="00C215A2">
      <w:pPr>
        <w:spacing w:before="80" w:after="0" w:line="360" w:lineRule="auto"/>
        <w:jc w:val="center"/>
        <w:rPr>
          <w:rFonts w:asciiTheme="majorBidi" w:hAnsiTheme="majorBidi" w:cstheme="majorBidi"/>
        </w:rPr>
      </w:pPr>
      <w:r>
        <w:rPr>
          <w:rFonts w:asciiTheme="majorBidi" w:eastAsia="Times New Roman" w:hAnsiTheme="majorBidi" w:cstheme="majorBidi"/>
          <w:i/>
          <w:iCs/>
          <w:color w:val="000000"/>
          <w:sz w:val="20"/>
          <w:szCs w:val="20"/>
        </w:rPr>
        <w:t>Table</w:t>
      </w:r>
      <w:r w:rsidRPr="00AC78B8">
        <w:rPr>
          <w:rFonts w:asciiTheme="majorBidi" w:eastAsia="Times New Roman" w:hAnsiTheme="majorBidi" w:cstheme="majorBidi"/>
          <w:i/>
          <w:iCs/>
          <w:color w:val="000000"/>
          <w:sz w:val="20"/>
          <w:szCs w:val="20"/>
        </w:rPr>
        <w:t xml:space="preserve"> 1-1: Conceptual Framework</w:t>
      </w:r>
    </w:p>
    <w:p w14:paraId="0B5968FC" w14:textId="77777777" w:rsidR="004A7CFE" w:rsidRPr="00AC78B8" w:rsidRDefault="00000000" w:rsidP="00C215A2">
      <w:pPr>
        <w:pStyle w:val="Heading1"/>
        <w:spacing w:before="300" w:line="360" w:lineRule="auto"/>
        <w:jc w:val="both"/>
        <w:rPr>
          <w:rFonts w:asciiTheme="majorBidi" w:hAnsiTheme="majorBidi" w:cstheme="majorBidi"/>
        </w:rPr>
      </w:pPr>
      <w:bookmarkStart w:id="28" w:name="_Toc235093279"/>
      <w:bookmarkStart w:id="29" w:name="_Toc235367747"/>
      <w:r w:rsidRPr="00AC78B8">
        <w:rPr>
          <w:rFonts w:asciiTheme="majorBidi" w:hAnsiTheme="majorBidi" w:cstheme="majorBidi"/>
          <w:b/>
          <w:bCs/>
          <w:color w:val="000000"/>
        </w:rPr>
        <w:t>1.9 Research Limitations</w:t>
      </w:r>
      <w:bookmarkEnd w:id="28"/>
      <w:bookmarkEnd w:id="29"/>
    </w:p>
    <w:p w14:paraId="627020AD" w14:textId="0766FC2D"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bookmarkStart w:id="30" w:name="_Toc235093280"/>
      <w:bookmarkStart w:id="31" w:name="_Toc235367748"/>
      <w:r w:rsidRPr="00AC78B8">
        <w:rPr>
          <w:rFonts w:asciiTheme="majorBidi" w:hAnsiTheme="majorBidi" w:cstheme="majorBidi"/>
          <w:b/>
          <w:bCs/>
          <w:color w:val="auto"/>
          <w:kern w:val="2"/>
          <w:sz w:val="24"/>
          <w:szCs w:val="24"/>
          <w14:ligatures w14:val="standardContextual"/>
        </w:rPr>
        <w:t xml:space="preserve">Prototype Modeling vs. Real Buildings : </w:t>
      </w:r>
      <w:r w:rsidRPr="00AC78B8">
        <w:rPr>
          <w:rFonts w:asciiTheme="majorBidi" w:hAnsiTheme="majorBidi" w:cstheme="majorBidi"/>
          <w:color w:val="auto"/>
          <w:kern w:val="2"/>
          <w:sz w:val="24"/>
          <w:szCs w:val="24"/>
          <w14:ligatures w14:val="standardContextual"/>
        </w:rPr>
        <w:t xml:space="preserve">This model is based on standard SEEC benchmark prototype buildings, but the actual ROI will depend on the age, design, and condition of the building’s equipment and how the spaces are used. The model provides a general framework, not a specific assessment for any </w:t>
      </w:r>
      <w:proofErr w:type="gramStart"/>
      <w:r w:rsidRPr="00AC78B8">
        <w:rPr>
          <w:rFonts w:asciiTheme="majorBidi" w:hAnsiTheme="majorBidi" w:cstheme="majorBidi"/>
          <w:color w:val="auto"/>
          <w:kern w:val="2"/>
          <w:sz w:val="24"/>
          <w:szCs w:val="24"/>
          <w14:ligatures w14:val="standardContextual"/>
        </w:rPr>
        <w:t>particular project</w:t>
      </w:r>
      <w:proofErr w:type="gramEnd"/>
      <w:r w:rsidRPr="00AC78B8">
        <w:rPr>
          <w:rFonts w:asciiTheme="majorBidi" w:hAnsiTheme="majorBidi" w:cstheme="majorBidi"/>
          <w:color w:val="auto"/>
          <w:kern w:val="2"/>
          <w:sz w:val="24"/>
          <w:szCs w:val="24"/>
          <w14:ligatures w14:val="standardContextual"/>
        </w:rPr>
        <w:t>. This shortcoming is compensated by a real world case study (Section 4.1.10) comparing the model results with actual metered data. However, a single case cannot reflect the full variety found across Riyadh’s commercial buildings.</w:t>
      </w:r>
    </w:p>
    <w:p w14:paraId="02A273E1" w14:textId="77777777" w:rsidR="00450064" w:rsidRPr="00AC78B8" w:rsidRDefault="00450064" w:rsidP="00C215A2">
      <w:pPr>
        <w:pStyle w:val="Heading1"/>
        <w:spacing w:before="300" w:line="360" w:lineRule="auto"/>
        <w:jc w:val="both"/>
        <w:rPr>
          <w:rFonts w:asciiTheme="majorBidi" w:hAnsiTheme="majorBidi" w:cstheme="majorBidi"/>
          <w:color w:val="auto"/>
          <w:sz w:val="24"/>
          <w:szCs w:val="24"/>
        </w:rPr>
      </w:pPr>
    </w:p>
    <w:p w14:paraId="2ADFE9D2" w14:textId="6DD1950D" w:rsidR="00450064" w:rsidRPr="00AC78B8" w:rsidRDefault="00450064" w:rsidP="00C215A2">
      <w:pPr>
        <w:pStyle w:val="Heading1"/>
        <w:numPr>
          <w:ilvl w:val="0"/>
          <w:numId w:val="14"/>
        </w:numPr>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lastRenderedPageBreak/>
        <w:t xml:space="preserve">Single-Case Validation Scope: </w:t>
      </w:r>
      <w:r w:rsidRPr="00AC78B8">
        <w:rPr>
          <w:rFonts w:asciiTheme="majorBidi" w:hAnsiTheme="majorBidi" w:cstheme="majorBidi"/>
          <w:color w:val="auto"/>
          <w:kern w:val="2"/>
          <w:sz w:val="24"/>
          <w:szCs w:val="24"/>
          <w14:ligatures w14:val="standardContextual"/>
        </w:rPr>
        <w:t xml:space="preserve">The case study looks at one Grade A building with an EUI (171.9 kWh/m²/yr) that’s 43% lower than the SEEC benchmark, making it unusually efficient. As a result, this case sets a conservative lower </w:t>
      </w:r>
      <w:r w:rsidR="006B661D" w:rsidRPr="00AC78B8">
        <w:rPr>
          <w:rFonts w:asciiTheme="majorBidi" w:hAnsiTheme="majorBidi" w:cstheme="majorBidi"/>
          <w:color w:val="auto"/>
          <w:kern w:val="2"/>
          <w:sz w:val="24"/>
          <w:szCs w:val="24"/>
          <w14:ligatures w14:val="standardContextual"/>
        </w:rPr>
        <w:t>bond</w:t>
      </w:r>
      <w:r w:rsidRPr="00AC78B8">
        <w:rPr>
          <w:rFonts w:asciiTheme="majorBidi" w:hAnsiTheme="majorBidi" w:cstheme="majorBidi"/>
          <w:color w:val="auto"/>
          <w:kern w:val="2"/>
          <w:sz w:val="24"/>
          <w:szCs w:val="24"/>
          <w14:ligatures w14:val="standardContextual"/>
        </w:rPr>
        <w:t xml:space="preserve"> for the investment case, instead of representing an average building. The analysis assumes a portfolio of ten similar buildings. Validating the model across multiple cases and a broader range of EUI values is a key priority for future research.</w:t>
      </w:r>
    </w:p>
    <w:p w14:paraId="5E417DA0" w14:textId="5C52FC24"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Carbon Market Price Volatility</w:t>
      </w:r>
      <w:r w:rsidRPr="00AC78B8">
        <w:rPr>
          <w:rFonts w:asciiTheme="majorBidi" w:hAnsiTheme="majorBidi" w:cstheme="majorBidi"/>
          <w:color w:val="auto"/>
          <w:kern w:val="2"/>
          <w:sz w:val="24"/>
          <w:szCs w:val="24"/>
          <w14:ligatures w14:val="standardContextual"/>
        </w:rPr>
        <w:t>: The base case assumes a fixed price of SAR 37.50 per ton of CO2e, while the appreciation scenario is based on projections from McKinsey, WEF and Grand View Research. Voluntary carbon markets have experienced price swings. The −20% sensitivity analysis helps address some of this uncertainty.</w:t>
      </w:r>
    </w:p>
    <w:p w14:paraId="0D5C189D" w14:textId="10E78C35"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GEF Methodology Note: </w:t>
      </w:r>
      <w:r w:rsidRPr="00AC78B8">
        <w:rPr>
          <w:rFonts w:asciiTheme="majorBidi" w:hAnsiTheme="majorBidi" w:cstheme="majorBidi"/>
          <w:color w:val="auto"/>
          <w:kern w:val="2"/>
          <w:sz w:val="24"/>
          <w:szCs w:val="24"/>
          <w14:ligatures w14:val="standardContextual"/>
        </w:rPr>
        <w:t>This study uses a grid emission factor of 0.58 kgCO₂e/kWh (SEEC/CDMDNA), matching the requirements for CDM/VCM project registration in Saudi Arabia. By comparison, the IEA Life Cycle Upstream Emission Factors (2024) report a slightly lower factor of 0.52 kgCO₂e/kWh, which looks only at the fuel cycle. If the IEA factor were used, certified emission reductions (CERs) would drop by about 10.3% (from 9,744 to 8,736 tonnes for the portfolio), and annual carbon revenue would decrease from SAR 365,400 to SAR 327,600. Because RVCMC-registered projects require the SEEC/CDMDNA standard, using 0.58 is the correct approach here. Researchers using this model outside of CDM projects should consider the IEA factor.</w:t>
      </w:r>
    </w:p>
    <w:p w14:paraId="391AB237" w14:textId="08DE5F9E"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The Greening Grid: </w:t>
      </w:r>
      <w:r w:rsidRPr="00AC78B8">
        <w:rPr>
          <w:rFonts w:asciiTheme="majorBidi" w:hAnsiTheme="majorBidi" w:cstheme="majorBidi"/>
          <w:color w:val="auto"/>
          <w:kern w:val="2"/>
          <w:sz w:val="24"/>
          <w:szCs w:val="24"/>
          <w14:ligatures w14:val="standardContextual"/>
        </w:rPr>
        <w:t>The model assumes the grid emission factor (GEF) stays at 0.58. If Saudi Arabia reaches its Vision 2030 goal of 50% renewables, the GEF could drop to about 0.40 by 2030–2032. This would mean that carbon credits would be worth 31% less in the years after that. However, the Climate Action Tracker (2025) points out that renewables made up only 2% of the mix in 2024, so GEF is likely to stay high for much of the 15-year projection period.</w:t>
      </w:r>
    </w:p>
    <w:p w14:paraId="691E8F4F" w14:textId="2AFA5CB0"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Geographic and Sectoral Scope: </w:t>
      </w:r>
      <w:r w:rsidRPr="00AC78B8">
        <w:rPr>
          <w:rFonts w:asciiTheme="majorBidi" w:hAnsiTheme="majorBidi" w:cstheme="majorBidi"/>
          <w:color w:val="auto"/>
          <w:kern w:val="2"/>
          <w:sz w:val="24"/>
          <w:szCs w:val="24"/>
          <w14:ligatures w14:val="standardContextual"/>
        </w:rPr>
        <w:t>The results are related to the climate of Riyadh (ASHRAE Zone 1B) which is characterized by dry heat and primarily sensible cooling needs. They do not apply directly to places such as Jeddah or the Eastern Province, where there is more humidity, or to retail, hospitality or industrial buildings.</w:t>
      </w:r>
    </w:p>
    <w:p w14:paraId="69B05570" w14:textId="113E880F"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The rebound effect: </w:t>
      </w:r>
      <w:r w:rsidRPr="00AC78B8">
        <w:rPr>
          <w:rFonts w:asciiTheme="majorBidi" w:hAnsiTheme="majorBidi" w:cstheme="majorBidi"/>
          <w:color w:val="auto"/>
          <w:kern w:val="2"/>
          <w:sz w:val="24"/>
          <w:szCs w:val="24"/>
          <w14:ligatures w14:val="standardContextual"/>
        </w:rPr>
        <w:t xml:space="preserve">Studies from KAPSARC (Belaïd &amp; Mikayilov, 2024; Aldubyan et al., 2024) show that 41-71% of energy savings from efficiency upgrades in Saudi homes are clawed back as people use more energy when it is cheaper to cool their homes. The financial </w:t>
      </w:r>
      <w:r w:rsidRPr="00AC78B8">
        <w:rPr>
          <w:rFonts w:asciiTheme="majorBidi" w:hAnsiTheme="majorBidi" w:cstheme="majorBidi"/>
          <w:color w:val="auto"/>
          <w:kern w:val="2"/>
          <w:sz w:val="24"/>
          <w:szCs w:val="24"/>
          <w14:ligatures w14:val="standardContextual"/>
        </w:rPr>
        <w:lastRenderedPageBreak/>
        <w:t>model assumes the entire 35% reduction in energy use per square meter is realized as a permanent saving. Building management systems (BMS) under Energy Performance Contracts can help monitor and control this rebound, but in leased buildings where facility management has less control over occupant behavior, some loss in projected carbon savings may still occur.</w:t>
      </w:r>
    </w:p>
    <w:p w14:paraId="71B7119B" w14:textId="7866400F" w:rsidR="00450064"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Survey Sample Size and Composition: </w:t>
      </w:r>
      <w:r w:rsidRPr="00AC78B8">
        <w:rPr>
          <w:rFonts w:asciiTheme="majorBidi" w:hAnsiTheme="majorBidi" w:cstheme="majorBidi"/>
          <w:color w:val="auto"/>
          <w:kern w:val="2"/>
          <w:sz w:val="24"/>
          <w:szCs w:val="24"/>
          <w14:ligatures w14:val="standardContextual"/>
        </w:rPr>
        <w:t>The survey had 29 complete responses, less than the recommended minimum of 60 and the threshold of approximately 35 needed to detect medium effects at conventional power (Cohen, 1988). This restriction means that the survey results should be seen as suggestive, rather than broadly representative. Despite these limitations, the H6 results were important as the effects were medium to large. The sample did not include building owners and institutional investors, so the planned comparison between principals and agents could not be performed. Because most respondents were consultants or providers, the split-incentive issue was less pronounced. The reliability of the two-item barrier construct (α = 0.63) is just below the commonly accepted level of 0.70. The use of non-probability purposive sampling and reliance on self-reported intentions are also limitations, although these are partially offset by cross-checking with the deterministic model and real case data.</w:t>
      </w:r>
    </w:p>
    <w:p w14:paraId="07535985" w14:textId="423D8CAF" w:rsidR="00BA0582" w:rsidRPr="00AC78B8" w:rsidRDefault="00450064" w:rsidP="00C215A2">
      <w:pPr>
        <w:pStyle w:val="Heading1"/>
        <w:numPr>
          <w:ilvl w:val="0"/>
          <w:numId w:val="14"/>
        </w:numPr>
        <w:spacing w:before="300" w:line="360" w:lineRule="auto"/>
        <w:jc w:val="both"/>
        <w:rPr>
          <w:rFonts w:asciiTheme="majorBidi" w:hAnsiTheme="majorBidi" w:cstheme="majorBidi"/>
          <w:b/>
          <w:bCs/>
          <w:color w:val="auto"/>
          <w:kern w:val="2"/>
          <w:sz w:val="24"/>
          <w:szCs w:val="24"/>
          <w14:ligatures w14:val="standardContextual"/>
        </w:rPr>
      </w:pPr>
      <w:r w:rsidRPr="00AC78B8">
        <w:rPr>
          <w:rFonts w:asciiTheme="majorBidi" w:hAnsiTheme="majorBidi" w:cstheme="majorBidi"/>
          <w:b/>
          <w:bCs/>
          <w:color w:val="auto"/>
          <w:kern w:val="2"/>
          <w:sz w:val="24"/>
          <w:szCs w:val="24"/>
          <w14:ligatures w14:val="standardContextual"/>
        </w:rPr>
        <w:t xml:space="preserve">Data Confidentiality: </w:t>
      </w:r>
      <w:r w:rsidRPr="00AC78B8">
        <w:rPr>
          <w:rFonts w:asciiTheme="majorBidi" w:hAnsiTheme="majorBidi" w:cstheme="majorBidi"/>
          <w:color w:val="auto"/>
          <w:kern w:val="2"/>
          <w:sz w:val="24"/>
          <w:szCs w:val="24"/>
          <w14:ligatures w14:val="standardContextual"/>
        </w:rPr>
        <w:t>Capital and operating cost data for Saudi office buildings are commercially sensitive. The CAPEX range of SAR 150–300 per square meter comes from GCC vendor benchmarks. For privacy, the case study building and its operator are anonymized as 'Telecom Headquarters' and 'FM Contractor' at the provider’s request. This protects the confidentiality of the data but also limits the opportunity to independently verify the case data. To achieve actual returns, investors need to do project-specific modeling.</w:t>
      </w:r>
    </w:p>
    <w:p w14:paraId="7228CF6D" w14:textId="77777777" w:rsidR="004A7CFE" w:rsidRPr="00AC78B8" w:rsidRDefault="00000000" w:rsidP="00C215A2">
      <w:pPr>
        <w:pStyle w:val="Heading1"/>
        <w:spacing w:before="300" w:line="360" w:lineRule="auto"/>
        <w:jc w:val="both"/>
        <w:rPr>
          <w:rFonts w:asciiTheme="majorBidi" w:hAnsiTheme="majorBidi" w:cstheme="majorBidi"/>
          <w:b/>
          <w:bCs/>
          <w:color w:val="000000" w:themeColor="text1"/>
        </w:rPr>
      </w:pPr>
      <w:r w:rsidRPr="00AC78B8">
        <w:rPr>
          <w:rFonts w:asciiTheme="majorBidi" w:hAnsiTheme="majorBidi" w:cstheme="majorBidi"/>
          <w:b/>
          <w:bCs/>
          <w:color w:val="000000" w:themeColor="text1"/>
        </w:rPr>
        <w:t>1.10 Conclusion of the Chapter</w:t>
      </w:r>
      <w:bookmarkEnd w:id="30"/>
      <w:bookmarkEnd w:id="31"/>
      <w:r w:rsidRPr="00AC78B8">
        <w:rPr>
          <w:rFonts w:asciiTheme="majorBidi" w:hAnsiTheme="majorBidi" w:cstheme="majorBidi"/>
          <w:b/>
          <w:bCs/>
          <w:color w:val="000000" w:themeColor="text1"/>
        </w:rPr>
        <w:t xml:space="preserve"> </w:t>
      </w:r>
    </w:p>
    <w:p w14:paraId="64999C88" w14:textId="7D002DBB" w:rsidR="00450064" w:rsidRPr="00AC78B8" w:rsidRDefault="006B661D" w:rsidP="00C215A2">
      <w:pPr>
        <w:spacing w:after="0" w:line="360" w:lineRule="auto"/>
        <w:jc w:val="both"/>
        <w:rPr>
          <w:rFonts w:asciiTheme="majorBidi" w:eastAsia="Times New Roman" w:hAnsiTheme="majorBidi" w:cstheme="majorBidi"/>
          <w:kern w:val="0"/>
          <w:sz w:val="24"/>
          <w:szCs w:val="24"/>
          <w14:ligatures w14:val="none"/>
        </w:rPr>
      </w:pPr>
      <w:r w:rsidRPr="00AC78B8">
        <w:rPr>
          <w:rFonts w:asciiTheme="majorBidi" w:eastAsia="Times New Roman" w:hAnsiTheme="majorBidi" w:cstheme="majorBidi"/>
          <w:kern w:val="0"/>
          <w:sz w:val="24"/>
          <w:szCs w:val="24"/>
          <w14:ligatures w14:val="none"/>
        </w:rPr>
        <w:t>So,</w:t>
      </w:r>
      <w:r w:rsidR="00450064" w:rsidRPr="00AC78B8">
        <w:rPr>
          <w:rFonts w:asciiTheme="majorBidi" w:eastAsia="Times New Roman" w:hAnsiTheme="majorBidi" w:cstheme="majorBidi"/>
          <w:kern w:val="0"/>
          <w:sz w:val="24"/>
          <w:szCs w:val="24"/>
          <w14:ligatures w14:val="none"/>
        </w:rPr>
        <w:t xml:space="preserve"> the scope is set. This chapter has framed a measurable market failure, produced by verification costs that stay fixed while the value being verified varies, rather than merely asserting it. That failure is what currently keeps Saudi Arabia's commercial office sector out of the RVCMC and therefore out of its share of the Vision 2030 carbon effort. With the problem stated, the objectives and limits drawn, and a conceptual model linking transaction costs to financial outcomes, the foundation is in place. Chapter Two turns to the theory behind it, Transaction Cost Economics and Agency Theory, and situates the study among the work that has come before.</w:t>
      </w:r>
    </w:p>
    <w:p w14:paraId="70EC761E" w14:textId="77777777" w:rsidR="004A7CFE" w:rsidRPr="00AC78B8" w:rsidRDefault="004A7CFE" w:rsidP="00C215A2">
      <w:pPr>
        <w:spacing w:before="2800" w:after="0" w:line="360" w:lineRule="auto"/>
        <w:jc w:val="both"/>
        <w:rPr>
          <w:rFonts w:asciiTheme="majorBidi" w:hAnsiTheme="majorBidi" w:cstheme="majorBidi"/>
          <w:sz w:val="40"/>
          <w:szCs w:val="40"/>
        </w:rPr>
      </w:pPr>
    </w:p>
    <w:p w14:paraId="5062BC50" w14:textId="77777777" w:rsidR="004A7CFE" w:rsidRPr="00AC78B8" w:rsidRDefault="004A7CFE" w:rsidP="00C215A2">
      <w:pPr>
        <w:spacing w:after="0" w:line="360" w:lineRule="auto"/>
        <w:jc w:val="both"/>
        <w:rPr>
          <w:rFonts w:asciiTheme="majorBidi" w:eastAsia="Times New Roman" w:hAnsiTheme="majorBidi" w:cstheme="majorBidi"/>
          <w:b/>
          <w:bCs/>
          <w:sz w:val="40"/>
          <w:szCs w:val="40"/>
          <w:u w:val="single"/>
        </w:rPr>
      </w:pPr>
    </w:p>
    <w:p w14:paraId="76DF20E0" w14:textId="77777777" w:rsidR="004A7CFE" w:rsidRPr="00AC78B8" w:rsidRDefault="004A7CFE" w:rsidP="00C215A2">
      <w:pPr>
        <w:spacing w:after="0" w:line="360" w:lineRule="auto"/>
        <w:jc w:val="both"/>
        <w:rPr>
          <w:rFonts w:asciiTheme="majorBidi" w:eastAsia="Times New Roman" w:hAnsiTheme="majorBidi" w:cstheme="majorBidi"/>
          <w:b/>
          <w:bCs/>
          <w:sz w:val="40"/>
          <w:szCs w:val="40"/>
          <w:u w:val="single"/>
        </w:rPr>
      </w:pPr>
    </w:p>
    <w:p w14:paraId="68FD2D14" w14:textId="77777777" w:rsidR="004A7CFE" w:rsidRDefault="00000000" w:rsidP="00C215A2">
      <w:pPr>
        <w:spacing w:after="0" w:line="360" w:lineRule="auto"/>
        <w:jc w:val="center"/>
        <w:rPr>
          <w:rFonts w:asciiTheme="majorBidi" w:eastAsia="Times New Roman" w:hAnsiTheme="majorBidi" w:cstheme="majorBidi"/>
          <w:b/>
          <w:bCs/>
          <w:sz w:val="40"/>
          <w:szCs w:val="40"/>
          <w:u w:val="single"/>
        </w:rPr>
      </w:pPr>
      <w:r w:rsidRPr="00AC78B8">
        <w:rPr>
          <w:rFonts w:asciiTheme="majorBidi" w:eastAsia="Times New Roman" w:hAnsiTheme="majorBidi" w:cstheme="majorBidi"/>
          <w:b/>
          <w:bCs/>
          <w:sz w:val="40"/>
          <w:szCs w:val="40"/>
          <w:u w:val="single"/>
        </w:rPr>
        <w:t>Chapter Two</w:t>
      </w:r>
    </w:p>
    <w:p w14:paraId="24A95E03" w14:textId="77777777" w:rsidR="00C215A2" w:rsidRPr="00AC78B8" w:rsidRDefault="00C215A2" w:rsidP="00C215A2">
      <w:pPr>
        <w:spacing w:after="0" w:line="360" w:lineRule="auto"/>
        <w:jc w:val="center"/>
        <w:rPr>
          <w:rFonts w:asciiTheme="majorBidi" w:eastAsia="Times New Roman" w:hAnsiTheme="majorBidi" w:cstheme="majorBidi"/>
          <w:b/>
          <w:bCs/>
          <w:sz w:val="40"/>
          <w:szCs w:val="40"/>
          <w:u w:val="single"/>
        </w:rPr>
      </w:pPr>
    </w:p>
    <w:p w14:paraId="53B75445" w14:textId="77777777" w:rsidR="004A7CFE" w:rsidRPr="00AC78B8" w:rsidRDefault="004A7CFE" w:rsidP="00C215A2">
      <w:pPr>
        <w:spacing w:after="0" w:line="360" w:lineRule="auto"/>
        <w:rPr>
          <w:rFonts w:asciiTheme="majorBidi" w:hAnsiTheme="majorBidi" w:cstheme="majorBidi"/>
          <w:sz w:val="40"/>
          <w:szCs w:val="40"/>
          <w:u w:val="single"/>
        </w:rPr>
      </w:pPr>
    </w:p>
    <w:p w14:paraId="3B28CC82" w14:textId="77777777" w:rsidR="004A7CFE" w:rsidRPr="00AC78B8" w:rsidRDefault="00000000" w:rsidP="00C215A2">
      <w:pPr>
        <w:spacing w:after="0" w:line="360" w:lineRule="auto"/>
        <w:jc w:val="center"/>
        <w:rPr>
          <w:rFonts w:asciiTheme="majorBidi" w:hAnsiTheme="majorBidi" w:cstheme="majorBidi"/>
          <w:sz w:val="40"/>
          <w:szCs w:val="40"/>
          <w:u w:val="single"/>
        </w:rPr>
      </w:pPr>
      <w:r w:rsidRPr="00AC78B8">
        <w:rPr>
          <w:rFonts w:asciiTheme="majorBidi" w:eastAsia="Times New Roman" w:hAnsiTheme="majorBidi" w:cstheme="majorBidi"/>
          <w:b/>
          <w:bCs/>
          <w:sz w:val="40"/>
          <w:szCs w:val="40"/>
          <w:u w:val="single"/>
        </w:rPr>
        <w:t>Theoretical Framework and Literature Review</w:t>
      </w:r>
    </w:p>
    <w:p w14:paraId="273A7138"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hAnsiTheme="majorBidi" w:cstheme="majorBidi"/>
        </w:rPr>
        <w:br w:type="page"/>
      </w:r>
    </w:p>
    <w:p w14:paraId="08162A98" w14:textId="77777777" w:rsidR="004A7CFE" w:rsidRPr="00AC78B8" w:rsidRDefault="00000000" w:rsidP="00C215A2">
      <w:pPr>
        <w:pStyle w:val="Heading1"/>
        <w:spacing w:before="300" w:line="360" w:lineRule="auto"/>
        <w:jc w:val="both"/>
        <w:rPr>
          <w:rFonts w:asciiTheme="majorBidi" w:hAnsiTheme="majorBidi" w:cstheme="majorBidi"/>
        </w:rPr>
      </w:pPr>
      <w:bookmarkStart w:id="32" w:name="_Toc235093281"/>
      <w:bookmarkStart w:id="33" w:name="_Toc235367750"/>
      <w:r w:rsidRPr="00AC78B8">
        <w:rPr>
          <w:rFonts w:asciiTheme="majorBidi" w:hAnsiTheme="majorBidi" w:cstheme="majorBidi"/>
          <w:b/>
          <w:bCs/>
          <w:color w:val="000000"/>
        </w:rPr>
        <w:lastRenderedPageBreak/>
        <w:t>2.1 Introduction</w:t>
      </w:r>
      <w:bookmarkEnd w:id="32"/>
      <w:bookmarkEnd w:id="33"/>
    </w:p>
    <w:p w14:paraId="5B6560A5" w14:textId="77777777" w:rsidR="00450064" w:rsidRPr="00AC78B8" w:rsidRDefault="00450064" w:rsidP="00C215A2">
      <w:pPr>
        <w:pStyle w:val="Heading1"/>
        <w:spacing w:before="300" w:line="360" w:lineRule="auto"/>
        <w:jc w:val="both"/>
        <w:rPr>
          <w:rFonts w:asciiTheme="majorBidi" w:hAnsiTheme="majorBidi" w:cstheme="majorBidi"/>
          <w:color w:val="auto"/>
          <w:kern w:val="2"/>
          <w:sz w:val="24"/>
          <w:szCs w:val="24"/>
          <w14:ligatures w14:val="standardContextual"/>
        </w:rPr>
      </w:pPr>
      <w:bookmarkStart w:id="34" w:name="_Toc235093282"/>
      <w:bookmarkStart w:id="35" w:name="_Toc235367751"/>
      <w:r w:rsidRPr="00AC78B8">
        <w:rPr>
          <w:rFonts w:asciiTheme="majorBidi" w:hAnsiTheme="majorBidi" w:cstheme="majorBidi"/>
          <w:color w:val="auto"/>
          <w:kern w:val="2"/>
          <w:sz w:val="24"/>
          <w:szCs w:val="24"/>
          <w14:ligatures w14:val="standardContextual"/>
        </w:rPr>
        <w:t>This review examines five bodies of knowledge, each selected for its contribution to bridging the research gap. Where studies agree, the review says so; where they diverge, that matters rather more, and the divergences are flagged as they arise. Section 2.5 synthesizes the key points and outlines the unique contributions of this research that existing work does not address.</w:t>
      </w:r>
    </w:p>
    <w:p w14:paraId="46425956" w14:textId="0D784E6D" w:rsidR="004A7CFE" w:rsidRPr="00AC78B8" w:rsidRDefault="00000000" w:rsidP="00C215A2">
      <w:pPr>
        <w:pStyle w:val="Heading1"/>
        <w:spacing w:before="300" w:line="360" w:lineRule="auto"/>
        <w:jc w:val="both"/>
        <w:rPr>
          <w:rFonts w:asciiTheme="majorBidi" w:hAnsiTheme="majorBidi" w:cstheme="majorBidi"/>
        </w:rPr>
      </w:pPr>
      <w:r w:rsidRPr="00AC78B8">
        <w:rPr>
          <w:rFonts w:asciiTheme="majorBidi" w:hAnsiTheme="majorBidi" w:cstheme="majorBidi"/>
          <w:b/>
          <w:bCs/>
          <w:color w:val="000000"/>
        </w:rPr>
        <w:t>2.2 Theoretical Framework</w:t>
      </w:r>
      <w:bookmarkEnd w:id="34"/>
      <w:bookmarkEnd w:id="35"/>
    </w:p>
    <w:p w14:paraId="7A6A2350" w14:textId="77777777" w:rsidR="004A7CFE" w:rsidRPr="00AC78B8" w:rsidRDefault="00000000" w:rsidP="00C215A2">
      <w:pPr>
        <w:pStyle w:val="Heading2"/>
        <w:spacing w:before="240" w:line="360" w:lineRule="auto"/>
        <w:jc w:val="both"/>
        <w:rPr>
          <w:rFonts w:asciiTheme="majorBidi" w:hAnsiTheme="majorBidi" w:cstheme="majorBidi"/>
          <w:color w:val="auto"/>
          <w:kern w:val="2"/>
          <w:sz w:val="24"/>
          <w:szCs w:val="24"/>
          <w14:ligatures w14:val="standardContextual"/>
        </w:rPr>
      </w:pPr>
      <w:bookmarkStart w:id="36" w:name="_Toc235093283"/>
      <w:bookmarkStart w:id="37" w:name="_Toc235097833"/>
      <w:bookmarkStart w:id="38" w:name="_Toc235367752"/>
      <w:r w:rsidRPr="00AC78B8">
        <w:rPr>
          <w:rFonts w:asciiTheme="majorBidi" w:hAnsiTheme="majorBidi" w:cstheme="majorBidi"/>
          <w:color w:val="auto"/>
          <w:kern w:val="2"/>
          <w:sz w:val="24"/>
          <w:szCs w:val="24"/>
          <w14:ligatures w14:val="standardContextual"/>
        </w:rPr>
        <w:t>This research is grounded in two interrelated economic theories that together shed light on why the RVCMC isn’t being used by the commercial office sector and how the proposed solution aggregation and government subsidies in line with Vision 2030 policy can address this issue.</w:t>
      </w:r>
    </w:p>
    <w:p w14:paraId="54D9A38E"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2.2.1 Transaction Cost Economics: Why the Market Fails</w:t>
      </w:r>
      <w:bookmarkEnd w:id="36"/>
      <w:bookmarkEnd w:id="37"/>
      <w:bookmarkEnd w:id="38"/>
    </w:p>
    <w:p w14:paraId="1077238D" w14:textId="77777777" w:rsidR="00450064" w:rsidRPr="00AC78B8" w:rsidRDefault="00450064" w:rsidP="00C215A2">
      <w:pPr>
        <w:spacing w:after="0" w:line="360" w:lineRule="auto"/>
        <w:jc w:val="both"/>
        <w:rPr>
          <w:rFonts w:asciiTheme="majorBidi" w:eastAsia="Times New Roman" w:hAnsiTheme="majorBidi" w:cstheme="majorBidi"/>
          <w:sz w:val="24"/>
          <w:szCs w:val="24"/>
        </w:rPr>
      </w:pPr>
      <w:bookmarkStart w:id="39" w:name="_Toc235093284"/>
      <w:bookmarkStart w:id="40" w:name="_Toc235097834"/>
      <w:bookmarkStart w:id="41" w:name="_Toc235367754"/>
      <w:r w:rsidRPr="00AC78B8">
        <w:rPr>
          <w:rFonts w:asciiTheme="majorBidi" w:eastAsia="Times New Roman" w:hAnsiTheme="majorBidi" w:cstheme="majorBidi"/>
          <w:sz w:val="24"/>
          <w:szCs w:val="24"/>
        </w:rPr>
        <w:t>Transaction Cost Economics (TCE) shows that MRV costs are more than just a bureaucratic hurdle—they are a real barrier to the market. For instance, in a 10,000 m² office building in Riyadh, the carbon asset (609 tCO₂e/year x SAR 37.50) is valued at SAR 22,838, but the verification cost is SAR 60,000, making the transaction unfeasible. TCE also suggests a solution: scale up transactions so the per-unit cost becomes reasonable. The point at which that happens can be calculated exactly. Since the shared audit costs SAR 85,000 and each tonne sells for SAR 37.50, the program breaks even at 2,267 verified tonnes a year, which is four benchmark buildings. Beyond that point the saving keeps compounding: at ten buildings, SAR 85,000 spread across 9,744 tonnes brings the MRV cost down to SAR 8.72 per tonne, well below the SAR 37.50 carbon price.</w:t>
      </w:r>
    </w:p>
    <w:p w14:paraId="723F0CA5" w14:textId="459BA46D"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2.2.2 Agency Theory: Why Landlords Do Not Invest</w:t>
      </w:r>
      <w:bookmarkEnd w:id="39"/>
      <w:bookmarkEnd w:id="40"/>
      <w:bookmarkEnd w:id="41"/>
    </w:p>
    <w:p w14:paraId="41FC3B01" w14:textId="338E17AC" w:rsidR="004A7CFE" w:rsidRPr="00AC78B8" w:rsidRDefault="00000000" w:rsidP="00C215A2">
      <w:pPr>
        <w:pStyle w:val="Heading2"/>
        <w:spacing w:before="240" w:line="360" w:lineRule="auto"/>
        <w:jc w:val="both"/>
        <w:rPr>
          <w:rFonts w:asciiTheme="majorBidi" w:hAnsiTheme="majorBidi" w:cstheme="majorBidi"/>
          <w:color w:val="auto"/>
          <w:kern w:val="2"/>
          <w:sz w:val="24"/>
          <w:szCs w:val="24"/>
          <w14:ligatures w14:val="standardContextual"/>
        </w:rPr>
      </w:pPr>
      <w:bookmarkStart w:id="42" w:name="_Toc235093285"/>
      <w:bookmarkStart w:id="43" w:name="_Toc235097835"/>
      <w:bookmarkStart w:id="44" w:name="_Toc235367755"/>
      <w:r w:rsidRPr="00AC78B8">
        <w:rPr>
          <w:rFonts w:asciiTheme="majorBidi" w:hAnsiTheme="majorBidi" w:cstheme="majorBidi"/>
          <w:color w:val="auto"/>
          <w:kern w:val="2"/>
          <w:sz w:val="24"/>
          <w:szCs w:val="24"/>
          <w14:ligatures w14:val="standardContextual"/>
        </w:rPr>
        <w:t>Agency Theory (Jensen &amp; Meckling, 1976) helps explain why landlords often hold back on investments that make economic sense. The issue is that landlords (the principals) don’t see the financial rewards from their investments, since these benefits, like lower utility bills, go to the tenants (the agents). Carbon monetization offers a workaround: credits go directly to the entity that implements the retrofit, no matter how the energy bills are structured, ensuring that landlords receive a direct return on their investment.</w:t>
      </w:r>
    </w:p>
    <w:p w14:paraId="00433117" w14:textId="77777777" w:rsidR="00450064" w:rsidRPr="00AC78B8" w:rsidRDefault="00450064" w:rsidP="00C215A2">
      <w:pPr>
        <w:pStyle w:val="Heading2"/>
        <w:spacing w:before="240" w:line="360" w:lineRule="auto"/>
        <w:jc w:val="both"/>
        <w:rPr>
          <w:rFonts w:asciiTheme="majorBidi" w:hAnsiTheme="majorBidi" w:cstheme="majorBidi"/>
          <w:color w:val="auto"/>
          <w:kern w:val="2"/>
          <w:sz w:val="24"/>
          <w:szCs w:val="24"/>
          <w14:ligatures w14:val="standardContextual"/>
        </w:rPr>
      </w:pPr>
    </w:p>
    <w:p w14:paraId="31B666BD" w14:textId="77777777" w:rsidR="00450064" w:rsidRPr="00AC78B8" w:rsidRDefault="00450064" w:rsidP="00C215A2">
      <w:pPr>
        <w:pStyle w:val="Heading2"/>
        <w:spacing w:before="240" w:line="360" w:lineRule="auto"/>
        <w:jc w:val="both"/>
        <w:rPr>
          <w:rFonts w:asciiTheme="majorBidi" w:hAnsiTheme="majorBidi" w:cstheme="majorBidi"/>
          <w:color w:val="auto"/>
          <w:kern w:val="2"/>
          <w:sz w:val="24"/>
          <w:szCs w:val="24"/>
          <w14:ligatures w14:val="standardContextual"/>
        </w:rPr>
      </w:pPr>
    </w:p>
    <w:p w14:paraId="04705FC5"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lastRenderedPageBreak/>
        <w:t>2.2.3 The Three-Pathways Investment Framework</w:t>
      </w:r>
      <w:bookmarkEnd w:id="42"/>
      <w:bookmarkEnd w:id="43"/>
      <w:bookmarkEnd w:id="44"/>
    </w:p>
    <w:p w14:paraId="6616CA34" w14:textId="77777777" w:rsidR="004A7CFE" w:rsidRPr="00AC78B8" w:rsidRDefault="00000000"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Put together, the two theories yield something more practical than either alone: a decision framework that shapes both the structure of this research and what it ultimately says to the market. Every asset owner weighing a carbon transition runs into the same question first. How does the retrofit get funded before it starts paying for itself? Three pathways are set out below, each modelled through a scenario in Chapter Four and each suited to a different kind of owner. They are not mutually exclusive; in practice the strongest solutions tend to blend group transition with government-backed finance.</w:t>
      </w:r>
    </w:p>
    <w:p w14:paraId="13580B3A" w14:textId="77777777" w:rsidR="004A7CFE" w:rsidRPr="00AC78B8" w:rsidRDefault="004A7CFE" w:rsidP="00C215A2">
      <w:pPr>
        <w:spacing w:after="0" w:line="360" w:lineRule="auto"/>
        <w:jc w:val="both"/>
        <w:rPr>
          <w:rFonts w:asciiTheme="majorBidi" w:hAnsiTheme="majorBidi" w:cstheme="majorBidi"/>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2245"/>
        <w:gridCol w:w="2005"/>
        <w:gridCol w:w="1500"/>
        <w:gridCol w:w="2100"/>
        <w:gridCol w:w="2050"/>
      </w:tblGrid>
      <w:tr w:rsidR="004A7CFE" w:rsidRPr="00AC78B8" w14:paraId="70E7A9C6" w14:textId="77777777">
        <w:tc>
          <w:tcPr>
            <w:tcW w:w="2245" w:type="dxa"/>
            <w:shd w:val="clear" w:color="auto" w:fill="D9D9D9"/>
            <w:tcMar>
              <w:top w:w="60" w:type="dxa"/>
              <w:left w:w="90" w:type="dxa"/>
              <w:bottom w:w="60" w:type="dxa"/>
              <w:right w:w="90" w:type="dxa"/>
            </w:tcMar>
            <w:vAlign w:val="center"/>
          </w:tcPr>
          <w:p w14:paraId="33B37DD9"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Pathway</w:t>
            </w:r>
          </w:p>
        </w:tc>
        <w:tc>
          <w:tcPr>
            <w:tcW w:w="2005" w:type="dxa"/>
            <w:shd w:val="clear" w:color="auto" w:fill="D9D9D9"/>
            <w:tcMar>
              <w:top w:w="60" w:type="dxa"/>
              <w:left w:w="90" w:type="dxa"/>
              <w:bottom w:w="60" w:type="dxa"/>
              <w:right w:w="90" w:type="dxa"/>
            </w:tcMar>
            <w:vAlign w:val="center"/>
          </w:tcPr>
          <w:p w14:paraId="07EFB624"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Financing Source</w:t>
            </w:r>
          </w:p>
        </w:tc>
        <w:tc>
          <w:tcPr>
            <w:tcW w:w="1500" w:type="dxa"/>
            <w:shd w:val="clear" w:color="auto" w:fill="D9D9D9"/>
            <w:tcMar>
              <w:top w:w="60" w:type="dxa"/>
              <w:left w:w="90" w:type="dxa"/>
              <w:bottom w:w="60" w:type="dxa"/>
              <w:right w:w="90" w:type="dxa"/>
            </w:tcMar>
            <w:vAlign w:val="center"/>
          </w:tcPr>
          <w:p w14:paraId="122B416C"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Model Scenarios</w:t>
            </w:r>
          </w:p>
        </w:tc>
        <w:tc>
          <w:tcPr>
            <w:tcW w:w="2100" w:type="dxa"/>
            <w:shd w:val="clear" w:color="auto" w:fill="D9D9D9"/>
            <w:tcMar>
              <w:top w:w="60" w:type="dxa"/>
              <w:left w:w="90" w:type="dxa"/>
              <w:bottom w:w="60" w:type="dxa"/>
              <w:right w:w="90" w:type="dxa"/>
            </w:tcMar>
            <w:vAlign w:val="center"/>
          </w:tcPr>
          <w:p w14:paraId="20798482"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Best Suited For</w:t>
            </w:r>
          </w:p>
        </w:tc>
        <w:tc>
          <w:tcPr>
            <w:tcW w:w="2050" w:type="dxa"/>
            <w:shd w:val="clear" w:color="auto" w:fill="D9D9D9"/>
            <w:tcMar>
              <w:top w:w="60" w:type="dxa"/>
              <w:left w:w="90" w:type="dxa"/>
              <w:bottom w:w="60" w:type="dxa"/>
              <w:right w:w="90" w:type="dxa"/>
            </w:tcMar>
            <w:vAlign w:val="center"/>
          </w:tcPr>
          <w:p w14:paraId="70DD3282"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b/>
                <w:bCs/>
                <w:color w:val="000000"/>
                <w:sz w:val="20"/>
                <w:szCs w:val="20"/>
              </w:rPr>
              <w:t>Key Enabler</w:t>
            </w:r>
          </w:p>
        </w:tc>
      </w:tr>
      <w:tr w:rsidR="004A7CFE" w:rsidRPr="00AC78B8" w14:paraId="732D2FA7" w14:textId="77777777">
        <w:trPr>
          <w:trHeight w:val="857"/>
        </w:trPr>
        <w:tc>
          <w:tcPr>
            <w:tcW w:w="2245" w:type="dxa"/>
            <w:tcMar>
              <w:top w:w="60" w:type="dxa"/>
              <w:left w:w="90" w:type="dxa"/>
              <w:bottom w:w="60" w:type="dxa"/>
              <w:right w:w="90" w:type="dxa"/>
            </w:tcMar>
            <w:vAlign w:val="center"/>
          </w:tcPr>
          <w:p w14:paraId="0268F736"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b/>
                <w:bCs/>
                <w:sz w:val="20"/>
                <w:szCs w:val="20"/>
              </w:rPr>
              <w:t>1. Self-Investment</w:t>
            </w:r>
          </w:p>
        </w:tc>
        <w:tc>
          <w:tcPr>
            <w:tcW w:w="2005" w:type="dxa"/>
            <w:tcMar>
              <w:top w:w="60" w:type="dxa"/>
              <w:left w:w="90" w:type="dxa"/>
              <w:bottom w:w="60" w:type="dxa"/>
              <w:right w:w="90" w:type="dxa"/>
            </w:tcMar>
            <w:vAlign w:val="center"/>
          </w:tcPr>
          <w:p w14:paraId="0FE083D9"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Owner's own balance sheet</w:t>
            </w:r>
          </w:p>
        </w:tc>
        <w:tc>
          <w:tcPr>
            <w:tcW w:w="1500" w:type="dxa"/>
            <w:tcMar>
              <w:top w:w="60" w:type="dxa"/>
              <w:left w:w="90" w:type="dxa"/>
              <w:bottom w:w="60" w:type="dxa"/>
              <w:right w:w="90" w:type="dxa"/>
            </w:tcMar>
            <w:vAlign w:val="center"/>
          </w:tcPr>
          <w:p w14:paraId="332EDC46"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A, B</w:t>
            </w:r>
          </w:p>
        </w:tc>
        <w:tc>
          <w:tcPr>
            <w:tcW w:w="2100" w:type="dxa"/>
            <w:tcMar>
              <w:top w:w="60" w:type="dxa"/>
              <w:left w:w="90" w:type="dxa"/>
              <w:bottom w:w="60" w:type="dxa"/>
              <w:right w:w="90" w:type="dxa"/>
            </w:tcMar>
            <w:vAlign w:val="center"/>
          </w:tcPr>
          <w:p w14:paraId="27C53C01"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Large owners with capital access; low-CAPEX assets</w:t>
            </w:r>
          </w:p>
        </w:tc>
        <w:tc>
          <w:tcPr>
            <w:tcW w:w="2050" w:type="dxa"/>
            <w:tcMar>
              <w:top w:w="60" w:type="dxa"/>
              <w:left w:w="90" w:type="dxa"/>
              <w:bottom w:w="60" w:type="dxa"/>
              <w:right w:w="90" w:type="dxa"/>
            </w:tcMar>
            <w:vAlign w:val="center"/>
          </w:tcPr>
          <w:p w14:paraId="549BAC48"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OPEX savings dominance (≈89% of inflows)</w:t>
            </w:r>
          </w:p>
        </w:tc>
      </w:tr>
      <w:tr w:rsidR="004A7CFE" w:rsidRPr="00AC78B8" w14:paraId="47D3E394" w14:textId="77777777">
        <w:tc>
          <w:tcPr>
            <w:tcW w:w="2245" w:type="dxa"/>
            <w:tcMar>
              <w:top w:w="60" w:type="dxa"/>
              <w:left w:w="90" w:type="dxa"/>
              <w:bottom w:w="60" w:type="dxa"/>
              <w:right w:w="90" w:type="dxa"/>
            </w:tcMar>
            <w:vAlign w:val="center"/>
          </w:tcPr>
          <w:p w14:paraId="278A1048"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b/>
                <w:bCs/>
                <w:sz w:val="20"/>
                <w:szCs w:val="20"/>
              </w:rPr>
              <w:t>2.Government-Enabled</w:t>
            </w:r>
          </w:p>
        </w:tc>
        <w:tc>
          <w:tcPr>
            <w:tcW w:w="2005" w:type="dxa"/>
            <w:tcMar>
              <w:top w:w="60" w:type="dxa"/>
              <w:left w:w="90" w:type="dxa"/>
              <w:bottom w:w="60" w:type="dxa"/>
              <w:right w:w="90" w:type="dxa"/>
            </w:tcMar>
            <w:vAlign w:val="center"/>
          </w:tcPr>
          <w:p w14:paraId="769F624F"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SGI / PIF green funds; MRV subsidy; zero-interest Green Retrofit Facility</w:t>
            </w:r>
          </w:p>
        </w:tc>
        <w:tc>
          <w:tcPr>
            <w:tcW w:w="1500" w:type="dxa"/>
            <w:shd w:val="clear" w:color="auto" w:fill="FFFFFF"/>
            <w:tcMar>
              <w:top w:w="60" w:type="dxa"/>
              <w:left w:w="90" w:type="dxa"/>
              <w:bottom w:w="60" w:type="dxa"/>
              <w:right w:w="90" w:type="dxa"/>
            </w:tcMar>
            <w:vAlign w:val="center"/>
          </w:tcPr>
          <w:p w14:paraId="5B8B6DD4"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C, D</w:t>
            </w:r>
          </w:p>
        </w:tc>
        <w:tc>
          <w:tcPr>
            <w:tcW w:w="2100" w:type="dxa"/>
            <w:tcMar>
              <w:top w:w="60" w:type="dxa"/>
              <w:left w:w="90" w:type="dxa"/>
              <w:bottom w:w="60" w:type="dxa"/>
              <w:right w:w="90" w:type="dxa"/>
            </w:tcMar>
            <w:vAlign w:val="center"/>
          </w:tcPr>
          <w:p w14:paraId="0F01450C"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Capital-constrained owners; mid/high-CAPEX assets</w:t>
            </w:r>
          </w:p>
        </w:tc>
        <w:tc>
          <w:tcPr>
            <w:tcW w:w="2050" w:type="dxa"/>
            <w:tcMar>
              <w:top w:w="60" w:type="dxa"/>
              <w:left w:w="90" w:type="dxa"/>
              <w:bottom w:w="60" w:type="dxa"/>
              <w:right w:w="90" w:type="dxa"/>
            </w:tcMar>
            <w:vAlign w:val="center"/>
          </w:tcPr>
          <w:p w14:paraId="3EC28778"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Zero-equity, Year-1-positive cash flow; MRV-linked covenant</w:t>
            </w:r>
          </w:p>
        </w:tc>
      </w:tr>
      <w:tr w:rsidR="004A7CFE" w:rsidRPr="00AC78B8" w14:paraId="14F38972" w14:textId="77777777">
        <w:tc>
          <w:tcPr>
            <w:tcW w:w="2245" w:type="dxa"/>
            <w:tcMar>
              <w:top w:w="60" w:type="dxa"/>
              <w:left w:w="90" w:type="dxa"/>
              <w:bottom w:w="60" w:type="dxa"/>
              <w:right w:w="90" w:type="dxa"/>
            </w:tcMar>
            <w:vAlign w:val="center"/>
          </w:tcPr>
          <w:p w14:paraId="26CE8E91"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b/>
                <w:bCs/>
                <w:sz w:val="20"/>
                <w:szCs w:val="20"/>
              </w:rPr>
              <w:t>3. Group Transition</w:t>
            </w:r>
          </w:p>
        </w:tc>
        <w:tc>
          <w:tcPr>
            <w:tcW w:w="2005" w:type="dxa"/>
            <w:tcMar>
              <w:top w:w="60" w:type="dxa"/>
              <w:left w:w="90" w:type="dxa"/>
              <w:bottom w:w="60" w:type="dxa"/>
              <w:right w:w="90" w:type="dxa"/>
            </w:tcMar>
            <w:vAlign w:val="center"/>
          </w:tcPr>
          <w:p w14:paraId="5D40166F"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Shared PoA across 10+ buildings — one owner or a multi-company consortium</w:t>
            </w:r>
          </w:p>
        </w:tc>
        <w:tc>
          <w:tcPr>
            <w:tcW w:w="1500" w:type="dxa"/>
            <w:tcMar>
              <w:top w:w="60" w:type="dxa"/>
              <w:left w:w="90" w:type="dxa"/>
              <w:bottom w:w="60" w:type="dxa"/>
              <w:right w:w="90" w:type="dxa"/>
            </w:tcMar>
            <w:vAlign w:val="center"/>
          </w:tcPr>
          <w:p w14:paraId="7EA97E48"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B–D at portfolio level</w:t>
            </w:r>
          </w:p>
        </w:tc>
        <w:tc>
          <w:tcPr>
            <w:tcW w:w="2100" w:type="dxa"/>
            <w:tcMar>
              <w:top w:w="60" w:type="dxa"/>
              <w:left w:w="90" w:type="dxa"/>
              <w:bottom w:w="60" w:type="dxa"/>
              <w:right w:w="90" w:type="dxa"/>
            </w:tcMar>
            <w:vAlign w:val="center"/>
          </w:tcPr>
          <w:p w14:paraId="475E87D1"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Small/medium owners; FM-managed multi-client portfolios</w:t>
            </w:r>
          </w:p>
        </w:tc>
        <w:tc>
          <w:tcPr>
            <w:tcW w:w="2050" w:type="dxa"/>
            <w:tcMar>
              <w:top w:w="60" w:type="dxa"/>
              <w:left w:w="90" w:type="dxa"/>
              <w:bottom w:w="60" w:type="dxa"/>
              <w:right w:w="90" w:type="dxa"/>
            </w:tcMar>
            <w:vAlign w:val="center"/>
          </w:tcPr>
          <w:p w14:paraId="108D39EA" w14:textId="77777777" w:rsidR="004A7CFE" w:rsidRPr="00AC78B8" w:rsidRDefault="00000000" w:rsidP="00C215A2">
            <w:pPr>
              <w:spacing w:after="0" w:line="360" w:lineRule="auto"/>
              <w:jc w:val="both"/>
              <w:rPr>
                <w:rFonts w:asciiTheme="majorBidi" w:hAnsiTheme="majorBidi" w:cstheme="majorBidi"/>
                <w:sz w:val="20"/>
                <w:szCs w:val="20"/>
              </w:rPr>
            </w:pPr>
            <w:r w:rsidRPr="00AC78B8">
              <w:rPr>
                <w:rFonts w:asciiTheme="majorBidi" w:eastAsia="Times New Roman" w:hAnsiTheme="majorBidi" w:cstheme="majorBidi"/>
                <w:sz w:val="20"/>
                <w:szCs w:val="20"/>
              </w:rPr>
              <w:t>MRV dilution SAR 98.52 → 8.72/t; FM vendor as aggregator</w:t>
            </w:r>
          </w:p>
        </w:tc>
      </w:tr>
    </w:tbl>
    <w:p w14:paraId="5DECA02C" w14:textId="77777777" w:rsidR="004A7CFE" w:rsidRPr="00AC78B8" w:rsidRDefault="00000000" w:rsidP="00C215A2">
      <w:pPr>
        <w:spacing w:before="80" w:after="0" w:line="360" w:lineRule="auto"/>
        <w:jc w:val="center"/>
        <w:rPr>
          <w:rFonts w:asciiTheme="majorBidi" w:hAnsiTheme="majorBidi" w:cstheme="majorBidi"/>
        </w:rPr>
      </w:pPr>
      <w:r w:rsidRPr="00AC78B8">
        <w:rPr>
          <w:rFonts w:asciiTheme="majorBidi" w:eastAsia="Times New Roman" w:hAnsiTheme="majorBidi" w:cstheme="majorBidi"/>
          <w:i/>
          <w:iCs/>
          <w:color w:val="000000"/>
          <w:sz w:val="20"/>
          <w:szCs w:val="20"/>
        </w:rPr>
        <w:t>Table 2-1: The Three-Pathways Investment Framework</w:t>
      </w:r>
    </w:p>
    <w:p w14:paraId="3DFA4F36" w14:textId="247C400B" w:rsidR="00450064" w:rsidRPr="00AC78B8" w:rsidRDefault="00450064" w:rsidP="00C274A2">
      <w:pPr>
        <w:pStyle w:val="Heading1"/>
        <w:spacing w:before="300" w:line="360" w:lineRule="auto"/>
        <w:jc w:val="both"/>
        <w:rPr>
          <w:rFonts w:asciiTheme="majorBidi" w:hAnsiTheme="majorBidi" w:cstheme="majorBidi"/>
          <w:color w:val="auto"/>
          <w:kern w:val="2"/>
          <w:sz w:val="24"/>
          <w:szCs w:val="24"/>
          <w14:ligatures w14:val="standardContextual"/>
        </w:rPr>
      </w:pPr>
      <w:bookmarkStart w:id="45" w:name="_Toc235093286"/>
      <w:bookmarkStart w:id="46" w:name="_Toc235367756"/>
      <w:r w:rsidRPr="00AC78B8">
        <w:rPr>
          <w:rFonts w:asciiTheme="majorBidi" w:hAnsiTheme="majorBidi" w:cstheme="majorBidi"/>
          <w:color w:val="auto"/>
          <w:kern w:val="2"/>
          <w:sz w:val="24"/>
          <w:szCs w:val="24"/>
          <w14:ligatures w14:val="standardContextual"/>
        </w:rPr>
        <w:t xml:space="preserve">Pathway three carries a nuance that matters a great deal for market design: the ten buildings sharing a PoA need not belong to the same company. Several owners can instead form a consortium, pooling assets under one program run by a single FM vendor or by an independent aggregator. The MRV dilution works in </w:t>
      </w:r>
      <w:proofErr w:type="gramStart"/>
      <w:r w:rsidRPr="00AC78B8">
        <w:rPr>
          <w:rFonts w:asciiTheme="majorBidi" w:hAnsiTheme="majorBidi" w:cstheme="majorBidi"/>
          <w:color w:val="auto"/>
          <w:kern w:val="2"/>
          <w:sz w:val="24"/>
          <w:szCs w:val="24"/>
          <w14:ligatures w14:val="standardContextual"/>
        </w:rPr>
        <w:t>exactly the same</w:t>
      </w:r>
      <w:proofErr w:type="gramEnd"/>
      <w:r w:rsidRPr="00AC78B8">
        <w:rPr>
          <w:rFonts w:asciiTheme="majorBidi" w:hAnsiTheme="majorBidi" w:cstheme="majorBidi"/>
          <w:color w:val="auto"/>
          <w:kern w:val="2"/>
          <w:sz w:val="24"/>
          <w:szCs w:val="24"/>
          <w14:ligatures w14:val="standardContextual"/>
        </w:rPr>
        <w:t xml:space="preserve"> way. What changes is who can take part, since an owner with one or two buildings, previously locked out, now has a route in.</w:t>
      </w:r>
    </w:p>
    <w:p w14:paraId="7471ED23" w14:textId="032E5B96" w:rsidR="00450064" w:rsidRPr="00AC78B8" w:rsidRDefault="00450064" w:rsidP="00C274A2">
      <w:pPr>
        <w:pStyle w:val="Heading1"/>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That said, the consortium model raises questions the single-owner version never has to answer. How is each participant's data kept confidential? On what basis is revenue split? And can the aggregator be trusted to run the thing fairly? The survey addresses these directly through items E1–E2. It also points to a role the FM vendor has not traditionally played: trusted intermediary, the party that assembles the owners, registers the program, and steers the group through the transition.</w:t>
      </w:r>
    </w:p>
    <w:p w14:paraId="51A35CDD" w14:textId="77777777" w:rsidR="00450064" w:rsidRPr="00AC78B8" w:rsidRDefault="00450064" w:rsidP="00C274A2">
      <w:pPr>
        <w:pStyle w:val="Heading1"/>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lastRenderedPageBreak/>
        <w:t>Whichever pathway an owner takes, the returns run wider than the financial model captures. The central plant lasts longer, and major replacement is deferred (Azcarate-Aguerre et al., 2022). Asset value and rental appeal improve through the "Green Premium" (JLL, 2024). And the building arrives prepared for the shift from voluntary to mandatory carbon reporting that the region appears to be making (Deloitte Middle East, 2025).</w:t>
      </w:r>
    </w:p>
    <w:p w14:paraId="5B5827DF" w14:textId="77777777" w:rsidR="004A7CFE" w:rsidRPr="00AC78B8" w:rsidRDefault="00000000" w:rsidP="00C215A2">
      <w:pPr>
        <w:pStyle w:val="Heading1"/>
        <w:spacing w:before="300" w:line="360" w:lineRule="auto"/>
        <w:jc w:val="both"/>
        <w:rPr>
          <w:rFonts w:asciiTheme="majorBidi" w:hAnsiTheme="majorBidi" w:cstheme="majorBidi"/>
        </w:rPr>
      </w:pPr>
      <w:r w:rsidRPr="00AC78B8">
        <w:rPr>
          <w:rFonts w:asciiTheme="majorBidi" w:hAnsiTheme="majorBidi" w:cstheme="majorBidi"/>
          <w:b/>
          <w:bCs/>
          <w:color w:val="000000"/>
        </w:rPr>
        <w:t>2.3 Previous Studies</w:t>
      </w:r>
      <w:bookmarkEnd w:id="45"/>
      <w:bookmarkEnd w:id="46"/>
    </w:p>
    <w:p w14:paraId="5FFE8641" w14:textId="77777777" w:rsidR="004A7CFE" w:rsidRPr="00AC78B8" w:rsidRDefault="00000000" w:rsidP="00C215A2">
      <w:pPr>
        <w:pStyle w:val="Heading2"/>
        <w:spacing w:before="240" w:line="360" w:lineRule="auto"/>
        <w:jc w:val="both"/>
        <w:rPr>
          <w:rFonts w:asciiTheme="majorBidi" w:hAnsiTheme="majorBidi" w:cstheme="majorBidi"/>
        </w:rPr>
      </w:pPr>
      <w:bookmarkStart w:id="47" w:name="_Toc235093287"/>
      <w:bookmarkStart w:id="48" w:name="_Toc235097837"/>
      <w:bookmarkStart w:id="49" w:name="_Toc235367757"/>
      <w:r w:rsidRPr="00AC78B8">
        <w:rPr>
          <w:rFonts w:asciiTheme="majorBidi" w:hAnsiTheme="majorBidi" w:cstheme="majorBidi"/>
          <w:b/>
          <w:bCs/>
          <w:color w:val="000000"/>
          <w:sz w:val="28"/>
          <w:szCs w:val="28"/>
        </w:rPr>
        <w:t>2.3.1 GCC Facility Management: From Reactive Service to Strategic Partner</w:t>
      </w:r>
      <w:bookmarkEnd w:id="47"/>
      <w:bookmarkEnd w:id="48"/>
      <w:bookmarkEnd w:id="49"/>
    </w:p>
    <w:p w14:paraId="3AAA8BDB" w14:textId="77309D09"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bookmarkStart w:id="50" w:name="_Toc235093288"/>
      <w:bookmarkStart w:id="51" w:name="_Toc235097838"/>
      <w:bookmarkStart w:id="52" w:name="_Toc235367758"/>
      <w:r w:rsidRPr="00AC78B8">
        <w:rPr>
          <w:rFonts w:asciiTheme="majorBidi" w:hAnsiTheme="majorBidi" w:cstheme="majorBidi"/>
          <w:color w:val="auto"/>
          <w:kern w:val="2"/>
          <w:sz w:val="24"/>
          <w:szCs w:val="24"/>
          <w14:ligatures w14:val="standardContextual"/>
        </w:rPr>
        <w:t>The GCC facilities management industry has often been described as transactional and cost-</w:t>
      </w:r>
      <w:proofErr w:type="gramStart"/>
      <w:r w:rsidRPr="00AC78B8">
        <w:rPr>
          <w:rFonts w:asciiTheme="majorBidi" w:hAnsiTheme="majorBidi" w:cstheme="majorBidi"/>
          <w:color w:val="auto"/>
          <w:kern w:val="2"/>
          <w:sz w:val="24"/>
          <w:szCs w:val="24"/>
          <w14:ligatures w14:val="standardContextual"/>
        </w:rPr>
        <w:t>led</w:t>
      </w:r>
      <w:proofErr w:type="gramEnd"/>
      <w:r w:rsidRPr="00AC78B8">
        <w:rPr>
          <w:rFonts w:asciiTheme="majorBidi" w:hAnsiTheme="majorBidi" w:cstheme="majorBidi"/>
          <w:color w:val="auto"/>
          <w:kern w:val="2"/>
          <w:sz w:val="24"/>
          <w:szCs w:val="24"/>
          <w14:ligatures w14:val="standardContextual"/>
        </w:rPr>
        <w:t xml:space="preserve"> and this description largely remains true. MEFMA (2023) claims that over 70% of regional FM contracts are awarded to the lowest bidder and the scope is normally limited to maintenance, security and cleaning. Energy management is rarely part of contracts; utilities are often viewed as overhead or controllable variables. Energy management is not normally part of contracts because utilities are seen as overhead expenses and not as variables to be managed. Utilities are often seen as an overhead expense and not a variable that can be controlled. Vision 2030 has been aggressively pushing in the opposite direction, toward a modernized industry and stronger private sector but procurement habits have proved stubborn.</w:t>
      </w:r>
    </w:p>
    <w:p w14:paraId="6EC3C66C" w14:textId="04D8408A"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But change did start and JLL (2024) puts that at around 2022. Institutional investors across the GCC started to introduce ESG screens on property and a ‘Green Premium’ followed: certified buildings fetch 5-12% more in rent. Saudi Arabia now has the largest number of LEED-certified buildings in the region (GBCI, 2024). In 2024, the Kingdom’s Building Sustainability Assessment System evaluated seventy-five projects, amounting to 47 million square meters, a 32% rise over the previous year (Skyline Holdings, 2025)—the kind of momentum that Vision 2030’s built-environment agenda aimed to generate. The trickle-down effect is now coming to contracts. The number of buildings falling under these expectations continues to grow, with Riyadh leading the Kingdom’s office market (Mordor Intelligence, 2025) as major GCC clients increasingly expect real-time energy and carbon reporting from their FM providers (MEFMA, 2025). But the JLL analysis stops at the value of the certification and has no comment on revenue from carbon credits. Al-Mofeez and Nait-Sidnas (2025) are from the engineering side, with a similar edge: retrofit technology for commercial buildings in arid climates is mature, and the binding constraint is how to finance the upfront cost. Neither study moves to the next step of carbon monetization as a financial bridge, which is the focus of this research.</w:t>
      </w:r>
    </w:p>
    <w:p w14:paraId="67A01F28" w14:textId="77777777"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lastRenderedPageBreak/>
        <w:t xml:space="preserve">The energy efficiency paradox is the name given to the pattern in a peer-reviewed treatment by Belaïd (2025). Even where the financial and environmental case is clear, cost-effective technologies are not adopted. Most of the work is done by three barriers, according to his account: split incentives, poor information, and the familiar gap between what people know and what they </w:t>
      </w:r>
      <w:proofErr w:type="gramStart"/>
      <w:r w:rsidRPr="00AC78B8">
        <w:rPr>
          <w:rFonts w:asciiTheme="majorBidi" w:hAnsiTheme="majorBidi" w:cstheme="majorBidi"/>
          <w:color w:val="auto"/>
          <w:kern w:val="2"/>
          <w:sz w:val="24"/>
          <w:szCs w:val="24"/>
          <w14:ligatures w14:val="standardContextual"/>
        </w:rPr>
        <w:t>actually do</w:t>
      </w:r>
      <w:proofErr w:type="gramEnd"/>
      <w:r w:rsidRPr="00AC78B8">
        <w:rPr>
          <w:rFonts w:asciiTheme="majorBidi" w:hAnsiTheme="majorBidi" w:cstheme="majorBidi"/>
          <w:color w:val="auto"/>
          <w:kern w:val="2"/>
          <w:sz w:val="24"/>
          <w:szCs w:val="24"/>
          <w14:ligatures w14:val="standardContextual"/>
        </w:rPr>
        <w:t>. His “valuation” of the prize is striking: Saudi Arabia could save up to 80 TWh of electricity a year from air-conditioning efficiency alone. He says that fixing market failures is necessary but not sufficient; reinforcing building codes and providing financing instruments are essential to reduce upfront costs. He argues that while correcting market failures is necessary, it is not sufficient Reinforcing building codes and providing financing instruments are essential to bring the upfront cost down and reduce upfront costs and financing instruments are needed to bring the upfront cost down. In his reasoning, the RVCMC is close to the instrument that he describes as missing for carbon monetization.</w:t>
      </w:r>
    </w:p>
    <w:p w14:paraId="7429E100"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2.3.2 Carbon Market Mechanics: Global Context and Saudi Differentiation</w:t>
      </w:r>
      <w:bookmarkEnd w:id="50"/>
      <w:bookmarkEnd w:id="51"/>
      <w:bookmarkEnd w:id="52"/>
    </w:p>
    <w:p w14:paraId="3C974325" w14:textId="3A528017"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bookmarkStart w:id="53" w:name="_Toc235093289"/>
      <w:bookmarkStart w:id="54" w:name="_Toc235097839"/>
      <w:bookmarkStart w:id="55" w:name="_Toc235367759"/>
      <w:r w:rsidRPr="00AC78B8">
        <w:rPr>
          <w:rFonts w:asciiTheme="majorBidi" w:hAnsiTheme="majorBidi" w:cstheme="majorBidi"/>
          <w:color w:val="auto"/>
          <w:kern w:val="2"/>
          <w:sz w:val="24"/>
          <w:szCs w:val="24"/>
          <w14:ligatures w14:val="standardContextual"/>
        </w:rPr>
        <w:t>The World Bank's State and Trends of Carbon Pricing (2025) maps the global picture cleanly enough. Compliance markets, chiefly the EU Emissions Trading System, are mandatory cap-and-trade schemes where carbon trades between USD 60 and 100 per tonne. Commercial offices cannot access them, being outside the covered sectors. Voluntary markets are open to any project that can demonstrate real reductions, but they have suffered for years from an oversupply of credits relative to buyers. Average prices of USD 1–5 per tonne followed, and at that level monetising energy efficiency at the individual project scale is simply not worth the effort.</w:t>
      </w:r>
    </w:p>
    <w:p w14:paraId="69A854B0" w14:textId="7F590193"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 xml:space="preserve">Saudi Arabia's RVCMC departs from that pattern sharply. Established under Vision 2030 and overseen by the Public Investment Fund, it launched its live carbon exchange in November 2024 with 23 Saudi and international companies trading on day one, following record auctions in 2022 (1.4 million tonnes) and 2023 (2.2 million tonnes), the largest voluntary carbon credit auctions held anywhere (RVCMC, 2024; Xpansiv, 2024). Xpansiv is the world’s </w:t>
      </w:r>
      <w:proofErr w:type="gramStart"/>
      <w:r w:rsidRPr="00AC78B8">
        <w:rPr>
          <w:rFonts w:asciiTheme="majorBidi" w:hAnsiTheme="majorBidi" w:cstheme="majorBidi"/>
          <w:color w:val="auto"/>
          <w:kern w:val="2"/>
          <w:sz w:val="24"/>
          <w:szCs w:val="24"/>
          <w14:ligatures w14:val="standardContextual"/>
        </w:rPr>
        <w:t>largest spot</w:t>
      </w:r>
      <w:proofErr w:type="gramEnd"/>
      <w:r w:rsidRPr="00AC78B8">
        <w:rPr>
          <w:rFonts w:asciiTheme="majorBidi" w:hAnsiTheme="majorBidi" w:cstheme="majorBidi"/>
          <w:color w:val="auto"/>
          <w:kern w:val="2"/>
          <w:sz w:val="24"/>
          <w:szCs w:val="24"/>
          <w14:ligatures w14:val="standardContextual"/>
        </w:rPr>
        <w:t xml:space="preserve"> carbon marketplace, offering the technology that provides transparent price discovery and access to global registries (Xpansiv, 2024). The clearing price settled at SAR 37.50 per tonne of CO₂e, roughly seven to eight times the global voluntary average. At that price, and </w:t>
      </w:r>
      <w:r w:rsidR="006B661D" w:rsidRPr="00AC78B8">
        <w:rPr>
          <w:rFonts w:asciiTheme="majorBidi" w:hAnsiTheme="majorBidi" w:cstheme="majorBidi"/>
          <w:color w:val="auto"/>
          <w:kern w:val="2"/>
          <w:sz w:val="24"/>
          <w:szCs w:val="24"/>
          <w14:ligatures w14:val="standardContextual"/>
        </w:rPr>
        <w:t>only</w:t>
      </w:r>
      <w:r w:rsidRPr="00AC78B8">
        <w:rPr>
          <w:rFonts w:asciiTheme="majorBidi" w:hAnsiTheme="majorBidi" w:cstheme="majorBidi"/>
          <w:color w:val="auto"/>
          <w:kern w:val="2"/>
          <w:sz w:val="24"/>
          <w:szCs w:val="24"/>
          <w14:ligatures w14:val="standardContextual"/>
        </w:rPr>
        <w:t xml:space="preserve"> at that price, monetising office building reductions becomes feasible, assuming the cost side is handled properly.</w:t>
      </w:r>
    </w:p>
    <w:p w14:paraId="79C5C138" w14:textId="77777777" w:rsidR="00F3658F" w:rsidRPr="00AC78B8" w:rsidRDefault="00F3658F" w:rsidP="00C274A2">
      <w:pPr>
        <w:pStyle w:val="Heading2"/>
        <w:spacing w:before="24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The market itself is small but moving quickly. Valued at USD 21.7 million in 2023, it is projected to reach USD 124.6 million by 2030, a compound annual growth rate of 28.4% (Grand View Research, 2025). Three forces sit behind that trajectory: the SGI mandate, PIF's role as institutional market-</w:t>
      </w:r>
      <w:r w:rsidRPr="00AC78B8">
        <w:rPr>
          <w:rFonts w:asciiTheme="majorBidi" w:hAnsiTheme="majorBidi" w:cstheme="majorBidi"/>
          <w:color w:val="auto"/>
          <w:kern w:val="2"/>
          <w:sz w:val="24"/>
          <w:szCs w:val="24"/>
          <w14:ligatures w14:val="standardContextual"/>
        </w:rPr>
        <w:lastRenderedPageBreak/>
        <w:t>maker, and European demand arriving from outside. Between them they are moving carbon credits out of the specialist environmental corner and into Saudi Arabia's mainstream capital markets.</w:t>
      </w:r>
    </w:p>
    <w:p w14:paraId="26FFDBF8"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2.3.3 Vision 2030, the Saudi Green Initiative, and the Built Environment</w:t>
      </w:r>
      <w:bookmarkEnd w:id="53"/>
      <w:bookmarkEnd w:id="54"/>
      <w:bookmarkEnd w:id="55"/>
    </w:p>
    <w:p w14:paraId="7A1D3C84" w14:textId="15620F19" w:rsidR="00F3658F" w:rsidRPr="00AC78B8" w:rsidRDefault="00F3658F" w:rsidP="00C274A2">
      <w:pPr>
        <w:spacing w:after="0" w:line="360" w:lineRule="auto"/>
        <w:jc w:val="both"/>
        <w:rPr>
          <w:rFonts w:asciiTheme="majorBidi" w:eastAsia="Times New Roman" w:hAnsiTheme="majorBidi" w:cstheme="majorBidi"/>
          <w:sz w:val="24"/>
          <w:szCs w:val="24"/>
        </w:rPr>
      </w:pPr>
      <w:bookmarkStart w:id="56" w:name="_Toc235093290"/>
      <w:bookmarkStart w:id="57" w:name="_Toc235097840"/>
      <w:bookmarkStart w:id="58" w:name="_Toc235367760"/>
      <w:r w:rsidRPr="00AC78B8">
        <w:rPr>
          <w:rFonts w:asciiTheme="majorBidi" w:eastAsia="Times New Roman" w:hAnsiTheme="majorBidi" w:cstheme="majorBidi"/>
          <w:sz w:val="24"/>
          <w:szCs w:val="24"/>
        </w:rPr>
        <w:t xml:space="preserve">The environmental pillar of Vision 2030 is represented by the Saudi Green Initiative, which by the end of 2024 was implementing more than eighty-five program with SAR 705 billion in committed investment (SGI, 2024). Electricity represents almost 50% of Saudi energy-related CO₂ emissions (IEA, 2025) so what happens in buildings matters disproportionately to the transition. In a survey of the green energy transition in the Kingdom, Islam and Ali (2024) argue that decarbonization should begin with electricity, as it is the lowest hanging fruit in the path to net zero. The target set in the Energy Efficiency Action Plan </w:t>
      </w:r>
      <w:proofErr w:type="gramStart"/>
      <w:r w:rsidRPr="00AC78B8">
        <w:rPr>
          <w:rFonts w:asciiTheme="majorBidi" w:eastAsia="Times New Roman" w:hAnsiTheme="majorBidi" w:cstheme="majorBidi"/>
          <w:sz w:val="24"/>
          <w:szCs w:val="24"/>
        </w:rPr>
        <w:t>of</w:t>
      </w:r>
      <w:proofErr w:type="gramEnd"/>
      <w:r w:rsidRPr="00AC78B8">
        <w:rPr>
          <w:rFonts w:asciiTheme="majorBidi" w:eastAsia="Times New Roman" w:hAnsiTheme="majorBidi" w:cstheme="majorBidi"/>
          <w:sz w:val="24"/>
          <w:szCs w:val="24"/>
        </w:rPr>
        <w:t xml:space="preserve"> SEEC is the following: the 30% reduction of power intensity by 2030.</w:t>
      </w:r>
    </w:p>
    <w:p w14:paraId="0C730526" w14:textId="7B38BDCD" w:rsidR="00F3658F" w:rsidRPr="00AC78B8" w:rsidRDefault="00F3658F" w:rsidP="00C274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KAPSARC has done the most in-depth analysis on building emissions in the country. The modelling shows that efficiency programs in buildings could reduce electricity consumption by up to 27% and peak demand by 30%. This would make buildings the single largest sectoral contributor to Saudi NDC targets (KAPSARC, 2025). The same body of work examines what works under climate conditions in the GCC and finds that ambitious efficiency targets work best when combined with well-designed market arrangements. Luomi, </w:t>
      </w:r>
      <w:proofErr w:type="spellStart"/>
      <w:r w:rsidRPr="00AC78B8">
        <w:rPr>
          <w:rFonts w:asciiTheme="majorBidi" w:eastAsia="Times New Roman" w:hAnsiTheme="majorBidi" w:cstheme="majorBidi"/>
          <w:sz w:val="24"/>
          <w:szCs w:val="24"/>
        </w:rPr>
        <w:t>Zakkour</w:t>
      </w:r>
      <w:proofErr w:type="spellEnd"/>
      <w:r w:rsidRPr="00AC78B8">
        <w:rPr>
          <w:rFonts w:asciiTheme="majorBidi" w:eastAsia="Times New Roman" w:hAnsiTheme="majorBidi" w:cstheme="majorBidi"/>
          <w:sz w:val="24"/>
          <w:szCs w:val="24"/>
        </w:rPr>
        <w:t xml:space="preserve"> and Gasim (2025) writing for KAPSARC go further and confirm that the built environment is a significant but underutilized source of credits within the Saudi crediting framework. The places they stop are enlightening. This research addresses the MRV cost barrier and aggregation as a response that their analysis does not consider.</w:t>
      </w:r>
    </w:p>
    <w:p w14:paraId="181D55D2" w14:textId="6D271C97" w:rsidR="00F3658F" w:rsidRPr="00AC78B8" w:rsidRDefault="00F3658F" w:rsidP="00C274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Hasanov et al. (2025) answered the question with the KAPSARC Global Energy Macro Econometric Model (KGEMM) to test what hypothetical carbon pricing might do in Saudi Arabia. “Building-sector carbon instruments were among the most cost-effective means to meet the NDC targets. Their macroeconomic result independently supports the subsidy mechanism modelled here as Scenario C, but from a very different analytical angle.</w:t>
      </w:r>
    </w:p>
    <w:p w14:paraId="28BC292D" w14:textId="77777777" w:rsidR="00F3658F" w:rsidRDefault="00F3658F" w:rsidP="00C215A2">
      <w:pPr>
        <w:spacing w:after="0" w:line="360" w:lineRule="auto"/>
        <w:jc w:val="both"/>
        <w:rPr>
          <w:rFonts w:asciiTheme="majorBidi" w:eastAsia="Times New Roman" w:hAnsiTheme="majorBidi" w:cstheme="majorBidi"/>
          <w:sz w:val="24"/>
          <w:szCs w:val="24"/>
        </w:rPr>
      </w:pPr>
      <w:r w:rsidRPr="00AC78B8">
        <w:rPr>
          <w:rFonts w:asciiTheme="majorBidi" w:eastAsia="Times New Roman" w:hAnsiTheme="majorBidi" w:cstheme="majorBidi"/>
          <w:sz w:val="24"/>
          <w:szCs w:val="24"/>
        </w:rPr>
        <w:t xml:space="preserve">Deloitte Middle East (2025) charts the transition of the region from voluntary to mandatory carbon reporting, with the UAE’s 2024 requirements serving as the bellwether for what Saudi Arabia will implement. The implication for investors is a hedge, not a headline. Buildings that generate verified </w:t>
      </w:r>
      <w:proofErr w:type="gramStart"/>
      <w:r w:rsidRPr="00AC78B8">
        <w:rPr>
          <w:rFonts w:asciiTheme="majorBidi" w:eastAsia="Times New Roman" w:hAnsiTheme="majorBidi" w:cstheme="majorBidi"/>
          <w:sz w:val="24"/>
          <w:szCs w:val="24"/>
        </w:rPr>
        <w:t>credits</w:t>
      </w:r>
      <w:proofErr w:type="gramEnd"/>
      <w:r w:rsidRPr="00AC78B8">
        <w:rPr>
          <w:rFonts w:asciiTheme="majorBidi" w:eastAsia="Times New Roman" w:hAnsiTheme="majorBidi" w:cstheme="majorBidi"/>
          <w:sz w:val="24"/>
          <w:szCs w:val="24"/>
        </w:rPr>
        <w:t xml:space="preserve"> today will already be in place when disclosure becomes mandatory, which fits well with the forward looking regulatory stance. Vision 2030: Buildings that are already generating verified credits today will be well positioned for the mandatory disclosure that fits with the forward-looking regulatory posture adopted by Vision 2030.</w:t>
      </w:r>
    </w:p>
    <w:p w14:paraId="4DF34644" w14:textId="77777777" w:rsidR="00C274A2" w:rsidRDefault="00C274A2" w:rsidP="00C215A2">
      <w:pPr>
        <w:spacing w:after="0" w:line="360" w:lineRule="auto"/>
        <w:jc w:val="both"/>
        <w:rPr>
          <w:rFonts w:asciiTheme="majorBidi" w:eastAsia="Times New Roman" w:hAnsiTheme="majorBidi" w:cstheme="majorBidi"/>
          <w:sz w:val="24"/>
          <w:szCs w:val="24"/>
        </w:rPr>
      </w:pPr>
    </w:p>
    <w:p w14:paraId="7008D293" w14:textId="77777777" w:rsidR="00C274A2" w:rsidRPr="00AC78B8" w:rsidRDefault="00C274A2" w:rsidP="00C215A2">
      <w:pPr>
        <w:spacing w:after="0" w:line="360" w:lineRule="auto"/>
        <w:jc w:val="both"/>
        <w:rPr>
          <w:rFonts w:asciiTheme="majorBidi" w:eastAsia="Times New Roman" w:hAnsiTheme="majorBidi" w:cstheme="majorBidi"/>
          <w:sz w:val="24"/>
          <w:szCs w:val="24"/>
        </w:rPr>
      </w:pPr>
    </w:p>
    <w:p w14:paraId="2B8E0E9B" w14:textId="7D7C6859" w:rsidR="004A7CFE" w:rsidRPr="00AC78B8" w:rsidRDefault="00000000" w:rsidP="00C215A2">
      <w:pPr>
        <w:spacing w:after="0" w:line="360" w:lineRule="auto"/>
        <w:jc w:val="both"/>
        <w:rPr>
          <w:rFonts w:asciiTheme="majorBidi" w:hAnsiTheme="majorBidi" w:cstheme="majorBidi"/>
        </w:rPr>
      </w:pPr>
      <w:r w:rsidRPr="00AC78B8">
        <w:rPr>
          <w:rFonts w:asciiTheme="majorBidi" w:hAnsiTheme="majorBidi" w:cstheme="majorBidi"/>
          <w:b/>
          <w:bCs/>
          <w:color w:val="000000"/>
          <w:sz w:val="28"/>
          <w:szCs w:val="28"/>
        </w:rPr>
        <w:lastRenderedPageBreak/>
        <w:t>2.3.4 Theoretical Foundations</w:t>
      </w:r>
      <w:bookmarkEnd w:id="56"/>
      <w:bookmarkEnd w:id="57"/>
      <w:bookmarkEnd w:id="58"/>
    </w:p>
    <w:p w14:paraId="03D30F54" w14:textId="77777777" w:rsidR="004A7CFE" w:rsidRPr="00AC78B8" w:rsidRDefault="00000000" w:rsidP="00C215A2">
      <w:pPr>
        <w:pStyle w:val="Heading3"/>
        <w:spacing w:before="200" w:line="360" w:lineRule="auto"/>
        <w:jc w:val="both"/>
        <w:rPr>
          <w:rFonts w:asciiTheme="majorBidi" w:hAnsiTheme="majorBidi" w:cstheme="majorBidi"/>
        </w:rPr>
      </w:pPr>
      <w:bookmarkStart w:id="59" w:name="_Toc235093291"/>
      <w:bookmarkStart w:id="60" w:name="_Toc235097841"/>
      <w:bookmarkStart w:id="61" w:name="_Toc235367761"/>
      <w:r w:rsidRPr="00AC78B8">
        <w:rPr>
          <w:rFonts w:asciiTheme="majorBidi" w:hAnsiTheme="majorBidi" w:cstheme="majorBidi"/>
          <w:b/>
          <w:bCs/>
          <w:color w:val="000000"/>
          <w:sz w:val="26"/>
          <w:szCs w:val="26"/>
        </w:rPr>
        <w:t>2.3.4.1 Transaction Cost Economics and the MRV Barrier</w:t>
      </w:r>
      <w:bookmarkEnd w:id="59"/>
      <w:bookmarkEnd w:id="60"/>
      <w:bookmarkEnd w:id="61"/>
    </w:p>
    <w:p w14:paraId="6D6A3969" w14:textId="74CE66FE" w:rsidR="00F3658F" w:rsidRPr="00AC78B8" w:rsidRDefault="00F3658F" w:rsidP="00C215A2">
      <w:pPr>
        <w:pStyle w:val="Heading3"/>
        <w:spacing w:before="200" w:line="360" w:lineRule="auto"/>
        <w:jc w:val="both"/>
        <w:rPr>
          <w:rFonts w:asciiTheme="majorBidi" w:hAnsiTheme="majorBidi" w:cstheme="majorBidi"/>
          <w:color w:val="auto"/>
          <w:kern w:val="2"/>
          <w14:ligatures w14:val="standardContextual"/>
        </w:rPr>
      </w:pPr>
      <w:bookmarkStart w:id="62" w:name="_Toc235093292"/>
      <w:bookmarkStart w:id="63" w:name="_Toc235097842"/>
      <w:bookmarkStart w:id="64" w:name="_Toc235367762"/>
      <w:r w:rsidRPr="00AC78B8">
        <w:rPr>
          <w:rFonts w:asciiTheme="majorBidi" w:hAnsiTheme="majorBidi" w:cstheme="majorBidi"/>
          <w:color w:val="auto"/>
          <w:kern w:val="2"/>
          <w14:ligatures w14:val="standardContextual"/>
        </w:rPr>
        <w:t xml:space="preserve">Transaction cost economics, introduced by Coase (1937) and formalized by Williamson (1981), holds that participating in a </w:t>
      </w:r>
      <w:r w:rsidR="006B661D" w:rsidRPr="00AC78B8">
        <w:rPr>
          <w:rFonts w:asciiTheme="majorBidi" w:hAnsiTheme="majorBidi" w:cstheme="majorBidi"/>
          <w:color w:val="auto"/>
          <w:kern w:val="2"/>
          <w14:ligatures w14:val="standardContextual"/>
        </w:rPr>
        <w:t>market cost</w:t>
      </w:r>
      <w:r w:rsidRPr="00AC78B8">
        <w:rPr>
          <w:rFonts w:asciiTheme="majorBidi" w:hAnsiTheme="majorBidi" w:cstheme="majorBidi"/>
          <w:color w:val="auto"/>
          <w:kern w:val="2"/>
          <w14:ligatures w14:val="standardContextual"/>
        </w:rPr>
        <w:t xml:space="preserve"> more than the price of the product being traded. In voluntary carbon markets, the additional cost is MRV, which refers to the independent verification that emissions reductions are real, additional, and permanent. Williamson's notion of asset specificity applies here </w:t>
      </w:r>
      <w:r w:rsidR="006B661D" w:rsidRPr="00AC78B8">
        <w:rPr>
          <w:rFonts w:asciiTheme="majorBidi" w:hAnsiTheme="majorBidi" w:cstheme="majorBidi"/>
          <w:color w:val="auto"/>
          <w:kern w:val="2"/>
          <w14:ligatures w14:val="standardContextual"/>
        </w:rPr>
        <w:t>too</w:t>
      </w:r>
      <w:r w:rsidRPr="00AC78B8">
        <w:rPr>
          <w:rFonts w:asciiTheme="majorBidi" w:hAnsiTheme="majorBidi" w:cstheme="majorBidi"/>
          <w:color w:val="auto"/>
          <w:kern w:val="2"/>
          <w14:ligatures w14:val="standardContextual"/>
        </w:rPr>
        <w:t xml:space="preserve"> neatly. MRV needs specialized climate and engineering auditors, and in a market as young as Saudi Arabia's, those services are expensive and thinly contested. PwC Middle East (2024) puts registration somewhere between SAR 40,000 and SAR 80,000 per cycle.</w:t>
      </w:r>
    </w:p>
    <w:p w14:paraId="07A051AF" w14:textId="179093A6" w:rsidR="004A7CFE" w:rsidRPr="00AC78B8" w:rsidRDefault="00F3658F" w:rsidP="00C215A2">
      <w:pPr>
        <w:pStyle w:val="Heading3"/>
        <w:spacing w:before="200" w:line="360" w:lineRule="auto"/>
        <w:jc w:val="both"/>
        <w:rPr>
          <w:rFonts w:asciiTheme="majorBidi" w:hAnsiTheme="majorBidi" w:cstheme="majorBidi"/>
          <w:color w:val="auto"/>
          <w:kern w:val="2"/>
          <w14:ligatures w14:val="standardContextual"/>
        </w:rPr>
      </w:pPr>
      <w:r w:rsidRPr="00AC78B8">
        <w:rPr>
          <w:rFonts w:asciiTheme="majorBidi" w:hAnsiTheme="majorBidi" w:cstheme="majorBidi"/>
          <w:color w:val="auto"/>
          <w:kern w:val="2"/>
          <w14:ligatures w14:val="standardContextual"/>
        </w:rPr>
        <w:t xml:space="preserve">TCE also points toward the remedy. Where transaction costs are fixed, the rational response is to raise transaction volume until the per-unit cost falls to something bearable. The useful question is where exactly that point sits, and the model answers it precisely. A shared audit costs SAR 85,000, and each verified </w:t>
      </w:r>
      <w:proofErr w:type="gramStart"/>
      <w:r w:rsidRPr="00AC78B8">
        <w:rPr>
          <w:rFonts w:asciiTheme="majorBidi" w:hAnsiTheme="majorBidi" w:cstheme="majorBidi"/>
          <w:color w:val="auto"/>
          <w:kern w:val="2"/>
          <w14:ligatures w14:val="standardContextual"/>
        </w:rPr>
        <w:t>tonne</w:t>
      </w:r>
      <w:proofErr w:type="gramEnd"/>
      <w:r w:rsidRPr="00AC78B8">
        <w:rPr>
          <w:rFonts w:asciiTheme="majorBidi" w:hAnsiTheme="majorBidi" w:cstheme="majorBidi"/>
          <w:color w:val="auto"/>
          <w:kern w:val="2"/>
          <w14:ligatures w14:val="standardContextual"/>
        </w:rPr>
        <w:t xml:space="preserve"> is worth SAR 37.50, so the program pays for its verification at 2,267 tonnes a year. For the benchmark Riyadh offices, </w:t>
      </w:r>
      <w:r w:rsidR="006B661D" w:rsidRPr="00AC78B8">
        <w:rPr>
          <w:rFonts w:asciiTheme="majorBidi" w:hAnsiTheme="majorBidi" w:cstheme="majorBidi"/>
          <w:color w:val="auto"/>
          <w:kern w:val="2"/>
          <w14:ligatures w14:val="standardContextual"/>
        </w:rPr>
        <w:t>which</w:t>
      </w:r>
      <w:r w:rsidRPr="00AC78B8">
        <w:rPr>
          <w:rFonts w:asciiTheme="majorBidi" w:hAnsiTheme="majorBidi" w:cstheme="majorBidi"/>
          <w:color w:val="auto"/>
          <w:kern w:val="2"/>
          <w14:ligatures w14:val="standardContextual"/>
        </w:rPr>
        <w:t xml:space="preserve"> means four buildings of 10,000 square meters, or roughly 40,000 square meters of pooled floor area. Buildings will not meet the requirement, resulting in 1,827 tonnes and a verification cost of SAR 46.52 per tonne, which is still a quarter above the credit price. Expressing the threshold in tonnes rather than buildings is the safer </w:t>
      </w:r>
      <w:r w:rsidR="006B661D" w:rsidRPr="00AC78B8">
        <w:rPr>
          <w:rFonts w:asciiTheme="majorBidi" w:hAnsiTheme="majorBidi" w:cstheme="majorBidi"/>
          <w:color w:val="auto"/>
          <w:kern w:val="2"/>
          <w14:ligatures w14:val="standardContextual"/>
        </w:rPr>
        <w:t>practice since</w:t>
      </w:r>
      <w:r w:rsidRPr="00AC78B8">
        <w:rPr>
          <w:rFonts w:asciiTheme="majorBidi" w:hAnsiTheme="majorBidi" w:cstheme="majorBidi"/>
          <w:color w:val="auto"/>
          <w:kern w:val="2"/>
          <w14:ligatures w14:val="standardContextual"/>
        </w:rPr>
        <w:t xml:space="preserve"> the tonnage figure holds whatever mix of assets an owner brings. Read against Vision 2030, the result argues for a national carbon aggregation registry, one that lets FM companies pool assets from across the market instead of each building a project from scratch.</w:t>
      </w:r>
    </w:p>
    <w:p w14:paraId="2C6A4EAA" w14:textId="77777777" w:rsidR="004A7CFE" w:rsidRPr="00AC78B8" w:rsidRDefault="00000000" w:rsidP="00C215A2">
      <w:pPr>
        <w:pStyle w:val="Heading3"/>
        <w:spacing w:before="200" w:line="360" w:lineRule="auto"/>
        <w:jc w:val="both"/>
        <w:rPr>
          <w:rFonts w:asciiTheme="majorBidi" w:hAnsiTheme="majorBidi" w:cstheme="majorBidi"/>
        </w:rPr>
      </w:pPr>
      <w:r w:rsidRPr="00AC78B8">
        <w:rPr>
          <w:rFonts w:asciiTheme="majorBidi" w:hAnsiTheme="majorBidi" w:cstheme="majorBidi"/>
          <w:b/>
          <w:bCs/>
          <w:color w:val="000000"/>
          <w:sz w:val="26"/>
          <w:szCs w:val="26"/>
        </w:rPr>
        <w:t>2.3.4.2 Agency Theory and the Split-Incentive Dilemma</w:t>
      </w:r>
      <w:bookmarkEnd w:id="62"/>
      <w:bookmarkEnd w:id="63"/>
      <w:bookmarkEnd w:id="64"/>
    </w:p>
    <w:p w14:paraId="37967E71" w14:textId="70C455F8" w:rsidR="00F3658F" w:rsidRPr="00AC78B8" w:rsidRDefault="00F3658F" w:rsidP="00C215A2">
      <w:pPr>
        <w:pStyle w:val="Heading2"/>
        <w:spacing w:before="240" w:line="360" w:lineRule="auto"/>
        <w:rPr>
          <w:rFonts w:asciiTheme="majorBidi" w:hAnsiTheme="majorBidi" w:cstheme="majorBidi"/>
          <w:color w:val="auto"/>
          <w:kern w:val="2"/>
          <w:sz w:val="24"/>
          <w:szCs w:val="24"/>
          <w14:ligatures w14:val="standardContextual"/>
        </w:rPr>
      </w:pPr>
      <w:bookmarkStart w:id="65" w:name="_Toc235093293"/>
      <w:bookmarkStart w:id="66" w:name="_Toc235097843"/>
      <w:bookmarkStart w:id="67" w:name="_Toc235367763"/>
      <w:r w:rsidRPr="00AC78B8">
        <w:rPr>
          <w:rFonts w:asciiTheme="majorBidi" w:hAnsiTheme="majorBidi" w:cstheme="majorBidi"/>
          <w:color w:val="auto"/>
          <w:kern w:val="2"/>
          <w:sz w:val="24"/>
          <w:szCs w:val="24"/>
          <w14:ligatures w14:val="standardContextual"/>
        </w:rPr>
        <w:t xml:space="preserve">Jensen and Meckling (1976) describe the tension that arises when one party bears a cost and another collects the benefit. Multi-tenant offices produce a textbook version of it. The landlord funds the retrofit; the tenant pockets the lower utility bill. Rationally, the landlord declines. This is exactly what Al-Surf and Al-Fagih (2024) report for commercial buildings in the GCC, where owners find it difficult to justify capital </w:t>
      </w:r>
      <w:r w:rsidR="00D873DC" w:rsidRPr="00AC78B8">
        <w:rPr>
          <w:rFonts w:asciiTheme="majorBidi" w:hAnsiTheme="majorBidi" w:cstheme="majorBidi"/>
          <w:color w:val="auto"/>
          <w:kern w:val="2"/>
          <w:sz w:val="24"/>
          <w:szCs w:val="24"/>
          <w14:ligatures w14:val="standardContextual"/>
        </w:rPr>
        <w:t>spending</w:t>
      </w:r>
      <w:r w:rsidRPr="00AC78B8">
        <w:rPr>
          <w:rFonts w:asciiTheme="majorBidi" w:hAnsiTheme="majorBidi" w:cstheme="majorBidi"/>
          <w:color w:val="auto"/>
          <w:kern w:val="2"/>
          <w:sz w:val="24"/>
          <w:szCs w:val="24"/>
          <w14:ligatures w14:val="standardContextual"/>
        </w:rPr>
        <w:t xml:space="preserve"> that goes into somebody else’s operating budget. Belaïd (2025) reaches the same conclusion from a national vantage point, listing split incentives among the principal obstacles to efficiency adoption across the Saudi building stock.</w:t>
      </w:r>
    </w:p>
    <w:p w14:paraId="237D9556" w14:textId="77777777" w:rsidR="00F3658F" w:rsidRPr="00AC78B8" w:rsidRDefault="00F3658F" w:rsidP="00C215A2">
      <w:pPr>
        <w:pStyle w:val="Heading2"/>
        <w:spacing w:before="240" w:line="360" w:lineRule="auto"/>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 xml:space="preserve">Carbon monetization offers a way around the conflict rather than a resolution of it. Verified credits belong, legally, to whoever funds and delivers the emission reduction. Revenue therefore reaches the landlord directly, with no dependence on how the electricity is billed. The landlord's private financial </w:t>
      </w:r>
      <w:r w:rsidRPr="00AC78B8">
        <w:rPr>
          <w:rFonts w:asciiTheme="majorBidi" w:hAnsiTheme="majorBidi" w:cstheme="majorBidi"/>
          <w:color w:val="auto"/>
          <w:kern w:val="2"/>
          <w:sz w:val="24"/>
          <w:szCs w:val="24"/>
          <w14:ligatures w14:val="standardContextual"/>
        </w:rPr>
        <w:lastRenderedPageBreak/>
        <w:t xml:space="preserve">interest and the public environmental objectives of Vision 2030 begin to point the same way, which is </w:t>
      </w:r>
      <w:proofErr w:type="gramStart"/>
      <w:r w:rsidRPr="00AC78B8">
        <w:rPr>
          <w:rFonts w:asciiTheme="majorBidi" w:hAnsiTheme="majorBidi" w:cstheme="majorBidi"/>
          <w:color w:val="auto"/>
          <w:kern w:val="2"/>
          <w:sz w:val="24"/>
          <w:szCs w:val="24"/>
          <w14:ligatures w14:val="standardContextual"/>
        </w:rPr>
        <w:t>more or less the</w:t>
      </w:r>
      <w:proofErr w:type="gramEnd"/>
      <w:r w:rsidRPr="00AC78B8">
        <w:rPr>
          <w:rFonts w:asciiTheme="majorBidi" w:hAnsiTheme="majorBidi" w:cstheme="majorBidi"/>
          <w:color w:val="auto"/>
          <w:kern w:val="2"/>
          <w:sz w:val="24"/>
          <w:szCs w:val="24"/>
          <w14:ligatures w14:val="standardContextual"/>
        </w:rPr>
        <w:t xml:space="preserve"> design principle underlying </w:t>
      </w:r>
      <w:proofErr w:type="gramStart"/>
      <w:r w:rsidRPr="00AC78B8">
        <w:rPr>
          <w:rFonts w:asciiTheme="majorBidi" w:hAnsiTheme="majorBidi" w:cstheme="majorBidi"/>
          <w:color w:val="auto"/>
          <w:kern w:val="2"/>
          <w:sz w:val="24"/>
          <w:szCs w:val="24"/>
          <w14:ligatures w14:val="standardContextual"/>
        </w:rPr>
        <w:t>the SGI's</w:t>
      </w:r>
      <w:proofErr w:type="gramEnd"/>
      <w:r w:rsidRPr="00AC78B8">
        <w:rPr>
          <w:rFonts w:asciiTheme="majorBidi" w:hAnsiTheme="majorBidi" w:cstheme="majorBidi"/>
          <w:color w:val="auto"/>
          <w:kern w:val="2"/>
          <w:sz w:val="24"/>
          <w:szCs w:val="24"/>
          <w14:ligatures w14:val="standardContextual"/>
        </w:rPr>
        <w:t xml:space="preserve"> private-sector strategy.</w:t>
      </w:r>
    </w:p>
    <w:p w14:paraId="2A028709"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2.3.5 The CBAM, Global Demand, and Saudi Carbon Credit Appreciation</w:t>
      </w:r>
      <w:bookmarkEnd w:id="65"/>
      <w:bookmarkEnd w:id="66"/>
      <w:bookmarkEnd w:id="67"/>
    </w:p>
    <w:p w14:paraId="23928A35" w14:textId="197D1CBE" w:rsidR="00F3658F" w:rsidRPr="00AC78B8" w:rsidRDefault="00F3658F" w:rsidP="00C215A2">
      <w:pPr>
        <w:pStyle w:val="Heading2"/>
        <w:spacing w:before="240" w:line="360" w:lineRule="auto"/>
        <w:jc w:val="both"/>
        <w:rPr>
          <w:rFonts w:asciiTheme="majorBidi" w:hAnsiTheme="majorBidi" w:cstheme="majorBidi"/>
          <w:color w:val="auto"/>
          <w:kern w:val="2"/>
          <w:sz w:val="24"/>
          <w:szCs w:val="24"/>
          <w14:ligatures w14:val="standardContextual"/>
        </w:rPr>
      </w:pPr>
      <w:bookmarkStart w:id="68" w:name="_Toc235093294"/>
      <w:bookmarkStart w:id="69" w:name="_Toc235097844"/>
      <w:bookmarkStart w:id="70" w:name="_Toc235367764"/>
      <w:r w:rsidRPr="00AC78B8">
        <w:rPr>
          <w:rFonts w:asciiTheme="majorBidi" w:hAnsiTheme="majorBidi" w:cstheme="majorBidi"/>
          <w:color w:val="auto"/>
          <w:kern w:val="2"/>
          <w:sz w:val="24"/>
          <w:szCs w:val="24"/>
          <w14:ligatures w14:val="standardContextual"/>
        </w:rPr>
        <w:t xml:space="preserve">The European Carbon Border Adjustment Mechanism (CBAM) is likely to redefine the voluntary market from the demand side, as European manufacturers and importers </w:t>
      </w:r>
      <w:proofErr w:type="gramStart"/>
      <w:r w:rsidRPr="00AC78B8">
        <w:rPr>
          <w:rFonts w:asciiTheme="majorBidi" w:hAnsiTheme="majorBidi" w:cstheme="majorBidi"/>
          <w:color w:val="auto"/>
          <w:kern w:val="2"/>
          <w:sz w:val="24"/>
          <w:szCs w:val="24"/>
          <w14:ligatures w14:val="standardContextual"/>
        </w:rPr>
        <w:t>go</w:t>
      </w:r>
      <w:proofErr w:type="gramEnd"/>
      <w:r w:rsidRPr="00AC78B8">
        <w:rPr>
          <w:rFonts w:asciiTheme="majorBidi" w:hAnsiTheme="majorBidi" w:cstheme="majorBidi"/>
          <w:color w:val="auto"/>
          <w:kern w:val="2"/>
          <w:sz w:val="24"/>
          <w:szCs w:val="24"/>
          <w14:ligatures w14:val="standardContextual"/>
        </w:rPr>
        <w:t xml:space="preserve"> looking for credible, verified offsets from the Global South (McKinsey 2025). Saudi Arabia’s RVCMC is well placed to meet that demand: over 75% of the credits traded in its third auction came from Global South projects (RVCMC, 2024). Major commitments are already coming onto the platform, including NEOM’s </w:t>
      </w:r>
      <w:proofErr w:type="spellStart"/>
      <w:r w:rsidRPr="00AC78B8">
        <w:rPr>
          <w:rFonts w:asciiTheme="majorBidi" w:hAnsiTheme="majorBidi" w:cstheme="majorBidi"/>
          <w:color w:val="auto"/>
          <w:kern w:val="2"/>
          <w:sz w:val="24"/>
          <w:szCs w:val="24"/>
          <w14:ligatures w14:val="standardContextual"/>
        </w:rPr>
        <w:t>Enowa</w:t>
      </w:r>
      <w:proofErr w:type="spellEnd"/>
      <w:r w:rsidRPr="00AC78B8">
        <w:rPr>
          <w:rFonts w:asciiTheme="majorBidi" w:hAnsiTheme="majorBidi" w:cstheme="majorBidi"/>
          <w:color w:val="auto"/>
          <w:kern w:val="2"/>
          <w:sz w:val="24"/>
          <w:szCs w:val="24"/>
          <w14:ligatures w14:val="standardContextual"/>
        </w:rPr>
        <w:t xml:space="preserve"> which has committed to deliver at least 30 million tons of high integrity </w:t>
      </w:r>
      <w:proofErr w:type="gramStart"/>
      <w:r w:rsidRPr="00AC78B8">
        <w:rPr>
          <w:rFonts w:asciiTheme="majorBidi" w:hAnsiTheme="majorBidi" w:cstheme="majorBidi"/>
          <w:color w:val="auto"/>
          <w:kern w:val="2"/>
          <w:sz w:val="24"/>
          <w:szCs w:val="24"/>
          <w14:ligatures w14:val="standardContextual"/>
        </w:rPr>
        <w:t>credits</w:t>
      </w:r>
      <w:proofErr w:type="gramEnd"/>
      <w:r w:rsidRPr="00AC78B8">
        <w:rPr>
          <w:rFonts w:asciiTheme="majorBidi" w:hAnsiTheme="majorBidi" w:cstheme="majorBidi"/>
          <w:color w:val="auto"/>
          <w:kern w:val="2"/>
          <w:sz w:val="24"/>
          <w:szCs w:val="24"/>
          <w14:ligatures w14:val="standardContextual"/>
        </w:rPr>
        <w:t xml:space="preserve"> by 2030 (Carbon Credits, 2025). In October 2025 the FII Institute </w:t>
      </w:r>
      <w:proofErr w:type="gramStart"/>
      <w:r w:rsidRPr="00AC78B8">
        <w:rPr>
          <w:rFonts w:asciiTheme="majorBidi" w:hAnsiTheme="majorBidi" w:cstheme="majorBidi"/>
          <w:color w:val="auto"/>
          <w:kern w:val="2"/>
          <w:sz w:val="24"/>
          <w:szCs w:val="24"/>
          <w14:ligatures w14:val="standardContextual"/>
        </w:rPr>
        <w:t>entered into</w:t>
      </w:r>
      <w:proofErr w:type="gramEnd"/>
      <w:r w:rsidRPr="00AC78B8">
        <w:rPr>
          <w:rFonts w:asciiTheme="majorBidi" w:hAnsiTheme="majorBidi" w:cstheme="majorBidi"/>
          <w:color w:val="auto"/>
          <w:kern w:val="2"/>
          <w:sz w:val="24"/>
          <w:szCs w:val="24"/>
          <w14:ligatures w14:val="standardContextual"/>
        </w:rPr>
        <w:t xml:space="preserve"> a strategic partnership with the VCM to specifically advance high-integrity climate finance under Vision 2030’s ‘new economy’ agenda (FII Institute, 2025).</w:t>
      </w:r>
    </w:p>
    <w:p w14:paraId="47CCDE68" w14:textId="77777777" w:rsidR="00F3658F" w:rsidRPr="00AC78B8" w:rsidRDefault="00F3658F" w:rsidP="00C215A2">
      <w:pPr>
        <w:pStyle w:val="Heading2"/>
        <w:spacing w:before="24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Verified carbon credits are an emerging asset class, with a limited supply, increasing demand, and the price behavior that results from that combination (World Economic Forum, 2024). That framing ties into the ambition of Vision 2030, to make Saudi Arabia a financial hub. The credits issued by Saudi FM companies thru the RVCMC are not simply environmental certificates, they are exportable instruments that earn foreign currency and reduce emissions domestically. The domestic market is forecast to expand from USD 21.7 million to USD 124.6 million by 2030 (Grand View Research, 2025) whilst international demand is likely to tighten owing to CBAM and prices may potentially increase from SAR 37.50 to SAR 210 per ton over the fifteen-year horizon (see Section 4.1.8 for further information).</w:t>
      </w:r>
    </w:p>
    <w:p w14:paraId="7BCF4C09" w14:textId="77777777" w:rsidR="004A7CFE" w:rsidRPr="00AC78B8" w:rsidRDefault="00000000" w:rsidP="00C215A2">
      <w:pPr>
        <w:pStyle w:val="Heading2"/>
        <w:spacing w:before="240" w:line="360" w:lineRule="auto"/>
        <w:jc w:val="both"/>
        <w:rPr>
          <w:rFonts w:asciiTheme="majorBidi" w:hAnsiTheme="majorBidi" w:cstheme="majorBidi"/>
        </w:rPr>
      </w:pPr>
      <w:r w:rsidRPr="00AC78B8">
        <w:rPr>
          <w:rFonts w:asciiTheme="majorBidi" w:hAnsiTheme="majorBidi" w:cstheme="majorBidi"/>
          <w:b/>
          <w:bCs/>
          <w:color w:val="000000"/>
          <w:sz w:val="28"/>
          <w:szCs w:val="28"/>
        </w:rPr>
        <w:t>2.3.6 The Greening Grid Paradox: Vision 2030's Internal Tension</w:t>
      </w:r>
      <w:bookmarkEnd w:id="68"/>
      <w:bookmarkEnd w:id="69"/>
      <w:bookmarkEnd w:id="70"/>
    </w:p>
    <w:p w14:paraId="2AE692E3" w14:textId="43BE0E59" w:rsidR="00F3658F" w:rsidRPr="00AC78B8" w:rsidRDefault="00F3658F" w:rsidP="00C274A2">
      <w:pPr>
        <w:pStyle w:val="Heading1"/>
        <w:spacing w:before="300" w:line="360" w:lineRule="auto"/>
        <w:jc w:val="both"/>
        <w:rPr>
          <w:rFonts w:asciiTheme="majorBidi" w:hAnsiTheme="majorBidi" w:cstheme="majorBidi"/>
          <w:color w:val="auto"/>
          <w:kern w:val="2"/>
          <w:sz w:val="24"/>
          <w:szCs w:val="24"/>
          <w14:ligatures w14:val="standardContextual"/>
        </w:rPr>
      </w:pPr>
      <w:bookmarkStart w:id="71" w:name="_Toc235093295"/>
      <w:bookmarkStart w:id="72" w:name="_Toc235367765"/>
      <w:r w:rsidRPr="00AC78B8">
        <w:rPr>
          <w:rFonts w:asciiTheme="majorBidi" w:hAnsiTheme="majorBidi" w:cstheme="majorBidi"/>
          <w:color w:val="auto"/>
          <w:kern w:val="2"/>
          <w:sz w:val="24"/>
          <w:szCs w:val="24"/>
          <w14:ligatures w14:val="standardContextual"/>
        </w:rPr>
        <w:t xml:space="preserve">Vision 2030 aims for half of Saudi electricity to come from renewable sources by 2030. Success would lower the Grid Emission Factor over time, and with it the carbon yield of building efficiency projects, which is an awkward result for anyone holding credits. Islam and Ali (2024) report that the electricity sector has a target to cut emissions by 55% by 2030. If successful, the GEF would fall from 0.58 to about 0.40 </w:t>
      </w:r>
      <w:proofErr w:type="spellStart"/>
      <w:r w:rsidRPr="00AC78B8">
        <w:rPr>
          <w:rFonts w:asciiTheme="majorBidi" w:hAnsiTheme="majorBidi" w:cstheme="majorBidi"/>
          <w:color w:val="auto"/>
          <w:kern w:val="2"/>
          <w:sz w:val="24"/>
          <w:szCs w:val="24"/>
          <w14:ligatures w14:val="standardContextual"/>
        </w:rPr>
        <w:t>kgCO</w:t>
      </w:r>
      <w:proofErr w:type="spellEnd"/>
      <w:r w:rsidRPr="00AC78B8">
        <w:rPr>
          <w:rFonts w:asciiTheme="majorBidi" w:hAnsiTheme="majorBidi" w:cstheme="majorBidi"/>
          <w:color w:val="auto"/>
          <w:kern w:val="2"/>
          <w:sz w:val="24"/>
          <w:szCs w:val="24"/>
          <w14:ligatures w14:val="standardContextual"/>
        </w:rPr>
        <w:t xml:space="preserve"> 2 e/kWh, a 31% drop in building level credit yields. achieved, the GEF would fall from 0.58 to roughly 0.40 kgCO₂e per kWh, trimming building-level credit yields by 31%.</w:t>
      </w:r>
    </w:p>
    <w:p w14:paraId="6A9DD33F" w14:textId="77777777" w:rsidR="00F3658F" w:rsidRPr="00AC78B8" w:rsidRDefault="00F3658F" w:rsidP="00C274A2">
      <w:pPr>
        <w:pStyle w:val="Heading1"/>
        <w:spacing w:before="300" w:line="360" w:lineRule="auto"/>
        <w:jc w:val="both"/>
        <w:rPr>
          <w:rFonts w:asciiTheme="majorBidi" w:hAnsiTheme="majorBidi" w:cstheme="majorBidi"/>
          <w:color w:val="auto"/>
          <w:kern w:val="2"/>
          <w:sz w:val="24"/>
          <w:szCs w:val="24"/>
          <w14:ligatures w14:val="standardContextual"/>
        </w:rPr>
      </w:pPr>
      <w:r w:rsidRPr="00AC78B8">
        <w:rPr>
          <w:rFonts w:asciiTheme="majorBidi" w:hAnsiTheme="majorBidi" w:cstheme="majorBidi"/>
          <w:color w:val="auto"/>
          <w:kern w:val="2"/>
          <w:sz w:val="24"/>
          <w:szCs w:val="24"/>
          <w14:ligatures w14:val="standardContextual"/>
        </w:rPr>
        <w:t xml:space="preserve">Implementation, however, is running well behind ambition. Climate Action Tracker (2025) records renewables at just 2% of Saudi electricity in 2024, with 4.7 GW of renewable capacity against 97 GW of fossil plants. A </w:t>
      </w:r>
      <w:proofErr w:type="gramStart"/>
      <w:r w:rsidRPr="00AC78B8">
        <w:rPr>
          <w:rFonts w:asciiTheme="majorBidi" w:hAnsiTheme="majorBidi" w:cstheme="majorBidi"/>
          <w:color w:val="auto"/>
          <w:kern w:val="2"/>
          <w:sz w:val="24"/>
          <w:szCs w:val="24"/>
          <w14:ligatures w14:val="standardContextual"/>
        </w:rPr>
        <w:t>gap</w:t>
      </w:r>
      <w:proofErr w:type="gramEnd"/>
      <w:r w:rsidRPr="00AC78B8">
        <w:rPr>
          <w:rFonts w:asciiTheme="majorBidi" w:hAnsiTheme="majorBidi" w:cstheme="majorBidi"/>
          <w:color w:val="auto"/>
          <w:kern w:val="2"/>
          <w:sz w:val="24"/>
          <w:szCs w:val="24"/>
          <w14:ligatures w14:val="standardContextual"/>
        </w:rPr>
        <w:t xml:space="preserve"> that size suggests the GEF will stay elevated through much of the next fifteen </w:t>
      </w:r>
      <w:r w:rsidRPr="00AC78B8">
        <w:rPr>
          <w:rFonts w:asciiTheme="majorBidi" w:hAnsiTheme="majorBidi" w:cstheme="majorBidi"/>
          <w:color w:val="auto"/>
          <w:kern w:val="2"/>
          <w:sz w:val="24"/>
          <w:szCs w:val="24"/>
          <w14:ligatures w14:val="standardContextual"/>
        </w:rPr>
        <w:lastRenderedPageBreak/>
        <w:t>years, which is inconvenient for the energy transition and convenient for credit yields. The practical conclusion is to register PoA projects as soon as possible. Registering now locks in a higher baseline GEF and earns more credits across the crediting period.</w:t>
      </w:r>
    </w:p>
    <w:p w14:paraId="06519CC4" w14:textId="77777777" w:rsidR="004A7CFE" w:rsidRPr="00AC78B8" w:rsidRDefault="00000000" w:rsidP="00C215A2">
      <w:pPr>
        <w:pStyle w:val="Heading1"/>
        <w:spacing w:before="300" w:line="360" w:lineRule="auto"/>
        <w:jc w:val="both"/>
        <w:rPr>
          <w:rFonts w:asciiTheme="majorBidi" w:hAnsiTheme="majorBidi" w:cstheme="majorBidi"/>
          <w:color w:val="000000" w:themeColor="text1"/>
        </w:rPr>
      </w:pPr>
      <w:r w:rsidRPr="00AC78B8">
        <w:rPr>
          <w:rFonts w:asciiTheme="majorBidi" w:hAnsiTheme="majorBidi" w:cstheme="majorBidi"/>
          <w:b/>
          <w:bCs/>
          <w:color w:val="000000" w:themeColor="text1"/>
        </w:rPr>
        <w:t>2.4 Benefit of Previous Studies</w:t>
      </w:r>
      <w:bookmarkEnd w:id="71"/>
      <w:bookmarkEnd w:id="72"/>
    </w:p>
    <w:p w14:paraId="5D6B22C4" w14:textId="6D394CD6" w:rsidR="004A7CFE" w:rsidRDefault="00000000" w:rsidP="00C274A2">
      <w:pPr>
        <w:spacing w:after="0" w:line="360" w:lineRule="auto"/>
        <w:jc w:val="both"/>
        <w:rPr>
          <w:rFonts w:asciiTheme="majorBidi" w:eastAsia="Times New Roman" w:hAnsiTheme="majorBidi" w:cstheme="majorBidi"/>
          <w:color w:val="000000" w:themeColor="text1"/>
          <w:sz w:val="24"/>
          <w:szCs w:val="24"/>
        </w:rPr>
      </w:pPr>
      <w:r w:rsidRPr="00AC78B8">
        <w:rPr>
          <w:rFonts w:asciiTheme="majorBidi" w:eastAsia="Times New Roman" w:hAnsiTheme="majorBidi" w:cstheme="majorBidi"/>
          <w:color w:val="000000" w:themeColor="text1"/>
          <w:sz w:val="24"/>
          <w:szCs w:val="24"/>
        </w:rPr>
        <w:t>Four things came out of the literature reviewed here. First, it supplied the inputs the financial model needed, with MRV cost ranges drawn from PwC Middle East (2024) and baseline energy intensities from SEEC (2024). Second came the independent benchmarks against which the model's outputs could be checked in Section 3.7, notably JLL's (2024) finding that Gulf retrofit paybacks run 5 to 8 years and Krarti et al.'s (2017) estimate of national abatement potential. The reviewed work also shaped the survey instrument: Belaïd's (2025) work on information gaps prompted the questions on awareness and expertise, while Al-Surf and Al-</w:t>
      </w:r>
      <w:proofErr w:type="spellStart"/>
      <w:r w:rsidRPr="00AC78B8">
        <w:rPr>
          <w:rFonts w:asciiTheme="majorBidi" w:eastAsia="Times New Roman" w:hAnsiTheme="majorBidi" w:cstheme="majorBidi"/>
          <w:color w:val="000000" w:themeColor="text1"/>
          <w:sz w:val="24"/>
          <w:szCs w:val="24"/>
        </w:rPr>
        <w:t>Fagih's</w:t>
      </w:r>
      <w:proofErr w:type="spellEnd"/>
      <w:r w:rsidRPr="00AC78B8">
        <w:rPr>
          <w:rFonts w:asciiTheme="majorBidi" w:eastAsia="Times New Roman" w:hAnsiTheme="majorBidi" w:cstheme="majorBidi"/>
          <w:color w:val="000000" w:themeColor="text1"/>
          <w:sz w:val="24"/>
          <w:szCs w:val="24"/>
        </w:rPr>
        <w:t xml:space="preserve"> (2024) treatment of split incentives produced item B4. Finally, and most usefully, none of </w:t>
      </w:r>
      <w:proofErr w:type="gramStart"/>
      <w:r w:rsidRPr="00AC78B8">
        <w:rPr>
          <w:rFonts w:asciiTheme="majorBidi" w:eastAsia="Times New Roman" w:hAnsiTheme="majorBidi" w:cstheme="majorBidi"/>
          <w:color w:val="000000" w:themeColor="text1"/>
          <w:sz w:val="24"/>
          <w:szCs w:val="24"/>
        </w:rPr>
        <w:t>it</w:t>
      </w:r>
      <w:proofErr w:type="gramEnd"/>
      <w:r w:rsidRPr="00AC78B8">
        <w:rPr>
          <w:rFonts w:asciiTheme="majorBidi" w:eastAsia="Times New Roman" w:hAnsiTheme="majorBidi" w:cstheme="majorBidi"/>
          <w:color w:val="000000" w:themeColor="text1"/>
          <w:sz w:val="24"/>
          <w:szCs w:val="24"/>
        </w:rPr>
        <w:t xml:space="preserve"> addressed building-level MRV costs, aggregation thresholds, or how the resulting instruments should be priced. That silence is what Section 2.5 turns into a stated gap.</w:t>
      </w:r>
    </w:p>
    <w:p w14:paraId="65C368A4"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728E28A5"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0700213B"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17A0E8BB"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13140981"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44EB81EF"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5671FEAC"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05EE0AB2"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3A529B56"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13602680"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05319B70"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490FAB2B"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364D88DC"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2D8CA680"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0320D268"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5B64EC87"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55F56089"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6BFA2ED9"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521C60C4"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20E8BF69" w14:textId="77777777" w:rsidR="00C274A2" w:rsidRDefault="00C274A2" w:rsidP="00C274A2">
      <w:pPr>
        <w:spacing w:after="0" w:line="360" w:lineRule="auto"/>
        <w:jc w:val="both"/>
        <w:rPr>
          <w:rFonts w:asciiTheme="majorBidi" w:eastAsia="Times New Roman" w:hAnsiTheme="majorBidi" w:cstheme="majorBidi"/>
          <w:color w:val="000000" w:themeColor="text1"/>
          <w:sz w:val="24"/>
          <w:szCs w:val="24"/>
        </w:rPr>
      </w:pPr>
    </w:p>
    <w:p w14:paraId="5F42395A" w14:textId="77777777" w:rsidR="00C274A2" w:rsidRPr="00AC78B8" w:rsidRDefault="00C274A2" w:rsidP="00C274A2">
      <w:pPr>
        <w:spacing w:after="0" w:line="360" w:lineRule="auto"/>
        <w:jc w:val="both"/>
        <w:rPr>
          <w:rFonts w:asciiTheme="majorBidi" w:eastAsia="Times New Roman" w:hAnsiTheme="majorBidi" w:cstheme="majorBidi"/>
          <w:color w:val="000000" w:themeColor="text1"/>
          <w:sz w:val="24"/>
          <w:szCs w:val="24"/>
        </w:rPr>
      </w:pPr>
    </w:p>
    <w:p w14:paraId="7221A339" w14:textId="77777777" w:rsidR="004A7CFE" w:rsidRPr="00AC78B8" w:rsidRDefault="00000000" w:rsidP="00C215A2">
      <w:pPr>
        <w:pStyle w:val="Heading1"/>
        <w:spacing w:before="300" w:line="360" w:lineRule="auto"/>
        <w:jc w:val="both"/>
        <w:rPr>
          <w:rFonts w:asciiTheme="majorBidi" w:hAnsiTheme="majorBidi" w:cstheme="majorBidi"/>
        </w:rPr>
      </w:pPr>
      <w:bookmarkStart w:id="73" w:name="_Toc235093296"/>
      <w:bookmarkStart w:id="74" w:name="_Toc235367766"/>
      <w:r w:rsidRPr="00AC78B8">
        <w:rPr>
          <w:rFonts w:asciiTheme="majorBidi" w:hAnsiTheme="majorBidi" w:cstheme="majorBidi"/>
          <w:b/>
          <w:bCs/>
          <w:color w:val="000000"/>
        </w:rPr>
        <w:lastRenderedPageBreak/>
        <w:t>2.5 Comparative Analysis and Research Gap</w:t>
      </w:r>
      <w:bookmarkEnd w:id="73"/>
      <w:bookmarkEnd w:id="74"/>
    </w:p>
    <w:p w14:paraId="0F7FC2BD"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sz w:val="24"/>
          <w:szCs w:val="24"/>
        </w:rPr>
        <w:t>The following matrix maps where each source contributes and where the gaps lie:</w:t>
      </w:r>
    </w:p>
    <w:tbl>
      <w:tblPr>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055"/>
        <w:gridCol w:w="1080"/>
        <w:gridCol w:w="1342"/>
        <w:gridCol w:w="1358"/>
        <w:gridCol w:w="1440"/>
        <w:gridCol w:w="1025"/>
      </w:tblGrid>
      <w:tr w:rsidR="004A7CFE" w:rsidRPr="00AC78B8" w14:paraId="0197EAFC" w14:textId="77777777">
        <w:tc>
          <w:tcPr>
            <w:tcW w:w="3055" w:type="dxa"/>
            <w:shd w:val="clear" w:color="auto" w:fill="D9D9D9"/>
            <w:tcMar>
              <w:top w:w="60" w:type="dxa"/>
              <w:left w:w="90" w:type="dxa"/>
              <w:bottom w:w="60" w:type="dxa"/>
              <w:right w:w="90" w:type="dxa"/>
            </w:tcMar>
            <w:vAlign w:val="center"/>
          </w:tcPr>
          <w:p w14:paraId="335E780B"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Study / Source</w:t>
            </w:r>
          </w:p>
        </w:tc>
        <w:tc>
          <w:tcPr>
            <w:tcW w:w="1080" w:type="dxa"/>
            <w:shd w:val="clear" w:color="auto" w:fill="D9D9D9"/>
            <w:tcMar>
              <w:top w:w="60" w:type="dxa"/>
              <w:left w:w="90" w:type="dxa"/>
              <w:bottom w:w="60" w:type="dxa"/>
              <w:right w:w="90" w:type="dxa"/>
            </w:tcMar>
            <w:vAlign w:val="center"/>
          </w:tcPr>
          <w:p w14:paraId="4A301E5B"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Saudi-Specific</w:t>
            </w:r>
          </w:p>
        </w:tc>
        <w:tc>
          <w:tcPr>
            <w:tcW w:w="1342" w:type="dxa"/>
            <w:shd w:val="clear" w:color="auto" w:fill="D9D9D9"/>
            <w:tcMar>
              <w:top w:w="60" w:type="dxa"/>
              <w:left w:w="90" w:type="dxa"/>
              <w:bottom w:w="60" w:type="dxa"/>
              <w:right w:w="90" w:type="dxa"/>
            </w:tcMar>
            <w:vAlign w:val="center"/>
          </w:tcPr>
          <w:p w14:paraId="3309532A"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MRV Barrier Modelled</w:t>
            </w:r>
          </w:p>
        </w:tc>
        <w:tc>
          <w:tcPr>
            <w:tcW w:w="1358" w:type="dxa"/>
            <w:shd w:val="clear" w:color="auto" w:fill="D9D9D9"/>
            <w:tcMar>
              <w:top w:w="60" w:type="dxa"/>
              <w:left w:w="90" w:type="dxa"/>
              <w:bottom w:w="60" w:type="dxa"/>
              <w:right w:w="90" w:type="dxa"/>
            </w:tcMar>
            <w:vAlign w:val="center"/>
          </w:tcPr>
          <w:p w14:paraId="07C83E64"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Aggregation Solution</w:t>
            </w:r>
          </w:p>
        </w:tc>
        <w:tc>
          <w:tcPr>
            <w:tcW w:w="1440" w:type="dxa"/>
            <w:shd w:val="clear" w:color="auto" w:fill="D9D9D9"/>
            <w:tcMar>
              <w:top w:w="60" w:type="dxa"/>
              <w:left w:w="90" w:type="dxa"/>
              <w:bottom w:w="60" w:type="dxa"/>
              <w:right w:w="90" w:type="dxa"/>
            </w:tcMar>
            <w:vAlign w:val="center"/>
          </w:tcPr>
          <w:p w14:paraId="280E246C"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CBAM Appreciation</w:t>
            </w:r>
          </w:p>
        </w:tc>
        <w:tc>
          <w:tcPr>
            <w:tcW w:w="1025" w:type="dxa"/>
            <w:shd w:val="clear" w:color="auto" w:fill="D9D9D9"/>
            <w:tcMar>
              <w:top w:w="60" w:type="dxa"/>
              <w:left w:w="90" w:type="dxa"/>
              <w:bottom w:w="60" w:type="dxa"/>
              <w:right w:w="90" w:type="dxa"/>
            </w:tcMar>
            <w:vAlign w:val="center"/>
          </w:tcPr>
          <w:p w14:paraId="41980F83" w14:textId="77777777" w:rsidR="004A7CFE" w:rsidRPr="00AC78B8" w:rsidRDefault="00000000" w:rsidP="00C215A2">
            <w:pPr>
              <w:spacing w:after="0" w:line="360" w:lineRule="auto"/>
              <w:jc w:val="center"/>
              <w:rPr>
                <w:rFonts w:asciiTheme="majorBidi" w:hAnsiTheme="majorBidi" w:cstheme="majorBidi"/>
              </w:rPr>
            </w:pPr>
            <w:r w:rsidRPr="00AC78B8">
              <w:rPr>
                <w:rFonts w:asciiTheme="majorBidi" w:eastAsia="Times New Roman" w:hAnsiTheme="majorBidi" w:cstheme="majorBidi"/>
                <w:b/>
                <w:bCs/>
                <w:color w:val="000000"/>
                <w:sz w:val="20"/>
                <w:szCs w:val="20"/>
              </w:rPr>
              <w:t>V2030 Aligned</w:t>
            </w:r>
          </w:p>
        </w:tc>
      </w:tr>
      <w:tr w:rsidR="004A7CFE" w:rsidRPr="00AC78B8" w14:paraId="2F96A3A0" w14:textId="77777777">
        <w:tc>
          <w:tcPr>
            <w:tcW w:w="3055" w:type="dxa"/>
            <w:tcMar>
              <w:top w:w="60" w:type="dxa"/>
              <w:left w:w="90" w:type="dxa"/>
              <w:bottom w:w="60" w:type="dxa"/>
              <w:right w:w="90" w:type="dxa"/>
            </w:tcMar>
            <w:vAlign w:val="center"/>
          </w:tcPr>
          <w:p w14:paraId="3C1E8995"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Luomi et al., 2025 (KAPSARC)</w:t>
            </w:r>
          </w:p>
        </w:tc>
        <w:tc>
          <w:tcPr>
            <w:tcW w:w="1080" w:type="dxa"/>
            <w:tcMar>
              <w:top w:w="60" w:type="dxa"/>
              <w:left w:w="90" w:type="dxa"/>
              <w:bottom w:w="60" w:type="dxa"/>
              <w:right w:w="90" w:type="dxa"/>
            </w:tcMar>
            <w:vAlign w:val="center"/>
          </w:tcPr>
          <w:p w14:paraId="7A90F04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255E75E3"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33DD51D1"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4C989C4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15B082CD"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0C1BD6BA" w14:textId="77777777">
        <w:tc>
          <w:tcPr>
            <w:tcW w:w="3055" w:type="dxa"/>
            <w:shd w:val="clear" w:color="auto" w:fill="FFFFFF"/>
            <w:tcMar>
              <w:top w:w="60" w:type="dxa"/>
              <w:left w:w="90" w:type="dxa"/>
              <w:bottom w:w="60" w:type="dxa"/>
              <w:right w:w="90" w:type="dxa"/>
            </w:tcMar>
            <w:vAlign w:val="center"/>
          </w:tcPr>
          <w:p w14:paraId="411010F5"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World Bank, 2025</w:t>
            </w:r>
          </w:p>
        </w:tc>
        <w:tc>
          <w:tcPr>
            <w:tcW w:w="1080" w:type="dxa"/>
            <w:shd w:val="clear" w:color="auto" w:fill="FFFFFF"/>
            <w:tcMar>
              <w:top w:w="60" w:type="dxa"/>
              <w:left w:w="90" w:type="dxa"/>
              <w:bottom w:w="60" w:type="dxa"/>
              <w:right w:w="90" w:type="dxa"/>
            </w:tcMar>
            <w:vAlign w:val="center"/>
          </w:tcPr>
          <w:p w14:paraId="20676D0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3ACF9B1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497C7AA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4779F0D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2C1A683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6DBC7DB1" w14:textId="77777777">
        <w:tc>
          <w:tcPr>
            <w:tcW w:w="3055" w:type="dxa"/>
            <w:tcMar>
              <w:top w:w="60" w:type="dxa"/>
              <w:left w:w="90" w:type="dxa"/>
              <w:bottom w:w="60" w:type="dxa"/>
              <w:right w:w="90" w:type="dxa"/>
            </w:tcMar>
            <w:vAlign w:val="center"/>
          </w:tcPr>
          <w:p w14:paraId="23095685"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Belaïd, 2025 (Nature)</w:t>
            </w:r>
          </w:p>
        </w:tc>
        <w:tc>
          <w:tcPr>
            <w:tcW w:w="1080" w:type="dxa"/>
            <w:tcMar>
              <w:top w:w="60" w:type="dxa"/>
              <w:left w:w="90" w:type="dxa"/>
              <w:bottom w:w="60" w:type="dxa"/>
              <w:right w:w="90" w:type="dxa"/>
            </w:tcMar>
            <w:vAlign w:val="center"/>
          </w:tcPr>
          <w:p w14:paraId="3848E19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5F033D5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1A540FA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25E8B76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6BD1E148"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64772374" w14:textId="77777777">
        <w:tc>
          <w:tcPr>
            <w:tcW w:w="3055" w:type="dxa"/>
            <w:shd w:val="clear" w:color="auto" w:fill="FFFFFF"/>
            <w:tcMar>
              <w:top w:w="60" w:type="dxa"/>
              <w:left w:w="90" w:type="dxa"/>
              <w:bottom w:w="60" w:type="dxa"/>
              <w:right w:w="90" w:type="dxa"/>
            </w:tcMar>
            <w:vAlign w:val="center"/>
          </w:tcPr>
          <w:p w14:paraId="732ED6EC"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Hasanov et al., 2025 (KAPSARC)</w:t>
            </w:r>
          </w:p>
        </w:tc>
        <w:tc>
          <w:tcPr>
            <w:tcW w:w="1080" w:type="dxa"/>
            <w:shd w:val="clear" w:color="auto" w:fill="FFFFFF"/>
            <w:tcMar>
              <w:top w:w="60" w:type="dxa"/>
              <w:left w:w="90" w:type="dxa"/>
              <w:bottom w:w="60" w:type="dxa"/>
              <w:right w:w="90" w:type="dxa"/>
            </w:tcMar>
            <w:vAlign w:val="center"/>
          </w:tcPr>
          <w:p w14:paraId="66F8240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588B09F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690A385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4821871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4947D9B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04AA3B96" w14:textId="77777777">
        <w:tc>
          <w:tcPr>
            <w:tcW w:w="3055" w:type="dxa"/>
            <w:tcMar>
              <w:top w:w="60" w:type="dxa"/>
              <w:left w:w="90" w:type="dxa"/>
              <w:bottom w:w="60" w:type="dxa"/>
              <w:right w:w="90" w:type="dxa"/>
            </w:tcMar>
            <w:vAlign w:val="center"/>
          </w:tcPr>
          <w:p w14:paraId="49981645"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Al-Surf &amp; Al-Fagih, 2024</w:t>
            </w:r>
          </w:p>
        </w:tc>
        <w:tc>
          <w:tcPr>
            <w:tcW w:w="1080" w:type="dxa"/>
            <w:tcMar>
              <w:top w:w="60" w:type="dxa"/>
              <w:left w:w="90" w:type="dxa"/>
              <w:bottom w:w="60" w:type="dxa"/>
              <w:right w:w="90" w:type="dxa"/>
            </w:tcMar>
            <w:vAlign w:val="center"/>
          </w:tcPr>
          <w:p w14:paraId="6A9B3BF1"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60577573"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1641A202"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6EF0E96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2B375450"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r>
      <w:tr w:rsidR="004A7CFE" w:rsidRPr="00AC78B8" w14:paraId="30DE9180" w14:textId="77777777">
        <w:tc>
          <w:tcPr>
            <w:tcW w:w="3055" w:type="dxa"/>
            <w:shd w:val="clear" w:color="auto" w:fill="FFFFFF"/>
            <w:tcMar>
              <w:top w:w="60" w:type="dxa"/>
              <w:left w:w="90" w:type="dxa"/>
              <w:bottom w:w="60" w:type="dxa"/>
              <w:right w:w="90" w:type="dxa"/>
            </w:tcMar>
            <w:vAlign w:val="center"/>
          </w:tcPr>
          <w:p w14:paraId="11BC97A7"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JLL, 2024</w:t>
            </w:r>
          </w:p>
        </w:tc>
        <w:tc>
          <w:tcPr>
            <w:tcW w:w="1080" w:type="dxa"/>
            <w:shd w:val="clear" w:color="auto" w:fill="FFFFFF"/>
            <w:tcMar>
              <w:top w:w="60" w:type="dxa"/>
              <w:left w:w="90" w:type="dxa"/>
              <w:bottom w:w="60" w:type="dxa"/>
              <w:right w:w="90" w:type="dxa"/>
            </w:tcMar>
            <w:vAlign w:val="center"/>
          </w:tcPr>
          <w:p w14:paraId="0B1290F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624F855B"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1FBBCE0D"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02DC81F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6072D83D"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37F531AE" w14:textId="77777777">
        <w:tc>
          <w:tcPr>
            <w:tcW w:w="3055" w:type="dxa"/>
            <w:tcMar>
              <w:top w:w="60" w:type="dxa"/>
              <w:left w:w="90" w:type="dxa"/>
              <w:bottom w:w="60" w:type="dxa"/>
              <w:right w:w="90" w:type="dxa"/>
            </w:tcMar>
            <w:vAlign w:val="center"/>
          </w:tcPr>
          <w:p w14:paraId="6580B736"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PwC Middle East, 2024</w:t>
            </w:r>
          </w:p>
        </w:tc>
        <w:tc>
          <w:tcPr>
            <w:tcW w:w="1080" w:type="dxa"/>
            <w:tcMar>
              <w:top w:w="60" w:type="dxa"/>
              <w:left w:w="90" w:type="dxa"/>
              <w:bottom w:w="60" w:type="dxa"/>
              <w:right w:w="90" w:type="dxa"/>
            </w:tcMar>
            <w:vAlign w:val="center"/>
          </w:tcPr>
          <w:p w14:paraId="1601790C"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518D8073"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c>
          <w:tcPr>
            <w:tcW w:w="1358" w:type="dxa"/>
            <w:tcMar>
              <w:top w:w="60" w:type="dxa"/>
              <w:left w:w="90" w:type="dxa"/>
              <w:bottom w:w="60" w:type="dxa"/>
              <w:right w:w="90" w:type="dxa"/>
            </w:tcMar>
            <w:vAlign w:val="center"/>
          </w:tcPr>
          <w:p w14:paraId="3C85935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6B7363F3"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44CE433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774DE161" w14:textId="77777777">
        <w:tc>
          <w:tcPr>
            <w:tcW w:w="3055" w:type="dxa"/>
            <w:shd w:val="clear" w:color="auto" w:fill="FFFFFF"/>
            <w:tcMar>
              <w:top w:w="60" w:type="dxa"/>
              <w:left w:w="90" w:type="dxa"/>
              <w:bottom w:w="60" w:type="dxa"/>
              <w:right w:w="90" w:type="dxa"/>
            </w:tcMar>
            <w:vAlign w:val="center"/>
          </w:tcPr>
          <w:p w14:paraId="547FA97D"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McKinsey, 2025</w:t>
            </w:r>
          </w:p>
        </w:tc>
        <w:tc>
          <w:tcPr>
            <w:tcW w:w="1080" w:type="dxa"/>
            <w:shd w:val="clear" w:color="auto" w:fill="FFFFFF"/>
            <w:tcMar>
              <w:top w:w="60" w:type="dxa"/>
              <w:left w:w="90" w:type="dxa"/>
              <w:bottom w:w="60" w:type="dxa"/>
              <w:right w:w="90" w:type="dxa"/>
            </w:tcMar>
            <w:vAlign w:val="center"/>
          </w:tcPr>
          <w:p w14:paraId="409612FA"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5862D03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61DBC90A"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47BC81C3"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25CAFCB8"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r>
      <w:tr w:rsidR="004A7CFE" w:rsidRPr="00AC78B8" w14:paraId="1E72F2D6" w14:textId="77777777">
        <w:tc>
          <w:tcPr>
            <w:tcW w:w="3055" w:type="dxa"/>
            <w:tcMar>
              <w:top w:w="60" w:type="dxa"/>
              <w:left w:w="90" w:type="dxa"/>
              <w:bottom w:w="60" w:type="dxa"/>
              <w:right w:w="90" w:type="dxa"/>
            </w:tcMar>
            <w:vAlign w:val="center"/>
          </w:tcPr>
          <w:p w14:paraId="01CC2B78"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Krarti, Dubey &amp; Howarth, 2017 (KAPSARC)</w:t>
            </w:r>
          </w:p>
        </w:tc>
        <w:tc>
          <w:tcPr>
            <w:tcW w:w="1080" w:type="dxa"/>
            <w:tcMar>
              <w:top w:w="60" w:type="dxa"/>
              <w:left w:w="90" w:type="dxa"/>
              <w:bottom w:w="60" w:type="dxa"/>
              <w:right w:w="90" w:type="dxa"/>
            </w:tcMar>
            <w:vAlign w:val="center"/>
          </w:tcPr>
          <w:p w14:paraId="10AC5D5C"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3F863FD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1C4B9BB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1BA1339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1245E51B"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25B20243" w14:textId="77777777">
        <w:tc>
          <w:tcPr>
            <w:tcW w:w="3055" w:type="dxa"/>
            <w:shd w:val="clear" w:color="auto" w:fill="FFFFFF"/>
            <w:tcMar>
              <w:top w:w="60" w:type="dxa"/>
              <w:left w:w="90" w:type="dxa"/>
              <w:bottom w:w="60" w:type="dxa"/>
              <w:right w:w="90" w:type="dxa"/>
            </w:tcMar>
            <w:vAlign w:val="center"/>
          </w:tcPr>
          <w:p w14:paraId="3ADAADCC"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Belaïd &amp; Mikayilov, 2024 (KAPSARC)</w:t>
            </w:r>
          </w:p>
        </w:tc>
        <w:tc>
          <w:tcPr>
            <w:tcW w:w="1080" w:type="dxa"/>
            <w:shd w:val="clear" w:color="auto" w:fill="FFFFFF"/>
            <w:tcMar>
              <w:top w:w="60" w:type="dxa"/>
              <w:left w:w="90" w:type="dxa"/>
              <w:bottom w:w="60" w:type="dxa"/>
              <w:right w:w="90" w:type="dxa"/>
            </w:tcMar>
            <w:vAlign w:val="center"/>
          </w:tcPr>
          <w:p w14:paraId="724A2B78"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22729BEC"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21D473F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6E72A72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3F832868"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346BE36C" w14:textId="77777777">
        <w:tc>
          <w:tcPr>
            <w:tcW w:w="3055" w:type="dxa"/>
            <w:tcMar>
              <w:top w:w="60" w:type="dxa"/>
              <w:left w:w="90" w:type="dxa"/>
              <w:bottom w:w="60" w:type="dxa"/>
              <w:right w:w="90" w:type="dxa"/>
            </w:tcMar>
            <w:vAlign w:val="center"/>
          </w:tcPr>
          <w:p w14:paraId="390D8E12"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Aldubyan, Belaïd &amp; Gasim, 2024 (KAPSARC)</w:t>
            </w:r>
          </w:p>
        </w:tc>
        <w:tc>
          <w:tcPr>
            <w:tcW w:w="1080" w:type="dxa"/>
            <w:tcMar>
              <w:top w:w="60" w:type="dxa"/>
              <w:left w:w="90" w:type="dxa"/>
              <w:bottom w:w="60" w:type="dxa"/>
              <w:right w:w="90" w:type="dxa"/>
            </w:tcMar>
            <w:vAlign w:val="center"/>
          </w:tcPr>
          <w:p w14:paraId="5810183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7C7CC67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59D7E6E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4AC213F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1285DC9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3084809F" w14:textId="77777777">
        <w:tc>
          <w:tcPr>
            <w:tcW w:w="3055" w:type="dxa"/>
            <w:shd w:val="clear" w:color="auto" w:fill="FFFFFF"/>
            <w:tcMar>
              <w:top w:w="60" w:type="dxa"/>
              <w:left w:w="90" w:type="dxa"/>
              <w:bottom w:w="60" w:type="dxa"/>
              <w:right w:w="90" w:type="dxa"/>
            </w:tcMar>
            <w:vAlign w:val="center"/>
          </w:tcPr>
          <w:p w14:paraId="2A006EEB" w14:textId="77777777" w:rsidR="004A7CFE" w:rsidRPr="00AC78B8" w:rsidRDefault="00000000" w:rsidP="00C215A2">
            <w:pPr>
              <w:spacing w:after="0" w:line="360" w:lineRule="auto"/>
              <w:rPr>
                <w:rFonts w:asciiTheme="majorBidi" w:hAnsiTheme="majorBidi" w:cstheme="majorBidi"/>
              </w:rPr>
            </w:pPr>
            <w:proofErr w:type="spellStart"/>
            <w:r w:rsidRPr="00AC78B8">
              <w:rPr>
                <w:rFonts w:asciiTheme="majorBidi" w:eastAsia="Times New Roman" w:hAnsiTheme="majorBidi" w:cstheme="majorBidi"/>
                <w:sz w:val="20"/>
                <w:szCs w:val="20"/>
              </w:rPr>
              <w:t>Alnaser</w:t>
            </w:r>
            <w:proofErr w:type="spellEnd"/>
            <w:r w:rsidRPr="00AC78B8">
              <w:rPr>
                <w:rFonts w:asciiTheme="majorBidi" w:eastAsia="Times New Roman" w:hAnsiTheme="majorBidi" w:cstheme="majorBidi"/>
                <w:sz w:val="20"/>
                <w:szCs w:val="20"/>
              </w:rPr>
              <w:t xml:space="preserve"> et al., 2024 (King Saud Univ.)</w:t>
            </w:r>
          </w:p>
        </w:tc>
        <w:tc>
          <w:tcPr>
            <w:tcW w:w="1080" w:type="dxa"/>
            <w:shd w:val="clear" w:color="auto" w:fill="FFFFFF"/>
            <w:tcMar>
              <w:top w:w="60" w:type="dxa"/>
              <w:left w:w="90" w:type="dxa"/>
              <w:bottom w:w="60" w:type="dxa"/>
              <w:right w:w="90" w:type="dxa"/>
            </w:tcMar>
            <w:vAlign w:val="center"/>
          </w:tcPr>
          <w:p w14:paraId="6DABE83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76F769D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0CA3D58B"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0443DBCA"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3A5380E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0B37C47B" w14:textId="77777777">
        <w:tc>
          <w:tcPr>
            <w:tcW w:w="3055" w:type="dxa"/>
            <w:tcMar>
              <w:top w:w="60" w:type="dxa"/>
              <w:left w:w="90" w:type="dxa"/>
              <w:bottom w:w="60" w:type="dxa"/>
              <w:right w:w="90" w:type="dxa"/>
            </w:tcMar>
            <w:vAlign w:val="center"/>
          </w:tcPr>
          <w:p w14:paraId="66472CC6"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IMF Working Paper, 2025</w:t>
            </w:r>
          </w:p>
        </w:tc>
        <w:tc>
          <w:tcPr>
            <w:tcW w:w="1080" w:type="dxa"/>
            <w:tcMar>
              <w:top w:w="60" w:type="dxa"/>
              <w:left w:w="90" w:type="dxa"/>
              <w:bottom w:w="60" w:type="dxa"/>
              <w:right w:w="90" w:type="dxa"/>
            </w:tcMar>
            <w:vAlign w:val="center"/>
          </w:tcPr>
          <w:p w14:paraId="538DA00A"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c>
          <w:tcPr>
            <w:tcW w:w="1342" w:type="dxa"/>
            <w:tcMar>
              <w:top w:w="60" w:type="dxa"/>
              <w:left w:w="90" w:type="dxa"/>
              <w:bottom w:w="60" w:type="dxa"/>
              <w:right w:w="90" w:type="dxa"/>
            </w:tcMar>
            <w:vAlign w:val="center"/>
          </w:tcPr>
          <w:p w14:paraId="7B417FFD"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tcMar>
              <w:top w:w="60" w:type="dxa"/>
              <w:left w:w="90" w:type="dxa"/>
              <w:bottom w:w="60" w:type="dxa"/>
              <w:right w:w="90" w:type="dxa"/>
            </w:tcMar>
            <w:vAlign w:val="center"/>
          </w:tcPr>
          <w:p w14:paraId="1AD7FD61"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6B203E7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tcMar>
              <w:top w:w="60" w:type="dxa"/>
              <w:left w:w="90" w:type="dxa"/>
              <w:bottom w:w="60" w:type="dxa"/>
              <w:right w:w="90" w:type="dxa"/>
            </w:tcMar>
            <w:vAlign w:val="center"/>
          </w:tcPr>
          <w:p w14:paraId="4F08447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7A48D348" w14:textId="77777777">
        <w:tc>
          <w:tcPr>
            <w:tcW w:w="3055" w:type="dxa"/>
            <w:shd w:val="clear" w:color="auto" w:fill="FFFFFF"/>
            <w:tcMar>
              <w:top w:w="60" w:type="dxa"/>
              <w:left w:w="90" w:type="dxa"/>
              <w:bottom w:w="60" w:type="dxa"/>
              <w:right w:w="90" w:type="dxa"/>
            </w:tcMar>
            <w:vAlign w:val="center"/>
          </w:tcPr>
          <w:p w14:paraId="75795316"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He, Zhai &amp; Ma, 2025</w:t>
            </w:r>
          </w:p>
        </w:tc>
        <w:tc>
          <w:tcPr>
            <w:tcW w:w="1080" w:type="dxa"/>
            <w:shd w:val="clear" w:color="auto" w:fill="FFFFFF"/>
            <w:tcMar>
              <w:top w:w="60" w:type="dxa"/>
              <w:left w:w="90" w:type="dxa"/>
              <w:bottom w:w="60" w:type="dxa"/>
              <w:right w:w="90" w:type="dxa"/>
            </w:tcMar>
            <w:vAlign w:val="center"/>
          </w:tcPr>
          <w:p w14:paraId="4A7559D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130582A0"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5570F9F5"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6A3210E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1DC06E01"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315DB0F8" w14:textId="77777777">
        <w:tc>
          <w:tcPr>
            <w:tcW w:w="3055" w:type="dxa"/>
            <w:tcMar>
              <w:top w:w="60" w:type="dxa"/>
              <w:left w:w="90" w:type="dxa"/>
              <w:bottom w:w="60" w:type="dxa"/>
              <w:right w:w="90" w:type="dxa"/>
            </w:tcMar>
            <w:vAlign w:val="center"/>
          </w:tcPr>
          <w:p w14:paraId="56DE76D4"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Ecosystem Marketplace, 2025</w:t>
            </w:r>
          </w:p>
        </w:tc>
        <w:tc>
          <w:tcPr>
            <w:tcW w:w="1080" w:type="dxa"/>
            <w:tcMar>
              <w:top w:w="60" w:type="dxa"/>
              <w:left w:w="90" w:type="dxa"/>
              <w:bottom w:w="60" w:type="dxa"/>
              <w:right w:w="90" w:type="dxa"/>
            </w:tcMar>
            <w:vAlign w:val="center"/>
          </w:tcPr>
          <w:p w14:paraId="2F817EA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tcMar>
              <w:top w:w="60" w:type="dxa"/>
              <w:left w:w="90" w:type="dxa"/>
              <w:bottom w:w="60" w:type="dxa"/>
              <w:right w:w="90" w:type="dxa"/>
            </w:tcMar>
            <w:vAlign w:val="center"/>
          </w:tcPr>
          <w:p w14:paraId="15E4AC21"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c>
          <w:tcPr>
            <w:tcW w:w="1358" w:type="dxa"/>
            <w:tcMar>
              <w:top w:w="60" w:type="dxa"/>
              <w:left w:w="90" w:type="dxa"/>
              <w:bottom w:w="60" w:type="dxa"/>
              <w:right w:w="90" w:type="dxa"/>
            </w:tcMar>
            <w:vAlign w:val="center"/>
          </w:tcPr>
          <w:p w14:paraId="00AC313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tcMar>
              <w:top w:w="60" w:type="dxa"/>
              <w:left w:w="90" w:type="dxa"/>
              <w:bottom w:w="60" w:type="dxa"/>
              <w:right w:w="90" w:type="dxa"/>
            </w:tcMar>
            <w:vAlign w:val="center"/>
          </w:tcPr>
          <w:p w14:paraId="68E848BE" w14:textId="77777777" w:rsidR="004A7CFE" w:rsidRPr="00AC78B8" w:rsidRDefault="00000000" w:rsidP="00C215A2">
            <w:pPr>
              <w:spacing w:after="0" w:line="360" w:lineRule="auto"/>
              <w:jc w:val="center"/>
              <w:rPr>
                <w:rFonts w:asciiTheme="majorBidi" w:hAnsiTheme="majorBidi" w:cstheme="majorBidi"/>
              </w:rPr>
            </w:pPr>
            <w:r w:rsidRPr="00AC78B8">
              <w:rPr>
                <w:rFonts w:ascii="Cambria Math" w:eastAsia="Times New Roman" w:hAnsi="Cambria Math" w:cs="Cambria Math"/>
                <w:sz w:val="20"/>
                <w:szCs w:val="20"/>
              </w:rPr>
              <w:t>∼</w:t>
            </w:r>
          </w:p>
        </w:tc>
        <w:tc>
          <w:tcPr>
            <w:tcW w:w="1025" w:type="dxa"/>
            <w:tcMar>
              <w:top w:w="60" w:type="dxa"/>
              <w:left w:w="90" w:type="dxa"/>
              <w:bottom w:w="60" w:type="dxa"/>
              <w:right w:w="90" w:type="dxa"/>
            </w:tcMar>
            <w:vAlign w:val="center"/>
          </w:tcPr>
          <w:p w14:paraId="323B8B5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01C72D8B" w14:textId="77777777">
        <w:tc>
          <w:tcPr>
            <w:tcW w:w="3055" w:type="dxa"/>
            <w:shd w:val="clear" w:color="auto" w:fill="FFFFFF"/>
            <w:tcMar>
              <w:top w:w="60" w:type="dxa"/>
              <w:left w:w="90" w:type="dxa"/>
              <w:bottom w:w="60" w:type="dxa"/>
              <w:right w:w="90" w:type="dxa"/>
            </w:tcMar>
            <w:vAlign w:val="center"/>
          </w:tcPr>
          <w:p w14:paraId="725AF98D"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sz w:val="20"/>
                <w:szCs w:val="20"/>
              </w:rPr>
              <w:t>Fortune Business Insights, 2025</w:t>
            </w:r>
          </w:p>
        </w:tc>
        <w:tc>
          <w:tcPr>
            <w:tcW w:w="1080" w:type="dxa"/>
            <w:shd w:val="clear" w:color="auto" w:fill="FFFFFF"/>
            <w:tcMar>
              <w:top w:w="60" w:type="dxa"/>
              <w:left w:w="90" w:type="dxa"/>
              <w:bottom w:w="60" w:type="dxa"/>
              <w:right w:w="90" w:type="dxa"/>
            </w:tcMar>
            <w:vAlign w:val="center"/>
          </w:tcPr>
          <w:p w14:paraId="27247FCC"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42" w:type="dxa"/>
            <w:shd w:val="clear" w:color="auto" w:fill="FFFFFF"/>
            <w:tcMar>
              <w:top w:w="60" w:type="dxa"/>
              <w:left w:w="90" w:type="dxa"/>
              <w:bottom w:w="60" w:type="dxa"/>
              <w:right w:w="90" w:type="dxa"/>
            </w:tcMar>
            <w:vAlign w:val="center"/>
          </w:tcPr>
          <w:p w14:paraId="3E478C67"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358" w:type="dxa"/>
            <w:shd w:val="clear" w:color="auto" w:fill="FFFFFF"/>
            <w:tcMar>
              <w:top w:w="60" w:type="dxa"/>
              <w:left w:w="90" w:type="dxa"/>
              <w:bottom w:w="60" w:type="dxa"/>
              <w:right w:w="90" w:type="dxa"/>
            </w:tcMar>
            <w:vAlign w:val="center"/>
          </w:tcPr>
          <w:p w14:paraId="59E21658"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440" w:type="dxa"/>
            <w:shd w:val="clear" w:color="auto" w:fill="FFFFFF"/>
            <w:tcMar>
              <w:top w:w="60" w:type="dxa"/>
              <w:left w:w="90" w:type="dxa"/>
              <w:bottom w:w="60" w:type="dxa"/>
              <w:right w:w="90" w:type="dxa"/>
            </w:tcMar>
            <w:vAlign w:val="center"/>
          </w:tcPr>
          <w:p w14:paraId="51802062"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c>
          <w:tcPr>
            <w:tcW w:w="1025" w:type="dxa"/>
            <w:shd w:val="clear" w:color="auto" w:fill="FFFFFF"/>
            <w:tcMar>
              <w:top w:w="60" w:type="dxa"/>
              <w:left w:w="90" w:type="dxa"/>
              <w:bottom w:w="60" w:type="dxa"/>
              <w:right w:w="90" w:type="dxa"/>
            </w:tcMar>
            <w:vAlign w:val="center"/>
          </w:tcPr>
          <w:p w14:paraId="3B67377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sz w:val="20"/>
                <w:szCs w:val="20"/>
              </w:rPr>
              <w:t>✓</w:t>
            </w:r>
          </w:p>
        </w:tc>
      </w:tr>
      <w:tr w:rsidR="004A7CFE" w:rsidRPr="00AC78B8" w14:paraId="1C7D0910" w14:textId="77777777">
        <w:tc>
          <w:tcPr>
            <w:tcW w:w="3055" w:type="dxa"/>
            <w:tcMar>
              <w:top w:w="60" w:type="dxa"/>
              <w:left w:w="90" w:type="dxa"/>
              <w:bottom w:w="60" w:type="dxa"/>
              <w:right w:w="90" w:type="dxa"/>
            </w:tcMar>
            <w:vAlign w:val="center"/>
          </w:tcPr>
          <w:p w14:paraId="512ADD26" w14:textId="77777777" w:rsidR="004A7CFE" w:rsidRPr="00AC78B8" w:rsidRDefault="00000000" w:rsidP="00C215A2">
            <w:pPr>
              <w:spacing w:after="0" w:line="360" w:lineRule="auto"/>
              <w:rPr>
                <w:rFonts w:asciiTheme="majorBidi" w:hAnsiTheme="majorBidi" w:cstheme="majorBidi"/>
              </w:rPr>
            </w:pPr>
            <w:r w:rsidRPr="00AC78B8">
              <w:rPr>
                <w:rFonts w:asciiTheme="majorBidi" w:eastAsia="Times New Roman" w:hAnsiTheme="majorBidi" w:cstheme="majorBidi"/>
                <w:b/>
                <w:bCs/>
                <w:sz w:val="20"/>
                <w:szCs w:val="20"/>
              </w:rPr>
              <w:t>THIS RESEARCH</w:t>
            </w:r>
          </w:p>
        </w:tc>
        <w:tc>
          <w:tcPr>
            <w:tcW w:w="1080" w:type="dxa"/>
            <w:tcMar>
              <w:top w:w="60" w:type="dxa"/>
              <w:left w:w="90" w:type="dxa"/>
              <w:bottom w:w="60" w:type="dxa"/>
              <w:right w:w="90" w:type="dxa"/>
            </w:tcMar>
            <w:vAlign w:val="center"/>
          </w:tcPr>
          <w:p w14:paraId="7472E8B9"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b/>
                <w:bCs/>
                <w:color w:val="2E7D32"/>
                <w:sz w:val="20"/>
                <w:szCs w:val="20"/>
              </w:rPr>
              <w:t>✓</w:t>
            </w:r>
          </w:p>
        </w:tc>
        <w:tc>
          <w:tcPr>
            <w:tcW w:w="1342" w:type="dxa"/>
            <w:tcMar>
              <w:top w:w="60" w:type="dxa"/>
              <w:left w:w="90" w:type="dxa"/>
              <w:bottom w:w="60" w:type="dxa"/>
              <w:right w:w="90" w:type="dxa"/>
            </w:tcMar>
            <w:vAlign w:val="center"/>
          </w:tcPr>
          <w:p w14:paraId="775703F4"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b/>
                <w:bCs/>
                <w:color w:val="2E7D32"/>
                <w:sz w:val="20"/>
                <w:szCs w:val="20"/>
              </w:rPr>
              <w:t>✓</w:t>
            </w:r>
          </w:p>
        </w:tc>
        <w:tc>
          <w:tcPr>
            <w:tcW w:w="1358" w:type="dxa"/>
            <w:tcMar>
              <w:top w:w="60" w:type="dxa"/>
              <w:left w:w="90" w:type="dxa"/>
              <w:bottom w:w="60" w:type="dxa"/>
              <w:right w:w="90" w:type="dxa"/>
            </w:tcMar>
            <w:vAlign w:val="center"/>
          </w:tcPr>
          <w:p w14:paraId="603FA67E"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b/>
                <w:bCs/>
                <w:color w:val="2E7D32"/>
                <w:sz w:val="20"/>
                <w:szCs w:val="20"/>
              </w:rPr>
              <w:t>✓</w:t>
            </w:r>
          </w:p>
        </w:tc>
        <w:tc>
          <w:tcPr>
            <w:tcW w:w="1440" w:type="dxa"/>
            <w:tcMar>
              <w:top w:w="60" w:type="dxa"/>
              <w:left w:w="90" w:type="dxa"/>
              <w:bottom w:w="60" w:type="dxa"/>
              <w:right w:w="90" w:type="dxa"/>
            </w:tcMar>
            <w:vAlign w:val="center"/>
          </w:tcPr>
          <w:p w14:paraId="04E31D8C"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b/>
                <w:bCs/>
                <w:color w:val="2E7D32"/>
                <w:sz w:val="20"/>
                <w:szCs w:val="20"/>
              </w:rPr>
              <w:t>✓</w:t>
            </w:r>
          </w:p>
        </w:tc>
        <w:tc>
          <w:tcPr>
            <w:tcW w:w="1025" w:type="dxa"/>
            <w:tcMar>
              <w:top w:w="60" w:type="dxa"/>
              <w:left w:w="90" w:type="dxa"/>
              <w:bottom w:w="60" w:type="dxa"/>
              <w:right w:w="90" w:type="dxa"/>
            </w:tcMar>
            <w:vAlign w:val="center"/>
          </w:tcPr>
          <w:p w14:paraId="17F13B4F" w14:textId="77777777" w:rsidR="004A7CFE" w:rsidRPr="00AC78B8" w:rsidRDefault="00000000" w:rsidP="00C215A2">
            <w:pPr>
              <w:spacing w:after="0" w:line="360" w:lineRule="auto"/>
              <w:jc w:val="center"/>
              <w:rPr>
                <w:rFonts w:asciiTheme="majorBidi" w:hAnsiTheme="majorBidi" w:cstheme="majorBidi"/>
              </w:rPr>
            </w:pPr>
            <w:r w:rsidRPr="00AC78B8">
              <w:rPr>
                <w:rFonts w:ascii="Segoe UI Symbol" w:eastAsia="Times New Roman" w:hAnsi="Segoe UI Symbol" w:cs="Segoe UI Symbol"/>
                <w:b/>
                <w:bCs/>
                <w:color w:val="2E7D32"/>
                <w:sz w:val="20"/>
                <w:szCs w:val="20"/>
              </w:rPr>
              <w:t>✓</w:t>
            </w:r>
          </w:p>
        </w:tc>
      </w:tr>
    </w:tbl>
    <w:p w14:paraId="03D1699B" w14:textId="77777777" w:rsidR="004A7CFE" w:rsidRPr="00AC78B8" w:rsidRDefault="00000000" w:rsidP="00C215A2">
      <w:pPr>
        <w:spacing w:before="80" w:after="0" w:line="360" w:lineRule="auto"/>
        <w:jc w:val="center"/>
        <w:rPr>
          <w:rFonts w:asciiTheme="majorBidi" w:hAnsiTheme="majorBidi" w:cstheme="majorBidi"/>
        </w:rPr>
      </w:pPr>
      <w:r w:rsidRPr="00AC78B8">
        <w:rPr>
          <w:rFonts w:asciiTheme="majorBidi" w:eastAsia="Times New Roman" w:hAnsiTheme="majorBidi" w:cstheme="majorBidi"/>
          <w:i/>
          <w:iCs/>
          <w:color w:val="000000"/>
          <w:sz w:val="20"/>
          <w:szCs w:val="20"/>
        </w:rPr>
        <w:t>Table 2-2: Comparative Literature Matrix</w:t>
      </w:r>
    </w:p>
    <w:p w14:paraId="13CD1B08" w14:textId="77777777" w:rsidR="004A7CFE" w:rsidRPr="00AC78B8" w:rsidRDefault="00000000" w:rsidP="00C215A2">
      <w:pPr>
        <w:spacing w:after="0" w:line="360" w:lineRule="auto"/>
        <w:jc w:val="both"/>
        <w:rPr>
          <w:rFonts w:asciiTheme="majorBidi" w:hAnsiTheme="majorBidi" w:cstheme="majorBidi"/>
        </w:rPr>
      </w:pPr>
      <w:r w:rsidRPr="00AC78B8">
        <w:rPr>
          <w:rFonts w:asciiTheme="majorBidi" w:eastAsia="Times New Roman" w:hAnsiTheme="majorBidi" w:cstheme="majorBidi"/>
          <w:sz w:val="24"/>
          <w:szCs w:val="24"/>
        </w:rPr>
        <w:t>No prior study integrates all five dimensions within a single Saudi-specific analytical framework. This research is the first to quantify the MRV barrier, model the aggregation solution, project CBAM-driven appreciation, and ground all findings in Vision 2030's policy architecture.</w:t>
      </w:r>
    </w:p>
    <w:p w14:paraId="3E92AC77" w14:textId="77777777" w:rsidR="004A7CFE" w:rsidRPr="00AC78B8" w:rsidRDefault="004A7CFE" w:rsidP="00C215A2">
      <w:pPr>
        <w:spacing w:after="0" w:line="360" w:lineRule="auto"/>
        <w:jc w:val="both"/>
        <w:rPr>
          <w:rFonts w:asciiTheme="majorBidi" w:hAnsiTheme="majorBidi" w:cstheme="majorBidi"/>
        </w:rPr>
      </w:pPr>
    </w:p>
    <w:p w14:paraId="425117D5" w14:textId="77777777" w:rsidR="004A7CFE" w:rsidRPr="00AC78B8" w:rsidRDefault="004A7CFE" w:rsidP="00C16FE9">
      <w:pPr>
        <w:spacing w:after="0" w:line="360" w:lineRule="auto"/>
        <w:rPr>
          <w:rFonts w:asciiTheme="majorBidi" w:eastAsia="Times New Roman" w:hAnsiTheme="majorBidi" w:cstheme="majorBidi"/>
          <w:b/>
          <w:bCs/>
          <w:sz w:val="36"/>
          <w:szCs w:val="36"/>
        </w:rPr>
      </w:pPr>
    </w:p>
    <w:sectPr w:rsidR="004A7CFE" w:rsidRPr="00AC78B8">
      <w:footerReference w:type="default" r:id="rId9"/>
      <w:pgSz w:w="11906" w:h="16838"/>
      <w:pgMar w:top="1134" w:right="1016" w:bottom="1134" w:left="1134" w:header="720" w:footer="4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76401" w14:textId="77777777" w:rsidR="00B84128" w:rsidRDefault="00B84128">
      <w:pPr>
        <w:spacing w:after="0" w:line="240" w:lineRule="auto"/>
      </w:pPr>
      <w:r>
        <w:separator/>
      </w:r>
    </w:p>
  </w:endnote>
  <w:endnote w:type="continuationSeparator" w:id="0">
    <w:p w14:paraId="3B6D79D7" w14:textId="77777777" w:rsidR="00B84128" w:rsidRDefault="00B84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749370"/>
      <w:docPartObj>
        <w:docPartGallery w:val="Page Numbers (Bottom of Page)"/>
        <w:docPartUnique/>
      </w:docPartObj>
    </w:sdtPr>
    <w:sdtEndPr>
      <w:rPr>
        <w:noProof/>
      </w:rPr>
    </w:sdtEndPr>
    <w:sdtContent>
      <w:p w14:paraId="1BF410E3" w14:textId="77777777" w:rsidR="004A7CFE" w:rsidRDefault="004A7CFE" w:rsidP="00AC78B8">
        <w:pPr>
          <w:pStyle w:val="Footer"/>
          <w:jc w:val="center"/>
        </w:pPr>
      </w:p>
      <w:p w14:paraId="7D389952" w14:textId="77777777" w:rsidR="004A7CFE" w:rsidRDefault="00000000" w:rsidP="00AC78B8">
        <w:pPr>
          <w:pStyle w:val="Footer"/>
          <w:jc w:val="cen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F5EDC37" w14:textId="77777777" w:rsidR="004A7CFE" w:rsidRDefault="004A7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905E6" w14:textId="77777777" w:rsidR="00B84128" w:rsidRDefault="00B84128">
      <w:pPr>
        <w:spacing w:after="0" w:line="240" w:lineRule="auto"/>
      </w:pPr>
      <w:r>
        <w:separator/>
      </w:r>
    </w:p>
  </w:footnote>
  <w:footnote w:type="continuationSeparator" w:id="0">
    <w:p w14:paraId="40F89928" w14:textId="77777777" w:rsidR="00B84128" w:rsidRDefault="00B84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0FC"/>
    <w:multiLevelType w:val="hybridMultilevel"/>
    <w:tmpl w:val="9174A742"/>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95DDF"/>
    <w:multiLevelType w:val="hybridMultilevel"/>
    <w:tmpl w:val="DF82F7BE"/>
    <w:lvl w:ilvl="0" w:tplc="C95C7640">
      <w:start w:val="1"/>
      <w:numFmt w:val="bullet"/>
      <w:lvlText w:val="●"/>
      <w:lvlJc w:val="left"/>
      <w:pPr>
        <w:ind w:left="720" w:hanging="360"/>
      </w:pPr>
    </w:lvl>
    <w:lvl w:ilvl="1" w:tplc="DEE45E5A">
      <w:start w:val="1"/>
      <w:numFmt w:val="bullet"/>
      <w:lvlText w:val="○"/>
      <w:lvlJc w:val="left"/>
      <w:pPr>
        <w:ind w:left="1440" w:hanging="360"/>
      </w:pPr>
    </w:lvl>
    <w:lvl w:ilvl="2" w:tplc="1C50A88E">
      <w:start w:val="1"/>
      <w:numFmt w:val="bullet"/>
      <w:lvlText w:val="■"/>
      <w:lvlJc w:val="left"/>
      <w:pPr>
        <w:ind w:left="2160" w:hanging="360"/>
      </w:pPr>
    </w:lvl>
    <w:lvl w:ilvl="3" w:tplc="DEB2FAB8">
      <w:start w:val="1"/>
      <w:numFmt w:val="bullet"/>
      <w:lvlText w:val="●"/>
      <w:lvlJc w:val="left"/>
      <w:pPr>
        <w:ind w:left="2880" w:hanging="360"/>
      </w:pPr>
    </w:lvl>
    <w:lvl w:ilvl="4" w:tplc="23DC21B0">
      <w:start w:val="1"/>
      <w:numFmt w:val="bullet"/>
      <w:lvlText w:val="○"/>
      <w:lvlJc w:val="left"/>
      <w:pPr>
        <w:ind w:left="3600" w:hanging="360"/>
      </w:pPr>
    </w:lvl>
    <w:lvl w:ilvl="5" w:tplc="C73E1EDA">
      <w:start w:val="1"/>
      <w:numFmt w:val="bullet"/>
      <w:lvlText w:val="■"/>
      <w:lvlJc w:val="left"/>
      <w:pPr>
        <w:ind w:left="4320" w:hanging="360"/>
      </w:pPr>
    </w:lvl>
    <w:lvl w:ilvl="6" w:tplc="DB9EB5D2">
      <w:start w:val="1"/>
      <w:numFmt w:val="bullet"/>
      <w:lvlText w:val="●"/>
      <w:lvlJc w:val="left"/>
      <w:pPr>
        <w:ind w:left="5040" w:hanging="360"/>
      </w:pPr>
    </w:lvl>
    <w:lvl w:ilvl="7" w:tplc="C8586AEC">
      <w:start w:val="1"/>
      <w:numFmt w:val="bullet"/>
      <w:lvlText w:val="●"/>
      <w:lvlJc w:val="left"/>
      <w:pPr>
        <w:ind w:left="5760" w:hanging="360"/>
      </w:pPr>
    </w:lvl>
    <w:lvl w:ilvl="8" w:tplc="7CBCDF10">
      <w:start w:val="1"/>
      <w:numFmt w:val="bullet"/>
      <w:lvlText w:val="●"/>
      <w:lvlJc w:val="left"/>
      <w:pPr>
        <w:ind w:left="6480" w:hanging="360"/>
      </w:pPr>
    </w:lvl>
  </w:abstractNum>
  <w:abstractNum w:abstractNumId="2" w15:restartNumberingAfterBreak="0">
    <w:nsid w:val="05983773"/>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2D4E5A"/>
    <w:multiLevelType w:val="hybridMultilevel"/>
    <w:tmpl w:val="7248A146"/>
    <w:lvl w:ilvl="0" w:tplc="F49CC6E2">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B4241"/>
    <w:multiLevelType w:val="hybridMultilevel"/>
    <w:tmpl w:val="F724CC66"/>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33606"/>
    <w:multiLevelType w:val="hybridMultilevel"/>
    <w:tmpl w:val="792AA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92795"/>
    <w:multiLevelType w:val="hybridMultilevel"/>
    <w:tmpl w:val="60E6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24CDD"/>
    <w:multiLevelType w:val="hybridMultilevel"/>
    <w:tmpl w:val="F9DE7DA0"/>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8" w15:restartNumberingAfterBreak="0">
    <w:nsid w:val="18E82888"/>
    <w:multiLevelType w:val="hybridMultilevel"/>
    <w:tmpl w:val="E2B2519C"/>
    <w:lvl w:ilvl="0" w:tplc="56A2E650">
      <w:start w:val="1"/>
      <w:numFmt w:val="bullet"/>
      <w:lvlText w:val="●"/>
      <w:lvlJc w:val="left"/>
      <w:pPr>
        <w:ind w:left="720" w:hanging="360"/>
      </w:pPr>
    </w:lvl>
    <w:lvl w:ilvl="1" w:tplc="45F66F60">
      <w:start w:val="1"/>
      <w:numFmt w:val="bullet"/>
      <w:lvlText w:val="○"/>
      <w:lvlJc w:val="left"/>
      <w:pPr>
        <w:ind w:left="1440" w:hanging="360"/>
      </w:pPr>
    </w:lvl>
    <w:lvl w:ilvl="2" w:tplc="48C6518C">
      <w:start w:val="1"/>
      <w:numFmt w:val="bullet"/>
      <w:lvlText w:val="■"/>
      <w:lvlJc w:val="left"/>
      <w:pPr>
        <w:ind w:left="2160" w:hanging="360"/>
      </w:pPr>
    </w:lvl>
    <w:lvl w:ilvl="3" w:tplc="C4D47A18">
      <w:start w:val="1"/>
      <w:numFmt w:val="bullet"/>
      <w:lvlText w:val="●"/>
      <w:lvlJc w:val="left"/>
      <w:pPr>
        <w:ind w:left="2880" w:hanging="360"/>
      </w:pPr>
    </w:lvl>
    <w:lvl w:ilvl="4" w:tplc="5866AF94">
      <w:start w:val="1"/>
      <w:numFmt w:val="bullet"/>
      <w:lvlText w:val="○"/>
      <w:lvlJc w:val="left"/>
      <w:pPr>
        <w:ind w:left="3600" w:hanging="360"/>
      </w:pPr>
    </w:lvl>
    <w:lvl w:ilvl="5" w:tplc="42A871D2">
      <w:start w:val="1"/>
      <w:numFmt w:val="bullet"/>
      <w:lvlText w:val="■"/>
      <w:lvlJc w:val="left"/>
      <w:pPr>
        <w:ind w:left="4320" w:hanging="360"/>
      </w:pPr>
    </w:lvl>
    <w:lvl w:ilvl="6" w:tplc="262A9E02">
      <w:start w:val="1"/>
      <w:numFmt w:val="bullet"/>
      <w:lvlText w:val="●"/>
      <w:lvlJc w:val="left"/>
      <w:pPr>
        <w:ind w:left="5040" w:hanging="360"/>
      </w:pPr>
    </w:lvl>
    <w:lvl w:ilvl="7" w:tplc="5F026E1E">
      <w:start w:val="1"/>
      <w:numFmt w:val="bullet"/>
      <w:lvlText w:val="●"/>
      <w:lvlJc w:val="left"/>
      <w:pPr>
        <w:ind w:left="5760" w:hanging="360"/>
      </w:pPr>
    </w:lvl>
    <w:lvl w:ilvl="8" w:tplc="E5581C78">
      <w:start w:val="1"/>
      <w:numFmt w:val="bullet"/>
      <w:lvlText w:val="●"/>
      <w:lvlJc w:val="left"/>
      <w:pPr>
        <w:ind w:left="6480" w:hanging="360"/>
      </w:pPr>
    </w:lvl>
  </w:abstractNum>
  <w:abstractNum w:abstractNumId="9" w15:restartNumberingAfterBreak="0">
    <w:nsid w:val="1D376F55"/>
    <w:multiLevelType w:val="hybridMultilevel"/>
    <w:tmpl w:val="A50C3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0073B2"/>
    <w:multiLevelType w:val="hybridMultilevel"/>
    <w:tmpl w:val="9428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644C6B"/>
    <w:multiLevelType w:val="hybridMultilevel"/>
    <w:tmpl w:val="B7A0E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C4409"/>
    <w:multiLevelType w:val="hybridMultilevel"/>
    <w:tmpl w:val="8EAA9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85CDF"/>
    <w:multiLevelType w:val="hybridMultilevel"/>
    <w:tmpl w:val="64AEC2CE"/>
    <w:lvl w:ilvl="0" w:tplc="89B6A66A">
      <w:start w:val="1"/>
      <w:numFmt w:val="bullet"/>
      <w:lvlText w:val="•"/>
      <w:lvlJc w:val="left"/>
      <w:pPr>
        <w:ind w:left="620" w:hanging="30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43218"/>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421EFB"/>
    <w:multiLevelType w:val="hybridMultilevel"/>
    <w:tmpl w:val="791E0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654F1E"/>
    <w:multiLevelType w:val="hybridMultilevel"/>
    <w:tmpl w:val="000AF29E"/>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82974"/>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1E0A01"/>
    <w:multiLevelType w:val="hybridMultilevel"/>
    <w:tmpl w:val="F86E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47174C"/>
    <w:multiLevelType w:val="hybridMultilevel"/>
    <w:tmpl w:val="07D012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B575D5"/>
    <w:multiLevelType w:val="hybridMultilevel"/>
    <w:tmpl w:val="6426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E71F00"/>
    <w:multiLevelType w:val="hybridMultilevel"/>
    <w:tmpl w:val="F7A04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521A2"/>
    <w:multiLevelType w:val="hybridMultilevel"/>
    <w:tmpl w:val="042C8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565648"/>
    <w:multiLevelType w:val="hybridMultilevel"/>
    <w:tmpl w:val="B51C8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874"/>
    <w:multiLevelType w:val="hybridMultilevel"/>
    <w:tmpl w:val="A4B41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AC056D"/>
    <w:multiLevelType w:val="hybridMultilevel"/>
    <w:tmpl w:val="5E2AD218"/>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C401EB"/>
    <w:multiLevelType w:val="hybridMultilevel"/>
    <w:tmpl w:val="F8F80926"/>
    <w:lvl w:ilvl="0" w:tplc="7EB459CC">
      <w:numFmt w:val="bullet"/>
      <w:lvlText w:val="•"/>
      <w:lvlJc w:val="left"/>
      <w:pPr>
        <w:ind w:left="720" w:hanging="360"/>
      </w:pPr>
      <w:rPr>
        <w:rFonts w:ascii="Arial" w:eastAsia="Times New Roman" w:hAnsi="Arial" w:cs="Arial" w:hint="default"/>
      </w:rPr>
    </w:lvl>
    <w:lvl w:ilvl="1" w:tplc="444C84EE">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B914AE"/>
    <w:multiLevelType w:val="hybridMultilevel"/>
    <w:tmpl w:val="FF642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996807"/>
    <w:multiLevelType w:val="hybridMultilevel"/>
    <w:tmpl w:val="3D126D72"/>
    <w:lvl w:ilvl="0" w:tplc="89B6A66A">
      <w:start w:val="1"/>
      <w:numFmt w:val="bullet"/>
      <w:lvlText w:val="•"/>
      <w:lvlJc w:val="left"/>
      <w:pPr>
        <w:ind w:left="620" w:hanging="30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1F1925"/>
    <w:multiLevelType w:val="hybridMultilevel"/>
    <w:tmpl w:val="D23A9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B4413B"/>
    <w:multiLevelType w:val="hybridMultilevel"/>
    <w:tmpl w:val="630AD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0054E"/>
    <w:multiLevelType w:val="hybridMultilevel"/>
    <w:tmpl w:val="4F96B09A"/>
    <w:lvl w:ilvl="0" w:tplc="AB22BE9E">
      <w:start w:val="1"/>
      <w:numFmt w:val="bullet"/>
      <w:lvlText w:val="•"/>
      <w:lvlJc w:val="left"/>
      <w:pPr>
        <w:ind w:left="620" w:hanging="300"/>
      </w:pPr>
    </w:lvl>
    <w:lvl w:ilvl="1" w:tplc="49C21700">
      <w:numFmt w:val="decimal"/>
      <w:lvlText w:val=""/>
      <w:lvlJc w:val="left"/>
    </w:lvl>
    <w:lvl w:ilvl="2" w:tplc="DBBA23A4">
      <w:numFmt w:val="decimal"/>
      <w:lvlText w:val=""/>
      <w:lvlJc w:val="left"/>
    </w:lvl>
    <w:lvl w:ilvl="3" w:tplc="BDFE744C">
      <w:numFmt w:val="decimal"/>
      <w:lvlText w:val=""/>
      <w:lvlJc w:val="left"/>
    </w:lvl>
    <w:lvl w:ilvl="4" w:tplc="E4F08928">
      <w:numFmt w:val="decimal"/>
      <w:lvlText w:val=""/>
      <w:lvlJc w:val="left"/>
    </w:lvl>
    <w:lvl w:ilvl="5" w:tplc="266EB56A">
      <w:numFmt w:val="decimal"/>
      <w:lvlText w:val=""/>
      <w:lvlJc w:val="left"/>
    </w:lvl>
    <w:lvl w:ilvl="6" w:tplc="50F07566">
      <w:numFmt w:val="decimal"/>
      <w:lvlText w:val=""/>
      <w:lvlJc w:val="left"/>
    </w:lvl>
    <w:lvl w:ilvl="7" w:tplc="5FE8B5CE">
      <w:numFmt w:val="decimal"/>
      <w:lvlText w:val=""/>
      <w:lvlJc w:val="left"/>
    </w:lvl>
    <w:lvl w:ilvl="8" w:tplc="261A26A2">
      <w:numFmt w:val="decimal"/>
      <w:lvlText w:val=""/>
      <w:lvlJc w:val="left"/>
    </w:lvl>
  </w:abstractNum>
  <w:abstractNum w:abstractNumId="32" w15:restartNumberingAfterBreak="0">
    <w:nsid w:val="5DB709A6"/>
    <w:multiLevelType w:val="hybridMultilevel"/>
    <w:tmpl w:val="D19001CE"/>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C02369"/>
    <w:multiLevelType w:val="hybridMultilevel"/>
    <w:tmpl w:val="3BA2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6A707C"/>
    <w:multiLevelType w:val="hybridMultilevel"/>
    <w:tmpl w:val="34BEA65A"/>
    <w:lvl w:ilvl="0" w:tplc="89B6A66A">
      <w:start w:val="1"/>
      <w:numFmt w:val="bullet"/>
      <w:lvlText w:val="•"/>
      <w:lvlJc w:val="left"/>
      <w:pPr>
        <w:ind w:left="620" w:hanging="30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83779A"/>
    <w:multiLevelType w:val="hybridMultilevel"/>
    <w:tmpl w:val="22F2FB62"/>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511B7"/>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3A92228"/>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ED7C1D"/>
    <w:multiLevelType w:val="hybridMultilevel"/>
    <w:tmpl w:val="8202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C11C8C"/>
    <w:multiLevelType w:val="hybridMultilevel"/>
    <w:tmpl w:val="2A2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1C3C09"/>
    <w:multiLevelType w:val="hybridMultilevel"/>
    <w:tmpl w:val="A0CA1394"/>
    <w:lvl w:ilvl="0" w:tplc="66FA22C8">
      <w:start w:val="1"/>
      <w:numFmt w:val="lowerLetter"/>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900DAF"/>
    <w:multiLevelType w:val="hybridMultilevel"/>
    <w:tmpl w:val="2E0A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272521"/>
    <w:multiLevelType w:val="hybridMultilevel"/>
    <w:tmpl w:val="40A2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1350B9"/>
    <w:multiLevelType w:val="hybridMultilevel"/>
    <w:tmpl w:val="4280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387FC0"/>
    <w:multiLevelType w:val="hybridMultilevel"/>
    <w:tmpl w:val="86444230"/>
    <w:lvl w:ilvl="0" w:tplc="ABAEDCD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5E22E9"/>
    <w:multiLevelType w:val="hybridMultilevel"/>
    <w:tmpl w:val="1C98788C"/>
    <w:lvl w:ilvl="0" w:tplc="04090001">
      <w:start w:val="1"/>
      <w:numFmt w:val="bullet"/>
      <w:lvlText w:val=""/>
      <w:lvlJc w:val="left"/>
      <w:pPr>
        <w:ind w:left="782" w:hanging="360"/>
      </w:pPr>
      <w:rPr>
        <w:rFonts w:ascii="Symbol" w:hAnsi="Symbol" w:hint="default"/>
      </w:rPr>
    </w:lvl>
    <w:lvl w:ilvl="1" w:tplc="30E653D4">
      <w:numFmt w:val="bullet"/>
      <w:lvlText w:val="·"/>
      <w:lvlJc w:val="left"/>
      <w:pPr>
        <w:ind w:left="1502" w:hanging="360"/>
      </w:pPr>
      <w:rPr>
        <w:rFonts w:ascii="Arial" w:eastAsia="Times New Roman" w:hAnsi="Arial" w:cs="Arial"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46" w15:restartNumberingAfterBreak="0">
    <w:nsid w:val="7D905E60"/>
    <w:multiLevelType w:val="hybridMultilevel"/>
    <w:tmpl w:val="2A2AFC68"/>
    <w:lvl w:ilvl="0" w:tplc="C6A05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CC13A7"/>
    <w:multiLevelType w:val="hybridMultilevel"/>
    <w:tmpl w:val="34760880"/>
    <w:lvl w:ilvl="0" w:tplc="89B6A66A">
      <w:start w:val="1"/>
      <w:numFmt w:val="bullet"/>
      <w:lvlText w:val="•"/>
      <w:lvlJc w:val="left"/>
      <w:pPr>
        <w:ind w:left="620" w:hanging="300"/>
      </w:pPr>
    </w:lvl>
    <w:lvl w:ilvl="1" w:tplc="E16CA182">
      <w:numFmt w:val="decimal"/>
      <w:lvlText w:val=""/>
      <w:lvlJc w:val="left"/>
    </w:lvl>
    <w:lvl w:ilvl="2" w:tplc="6FF8ED74">
      <w:numFmt w:val="decimal"/>
      <w:lvlText w:val=""/>
      <w:lvlJc w:val="left"/>
    </w:lvl>
    <w:lvl w:ilvl="3" w:tplc="FD28800E">
      <w:numFmt w:val="decimal"/>
      <w:lvlText w:val=""/>
      <w:lvlJc w:val="left"/>
    </w:lvl>
    <w:lvl w:ilvl="4" w:tplc="279CD7A2">
      <w:numFmt w:val="decimal"/>
      <w:lvlText w:val=""/>
      <w:lvlJc w:val="left"/>
    </w:lvl>
    <w:lvl w:ilvl="5" w:tplc="0F54637C">
      <w:numFmt w:val="decimal"/>
      <w:lvlText w:val=""/>
      <w:lvlJc w:val="left"/>
    </w:lvl>
    <w:lvl w:ilvl="6" w:tplc="F002025C">
      <w:numFmt w:val="decimal"/>
      <w:lvlText w:val=""/>
      <w:lvlJc w:val="left"/>
    </w:lvl>
    <w:lvl w:ilvl="7" w:tplc="D4D8148E">
      <w:numFmt w:val="decimal"/>
      <w:lvlText w:val=""/>
      <w:lvlJc w:val="left"/>
    </w:lvl>
    <w:lvl w:ilvl="8" w:tplc="FC9C7BE0">
      <w:numFmt w:val="decimal"/>
      <w:lvlText w:val=""/>
      <w:lvlJc w:val="left"/>
    </w:lvl>
  </w:abstractNum>
  <w:num w:numId="1" w16cid:durableId="54547890">
    <w:abstractNumId w:val="8"/>
    <w:lvlOverride w:ilvl="0">
      <w:startOverride w:val="1"/>
    </w:lvlOverride>
  </w:num>
  <w:num w:numId="2" w16cid:durableId="1235093513">
    <w:abstractNumId w:val="31"/>
    <w:lvlOverride w:ilvl="0">
      <w:startOverride w:val="1"/>
    </w:lvlOverride>
  </w:num>
  <w:num w:numId="3" w16cid:durableId="116141410">
    <w:abstractNumId w:val="29"/>
  </w:num>
  <w:num w:numId="4" w16cid:durableId="1823697052">
    <w:abstractNumId w:val="19"/>
  </w:num>
  <w:num w:numId="5" w16cid:durableId="558519375">
    <w:abstractNumId w:val="1"/>
    <w:lvlOverride w:ilvl="0">
      <w:startOverride w:val="1"/>
    </w:lvlOverride>
  </w:num>
  <w:num w:numId="6" w16cid:durableId="305282575">
    <w:abstractNumId w:val="47"/>
    <w:lvlOverride w:ilvl="0">
      <w:startOverride w:val="1"/>
    </w:lvlOverride>
  </w:num>
  <w:num w:numId="7" w16cid:durableId="1071125557">
    <w:abstractNumId w:val="46"/>
  </w:num>
  <w:num w:numId="8" w16cid:durableId="1485194835">
    <w:abstractNumId w:val="36"/>
  </w:num>
  <w:num w:numId="9" w16cid:durableId="1697390486">
    <w:abstractNumId w:val="2"/>
  </w:num>
  <w:num w:numId="10" w16cid:durableId="1915973599">
    <w:abstractNumId w:val="14"/>
  </w:num>
  <w:num w:numId="11" w16cid:durableId="590040904">
    <w:abstractNumId w:val="37"/>
  </w:num>
  <w:num w:numId="12" w16cid:durableId="1570192377">
    <w:abstractNumId w:val="39"/>
  </w:num>
  <w:num w:numId="13" w16cid:durableId="2045330612">
    <w:abstractNumId w:val="17"/>
  </w:num>
  <w:num w:numId="14" w16cid:durableId="140540351">
    <w:abstractNumId w:val="45"/>
  </w:num>
  <w:num w:numId="15" w16cid:durableId="154734539">
    <w:abstractNumId w:val="7"/>
  </w:num>
  <w:num w:numId="16" w16cid:durableId="1831631782">
    <w:abstractNumId w:val="41"/>
  </w:num>
  <w:num w:numId="17" w16cid:durableId="1879974938">
    <w:abstractNumId w:val="24"/>
  </w:num>
  <w:num w:numId="18" w16cid:durableId="1934514696">
    <w:abstractNumId w:val="11"/>
  </w:num>
  <w:num w:numId="19" w16cid:durableId="147793243">
    <w:abstractNumId w:val="33"/>
  </w:num>
  <w:num w:numId="20" w16cid:durableId="1789808856">
    <w:abstractNumId w:val="22"/>
  </w:num>
  <w:num w:numId="21" w16cid:durableId="1780710351">
    <w:abstractNumId w:val="5"/>
  </w:num>
  <w:num w:numId="22" w16cid:durableId="686176242">
    <w:abstractNumId w:val="43"/>
  </w:num>
  <w:num w:numId="23" w16cid:durableId="1372149990">
    <w:abstractNumId w:val="21"/>
  </w:num>
  <w:num w:numId="24" w16cid:durableId="778335300">
    <w:abstractNumId w:val="6"/>
  </w:num>
  <w:num w:numId="25" w16cid:durableId="2087720503">
    <w:abstractNumId w:val="38"/>
  </w:num>
  <w:num w:numId="26" w16cid:durableId="965702280">
    <w:abstractNumId w:val="12"/>
  </w:num>
  <w:num w:numId="27" w16cid:durableId="50420629">
    <w:abstractNumId w:val="18"/>
  </w:num>
  <w:num w:numId="28" w16cid:durableId="1919515586">
    <w:abstractNumId w:val="9"/>
  </w:num>
  <w:num w:numId="29" w16cid:durableId="512304939">
    <w:abstractNumId w:val="30"/>
  </w:num>
  <w:num w:numId="30" w16cid:durableId="1825582560">
    <w:abstractNumId w:val="10"/>
  </w:num>
  <w:num w:numId="31" w16cid:durableId="679509388">
    <w:abstractNumId w:val="15"/>
  </w:num>
  <w:num w:numId="32" w16cid:durableId="1742949265">
    <w:abstractNumId w:val="40"/>
  </w:num>
  <w:num w:numId="33" w16cid:durableId="703671020">
    <w:abstractNumId w:val="27"/>
  </w:num>
  <w:num w:numId="34" w16cid:durableId="395974134">
    <w:abstractNumId w:val="26"/>
  </w:num>
  <w:num w:numId="35" w16cid:durableId="1932884282">
    <w:abstractNumId w:val="42"/>
  </w:num>
  <w:num w:numId="36" w16cid:durableId="815877963">
    <w:abstractNumId w:val="20"/>
  </w:num>
  <w:num w:numId="37" w16cid:durableId="704019045">
    <w:abstractNumId w:val="23"/>
  </w:num>
  <w:num w:numId="38" w16cid:durableId="1806310036">
    <w:abstractNumId w:val="32"/>
  </w:num>
  <w:num w:numId="39" w16cid:durableId="489564249">
    <w:abstractNumId w:val="4"/>
  </w:num>
  <w:num w:numId="40" w16cid:durableId="1702169791">
    <w:abstractNumId w:val="16"/>
  </w:num>
  <w:num w:numId="41" w16cid:durableId="892421210">
    <w:abstractNumId w:val="35"/>
  </w:num>
  <w:num w:numId="42" w16cid:durableId="1122381424">
    <w:abstractNumId w:val="25"/>
  </w:num>
  <w:num w:numId="43" w16cid:durableId="263809110">
    <w:abstractNumId w:val="44"/>
  </w:num>
  <w:num w:numId="44" w16cid:durableId="1120883029">
    <w:abstractNumId w:val="3"/>
  </w:num>
  <w:num w:numId="45" w16cid:durableId="1148325007">
    <w:abstractNumId w:val="0"/>
  </w:num>
  <w:num w:numId="46" w16cid:durableId="1535189689">
    <w:abstractNumId w:val="47"/>
  </w:num>
  <w:num w:numId="47" w16cid:durableId="2110153156">
    <w:abstractNumId w:val="34"/>
  </w:num>
  <w:num w:numId="48" w16cid:durableId="962273753">
    <w:abstractNumId w:val="13"/>
  </w:num>
  <w:num w:numId="49" w16cid:durableId="2460353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FE"/>
    <w:rsid w:val="000D7B9B"/>
    <w:rsid w:val="001120CA"/>
    <w:rsid w:val="00126FF7"/>
    <w:rsid w:val="00290216"/>
    <w:rsid w:val="003964AD"/>
    <w:rsid w:val="003969CB"/>
    <w:rsid w:val="00397A1E"/>
    <w:rsid w:val="00450064"/>
    <w:rsid w:val="004A7CFE"/>
    <w:rsid w:val="004C4DCE"/>
    <w:rsid w:val="006B661D"/>
    <w:rsid w:val="00726369"/>
    <w:rsid w:val="007A2CF5"/>
    <w:rsid w:val="007F3262"/>
    <w:rsid w:val="00820A74"/>
    <w:rsid w:val="008E7462"/>
    <w:rsid w:val="009600B8"/>
    <w:rsid w:val="00967BF6"/>
    <w:rsid w:val="00975B4F"/>
    <w:rsid w:val="00992229"/>
    <w:rsid w:val="00995861"/>
    <w:rsid w:val="00AC78B8"/>
    <w:rsid w:val="00B0532B"/>
    <w:rsid w:val="00B21397"/>
    <w:rsid w:val="00B84128"/>
    <w:rsid w:val="00BA0582"/>
    <w:rsid w:val="00C16FE9"/>
    <w:rsid w:val="00C215A2"/>
    <w:rsid w:val="00C274A2"/>
    <w:rsid w:val="00CF1697"/>
    <w:rsid w:val="00D873DC"/>
    <w:rsid w:val="00E11372"/>
    <w:rsid w:val="00E46E94"/>
    <w:rsid w:val="00E55965"/>
    <w:rsid w:val="00EA16AD"/>
    <w:rsid w:val="00EE7BF0"/>
    <w:rsid w:val="00F3658F"/>
    <w:rsid w:val="00F52F4E"/>
    <w:rsid w:val="00FA4F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35793"/>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rsid w:val="005A60C4"/>
    <w:pPr>
      <w:spacing w:after="0" w:line="240" w:lineRule="auto"/>
      <w:outlineLvl w:val="0"/>
    </w:pPr>
    <w:rPr>
      <w:rFonts w:ascii="Times New Roman" w:eastAsia="Times New Roman" w:hAnsi="Times New Roman" w:cs="Times New Roman"/>
      <w:color w:val="2E74B5"/>
      <w:kern w:val="0"/>
      <w:sz w:val="32"/>
      <w:szCs w:val="32"/>
      <w14:ligatures w14:val="none"/>
    </w:rPr>
  </w:style>
  <w:style w:type="paragraph" w:styleId="Heading2">
    <w:name w:val="heading 2"/>
    <w:link w:val="Heading2Char"/>
    <w:uiPriority w:val="9"/>
    <w:unhideWhenUsed/>
    <w:qFormat/>
    <w:rsid w:val="005A60C4"/>
    <w:pPr>
      <w:spacing w:after="0" w:line="240" w:lineRule="auto"/>
      <w:outlineLvl w:val="1"/>
    </w:pPr>
    <w:rPr>
      <w:rFonts w:ascii="Times New Roman" w:eastAsia="Times New Roman" w:hAnsi="Times New Roman" w:cs="Times New Roman"/>
      <w:color w:val="2E74B5"/>
      <w:kern w:val="0"/>
      <w:sz w:val="26"/>
      <w:szCs w:val="26"/>
      <w14:ligatures w14:val="none"/>
    </w:rPr>
  </w:style>
  <w:style w:type="paragraph" w:styleId="Heading3">
    <w:name w:val="heading 3"/>
    <w:link w:val="Heading3Char"/>
    <w:uiPriority w:val="9"/>
    <w:unhideWhenUsed/>
    <w:qFormat/>
    <w:rsid w:val="005A60C4"/>
    <w:pPr>
      <w:spacing w:after="0" w:line="240" w:lineRule="auto"/>
      <w:outlineLvl w:val="2"/>
    </w:pPr>
    <w:rPr>
      <w:rFonts w:ascii="Times New Roman" w:eastAsia="Times New Roman" w:hAnsi="Times New Roman" w:cs="Times New Roman"/>
      <w:color w:val="1F4D78"/>
      <w:kern w:val="0"/>
      <w:sz w:val="24"/>
      <w:szCs w:val="24"/>
      <w14:ligatures w14:val="none"/>
    </w:rPr>
  </w:style>
  <w:style w:type="paragraph" w:styleId="Heading4">
    <w:name w:val="heading 4"/>
    <w:link w:val="Heading4Char"/>
    <w:uiPriority w:val="9"/>
    <w:semiHidden/>
    <w:unhideWhenUsed/>
    <w:qFormat/>
    <w:rsid w:val="005A60C4"/>
    <w:pPr>
      <w:spacing w:after="0" w:line="240" w:lineRule="auto"/>
      <w:outlineLvl w:val="3"/>
    </w:pPr>
    <w:rPr>
      <w:rFonts w:ascii="Times New Roman" w:eastAsia="Times New Roman" w:hAnsi="Times New Roman" w:cs="Times New Roman"/>
      <w:i/>
      <w:iCs/>
      <w:color w:val="2E74B5"/>
      <w:kern w:val="0"/>
      <w:sz w:val="24"/>
      <w:szCs w:val="24"/>
      <w14:ligatures w14:val="none"/>
    </w:rPr>
  </w:style>
  <w:style w:type="paragraph" w:styleId="Heading5">
    <w:name w:val="heading 5"/>
    <w:link w:val="Heading5Char"/>
    <w:uiPriority w:val="9"/>
    <w:semiHidden/>
    <w:unhideWhenUsed/>
    <w:qFormat/>
    <w:rsid w:val="005A60C4"/>
    <w:pPr>
      <w:spacing w:after="0" w:line="240" w:lineRule="auto"/>
      <w:outlineLvl w:val="4"/>
    </w:pPr>
    <w:rPr>
      <w:rFonts w:ascii="Times New Roman" w:eastAsia="Times New Roman" w:hAnsi="Times New Roman" w:cs="Times New Roman"/>
      <w:color w:val="2E74B5"/>
      <w:kern w:val="0"/>
      <w:sz w:val="24"/>
      <w:szCs w:val="24"/>
      <w14:ligatures w14:val="none"/>
    </w:rPr>
  </w:style>
  <w:style w:type="paragraph" w:styleId="Heading6">
    <w:name w:val="heading 6"/>
    <w:link w:val="Heading6Char"/>
    <w:uiPriority w:val="9"/>
    <w:semiHidden/>
    <w:unhideWhenUsed/>
    <w:qFormat/>
    <w:rsid w:val="005A60C4"/>
    <w:pPr>
      <w:spacing w:after="0" w:line="240" w:lineRule="auto"/>
      <w:outlineLvl w:val="5"/>
    </w:pPr>
    <w:rPr>
      <w:rFonts w:ascii="Times New Roman" w:eastAsia="Times New Roman" w:hAnsi="Times New Roman" w:cs="Times New Roman"/>
      <w:color w:val="1F4D78"/>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A60C4"/>
    <w:rPr>
      <w:rFonts w:ascii="Times New Roman" w:eastAsia="Times New Roman" w:hAnsi="Times New Roman" w:cs="Times New Roman"/>
      <w:color w:val="2E74B5"/>
      <w:kern w:val="0"/>
      <w:sz w:val="32"/>
      <w:szCs w:val="32"/>
      <w14:ligatures w14:val="none"/>
    </w:rPr>
  </w:style>
  <w:style w:type="character" w:customStyle="1" w:styleId="Heading2Char">
    <w:name w:val="Heading 2 Char"/>
    <w:basedOn w:val="DefaultParagraphFont"/>
    <w:link w:val="Heading2"/>
    <w:uiPriority w:val="9"/>
    <w:rsid w:val="005A60C4"/>
    <w:rPr>
      <w:rFonts w:ascii="Times New Roman" w:eastAsia="Times New Roman" w:hAnsi="Times New Roman" w:cs="Times New Roman"/>
      <w:color w:val="2E74B5"/>
      <w:kern w:val="0"/>
      <w:sz w:val="26"/>
      <w:szCs w:val="26"/>
      <w14:ligatures w14:val="none"/>
    </w:rPr>
  </w:style>
  <w:style w:type="character" w:customStyle="1" w:styleId="Heading3Char">
    <w:name w:val="Heading 3 Char"/>
    <w:basedOn w:val="DefaultParagraphFont"/>
    <w:link w:val="Heading3"/>
    <w:uiPriority w:val="9"/>
    <w:rsid w:val="005A60C4"/>
    <w:rPr>
      <w:rFonts w:ascii="Times New Roman" w:eastAsia="Times New Roman" w:hAnsi="Times New Roman" w:cs="Times New Roman"/>
      <w:color w:val="1F4D78"/>
      <w:kern w:val="0"/>
      <w:sz w:val="24"/>
      <w:szCs w:val="24"/>
      <w14:ligatures w14:val="none"/>
    </w:rPr>
  </w:style>
  <w:style w:type="character" w:customStyle="1" w:styleId="Heading4Char">
    <w:name w:val="Heading 4 Char"/>
    <w:basedOn w:val="DefaultParagraphFont"/>
    <w:link w:val="Heading4"/>
    <w:uiPriority w:val="9"/>
    <w:semiHidden/>
    <w:rsid w:val="005A60C4"/>
    <w:rPr>
      <w:rFonts w:ascii="Times New Roman" w:eastAsia="Times New Roman" w:hAnsi="Times New Roman" w:cs="Times New Roman"/>
      <w:i/>
      <w:iCs/>
      <w:color w:val="2E74B5"/>
      <w:kern w:val="0"/>
      <w:sz w:val="24"/>
      <w:szCs w:val="24"/>
      <w14:ligatures w14:val="none"/>
    </w:rPr>
  </w:style>
  <w:style w:type="character" w:customStyle="1" w:styleId="Heading5Char">
    <w:name w:val="Heading 5 Char"/>
    <w:basedOn w:val="DefaultParagraphFont"/>
    <w:link w:val="Heading5"/>
    <w:uiPriority w:val="9"/>
    <w:semiHidden/>
    <w:rsid w:val="005A60C4"/>
    <w:rPr>
      <w:rFonts w:ascii="Times New Roman" w:eastAsia="Times New Roman" w:hAnsi="Times New Roman" w:cs="Times New Roman"/>
      <w:color w:val="2E74B5"/>
      <w:kern w:val="0"/>
      <w:sz w:val="24"/>
      <w:szCs w:val="24"/>
      <w14:ligatures w14:val="none"/>
    </w:rPr>
  </w:style>
  <w:style w:type="character" w:customStyle="1" w:styleId="Heading6Char">
    <w:name w:val="Heading 6 Char"/>
    <w:basedOn w:val="DefaultParagraphFont"/>
    <w:link w:val="Heading6"/>
    <w:uiPriority w:val="9"/>
    <w:semiHidden/>
    <w:rsid w:val="005A60C4"/>
    <w:rPr>
      <w:rFonts w:ascii="Times New Roman" w:eastAsia="Times New Roman" w:hAnsi="Times New Roman" w:cs="Times New Roman"/>
      <w:color w:val="1F4D78"/>
      <w:kern w:val="0"/>
      <w:sz w:val="24"/>
      <w:szCs w:val="24"/>
      <w14:ligatures w14:val="none"/>
    </w:rPr>
  </w:style>
  <w:style w:type="paragraph" w:styleId="Title">
    <w:name w:val="Title"/>
    <w:link w:val="TitleChar"/>
    <w:uiPriority w:val="10"/>
    <w:qFormat/>
    <w:rsid w:val="005A60C4"/>
    <w:pPr>
      <w:spacing w:after="0" w:line="240" w:lineRule="auto"/>
    </w:pPr>
    <w:rPr>
      <w:rFonts w:ascii="Times New Roman" w:eastAsia="Times New Roman" w:hAnsi="Times New Roman" w:cs="Times New Roman"/>
      <w:kern w:val="0"/>
      <w:sz w:val="56"/>
      <w:szCs w:val="56"/>
      <w14:ligatures w14:val="none"/>
    </w:rPr>
  </w:style>
  <w:style w:type="character" w:customStyle="1" w:styleId="TitleChar">
    <w:name w:val="Title Char"/>
    <w:basedOn w:val="DefaultParagraphFont"/>
    <w:link w:val="Title"/>
    <w:uiPriority w:val="10"/>
    <w:rsid w:val="005A60C4"/>
    <w:rPr>
      <w:rFonts w:ascii="Times New Roman" w:eastAsia="Times New Roman" w:hAnsi="Times New Roman" w:cs="Times New Roman"/>
      <w:kern w:val="0"/>
      <w:sz w:val="56"/>
      <w:szCs w:val="56"/>
      <w14:ligatures w14:val="none"/>
    </w:rPr>
  </w:style>
  <w:style w:type="paragraph" w:customStyle="1" w:styleId="Strong1">
    <w:name w:val="Strong1"/>
    <w:qFormat/>
    <w:rsid w:val="005A60C4"/>
    <w:pPr>
      <w:spacing w:after="0" w:line="240" w:lineRule="auto"/>
    </w:pPr>
    <w:rPr>
      <w:rFonts w:ascii="Times New Roman" w:eastAsia="Times New Roman" w:hAnsi="Times New Roman" w:cs="Times New Roman"/>
      <w:b/>
      <w:bCs/>
      <w:kern w:val="0"/>
      <w:sz w:val="24"/>
      <w:szCs w:val="24"/>
      <w14:ligatures w14:val="none"/>
    </w:rPr>
  </w:style>
  <w:style w:type="paragraph" w:styleId="ListParagraph">
    <w:name w:val="List Paragraph"/>
    <w:qFormat/>
    <w:rsid w:val="005A60C4"/>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uiPriority w:val="99"/>
    <w:unhideWhenUsed/>
    <w:rsid w:val="005A60C4"/>
    <w:rPr>
      <w:color w:val="0563C1"/>
      <w:u w:val="single"/>
    </w:rPr>
  </w:style>
  <w:style w:type="character" w:styleId="FootnoteReference">
    <w:name w:val="footnote reference"/>
    <w:uiPriority w:val="99"/>
    <w:semiHidden/>
    <w:unhideWhenUsed/>
    <w:rsid w:val="005A60C4"/>
    <w:rPr>
      <w:vertAlign w:val="superscript"/>
    </w:rPr>
  </w:style>
  <w:style w:type="paragraph" w:styleId="FootnoteText">
    <w:name w:val="footnote text"/>
    <w:link w:val="FootnoteTextChar"/>
    <w:uiPriority w:val="99"/>
    <w:semiHidden/>
    <w:unhideWhenUsed/>
    <w:rsid w:val="005A60C4"/>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5A60C4"/>
    <w:rPr>
      <w:rFonts w:ascii="Times New Roman" w:eastAsia="Times New Roman" w:hAnsi="Times New Roman" w:cs="Times New Roman"/>
      <w:kern w:val="0"/>
      <w:sz w:val="20"/>
      <w:szCs w:val="20"/>
      <w14:ligatures w14:val="none"/>
    </w:rPr>
  </w:style>
  <w:style w:type="character" w:styleId="EndnoteReference">
    <w:name w:val="endnote reference"/>
    <w:uiPriority w:val="99"/>
    <w:semiHidden/>
    <w:unhideWhenUsed/>
    <w:rsid w:val="005A60C4"/>
    <w:rPr>
      <w:vertAlign w:val="superscript"/>
    </w:rPr>
  </w:style>
  <w:style w:type="paragraph" w:styleId="EndnoteText">
    <w:name w:val="endnote text"/>
    <w:link w:val="EndnoteTextChar"/>
    <w:uiPriority w:val="99"/>
    <w:semiHidden/>
    <w:unhideWhenUsed/>
    <w:rsid w:val="005A60C4"/>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5A60C4"/>
    <w:rPr>
      <w:rFonts w:ascii="Times New Roman" w:eastAsia="Times New Roman" w:hAnsi="Times New Roman" w:cs="Times New Roman"/>
      <w:kern w:val="0"/>
      <w:sz w:val="20"/>
      <w:szCs w:val="20"/>
      <w14:ligatures w14:val="none"/>
    </w:rPr>
  </w:style>
  <w:style w:type="paragraph" w:styleId="TOC1">
    <w:name w:val="toc 1"/>
    <w:basedOn w:val="Normal"/>
    <w:next w:val="Normal"/>
    <w:autoRedefine/>
    <w:uiPriority w:val="39"/>
    <w:unhideWhenUsed/>
    <w:rsid w:val="00451833"/>
    <w:pPr>
      <w:tabs>
        <w:tab w:val="right" w:leader="dot" w:pos="9566"/>
      </w:tabs>
      <w:spacing w:after="100" w:line="240" w:lineRule="auto"/>
    </w:pPr>
    <w:rPr>
      <w:rFonts w:asciiTheme="majorBidi" w:eastAsia="Times New Roman" w:hAnsiTheme="majorBidi" w:cstheme="majorBidi"/>
      <w:b/>
      <w:bCs/>
      <w:noProof/>
      <w:kern w:val="0"/>
      <w:sz w:val="24"/>
      <w:szCs w:val="24"/>
      <w14:ligatures w14:val="none"/>
    </w:rPr>
  </w:style>
  <w:style w:type="paragraph" w:styleId="TOC2">
    <w:name w:val="toc 2"/>
    <w:basedOn w:val="Normal"/>
    <w:next w:val="Normal"/>
    <w:autoRedefine/>
    <w:uiPriority w:val="39"/>
    <w:unhideWhenUsed/>
    <w:rsid w:val="005A60C4"/>
    <w:pPr>
      <w:spacing w:after="100" w:line="240" w:lineRule="auto"/>
      <w:ind w:left="240"/>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5A60C4"/>
    <w:pPr>
      <w:spacing w:after="100" w:line="240" w:lineRule="auto"/>
      <w:ind w:left="480"/>
    </w:pPr>
    <w:rPr>
      <w:rFonts w:ascii="Times New Roman" w:eastAsia="Times New Roman" w:hAnsi="Times New Roman" w:cs="Times New Roman"/>
      <w:kern w:val="0"/>
      <w:sz w:val="24"/>
      <w:szCs w:val="24"/>
      <w14:ligatures w14:val="none"/>
    </w:rPr>
  </w:style>
  <w:style w:type="paragraph" w:styleId="TOC4">
    <w:name w:val="toc 4"/>
    <w:basedOn w:val="Normal"/>
    <w:next w:val="Normal"/>
    <w:autoRedefine/>
    <w:uiPriority w:val="39"/>
    <w:unhideWhenUsed/>
    <w:rsid w:val="00084A74"/>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84A74"/>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84A74"/>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84A74"/>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84A74"/>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84A74"/>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84A74"/>
    <w:rPr>
      <w:color w:val="605E5C"/>
      <w:shd w:val="clear" w:color="auto" w:fill="E1DFDD"/>
    </w:rPr>
  </w:style>
  <w:style w:type="table" w:styleId="TableGrid">
    <w:name w:val="Table Grid"/>
    <w:basedOn w:val="TableNormal"/>
    <w:uiPriority w:val="39"/>
    <w:rsid w:val="00361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E1C3C"/>
    <w:pPr>
      <w:keepNext/>
      <w:keepLines/>
      <w:spacing w:before="240" w:line="259" w:lineRule="auto"/>
      <w:outlineLvl w:val="9"/>
    </w:pPr>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F1E54-C4F5-4103-A3ED-D91ECF1BE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8495</Words>
  <Characters>48423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Aggregation Solution: Resolving the MRV Viability Gap to Unlock Carbon Revenue in Saudi Arabia's Facility Management Sector</dc:title>
  <dc:creator>Ahmed Salih</dc:creator>
  <cp:lastModifiedBy>Ahmed Salih</cp:lastModifiedBy>
  <cp:revision>3</cp:revision>
  <dcterms:created xsi:type="dcterms:W3CDTF">2026-08-13T21:59:00Z</dcterms:created>
  <dcterms:modified xsi:type="dcterms:W3CDTF">2026-08-13T22:03:00Z</dcterms:modified>
</cp:coreProperties>
</file>