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9F4E0" w14:textId="77777777" w:rsidR="008505AD" w:rsidRDefault="008505AD" w:rsidP="008505AD">
      <w:pPr>
        <w:spacing w:after="200" w:line="276" w:lineRule="auto"/>
        <w:jc w:val="center"/>
        <w:rPr>
          <w:rFonts w:eastAsia="Calibri"/>
          <w:b/>
          <w:bCs/>
          <w:color w:val="C00000"/>
          <w:sz w:val="44"/>
          <w:szCs w:val="44"/>
          <w:rtl w:val="0"/>
        </w:rPr>
      </w:pPr>
    </w:p>
    <w:p w14:paraId="6503F968" w14:textId="77777777" w:rsidR="008505AD" w:rsidRPr="004C6A76" w:rsidRDefault="008505AD" w:rsidP="008505AD">
      <w:pPr>
        <w:bidi/>
        <w:spacing w:after="200" w:line="276" w:lineRule="auto"/>
        <w:jc w:val="center"/>
        <w:rPr>
          <w:rFonts w:eastAsia="Calibri"/>
          <w:b/>
          <w:bCs/>
          <w:color w:val="C00000"/>
          <w:sz w:val="44"/>
          <w:szCs w:val="44"/>
        </w:rPr>
      </w:pPr>
      <w:r w:rsidRPr="004C6A76">
        <w:rPr>
          <w:rFonts w:eastAsia="Calibri"/>
          <w:b/>
          <w:bCs/>
          <w:color w:val="C00000"/>
          <w:sz w:val="44"/>
          <w:szCs w:val="44"/>
          <w:lang w:val="ar-SA"/>
        </w:rPr>
        <w:t xml:space="preserve">نمـــــــــــــــــوذج </w:t>
      </w:r>
    </w:p>
    <w:p w14:paraId="64840849" w14:textId="77777777" w:rsidR="008505AD" w:rsidRPr="004C6A76" w:rsidRDefault="008505AD" w:rsidP="008505AD">
      <w:pPr>
        <w:bidi/>
        <w:spacing w:after="200" w:line="276" w:lineRule="auto"/>
        <w:jc w:val="center"/>
        <w:rPr>
          <w:rFonts w:eastAsia="Calibri"/>
          <w:b/>
          <w:bCs/>
          <w:sz w:val="44"/>
          <w:szCs w:val="44"/>
        </w:rPr>
      </w:pPr>
      <w:r w:rsidRPr="004C6A76">
        <w:rPr>
          <w:rFonts w:eastAsia="Calibri"/>
          <w:b/>
          <w:bCs/>
          <w:sz w:val="44"/>
          <w:szCs w:val="44"/>
          <w:lang w:val="ar-SA"/>
        </w:rPr>
        <w:t>مشروع خطة أطروحة للتسجيل لدرجة الدكتوراه</w:t>
      </w:r>
    </w:p>
    <w:p w14:paraId="383EBBE0" w14:textId="77777777" w:rsidR="008505AD" w:rsidRPr="004C6A76" w:rsidRDefault="008505AD" w:rsidP="008505AD">
      <w:pPr>
        <w:ind w:right="-270"/>
        <w:jc w:val="both"/>
        <w:rPr>
          <w:rFonts w:ascii="Arial" w:eastAsia="Times New Roman" w:hAnsi="Arial" w:cs="Arial"/>
          <w:b/>
          <w:bCs/>
          <w:color w:val="0000FF"/>
          <w:sz w:val="32"/>
          <w:szCs w:val="32"/>
          <w:lang w:bidi="ar-JO"/>
        </w:rPr>
      </w:pPr>
    </w:p>
    <w:p w14:paraId="59BA54AB" w14:textId="77777777" w:rsidR="008505AD" w:rsidRPr="004C6A76" w:rsidRDefault="008505AD" w:rsidP="008505AD">
      <w:pPr>
        <w:bidi/>
        <w:spacing w:after="200" w:line="360" w:lineRule="auto"/>
        <w:jc w:val="center"/>
        <w:rPr>
          <w:rFonts w:eastAsia="Calibri"/>
          <w:b/>
          <w:bCs/>
          <w:noProof/>
          <w:color w:val="C00000"/>
          <w:sz w:val="28"/>
          <w:szCs w:val="28"/>
        </w:rPr>
      </w:pPr>
      <w:r w:rsidRPr="004C6A76">
        <w:rPr>
          <w:rFonts w:eastAsia="Calibri"/>
          <w:b/>
          <w:bCs/>
          <w:noProof/>
          <w:color w:val="C00000"/>
          <w:sz w:val="28"/>
          <w:szCs w:val="28"/>
          <w:lang w:val="ar-SA"/>
        </w:rPr>
        <w:t>العنوان باللغة العربية:</w:t>
      </w:r>
    </w:p>
    <w:p w14:paraId="5C4F0B39" w14:textId="77777777" w:rsidR="008505AD" w:rsidRPr="004C6A76" w:rsidRDefault="008505AD" w:rsidP="008505AD">
      <w:pPr>
        <w:bidi/>
        <w:spacing w:after="200" w:line="276" w:lineRule="auto"/>
        <w:jc w:val="center"/>
        <w:rPr>
          <w:rFonts w:eastAsia="Times New Roman"/>
          <w:b/>
          <w:bCs/>
          <w:sz w:val="28"/>
          <w:szCs w:val="32"/>
        </w:rPr>
      </w:pPr>
      <w:r>
        <w:t>أثر تبنّي تقنيات الذكاء الاصطناعي في التسويق الرقمي على الأداء التسويقي للشركات الصغيرة والمتوسطة في المملكة العربية السعودية: دراسة تطبيقية سعودية</w:t>
      </w:r>
    </w:p>
    <w:p w14:paraId="5F6E6126" w14:textId="77777777" w:rsidR="008505AD" w:rsidRPr="004C6A76" w:rsidRDefault="008505AD" w:rsidP="008505AD">
      <w:pPr>
        <w:ind w:right="-270"/>
        <w:rPr>
          <w:rFonts w:ascii="Arial" w:eastAsia="Times New Roman" w:hAnsi="Arial" w:cs="Arial"/>
          <w:szCs w:val="28"/>
        </w:rPr>
      </w:pPr>
      <w:r w:rsidRPr="004C6A76">
        <w:rPr>
          <w:rFonts w:ascii="Arial" w:eastAsia="Times New Roman" w:hAnsi="Arial" w:cs="Arial"/>
          <w:szCs w:val="28"/>
          <w:lang w:val="ar-SA"/>
        </w:rPr>
        <w:t>.</w:t>
      </w:r>
    </w:p>
    <w:p w14:paraId="2891C7AC" w14:textId="77777777" w:rsidR="008505AD" w:rsidRPr="004C6A76" w:rsidRDefault="008505AD" w:rsidP="008505AD">
      <w:pPr>
        <w:bidi/>
        <w:spacing w:after="200" w:line="360" w:lineRule="auto"/>
        <w:jc w:val="center"/>
        <w:rPr>
          <w:rFonts w:eastAsia="Calibri"/>
          <w:b/>
          <w:bCs/>
          <w:noProof/>
          <w:color w:val="C00000"/>
          <w:sz w:val="28"/>
          <w:szCs w:val="28"/>
        </w:rPr>
      </w:pPr>
      <w:r w:rsidRPr="004C6A76">
        <w:rPr>
          <w:rFonts w:eastAsia="Calibri"/>
          <w:b/>
          <w:bCs/>
          <w:noProof/>
          <w:color w:val="C00000"/>
          <w:sz w:val="28"/>
          <w:szCs w:val="28"/>
          <w:lang w:val="ar-SA"/>
        </w:rPr>
        <w:t>العنوان باللغة الإنجليزية:</w:t>
      </w:r>
    </w:p>
    <w:p w14:paraId="7BA5D54B" w14:textId="77777777" w:rsidR="008505AD" w:rsidRPr="004C6A76" w:rsidRDefault="008505AD" w:rsidP="008505AD">
      <w:pPr>
        <w:spacing w:after="200" w:line="276" w:lineRule="auto"/>
        <w:jc w:val="center"/>
        <w:rPr>
          <w:rFonts w:ascii="Times New Roman" w:eastAsia="Times New Roman" w:hAnsi="Times New Roman" w:cs="Times New Roman"/>
          <w:b/>
          <w:bCs/>
          <w:szCs w:val="28"/>
        </w:rPr>
      </w:pPr>
      <w:r>
        <w:rPr>
          <w:rtl w:val="0"/>
        </w:rPr>
        <w:t>The Impact of AI-Enabled Digital Marketing Strategies on the Marketing Performance of Small and Medium-Sized Enterprises in Saudi Arabia: An Applied Study.</w:t>
      </w:r>
    </w:p>
    <w:p w14:paraId="23F486D9" w14:textId="77777777" w:rsidR="008505AD" w:rsidRPr="004C6A76" w:rsidRDefault="008505AD" w:rsidP="008505AD">
      <w:pPr>
        <w:ind w:right="-270"/>
        <w:jc w:val="center"/>
        <w:rPr>
          <w:rFonts w:ascii="Sakkal Majalla" w:eastAsia="Times New Roman" w:hAnsi="Sakkal Majalla" w:cs="Sakkal Majalla"/>
          <w:b/>
          <w:bCs/>
          <w:color w:val="0070C0"/>
          <w:sz w:val="36"/>
          <w:szCs w:val="36"/>
        </w:rPr>
      </w:pPr>
    </w:p>
    <w:p w14:paraId="76E5FC2F" w14:textId="77777777" w:rsidR="008505AD" w:rsidRPr="004C6A76" w:rsidRDefault="008505AD" w:rsidP="008505AD">
      <w:pPr>
        <w:ind w:right="-270"/>
        <w:jc w:val="center"/>
        <w:rPr>
          <w:rFonts w:ascii="Sakkal Majalla" w:eastAsia="Times New Roman" w:hAnsi="Sakkal Majalla" w:cs="Sakkal Majalla"/>
          <w:b/>
          <w:bCs/>
          <w:color w:val="0070C0"/>
          <w:sz w:val="36"/>
          <w:szCs w:val="36"/>
        </w:rPr>
      </w:pP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4"/>
        <w:gridCol w:w="5778"/>
      </w:tblGrid>
      <w:tr w:rsidR="008505AD" w:rsidRPr="004C6A76" w14:paraId="77147997" w14:textId="77777777" w:rsidTr="00EA4CEB">
        <w:tc>
          <w:tcPr>
            <w:tcW w:w="1763" w:type="dxa"/>
            <w:hideMark/>
          </w:tcPr>
          <w:p w14:paraId="7008909B" w14:textId="77777777"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lang w:val="ar-SA"/>
              </w:rPr>
              <w:t>اسم الباحثة</w:t>
            </w:r>
          </w:p>
        </w:tc>
        <w:tc>
          <w:tcPr>
            <w:tcW w:w="252" w:type="dxa"/>
            <w:hideMark/>
          </w:tcPr>
          <w:p w14:paraId="13A07C21" w14:textId="77777777" w:rsidR="008505AD" w:rsidRPr="004C6A76" w:rsidRDefault="008505AD" w:rsidP="00EA4CEB">
            <w:pPr>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lang w:val="ar-SA"/>
              </w:rPr>
              <w:t>:</w:t>
            </w:r>
          </w:p>
        </w:tc>
        <w:tc>
          <w:tcPr>
            <w:tcW w:w="5778" w:type="dxa"/>
          </w:tcPr>
          <w:p w14:paraId="0EC6AE2C" w14:textId="77777777" w:rsidR="008505AD" w:rsidRPr="004C6A76" w:rsidRDefault="008505AD" w:rsidP="00EA4CEB">
            <w:pPr>
              <w:ind w:right="-270"/>
              <w:jc w:val="center"/>
              <w:rPr>
                <w:rFonts w:eastAsia="Times New Roman"/>
                <w:sz w:val="36"/>
                <w:szCs w:val="36"/>
                <w:rtl/>
              </w:rPr>
            </w:pPr>
          </w:p>
        </w:tc>
      </w:tr>
      <w:tr w:rsidR="008505AD" w:rsidRPr="004C6A76" w14:paraId="48368E2E" w14:textId="77777777" w:rsidTr="00EA4CEB">
        <w:tc>
          <w:tcPr>
            <w:tcW w:w="1763" w:type="dxa"/>
            <w:hideMark/>
          </w:tcPr>
          <w:p w14:paraId="67898B1E" w14:textId="77777777"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lang w:val="ar-SA"/>
              </w:rPr>
              <w:t>الرقم الاكاديمي</w:t>
            </w:r>
          </w:p>
        </w:tc>
        <w:tc>
          <w:tcPr>
            <w:tcW w:w="252" w:type="dxa"/>
            <w:hideMark/>
          </w:tcPr>
          <w:p w14:paraId="22AAE214" w14:textId="77777777" w:rsidR="008505AD" w:rsidRPr="004C6A76" w:rsidRDefault="008505AD" w:rsidP="00EA4CEB">
            <w:pPr>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lang w:val="ar-SA"/>
              </w:rPr>
              <w:t>:</w:t>
            </w:r>
          </w:p>
        </w:tc>
        <w:tc>
          <w:tcPr>
            <w:tcW w:w="5778" w:type="dxa"/>
          </w:tcPr>
          <w:p w14:paraId="10AFED7D" w14:textId="77777777" w:rsidR="008505AD" w:rsidRPr="004C6A76" w:rsidRDefault="008505AD" w:rsidP="00EA4CEB">
            <w:pPr>
              <w:ind w:right="-270"/>
              <w:jc w:val="center"/>
              <w:rPr>
                <w:rFonts w:eastAsia="Times New Roman"/>
                <w:sz w:val="36"/>
                <w:szCs w:val="36"/>
                <w:rtl/>
              </w:rPr>
            </w:pPr>
          </w:p>
        </w:tc>
      </w:tr>
      <w:tr w:rsidR="008505AD" w:rsidRPr="004C6A76" w14:paraId="682F1EE3" w14:textId="77777777" w:rsidTr="00EA4CEB">
        <w:tc>
          <w:tcPr>
            <w:tcW w:w="1763" w:type="dxa"/>
            <w:hideMark/>
          </w:tcPr>
          <w:p w14:paraId="6FF95645" w14:textId="77777777" w:rsidR="008505AD" w:rsidRPr="004C6A76" w:rsidRDefault="008505AD" w:rsidP="00EA4CEB">
            <w:pPr>
              <w:bidi/>
              <w:ind w:right="-270"/>
              <w:jc w:val="both"/>
              <w:rPr>
                <w:rFonts w:eastAsia="Times New Roman"/>
                <w:color w:val="000000" w:themeColor="text1"/>
                <w:sz w:val="28"/>
                <w:szCs w:val="28"/>
                <w:rtl/>
              </w:rPr>
            </w:pPr>
            <w:r>
              <w:rPr>
                <w:rtl/>
              </w:rPr>
              <w:t xml:space="preserve">الكلية </w:t>
            </w:r>
          </w:p>
        </w:tc>
        <w:tc>
          <w:tcPr>
            <w:tcW w:w="252" w:type="dxa"/>
            <w:hideMark/>
          </w:tcPr>
          <w:p w14:paraId="4B6F93EB" w14:textId="77777777" w:rsidR="008505AD" w:rsidRPr="004C6A76" w:rsidRDefault="008505AD" w:rsidP="00EA4CEB">
            <w:pPr>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lang w:val="ar-SA"/>
              </w:rPr>
              <w:t>:</w:t>
            </w:r>
          </w:p>
        </w:tc>
        <w:tc>
          <w:tcPr>
            <w:tcW w:w="5778" w:type="dxa"/>
          </w:tcPr>
          <w:p w14:paraId="128A8C25" w14:textId="77777777" w:rsidR="008505AD" w:rsidRPr="004C6A76" w:rsidRDefault="008505AD" w:rsidP="00EA4CEB">
            <w:pPr>
              <w:ind w:right="-270"/>
              <w:jc w:val="center"/>
              <w:rPr>
                <w:rFonts w:eastAsia="Times New Roman"/>
                <w:sz w:val="36"/>
                <w:szCs w:val="36"/>
                <w:rtl/>
              </w:rPr>
            </w:pPr>
          </w:p>
        </w:tc>
      </w:tr>
      <w:tr w:rsidR="008505AD" w:rsidRPr="004C6A76" w14:paraId="5CD02BDA" w14:textId="77777777" w:rsidTr="00EA4CEB">
        <w:tc>
          <w:tcPr>
            <w:tcW w:w="1763" w:type="dxa"/>
          </w:tcPr>
          <w:p w14:paraId="72C0D430" w14:textId="77777777" w:rsidR="008505AD" w:rsidRPr="004C6A76" w:rsidRDefault="008505AD" w:rsidP="00EA4CEB">
            <w:pPr>
              <w:ind w:right="-270"/>
              <w:rPr>
                <w:rFonts w:ascii="Sakkal Majalla" w:eastAsia="Times New Roman" w:hAnsi="Sakkal Majalla" w:cs="Sakkal Majalla"/>
                <w:color w:val="000000" w:themeColor="text1"/>
                <w:sz w:val="36"/>
                <w:szCs w:val="36"/>
                <w:rtl/>
              </w:rPr>
            </w:pPr>
          </w:p>
        </w:tc>
        <w:tc>
          <w:tcPr>
            <w:tcW w:w="252" w:type="dxa"/>
          </w:tcPr>
          <w:p w14:paraId="6A991A97" w14:textId="77777777" w:rsidR="008505AD" w:rsidRPr="004C6A76" w:rsidRDefault="008505AD" w:rsidP="00EA4CEB">
            <w:pPr>
              <w:ind w:right="-270"/>
              <w:rPr>
                <w:rFonts w:ascii="Sakkal Majalla" w:eastAsia="Times New Roman" w:hAnsi="Sakkal Majalla" w:cs="Sakkal Majalla"/>
                <w:color w:val="000000" w:themeColor="text1"/>
                <w:sz w:val="36"/>
                <w:szCs w:val="36"/>
                <w:rtl/>
              </w:rPr>
            </w:pPr>
          </w:p>
        </w:tc>
        <w:tc>
          <w:tcPr>
            <w:tcW w:w="5778" w:type="dxa"/>
          </w:tcPr>
          <w:p w14:paraId="0E9DF517" w14:textId="77777777" w:rsidR="008505AD" w:rsidRPr="004C6A76" w:rsidRDefault="008505AD" w:rsidP="00EA4CEB">
            <w:pPr>
              <w:ind w:right="-270"/>
              <w:rPr>
                <w:rFonts w:ascii="Sakkal Majalla" w:eastAsia="Times New Roman" w:hAnsi="Sakkal Majalla" w:cs="Sakkal Majalla"/>
                <w:color w:val="0000FF"/>
                <w:sz w:val="36"/>
                <w:szCs w:val="36"/>
                <w:rtl/>
              </w:rPr>
            </w:pPr>
          </w:p>
        </w:tc>
      </w:tr>
    </w:tbl>
    <w:p w14:paraId="392F2263" w14:textId="77777777" w:rsidR="008505AD" w:rsidRPr="004C6A76" w:rsidRDefault="008505AD" w:rsidP="008505AD">
      <w:pPr>
        <w:ind w:right="-270"/>
        <w:jc w:val="both"/>
        <w:rPr>
          <w:rFonts w:ascii="Sakkal Majalla" w:eastAsia="Times New Roman" w:hAnsi="Sakkal Majalla" w:cs="Sakkal Majalla"/>
          <w:b/>
          <w:bCs/>
          <w:color w:val="0000FF"/>
          <w:sz w:val="36"/>
          <w:szCs w:val="36"/>
        </w:rPr>
      </w:pPr>
    </w:p>
    <w:p w14:paraId="604701C9" w14:textId="77777777" w:rsidR="008505AD" w:rsidRPr="004C6A76" w:rsidRDefault="008505AD" w:rsidP="008505AD">
      <w:pPr>
        <w:ind w:right="-270"/>
        <w:jc w:val="both"/>
        <w:rPr>
          <w:rFonts w:ascii="Sakkal Majalla" w:eastAsia="Times New Roman" w:hAnsi="Sakkal Majalla" w:cs="Sakkal Majalla"/>
          <w:b/>
          <w:bCs/>
          <w:color w:val="0000FF"/>
          <w:sz w:val="36"/>
          <w:szCs w:val="36"/>
        </w:rPr>
      </w:pPr>
    </w:p>
    <w:p w14:paraId="1F1C6359" w14:textId="77777777" w:rsidR="008505AD" w:rsidRPr="004C6A76" w:rsidRDefault="008505AD" w:rsidP="008505AD">
      <w:pPr>
        <w:bidi/>
        <w:spacing w:after="200" w:line="276" w:lineRule="auto"/>
        <w:jc w:val="center"/>
        <w:rPr>
          <w:rFonts w:ascii="Sakkal Majalla" w:eastAsia="Calibri" w:hAnsi="Sakkal Majalla" w:cs="Sakkal Majalla"/>
          <w:b/>
          <w:bCs/>
          <w:color w:val="00B0F0"/>
          <w:sz w:val="40"/>
          <w:szCs w:val="40"/>
          <w:u w:val="single"/>
        </w:rPr>
      </w:pPr>
      <w:r>
        <w:t>١٤٤٦ ه - ٢٠٢٥ م</w:t>
      </w:r>
    </w:p>
    <w:p w14:paraId="1F1C1351" w14:textId="77777777" w:rsidR="008505AD" w:rsidRDefault="008505AD" w:rsidP="008505AD">
      <w:pPr>
        <w:spacing w:after="80"/>
        <w:jc w:val="center"/>
        <w:rPr>
          <w:b/>
          <w:bCs/>
          <w:sz w:val="34"/>
          <w:szCs w:val="34"/>
          <w:rtl w:val="0"/>
        </w:rPr>
      </w:pPr>
    </w:p>
    <w:p w14:paraId="131DD6EE" w14:textId="77777777" w:rsidR="008505AD" w:rsidRDefault="008505AD" w:rsidP="008505AD">
      <w:pPr>
        <w:spacing w:after="80"/>
        <w:rPr>
          <w:b/>
          <w:bCs/>
          <w:sz w:val="34"/>
          <w:szCs w:val="34"/>
          <w:rtl w:val="0"/>
        </w:rPr>
      </w:pPr>
    </w:p>
    <w:p w14:paraId="7ACB2D64" w14:textId="77777777" w:rsidR="00EB5CBD" w:rsidRDefault="00EA4CEB" w:rsidP="008505AD">
      <w:pPr>
        <w:bidi/>
        <w:spacing w:after="80"/>
        <w:jc w:val="center"/>
      </w:pPr>
      <w:r>
        <w:rPr>
          <w:b/>
          <w:bCs/>
          <w:sz w:val="34"/>
          <w:szCs w:val="34"/>
          <w:lang w:val="ar-SA"/>
        </w:rPr>
        <w:t>الفصل الثالث</w:t>
      </w:r>
    </w:p>
    <w:p w14:paraId="5F9959BA" w14:textId="77777777" w:rsidR="00EB5CBD" w:rsidRDefault="00EA4CEB">
      <w:pPr>
        <w:pBdr>
          <w:bottom w:val="single" w:sz="12" w:space="1" w:color="auto"/>
        </w:pBdr>
        <w:bidi/>
        <w:spacing w:after="400"/>
        <w:jc w:val="center"/>
        <w:rPr>
          <w:b/>
          <w:bCs/>
          <w:sz w:val="30"/>
          <w:szCs w:val="30"/>
          <w:rtl w:val="0"/>
        </w:rPr>
      </w:pPr>
      <w:r>
        <w:rPr>
          <w:b/>
          <w:bCs/>
          <w:sz w:val="30"/>
          <w:szCs w:val="30"/>
          <w:lang w:val="ar-SA"/>
        </w:rPr>
        <w:lastRenderedPageBreak/>
        <w:t>الطريقة والإجراءات المنهجية</w:t>
      </w:r>
    </w:p>
    <w:p w14:paraId="19140CEA" w14:textId="77777777" w:rsidR="00EB5CBD" w:rsidRDefault="00EA4CEB" w:rsidP="007E709B">
      <w:pPr>
        <w:bidi/>
        <w:spacing w:after="160" w:line="320" w:lineRule="auto"/>
      </w:pPr>
      <w:r>
        <w:rPr>
          <w:b/>
          <w:rtl w:val="0"/>
        </w:rPr>
        <w:t>‎3.1‎</w:t>
      </w:r>
      <w:r>
        <w:rPr>
          <w:b/>
        </w:rPr>
        <w:t xml:space="preserve"> مقدمة الفصل</w:t>
      </w:r>
    </w:p>
    <w:p w14:paraId="31402667" w14:textId="77777777" w:rsidR="00EB5CBD" w:rsidRDefault="00EA4CEB">
      <w:pPr>
        <w:bidi/>
        <w:spacing w:after="160" w:line="320" w:lineRule="auto"/>
        <w:jc w:val="both"/>
      </w:pPr>
      <w:r>
        <w:t>يعرض هذا الفصل خطة العمل المنهجي المقترحة لاختبار أثر تبنّي تقنيات الذكاء الاصطناعي على الأداء التسويقي للشركات الصغيرة والمتوسطة في المملكة العربية السعودية. الدراسة، في وضعها الحالي، لا تزال في مرحلة اقتراح الخطة، ولم يبدأ جمع أي بيانات ميدانية بعد. لهذا السبب صيغت جميع الإجراءات الواردة في هذا الفصل بصيغة المستقبل، مثل «سيتم» و«سوف تُجمع» و«ستُختار»، على أن تُستبدل عند كتابة النسخة النهائية للأطروحة بصيغة الماضي مصحوبة بالتواريخ والأعداد والنتائج الفعلية. ولم تُدرج أي جملة تصف بيانات أو مقابلات أو عينة على أنها منجزة بالفعل إلا إذا كانت كذلك بالفعل.</w:t>
      </w:r>
    </w:p>
    <w:p w14:paraId="050E1C82" w14:textId="77777777" w:rsidR="00EB5CBD" w:rsidRDefault="00EA4CEB">
      <w:pPr>
        <w:bidi/>
        <w:spacing w:after="160" w:line="320" w:lineRule="auto"/>
        <w:jc w:val="both"/>
      </w:pPr>
      <w:r>
        <w:t xml:space="preserve">يغطي الفصل، على التوالي: منهج البحث وتصميمه التفصيلي، مجتمع الدراسة وتعريف وحدة التحليل، عينة الدراسة الكمية وإطار معاينتها وحجمها، متغيرات الدراسة وطبيعة نموذج القياس، أداتي جمع البيانات الكمية والنوعية وإجراءات إعدادهما والتحقق من صلاحيتهما، إجراءات تنظيف البيانات، إجراءات التحليل الإحصائي الكمي عبر </w:t>
      </w:r>
      <w:r>
        <w:rPr>
          <w:rtl w:val="0"/>
        </w:rPr>
        <w:t>‎SmartPLS‎</w:t>
      </w:r>
      <w:r>
        <w:t>، إجراءات التحليل النوعي، آلية دمج نتائج المرحلتين، الاعتبارات الأخلاقية، والجدول الزمني المقترح للتنفيذ.</w:t>
      </w:r>
    </w:p>
    <w:p w14:paraId="09684799" w14:textId="77777777" w:rsidR="00EB5CBD" w:rsidRDefault="00EA4CEB" w:rsidP="007E709B">
      <w:pPr>
        <w:bidi/>
        <w:spacing w:after="160" w:line="320" w:lineRule="auto"/>
      </w:pPr>
      <w:r>
        <w:rPr>
          <w:b/>
          <w:rtl w:val="0"/>
        </w:rPr>
        <w:t>‎3.2‎</w:t>
      </w:r>
      <w:r>
        <w:rPr>
          <w:b/>
        </w:rPr>
        <w:t xml:space="preserve"> منهج الدراسة</w:t>
      </w:r>
    </w:p>
    <w:p w14:paraId="008F7E0B" w14:textId="77777777" w:rsidR="00EB5CBD" w:rsidRDefault="00EA4CEB" w:rsidP="007E709B">
      <w:pPr>
        <w:bidi/>
        <w:spacing w:after="140" w:line="320" w:lineRule="auto"/>
      </w:pPr>
      <w:r>
        <w:rPr>
          <w:b/>
          <w:rtl w:val="0"/>
        </w:rPr>
        <w:t>‎3.2.1‎</w:t>
      </w:r>
      <w:r>
        <w:rPr>
          <w:b/>
        </w:rPr>
        <w:t xml:space="preserve"> نوع المنهج ومبرراته</w:t>
      </w:r>
    </w:p>
    <w:p w14:paraId="1BE32E16" w14:textId="77777777" w:rsidR="00EB5CBD" w:rsidRDefault="00EA4CEB">
      <w:pPr>
        <w:bidi/>
        <w:spacing w:after="160" w:line="320" w:lineRule="auto"/>
        <w:jc w:val="both"/>
      </w:pPr>
      <w:r>
        <w:t>تعتمد الدراسة المنهج المختلط التفسيري المتتابع، الذي يقوم على مرحلتين متتاليتين: مرحلة كمية أولى تُختبر فيها العلاقات الفرضية بين المتغيرات إحصائيًا، تليها مرحلة نوعية ثانية تُستخدم لتفسير الأنماط التي تكشفها المرحلة الأولى. اختيار هذا التصميم قائم على أن النتائج الإحصائية وحدها نادرًا ما تُفسّر «كيف» و«لماذا» تنجح تقنيات الذكاء الاصطناعي أو تخفق في بيئة عمل فعلية؛ فالمقابلات النوعية هنا أداة تفسيرية تُبنى محتوياتها على ما تُظهره المرحلة الكمية، لا أداة مستقلة عنها (</w:t>
      </w:r>
      <w:r>
        <w:rPr>
          <w:rtl w:val="0"/>
        </w:rPr>
        <w:t>‎Creswell &amp; Plano Clark, 2018‎</w:t>
      </w:r>
      <w:r>
        <w:t>).</w:t>
      </w:r>
    </w:p>
    <w:p w14:paraId="756BBD69" w14:textId="77777777" w:rsidR="00EA4CEB" w:rsidRDefault="00EA4CEB" w:rsidP="00EA4CEB">
      <w:pPr>
        <w:spacing w:after="160" w:line="320" w:lineRule="auto"/>
        <w:jc w:val="both"/>
      </w:pPr>
    </w:p>
    <w:p w14:paraId="414E4C0F" w14:textId="77777777" w:rsidR="00EA4CEB" w:rsidRDefault="00EA4CEB" w:rsidP="00EA4CEB">
      <w:pPr>
        <w:spacing w:after="160" w:line="320" w:lineRule="auto"/>
        <w:jc w:val="both"/>
      </w:pPr>
    </w:p>
    <w:p w14:paraId="73C8B4B0" w14:textId="77777777" w:rsidR="00EA4CEB" w:rsidRDefault="00EA4CEB" w:rsidP="00EA4CEB">
      <w:pPr>
        <w:spacing w:after="160" w:line="320" w:lineRule="auto"/>
        <w:jc w:val="both"/>
      </w:pPr>
    </w:p>
    <w:p w14:paraId="75C8AA96" w14:textId="77777777" w:rsidR="00EA4CEB" w:rsidRDefault="00EA4CEB" w:rsidP="00EA4CEB">
      <w:pPr>
        <w:spacing w:after="160" w:line="320" w:lineRule="auto"/>
        <w:jc w:val="both"/>
      </w:pPr>
    </w:p>
    <w:p w14:paraId="2E453700" w14:textId="77777777" w:rsidR="004148DE" w:rsidRDefault="004148DE" w:rsidP="00EA4CEB">
      <w:pPr>
        <w:spacing w:after="160" w:line="320" w:lineRule="auto"/>
        <w:jc w:val="both"/>
      </w:pPr>
    </w:p>
    <w:p w14:paraId="305BD43E" w14:textId="77777777" w:rsidR="004148DE" w:rsidRDefault="004148DE" w:rsidP="00EA4CEB">
      <w:pPr>
        <w:spacing w:after="160" w:line="320" w:lineRule="auto"/>
        <w:jc w:val="both"/>
      </w:pPr>
    </w:p>
    <w:p w14:paraId="4DEA0ED0" w14:textId="77777777" w:rsidR="00EA4CEB" w:rsidRDefault="00EA4CEB" w:rsidP="00EA4CEB">
      <w:pPr>
        <w:spacing w:after="160" w:line="320" w:lineRule="auto"/>
        <w:jc w:val="both"/>
      </w:pPr>
    </w:p>
    <w:p w14:paraId="2747158F" w14:textId="77777777" w:rsidR="00EB5CBD" w:rsidRDefault="00EA4CEB" w:rsidP="007E709B">
      <w:pPr>
        <w:bidi/>
        <w:spacing w:after="140" w:line="320" w:lineRule="auto"/>
      </w:pPr>
      <w:r>
        <w:rPr>
          <w:b/>
          <w:rtl w:val="0"/>
        </w:rPr>
        <w:lastRenderedPageBreak/>
        <w:t>‎3.2.2‎</w:t>
      </w:r>
      <w:r>
        <w:rPr>
          <w:b/>
        </w:rPr>
        <w:t xml:space="preserve"> التصميم التفصيلي لمراحل المنهج المختلط</w:t>
      </w:r>
    </w:p>
    <w:p w14:paraId="6D12DA2D" w14:textId="77777777" w:rsidR="00EB5CBD" w:rsidRDefault="00EA4CEB">
      <w:pPr>
        <w:bidi/>
        <w:spacing w:after="160" w:line="320" w:lineRule="auto"/>
        <w:jc w:val="both"/>
        <w:rPr>
          <w:rtl w:val="0"/>
        </w:rPr>
      </w:pPr>
      <w:r>
        <w:rPr>
          <w:lang w:val="ar-SA"/>
        </w:rPr>
        <w:t>حتى لا يبقى وصف التصميم المختلط عامًا، تُنفَّذ الدراسة عبر تسع خطوات متسلسلة، مبيّنة في الجدول التالي مع المخرج المتوقع من كل خطوة: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3200"/>
        <w:gridCol w:w="4900"/>
      </w:tblGrid>
      <w:tr w:rsidR="00EB5CBD" w14:paraId="186FFE8D" w14:textId="77777777">
        <w:trPr>
          <w:tblHeader/>
        </w:trPr>
        <w:tc>
          <w:tcPr>
            <w:tcW w:w="900" w:type="dxa"/>
            <w:tcBorders>
              <w:top w:val="single" w:sz="4" w:space="0" w:color="999999"/>
              <w:left w:val="single" w:sz="4" w:space="0" w:color="999999"/>
              <w:bottom w:val="single" w:sz="4" w:space="0" w:color="999999"/>
              <w:right w:val="single" w:sz="4" w:space="0" w:color="999999"/>
            </w:tcBorders>
            <w:shd w:val="clear" w:color="auto" w:fill="2F5496"/>
          </w:tcPr>
          <w:p w14:paraId="0748D847" w14:textId="77777777" w:rsidR="00EB5CBD" w:rsidRDefault="00EA4CEB" w:rsidP="007E709B">
            <w:pPr>
              <w:bidi/>
              <w:spacing w:after="60" w:line="320" w:lineRule="auto"/>
              <w:jc w:val="center"/>
            </w:pPr>
            <w:r>
              <w:rPr>
                <w:b/>
                <w:bCs/>
                <w:color w:val="FFFFFF"/>
                <w:sz w:val="21"/>
                <w:szCs w:val="21"/>
                <w:lang w:val="ar-SA"/>
              </w:rPr>
              <w:t>م</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109DCCE0" w14:textId="77777777" w:rsidR="00EB5CBD" w:rsidRDefault="00EA4CEB">
            <w:pPr>
              <w:bidi/>
              <w:spacing w:after="60" w:line="320" w:lineRule="auto"/>
              <w:jc w:val="center"/>
            </w:pPr>
            <w:r>
              <w:rPr>
                <w:b/>
                <w:bCs/>
                <w:color w:val="FFFFFF"/>
                <w:sz w:val="21"/>
                <w:szCs w:val="21"/>
                <w:lang w:val="ar-SA"/>
              </w:rPr>
              <w:t>الخطوة</w:t>
            </w:r>
          </w:p>
        </w:tc>
        <w:tc>
          <w:tcPr>
            <w:tcW w:w="4900" w:type="dxa"/>
            <w:tcBorders>
              <w:top w:val="single" w:sz="4" w:space="0" w:color="999999"/>
              <w:left w:val="single" w:sz="4" w:space="0" w:color="999999"/>
              <w:bottom w:val="single" w:sz="4" w:space="0" w:color="999999"/>
              <w:right w:val="single" w:sz="4" w:space="0" w:color="999999"/>
            </w:tcBorders>
            <w:shd w:val="clear" w:color="auto" w:fill="2F5496"/>
          </w:tcPr>
          <w:p w14:paraId="10C95FE1" w14:textId="77777777" w:rsidR="00EB5CBD" w:rsidRDefault="00EA4CEB">
            <w:pPr>
              <w:bidi/>
              <w:spacing w:after="60" w:line="320" w:lineRule="auto"/>
              <w:jc w:val="center"/>
            </w:pPr>
            <w:r>
              <w:rPr>
                <w:b/>
                <w:bCs/>
                <w:color w:val="FFFFFF"/>
                <w:sz w:val="21"/>
                <w:szCs w:val="21"/>
                <w:lang w:val="ar-SA"/>
              </w:rPr>
              <w:t>الوصف والمخرج</w:t>
            </w:r>
          </w:p>
        </w:tc>
      </w:tr>
      <w:tr w:rsidR="00EB5CBD" w14:paraId="4BE5510A" w14:textId="77777777">
        <w:tc>
          <w:tcPr>
            <w:tcW w:w="900" w:type="dxa"/>
            <w:tcBorders>
              <w:top w:val="single" w:sz="4" w:space="0" w:color="999999"/>
              <w:left w:val="single" w:sz="4" w:space="0" w:color="999999"/>
              <w:bottom w:val="single" w:sz="4" w:space="0" w:color="999999"/>
              <w:right w:val="single" w:sz="4" w:space="0" w:color="999999"/>
            </w:tcBorders>
          </w:tcPr>
          <w:p w14:paraId="1B852976" w14:textId="77777777" w:rsidR="00EB5CBD" w:rsidRDefault="00EA4CEB" w:rsidP="004148DE">
            <w:pPr>
              <w:spacing w:after="60" w:line="320" w:lineRule="auto"/>
              <w:jc w:val="center"/>
            </w:pPr>
            <w:r>
              <w:rPr>
                <w:sz w:val="21"/>
                <w:szCs w:val="21"/>
                <w:lang w:val="ar-SA"/>
              </w:rPr>
              <w:t>1</w:t>
            </w:r>
          </w:p>
        </w:tc>
        <w:tc>
          <w:tcPr>
            <w:tcW w:w="3200" w:type="dxa"/>
            <w:tcBorders>
              <w:top w:val="single" w:sz="4" w:space="0" w:color="999999"/>
              <w:left w:val="single" w:sz="4" w:space="0" w:color="999999"/>
              <w:bottom w:val="single" w:sz="4" w:space="0" w:color="999999"/>
              <w:right w:val="single" w:sz="4" w:space="0" w:color="999999"/>
            </w:tcBorders>
          </w:tcPr>
          <w:p w14:paraId="5E945D38" w14:textId="77777777" w:rsidR="00EB5CBD" w:rsidRDefault="00EA4CEB" w:rsidP="004148DE">
            <w:pPr>
              <w:bidi/>
              <w:spacing w:after="60" w:line="320" w:lineRule="auto"/>
              <w:jc w:val="center"/>
            </w:pPr>
            <w:r>
              <w:rPr>
                <w:sz w:val="21"/>
                <w:szCs w:val="21"/>
                <w:lang w:val="ar-SA"/>
              </w:rPr>
              <w:t>تصميم الأداة الكمية</w:t>
            </w:r>
          </w:p>
        </w:tc>
        <w:tc>
          <w:tcPr>
            <w:tcW w:w="4900" w:type="dxa"/>
            <w:tcBorders>
              <w:top w:val="single" w:sz="4" w:space="0" w:color="999999"/>
              <w:left w:val="single" w:sz="4" w:space="0" w:color="999999"/>
              <w:bottom w:val="single" w:sz="4" w:space="0" w:color="999999"/>
              <w:right w:val="single" w:sz="4" w:space="0" w:color="999999"/>
            </w:tcBorders>
          </w:tcPr>
          <w:p w14:paraId="7CC926E0" w14:textId="77777777" w:rsidR="0099616A" w:rsidRDefault="003D1F04" w:rsidP="004148DE">
            <w:pPr>
              <w:bidi/>
              <w:jc w:val="center"/>
            </w:pPr>
            <w:r>
              <w:rPr>
                <w:color w:val="C00000"/>
              </w:rPr>
              <w:t>بناء الاستبيان وفقراته استنادًا إلى مقاييس منشورة، تلاها التحكيم العلمي والترجمة العكسية والدراسة الاستطلاعية؛ وترد التفاصيل في الفقرة 3.9.</w:t>
            </w:r>
          </w:p>
        </w:tc>
      </w:tr>
      <w:tr w:rsidR="00EB5CBD" w14:paraId="79F4FD24"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3762DB9A" w14:textId="77777777" w:rsidR="00EB5CBD" w:rsidRDefault="00EA4CEB" w:rsidP="004148DE">
            <w:pPr>
              <w:spacing w:after="60" w:line="320" w:lineRule="auto"/>
              <w:jc w:val="center"/>
            </w:pPr>
            <w:r>
              <w:rPr>
                <w:sz w:val="21"/>
                <w:szCs w:val="21"/>
                <w:lang w:val="ar-SA"/>
              </w:rPr>
              <w:t>2</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668F7D28" w14:textId="77777777" w:rsidR="00EB5CBD" w:rsidRDefault="00EA4CEB" w:rsidP="004148DE">
            <w:pPr>
              <w:bidi/>
              <w:spacing w:after="60" w:line="320" w:lineRule="auto"/>
              <w:jc w:val="center"/>
            </w:pPr>
            <w:r>
              <w:rPr>
                <w:sz w:val="21"/>
                <w:szCs w:val="21"/>
                <w:lang w:val="ar-SA"/>
              </w:rPr>
              <w:t>جمع البيانات الكمية</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29C15C0C" w14:textId="77777777" w:rsidR="00EB5CBD" w:rsidRDefault="00EA4CEB" w:rsidP="004148DE">
            <w:pPr>
              <w:bidi/>
              <w:spacing w:after="60" w:line="320" w:lineRule="auto"/>
              <w:jc w:val="center"/>
            </w:pPr>
            <w:r>
              <w:t xml:space="preserve">توزيع الاستبيان إلكترونيًا على العينة المستهدفة عبر نموذج جوجل فورم، وفق إطار المعاينة الموضح في الفقرة </w:t>
            </w:r>
            <w:r>
              <w:rPr>
                <w:rtl w:val="0"/>
              </w:rPr>
              <w:t>‎3.7‎</w:t>
            </w:r>
            <w:r>
              <w:t>.</w:t>
            </w:r>
          </w:p>
        </w:tc>
      </w:tr>
      <w:tr w:rsidR="00EB5CBD" w14:paraId="1B54B28A" w14:textId="77777777">
        <w:tc>
          <w:tcPr>
            <w:tcW w:w="900" w:type="dxa"/>
            <w:tcBorders>
              <w:top w:val="single" w:sz="4" w:space="0" w:color="999999"/>
              <w:left w:val="single" w:sz="4" w:space="0" w:color="999999"/>
              <w:bottom w:val="single" w:sz="4" w:space="0" w:color="999999"/>
              <w:right w:val="single" w:sz="4" w:space="0" w:color="999999"/>
            </w:tcBorders>
          </w:tcPr>
          <w:p w14:paraId="46A0448A" w14:textId="77777777" w:rsidR="00EB5CBD" w:rsidRDefault="00EA4CEB" w:rsidP="004148DE">
            <w:pPr>
              <w:spacing w:after="60" w:line="320" w:lineRule="auto"/>
              <w:jc w:val="center"/>
            </w:pPr>
            <w:r>
              <w:rPr>
                <w:sz w:val="21"/>
                <w:szCs w:val="21"/>
                <w:lang w:val="ar-SA"/>
              </w:rPr>
              <w:t>3</w:t>
            </w:r>
          </w:p>
        </w:tc>
        <w:tc>
          <w:tcPr>
            <w:tcW w:w="3200" w:type="dxa"/>
            <w:tcBorders>
              <w:top w:val="single" w:sz="4" w:space="0" w:color="999999"/>
              <w:left w:val="single" w:sz="4" w:space="0" w:color="999999"/>
              <w:bottom w:val="single" w:sz="4" w:space="0" w:color="999999"/>
              <w:right w:val="single" w:sz="4" w:space="0" w:color="999999"/>
            </w:tcBorders>
          </w:tcPr>
          <w:p w14:paraId="0D7242B8" w14:textId="77777777" w:rsidR="00EB5CBD" w:rsidRDefault="00EA4CEB" w:rsidP="004148DE">
            <w:pPr>
              <w:bidi/>
              <w:spacing w:after="60" w:line="320" w:lineRule="auto"/>
              <w:jc w:val="center"/>
            </w:pPr>
            <w:r>
              <w:rPr>
                <w:sz w:val="21"/>
                <w:szCs w:val="21"/>
                <w:lang w:val="ar-SA"/>
              </w:rPr>
              <w:t>تحليل النتائج الكمية</w:t>
            </w:r>
          </w:p>
        </w:tc>
        <w:tc>
          <w:tcPr>
            <w:tcW w:w="4900" w:type="dxa"/>
            <w:tcBorders>
              <w:top w:val="single" w:sz="4" w:space="0" w:color="999999"/>
              <w:left w:val="single" w:sz="4" w:space="0" w:color="999999"/>
              <w:bottom w:val="single" w:sz="4" w:space="0" w:color="999999"/>
              <w:right w:val="single" w:sz="4" w:space="0" w:color="999999"/>
            </w:tcBorders>
          </w:tcPr>
          <w:p w14:paraId="7376457D" w14:textId="77777777" w:rsidR="0099616A" w:rsidRDefault="003D1F04" w:rsidP="004148DE">
            <w:pPr>
              <w:bidi/>
              <w:jc w:val="center"/>
            </w:pPr>
            <w:r>
              <w:rPr>
                <w:color w:val="C00000"/>
              </w:rPr>
              <w:t>تنظيف البيانات، ثم تقييم نموذجي القياس والبنائي عبر SmartPLS 4؛ وترد التفاصيل في الفقرة 3.12، لتحديد قيم المسارات الدالة وغير الدالة.</w:t>
            </w:r>
          </w:p>
        </w:tc>
      </w:tr>
      <w:tr w:rsidR="00EB5CBD" w14:paraId="29AA11AB"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1B5221CA" w14:textId="77777777" w:rsidR="00EB5CBD" w:rsidRDefault="00EA4CEB" w:rsidP="004148DE">
            <w:pPr>
              <w:spacing w:after="60" w:line="320" w:lineRule="auto"/>
              <w:jc w:val="center"/>
            </w:pPr>
            <w:r>
              <w:rPr>
                <w:sz w:val="21"/>
                <w:szCs w:val="21"/>
                <w:lang w:val="ar-SA"/>
              </w:rPr>
              <w:t>4</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38E70B10" w14:textId="77777777" w:rsidR="00EB5CBD" w:rsidRDefault="00EA4CEB" w:rsidP="004148DE">
            <w:pPr>
              <w:bidi/>
              <w:spacing w:after="60" w:line="320" w:lineRule="auto"/>
              <w:jc w:val="center"/>
            </w:pPr>
            <w:r>
              <w:rPr>
                <w:sz w:val="21"/>
                <w:szCs w:val="21"/>
                <w:lang w:val="ar-SA"/>
              </w:rPr>
              <w:t>تحديد النتائج التي تحتاج إلى تفسير</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12A045FF" w14:textId="77777777" w:rsidR="0099616A" w:rsidRDefault="003D1F04" w:rsidP="004148DE">
            <w:pPr>
              <w:bidi/>
              <w:jc w:val="center"/>
            </w:pPr>
            <w:r>
              <w:rPr>
                <w:color w:val="C00000"/>
              </w:rPr>
              <w:t>حصر المسارات غير الدالة إحصائيًا، أو التي تحمل حجم أثر ضعيف رغم دلالتها، أو التي تُظهر فروقًا بين القطاعات أو مستويات التبني وتستدعي تفسيرًا سياقيًا.</w:t>
            </w:r>
          </w:p>
        </w:tc>
      </w:tr>
      <w:tr w:rsidR="00EB5CBD" w14:paraId="7D65F62E" w14:textId="77777777">
        <w:tc>
          <w:tcPr>
            <w:tcW w:w="900" w:type="dxa"/>
            <w:tcBorders>
              <w:top w:val="single" w:sz="4" w:space="0" w:color="999999"/>
              <w:left w:val="single" w:sz="4" w:space="0" w:color="999999"/>
              <w:bottom w:val="single" w:sz="4" w:space="0" w:color="999999"/>
              <w:right w:val="single" w:sz="4" w:space="0" w:color="999999"/>
            </w:tcBorders>
          </w:tcPr>
          <w:p w14:paraId="7C749247" w14:textId="77777777" w:rsidR="00EB5CBD" w:rsidRDefault="00EA4CEB" w:rsidP="004148DE">
            <w:pPr>
              <w:spacing w:after="60" w:line="320" w:lineRule="auto"/>
              <w:jc w:val="center"/>
            </w:pPr>
            <w:r>
              <w:rPr>
                <w:sz w:val="21"/>
                <w:szCs w:val="21"/>
                <w:lang w:val="ar-SA"/>
              </w:rPr>
              <w:t>5</w:t>
            </w:r>
          </w:p>
        </w:tc>
        <w:tc>
          <w:tcPr>
            <w:tcW w:w="3200" w:type="dxa"/>
            <w:tcBorders>
              <w:top w:val="single" w:sz="4" w:space="0" w:color="999999"/>
              <w:left w:val="single" w:sz="4" w:space="0" w:color="999999"/>
              <w:bottom w:val="single" w:sz="4" w:space="0" w:color="999999"/>
              <w:right w:val="single" w:sz="4" w:space="0" w:color="999999"/>
            </w:tcBorders>
          </w:tcPr>
          <w:p w14:paraId="1F1CA0BC" w14:textId="77777777" w:rsidR="00EB5CBD" w:rsidRDefault="00EA4CEB" w:rsidP="004148DE">
            <w:pPr>
              <w:bidi/>
              <w:spacing w:after="60" w:line="320" w:lineRule="auto"/>
              <w:jc w:val="center"/>
            </w:pPr>
            <w:r>
              <w:rPr>
                <w:sz w:val="21"/>
                <w:szCs w:val="21"/>
                <w:lang w:val="ar-SA"/>
              </w:rPr>
              <w:t>اختيار المشاركين في المقابلات بناءً على النتائج الكمية</w:t>
            </w:r>
          </w:p>
        </w:tc>
        <w:tc>
          <w:tcPr>
            <w:tcW w:w="4900" w:type="dxa"/>
            <w:tcBorders>
              <w:top w:val="single" w:sz="4" w:space="0" w:color="999999"/>
              <w:left w:val="single" w:sz="4" w:space="0" w:color="999999"/>
              <w:bottom w:val="single" w:sz="4" w:space="0" w:color="999999"/>
              <w:right w:val="single" w:sz="4" w:space="0" w:color="999999"/>
            </w:tcBorders>
          </w:tcPr>
          <w:p w14:paraId="284F185A" w14:textId="77777777" w:rsidR="0099616A" w:rsidRDefault="003D1F04" w:rsidP="004148DE">
            <w:pPr>
              <w:bidi/>
              <w:jc w:val="center"/>
            </w:pPr>
            <w:r>
              <w:rPr>
                <w:color w:val="C00000"/>
              </w:rPr>
              <w:t>ترشيح مديري تسويق من المنشآت التي أبدت استعدادًا للمشاركة في مرحلة لاحقة؛ وترد تفاصيل الآلية في الفقرة 3.10.1، بما يضمن تمثيل الحالات ذات الصلة بالنتائج المحددة في الخطوة السابقة.</w:t>
            </w:r>
          </w:p>
        </w:tc>
      </w:tr>
      <w:tr w:rsidR="00EB5CBD" w14:paraId="02344A84"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4BA23979" w14:textId="77777777" w:rsidR="00EB5CBD" w:rsidRDefault="00EA4CEB" w:rsidP="004148DE">
            <w:pPr>
              <w:spacing w:after="60" w:line="320" w:lineRule="auto"/>
              <w:jc w:val="center"/>
            </w:pPr>
            <w:r>
              <w:rPr>
                <w:sz w:val="21"/>
                <w:szCs w:val="21"/>
                <w:lang w:val="ar-SA"/>
              </w:rPr>
              <w:t>6</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983AD0D" w14:textId="77777777" w:rsidR="00EB5CBD" w:rsidRDefault="00EA4CEB" w:rsidP="004148DE">
            <w:pPr>
              <w:bidi/>
              <w:spacing w:after="60" w:line="320" w:lineRule="auto"/>
              <w:jc w:val="center"/>
            </w:pPr>
            <w:r>
              <w:rPr>
                <w:sz w:val="21"/>
                <w:szCs w:val="21"/>
                <w:lang w:val="ar-SA"/>
              </w:rPr>
              <w:t>إعداد دليل المقابلة في ضوء النتائج</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3B929A40" w14:textId="77777777" w:rsidR="0099616A" w:rsidRDefault="003D1F04" w:rsidP="004148DE">
            <w:pPr>
              <w:bidi/>
              <w:jc w:val="center"/>
            </w:pPr>
            <w:r>
              <w:rPr>
                <w:color w:val="C00000"/>
              </w:rPr>
              <w:t>صياغة أسئلة المقابلة بحيث تستهدف تحديدًا المسارات غير الدالة أو المتباينة بين المجموعات، إلى جانب الأسئلة العامة المرتبطة بأهداف الدراسة؛ وترد التفاصيل في الفقرة 3.10.4.</w:t>
            </w:r>
          </w:p>
        </w:tc>
      </w:tr>
      <w:tr w:rsidR="00EB5CBD" w14:paraId="1CB5FCBE" w14:textId="77777777">
        <w:tc>
          <w:tcPr>
            <w:tcW w:w="900" w:type="dxa"/>
            <w:tcBorders>
              <w:top w:val="single" w:sz="4" w:space="0" w:color="999999"/>
              <w:left w:val="single" w:sz="4" w:space="0" w:color="999999"/>
              <w:bottom w:val="single" w:sz="4" w:space="0" w:color="999999"/>
              <w:right w:val="single" w:sz="4" w:space="0" w:color="999999"/>
            </w:tcBorders>
          </w:tcPr>
          <w:p w14:paraId="2B1B6573" w14:textId="77777777" w:rsidR="00EB5CBD" w:rsidRDefault="00EA4CEB" w:rsidP="004148DE">
            <w:pPr>
              <w:spacing w:after="60" w:line="320" w:lineRule="auto"/>
              <w:jc w:val="center"/>
            </w:pPr>
            <w:r>
              <w:rPr>
                <w:sz w:val="21"/>
                <w:szCs w:val="21"/>
                <w:lang w:val="ar-SA"/>
              </w:rPr>
              <w:t>7</w:t>
            </w:r>
          </w:p>
        </w:tc>
        <w:tc>
          <w:tcPr>
            <w:tcW w:w="3200" w:type="dxa"/>
            <w:tcBorders>
              <w:top w:val="single" w:sz="4" w:space="0" w:color="999999"/>
              <w:left w:val="single" w:sz="4" w:space="0" w:color="999999"/>
              <w:bottom w:val="single" w:sz="4" w:space="0" w:color="999999"/>
              <w:right w:val="single" w:sz="4" w:space="0" w:color="999999"/>
            </w:tcBorders>
          </w:tcPr>
          <w:p w14:paraId="550FA8CC" w14:textId="77777777" w:rsidR="00EB5CBD" w:rsidRDefault="00EA4CEB" w:rsidP="004148DE">
            <w:pPr>
              <w:bidi/>
              <w:spacing w:after="60" w:line="320" w:lineRule="auto"/>
              <w:jc w:val="center"/>
            </w:pPr>
            <w:r>
              <w:rPr>
                <w:sz w:val="21"/>
                <w:szCs w:val="21"/>
                <w:lang w:val="ar-SA"/>
              </w:rPr>
              <w:t>إجراء المقابلات وتحليلها</w:t>
            </w:r>
          </w:p>
        </w:tc>
        <w:tc>
          <w:tcPr>
            <w:tcW w:w="4900" w:type="dxa"/>
            <w:tcBorders>
              <w:top w:val="single" w:sz="4" w:space="0" w:color="999999"/>
              <w:left w:val="single" w:sz="4" w:space="0" w:color="999999"/>
              <w:bottom w:val="single" w:sz="4" w:space="0" w:color="999999"/>
              <w:right w:val="single" w:sz="4" w:space="0" w:color="999999"/>
            </w:tcBorders>
          </w:tcPr>
          <w:p w14:paraId="54CB778B" w14:textId="77777777" w:rsidR="0099616A" w:rsidRDefault="003D1F04" w:rsidP="004148DE">
            <w:pPr>
              <w:bidi/>
              <w:jc w:val="center"/>
            </w:pPr>
            <w:r>
              <w:rPr>
                <w:color w:val="C00000"/>
              </w:rPr>
              <w:t>تنفيذ المقابلات شبه المنظمة وتحليلها بالتحليل الموضوعي الانعكاسي؛ وترد التفاصيل في الفقرة 3.13.</w:t>
            </w:r>
          </w:p>
        </w:tc>
      </w:tr>
      <w:tr w:rsidR="00EB5CBD" w14:paraId="5C334C7A"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0CADD86C" w14:textId="77777777" w:rsidR="00EB5CBD" w:rsidRDefault="00EA4CEB" w:rsidP="004148DE">
            <w:pPr>
              <w:spacing w:after="60" w:line="320" w:lineRule="auto"/>
              <w:jc w:val="center"/>
            </w:pPr>
            <w:r>
              <w:rPr>
                <w:sz w:val="21"/>
                <w:szCs w:val="21"/>
                <w:lang w:val="ar-SA"/>
              </w:rPr>
              <w:t>8</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04546115" w14:textId="77777777" w:rsidR="00EB5CBD" w:rsidRDefault="00EA4CEB" w:rsidP="004148DE">
            <w:pPr>
              <w:bidi/>
              <w:spacing w:after="60" w:line="320" w:lineRule="auto"/>
              <w:jc w:val="center"/>
            </w:pPr>
            <w:r>
              <w:rPr>
                <w:sz w:val="21"/>
                <w:szCs w:val="21"/>
                <w:lang w:val="ar-SA"/>
              </w:rPr>
              <w:t>دمج النتائج الكمية والنوعية</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341D1ECC" w14:textId="77777777" w:rsidR="0099616A" w:rsidRDefault="003D1F04" w:rsidP="004148DE">
            <w:pPr>
              <w:bidi/>
              <w:jc w:val="center"/>
            </w:pPr>
            <w:r>
              <w:rPr>
                <w:color w:val="C00000"/>
              </w:rPr>
              <w:t>تطبيق إجراءات التكامل الموضحة في الفقرة 3.14: الربط، والبناء، والدمج، وجدول العرض المشترك.</w:t>
            </w:r>
          </w:p>
        </w:tc>
      </w:tr>
      <w:tr w:rsidR="00EB5CBD" w14:paraId="28359126" w14:textId="77777777">
        <w:tc>
          <w:tcPr>
            <w:tcW w:w="900" w:type="dxa"/>
            <w:tcBorders>
              <w:top w:val="single" w:sz="4" w:space="0" w:color="999999"/>
              <w:left w:val="single" w:sz="4" w:space="0" w:color="999999"/>
              <w:bottom w:val="single" w:sz="4" w:space="0" w:color="999999"/>
              <w:right w:val="single" w:sz="4" w:space="0" w:color="999999"/>
            </w:tcBorders>
          </w:tcPr>
          <w:p w14:paraId="3709D264" w14:textId="77777777" w:rsidR="00EB5CBD" w:rsidRDefault="00EA4CEB" w:rsidP="004148DE">
            <w:pPr>
              <w:spacing w:after="60" w:line="320" w:lineRule="auto"/>
              <w:jc w:val="center"/>
            </w:pPr>
            <w:r>
              <w:rPr>
                <w:sz w:val="21"/>
                <w:szCs w:val="21"/>
                <w:lang w:val="ar-SA"/>
              </w:rPr>
              <w:t>9</w:t>
            </w:r>
          </w:p>
        </w:tc>
        <w:tc>
          <w:tcPr>
            <w:tcW w:w="3200" w:type="dxa"/>
            <w:tcBorders>
              <w:top w:val="single" w:sz="4" w:space="0" w:color="999999"/>
              <w:left w:val="single" w:sz="4" w:space="0" w:color="999999"/>
              <w:bottom w:val="single" w:sz="4" w:space="0" w:color="999999"/>
              <w:right w:val="single" w:sz="4" w:space="0" w:color="999999"/>
            </w:tcBorders>
          </w:tcPr>
          <w:p w14:paraId="0ED919A7" w14:textId="77777777" w:rsidR="00EB5CBD" w:rsidRDefault="00EA4CEB" w:rsidP="004148DE">
            <w:pPr>
              <w:bidi/>
              <w:spacing w:after="60" w:line="320" w:lineRule="auto"/>
              <w:jc w:val="center"/>
            </w:pPr>
            <w:r>
              <w:rPr>
                <w:sz w:val="21"/>
                <w:szCs w:val="21"/>
                <w:lang w:val="ar-SA"/>
              </w:rPr>
              <w:t>بناء الاستنتاجات النهائية المتكاملة</w:t>
            </w:r>
          </w:p>
        </w:tc>
        <w:tc>
          <w:tcPr>
            <w:tcW w:w="4900" w:type="dxa"/>
            <w:tcBorders>
              <w:top w:val="single" w:sz="4" w:space="0" w:color="999999"/>
              <w:left w:val="single" w:sz="4" w:space="0" w:color="999999"/>
              <w:bottom w:val="single" w:sz="4" w:space="0" w:color="999999"/>
              <w:right w:val="single" w:sz="4" w:space="0" w:color="999999"/>
            </w:tcBorders>
          </w:tcPr>
          <w:p w14:paraId="39B9CE8C" w14:textId="77777777" w:rsidR="00EB5CBD" w:rsidRDefault="00EA4CEB" w:rsidP="004148DE">
            <w:pPr>
              <w:bidi/>
              <w:spacing w:after="60" w:line="320" w:lineRule="auto"/>
              <w:jc w:val="center"/>
            </w:pPr>
            <w:r>
              <w:t>صياغة استنتاجات ما وراء الاستدلال التي تجمع بين الدليل الكمي والدليل النوعي في تفسير واحد متماسك.</w:t>
            </w:r>
          </w:p>
        </w:tc>
      </w:tr>
    </w:tbl>
    <w:p w14:paraId="2A0E32CD" w14:textId="77777777" w:rsidR="00EB5CBD" w:rsidRDefault="00EB5CBD">
      <w:pPr>
        <w:spacing w:after="160"/>
      </w:pPr>
    </w:p>
    <w:p w14:paraId="7DBFADB2" w14:textId="77777777" w:rsidR="00EB5CBD" w:rsidRDefault="00EA4CEB" w:rsidP="007E709B">
      <w:pPr>
        <w:bidi/>
        <w:spacing w:after="140" w:line="320" w:lineRule="auto"/>
      </w:pPr>
      <w:r>
        <w:rPr>
          <w:b/>
          <w:rtl w:val="0"/>
        </w:rPr>
        <w:t>‎3.2.3‎</w:t>
      </w:r>
      <w:r>
        <w:rPr>
          <w:b/>
        </w:rPr>
        <w:t xml:space="preserve"> صيغة الزمن المعتمدة في هذا الفصل</w:t>
      </w:r>
    </w:p>
    <w:p w14:paraId="3D7793F4" w14:textId="77777777" w:rsidR="00EB5CBD" w:rsidRDefault="00EA4CEB">
      <w:pPr>
        <w:bidi/>
        <w:spacing w:after="160" w:line="320" w:lineRule="auto"/>
        <w:jc w:val="both"/>
      </w:pPr>
      <w:r>
        <w:rPr>
          <w:lang w:val="ar-SA"/>
        </w:rPr>
        <w:t>تُصاغ جميع فقرات هذا الفصل، بما في ذلك وصف العينة والمقابلات والتحليل، بصيغة المستقبل باعتبار الدراسة في طور التخطيط. عند إتمام جمع البيانات فعليًا، تُستبدل هذه الصياغة بصيغة الماضي، مع إدراج الأعداد والتواريخ والنتائج الفعلية في كل فقرة معنية دون استثناء</w:t>
      </w:r>
      <w:r w:rsidR="008505AD">
        <w:rPr>
          <w:lang w:val="ar-SA"/>
        </w:rPr>
        <w:t>.</w:t>
      </w:r>
      <w:r>
        <w:rPr>
          <w:lang w:val="ar-SA"/>
        </w:rPr>
        <w:t xml:space="preserve"> </w:t>
      </w:r>
    </w:p>
    <w:p w14:paraId="2F73CF15" w14:textId="77777777" w:rsidR="00EA4CEB" w:rsidRDefault="00EA4CEB" w:rsidP="00EA4CEB">
      <w:pPr>
        <w:spacing w:after="160" w:line="320" w:lineRule="auto"/>
        <w:jc w:val="both"/>
      </w:pPr>
    </w:p>
    <w:p w14:paraId="08DC317F" w14:textId="77777777" w:rsidR="004148DE" w:rsidRDefault="004148DE" w:rsidP="00EA4CEB">
      <w:pPr>
        <w:spacing w:after="160" w:line="320" w:lineRule="auto"/>
        <w:jc w:val="both"/>
      </w:pPr>
    </w:p>
    <w:p w14:paraId="026398F3" w14:textId="77777777" w:rsidR="00EA4CEB" w:rsidRDefault="00EA4CEB" w:rsidP="00EA4CEB">
      <w:pPr>
        <w:spacing w:after="160" w:line="320" w:lineRule="auto"/>
        <w:jc w:val="both"/>
      </w:pPr>
    </w:p>
    <w:p w14:paraId="41EF6484" w14:textId="77777777" w:rsidR="00EB5CBD" w:rsidRDefault="00EA4CEB" w:rsidP="007E709B">
      <w:pPr>
        <w:bidi/>
        <w:spacing w:after="160" w:line="320" w:lineRule="auto"/>
      </w:pPr>
      <w:r>
        <w:rPr>
          <w:b/>
          <w:rtl w:val="0"/>
        </w:rPr>
        <w:lastRenderedPageBreak/>
        <w:t>‎3.3‎</w:t>
      </w:r>
      <w:r>
        <w:rPr>
          <w:b/>
        </w:rPr>
        <w:t xml:space="preserve"> مجتمع الدراسة</w:t>
      </w:r>
    </w:p>
    <w:p w14:paraId="17EFE550" w14:textId="77777777" w:rsidR="00EB5CBD" w:rsidRDefault="00EA4CEB">
      <w:pPr>
        <w:bidi/>
        <w:spacing w:after="160" w:line="320" w:lineRule="auto"/>
        <w:jc w:val="both"/>
      </w:pPr>
      <w:r>
        <w:rPr>
          <w:color w:val="FF0000"/>
        </w:rPr>
        <w:t xml:space="preserve">يمثل المجتمع المستهدف للدراسة جميع الشركات الصغيرة والمتوسطة العاملة في المملكة العربية السعودية التي تنطبق عليها معايير التصنيف الرسمية الموضحة في الفقرة </w:t>
      </w:r>
      <w:r>
        <w:rPr>
          <w:color w:val="FF0000"/>
          <w:rtl w:val="0"/>
        </w:rPr>
        <w:t>‎3.4‎</w:t>
      </w:r>
      <w:r>
        <w:rPr>
          <w:color w:val="FF0000"/>
        </w:rPr>
        <w:t>. أما المجتمع المتاح ميدانيًا، الذي ستُسحب منه العينة الفعلية، فيقتصر على المنشآت المؤهلة في خمس مدن رئيسية هي: الرياض، جدة، الدمام، المدينة المنورة، وأبها. ويُفرَّق صراحةً بين المجتمع المستهدف والمجتمع المتاح حتى لا يُفهم من تصميم العينة أن المدن الخمس تمثل جميع مناطق المملكة تمثيلًا احتماليًا متساويًا.</w:t>
      </w:r>
    </w:p>
    <w:p w14:paraId="693CF1DF" w14:textId="77777777" w:rsidR="00EB5CBD" w:rsidRDefault="00EA4CEB">
      <w:pPr>
        <w:bidi/>
        <w:spacing w:after="160" w:line="320" w:lineRule="auto"/>
        <w:jc w:val="both"/>
      </w:pPr>
      <w:r>
        <w:rPr>
          <w:color w:val="FF0000"/>
        </w:rPr>
        <w:t xml:space="preserve">وفقًا لتقرير «مرصد المنشآت الصغيرة والمتوسطة» الصادر عن الهيئة العامة للمنشآت الصغيرة والمتوسطة «منشآت» للربع الأول من عام 2025، بلغ إجمالي السجلات التجارية القائمة للمنشآت الصغيرة والمتوسطة في المملكة </w:t>
      </w:r>
      <w:r>
        <w:rPr>
          <w:color w:val="FF0000"/>
          <w:rtl w:val="0"/>
        </w:rPr>
        <w:t>‎1.68‎</w:t>
      </w:r>
      <w:r>
        <w:rPr>
          <w:color w:val="FF0000"/>
        </w:rPr>
        <w:t xml:space="preserve"> مليون سجل تجاري بنهاية الربع الأول من عام 2025، وذلك وفق البيانات الواردة في الصفحة 4 من التقرير. ويُستخدم هذا الرقم لوصف المجتمع الوطني المستهدف فقط، لا بوصفه إطار معاينة مباشرًا للعينة؛ فالسجل التجاري قد لا يساوي منشأة اقتصادية مستقلة، كما أن العينة الميدانية ستُجمع من المجتمع المتاح في المدن الخمس المحددة. لذلك ستكون قابلية تعميم النتائج إحصائيًا محكومة بتغطية هذه المدن، وتُعرض النتائج بوصفها دالة على المنشآت المشاركة والسياقات الحضرية المشمولة، ولا يُدّعى أنها تمثل جميع مناطق المملكة بالدرجة نفسها. وعند كتابة النسخة النهائية سيُعتمد أحدث تقرير ربعي متاح وقت جمع البيانات مع توثيق البيانات الآتية:</w:t>
      </w:r>
    </w:p>
    <w:p w14:paraId="6217E09C" w14:textId="77777777" w:rsidR="00EB5CBD" w:rsidRDefault="00EA4CEB">
      <w:pPr>
        <w:pStyle w:val="a4"/>
        <w:numPr>
          <w:ilvl w:val="0"/>
          <w:numId w:val="2"/>
        </w:numPr>
        <w:bidi/>
        <w:spacing w:after="100" w:line="300" w:lineRule="auto"/>
        <w:jc w:val="both"/>
      </w:pPr>
      <w:r>
        <w:rPr>
          <w:color w:val="FF0000"/>
          <w:lang w:val="ar-SA"/>
        </w:rPr>
        <w:t>الاسم الكامل للتقرير الرسمي وربعه وسنته.</w:t>
      </w:r>
    </w:p>
    <w:p w14:paraId="4910B064" w14:textId="77777777" w:rsidR="00EB5CBD" w:rsidRDefault="00EA4CEB">
      <w:pPr>
        <w:pStyle w:val="a4"/>
        <w:numPr>
          <w:ilvl w:val="0"/>
          <w:numId w:val="2"/>
        </w:numPr>
        <w:bidi/>
        <w:spacing w:after="100" w:line="300" w:lineRule="auto"/>
        <w:jc w:val="both"/>
      </w:pPr>
      <w:r>
        <w:rPr>
          <w:color w:val="FF0000"/>
          <w:lang w:val="ar-SA"/>
        </w:rPr>
        <w:t>رقم الصفحة التي ورد فيها الرقم المستخدم.</w:t>
      </w:r>
    </w:p>
    <w:p w14:paraId="204BBF80" w14:textId="77777777" w:rsidR="00EB5CBD" w:rsidRDefault="00EA4CEB">
      <w:pPr>
        <w:pStyle w:val="a4"/>
        <w:numPr>
          <w:ilvl w:val="0"/>
          <w:numId w:val="2"/>
        </w:numPr>
        <w:bidi/>
        <w:spacing w:after="100" w:line="300" w:lineRule="auto"/>
        <w:jc w:val="both"/>
      </w:pPr>
      <w:r>
        <w:rPr>
          <w:color w:val="FF0000"/>
          <w:lang w:val="ar-SA"/>
        </w:rPr>
        <w:t>الرابط الرسمي الكامل للتقرير على موقع «منشآت».</w:t>
      </w:r>
    </w:p>
    <w:p w14:paraId="14FE5CCE" w14:textId="77777777" w:rsidR="00EB5CBD" w:rsidRDefault="00EA4CEB">
      <w:pPr>
        <w:pStyle w:val="a4"/>
        <w:numPr>
          <w:ilvl w:val="0"/>
          <w:numId w:val="2"/>
        </w:numPr>
        <w:bidi/>
        <w:spacing w:after="100" w:line="300" w:lineRule="auto"/>
        <w:jc w:val="both"/>
      </w:pPr>
      <w:r>
        <w:rPr>
          <w:color w:val="FF0000"/>
          <w:lang w:val="ar-SA"/>
        </w:rPr>
        <w:t>تاريخ الاطلاع على التقرير.</w:t>
      </w:r>
    </w:p>
    <w:p w14:paraId="7D3B135D" w14:textId="77777777" w:rsidR="00EB5CBD" w:rsidRDefault="00EA4CEB">
      <w:pPr>
        <w:pStyle w:val="a4"/>
        <w:numPr>
          <w:ilvl w:val="0"/>
          <w:numId w:val="2"/>
        </w:numPr>
        <w:bidi/>
        <w:spacing w:after="100" w:line="300" w:lineRule="auto"/>
        <w:jc w:val="both"/>
      </w:pPr>
      <w:r>
        <w:rPr>
          <w:color w:val="FF0000"/>
          <w:lang w:val="ar-SA"/>
        </w:rPr>
        <w:t>تعريف «المنشأة النشطة» كما ورد في التقرير المصدر، وما إذا كان يشمل السجل التجاري النشط فقط أو يمتد لمعايير تشغيلية إضافية.</w:t>
      </w:r>
    </w:p>
    <w:p w14:paraId="5E62D064" w14:textId="77777777" w:rsidR="00EB5CBD" w:rsidRDefault="00EA4CEB">
      <w:pPr>
        <w:pStyle w:val="a4"/>
        <w:numPr>
          <w:ilvl w:val="0"/>
          <w:numId w:val="2"/>
        </w:numPr>
        <w:bidi/>
        <w:spacing w:after="100" w:line="300" w:lineRule="auto"/>
        <w:jc w:val="both"/>
      </w:pPr>
      <w:r>
        <w:rPr>
          <w:color w:val="FF0000"/>
        </w:rPr>
        <w:t xml:space="preserve">توضيح صريح لما إذا كان الرقم المعتمد يشمل المنشآت متناهية الصغر، باعتبارها خارج نطاق الدراسة كما هو مبيّن في الفقرة </w:t>
      </w:r>
      <w:r>
        <w:rPr>
          <w:color w:val="FF0000"/>
          <w:rtl w:val="0"/>
        </w:rPr>
        <w:t>‎3.4‎</w:t>
      </w:r>
      <w:r>
        <w:rPr>
          <w:color w:val="FF0000"/>
        </w:rPr>
        <w:t>.</w:t>
      </w:r>
    </w:p>
    <w:p w14:paraId="0FE1850A" w14:textId="77777777" w:rsidR="00EB5CBD" w:rsidRDefault="00EA4CEB">
      <w:pPr>
        <w:pStyle w:val="a4"/>
        <w:numPr>
          <w:ilvl w:val="0"/>
          <w:numId w:val="2"/>
        </w:numPr>
        <w:bidi/>
        <w:spacing w:after="100" w:line="300" w:lineRule="auto"/>
        <w:jc w:val="both"/>
      </w:pPr>
      <w:r>
        <w:rPr>
          <w:color w:val="FF0000"/>
        </w:rPr>
        <w:t xml:space="preserve">توضيح ما إذا كانت جميع المنشآت الداخلة ضمن هذا الرقم مؤهلة للمشاركة وفق شروط المشاركة الواردة في الفقرة </w:t>
      </w:r>
      <w:r>
        <w:rPr>
          <w:color w:val="FF0000"/>
          <w:rtl w:val="0"/>
        </w:rPr>
        <w:t>‎3.6‎</w:t>
      </w:r>
      <w:r>
        <w:rPr>
          <w:color w:val="FF0000"/>
        </w:rPr>
        <w:t>، أم أن الرقم أوسع من مجتمع الدراسة الفعلي.</w:t>
      </w:r>
    </w:p>
    <w:p w14:paraId="59B99C02" w14:textId="77777777" w:rsidR="00EB5CBD" w:rsidRDefault="00EA4CEB">
      <w:pPr>
        <w:bidi/>
        <w:spacing w:after="160" w:line="320" w:lineRule="auto"/>
        <w:jc w:val="both"/>
      </w:pPr>
      <w:r>
        <w:rPr>
          <w:color w:val="FF0000"/>
          <w:lang w:val="ar-SA"/>
        </w:rPr>
        <w:t>ولا يُجمع بين أرقام صادرة عن سنتين أو ربعين مختلفين في التوثيق نفسه؛ إذ يُعتمد تقرير واحد محدد بوضوح لكل رقم يرد في الفصل.</w:t>
      </w:r>
    </w:p>
    <w:p w14:paraId="40A2EE97" w14:textId="77777777" w:rsidR="00EB5CBD" w:rsidRDefault="00EA4CEB" w:rsidP="007E709B">
      <w:pPr>
        <w:bidi/>
        <w:spacing w:after="160" w:line="320" w:lineRule="auto"/>
      </w:pPr>
      <w:r>
        <w:rPr>
          <w:b/>
          <w:rtl w:val="0"/>
        </w:rPr>
        <w:t>‎3.4‎</w:t>
      </w:r>
      <w:r>
        <w:rPr>
          <w:b/>
        </w:rPr>
        <w:t xml:space="preserve"> تعريف الشركات الصغيرة والمتوسطة ومعيار التصنيف</w:t>
      </w:r>
    </w:p>
    <w:p w14:paraId="45A7E5FB" w14:textId="77777777" w:rsidR="00EB5CBD" w:rsidRDefault="00EA4CEB">
      <w:pPr>
        <w:bidi/>
        <w:spacing w:after="160" w:line="320" w:lineRule="auto"/>
        <w:jc w:val="right"/>
      </w:pPr>
      <w:r>
        <w:t>تعتمد الدراسة التصنيف الرسمي الصادر عن الهيئة العامة للمنشآت الصغيرة والمتوسطة «منشآت»، الذي يعتمد عدد الموظفين بدوام كامل والإيرادات السنوية معًا، ويُسند التصنيف إلى الفئة الأعلى إذا قاد المعياران إلى فئتين مختلفتين. ووفق صفحة «تصنيف المنشآت» الرسمية، بتاريخ اطلاع 15 أغسطس 2026، تضم المنشأة متناهية الصغر من 1 إلى 5 موظفين وإيراداتها من صفر إلى 3 ملايين ريال؛ وتضم المنشأة الصغيرة من 6 إلى 49 موظفًا وإيراداتها أكثر من 3 ملايين وحتى 40 مليون ريال؛ وتضم المنشأة المتوسطة من 50 إلى 249 موظفًا وإيراداتها أكثر من 40 مليونًا وحتى 200 مليون ريال. وتقتصر الدراسة على المنشآت المصنفة صغيرة أو متوسطة وفق هذه القاعدة، وتُستبعد المنشآت متناهية الصغر والكبيرة.</w:t>
      </w:r>
    </w:p>
    <w:p w14:paraId="552EA0D4" w14:textId="77777777" w:rsidR="00EB5CBD" w:rsidRDefault="00EA4CEB">
      <w:pPr>
        <w:bidi/>
        <w:spacing w:after="160" w:line="320" w:lineRule="auto"/>
        <w:jc w:val="right"/>
      </w:pPr>
      <w:r>
        <w:rPr>
          <w:rFonts w:ascii="Arial" w:hAnsi="Arial" w:cs="Arial"/>
          <w:color w:val="C00000"/>
          <w:lang w:val="ar-SA"/>
        </w:rPr>
        <w:lastRenderedPageBreak/>
        <w:t>يُتحقق من أهلية المنشأة في مطلع الاستبيان عبر سؤالين تصنيفيين إلزاميين: عدد الموظفين بدوام كامل، والإيرادات السنوية التقديرية. تُحدد فئة المنشأة وفق قاعدة «منشآت» باستخدام المعيارين معًا واعتماد الفئة الأعلى عند اختلافهما. تُقبل الاستجابة إذا كان التصنيف النهائي «صغيرة» أو «متوسطة»، وتُستبعد إذا كان «متناهية الصغر» أو «كبيرة». ويمنع هذا الإجراء استخدام تقدير ذاتي لحجم المنشأة من المشارك دون الاستناد إلى الحدود الرسمية.</w:t>
      </w:r>
    </w:p>
    <w:p w14:paraId="78DCCC43" w14:textId="77777777" w:rsidR="00EB5CBD" w:rsidRDefault="00EA4CEB" w:rsidP="007E709B">
      <w:pPr>
        <w:bidi/>
        <w:spacing w:after="160" w:line="320" w:lineRule="auto"/>
      </w:pPr>
      <w:r>
        <w:rPr>
          <w:b/>
          <w:rtl w:val="0"/>
        </w:rPr>
        <w:t>‎3.5‎</w:t>
      </w:r>
      <w:r>
        <w:rPr>
          <w:b/>
        </w:rPr>
        <w:t xml:space="preserve"> وحدة التحليل</w:t>
      </w:r>
    </w:p>
    <w:p w14:paraId="49953215" w14:textId="77777777" w:rsidR="00EB5CBD" w:rsidRDefault="00EA4CEB">
      <w:pPr>
        <w:bidi/>
        <w:spacing w:after="160" w:line="320" w:lineRule="auto"/>
        <w:jc w:val="both"/>
      </w:pPr>
      <w:r>
        <w:t>وحدة التحليل في هذه الدراسة هي المنشأة الصغيرة أو المتوسطة، مُمثَّلة بشخص واحد مؤهل لتمثيلها في الاستبيان، وهو مدير التسويق أو المسؤول عن الأنشطة التسويقية الرقمية داخل المنشأة، وليس أي موظف عام. بناءً على ذلك:</w:t>
      </w:r>
    </w:p>
    <w:p w14:paraId="7BAF2053" w14:textId="77777777" w:rsidR="00EB5CBD" w:rsidRDefault="00EA4CEB">
      <w:pPr>
        <w:pStyle w:val="a4"/>
        <w:numPr>
          <w:ilvl w:val="0"/>
          <w:numId w:val="2"/>
        </w:numPr>
        <w:bidi/>
        <w:spacing w:after="100" w:line="300" w:lineRule="auto"/>
        <w:jc w:val="both"/>
      </w:pPr>
      <w:r>
        <w:rPr>
          <w:lang w:val="ar-SA"/>
        </w:rPr>
        <w:t>يُقبل رد واحد فقط من كل منشأة، إذ الوحدة التي تُختبر عليها الفرضيات هي المنشأة لا الفرد.</w:t>
      </w:r>
    </w:p>
    <w:p w14:paraId="0878020C" w14:textId="77777777" w:rsidR="00EB5CBD" w:rsidRDefault="00EA4CEB">
      <w:pPr>
        <w:pStyle w:val="a4"/>
        <w:numPr>
          <w:ilvl w:val="0"/>
          <w:numId w:val="2"/>
        </w:numPr>
        <w:bidi/>
        <w:spacing w:after="100" w:line="300" w:lineRule="auto"/>
        <w:jc w:val="both"/>
      </w:pPr>
      <w:r>
        <w:t>الشخص المؤهل لتمثيل المنشأة هو صاحب المنشأة، أو المدير العام، أو مدير التسويق، أو المسؤول أو الأخصائي عن التسويق الرقمي، بحسب ما هو محدد في الجزء الثالث من الاستبيان الخاص بالبيانات الوظيفية.</w:t>
      </w:r>
    </w:p>
    <w:p w14:paraId="7EF33D6E" w14:textId="77777777" w:rsidR="00EB5CBD" w:rsidRDefault="00EA4CEB">
      <w:pPr>
        <w:pStyle w:val="a4"/>
        <w:numPr>
          <w:ilvl w:val="0"/>
          <w:numId w:val="2"/>
        </w:numPr>
        <w:bidi/>
        <w:spacing w:after="100" w:line="300" w:lineRule="auto"/>
        <w:jc w:val="both"/>
      </w:pPr>
      <w:r>
        <w:t>عند وصول أكثر من استجابة من المنشأة نفسها، يُعتمد معرّف فريد بديل عن اسم المنشأة لرصد التكرار، مثل رقم السجل التجاري المُدخل في حقل مستقل غير ظاهر في نتائج التحليل، أو بصمة الجهاز، أو الرابط الفريد للاستبيان.</w:t>
      </w:r>
    </w:p>
    <w:p w14:paraId="54889235" w14:textId="77777777" w:rsidR="00EB5CBD" w:rsidRDefault="00EA4CEB">
      <w:pPr>
        <w:pStyle w:val="a4"/>
        <w:numPr>
          <w:ilvl w:val="0"/>
          <w:numId w:val="2"/>
        </w:numPr>
        <w:bidi/>
        <w:spacing w:after="100" w:line="300" w:lineRule="auto"/>
        <w:jc w:val="both"/>
      </w:pPr>
      <w:r>
        <w:rPr>
          <w:lang w:val="ar-SA"/>
        </w:rPr>
        <w:t>عند تكرار الاستجابة من المنشأة نفسها، يُعتمد آخر رد مكتمل زمنيًا، وتُستبعد الردود الأسبق لها؛ ولا تُدمج الردود المتعددة رياضيًا تفاديًا لتشويه بنية البيانات على مستوى الفقرة الواحدة.</w:t>
      </w:r>
    </w:p>
    <w:p w14:paraId="165DCECD" w14:textId="77777777" w:rsidR="00EB5CBD" w:rsidRDefault="00EA4CEB" w:rsidP="007E709B">
      <w:pPr>
        <w:bidi/>
        <w:spacing w:after="160" w:line="320" w:lineRule="auto"/>
      </w:pPr>
      <w:r>
        <w:rPr>
          <w:b/>
          <w:rtl w:val="0"/>
        </w:rPr>
        <w:t>‎3.6‎</w:t>
      </w:r>
      <w:r>
        <w:rPr>
          <w:b/>
        </w:rPr>
        <w:t xml:space="preserve"> معايير المشاركة والاستبعاد</w:t>
      </w:r>
    </w:p>
    <w:p w14:paraId="27D35641" w14:textId="77777777" w:rsidR="00EB5CBD" w:rsidRDefault="00EA4CEB" w:rsidP="007E709B">
      <w:pPr>
        <w:bidi/>
        <w:spacing w:after="140" w:line="320" w:lineRule="auto"/>
      </w:pPr>
      <w:r>
        <w:rPr>
          <w:b/>
          <w:bCs/>
          <w:sz w:val="25"/>
          <w:szCs w:val="25"/>
          <w:lang w:val="ar-SA"/>
        </w:rPr>
        <w:t>‏شروط المشاركة</w:t>
      </w:r>
    </w:p>
    <w:p w14:paraId="71A0D5E6" w14:textId="77777777" w:rsidR="00EB5CBD" w:rsidRDefault="00EA4CEB">
      <w:pPr>
        <w:pStyle w:val="a4"/>
        <w:numPr>
          <w:ilvl w:val="0"/>
          <w:numId w:val="2"/>
        </w:numPr>
        <w:bidi/>
        <w:spacing w:after="100" w:line="300" w:lineRule="auto"/>
        <w:jc w:val="both"/>
      </w:pPr>
      <w:r>
        <w:t>أن تكون المنشأة مسجلة رسميًا في المملكة العربية السعودية بسجل تجاري ساري المفعول.</w:t>
      </w:r>
    </w:p>
    <w:p w14:paraId="423AD409" w14:textId="77777777" w:rsidR="00EB5CBD" w:rsidRDefault="00EA4CEB">
      <w:pPr>
        <w:pStyle w:val="a4"/>
        <w:numPr>
          <w:ilvl w:val="0"/>
          <w:numId w:val="2"/>
        </w:numPr>
        <w:bidi/>
        <w:spacing w:after="100" w:line="300" w:lineRule="auto"/>
        <w:jc w:val="both"/>
      </w:pPr>
      <w:r>
        <w:t xml:space="preserve">أن تنطبق عليها معايير التصنيف كمنشأة صغيرة أو متوسطة وفق الفقرة </w:t>
      </w:r>
      <w:r>
        <w:rPr>
          <w:rtl w:val="0"/>
        </w:rPr>
        <w:t>‎3.4‎</w:t>
      </w:r>
      <w:r>
        <w:t>.</w:t>
      </w:r>
    </w:p>
    <w:p w14:paraId="65E5444B" w14:textId="77777777" w:rsidR="00EB5CBD" w:rsidRDefault="00EA4CEB">
      <w:pPr>
        <w:pStyle w:val="a4"/>
        <w:numPr>
          <w:ilvl w:val="0"/>
          <w:numId w:val="2"/>
        </w:numPr>
        <w:bidi/>
        <w:spacing w:after="100" w:line="300" w:lineRule="auto"/>
        <w:jc w:val="both"/>
      </w:pPr>
      <w:r>
        <w:t xml:space="preserve">أن يكون المشارك مديرًا أو مسؤولًا مطلعًا فعليًا على الأنشطة التسويقية الرقمية للمنشأة، وفق المسميات الوظيفية المحددة في الفقرة </w:t>
      </w:r>
      <w:r>
        <w:rPr>
          <w:rtl w:val="0"/>
        </w:rPr>
        <w:t>‎3.5‎</w:t>
      </w:r>
      <w:r>
        <w:t>.</w:t>
      </w:r>
    </w:p>
    <w:p w14:paraId="2779E816" w14:textId="77777777" w:rsidR="00EB5CBD" w:rsidRDefault="00EA4CEB">
      <w:pPr>
        <w:pStyle w:val="a4"/>
        <w:numPr>
          <w:ilvl w:val="0"/>
          <w:numId w:val="2"/>
        </w:numPr>
        <w:bidi/>
        <w:spacing w:after="100" w:line="300" w:lineRule="auto"/>
        <w:jc w:val="both"/>
      </w:pPr>
      <w:r>
        <w:rPr>
          <w:lang w:val="ar-SA"/>
        </w:rPr>
        <w:t>أن يمتلك المشارك خبرة لا تقل عن ستة أشهر داخل المنشأة الحالية، بما يتيح له إجابة موثوقة عن ممارساتها التسويقية.</w:t>
      </w:r>
    </w:p>
    <w:p w14:paraId="0AC94A9E" w14:textId="77777777" w:rsidR="00EB5CBD" w:rsidRDefault="00EA4CEB">
      <w:pPr>
        <w:pStyle w:val="a4"/>
        <w:numPr>
          <w:ilvl w:val="0"/>
          <w:numId w:val="2"/>
        </w:numPr>
        <w:bidi/>
        <w:spacing w:after="100" w:line="300" w:lineRule="auto"/>
        <w:jc w:val="both"/>
      </w:pPr>
      <w:r>
        <w:rPr>
          <w:lang w:val="ar-SA"/>
        </w:rPr>
        <w:t>أن تكون المنشأة قد مارست نشاطًا تسويقيًا رقميًا واحدًا على الأقل خلال الاثني عشر شهرًا السابقة لتاريخ تعبئة الاستبيان.</w:t>
      </w:r>
    </w:p>
    <w:p w14:paraId="674052D5" w14:textId="77777777" w:rsidR="00EB5CBD" w:rsidRDefault="00EA4CEB" w:rsidP="007E709B">
      <w:pPr>
        <w:bidi/>
        <w:spacing w:after="140" w:line="320" w:lineRule="auto"/>
      </w:pPr>
      <w:r>
        <w:rPr>
          <w:b/>
          <w:bCs/>
          <w:sz w:val="25"/>
          <w:szCs w:val="25"/>
          <w:lang w:val="ar-SA"/>
        </w:rPr>
        <w:t>‏شروط الاستبعاد</w:t>
      </w:r>
    </w:p>
    <w:p w14:paraId="29B6A181" w14:textId="77777777" w:rsidR="00EB5CBD" w:rsidRDefault="00EA4CEB">
      <w:pPr>
        <w:pStyle w:val="a4"/>
        <w:numPr>
          <w:ilvl w:val="0"/>
          <w:numId w:val="2"/>
        </w:numPr>
        <w:bidi/>
        <w:spacing w:after="100" w:line="300" w:lineRule="auto"/>
        <w:jc w:val="both"/>
      </w:pPr>
      <w:r>
        <w:rPr>
          <w:lang w:val="ar-SA"/>
        </w:rPr>
        <w:t>المنشآت متناهية الصغر أو الكبيرة.</w:t>
      </w:r>
    </w:p>
    <w:p w14:paraId="5E5E8975" w14:textId="77777777" w:rsidR="00EB5CBD" w:rsidRDefault="00EA4CEB">
      <w:pPr>
        <w:pStyle w:val="a4"/>
        <w:numPr>
          <w:ilvl w:val="0"/>
          <w:numId w:val="2"/>
        </w:numPr>
        <w:bidi/>
        <w:spacing w:after="100" w:line="300" w:lineRule="auto"/>
        <w:jc w:val="both"/>
      </w:pPr>
      <w:r>
        <w:t xml:space="preserve">الموظفون من غير المسميات الوظيفية المحددة في الفقرة </w:t>
      </w:r>
      <w:r>
        <w:rPr>
          <w:rtl w:val="0"/>
        </w:rPr>
        <w:t>‎3.5‎</w:t>
      </w:r>
      <w:r>
        <w:t>، حتى لو كانوا على اطلاع جزئي بالتسويق.</w:t>
      </w:r>
    </w:p>
    <w:p w14:paraId="6BCC4529" w14:textId="77777777" w:rsidR="00EB5CBD" w:rsidRDefault="00EA4CEB">
      <w:pPr>
        <w:pStyle w:val="a4"/>
        <w:numPr>
          <w:ilvl w:val="0"/>
          <w:numId w:val="2"/>
        </w:numPr>
        <w:bidi/>
        <w:spacing w:after="100" w:line="300" w:lineRule="auto"/>
        <w:jc w:val="both"/>
      </w:pPr>
      <w:r>
        <w:t xml:space="preserve">الاستجابات المكررة من المنشأة نفسها، باستثناء آخر رد مكتمل كما هو موضح في الفقرة </w:t>
      </w:r>
      <w:r>
        <w:rPr>
          <w:rtl w:val="0"/>
        </w:rPr>
        <w:t>‎3.5‎</w:t>
      </w:r>
      <w:r>
        <w:t>.</w:t>
      </w:r>
    </w:p>
    <w:p w14:paraId="1686392C" w14:textId="77777777" w:rsidR="00EB5CBD" w:rsidRDefault="00EA4CEB">
      <w:pPr>
        <w:pStyle w:val="a4"/>
        <w:numPr>
          <w:ilvl w:val="0"/>
          <w:numId w:val="2"/>
        </w:numPr>
        <w:bidi/>
        <w:spacing w:after="100" w:line="300" w:lineRule="auto"/>
        <w:jc w:val="right"/>
      </w:pPr>
      <w:r>
        <w:rPr>
          <w:color w:val="C00000"/>
        </w:rPr>
        <w:t>الاستجابات غير المكتملة التي تقل نسبة إتمامها عن الحد الأدنى المحدد في إجراءات تنظيف البيانات الموضحة في الفقرة 3.11.</w:t>
      </w:r>
    </w:p>
    <w:p w14:paraId="364C0974" w14:textId="77777777" w:rsidR="00EB5CBD" w:rsidRDefault="00EA4CEB">
      <w:pPr>
        <w:pStyle w:val="a4"/>
        <w:numPr>
          <w:ilvl w:val="0"/>
          <w:numId w:val="2"/>
        </w:numPr>
        <w:bidi/>
        <w:spacing w:after="100" w:line="300" w:lineRule="auto"/>
        <w:jc w:val="both"/>
        <w:rPr>
          <w:rtl w:val="0"/>
        </w:rPr>
      </w:pPr>
      <w:r>
        <w:lastRenderedPageBreak/>
        <w:t xml:space="preserve">الاستجابات التي تفشل في اختبارات الجودة، مثل الاستجابة النمطية أو زمن الإكمال غير المنطقي، وفق الإجراءات الموضحة في الفقرة </w:t>
      </w:r>
      <w:r>
        <w:rPr>
          <w:rtl w:val="0"/>
        </w:rPr>
        <w:t>‎3.11‎</w:t>
      </w:r>
      <w:r>
        <w:t>.</w:t>
      </w:r>
    </w:p>
    <w:p w14:paraId="1E137106" w14:textId="77777777" w:rsidR="00EA4CEB" w:rsidRDefault="00EA4CEB" w:rsidP="00EA4CEB">
      <w:pPr>
        <w:spacing w:after="100" w:line="300" w:lineRule="auto"/>
        <w:jc w:val="both"/>
      </w:pPr>
    </w:p>
    <w:p w14:paraId="6AE3AA66" w14:textId="77777777" w:rsidR="00EA4CEB" w:rsidRDefault="00EA4CEB" w:rsidP="00EA4CEB">
      <w:pPr>
        <w:spacing w:after="100" w:line="300" w:lineRule="auto"/>
        <w:jc w:val="both"/>
      </w:pPr>
    </w:p>
    <w:p w14:paraId="3B0D063D" w14:textId="77777777" w:rsidR="00EB5CBD" w:rsidRDefault="00EA4CEB" w:rsidP="007E709B">
      <w:pPr>
        <w:bidi/>
        <w:spacing w:after="160" w:line="320" w:lineRule="auto"/>
      </w:pPr>
      <w:r>
        <w:rPr>
          <w:b/>
          <w:rtl w:val="0"/>
        </w:rPr>
        <w:t>‎3.7‎</w:t>
      </w:r>
      <w:r>
        <w:rPr>
          <w:b/>
        </w:rPr>
        <w:t xml:space="preserve"> عينة الدراسة الكمية</w:t>
      </w:r>
    </w:p>
    <w:p w14:paraId="7DB51D4F" w14:textId="77777777" w:rsidR="00EB5CBD" w:rsidRDefault="00EA4CEB" w:rsidP="007E709B">
      <w:pPr>
        <w:bidi/>
        <w:spacing w:after="140" w:line="320" w:lineRule="auto"/>
      </w:pPr>
      <w:r>
        <w:rPr>
          <w:b/>
          <w:rtl w:val="0"/>
        </w:rPr>
        <w:t>‎3.7.1‎</w:t>
      </w:r>
      <w:r>
        <w:rPr>
          <w:b/>
        </w:rPr>
        <w:t xml:space="preserve"> طريقة المعاينة وإطار المعاينة</w:t>
      </w:r>
    </w:p>
    <w:p w14:paraId="28326706" w14:textId="77777777" w:rsidR="00EB5CBD" w:rsidRDefault="00EA4CEB">
      <w:pPr>
        <w:bidi/>
        <w:spacing w:after="160" w:line="320" w:lineRule="auto"/>
        <w:jc w:val="both"/>
      </w:pPr>
      <w:r>
        <w:rPr>
          <w:color w:val="FF0000"/>
        </w:rPr>
        <w:t>لا تتوافر لدى الباحثة، حتى إعداد هذه الخطة، قائمة رسمية شاملة تضم جميع المنشآت الصغيرة والمتوسطة في المملكة وبيانات التواصل معها؛ لذلك لا يصح وصف العينة بأنها عينة طبقية عشوائية على مستوى المملكة. ستعتمد الدراسة عينة طبقية حصصية داخل المجتمع المتاح في المدن الخمس: الرياض، جدة، الدمام، المدينة المنورة، وأبها. اختيرت هذه المدن لتحقيق تنوع جغرافي واقتصادي بين مناطق المملكة ووجود كثافة معتبرة من الأنشطة التجارية والخدمية والصناعية، مع الاعتراف بأن هذا الاختيار قصدي ولا يحقق تمثيلًا احتماليًا متساويًا لكل المناطق. وتُقسم الحصص بحسب القطاعات التجاري والخدمي والصناعي وبحسب المدينة، ثم تُستخدم معاينة قصدية ملائمة للوصول إلى المستجيبين المؤهلين داخل كل حصة من خلال غرف التجارة، وجمعيات الأعمال، ومنصات التواصل المهني، وقواعد بيانات مراكز دعم المنشآت عند توفرها.</w:t>
      </w:r>
    </w:p>
    <w:p w14:paraId="30A70674" w14:textId="77777777" w:rsidR="00EB5CBD" w:rsidRDefault="00EA4CEB">
      <w:pPr>
        <w:bidi/>
        <w:spacing w:after="160" w:line="320" w:lineRule="auto"/>
        <w:jc w:val="both"/>
      </w:pPr>
      <w:r>
        <w:rPr>
          <w:rFonts w:ascii="Arial" w:eastAsia="Arial" w:hAnsi="Arial" w:cs="Arial"/>
          <w:color w:val="FF0000"/>
          <w:lang w:val="ar-SA"/>
        </w:rPr>
        <w:t>ستُوثق مصادر التواصل الفعلية المستخدمة لكل مدينة وقطاع عند التنفيذ، وطريقة بناء قوائم المرشحين وتوزيع الدعوات. إذا توافرت داخل إحدى الحصص قائمة مرشحين يزيد عددها على العدد المطلوب، سيُستخدم اختيار عشوائي بسيط داخل تلك القائمة، ويُستبدل الرافض بمرشح آخر من الحصة نفسها. وتُذكر حدود التعميم في فصل النتائج والمناقشة صراحةً: النتائج لا تعني تمثيل جميع مناطق المملكة بالدرجة نفسها، بل تعكس المنشآت المؤهلة التي أمكن الوصول إليها في المدن الخمس المشمولة.</w:t>
      </w:r>
    </w:p>
    <w:p w14:paraId="12AF6F9A" w14:textId="77777777" w:rsidR="00EB5CBD" w:rsidRDefault="00EA4CEB" w:rsidP="007E709B">
      <w:pPr>
        <w:bidi/>
        <w:spacing w:after="140" w:line="320" w:lineRule="auto"/>
      </w:pPr>
      <w:r>
        <w:rPr>
          <w:b/>
          <w:rtl w:val="0"/>
        </w:rPr>
        <w:t>‎3.7.2‎</w:t>
      </w:r>
      <w:r>
        <w:rPr>
          <w:b/>
        </w:rPr>
        <w:t xml:space="preserve"> تبرير حجم العينة إحصائيًا</w:t>
      </w:r>
    </w:p>
    <w:p w14:paraId="6F592A27" w14:textId="77777777" w:rsidR="00EB5CBD" w:rsidRDefault="00EA4CEB">
      <w:pPr>
        <w:bidi/>
        <w:spacing w:after="160" w:line="320" w:lineRule="auto"/>
        <w:jc w:val="both"/>
      </w:pPr>
      <w:r>
        <w:rPr>
          <w:color w:val="FF0000"/>
        </w:rPr>
        <w:t xml:space="preserve">لا يُكتفى بقاعدة العشرة أضعاف لتبرير حجم العينة. أُعيد حساب تحليل القوة الإحصائية المسبق وفق إعدادات </w:t>
      </w:r>
      <w:r>
        <w:rPr>
          <w:color w:val="FF0000"/>
          <w:rtl w:val="0"/>
        </w:rPr>
        <w:t>‎G*Power 3.1‎</w:t>
      </w:r>
      <w:r>
        <w:rPr>
          <w:color w:val="FF0000"/>
        </w:rPr>
        <w:t xml:space="preserve"> باستخدام اختبار الانحدار الخطي المتعدد للنموذج الثابت، مع اختبار الانحراف عن الصفر في معامل التحديد </w:t>
      </w:r>
      <w:r>
        <w:rPr>
          <w:color w:val="FF0000"/>
          <w:rtl w:val="0"/>
        </w:rPr>
        <w:t>‎R².‎</w:t>
      </w:r>
      <w:r>
        <w:rPr>
          <w:color w:val="FF0000"/>
        </w:rPr>
        <w:t xml:space="preserve"> واعتمد الحساب أكبر عدد فعلي من المتنبئات الداخلة على متغير تابع واحد في النموذج البنائي. ولأغراض الحساب المحافظ لمعادلة الأداء التسويقي، أُدخلت ثمانية متنبئات: تبنّي تقنيات الذكاء الاصطناعي، والتسويق الرقمي، ومتغير لحجم المنشأة، ومتغيران وهميان للقطاع، وثلاثة متغيرات وهمية لفئات الإنفاق التسويقي. وبذلك يكون عدد المتنبئات المستخدم في تحليل القوة ثمانية متنبئات.</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00"/>
      </w:tblGrid>
      <w:tr w:rsidR="00EB5CBD" w14:paraId="2B2CEA4B" w14:textId="77777777" w:rsidTr="007E709B">
        <w:trPr>
          <w:tblHeader/>
        </w:trPr>
        <w:tc>
          <w:tcPr>
            <w:tcW w:w="3300" w:type="dxa"/>
            <w:tcBorders>
              <w:top w:val="single" w:sz="4" w:space="0" w:color="999999"/>
              <w:left w:val="single" w:sz="4" w:space="0" w:color="999999"/>
              <w:bottom w:val="single" w:sz="4" w:space="0" w:color="999999"/>
              <w:right w:val="single" w:sz="4" w:space="0" w:color="999999"/>
            </w:tcBorders>
            <w:shd w:val="clear" w:color="auto" w:fill="2F5496"/>
          </w:tcPr>
          <w:p w14:paraId="4AB317BF" w14:textId="77777777"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البارامتر</w:t>
            </w:r>
          </w:p>
        </w:tc>
        <w:tc>
          <w:tcPr>
            <w:tcW w:w="5700" w:type="dxa"/>
            <w:tcBorders>
              <w:top w:val="single" w:sz="4" w:space="0" w:color="999999"/>
              <w:left w:val="single" w:sz="4" w:space="0" w:color="999999"/>
              <w:bottom w:val="single" w:sz="4" w:space="0" w:color="999999"/>
              <w:right w:val="single" w:sz="4" w:space="0" w:color="999999"/>
            </w:tcBorders>
            <w:shd w:val="clear" w:color="auto" w:fill="2F5496"/>
          </w:tcPr>
          <w:p w14:paraId="53A2E4B6" w14:textId="77777777"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القيمة المعتمدة</w:t>
            </w:r>
          </w:p>
        </w:tc>
      </w:tr>
      <w:tr w:rsidR="00EB5CBD" w14:paraId="321FFD3B" w14:textId="77777777">
        <w:tc>
          <w:tcPr>
            <w:tcW w:w="3300" w:type="dxa"/>
            <w:tcBorders>
              <w:top w:val="single" w:sz="4" w:space="0" w:color="999999"/>
              <w:left w:val="single" w:sz="4" w:space="0" w:color="999999"/>
              <w:bottom w:val="single" w:sz="4" w:space="0" w:color="999999"/>
              <w:right w:val="single" w:sz="4" w:space="0" w:color="999999"/>
            </w:tcBorders>
          </w:tcPr>
          <w:p w14:paraId="7525005B" w14:textId="77777777" w:rsidR="00EB5CBD" w:rsidRDefault="00EA4CEB" w:rsidP="004148DE">
            <w:pPr>
              <w:bidi/>
              <w:spacing w:after="60" w:line="320" w:lineRule="auto"/>
              <w:jc w:val="center"/>
            </w:pPr>
            <w:r>
              <w:rPr>
                <w:rFonts w:ascii="Arial" w:hAnsi="Arial"/>
                <w:color w:val="FF0000"/>
                <w:sz w:val="21"/>
                <w:lang w:val="ar-SA"/>
              </w:rPr>
              <w:t>نوع الاختبار</w:t>
            </w:r>
          </w:p>
        </w:tc>
        <w:tc>
          <w:tcPr>
            <w:tcW w:w="5700" w:type="dxa"/>
            <w:tcBorders>
              <w:top w:val="single" w:sz="4" w:space="0" w:color="999999"/>
              <w:left w:val="single" w:sz="4" w:space="0" w:color="999999"/>
              <w:bottom w:val="single" w:sz="4" w:space="0" w:color="999999"/>
              <w:right w:val="single" w:sz="4" w:space="0" w:color="999999"/>
            </w:tcBorders>
          </w:tcPr>
          <w:p w14:paraId="278B9D58" w14:textId="77777777" w:rsidR="00EB5CBD" w:rsidRDefault="00EA4CEB" w:rsidP="004148DE">
            <w:pPr>
              <w:spacing w:after="60" w:line="320" w:lineRule="auto"/>
              <w:jc w:val="center"/>
            </w:pPr>
            <w:r>
              <w:rPr>
                <w:rFonts w:ascii="Arial" w:hAnsi="Arial"/>
                <w:color w:val="FF0000"/>
                <w:sz w:val="21"/>
              </w:rPr>
              <w:t>Linear multiple regression: Fixed model, R² deviation from zero</w:t>
            </w:r>
          </w:p>
        </w:tc>
      </w:tr>
      <w:tr w:rsidR="00EB5CBD" w14:paraId="5E42173F" w14:textId="77777777">
        <w:tc>
          <w:tcPr>
            <w:tcW w:w="3300" w:type="dxa"/>
            <w:tcBorders>
              <w:top w:val="single" w:sz="4" w:space="0" w:color="999999"/>
              <w:left w:val="single" w:sz="4" w:space="0" w:color="999999"/>
              <w:bottom w:val="single" w:sz="4" w:space="0" w:color="999999"/>
              <w:right w:val="single" w:sz="4" w:space="0" w:color="999999"/>
            </w:tcBorders>
            <w:shd w:val="clear" w:color="auto" w:fill="F2F2F2"/>
          </w:tcPr>
          <w:p w14:paraId="1042861F" w14:textId="77777777" w:rsidR="0099616A" w:rsidRDefault="003D1F04" w:rsidP="004148DE">
            <w:pPr>
              <w:bidi/>
              <w:jc w:val="center"/>
            </w:pPr>
            <w:r>
              <w:rPr>
                <w:color w:val="FF0000"/>
              </w:rPr>
              <w:t>حجم الأثر المتوقع</w:t>
            </w:r>
          </w:p>
        </w:tc>
        <w:tc>
          <w:tcPr>
            <w:tcW w:w="5700" w:type="dxa"/>
            <w:tcBorders>
              <w:top w:val="single" w:sz="4" w:space="0" w:color="999999"/>
              <w:left w:val="single" w:sz="4" w:space="0" w:color="999999"/>
              <w:bottom w:val="single" w:sz="4" w:space="0" w:color="999999"/>
              <w:right w:val="single" w:sz="4" w:space="0" w:color="999999"/>
            </w:tcBorders>
            <w:shd w:val="clear" w:color="auto" w:fill="F2F2F2"/>
          </w:tcPr>
          <w:p w14:paraId="632003E3" w14:textId="77777777" w:rsidR="0099616A" w:rsidRDefault="003D1F04" w:rsidP="004148DE">
            <w:pPr>
              <w:bidi/>
              <w:jc w:val="center"/>
            </w:pPr>
            <w:r>
              <w:rPr>
                <w:color w:val="FF0000"/>
                <w:rtl w:val="0"/>
              </w:rPr>
              <w:t>‎0.15‎</w:t>
            </w:r>
            <w:r>
              <w:rPr>
                <w:color w:val="FF0000"/>
              </w:rPr>
              <w:t xml:space="preserve"> - أثر متوسط</w:t>
            </w:r>
          </w:p>
        </w:tc>
      </w:tr>
      <w:tr w:rsidR="00EB5CBD" w14:paraId="626FE1FA" w14:textId="77777777">
        <w:tc>
          <w:tcPr>
            <w:tcW w:w="3300" w:type="dxa"/>
            <w:tcBorders>
              <w:top w:val="single" w:sz="4" w:space="0" w:color="999999"/>
              <w:left w:val="single" w:sz="4" w:space="0" w:color="999999"/>
              <w:bottom w:val="single" w:sz="4" w:space="0" w:color="999999"/>
              <w:right w:val="single" w:sz="4" w:space="0" w:color="999999"/>
            </w:tcBorders>
          </w:tcPr>
          <w:p w14:paraId="2882A86D" w14:textId="77777777" w:rsidR="0099616A" w:rsidRDefault="003D1F04" w:rsidP="004148DE">
            <w:pPr>
              <w:bidi/>
              <w:jc w:val="center"/>
            </w:pPr>
            <w:r>
              <w:rPr>
                <w:color w:val="FF0000"/>
              </w:rPr>
              <w:t>مستوى الدلالة</w:t>
            </w:r>
          </w:p>
        </w:tc>
        <w:tc>
          <w:tcPr>
            <w:tcW w:w="5700" w:type="dxa"/>
            <w:tcBorders>
              <w:top w:val="single" w:sz="4" w:space="0" w:color="999999"/>
              <w:left w:val="single" w:sz="4" w:space="0" w:color="999999"/>
              <w:bottom w:val="single" w:sz="4" w:space="0" w:color="999999"/>
              <w:right w:val="single" w:sz="4" w:space="0" w:color="999999"/>
            </w:tcBorders>
          </w:tcPr>
          <w:p w14:paraId="37841D96" w14:textId="77777777" w:rsidR="0099616A" w:rsidRDefault="003D1F04" w:rsidP="004148DE">
            <w:pPr>
              <w:jc w:val="center"/>
            </w:pPr>
            <w:r>
              <w:rPr>
                <w:color w:val="FF0000"/>
              </w:rPr>
              <w:t>0.05</w:t>
            </w:r>
          </w:p>
        </w:tc>
      </w:tr>
      <w:tr w:rsidR="00EB5CBD" w14:paraId="5CD162E8" w14:textId="77777777">
        <w:tc>
          <w:tcPr>
            <w:tcW w:w="3300" w:type="dxa"/>
            <w:tcBorders>
              <w:top w:val="single" w:sz="4" w:space="0" w:color="999999"/>
              <w:left w:val="single" w:sz="4" w:space="0" w:color="999999"/>
              <w:bottom w:val="single" w:sz="4" w:space="0" w:color="999999"/>
              <w:right w:val="single" w:sz="4" w:space="0" w:color="999999"/>
            </w:tcBorders>
            <w:shd w:val="clear" w:color="auto" w:fill="F2F2F2"/>
          </w:tcPr>
          <w:p w14:paraId="793D0F88" w14:textId="77777777" w:rsidR="0099616A" w:rsidRDefault="003D1F04" w:rsidP="004148DE">
            <w:pPr>
              <w:bidi/>
              <w:jc w:val="center"/>
            </w:pPr>
            <w:r>
              <w:rPr>
                <w:color w:val="FF0000"/>
              </w:rPr>
              <w:lastRenderedPageBreak/>
              <w:t>القوة الإحصائية المستهدفة</w:t>
            </w:r>
          </w:p>
        </w:tc>
        <w:tc>
          <w:tcPr>
            <w:tcW w:w="5700" w:type="dxa"/>
            <w:tcBorders>
              <w:top w:val="single" w:sz="4" w:space="0" w:color="999999"/>
              <w:left w:val="single" w:sz="4" w:space="0" w:color="999999"/>
              <w:bottom w:val="single" w:sz="4" w:space="0" w:color="999999"/>
              <w:right w:val="single" w:sz="4" w:space="0" w:color="999999"/>
            </w:tcBorders>
            <w:shd w:val="clear" w:color="auto" w:fill="F2F2F2"/>
          </w:tcPr>
          <w:p w14:paraId="3689BAD6" w14:textId="77777777" w:rsidR="0099616A" w:rsidRDefault="003D1F04" w:rsidP="004148DE">
            <w:pPr>
              <w:jc w:val="center"/>
            </w:pPr>
            <w:r>
              <w:rPr>
                <w:color w:val="FF0000"/>
              </w:rPr>
              <w:t>0.95</w:t>
            </w:r>
          </w:p>
        </w:tc>
      </w:tr>
      <w:tr w:rsidR="00EB5CBD" w14:paraId="38108F54" w14:textId="77777777">
        <w:tc>
          <w:tcPr>
            <w:tcW w:w="3300" w:type="dxa"/>
            <w:tcBorders>
              <w:top w:val="single" w:sz="4" w:space="0" w:color="999999"/>
              <w:left w:val="single" w:sz="4" w:space="0" w:color="999999"/>
              <w:bottom w:val="single" w:sz="4" w:space="0" w:color="999999"/>
              <w:right w:val="single" w:sz="4" w:space="0" w:color="999999"/>
            </w:tcBorders>
          </w:tcPr>
          <w:p w14:paraId="67CC3CD7" w14:textId="77777777" w:rsidR="00EB5CBD" w:rsidRDefault="00EA4CEB" w:rsidP="004148DE">
            <w:pPr>
              <w:bidi/>
              <w:spacing w:after="60" w:line="320" w:lineRule="auto"/>
              <w:jc w:val="center"/>
            </w:pPr>
            <w:r>
              <w:rPr>
                <w:rFonts w:ascii="Arial" w:hAnsi="Arial"/>
                <w:color w:val="FF0000"/>
                <w:sz w:val="21"/>
                <w:lang w:val="ar-SA"/>
              </w:rPr>
              <w:t>عدد المتنبئات المستخدمة في الحساب</w:t>
            </w:r>
          </w:p>
        </w:tc>
        <w:tc>
          <w:tcPr>
            <w:tcW w:w="5700" w:type="dxa"/>
            <w:tcBorders>
              <w:top w:val="single" w:sz="4" w:space="0" w:color="999999"/>
              <w:left w:val="single" w:sz="4" w:space="0" w:color="999999"/>
              <w:bottom w:val="single" w:sz="4" w:space="0" w:color="999999"/>
              <w:right w:val="single" w:sz="4" w:space="0" w:color="999999"/>
            </w:tcBorders>
            <w:vAlign w:val="center"/>
          </w:tcPr>
          <w:p w14:paraId="2146E6CA" w14:textId="77777777" w:rsidR="0099616A" w:rsidRDefault="003D1F04" w:rsidP="004148DE">
            <w:pPr>
              <w:bidi/>
              <w:jc w:val="center"/>
            </w:pPr>
            <w:r>
              <w:rPr>
                <w:rFonts w:ascii="Arial" w:hAnsi="Arial"/>
                <w:color w:val="FF0000"/>
                <w:sz w:val="21"/>
                <w:lang w:val="ar-SA"/>
              </w:rPr>
              <w:t>8 - تبنّي الذكاء الاصطناعي، التسويق الرقمي، متغير لحجم المنشأة، متغيران وهميان للقطاع، وثلاثة متغيرات وهمية لفئات الإنفاق التسويقي</w:t>
            </w:r>
          </w:p>
        </w:tc>
      </w:tr>
      <w:tr w:rsidR="0099616A" w14:paraId="43DF24F6" w14:textId="77777777">
        <w:tc>
          <w:tcPr>
            <w:tcW w:w="3300" w:type="dxa"/>
            <w:vAlign w:val="center"/>
          </w:tcPr>
          <w:p w14:paraId="6E5748FA" w14:textId="77777777" w:rsidR="0099616A" w:rsidRDefault="003D1F04" w:rsidP="004148DE">
            <w:pPr>
              <w:bidi/>
              <w:jc w:val="center"/>
            </w:pPr>
            <w:r>
              <w:rPr>
                <w:color w:val="FF0000"/>
              </w:rPr>
              <w:t>الحد الأدنى للعينة</w:t>
            </w:r>
          </w:p>
        </w:tc>
        <w:tc>
          <w:tcPr>
            <w:tcW w:w="5700" w:type="dxa"/>
            <w:vAlign w:val="center"/>
          </w:tcPr>
          <w:p w14:paraId="25979941" w14:textId="77777777" w:rsidR="0099616A" w:rsidRDefault="003D1F04" w:rsidP="004148DE">
            <w:pPr>
              <w:jc w:val="center"/>
            </w:pPr>
            <w:r>
              <w:rPr>
                <w:color w:val="FF0000"/>
              </w:rPr>
              <w:t>160</w:t>
            </w:r>
          </w:p>
        </w:tc>
      </w:tr>
      <w:tr w:rsidR="0099616A" w14:paraId="4E106597" w14:textId="77777777">
        <w:tc>
          <w:tcPr>
            <w:tcW w:w="3300" w:type="dxa"/>
            <w:vAlign w:val="center"/>
          </w:tcPr>
          <w:p w14:paraId="6299BCBE" w14:textId="77777777" w:rsidR="0099616A" w:rsidRDefault="003D1F04" w:rsidP="004148DE">
            <w:pPr>
              <w:bidi/>
              <w:jc w:val="center"/>
            </w:pPr>
            <w:r>
              <w:rPr>
                <w:color w:val="FF0000"/>
              </w:rPr>
              <w:t>درجات الحرية للبسط</w:t>
            </w:r>
          </w:p>
        </w:tc>
        <w:tc>
          <w:tcPr>
            <w:tcW w:w="5700" w:type="dxa"/>
            <w:vAlign w:val="center"/>
          </w:tcPr>
          <w:p w14:paraId="3EEABAE3" w14:textId="77777777" w:rsidR="0099616A" w:rsidRDefault="003D1F04" w:rsidP="004148DE">
            <w:pPr>
              <w:jc w:val="center"/>
            </w:pPr>
            <w:r>
              <w:rPr>
                <w:color w:val="FF0000"/>
              </w:rPr>
              <w:t>8</w:t>
            </w:r>
          </w:p>
        </w:tc>
      </w:tr>
      <w:tr w:rsidR="0099616A" w14:paraId="14E59022" w14:textId="77777777">
        <w:tc>
          <w:tcPr>
            <w:tcW w:w="3300" w:type="dxa"/>
            <w:vAlign w:val="center"/>
          </w:tcPr>
          <w:p w14:paraId="66162480" w14:textId="77777777" w:rsidR="0099616A" w:rsidRDefault="003D1F04" w:rsidP="004148DE">
            <w:pPr>
              <w:bidi/>
              <w:jc w:val="center"/>
            </w:pPr>
            <w:r>
              <w:rPr>
                <w:color w:val="FF0000"/>
              </w:rPr>
              <w:t>درجات الحرية للمقام</w:t>
            </w:r>
          </w:p>
        </w:tc>
        <w:tc>
          <w:tcPr>
            <w:tcW w:w="5700" w:type="dxa"/>
            <w:vAlign w:val="center"/>
          </w:tcPr>
          <w:p w14:paraId="7A8329BF" w14:textId="77777777" w:rsidR="0099616A" w:rsidRDefault="003D1F04" w:rsidP="004148DE">
            <w:pPr>
              <w:jc w:val="center"/>
            </w:pPr>
            <w:r>
              <w:rPr>
                <w:color w:val="FF0000"/>
              </w:rPr>
              <w:t>151</w:t>
            </w:r>
          </w:p>
        </w:tc>
      </w:tr>
      <w:tr w:rsidR="0099616A" w14:paraId="54E273AA" w14:textId="77777777">
        <w:tc>
          <w:tcPr>
            <w:tcW w:w="3300" w:type="dxa"/>
            <w:vAlign w:val="center"/>
          </w:tcPr>
          <w:p w14:paraId="45D712B0" w14:textId="77777777" w:rsidR="0099616A" w:rsidRDefault="003D1F04" w:rsidP="004148DE">
            <w:pPr>
              <w:bidi/>
              <w:jc w:val="center"/>
            </w:pPr>
            <w:r>
              <w:rPr>
                <w:color w:val="FF0000"/>
              </w:rPr>
              <w:t>القيمة الحرجة للاختبار</w:t>
            </w:r>
          </w:p>
        </w:tc>
        <w:tc>
          <w:tcPr>
            <w:tcW w:w="5700" w:type="dxa"/>
            <w:vAlign w:val="center"/>
          </w:tcPr>
          <w:p w14:paraId="66F4B577" w14:textId="77777777" w:rsidR="0099616A" w:rsidRDefault="003D1F04" w:rsidP="004148DE">
            <w:pPr>
              <w:jc w:val="center"/>
            </w:pPr>
            <w:r>
              <w:rPr>
                <w:rFonts w:ascii="Arial" w:hAnsi="Arial"/>
                <w:color w:val="FF0000"/>
                <w:sz w:val="21"/>
                <w:lang w:val="ar-SA"/>
              </w:rPr>
              <w:t>2.0002</w:t>
            </w:r>
          </w:p>
        </w:tc>
      </w:tr>
      <w:tr w:rsidR="0099616A" w14:paraId="3B4C85AF" w14:textId="77777777">
        <w:tc>
          <w:tcPr>
            <w:tcW w:w="3300" w:type="dxa"/>
            <w:vAlign w:val="center"/>
          </w:tcPr>
          <w:p w14:paraId="0E7C2E02" w14:textId="77777777" w:rsidR="0099616A" w:rsidRDefault="003D1F04" w:rsidP="004148DE">
            <w:pPr>
              <w:bidi/>
              <w:jc w:val="center"/>
            </w:pPr>
            <w:r>
              <w:rPr>
                <w:color w:val="FF0000"/>
              </w:rPr>
              <w:t>معلمة اللامركزية</w:t>
            </w:r>
          </w:p>
        </w:tc>
        <w:tc>
          <w:tcPr>
            <w:tcW w:w="5700" w:type="dxa"/>
            <w:vAlign w:val="center"/>
          </w:tcPr>
          <w:p w14:paraId="4CFDAFC2" w14:textId="77777777" w:rsidR="0099616A" w:rsidRDefault="003D1F04" w:rsidP="004148DE">
            <w:pPr>
              <w:jc w:val="center"/>
            </w:pPr>
            <w:r>
              <w:rPr>
                <w:color w:val="FF0000"/>
              </w:rPr>
              <w:t>24.00</w:t>
            </w:r>
          </w:p>
        </w:tc>
      </w:tr>
      <w:tr w:rsidR="0099616A" w14:paraId="163CA16C" w14:textId="77777777">
        <w:tc>
          <w:tcPr>
            <w:tcW w:w="3300" w:type="dxa"/>
            <w:vAlign w:val="center"/>
          </w:tcPr>
          <w:p w14:paraId="01B16D1C" w14:textId="77777777" w:rsidR="0099616A" w:rsidRDefault="003D1F04" w:rsidP="004148DE">
            <w:pPr>
              <w:bidi/>
              <w:jc w:val="center"/>
            </w:pPr>
            <w:r>
              <w:rPr>
                <w:color w:val="FF0000"/>
              </w:rPr>
              <w:t>القوة الفعلية</w:t>
            </w:r>
          </w:p>
        </w:tc>
        <w:tc>
          <w:tcPr>
            <w:tcW w:w="5700" w:type="dxa"/>
            <w:vAlign w:val="center"/>
          </w:tcPr>
          <w:p w14:paraId="0EB3792E" w14:textId="77777777" w:rsidR="0099616A" w:rsidRDefault="003D1F04" w:rsidP="004148DE">
            <w:pPr>
              <w:jc w:val="center"/>
            </w:pPr>
            <w:r>
              <w:rPr>
                <w:color w:val="FF0000"/>
              </w:rPr>
              <w:t>0.9506</w:t>
            </w:r>
          </w:p>
        </w:tc>
      </w:tr>
    </w:tbl>
    <w:p w14:paraId="2F097032" w14:textId="77777777" w:rsidR="00EB5CBD" w:rsidRDefault="00EB5CBD">
      <w:pPr>
        <w:spacing w:after="160"/>
      </w:pPr>
    </w:p>
    <w:p w14:paraId="1821FE57" w14:textId="77777777" w:rsidR="00EB5CBD" w:rsidRDefault="00EA4CEB">
      <w:pPr>
        <w:bidi/>
        <w:spacing w:after="160" w:line="320" w:lineRule="auto"/>
        <w:jc w:val="both"/>
      </w:pPr>
      <w:r>
        <w:rPr>
          <w:color w:val="FF0000"/>
        </w:rPr>
        <w:t xml:space="preserve">باستخدام حجم أثر متوسط قدره </w:t>
      </w:r>
      <w:r>
        <w:rPr>
          <w:color w:val="FF0000"/>
          <w:rtl w:val="0"/>
        </w:rPr>
        <w:t>‎0.15‎</w:t>
      </w:r>
      <w:r>
        <w:rPr>
          <w:color w:val="FF0000"/>
        </w:rPr>
        <w:t xml:space="preserve">، ومستوى دلالة </w:t>
      </w:r>
      <w:r>
        <w:rPr>
          <w:color w:val="FF0000"/>
          <w:rtl w:val="0"/>
        </w:rPr>
        <w:t>‎0.05‎</w:t>
      </w:r>
      <w:r>
        <w:rPr>
          <w:color w:val="FF0000"/>
        </w:rPr>
        <w:t xml:space="preserve">، وقوة إحصائية مستهدفة </w:t>
      </w:r>
      <w:r>
        <w:rPr>
          <w:color w:val="FF0000"/>
          <w:rtl w:val="0"/>
        </w:rPr>
        <w:t>‎0.95‎</w:t>
      </w:r>
      <w:r>
        <w:rPr>
          <w:color w:val="FF0000"/>
        </w:rPr>
        <w:t xml:space="preserve">، وعدد متنبئات قدره 8، بلغ الحد الأدنى المطلوب للعينة 160 استجابة صالحة، وبلغت القوة الفعلية المحسوبة نحو </w:t>
      </w:r>
      <w:r>
        <w:rPr>
          <w:color w:val="FF0000"/>
          <w:rtl w:val="0"/>
        </w:rPr>
        <w:t>‎0.9506‎</w:t>
      </w:r>
      <w:r>
        <w:rPr>
          <w:color w:val="FF0000"/>
        </w:rPr>
        <w:t>. وعليه، فإن الحجم المستهدف البالغ 300 منشأة يتجاوز الحد الأدنى الإحصائي بفارق مريح، ويوفر هامشًا مناسبًا للاستبعادات بعد تنظيف البيانات ولإجراء التحليلات الفرعية المخططة.</w:t>
      </w:r>
    </w:p>
    <w:p w14:paraId="6B2710B7" w14:textId="77777777" w:rsidR="00EB5CBD" w:rsidRDefault="00EA4CEB" w:rsidP="007E709B">
      <w:pPr>
        <w:bidi/>
        <w:spacing w:after="140" w:line="320" w:lineRule="auto"/>
      </w:pPr>
      <w:r>
        <w:rPr>
          <w:b/>
          <w:rtl w:val="0"/>
        </w:rPr>
        <w:t>‎3.7.3‎</w:t>
      </w:r>
      <w:r>
        <w:rPr>
          <w:b/>
        </w:rPr>
        <w:t xml:space="preserve"> خطة توزيع العينة المستهدفة</w:t>
      </w:r>
    </w:p>
    <w:p w14:paraId="54B936C3" w14:textId="77777777" w:rsidR="00EB5CBD" w:rsidRDefault="00EA4CEB">
      <w:pPr>
        <w:bidi/>
        <w:spacing w:after="160" w:line="320" w:lineRule="auto"/>
        <w:jc w:val="both"/>
      </w:pPr>
      <w:r>
        <w:rPr>
          <w:color w:val="FF0000"/>
        </w:rPr>
        <w:t xml:space="preserve">يوضح الجدول التالي خطة التوزيع المستهدف للحصص في العينة الكمية؛ وسيُستبدل بجدول فعلي يتضمن أعداد الاستبانات الموزعة والمستردة والصالحة ونسبة الاستجابة بعد إتمام جمع البيانات، كما هو مبين في الفقرة </w:t>
      </w:r>
      <w:r>
        <w:rPr>
          <w:color w:val="FF0000"/>
          <w:rtl w:val="0"/>
        </w:rPr>
        <w:t>‎3.7.5‎</w:t>
      </w:r>
      <w:r>
        <w:rPr>
          <w:color w:val="FF0000"/>
        </w:rPr>
        <w:t>:</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600"/>
        <w:gridCol w:w="2600"/>
        <w:gridCol w:w="1800"/>
      </w:tblGrid>
      <w:tr w:rsidR="00EB5CBD" w14:paraId="2BCD0169" w14:textId="77777777" w:rsidTr="007E709B">
        <w:trPr>
          <w:tblHeade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6076C176" w14:textId="77777777"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القطاع</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46E8B7EA" w14:textId="77777777"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النطاق الجغرافي</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68E462FF" w14:textId="77777777" w:rsidR="0099616A" w:rsidRPr="004148DE" w:rsidRDefault="003D1F04" w:rsidP="004148DE">
            <w:pPr>
              <w:bidi/>
              <w:jc w:val="center"/>
              <w:rPr>
                <w:color w:val="FFFFFF" w:themeColor="background1"/>
              </w:rPr>
            </w:pPr>
            <w:r w:rsidRPr="004148DE">
              <w:rPr>
                <w:color w:val="FFFFFF" w:themeColor="background1"/>
              </w:rPr>
              <w:t>الحصة المستهدفة - عدد المنشآت</w:t>
            </w:r>
          </w:p>
        </w:tc>
        <w:tc>
          <w:tcPr>
            <w:tcW w:w="1800" w:type="dxa"/>
            <w:tcBorders>
              <w:top w:val="single" w:sz="4" w:space="0" w:color="999999"/>
              <w:left w:val="single" w:sz="4" w:space="0" w:color="999999"/>
              <w:bottom w:val="single" w:sz="4" w:space="0" w:color="999999"/>
              <w:right w:val="single" w:sz="4" w:space="0" w:color="999999"/>
            </w:tcBorders>
            <w:shd w:val="clear" w:color="auto" w:fill="2F5496"/>
          </w:tcPr>
          <w:p w14:paraId="1CB6CC6C" w14:textId="77777777"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النسبة من إجمالي العينة</w:t>
            </w:r>
          </w:p>
        </w:tc>
      </w:tr>
      <w:tr w:rsidR="00EB5CBD" w14:paraId="678D3E04"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tcPr>
          <w:p w14:paraId="72BBD921" w14:textId="77777777" w:rsidR="0099616A" w:rsidRDefault="003D1F04" w:rsidP="004148DE">
            <w:pPr>
              <w:bidi/>
              <w:jc w:val="center"/>
            </w:pPr>
            <w:r>
              <w:rPr>
                <w:color w:val="FF0000"/>
              </w:rPr>
              <w:t>القطاع التجاري - تجزئة أو جملة</w:t>
            </w:r>
          </w:p>
        </w:tc>
        <w:tc>
          <w:tcPr>
            <w:tcW w:w="2600" w:type="dxa"/>
            <w:tcBorders>
              <w:top w:val="single" w:sz="4" w:space="0" w:color="999999"/>
              <w:left w:val="single" w:sz="4" w:space="0" w:color="999999"/>
              <w:bottom w:val="single" w:sz="4" w:space="0" w:color="999999"/>
              <w:right w:val="single" w:sz="4" w:space="0" w:color="999999"/>
            </w:tcBorders>
          </w:tcPr>
          <w:p w14:paraId="2B85CBD6" w14:textId="77777777" w:rsidR="00EB5CBD" w:rsidRDefault="00EA4CEB" w:rsidP="004148DE">
            <w:pPr>
              <w:bidi/>
              <w:spacing w:after="60" w:line="320" w:lineRule="auto"/>
              <w:jc w:val="center"/>
            </w:pPr>
            <w:r>
              <w:rPr>
                <w:color w:val="FF0000"/>
                <w:sz w:val="21"/>
                <w:szCs w:val="21"/>
                <w:lang w:val="ar-SA"/>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tcPr>
          <w:p w14:paraId="46E9AC87" w14:textId="77777777" w:rsidR="00EB5CBD" w:rsidRDefault="00EA4CEB" w:rsidP="004148DE">
            <w:pPr>
              <w:spacing w:after="60" w:line="320" w:lineRule="auto"/>
              <w:jc w:val="center"/>
            </w:pPr>
            <w:r>
              <w:rPr>
                <w:color w:val="FF0000"/>
                <w:sz w:val="21"/>
                <w:szCs w:val="21"/>
                <w:lang w:val="ar-SA"/>
              </w:rPr>
              <w:t>120</w:t>
            </w:r>
          </w:p>
        </w:tc>
        <w:tc>
          <w:tcPr>
            <w:tcW w:w="1800" w:type="dxa"/>
            <w:tcBorders>
              <w:top w:val="single" w:sz="4" w:space="0" w:color="999999"/>
              <w:left w:val="single" w:sz="4" w:space="0" w:color="999999"/>
              <w:bottom w:val="single" w:sz="4" w:space="0" w:color="999999"/>
              <w:right w:val="single" w:sz="4" w:space="0" w:color="999999"/>
            </w:tcBorders>
          </w:tcPr>
          <w:p w14:paraId="0D8CA471" w14:textId="77777777" w:rsidR="00EB5CBD" w:rsidRDefault="00EA4CEB" w:rsidP="004148DE">
            <w:pPr>
              <w:spacing w:after="60" w:line="320" w:lineRule="auto"/>
              <w:jc w:val="center"/>
            </w:pPr>
            <w:r>
              <w:rPr>
                <w:color w:val="FF0000"/>
                <w:sz w:val="21"/>
                <w:szCs w:val="21"/>
                <w:lang w:val="ar-SA"/>
              </w:rPr>
              <w:t>40%</w:t>
            </w:r>
          </w:p>
        </w:tc>
      </w:tr>
      <w:tr w:rsidR="00EB5CBD" w14:paraId="0DD6B6A2"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30911DC9" w14:textId="77777777" w:rsidR="00EB5CBD" w:rsidRDefault="00EA4CEB" w:rsidP="004148DE">
            <w:pPr>
              <w:bidi/>
              <w:spacing w:after="60" w:line="320" w:lineRule="auto"/>
              <w:jc w:val="center"/>
            </w:pPr>
            <w:r>
              <w:rPr>
                <w:color w:val="FF0000"/>
                <w:sz w:val="21"/>
                <w:szCs w:val="21"/>
                <w:lang w:val="ar-SA"/>
              </w:rPr>
              <w:t>القطاع الخدمي</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4A3064F0" w14:textId="77777777" w:rsidR="00EB5CBD" w:rsidRDefault="00EA4CEB" w:rsidP="004148DE">
            <w:pPr>
              <w:bidi/>
              <w:spacing w:after="60" w:line="320" w:lineRule="auto"/>
              <w:jc w:val="center"/>
            </w:pPr>
            <w:r>
              <w:rPr>
                <w:color w:val="FF0000"/>
                <w:sz w:val="21"/>
                <w:szCs w:val="21"/>
                <w:lang w:val="ar-SA"/>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3D9D1884" w14:textId="77777777" w:rsidR="00EB5CBD" w:rsidRDefault="00EA4CEB" w:rsidP="004148DE">
            <w:pPr>
              <w:spacing w:after="60" w:line="320" w:lineRule="auto"/>
              <w:jc w:val="center"/>
            </w:pPr>
            <w:r>
              <w:rPr>
                <w:color w:val="FF0000"/>
                <w:sz w:val="21"/>
                <w:szCs w:val="21"/>
                <w:lang w:val="ar-SA"/>
              </w:rPr>
              <w:t>120</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Pr>
          <w:p w14:paraId="4EC244D0" w14:textId="77777777" w:rsidR="00EB5CBD" w:rsidRDefault="00EA4CEB" w:rsidP="004148DE">
            <w:pPr>
              <w:spacing w:after="60" w:line="320" w:lineRule="auto"/>
              <w:jc w:val="center"/>
            </w:pPr>
            <w:r>
              <w:rPr>
                <w:color w:val="FF0000"/>
                <w:sz w:val="21"/>
                <w:szCs w:val="21"/>
                <w:lang w:val="ar-SA"/>
              </w:rPr>
              <w:t>40%</w:t>
            </w:r>
          </w:p>
        </w:tc>
      </w:tr>
      <w:tr w:rsidR="00EB5CBD" w14:paraId="1340CDF9"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tcPr>
          <w:p w14:paraId="01291AE1" w14:textId="77777777" w:rsidR="00EB5CBD" w:rsidRDefault="00EA4CEB" w:rsidP="004148DE">
            <w:pPr>
              <w:bidi/>
              <w:spacing w:after="60" w:line="320" w:lineRule="auto"/>
              <w:jc w:val="center"/>
            </w:pPr>
            <w:r>
              <w:rPr>
                <w:color w:val="FF0000"/>
                <w:sz w:val="21"/>
                <w:szCs w:val="21"/>
                <w:lang w:val="ar-SA"/>
              </w:rPr>
              <w:t>القطاع الصناعي</w:t>
            </w:r>
          </w:p>
        </w:tc>
        <w:tc>
          <w:tcPr>
            <w:tcW w:w="2600" w:type="dxa"/>
            <w:tcBorders>
              <w:top w:val="single" w:sz="4" w:space="0" w:color="999999"/>
              <w:left w:val="single" w:sz="4" w:space="0" w:color="999999"/>
              <w:bottom w:val="single" w:sz="4" w:space="0" w:color="999999"/>
              <w:right w:val="single" w:sz="4" w:space="0" w:color="999999"/>
            </w:tcBorders>
          </w:tcPr>
          <w:p w14:paraId="20F8DBCB" w14:textId="77777777" w:rsidR="00EB5CBD" w:rsidRDefault="00EA4CEB" w:rsidP="004148DE">
            <w:pPr>
              <w:bidi/>
              <w:spacing w:after="60" w:line="320" w:lineRule="auto"/>
              <w:jc w:val="center"/>
            </w:pPr>
            <w:r>
              <w:rPr>
                <w:color w:val="FF0000"/>
                <w:sz w:val="21"/>
                <w:szCs w:val="21"/>
                <w:lang w:val="ar-SA"/>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tcPr>
          <w:p w14:paraId="0614BB1D" w14:textId="77777777" w:rsidR="00EB5CBD" w:rsidRDefault="00EA4CEB" w:rsidP="004148DE">
            <w:pPr>
              <w:spacing w:after="60" w:line="320" w:lineRule="auto"/>
              <w:jc w:val="center"/>
            </w:pPr>
            <w:r>
              <w:rPr>
                <w:color w:val="FF0000"/>
                <w:sz w:val="21"/>
                <w:szCs w:val="21"/>
                <w:lang w:val="ar-SA"/>
              </w:rPr>
              <w:t>60</w:t>
            </w:r>
          </w:p>
        </w:tc>
        <w:tc>
          <w:tcPr>
            <w:tcW w:w="1800" w:type="dxa"/>
            <w:tcBorders>
              <w:top w:val="single" w:sz="4" w:space="0" w:color="999999"/>
              <w:left w:val="single" w:sz="4" w:space="0" w:color="999999"/>
              <w:bottom w:val="single" w:sz="4" w:space="0" w:color="999999"/>
              <w:right w:val="single" w:sz="4" w:space="0" w:color="999999"/>
            </w:tcBorders>
          </w:tcPr>
          <w:p w14:paraId="645B07A2" w14:textId="77777777" w:rsidR="00EB5CBD" w:rsidRDefault="00EA4CEB" w:rsidP="004148DE">
            <w:pPr>
              <w:spacing w:after="60" w:line="320" w:lineRule="auto"/>
              <w:jc w:val="center"/>
            </w:pPr>
            <w:r>
              <w:rPr>
                <w:color w:val="FF0000"/>
                <w:sz w:val="21"/>
                <w:szCs w:val="21"/>
                <w:lang w:val="ar-SA"/>
              </w:rPr>
              <w:t>20%</w:t>
            </w:r>
          </w:p>
        </w:tc>
      </w:tr>
      <w:tr w:rsidR="00EB5CBD" w14:paraId="37AFE140"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382A8BD8" w14:textId="77777777" w:rsidR="00EB5CBD" w:rsidRDefault="00EA4CEB" w:rsidP="004148DE">
            <w:pPr>
              <w:bidi/>
              <w:spacing w:after="60" w:line="320" w:lineRule="auto"/>
              <w:jc w:val="center"/>
            </w:pPr>
            <w:r>
              <w:rPr>
                <w:color w:val="FF0000"/>
                <w:sz w:val="21"/>
                <w:szCs w:val="21"/>
                <w:lang w:val="ar-SA"/>
              </w:rPr>
              <w:t>الإجمالي</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5343B4C2" w14:textId="77777777" w:rsidR="00EB5CBD" w:rsidRDefault="00EA4CEB" w:rsidP="004148DE">
            <w:pPr>
              <w:spacing w:after="60" w:line="320" w:lineRule="auto"/>
              <w:jc w:val="center"/>
            </w:pPr>
            <w:r>
              <w:rPr>
                <w:color w:val="FF0000"/>
                <w:sz w:val="21"/>
                <w:szCs w:val="21"/>
                <w:lang w:val="ar-SA"/>
              </w:rPr>
              <w:t>—</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677A67C4" w14:textId="77777777" w:rsidR="00EB5CBD" w:rsidRDefault="00EA4CEB" w:rsidP="004148DE">
            <w:pPr>
              <w:spacing w:after="60" w:line="320" w:lineRule="auto"/>
              <w:jc w:val="center"/>
            </w:pPr>
            <w:r>
              <w:rPr>
                <w:color w:val="FF0000"/>
                <w:sz w:val="21"/>
                <w:szCs w:val="21"/>
                <w:lang w:val="ar-SA"/>
              </w:rPr>
              <w:t>300</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Pr>
          <w:p w14:paraId="5DEBBC9E" w14:textId="77777777" w:rsidR="00EB5CBD" w:rsidRDefault="00EA4CEB" w:rsidP="004148DE">
            <w:pPr>
              <w:spacing w:after="60" w:line="320" w:lineRule="auto"/>
              <w:jc w:val="center"/>
            </w:pPr>
            <w:r>
              <w:rPr>
                <w:color w:val="FF0000"/>
                <w:sz w:val="21"/>
                <w:szCs w:val="21"/>
                <w:lang w:val="ar-SA"/>
              </w:rPr>
              <w:t>100%</w:t>
            </w:r>
          </w:p>
        </w:tc>
      </w:tr>
    </w:tbl>
    <w:p w14:paraId="716124A5" w14:textId="77777777" w:rsidR="00EB5CBD" w:rsidRDefault="00EB5CBD">
      <w:pPr>
        <w:spacing w:after="160"/>
      </w:pPr>
    </w:p>
    <w:p w14:paraId="36C7CA53" w14:textId="77777777" w:rsidR="00EB5CBD" w:rsidRDefault="00EA4CEB">
      <w:pPr>
        <w:bidi/>
        <w:spacing w:after="160" w:line="320" w:lineRule="auto"/>
        <w:jc w:val="both"/>
      </w:pPr>
      <w:r>
        <w:rPr>
          <w:color w:val="FF0000"/>
        </w:rPr>
        <w:t>وزن كل قطاع في هذه الخطة قائم على تقريب أولي لأوزان القطاعات في مجتمع المنشآت الصغيرة والمتوسطة، لا على وزن دقيق موثق لكل قطاع على حدة، وسيُعاد ضبط الحصص إذا توافرت بيانات رسمية أدق قبل بدء الجمع. ولمنع أي تعارض بين الفصل والأداة، سيُصاغ سؤال النطاق الجغرافي في الاستبانة وفق المدن الخمس نفسها تحديدًا: الرياض، جدة، الدمام، المدينة المنورة، وأبها، بدل خلط مسميات المدن بمسميات المناطق الإدارية.</w:t>
      </w:r>
    </w:p>
    <w:p w14:paraId="29A999B6" w14:textId="77777777" w:rsidR="00EB5CBD" w:rsidRDefault="00EA4CEB" w:rsidP="007E709B">
      <w:pPr>
        <w:bidi/>
        <w:spacing w:after="140" w:line="320" w:lineRule="auto"/>
      </w:pPr>
      <w:r>
        <w:rPr>
          <w:b/>
          <w:rtl w:val="0"/>
        </w:rPr>
        <w:t>‎3.7.4‎</w:t>
      </w:r>
      <w:r>
        <w:rPr>
          <w:b/>
        </w:rPr>
        <w:t xml:space="preserve"> كفاية العينة للمقارنات بين المجموعات</w:t>
      </w:r>
    </w:p>
    <w:p w14:paraId="6A7AA080" w14:textId="77777777" w:rsidR="00EB5CBD" w:rsidRDefault="00EA4CEB">
      <w:pPr>
        <w:bidi/>
        <w:spacing w:after="160" w:line="320" w:lineRule="auto"/>
        <w:jc w:val="both"/>
      </w:pPr>
      <w:r>
        <w:t>تشمل خطة التحليل مقارنات بين مجموعات فرعية، تشمل مستويات تبني الذكاء الاصطناعي الثلاثة والقطاعات الثلاثة. وقد يؤدي تقسيم عينة مستهدفة قدرها 300 مفردة إلى هذه المجموعات إلى تكوين مجموعات فرعية صغيرة تضعف القوة الإحصائية لكل مقارنة على حدة. لذلك:</w:t>
      </w:r>
    </w:p>
    <w:p w14:paraId="7D6C2FFA" w14:textId="77777777" w:rsidR="00EB5CBD" w:rsidRDefault="00EA4CEB">
      <w:pPr>
        <w:pStyle w:val="a4"/>
        <w:numPr>
          <w:ilvl w:val="0"/>
          <w:numId w:val="2"/>
        </w:numPr>
        <w:bidi/>
        <w:spacing w:after="100" w:line="300" w:lineRule="auto"/>
        <w:jc w:val="both"/>
      </w:pPr>
      <w:r>
        <w:rPr>
          <w:lang w:val="ar-SA"/>
        </w:rPr>
        <w:lastRenderedPageBreak/>
        <w:t>سيُحدد العدد المتوقع في كل مجموعة فرعية بناءً على التوزيع الفعلي للاستجابات بعد جمع البيانات.</w:t>
      </w:r>
    </w:p>
    <w:p w14:paraId="3A799616" w14:textId="77777777" w:rsidR="00EB5CBD" w:rsidRDefault="00EA4CEB">
      <w:pPr>
        <w:pStyle w:val="a4"/>
        <w:numPr>
          <w:ilvl w:val="0"/>
          <w:numId w:val="2"/>
        </w:numPr>
        <w:bidi/>
        <w:spacing w:after="100" w:line="300" w:lineRule="auto"/>
        <w:jc w:val="both"/>
      </w:pPr>
      <w:r>
        <w:rPr>
          <w:lang w:val="ar-SA"/>
        </w:rPr>
        <w:t>سيُعاد تشغيل تحليل القوة الإحصائية لكل مقارنة بين مجموعتين على حدة، لا للنموذج الكلي فقط.</w:t>
      </w:r>
    </w:p>
    <w:p w14:paraId="657FA507" w14:textId="77777777" w:rsidR="00EB5CBD" w:rsidRDefault="00EA4CEB">
      <w:pPr>
        <w:pStyle w:val="a4"/>
        <w:numPr>
          <w:ilvl w:val="0"/>
          <w:numId w:val="2"/>
        </w:numPr>
        <w:bidi/>
        <w:spacing w:after="100" w:line="300" w:lineRule="auto"/>
        <w:jc w:val="both"/>
      </w:pPr>
      <w:r>
        <w:rPr>
          <w:lang w:val="ar-SA"/>
        </w:rPr>
        <w:t>لن تُجرى مقارنة بين مجموعتين إذا قل حجم إحداهما عن الحد الأدنى المطلوب لتلك المقارنة تحديدًا وفق نتيجة تحليل القوة.</w:t>
      </w:r>
    </w:p>
    <w:p w14:paraId="6CEAF1FB" w14:textId="77777777" w:rsidR="00EB5CBD" w:rsidRDefault="00EA4CEB">
      <w:pPr>
        <w:pStyle w:val="a4"/>
        <w:numPr>
          <w:ilvl w:val="0"/>
          <w:numId w:val="2"/>
        </w:numPr>
        <w:bidi/>
        <w:spacing w:after="100" w:line="300" w:lineRule="auto"/>
        <w:jc w:val="both"/>
      </w:pPr>
      <w:r>
        <w:rPr>
          <w:lang w:val="ar-SA"/>
        </w:rPr>
        <w:t>الحد الأدنى المبدئي المقبول لكل مجموعة فرعية هو ‎30‎ مفردة، وهو حد تقريبي سيُراجع في ضوء تحليل القوة الفعلي.</w:t>
      </w:r>
    </w:p>
    <w:p w14:paraId="0C520E5E" w14:textId="77777777" w:rsidR="00EB5CBD" w:rsidRDefault="00EA4CEB">
      <w:pPr>
        <w:pStyle w:val="a4"/>
        <w:numPr>
          <w:ilvl w:val="0"/>
          <w:numId w:val="2"/>
        </w:numPr>
        <w:bidi/>
        <w:spacing w:after="100" w:line="300" w:lineRule="auto"/>
        <w:jc w:val="both"/>
      </w:pPr>
      <w:r>
        <w:t>لن تُنشأ فئات إضافية، مثل تقاطع القطاع مع مستوى التبني، ما لم تتوافر أحجام كافية في كل خلية؛ ويُفضَّل عدد محدود من المجموعات على تعدد الفئات الذي يُفقد القوة الإحصائية.</w:t>
      </w:r>
    </w:p>
    <w:p w14:paraId="42FDDA14" w14:textId="77777777" w:rsidR="00EB5CBD" w:rsidRDefault="00EA4CEB" w:rsidP="007E709B">
      <w:pPr>
        <w:bidi/>
        <w:spacing w:after="140" w:line="320" w:lineRule="auto"/>
      </w:pPr>
      <w:r>
        <w:rPr>
          <w:rtl w:val="0"/>
        </w:rPr>
        <w:t>‎3.7.5‎</w:t>
      </w:r>
      <w:r>
        <w:t xml:space="preserve"> توثيق العدد النهائي للعينة - يُستكمل بعد جمع البيانات</w:t>
      </w:r>
    </w:p>
    <w:p w14:paraId="1FA4185F" w14:textId="77777777" w:rsidR="00EB5CBD" w:rsidRDefault="00EA4CEB">
      <w:pPr>
        <w:bidi/>
        <w:spacing w:after="160" w:line="320" w:lineRule="auto"/>
        <w:jc w:val="both"/>
      </w:pPr>
      <w:r>
        <w:t xml:space="preserve">بعد إتمام جمع البيانات، سيُستبدل هذا القسم بجدول يوثق: عدد الاستبانات الموزعة، عدد الاستبانات المستردة، عدد الاستبانات المستبعدة وأسباب كل استبعاد، معدل الاستجابة الكلي، عدد الاستجابات الصالحة في كل قطاع ومدينة، ومدى كفاية العدد النهائي للتحليلات الفرعية المخطط لها في الفقرة </w:t>
      </w:r>
      <w:r>
        <w:rPr>
          <w:rtl w:val="0"/>
        </w:rPr>
        <w:t>‎3.7.4‎</w:t>
      </w:r>
      <w:r>
        <w:t>. كما سيُدرج، عند الحاجة، تحليل قوة فعلي بعدي للتحقق من كفاية العينة المتحصلة فعليًا لاختبار الفرضيات الرئيسية.</w:t>
      </w:r>
    </w:p>
    <w:p w14:paraId="7547A596" w14:textId="77777777" w:rsidR="00EB5CBD" w:rsidRDefault="00EA4CEB" w:rsidP="007E709B">
      <w:pPr>
        <w:bidi/>
        <w:spacing w:after="160" w:line="320" w:lineRule="auto"/>
      </w:pPr>
      <w:r>
        <w:rPr>
          <w:b/>
          <w:rtl w:val="0"/>
        </w:rPr>
        <w:t>‎3.8‎</w:t>
      </w:r>
      <w:r>
        <w:rPr>
          <w:b/>
        </w:rPr>
        <w:t xml:space="preserve"> متغيرات الدراسة وتعريفاتها الإجرائية</w:t>
      </w:r>
    </w:p>
    <w:p w14:paraId="58A86AB8" w14:textId="77777777" w:rsidR="00EB5CBD" w:rsidRDefault="00EA4CEB">
      <w:pPr>
        <w:bidi/>
        <w:spacing w:after="160" w:line="320" w:lineRule="auto"/>
        <w:jc w:val="both"/>
      </w:pPr>
      <w:r>
        <w:rPr>
          <w:color w:val="FF0000"/>
        </w:rPr>
        <w:t>ستُقاس متغيرات الدراسة، وفق الخطة، باستخدام مقاييس معتمدة في أدبيات التسويق الرقمي والذكاء الاصطناعي، بعد تكييفها بما يلائم البيئة السعودية. وستُصاغ الفقرات وفق مقياس ليكرت الخماسي؛ حيث تمثل الدرجة 1 «أعارض بشدة»، وتمثل الدرجة 5 «أوافق بشدة».</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300"/>
        <w:gridCol w:w="2600"/>
        <w:gridCol w:w="1600"/>
        <w:gridCol w:w="1400"/>
      </w:tblGrid>
      <w:tr w:rsidR="00EB5CBD" w14:paraId="47FEF082" w14:textId="77777777">
        <w:trPr>
          <w:tblHeader/>
        </w:trPr>
        <w:tc>
          <w:tcPr>
            <w:tcW w:w="1900" w:type="dxa"/>
            <w:tcBorders>
              <w:top w:val="single" w:sz="4" w:space="0" w:color="999999"/>
              <w:left w:val="single" w:sz="4" w:space="0" w:color="999999"/>
              <w:bottom w:val="single" w:sz="4" w:space="0" w:color="999999"/>
              <w:right w:val="single" w:sz="4" w:space="0" w:color="999999"/>
            </w:tcBorders>
            <w:shd w:val="clear" w:color="auto" w:fill="2F5496"/>
          </w:tcPr>
          <w:p w14:paraId="5012FF2B" w14:textId="77777777" w:rsidR="0099616A" w:rsidRPr="004148DE" w:rsidRDefault="003D1F04">
            <w:pPr>
              <w:bidi/>
              <w:jc w:val="center"/>
              <w:rPr>
                <w:color w:val="FFFFFF" w:themeColor="background1"/>
              </w:rPr>
            </w:pPr>
            <w:r w:rsidRPr="004148DE">
              <w:rPr>
                <w:color w:val="FFFFFF" w:themeColor="background1"/>
              </w:rPr>
              <w:t>المتغير</w:t>
            </w:r>
          </w:p>
        </w:tc>
        <w:tc>
          <w:tcPr>
            <w:tcW w:w="1300" w:type="dxa"/>
            <w:tcBorders>
              <w:top w:val="single" w:sz="4" w:space="0" w:color="999999"/>
              <w:left w:val="single" w:sz="4" w:space="0" w:color="999999"/>
              <w:bottom w:val="single" w:sz="4" w:space="0" w:color="999999"/>
              <w:right w:val="single" w:sz="4" w:space="0" w:color="999999"/>
            </w:tcBorders>
            <w:shd w:val="clear" w:color="auto" w:fill="2F5496"/>
          </w:tcPr>
          <w:p w14:paraId="03D3E4CC" w14:textId="77777777" w:rsidR="0099616A" w:rsidRPr="004148DE" w:rsidRDefault="003D1F04">
            <w:pPr>
              <w:bidi/>
              <w:jc w:val="center"/>
              <w:rPr>
                <w:color w:val="FFFFFF" w:themeColor="background1"/>
              </w:rPr>
            </w:pPr>
            <w:r w:rsidRPr="004148DE">
              <w:rPr>
                <w:color w:val="FFFFFF" w:themeColor="background1"/>
              </w:rPr>
              <w:t>نوع</w:t>
            </w:r>
            <w:r w:rsidRPr="004148DE">
              <w:rPr>
                <w:color w:val="FFFFFF" w:themeColor="background1"/>
              </w:rPr>
              <w:br/>
              <w:t>المتغير</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72FD2738" w14:textId="77777777" w:rsidR="00EB5CBD" w:rsidRPr="004148DE" w:rsidRDefault="00EA4CEB">
            <w:pPr>
              <w:bidi/>
              <w:spacing w:after="60" w:line="320" w:lineRule="auto"/>
              <w:jc w:val="center"/>
              <w:rPr>
                <w:color w:val="FFFFFF" w:themeColor="background1"/>
              </w:rPr>
            </w:pPr>
            <w:r w:rsidRPr="004148DE">
              <w:rPr>
                <w:b/>
                <w:bCs/>
                <w:color w:val="FFFFFF" w:themeColor="background1"/>
                <w:sz w:val="21"/>
                <w:szCs w:val="21"/>
                <w:lang w:val="ar-SA"/>
              </w:rPr>
              <w:t>الأبعاد الفرعية</w:t>
            </w:r>
          </w:p>
        </w:tc>
        <w:tc>
          <w:tcPr>
            <w:tcW w:w="1600" w:type="dxa"/>
            <w:tcBorders>
              <w:top w:val="single" w:sz="4" w:space="0" w:color="999999"/>
              <w:left w:val="single" w:sz="4" w:space="0" w:color="999999"/>
              <w:bottom w:val="single" w:sz="4" w:space="0" w:color="999999"/>
              <w:right w:val="single" w:sz="4" w:space="0" w:color="999999"/>
            </w:tcBorders>
            <w:shd w:val="clear" w:color="auto" w:fill="2F5496"/>
          </w:tcPr>
          <w:p w14:paraId="74D689A0" w14:textId="77777777" w:rsidR="00EB5CBD" w:rsidRPr="004148DE" w:rsidRDefault="00EA4CEB" w:rsidP="007E709B">
            <w:pPr>
              <w:bidi/>
              <w:spacing w:after="60" w:line="320" w:lineRule="auto"/>
              <w:jc w:val="center"/>
              <w:rPr>
                <w:color w:val="FFFFFF" w:themeColor="background1"/>
              </w:rPr>
            </w:pPr>
            <w:r w:rsidRPr="004148DE">
              <w:rPr>
                <w:b/>
                <w:bCs/>
                <w:color w:val="FFFFFF" w:themeColor="background1"/>
                <w:sz w:val="21"/>
                <w:szCs w:val="21"/>
                <w:lang w:val="ar-SA"/>
              </w:rPr>
              <w:t>عدد الفقرات</w:t>
            </w:r>
          </w:p>
        </w:tc>
        <w:tc>
          <w:tcPr>
            <w:tcW w:w="1400" w:type="dxa"/>
            <w:tcBorders>
              <w:top w:val="single" w:sz="4" w:space="0" w:color="999999"/>
              <w:left w:val="single" w:sz="4" w:space="0" w:color="999999"/>
              <w:bottom w:val="single" w:sz="4" w:space="0" w:color="999999"/>
              <w:right w:val="single" w:sz="4" w:space="0" w:color="999999"/>
            </w:tcBorders>
            <w:shd w:val="clear" w:color="auto" w:fill="2F5496"/>
          </w:tcPr>
          <w:p w14:paraId="656AA9BF" w14:textId="77777777" w:rsidR="00EB5CBD" w:rsidRPr="004148DE" w:rsidRDefault="00EA4CEB" w:rsidP="007E709B">
            <w:pPr>
              <w:bidi/>
              <w:spacing w:after="60" w:line="320" w:lineRule="auto"/>
              <w:jc w:val="center"/>
              <w:rPr>
                <w:color w:val="FFFFFF" w:themeColor="background1"/>
              </w:rPr>
            </w:pPr>
            <w:r w:rsidRPr="004148DE">
              <w:rPr>
                <w:b/>
                <w:bCs/>
                <w:color w:val="FFFFFF" w:themeColor="background1"/>
                <w:sz w:val="21"/>
                <w:szCs w:val="21"/>
                <w:lang w:val="ar-SA"/>
              </w:rPr>
              <w:t>مصدر المقياس</w:t>
            </w:r>
          </w:p>
        </w:tc>
      </w:tr>
      <w:tr w:rsidR="00EB5CBD" w14:paraId="5A5D1F79" w14:textId="77777777">
        <w:tc>
          <w:tcPr>
            <w:tcW w:w="1900" w:type="dxa"/>
            <w:tcBorders>
              <w:top w:val="single" w:sz="4" w:space="0" w:color="999999"/>
              <w:left w:val="single" w:sz="4" w:space="0" w:color="999999"/>
              <w:bottom w:val="single" w:sz="4" w:space="0" w:color="999999"/>
              <w:right w:val="single" w:sz="4" w:space="0" w:color="999999"/>
            </w:tcBorders>
          </w:tcPr>
          <w:p w14:paraId="1A5D8930" w14:textId="77777777" w:rsidR="00EB5CBD" w:rsidRDefault="00EA4CEB" w:rsidP="004148DE">
            <w:pPr>
              <w:bidi/>
              <w:spacing w:after="60" w:line="320" w:lineRule="auto"/>
              <w:jc w:val="center"/>
            </w:pPr>
            <w:r>
              <w:t>تبنّي تقنيات الذكاء الاصطناعي</w:t>
            </w:r>
            <w:r>
              <w:br/>
            </w:r>
            <w:r>
              <w:rPr>
                <w:rtl w:val="0"/>
              </w:rPr>
              <w:t>‎AI Adoption‎</w:t>
            </w:r>
          </w:p>
        </w:tc>
        <w:tc>
          <w:tcPr>
            <w:tcW w:w="1300" w:type="dxa"/>
            <w:tcBorders>
              <w:top w:val="single" w:sz="4" w:space="0" w:color="999999"/>
              <w:left w:val="single" w:sz="4" w:space="0" w:color="999999"/>
              <w:bottom w:val="single" w:sz="4" w:space="0" w:color="999999"/>
              <w:right w:val="single" w:sz="4" w:space="0" w:color="999999"/>
            </w:tcBorders>
          </w:tcPr>
          <w:p w14:paraId="1164C7BD" w14:textId="77777777" w:rsidR="00EB5CBD" w:rsidRDefault="00EA4CEB" w:rsidP="004148DE">
            <w:pPr>
              <w:bidi/>
              <w:spacing w:after="60" w:line="320" w:lineRule="auto"/>
              <w:jc w:val="center"/>
            </w:pPr>
            <w:r>
              <w:rPr>
                <w:rFonts w:ascii="Arial" w:eastAsia="Arial" w:hAnsi="Arial" w:cs="Arial"/>
                <w:color w:val="C00000"/>
                <w:sz w:val="18"/>
                <w:szCs w:val="21"/>
                <w:lang w:val="ar-SA"/>
              </w:rPr>
              <w:t>مستقل</w:t>
            </w:r>
          </w:p>
        </w:tc>
        <w:tc>
          <w:tcPr>
            <w:tcW w:w="2600" w:type="dxa"/>
            <w:tcBorders>
              <w:top w:val="single" w:sz="4" w:space="0" w:color="999999"/>
              <w:left w:val="single" w:sz="4" w:space="0" w:color="999999"/>
              <w:bottom w:val="single" w:sz="4" w:space="0" w:color="999999"/>
              <w:right w:val="single" w:sz="4" w:space="0" w:color="999999"/>
            </w:tcBorders>
            <w:vAlign w:val="center"/>
          </w:tcPr>
          <w:p w14:paraId="624F5435" w14:textId="77777777" w:rsidR="0099616A" w:rsidRDefault="003D1F04" w:rsidP="004148DE">
            <w:pPr>
              <w:bidi/>
              <w:jc w:val="center"/>
            </w:pPr>
            <w:r>
              <w:t>الفائدة المتوقعة: 3 فقرات؛ سهولة الاستخدام المتوقعة: 3 فقرات؛ الجاهزية التكنولوجية: فقرتان. المتغير الكلي مركب من رتبة أعلى.</w:t>
            </w:r>
          </w:p>
        </w:tc>
        <w:tc>
          <w:tcPr>
            <w:tcW w:w="1600" w:type="dxa"/>
            <w:tcBorders>
              <w:top w:val="single" w:sz="4" w:space="0" w:color="999999"/>
              <w:left w:val="single" w:sz="4" w:space="0" w:color="999999"/>
              <w:bottom w:val="single" w:sz="4" w:space="0" w:color="999999"/>
              <w:right w:val="single" w:sz="4" w:space="0" w:color="999999"/>
            </w:tcBorders>
          </w:tcPr>
          <w:p w14:paraId="185E5816" w14:textId="77777777" w:rsidR="00EB5CBD" w:rsidRDefault="00EA4CEB" w:rsidP="004148DE">
            <w:pPr>
              <w:spacing w:after="60" w:line="320" w:lineRule="auto"/>
              <w:jc w:val="center"/>
            </w:pPr>
            <w:r>
              <w:rPr>
                <w:rFonts w:ascii="Arial" w:eastAsia="Arial" w:hAnsi="Arial" w:cs="Arial"/>
                <w:color w:val="C00000"/>
                <w:sz w:val="18"/>
                <w:szCs w:val="21"/>
                <w:lang w:val="ar-SA"/>
              </w:rPr>
              <w:t>8</w:t>
            </w:r>
          </w:p>
        </w:tc>
        <w:tc>
          <w:tcPr>
            <w:tcW w:w="1400" w:type="dxa"/>
            <w:tcBorders>
              <w:top w:val="single" w:sz="4" w:space="0" w:color="999999"/>
              <w:left w:val="single" w:sz="4" w:space="0" w:color="999999"/>
              <w:bottom w:val="single" w:sz="4" w:space="0" w:color="999999"/>
              <w:right w:val="single" w:sz="4" w:space="0" w:color="999999"/>
            </w:tcBorders>
            <w:vAlign w:val="center"/>
          </w:tcPr>
          <w:p w14:paraId="76660DDE" w14:textId="77777777" w:rsidR="0099616A" w:rsidRDefault="003D1F04" w:rsidP="004148DE">
            <w:pPr>
              <w:jc w:val="center"/>
            </w:pPr>
            <w:r>
              <w:rPr>
                <w:rtl w:val="0"/>
              </w:rPr>
              <w:t>Davis (1989), p. 331</w:t>
            </w:r>
          </w:p>
          <w:p w14:paraId="442F0199" w14:textId="77777777" w:rsidR="0099616A" w:rsidRDefault="003D1F04" w:rsidP="004148DE">
            <w:pPr>
              <w:jc w:val="center"/>
            </w:pPr>
            <w:r>
              <w:rPr>
                <w:rtl w:val="0"/>
              </w:rPr>
              <w:t>Venkatesh et al. (2003), p. 453</w:t>
            </w:r>
          </w:p>
        </w:tc>
      </w:tr>
      <w:tr w:rsidR="00EB5CBD" w14:paraId="6D45CC99" w14:textId="77777777">
        <w:tc>
          <w:tcPr>
            <w:tcW w:w="1900" w:type="dxa"/>
            <w:tcBorders>
              <w:top w:val="single" w:sz="4" w:space="0" w:color="999999"/>
              <w:left w:val="single" w:sz="4" w:space="0" w:color="999999"/>
              <w:bottom w:val="single" w:sz="4" w:space="0" w:color="999999"/>
              <w:right w:val="single" w:sz="4" w:space="0" w:color="999999"/>
            </w:tcBorders>
            <w:shd w:val="clear" w:color="auto" w:fill="F2F2F2"/>
          </w:tcPr>
          <w:p w14:paraId="418D5D71" w14:textId="77777777" w:rsidR="00EB5CBD" w:rsidRDefault="00EA4CEB" w:rsidP="004148DE">
            <w:pPr>
              <w:bidi/>
              <w:spacing w:after="60" w:line="320" w:lineRule="auto"/>
              <w:jc w:val="center"/>
            </w:pPr>
            <w:r>
              <w:t>التسويق الرقمي</w:t>
            </w:r>
            <w:r>
              <w:br/>
            </w:r>
            <w:r>
              <w:rPr>
                <w:rtl w:val="0"/>
              </w:rPr>
              <w:t>‎Digital Marketing‎</w:t>
            </w:r>
          </w:p>
        </w:tc>
        <w:tc>
          <w:tcPr>
            <w:tcW w:w="1300" w:type="dxa"/>
            <w:tcBorders>
              <w:top w:val="single" w:sz="4" w:space="0" w:color="999999"/>
              <w:left w:val="single" w:sz="4" w:space="0" w:color="999999"/>
              <w:bottom w:val="single" w:sz="4" w:space="0" w:color="999999"/>
              <w:right w:val="single" w:sz="4" w:space="0" w:color="999999"/>
            </w:tcBorders>
            <w:shd w:val="clear" w:color="auto" w:fill="F2F2F2"/>
          </w:tcPr>
          <w:p w14:paraId="674694E3" w14:textId="77777777" w:rsidR="00EB5CBD" w:rsidRDefault="00EA4CEB" w:rsidP="004148DE">
            <w:pPr>
              <w:bidi/>
              <w:spacing w:after="60" w:line="320" w:lineRule="auto"/>
              <w:jc w:val="center"/>
            </w:pPr>
            <w:r>
              <w:rPr>
                <w:rFonts w:ascii="Arial" w:eastAsia="Arial" w:hAnsi="Arial" w:cs="Arial"/>
                <w:color w:val="C00000"/>
                <w:sz w:val="18"/>
                <w:szCs w:val="21"/>
                <w:lang w:val="ar-SA"/>
              </w:rPr>
              <w:t>وسيط</w:t>
            </w:r>
          </w:p>
        </w:tc>
        <w:tc>
          <w:tcPr>
            <w:tcW w:w="26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CAA454" w14:textId="77777777" w:rsidR="0099616A" w:rsidRDefault="003D1F04" w:rsidP="004148DE">
            <w:pPr>
              <w:bidi/>
              <w:jc w:val="center"/>
            </w:pPr>
            <w:r>
              <w:rPr>
                <w:rFonts w:ascii="Arial" w:hAnsi="Arial"/>
                <w:color w:val="C00000"/>
                <w:sz w:val="21"/>
                <w:lang w:val="ar-SA"/>
              </w:rPr>
              <w:t>قدرات التسويق الرقمي الأساسية: التسويق عبر شبكات التواصل الاجتماعي، والتسويق عبر الأجهزة المحمولة، وتسويق المحتوى، والتسويق عبر محركات البحث، وتحليلات الويب، وأتمتة التسويق، والتسويق عبر البريد الإلكتروني.</w:t>
            </w:r>
          </w:p>
        </w:tc>
        <w:tc>
          <w:tcPr>
            <w:tcW w:w="1600" w:type="dxa"/>
            <w:tcBorders>
              <w:top w:val="single" w:sz="4" w:space="0" w:color="999999"/>
              <w:left w:val="single" w:sz="4" w:space="0" w:color="999999"/>
              <w:bottom w:val="single" w:sz="4" w:space="0" w:color="999999"/>
              <w:right w:val="single" w:sz="4" w:space="0" w:color="999999"/>
            </w:tcBorders>
            <w:shd w:val="clear" w:color="auto" w:fill="F2F2F2"/>
          </w:tcPr>
          <w:p w14:paraId="0E0EF885" w14:textId="77777777" w:rsidR="00EB5CBD" w:rsidRDefault="00EA4CEB" w:rsidP="004148DE">
            <w:pPr>
              <w:spacing w:after="60" w:line="320" w:lineRule="auto"/>
              <w:jc w:val="center"/>
            </w:pPr>
            <w:r>
              <w:rPr>
                <w:rFonts w:ascii="Arial" w:hAnsi="Arial"/>
                <w:color w:val="C00000"/>
                <w:sz w:val="21"/>
                <w:lang w:val="ar-SA"/>
              </w:rPr>
              <w:t>7</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F60BD29" w14:textId="77777777" w:rsidR="0099616A" w:rsidRDefault="003D1F04" w:rsidP="004148DE">
            <w:pPr>
              <w:jc w:val="center"/>
            </w:pPr>
            <w:r>
              <w:rPr>
                <w:color w:val="FF0000"/>
                <w:rtl w:val="0"/>
              </w:rPr>
              <w:t>Homburg &amp; Wielgos (2022), p. 677</w:t>
            </w:r>
          </w:p>
        </w:tc>
      </w:tr>
      <w:tr w:rsidR="00EB5CBD" w14:paraId="4F05588E" w14:textId="77777777">
        <w:tc>
          <w:tcPr>
            <w:tcW w:w="1900" w:type="dxa"/>
            <w:tcBorders>
              <w:top w:val="single" w:sz="4" w:space="0" w:color="999999"/>
              <w:left w:val="single" w:sz="4" w:space="0" w:color="999999"/>
              <w:bottom w:val="single" w:sz="4" w:space="0" w:color="999999"/>
              <w:right w:val="single" w:sz="4" w:space="0" w:color="999999"/>
            </w:tcBorders>
          </w:tcPr>
          <w:p w14:paraId="29C6E96B" w14:textId="77777777" w:rsidR="00EB5CBD" w:rsidRDefault="00EA4CEB" w:rsidP="004148DE">
            <w:pPr>
              <w:bidi/>
              <w:spacing w:after="60" w:line="320" w:lineRule="auto"/>
              <w:jc w:val="center"/>
            </w:pPr>
            <w:r>
              <w:t>الأداء التسويقي</w:t>
            </w:r>
            <w:r>
              <w:br/>
            </w:r>
            <w:r>
              <w:rPr>
                <w:rtl w:val="0"/>
              </w:rPr>
              <w:t>‎Marketing Performance‎</w:t>
            </w:r>
          </w:p>
        </w:tc>
        <w:tc>
          <w:tcPr>
            <w:tcW w:w="1300" w:type="dxa"/>
            <w:tcBorders>
              <w:top w:val="single" w:sz="4" w:space="0" w:color="999999"/>
              <w:left w:val="single" w:sz="4" w:space="0" w:color="999999"/>
              <w:bottom w:val="single" w:sz="4" w:space="0" w:color="999999"/>
              <w:right w:val="single" w:sz="4" w:space="0" w:color="999999"/>
            </w:tcBorders>
          </w:tcPr>
          <w:p w14:paraId="4EF56DA2" w14:textId="77777777" w:rsidR="00EB5CBD" w:rsidRDefault="00EA4CEB" w:rsidP="004148DE">
            <w:pPr>
              <w:bidi/>
              <w:spacing w:after="60" w:line="320" w:lineRule="auto"/>
              <w:jc w:val="center"/>
            </w:pPr>
            <w:r>
              <w:rPr>
                <w:rFonts w:ascii="Arial" w:eastAsia="Arial" w:hAnsi="Arial" w:cs="Arial"/>
                <w:color w:val="C00000"/>
                <w:sz w:val="18"/>
                <w:szCs w:val="21"/>
                <w:lang w:val="ar-SA"/>
              </w:rPr>
              <w:t>تابع</w:t>
            </w:r>
          </w:p>
        </w:tc>
        <w:tc>
          <w:tcPr>
            <w:tcW w:w="2600" w:type="dxa"/>
            <w:tcBorders>
              <w:top w:val="single" w:sz="4" w:space="0" w:color="999999"/>
              <w:left w:val="single" w:sz="4" w:space="0" w:color="999999"/>
              <w:bottom w:val="single" w:sz="4" w:space="0" w:color="999999"/>
              <w:right w:val="single" w:sz="4" w:space="0" w:color="999999"/>
            </w:tcBorders>
            <w:vAlign w:val="center"/>
          </w:tcPr>
          <w:p w14:paraId="387BCFCC" w14:textId="77777777" w:rsidR="0099616A" w:rsidRDefault="003D1F04" w:rsidP="004148DE">
            <w:pPr>
              <w:bidi/>
              <w:jc w:val="center"/>
            </w:pPr>
            <w:r>
              <w:t xml:space="preserve">رضا العملاء؛ الاحتفاظ بالعملاء؛ كفاءة وفعالية الحملات؛ العائد على الاستثمار التسويقي </w:t>
            </w:r>
            <w:r>
              <w:rPr>
                <w:rtl w:val="0"/>
              </w:rPr>
              <w:t>‎ROI‎</w:t>
            </w:r>
          </w:p>
        </w:tc>
        <w:tc>
          <w:tcPr>
            <w:tcW w:w="1600" w:type="dxa"/>
            <w:tcBorders>
              <w:top w:val="single" w:sz="4" w:space="0" w:color="999999"/>
              <w:left w:val="single" w:sz="4" w:space="0" w:color="999999"/>
              <w:bottom w:val="single" w:sz="4" w:space="0" w:color="999999"/>
              <w:right w:val="single" w:sz="4" w:space="0" w:color="999999"/>
            </w:tcBorders>
          </w:tcPr>
          <w:p w14:paraId="00DF86D3" w14:textId="77777777" w:rsidR="00EB5CBD" w:rsidRDefault="00EA4CEB" w:rsidP="004148DE">
            <w:pPr>
              <w:spacing w:after="60" w:line="320" w:lineRule="auto"/>
              <w:jc w:val="center"/>
            </w:pPr>
            <w:r>
              <w:rPr>
                <w:rFonts w:ascii="Arial" w:eastAsia="Arial" w:hAnsi="Arial" w:cs="Arial"/>
                <w:color w:val="C00000"/>
                <w:sz w:val="18"/>
                <w:szCs w:val="21"/>
                <w:lang w:val="ar-SA"/>
              </w:rPr>
              <w:t>4</w:t>
            </w:r>
          </w:p>
        </w:tc>
        <w:tc>
          <w:tcPr>
            <w:tcW w:w="1400" w:type="dxa"/>
            <w:tcBorders>
              <w:top w:val="single" w:sz="4" w:space="0" w:color="999999"/>
              <w:left w:val="single" w:sz="4" w:space="0" w:color="999999"/>
              <w:bottom w:val="single" w:sz="4" w:space="0" w:color="999999"/>
              <w:right w:val="single" w:sz="4" w:space="0" w:color="999999"/>
            </w:tcBorders>
            <w:vAlign w:val="center"/>
          </w:tcPr>
          <w:p w14:paraId="1A440B98" w14:textId="77777777" w:rsidR="0099616A" w:rsidRDefault="003D1F04" w:rsidP="004148DE">
            <w:pPr>
              <w:jc w:val="center"/>
            </w:pPr>
            <w:r>
              <w:rPr>
                <w:color w:val="FF0000"/>
                <w:rtl w:val="0"/>
              </w:rPr>
              <w:t>Katsikeas et al. (2016), p. 4, Table 1</w:t>
            </w:r>
          </w:p>
          <w:p w14:paraId="3F7D8FE0" w14:textId="77777777" w:rsidR="0099616A" w:rsidRDefault="003D1F04" w:rsidP="004148DE">
            <w:pPr>
              <w:jc w:val="center"/>
            </w:pPr>
            <w:r>
              <w:rPr>
                <w:color w:val="FF0000"/>
                <w:rtl w:val="0"/>
              </w:rPr>
              <w:t xml:space="preserve">Homburg &amp; Wielgos </w:t>
            </w:r>
            <w:r>
              <w:rPr>
                <w:color w:val="FF0000"/>
                <w:rtl w:val="0"/>
              </w:rPr>
              <w:lastRenderedPageBreak/>
              <w:t>(2022), p. 672</w:t>
            </w:r>
          </w:p>
        </w:tc>
      </w:tr>
    </w:tbl>
    <w:p w14:paraId="1B232F62" w14:textId="77777777" w:rsidR="00EB5CBD" w:rsidRDefault="00EB5CBD">
      <w:pPr>
        <w:spacing w:after="160"/>
      </w:pPr>
    </w:p>
    <w:p w14:paraId="2FDD7661" w14:textId="77777777" w:rsidR="00EB5CBD" w:rsidRDefault="00EA4CEB" w:rsidP="007E709B">
      <w:pPr>
        <w:bidi/>
        <w:spacing w:after="140" w:line="320" w:lineRule="auto"/>
      </w:pPr>
      <w:r>
        <w:rPr>
          <w:b/>
          <w:rtl w:val="0"/>
        </w:rPr>
        <w:t>‎3.8.1‎</w:t>
      </w:r>
      <w:r>
        <w:rPr>
          <w:b/>
        </w:rPr>
        <w:t xml:space="preserve"> طبيعة نموذج القياس</w:t>
      </w:r>
    </w:p>
    <w:p w14:paraId="5E132E6B" w14:textId="77777777" w:rsidR="00EB5CBD" w:rsidRDefault="00EA4CEB">
      <w:pPr>
        <w:bidi/>
        <w:spacing w:after="160" w:line="320" w:lineRule="auto"/>
        <w:jc w:val="both"/>
      </w:pPr>
      <w:r>
        <w:rPr>
          <w:rFonts w:ascii="Arial" w:hAnsi="Arial"/>
          <w:color w:val="FF0000"/>
          <w:lang w:val="ar-SA"/>
        </w:rPr>
        <w:t>يُحسم نوع القياس قبل جمع البيانات بناءً على منطق تكوين كل مفهوم، ولن يُعاد تصنيف أي متغير بعد الاطلاع على النتائج لمجرد تحسين المؤشرات الإحصائية. ويُعامل «تبنّي تقنيات الذكاء الاصطناعي» بوصفه مركبًا تكوينيًا من رتبة أعلى يتكون من ثلاثة أبعاد من الرتبة الأولى: الفائدة المتوقعة، وسهولة الاستخدام المتوقعة، والجاهزية التكنولوجية. وهذه الأبعاد غير قابلة للاستبدال مفاهيميًا؛ فقد يتحسن أحدها دون أن يتحسن الآخر. وفي المقابل، تُقاس الأبعاد الثلاثة بفقرات انعكاسية داخل كل بُعد. ويُعامل «التسويق الرقمي» بوصفه مقياسًا انعكاسيًا أحادي البعد لقدرته الرقمية الأساسية. أما «الأداء التسويقي» فيُعامل بوصفه مركبًا تكوينيًا؛ لأن رضا العملاء، والاحتفاظ بالعملاء، وكفاءة الحملات، والعائد على الاستثمار تمثل نتائج أداء متميزة تسهم مجتمعة في تكوين الأداء الكلي، ولا يُفترض أن تكون بدائل متكافئة بعضها لبعض.</w:t>
      </w:r>
    </w:p>
    <w:p w14:paraId="20E8AE24" w14:textId="77777777" w:rsidR="00EB5CBD" w:rsidRDefault="00EA4CEB">
      <w:pPr>
        <w:bidi/>
        <w:spacing w:after="160" w:line="320" w:lineRule="auto"/>
        <w:jc w:val="both"/>
      </w:pPr>
      <w:r>
        <w:rPr>
          <w:color w:val="FF0000"/>
        </w:rPr>
        <w:t xml:space="preserve">وفق هذا التحديد المسبق، سيُستخدم أسلوب المرحلتين في </w:t>
      </w:r>
      <w:r>
        <w:rPr>
          <w:color w:val="FF0000"/>
          <w:rtl w:val="0"/>
        </w:rPr>
        <w:t>‎SmartPLS‎</w:t>
      </w:r>
      <w:r>
        <w:rPr>
          <w:color w:val="FF0000"/>
        </w:rPr>
        <w:t xml:space="preserve"> لتقدير مركب «تبنّي تقنيات الذكاء الاصطناعي»: تُقدَّر أولًا درجات أبعاده الانعكاسية الثلاثة، ثم تُستخدم هذه الدرجات في المرحلة الثانية كمؤشرات تكوينية للمركب الكلي. ولا يُطبق أسلوب المتغيرات من الرتبة الثانية على «التسويق الرقمي» أو «الأداء التسويقي» في الصياغة الحالية. وتُقيَّم المقاييس الانعكاسية باستخدام التحميلات والثبات و</w:t>
      </w:r>
      <w:r>
        <w:rPr>
          <w:color w:val="FF0000"/>
          <w:rtl w:val="0"/>
        </w:rPr>
        <w:t>‎AVE‎</w:t>
      </w:r>
      <w:r>
        <w:rPr>
          <w:color w:val="FF0000"/>
        </w:rPr>
        <w:t xml:space="preserve"> و</w:t>
      </w:r>
      <w:r>
        <w:rPr>
          <w:color w:val="FF0000"/>
          <w:rtl w:val="0"/>
        </w:rPr>
        <w:t>‎HTMT‎</w:t>
      </w:r>
      <w:r>
        <w:rPr>
          <w:color w:val="FF0000"/>
        </w:rPr>
        <w:t xml:space="preserve">، بينما تُقيَّم المركبات التكوينية باستخدام </w:t>
      </w:r>
      <w:r>
        <w:rPr>
          <w:color w:val="FF0000"/>
          <w:rtl w:val="0"/>
        </w:rPr>
        <w:t>‎VIF‎</w:t>
      </w:r>
      <w:r>
        <w:rPr>
          <w:color w:val="FF0000"/>
        </w:rPr>
        <w:t xml:space="preserve"> ودلالة الأوزان الخارجية وأهميتها، مع الحفاظ على صلاحية المحتوى النظري.</w:t>
      </w:r>
    </w:p>
    <w:p w14:paraId="196D6ACE" w14:textId="77777777" w:rsidR="00EB5CBD" w:rsidRDefault="00EA4CEB" w:rsidP="007E709B">
      <w:pPr>
        <w:bidi/>
        <w:spacing w:after="160" w:line="320" w:lineRule="auto"/>
      </w:pPr>
      <w:r>
        <w:rPr>
          <w:b/>
          <w:rtl w:val="0"/>
        </w:rPr>
        <w:t>‎3.9‎</w:t>
      </w:r>
      <w:r>
        <w:rPr>
          <w:b/>
        </w:rPr>
        <w:t xml:space="preserve"> أداة الدراسة الكمية: الاستبيان</w:t>
      </w:r>
    </w:p>
    <w:p w14:paraId="15A71E81" w14:textId="77777777" w:rsidR="00EB5CBD" w:rsidRDefault="00EA4CEB" w:rsidP="007E709B">
      <w:pPr>
        <w:bidi/>
        <w:spacing w:after="140" w:line="320" w:lineRule="auto"/>
      </w:pPr>
      <w:r>
        <w:rPr>
          <w:b/>
          <w:rtl w:val="0"/>
        </w:rPr>
        <w:t>‎3.9.1‎</w:t>
      </w:r>
      <w:r>
        <w:rPr>
          <w:b/>
        </w:rPr>
        <w:t xml:space="preserve"> مصادر فقرات الاستبيان</w:t>
      </w:r>
    </w:p>
    <w:p w14:paraId="474A0125" w14:textId="77777777" w:rsidR="00EB5CBD" w:rsidRDefault="00EA4CEB">
      <w:pPr>
        <w:bidi/>
        <w:spacing w:after="160" w:line="320" w:lineRule="auto"/>
        <w:jc w:val="right"/>
      </w:pPr>
      <w:r>
        <w:rPr>
          <w:color w:val="FF0000"/>
        </w:rPr>
        <w:t>لا يُكتفى بالإحالة إلى كتاب أو إطار نظري عام لتوثيق أداة القياس. لذلك حُدد مصدر كل فقرة من فقرات المقياس الكمي على حدة في الجدول التالي، مع بيان ما إذا كانت الفقرة معدلة من بند منشور أو مطورة للبحث الحالي بالاستناد إلى إطار منشور. بلغ العدد النهائي للمقياس 19 فقرة: 8 فقرات لتبنّي تقنيات الذكاء الاصطناعي، و7 فقرات لقدرات التسويق الرقمي، و4 مؤشرات للأداء التسويقي. ويُعد هذا الجدول المرجع الذي يجب أن تتطابق معه نسخة الاستبانة الإلكترونية قبل التحكيم والدراسة الاستطلاعية. وبالنسبة لقدرات التسويق الرقمي، يغطي القياس القدرات الرقمية الأساسية السبع الواردة لدى هومبورغ وويلغوس، 2022، ص. 677، مع تكييف صياغتها لغويًا بما يلائم سياق المنشآت الصغيرة والمتوسطة.</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24"/>
        <w:gridCol w:w="720"/>
        <w:gridCol w:w="2664"/>
        <w:gridCol w:w="1800"/>
        <w:gridCol w:w="1080"/>
        <w:gridCol w:w="1872"/>
      </w:tblGrid>
      <w:tr w:rsidR="00EB5CBD" w14:paraId="366C1F3E" w14:textId="77777777">
        <w:trPr>
          <w:tblHeader/>
          <w:jc w:val="center"/>
        </w:trPr>
        <w:tc>
          <w:tcPr>
            <w:tcW w:w="1224" w:type="dxa"/>
            <w:tcBorders>
              <w:top w:val="single" w:sz="4" w:space="0" w:color="999999"/>
              <w:left w:val="single" w:sz="4" w:space="0" w:color="999999"/>
              <w:bottom w:val="single" w:sz="4" w:space="0" w:color="999999"/>
              <w:right w:val="single" w:sz="4" w:space="0" w:color="999999"/>
            </w:tcBorders>
            <w:shd w:val="clear" w:color="auto" w:fill="2F5496"/>
            <w:vAlign w:val="center"/>
          </w:tcPr>
          <w:p w14:paraId="7D1AD0D0" w14:textId="77777777"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البعد</w:t>
            </w:r>
          </w:p>
        </w:tc>
        <w:tc>
          <w:tcPr>
            <w:tcW w:w="720" w:type="dxa"/>
            <w:tcBorders>
              <w:top w:val="single" w:sz="4" w:space="0" w:color="999999"/>
              <w:left w:val="single" w:sz="4" w:space="0" w:color="999999"/>
              <w:bottom w:val="single" w:sz="4" w:space="0" w:color="999999"/>
              <w:right w:val="single" w:sz="4" w:space="0" w:color="999999"/>
            </w:tcBorders>
            <w:shd w:val="clear" w:color="auto" w:fill="2F5496"/>
            <w:vAlign w:val="center"/>
          </w:tcPr>
          <w:p w14:paraId="08C9BCBE" w14:textId="77777777"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رمز الفقرة</w:t>
            </w:r>
          </w:p>
        </w:tc>
        <w:tc>
          <w:tcPr>
            <w:tcW w:w="2664" w:type="dxa"/>
            <w:tcBorders>
              <w:top w:val="single" w:sz="4" w:space="0" w:color="999999"/>
              <w:left w:val="single" w:sz="4" w:space="0" w:color="999999"/>
              <w:bottom w:val="single" w:sz="4" w:space="0" w:color="999999"/>
              <w:right w:val="single" w:sz="4" w:space="0" w:color="999999"/>
            </w:tcBorders>
            <w:shd w:val="clear" w:color="auto" w:fill="2F5496"/>
            <w:vAlign w:val="center"/>
          </w:tcPr>
          <w:p w14:paraId="3E5A7E32" w14:textId="77777777"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نص الفقرة</w:t>
            </w:r>
          </w:p>
        </w:tc>
        <w:tc>
          <w:tcPr>
            <w:tcW w:w="1800" w:type="dxa"/>
            <w:tcBorders>
              <w:top w:val="single" w:sz="4" w:space="0" w:color="999999"/>
              <w:left w:val="single" w:sz="4" w:space="0" w:color="999999"/>
              <w:bottom w:val="single" w:sz="4" w:space="0" w:color="999999"/>
              <w:right w:val="single" w:sz="4" w:space="0" w:color="999999"/>
            </w:tcBorders>
            <w:shd w:val="clear" w:color="auto" w:fill="2F5496"/>
            <w:vAlign w:val="center"/>
          </w:tcPr>
          <w:p w14:paraId="30A80E58" w14:textId="77777777" w:rsidR="0099616A" w:rsidRPr="004148DE" w:rsidRDefault="003D1F04" w:rsidP="004148DE">
            <w:pPr>
              <w:bidi/>
              <w:jc w:val="center"/>
              <w:rPr>
                <w:color w:val="FFFFFF" w:themeColor="background1"/>
              </w:rPr>
            </w:pPr>
            <w:r w:rsidRPr="004148DE">
              <w:rPr>
                <w:color w:val="FFFFFF" w:themeColor="background1"/>
              </w:rPr>
              <w:t>المصدر الأصلي - المؤلف، السنة، الصفحة</w:t>
            </w:r>
          </w:p>
        </w:tc>
        <w:tc>
          <w:tcPr>
            <w:tcW w:w="1080" w:type="dxa"/>
            <w:tcBorders>
              <w:top w:val="single" w:sz="4" w:space="0" w:color="999999"/>
              <w:left w:val="single" w:sz="4" w:space="0" w:color="999999"/>
              <w:bottom w:val="single" w:sz="4" w:space="0" w:color="999999"/>
              <w:right w:val="single" w:sz="4" w:space="0" w:color="999999"/>
            </w:tcBorders>
            <w:shd w:val="clear" w:color="auto" w:fill="2F5496"/>
            <w:vAlign w:val="center"/>
          </w:tcPr>
          <w:p w14:paraId="3A3B1911" w14:textId="77777777" w:rsidR="0099616A" w:rsidRPr="004148DE" w:rsidRDefault="003D1F04" w:rsidP="004148DE">
            <w:pPr>
              <w:bidi/>
              <w:jc w:val="center"/>
              <w:rPr>
                <w:color w:val="FFFFFF" w:themeColor="background1"/>
              </w:rPr>
            </w:pPr>
            <w:r w:rsidRPr="004148DE">
              <w:rPr>
                <w:color w:val="FFFFFF" w:themeColor="background1"/>
              </w:rPr>
              <w:t>طبيعة التعديل - مقتبسة / معدلة / مطورة</w:t>
            </w:r>
          </w:p>
        </w:tc>
        <w:tc>
          <w:tcPr>
            <w:tcW w:w="1872" w:type="dxa"/>
            <w:tcBorders>
              <w:top w:val="single" w:sz="4" w:space="0" w:color="999999"/>
              <w:left w:val="single" w:sz="4" w:space="0" w:color="999999"/>
              <w:bottom w:val="single" w:sz="4" w:space="0" w:color="999999"/>
              <w:right w:val="single" w:sz="4" w:space="0" w:color="999999"/>
            </w:tcBorders>
            <w:shd w:val="clear" w:color="auto" w:fill="2F5496"/>
            <w:vAlign w:val="center"/>
          </w:tcPr>
          <w:p w14:paraId="083D6584" w14:textId="77777777"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سبب التعديل والملاءمة للبيئة السعودية</w:t>
            </w:r>
          </w:p>
        </w:tc>
      </w:tr>
      <w:tr w:rsidR="0099616A" w14:paraId="735FB97B" w14:textId="77777777">
        <w:trPr>
          <w:cantSplit/>
          <w:jc w:val="center"/>
        </w:trPr>
        <w:tc>
          <w:tcPr>
            <w:tcW w:w="1224" w:type="dxa"/>
            <w:vAlign w:val="center"/>
          </w:tcPr>
          <w:p w14:paraId="6CF76064" w14:textId="77777777" w:rsidR="0099616A" w:rsidRDefault="003D1F04" w:rsidP="004148DE">
            <w:pPr>
              <w:bidi/>
              <w:jc w:val="center"/>
            </w:pPr>
            <w:r>
              <w:rPr>
                <w:rFonts w:ascii="Arial" w:eastAsia="Arial" w:hAnsi="Arial" w:cs="Arial"/>
                <w:color w:val="FF0000"/>
                <w:sz w:val="14"/>
                <w:lang w:val="ar-SA"/>
              </w:rPr>
              <w:lastRenderedPageBreak/>
              <w:t>الفائدة المتوقعة</w:t>
            </w:r>
          </w:p>
        </w:tc>
        <w:tc>
          <w:tcPr>
            <w:tcW w:w="720" w:type="dxa"/>
            <w:vAlign w:val="center"/>
          </w:tcPr>
          <w:p w14:paraId="6939D87B" w14:textId="77777777" w:rsidR="0099616A" w:rsidRDefault="003D1F04" w:rsidP="004148DE">
            <w:pPr>
              <w:jc w:val="center"/>
            </w:pPr>
            <w:r>
              <w:rPr>
                <w:rFonts w:ascii="Arial" w:eastAsia="Arial" w:hAnsi="Arial" w:cs="Arial"/>
                <w:color w:val="FF0000"/>
                <w:sz w:val="14"/>
              </w:rPr>
              <w:t>AI1</w:t>
            </w:r>
          </w:p>
        </w:tc>
        <w:tc>
          <w:tcPr>
            <w:tcW w:w="2664" w:type="dxa"/>
            <w:vAlign w:val="center"/>
          </w:tcPr>
          <w:p w14:paraId="6B32E622" w14:textId="77777777" w:rsidR="0099616A" w:rsidRDefault="003D1F04" w:rsidP="004148DE">
            <w:pPr>
              <w:bidi/>
              <w:jc w:val="center"/>
            </w:pPr>
            <w:r>
              <w:rPr>
                <w:rFonts w:ascii="Arial" w:eastAsia="Arial" w:hAnsi="Arial" w:cs="Arial"/>
                <w:color w:val="FF0000"/>
                <w:sz w:val="14"/>
                <w:lang w:val="ar-SA"/>
              </w:rPr>
              <w:t>استخدام أدوات الذكاء الاصطناعي يساعد منشأتنا على إنجاز مهام التسويق الرقمي بسرعة أكبر.</w:t>
            </w:r>
          </w:p>
        </w:tc>
        <w:tc>
          <w:tcPr>
            <w:tcW w:w="1800" w:type="dxa"/>
            <w:vAlign w:val="center"/>
          </w:tcPr>
          <w:p w14:paraId="1AB3A56F" w14:textId="77777777" w:rsidR="0099616A" w:rsidRDefault="003D1F04" w:rsidP="004148DE">
            <w:pPr>
              <w:jc w:val="center"/>
            </w:pPr>
            <w:r>
              <w:rPr>
                <w:rFonts w:ascii="Arial" w:eastAsia="Arial" w:hAnsi="Arial" w:cs="Arial"/>
                <w:color w:val="FF0000"/>
                <w:sz w:val="14"/>
              </w:rPr>
              <w:t>Davis (1989), p. 331, Table 7</w:t>
            </w:r>
          </w:p>
        </w:tc>
        <w:tc>
          <w:tcPr>
            <w:tcW w:w="1080" w:type="dxa"/>
            <w:vAlign w:val="center"/>
          </w:tcPr>
          <w:p w14:paraId="78DE4932"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02AAF403" w14:textId="77777777" w:rsidR="0099616A" w:rsidRDefault="003D1F04" w:rsidP="004148DE">
            <w:pPr>
              <w:bidi/>
              <w:jc w:val="center"/>
            </w:pPr>
            <w:r>
              <w:rPr>
                <w:color w:val="FF0000"/>
              </w:rPr>
              <w:t>تكييف الفقرة من سياق نظم المعلومات إلى استخدام الذكاء الاصطناعي في التسويق، مع الحفاظ على معنى السرعة في إنجاز العمل.</w:t>
            </w:r>
          </w:p>
        </w:tc>
      </w:tr>
      <w:tr w:rsidR="0099616A" w14:paraId="22E10705" w14:textId="77777777">
        <w:trPr>
          <w:cantSplit/>
          <w:jc w:val="center"/>
        </w:trPr>
        <w:tc>
          <w:tcPr>
            <w:tcW w:w="1224" w:type="dxa"/>
            <w:vAlign w:val="center"/>
          </w:tcPr>
          <w:p w14:paraId="3A5B8BD6" w14:textId="77777777" w:rsidR="0099616A" w:rsidRDefault="003D1F04" w:rsidP="004148DE">
            <w:pPr>
              <w:bidi/>
              <w:jc w:val="center"/>
            </w:pPr>
            <w:r>
              <w:rPr>
                <w:rFonts w:ascii="Arial" w:eastAsia="Arial" w:hAnsi="Arial" w:cs="Arial"/>
                <w:color w:val="FF0000"/>
                <w:sz w:val="14"/>
                <w:lang w:val="ar-SA"/>
              </w:rPr>
              <w:t>الفائدة المتوقعة</w:t>
            </w:r>
          </w:p>
        </w:tc>
        <w:tc>
          <w:tcPr>
            <w:tcW w:w="720" w:type="dxa"/>
            <w:vAlign w:val="center"/>
          </w:tcPr>
          <w:p w14:paraId="65106DBA" w14:textId="77777777" w:rsidR="0099616A" w:rsidRDefault="003D1F04" w:rsidP="004148DE">
            <w:pPr>
              <w:jc w:val="center"/>
            </w:pPr>
            <w:r>
              <w:rPr>
                <w:rFonts w:ascii="Arial" w:eastAsia="Arial" w:hAnsi="Arial" w:cs="Arial"/>
                <w:color w:val="FF0000"/>
                <w:sz w:val="14"/>
              </w:rPr>
              <w:t>AI2</w:t>
            </w:r>
          </w:p>
        </w:tc>
        <w:tc>
          <w:tcPr>
            <w:tcW w:w="2664" w:type="dxa"/>
            <w:vAlign w:val="center"/>
          </w:tcPr>
          <w:p w14:paraId="424E625F" w14:textId="77777777" w:rsidR="0099616A" w:rsidRDefault="003D1F04" w:rsidP="004148DE">
            <w:pPr>
              <w:bidi/>
              <w:jc w:val="center"/>
            </w:pPr>
            <w:r>
              <w:rPr>
                <w:rFonts w:ascii="Arial" w:eastAsia="Arial" w:hAnsi="Arial" w:cs="Arial"/>
                <w:color w:val="FF0000"/>
                <w:sz w:val="14"/>
                <w:lang w:val="ar-SA"/>
              </w:rPr>
              <w:t>استخدام أدوات الذكاء الاصطناعي يحسن أداء الأنشطة التسويقية في منشأتنا.</w:t>
            </w:r>
          </w:p>
        </w:tc>
        <w:tc>
          <w:tcPr>
            <w:tcW w:w="1800" w:type="dxa"/>
            <w:vAlign w:val="center"/>
          </w:tcPr>
          <w:p w14:paraId="54209C45" w14:textId="77777777" w:rsidR="0099616A" w:rsidRDefault="003D1F04" w:rsidP="004148DE">
            <w:pPr>
              <w:jc w:val="center"/>
            </w:pPr>
            <w:r>
              <w:rPr>
                <w:rFonts w:ascii="Arial" w:eastAsia="Arial" w:hAnsi="Arial" w:cs="Arial"/>
                <w:color w:val="FF0000"/>
                <w:sz w:val="14"/>
              </w:rPr>
              <w:t>Davis (1989), p. 331, Table 7</w:t>
            </w:r>
          </w:p>
        </w:tc>
        <w:tc>
          <w:tcPr>
            <w:tcW w:w="1080" w:type="dxa"/>
            <w:vAlign w:val="center"/>
          </w:tcPr>
          <w:p w14:paraId="0217E108"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69209AD7" w14:textId="77777777" w:rsidR="0099616A" w:rsidRDefault="003D1F04" w:rsidP="004148DE">
            <w:pPr>
              <w:bidi/>
              <w:jc w:val="center"/>
            </w:pPr>
            <w:r>
              <w:rPr>
                <w:color w:val="FF0000"/>
              </w:rPr>
              <w:t>تكييف الفقرة لتقيس تحسن أداء الأنشطة التسويقية على مستوى المنشأة.</w:t>
            </w:r>
          </w:p>
        </w:tc>
      </w:tr>
      <w:tr w:rsidR="0099616A" w14:paraId="01024F87" w14:textId="77777777">
        <w:trPr>
          <w:cantSplit/>
          <w:jc w:val="center"/>
        </w:trPr>
        <w:tc>
          <w:tcPr>
            <w:tcW w:w="1224" w:type="dxa"/>
            <w:vAlign w:val="center"/>
          </w:tcPr>
          <w:p w14:paraId="2DD71E4A" w14:textId="77777777" w:rsidR="0099616A" w:rsidRDefault="003D1F04" w:rsidP="004148DE">
            <w:pPr>
              <w:bidi/>
              <w:jc w:val="center"/>
            </w:pPr>
            <w:r>
              <w:rPr>
                <w:rFonts w:ascii="Arial" w:eastAsia="Arial" w:hAnsi="Arial" w:cs="Arial"/>
                <w:color w:val="FF0000"/>
                <w:sz w:val="14"/>
                <w:lang w:val="ar-SA"/>
              </w:rPr>
              <w:t>الفائدة المتوقعة</w:t>
            </w:r>
          </w:p>
        </w:tc>
        <w:tc>
          <w:tcPr>
            <w:tcW w:w="720" w:type="dxa"/>
            <w:vAlign w:val="center"/>
          </w:tcPr>
          <w:p w14:paraId="30B1BDB2" w14:textId="77777777" w:rsidR="0099616A" w:rsidRDefault="003D1F04" w:rsidP="004148DE">
            <w:pPr>
              <w:jc w:val="center"/>
            </w:pPr>
            <w:r>
              <w:rPr>
                <w:rFonts w:ascii="Arial" w:eastAsia="Arial" w:hAnsi="Arial" w:cs="Arial"/>
                <w:color w:val="FF0000"/>
                <w:sz w:val="14"/>
              </w:rPr>
              <w:t>AI3</w:t>
            </w:r>
          </w:p>
        </w:tc>
        <w:tc>
          <w:tcPr>
            <w:tcW w:w="2664" w:type="dxa"/>
            <w:vAlign w:val="center"/>
          </w:tcPr>
          <w:p w14:paraId="2DC73413" w14:textId="77777777" w:rsidR="0099616A" w:rsidRDefault="003D1F04" w:rsidP="004148DE">
            <w:pPr>
              <w:bidi/>
              <w:jc w:val="center"/>
            </w:pPr>
            <w:r>
              <w:rPr>
                <w:rFonts w:ascii="Arial" w:eastAsia="Arial" w:hAnsi="Arial" w:cs="Arial"/>
                <w:color w:val="FF0000"/>
                <w:sz w:val="14"/>
                <w:lang w:val="ar-SA"/>
              </w:rPr>
              <w:t>استخدام أدوات الذكاء الاصطناعي يزيد إنتاجية فريق التسويق الرقمي في منشأتنا.</w:t>
            </w:r>
          </w:p>
        </w:tc>
        <w:tc>
          <w:tcPr>
            <w:tcW w:w="1800" w:type="dxa"/>
            <w:vAlign w:val="center"/>
          </w:tcPr>
          <w:p w14:paraId="4E2591A5" w14:textId="77777777" w:rsidR="0099616A" w:rsidRDefault="003D1F04" w:rsidP="004148DE">
            <w:pPr>
              <w:jc w:val="center"/>
            </w:pPr>
            <w:r>
              <w:rPr>
                <w:rFonts w:ascii="Arial" w:eastAsia="Arial" w:hAnsi="Arial" w:cs="Arial"/>
                <w:color w:val="FF0000"/>
                <w:sz w:val="14"/>
              </w:rPr>
              <w:t>Davis (1989), p. 331, Table 7</w:t>
            </w:r>
          </w:p>
        </w:tc>
        <w:tc>
          <w:tcPr>
            <w:tcW w:w="1080" w:type="dxa"/>
            <w:vAlign w:val="center"/>
          </w:tcPr>
          <w:p w14:paraId="1251517E"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54B00D7D" w14:textId="77777777" w:rsidR="0099616A" w:rsidRDefault="003D1F04" w:rsidP="004148DE">
            <w:pPr>
              <w:bidi/>
              <w:jc w:val="center"/>
            </w:pPr>
            <w:r>
              <w:rPr>
                <w:color w:val="FF0000"/>
              </w:rPr>
              <w:t>تكييف الفقرة لتقيس إنتاجية فريق التسويق الرقمي في بيئة المنشآت السعودية.</w:t>
            </w:r>
          </w:p>
        </w:tc>
      </w:tr>
      <w:tr w:rsidR="0099616A" w14:paraId="77718BCD" w14:textId="77777777">
        <w:trPr>
          <w:cantSplit/>
          <w:jc w:val="center"/>
        </w:trPr>
        <w:tc>
          <w:tcPr>
            <w:tcW w:w="1224" w:type="dxa"/>
            <w:vAlign w:val="center"/>
          </w:tcPr>
          <w:p w14:paraId="50B19CB9" w14:textId="77777777" w:rsidR="0099616A" w:rsidRDefault="003D1F04" w:rsidP="004148DE">
            <w:pPr>
              <w:bidi/>
              <w:jc w:val="center"/>
            </w:pPr>
            <w:r>
              <w:rPr>
                <w:rFonts w:ascii="Arial" w:eastAsia="Arial" w:hAnsi="Arial" w:cs="Arial"/>
                <w:color w:val="FF0000"/>
                <w:sz w:val="14"/>
                <w:lang w:val="ar-SA"/>
              </w:rPr>
              <w:t>سهولة الاستخدام</w:t>
            </w:r>
          </w:p>
        </w:tc>
        <w:tc>
          <w:tcPr>
            <w:tcW w:w="720" w:type="dxa"/>
            <w:vAlign w:val="center"/>
          </w:tcPr>
          <w:p w14:paraId="48D64544" w14:textId="77777777" w:rsidR="0099616A" w:rsidRDefault="003D1F04" w:rsidP="004148DE">
            <w:pPr>
              <w:jc w:val="center"/>
            </w:pPr>
            <w:r>
              <w:rPr>
                <w:rFonts w:ascii="Arial" w:eastAsia="Arial" w:hAnsi="Arial" w:cs="Arial"/>
                <w:color w:val="FF0000"/>
                <w:sz w:val="14"/>
              </w:rPr>
              <w:t>AI4</w:t>
            </w:r>
          </w:p>
        </w:tc>
        <w:tc>
          <w:tcPr>
            <w:tcW w:w="2664" w:type="dxa"/>
            <w:vAlign w:val="center"/>
          </w:tcPr>
          <w:p w14:paraId="5F2C21C2" w14:textId="77777777" w:rsidR="0099616A" w:rsidRDefault="003D1F04" w:rsidP="004148DE">
            <w:pPr>
              <w:bidi/>
              <w:jc w:val="center"/>
            </w:pPr>
            <w:r>
              <w:rPr>
                <w:rFonts w:ascii="Arial" w:eastAsia="Arial" w:hAnsi="Arial" w:cs="Arial"/>
                <w:color w:val="FF0000"/>
                <w:sz w:val="14"/>
                <w:lang w:val="ar-SA"/>
              </w:rPr>
              <w:t>تعلم استخدام أدوات الذكاء الاصطناعي اللازمة للتسويق سهل بالنسبة للعاملين المعنيين في منشأتنا.</w:t>
            </w:r>
          </w:p>
        </w:tc>
        <w:tc>
          <w:tcPr>
            <w:tcW w:w="1800" w:type="dxa"/>
            <w:vAlign w:val="center"/>
          </w:tcPr>
          <w:p w14:paraId="3B180A6F" w14:textId="77777777" w:rsidR="0099616A" w:rsidRDefault="003D1F04" w:rsidP="004148DE">
            <w:pPr>
              <w:jc w:val="center"/>
            </w:pPr>
            <w:r>
              <w:rPr>
                <w:rFonts w:ascii="Arial" w:eastAsia="Arial" w:hAnsi="Arial" w:cs="Arial"/>
                <w:color w:val="FF0000"/>
                <w:sz w:val="14"/>
              </w:rPr>
              <w:t>Davis (1989), p. 331, Table 7</w:t>
            </w:r>
          </w:p>
        </w:tc>
        <w:tc>
          <w:tcPr>
            <w:tcW w:w="1080" w:type="dxa"/>
            <w:vAlign w:val="center"/>
          </w:tcPr>
          <w:p w14:paraId="245520F0"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70DD5E24" w14:textId="77777777" w:rsidR="0099616A" w:rsidRDefault="003D1F04" w:rsidP="004148DE">
            <w:pPr>
              <w:bidi/>
              <w:jc w:val="center"/>
            </w:pPr>
            <w:r>
              <w:rPr>
                <w:color w:val="FF0000"/>
              </w:rPr>
              <w:t>تكييف الفقرة من استخدام نظام عام إلى تعلم أدوات الذكاء الاصطناعي المستخدمة في التسويق.</w:t>
            </w:r>
          </w:p>
        </w:tc>
      </w:tr>
      <w:tr w:rsidR="0099616A" w14:paraId="2A613729" w14:textId="77777777">
        <w:trPr>
          <w:cantSplit/>
          <w:jc w:val="center"/>
        </w:trPr>
        <w:tc>
          <w:tcPr>
            <w:tcW w:w="1224" w:type="dxa"/>
            <w:vAlign w:val="center"/>
          </w:tcPr>
          <w:p w14:paraId="5A0D3A12" w14:textId="77777777" w:rsidR="0099616A" w:rsidRDefault="003D1F04" w:rsidP="004148DE">
            <w:pPr>
              <w:bidi/>
              <w:jc w:val="center"/>
            </w:pPr>
            <w:r>
              <w:rPr>
                <w:rFonts w:ascii="Arial" w:eastAsia="Arial" w:hAnsi="Arial" w:cs="Arial"/>
                <w:color w:val="FF0000"/>
                <w:sz w:val="14"/>
                <w:lang w:val="ar-SA"/>
              </w:rPr>
              <w:t>سهولة الاستخدام</w:t>
            </w:r>
          </w:p>
        </w:tc>
        <w:tc>
          <w:tcPr>
            <w:tcW w:w="720" w:type="dxa"/>
            <w:vAlign w:val="center"/>
          </w:tcPr>
          <w:p w14:paraId="4879B575" w14:textId="77777777" w:rsidR="0099616A" w:rsidRDefault="003D1F04" w:rsidP="004148DE">
            <w:pPr>
              <w:jc w:val="center"/>
            </w:pPr>
            <w:r>
              <w:rPr>
                <w:rFonts w:ascii="Arial" w:eastAsia="Arial" w:hAnsi="Arial" w:cs="Arial"/>
                <w:color w:val="FF0000"/>
                <w:sz w:val="14"/>
              </w:rPr>
              <w:t>AI5</w:t>
            </w:r>
          </w:p>
        </w:tc>
        <w:tc>
          <w:tcPr>
            <w:tcW w:w="2664" w:type="dxa"/>
            <w:vAlign w:val="center"/>
          </w:tcPr>
          <w:p w14:paraId="00331915" w14:textId="77777777" w:rsidR="0099616A" w:rsidRDefault="003D1F04" w:rsidP="004148DE">
            <w:pPr>
              <w:bidi/>
              <w:jc w:val="center"/>
            </w:pPr>
            <w:r>
              <w:rPr>
                <w:rFonts w:ascii="Arial" w:eastAsia="Arial" w:hAnsi="Arial" w:cs="Arial"/>
                <w:color w:val="FF0000"/>
                <w:sz w:val="14"/>
                <w:lang w:val="ar-SA"/>
              </w:rPr>
              <w:t>التفاعل مع أدوات الذكاء الاصطناعي المستخدمة في التسويق واضح ومفهوم.</w:t>
            </w:r>
          </w:p>
        </w:tc>
        <w:tc>
          <w:tcPr>
            <w:tcW w:w="1800" w:type="dxa"/>
            <w:vAlign w:val="center"/>
          </w:tcPr>
          <w:p w14:paraId="4355EA5C" w14:textId="77777777" w:rsidR="0099616A" w:rsidRDefault="003D1F04" w:rsidP="004148DE">
            <w:pPr>
              <w:jc w:val="center"/>
            </w:pPr>
            <w:r>
              <w:rPr>
                <w:rFonts w:ascii="Arial" w:eastAsia="Arial" w:hAnsi="Arial" w:cs="Arial"/>
                <w:color w:val="FF0000"/>
                <w:sz w:val="14"/>
              </w:rPr>
              <w:t>Davis (1989), p. 331, Table 7</w:t>
            </w:r>
          </w:p>
        </w:tc>
        <w:tc>
          <w:tcPr>
            <w:tcW w:w="1080" w:type="dxa"/>
            <w:vAlign w:val="center"/>
          </w:tcPr>
          <w:p w14:paraId="520C99F3"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487ACEED" w14:textId="77777777" w:rsidR="0099616A" w:rsidRDefault="003D1F04" w:rsidP="004148DE">
            <w:pPr>
              <w:bidi/>
              <w:jc w:val="center"/>
            </w:pPr>
            <w:r>
              <w:rPr>
                <w:color w:val="FF0000"/>
              </w:rPr>
              <w:t>الحفاظ على المعنى الدلالي المتعلق بوضوح التفاعل وسهولة فهمه، مع تكييف السياق للتسويق.</w:t>
            </w:r>
          </w:p>
        </w:tc>
      </w:tr>
      <w:tr w:rsidR="0099616A" w14:paraId="56928BC9" w14:textId="77777777">
        <w:trPr>
          <w:cantSplit/>
          <w:jc w:val="center"/>
        </w:trPr>
        <w:tc>
          <w:tcPr>
            <w:tcW w:w="1224" w:type="dxa"/>
            <w:vAlign w:val="center"/>
          </w:tcPr>
          <w:p w14:paraId="6E8DEA4C" w14:textId="77777777" w:rsidR="0099616A" w:rsidRDefault="003D1F04" w:rsidP="004148DE">
            <w:pPr>
              <w:bidi/>
              <w:jc w:val="center"/>
            </w:pPr>
            <w:r>
              <w:rPr>
                <w:rFonts w:ascii="Arial" w:eastAsia="Arial" w:hAnsi="Arial" w:cs="Arial"/>
                <w:color w:val="FF0000"/>
                <w:sz w:val="14"/>
                <w:lang w:val="ar-SA"/>
              </w:rPr>
              <w:t>سهولة الاستخدام</w:t>
            </w:r>
          </w:p>
        </w:tc>
        <w:tc>
          <w:tcPr>
            <w:tcW w:w="720" w:type="dxa"/>
            <w:vAlign w:val="center"/>
          </w:tcPr>
          <w:p w14:paraId="55624D9C" w14:textId="77777777" w:rsidR="0099616A" w:rsidRDefault="003D1F04" w:rsidP="004148DE">
            <w:pPr>
              <w:jc w:val="center"/>
            </w:pPr>
            <w:r>
              <w:rPr>
                <w:rFonts w:ascii="Arial" w:eastAsia="Arial" w:hAnsi="Arial" w:cs="Arial"/>
                <w:color w:val="FF0000"/>
                <w:sz w:val="14"/>
              </w:rPr>
              <w:t>AI6</w:t>
            </w:r>
          </w:p>
        </w:tc>
        <w:tc>
          <w:tcPr>
            <w:tcW w:w="2664" w:type="dxa"/>
            <w:vAlign w:val="center"/>
          </w:tcPr>
          <w:p w14:paraId="37483802" w14:textId="77777777" w:rsidR="0099616A" w:rsidRDefault="003D1F04" w:rsidP="004148DE">
            <w:pPr>
              <w:bidi/>
              <w:jc w:val="center"/>
            </w:pPr>
            <w:r>
              <w:rPr>
                <w:rFonts w:ascii="Arial" w:eastAsia="Arial" w:hAnsi="Arial" w:cs="Arial"/>
                <w:color w:val="FF0000"/>
                <w:sz w:val="14"/>
                <w:lang w:val="ar-SA"/>
              </w:rPr>
              <w:t>أدوات الذكاء الاصطناعي المستخدمة في التسويق سهلة الاستخدام.</w:t>
            </w:r>
          </w:p>
        </w:tc>
        <w:tc>
          <w:tcPr>
            <w:tcW w:w="1800" w:type="dxa"/>
            <w:vAlign w:val="center"/>
          </w:tcPr>
          <w:p w14:paraId="68997280" w14:textId="77777777" w:rsidR="0099616A" w:rsidRDefault="003D1F04" w:rsidP="004148DE">
            <w:pPr>
              <w:jc w:val="center"/>
            </w:pPr>
            <w:r>
              <w:rPr>
                <w:rFonts w:ascii="Arial" w:eastAsia="Arial" w:hAnsi="Arial" w:cs="Arial"/>
                <w:color w:val="FF0000"/>
                <w:sz w:val="14"/>
              </w:rPr>
              <w:t>Davis (1989), p. 331, Table 7</w:t>
            </w:r>
          </w:p>
        </w:tc>
        <w:tc>
          <w:tcPr>
            <w:tcW w:w="1080" w:type="dxa"/>
            <w:vAlign w:val="center"/>
          </w:tcPr>
          <w:p w14:paraId="61CA872B"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31B06153" w14:textId="77777777" w:rsidR="0099616A" w:rsidRDefault="003D1F04" w:rsidP="004148DE">
            <w:pPr>
              <w:bidi/>
              <w:jc w:val="center"/>
            </w:pPr>
            <w:r>
              <w:rPr>
                <w:color w:val="FF0000"/>
              </w:rPr>
              <w:t>تكييف مباشر للسياق التسويقي مع الحفاظ على معنى سهولة الاستخدام.</w:t>
            </w:r>
          </w:p>
        </w:tc>
      </w:tr>
      <w:tr w:rsidR="0099616A" w14:paraId="0ACF475D" w14:textId="77777777">
        <w:trPr>
          <w:cantSplit/>
          <w:jc w:val="center"/>
        </w:trPr>
        <w:tc>
          <w:tcPr>
            <w:tcW w:w="1224" w:type="dxa"/>
            <w:vAlign w:val="center"/>
          </w:tcPr>
          <w:p w14:paraId="4F0987AB" w14:textId="77777777" w:rsidR="0099616A" w:rsidRDefault="003D1F04" w:rsidP="004148DE">
            <w:pPr>
              <w:bidi/>
              <w:jc w:val="center"/>
            </w:pPr>
            <w:r>
              <w:rPr>
                <w:rFonts w:ascii="Arial" w:eastAsia="Arial" w:hAnsi="Arial" w:cs="Arial"/>
                <w:color w:val="FF0000"/>
                <w:sz w:val="14"/>
                <w:lang w:val="ar-SA"/>
              </w:rPr>
              <w:t>الجاهزية التكنولوجية</w:t>
            </w:r>
          </w:p>
        </w:tc>
        <w:tc>
          <w:tcPr>
            <w:tcW w:w="720" w:type="dxa"/>
            <w:vAlign w:val="center"/>
          </w:tcPr>
          <w:p w14:paraId="3BA6894E" w14:textId="77777777" w:rsidR="0099616A" w:rsidRDefault="003D1F04" w:rsidP="004148DE">
            <w:pPr>
              <w:jc w:val="center"/>
            </w:pPr>
            <w:r>
              <w:rPr>
                <w:rFonts w:ascii="Arial" w:eastAsia="Arial" w:hAnsi="Arial" w:cs="Arial"/>
                <w:color w:val="FF0000"/>
                <w:sz w:val="14"/>
              </w:rPr>
              <w:t>AI7</w:t>
            </w:r>
          </w:p>
        </w:tc>
        <w:tc>
          <w:tcPr>
            <w:tcW w:w="2664" w:type="dxa"/>
            <w:vAlign w:val="center"/>
          </w:tcPr>
          <w:p w14:paraId="7EEE5B89" w14:textId="77777777" w:rsidR="0099616A" w:rsidRDefault="003D1F04" w:rsidP="004148DE">
            <w:pPr>
              <w:bidi/>
              <w:jc w:val="center"/>
            </w:pPr>
            <w:r>
              <w:rPr>
                <w:rFonts w:ascii="Arial" w:eastAsia="Arial" w:hAnsi="Arial" w:cs="Arial"/>
                <w:color w:val="FF0000"/>
                <w:sz w:val="14"/>
                <w:lang w:val="ar-SA"/>
              </w:rPr>
              <w:t>تتوافر في منشأتنا الموارد التقنية اللازمة لاستخدام أدوات الذكاء الاصطناعي في التسويق.</w:t>
            </w:r>
          </w:p>
        </w:tc>
        <w:tc>
          <w:tcPr>
            <w:tcW w:w="1800" w:type="dxa"/>
            <w:vAlign w:val="center"/>
          </w:tcPr>
          <w:p w14:paraId="193A8DAF" w14:textId="77777777" w:rsidR="0099616A" w:rsidRDefault="003D1F04" w:rsidP="004148DE">
            <w:pPr>
              <w:jc w:val="center"/>
            </w:pPr>
            <w:r>
              <w:rPr>
                <w:rFonts w:ascii="Arial" w:eastAsia="Arial" w:hAnsi="Arial" w:cs="Arial"/>
                <w:color w:val="FF0000"/>
                <w:sz w:val="14"/>
              </w:rPr>
              <w:t>Venkatesh et al. (2003), p. 453, Table 12</w:t>
            </w:r>
          </w:p>
        </w:tc>
        <w:tc>
          <w:tcPr>
            <w:tcW w:w="1080" w:type="dxa"/>
            <w:vAlign w:val="center"/>
          </w:tcPr>
          <w:p w14:paraId="765A303D"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7CF980CE" w14:textId="77777777" w:rsidR="0099616A" w:rsidRDefault="003D1F04" w:rsidP="004148DE">
            <w:pPr>
              <w:bidi/>
              <w:jc w:val="center"/>
            </w:pPr>
            <w:r>
              <w:rPr>
                <w:color w:val="FF0000"/>
              </w:rPr>
              <w:t>تكييف الفقرة لتقيس توافر الموارد التقنية اللازمة لاستخدام أدوات الذكاء الاصطناعي على مستوى المنشأة.</w:t>
            </w:r>
          </w:p>
        </w:tc>
      </w:tr>
      <w:tr w:rsidR="0099616A" w14:paraId="2E025BD5" w14:textId="77777777">
        <w:trPr>
          <w:cantSplit/>
          <w:jc w:val="center"/>
        </w:trPr>
        <w:tc>
          <w:tcPr>
            <w:tcW w:w="1224" w:type="dxa"/>
            <w:vAlign w:val="center"/>
          </w:tcPr>
          <w:p w14:paraId="4CF17D3F" w14:textId="77777777" w:rsidR="0099616A" w:rsidRDefault="003D1F04" w:rsidP="004148DE">
            <w:pPr>
              <w:bidi/>
              <w:jc w:val="center"/>
            </w:pPr>
            <w:r>
              <w:rPr>
                <w:rFonts w:ascii="Arial" w:eastAsia="Arial" w:hAnsi="Arial" w:cs="Arial"/>
                <w:color w:val="FF0000"/>
                <w:sz w:val="14"/>
                <w:lang w:val="ar-SA"/>
              </w:rPr>
              <w:t>الجاهزية التكنولوجية</w:t>
            </w:r>
          </w:p>
        </w:tc>
        <w:tc>
          <w:tcPr>
            <w:tcW w:w="720" w:type="dxa"/>
            <w:vAlign w:val="center"/>
          </w:tcPr>
          <w:p w14:paraId="675EB825" w14:textId="77777777" w:rsidR="0099616A" w:rsidRDefault="003D1F04" w:rsidP="004148DE">
            <w:pPr>
              <w:jc w:val="center"/>
            </w:pPr>
            <w:r>
              <w:rPr>
                <w:rFonts w:ascii="Arial" w:eastAsia="Arial" w:hAnsi="Arial" w:cs="Arial"/>
                <w:color w:val="FF0000"/>
                <w:sz w:val="14"/>
              </w:rPr>
              <w:t>AI8</w:t>
            </w:r>
          </w:p>
        </w:tc>
        <w:tc>
          <w:tcPr>
            <w:tcW w:w="2664" w:type="dxa"/>
            <w:vAlign w:val="center"/>
          </w:tcPr>
          <w:p w14:paraId="37CB509D" w14:textId="77777777" w:rsidR="0099616A" w:rsidRDefault="003D1F04" w:rsidP="004148DE">
            <w:pPr>
              <w:bidi/>
              <w:jc w:val="center"/>
            </w:pPr>
            <w:r>
              <w:rPr>
                <w:rFonts w:ascii="Arial" w:eastAsia="Arial" w:hAnsi="Arial" w:cs="Arial"/>
                <w:color w:val="FF0000"/>
                <w:sz w:val="14"/>
                <w:lang w:val="ar-SA"/>
              </w:rPr>
              <w:t>تتوافر لدى العاملين المعنيين المعرفة والمهارات اللازمة لاستخدام أدوات الذكاء الاصطناعي في التسويق.</w:t>
            </w:r>
          </w:p>
        </w:tc>
        <w:tc>
          <w:tcPr>
            <w:tcW w:w="1800" w:type="dxa"/>
            <w:vAlign w:val="center"/>
          </w:tcPr>
          <w:p w14:paraId="0DE06377" w14:textId="77777777" w:rsidR="0099616A" w:rsidRDefault="003D1F04" w:rsidP="004148DE">
            <w:pPr>
              <w:jc w:val="center"/>
            </w:pPr>
            <w:r>
              <w:rPr>
                <w:rFonts w:ascii="Arial" w:eastAsia="Arial" w:hAnsi="Arial" w:cs="Arial"/>
                <w:color w:val="FF0000"/>
                <w:sz w:val="14"/>
              </w:rPr>
              <w:t>Venkatesh et al. (2003), p. 453, Table 12</w:t>
            </w:r>
          </w:p>
        </w:tc>
        <w:tc>
          <w:tcPr>
            <w:tcW w:w="1080" w:type="dxa"/>
            <w:vAlign w:val="center"/>
          </w:tcPr>
          <w:p w14:paraId="74548A31" w14:textId="77777777"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14:paraId="6A468251" w14:textId="77777777" w:rsidR="0099616A" w:rsidRDefault="003D1F04" w:rsidP="004148DE">
            <w:pPr>
              <w:bidi/>
              <w:jc w:val="center"/>
            </w:pPr>
            <w:r>
              <w:rPr>
                <w:color w:val="FF0000"/>
              </w:rPr>
              <w:t>تكييف الفقرة لتقيس توافر المعرفة والمهارات اللازمة للاستخدام التنظيمي لأدوات الذكاء الاصطناعي.</w:t>
            </w:r>
          </w:p>
        </w:tc>
      </w:tr>
      <w:tr w:rsidR="0099616A" w14:paraId="5954BE7F" w14:textId="77777777">
        <w:trPr>
          <w:cantSplit/>
          <w:jc w:val="center"/>
        </w:trPr>
        <w:tc>
          <w:tcPr>
            <w:tcW w:w="1224" w:type="dxa"/>
            <w:vAlign w:val="center"/>
          </w:tcPr>
          <w:p w14:paraId="2B89BE44" w14:textId="77777777"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14:paraId="5E54FFE8" w14:textId="77777777" w:rsidR="0099616A" w:rsidRDefault="003D1F04" w:rsidP="004148DE">
            <w:pPr>
              <w:jc w:val="center"/>
            </w:pPr>
            <w:r>
              <w:rPr>
                <w:rFonts w:ascii="Arial" w:hAnsi="Arial"/>
                <w:color w:val="FF0000"/>
                <w:sz w:val="18"/>
              </w:rPr>
              <w:t>DM1</w:t>
            </w:r>
          </w:p>
        </w:tc>
        <w:tc>
          <w:tcPr>
            <w:tcW w:w="2664" w:type="dxa"/>
            <w:vAlign w:val="center"/>
          </w:tcPr>
          <w:p w14:paraId="7DEA52E0" w14:textId="77777777" w:rsidR="0099616A" w:rsidRDefault="003D1F04" w:rsidP="004148DE">
            <w:pPr>
              <w:bidi/>
              <w:jc w:val="center"/>
            </w:pPr>
            <w:r>
              <w:rPr>
                <w:rFonts w:ascii="Arial" w:hAnsi="Arial"/>
                <w:color w:val="FF0000"/>
                <w:sz w:val="18"/>
                <w:lang w:val="ar-SA"/>
              </w:rPr>
              <w:t>تمتلك منشأتنا قدرة جيدة على إدارة التسويق عبر شبكات التواصل الاجتماعي.</w:t>
            </w:r>
          </w:p>
        </w:tc>
        <w:tc>
          <w:tcPr>
            <w:tcW w:w="1800" w:type="dxa"/>
            <w:vAlign w:val="center"/>
          </w:tcPr>
          <w:p w14:paraId="217A5549"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6D269960"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7CD6D921" w14:textId="77777777" w:rsidR="0099616A" w:rsidRDefault="003D1F04" w:rsidP="004148DE">
            <w:pPr>
              <w:bidi/>
              <w:jc w:val="center"/>
            </w:pPr>
            <w:r>
              <w:rPr>
                <w:color w:val="FF0000"/>
              </w:rPr>
              <w:t>صياغة المؤشر لقياس القدرة على التسويق عبر شبكات التواصل الاجتماعي بوصفها إحدى قدرات التسويق الرقمي الأساسية.</w:t>
            </w:r>
          </w:p>
        </w:tc>
      </w:tr>
      <w:tr w:rsidR="0099616A" w14:paraId="40D70880" w14:textId="77777777">
        <w:trPr>
          <w:cantSplit/>
          <w:jc w:val="center"/>
        </w:trPr>
        <w:tc>
          <w:tcPr>
            <w:tcW w:w="1224" w:type="dxa"/>
            <w:vAlign w:val="center"/>
          </w:tcPr>
          <w:p w14:paraId="231D038D" w14:textId="77777777" w:rsidR="0099616A" w:rsidRDefault="003D1F04" w:rsidP="004148DE">
            <w:pPr>
              <w:bidi/>
              <w:jc w:val="center"/>
            </w:pPr>
            <w:r>
              <w:rPr>
                <w:rFonts w:ascii="Arial" w:hAnsi="Arial"/>
                <w:color w:val="FF0000"/>
                <w:sz w:val="18"/>
                <w:lang w:val="ar-SA"/>
              </w:rPr>
              <w:lastRenderedPageBreak/>
              <w:t>قدرات التسويق الرقمي</w:t>
            </w:r>
          </w:p>
        </w:tc>
        <w:tc>
          <w:tcPr>
            <w:tcW w:w="720" w:type="dxa"/>
            <w:vAlign w:val="center"/>
          </w:tcPr>
          <w:p w14:paraId="2B1E03E7" w14:textId="77777777" w:rsidR="0099616A" w:rsidRDefault="003D1F04" w:rsidP="004148DE">
            <w:pPr>
              <w:jc w:val="center"/>
            </w:pPr>
            <w:r>
              <w:rPr>
                <w:rFonts w:ascii="Arial" w:hAnsi="Arial"/>
                <w:color w:val="FF0000"/>
                <w:sz w:val="18"/>
              </w:rPr>
              <w:t>DM2</w:t>
            </w:r>
          </w:p>
        </w:tc>
        <w:tc>
          <w:tcPr>
            <w:tcW w:w="2664" w:type="dxa"/>
            <w:vAlign w:val="center"/>
          </w:tcPr>
          <w:p w14:paraId="398879ED" w14:textId="77777777" w:rsidR="0099616A" w:rsidRDefault="003D1F04" w:rsidP="004148DE">
            <w:pPr>
              <w:bidi/>
              <w:jc w:val="center"/>
            </w:pPr>
            <w:r>
              <w:rPr>
                <w:rFonts w:ascii="Arial" w:hAnsi="Arial"/>
                <w:color w:val="FF0000"/>
                <w:sz w:val="18"/>
                <w:lang w:val="ar-SA"/>
              </w:rPr>
              <w:t>تمتلك منشأتنا قدرة جيدة على تنفيذ أنشطة التسويق عبر الأجهزة المحمولة والقنوات المتنقلة.</w:t>
            </w:r>
          </w:p>
        </w:tc>
        <w:tc>
          <w:tcPr>
            <w:tcW w:w="1800" w:type="dxa"/>
            <w:vAlign w:val="center"/>
          </w:tcPr>
          <w:p w14:paraId="43BA5E1A"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5FB8DF97"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52667D05" w14:textId="77777777" w:rsidR="0099616A" w:rsidRDefault="003D1F04" w:rsidP="004148DE">
            <w:pPr>
              <w:bidi/>
              <w:jc w:val="center"/>
            </w:pPr>
            <w:r>
              <w:rPr>
                <w:color w:val="FF0000"/>
              </w:rPr>
              <w:t>صياغة المؤشر لقياس القدرة على التسويق عبر الأجهزة المحمولة والقنوات المتنقلة بما يلائم المنشآت الصغيرة والمتوسطة.</w:t>
            </w:r>
          </w:p>
        </w:tc>
      </w:tr>
      <w:tr w:rsidR="0099616A" w14:paraId="202BED31" w14:textId="77777777">
        <w:trPr>
          <w:cantSplit/>
          <w:jc w:val="center"/>
        </w:trPr>
        <w:tc>
          <w:tcPr>
            <w:tcW w:w="1224" w:type="dxa"/>
            <w:vAlign w:val="center"/>
          </w:tcPr>
          <w:p w14:paraId="146DEE9E" w14:textId="77777777"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14:paraId="5867EE40" w14:textId="77777777" w:rsidR="0099616A" w:rsidRDefault="003D1F04" w:rsidP="004148DE">
            <w:pPr>
              <w:jc w:val="center"/>
            </w:pPr>
            <w:r>
              <w:rPr>
                <w:rFonts w:ascii="Arial" w:hAnsi="Arial"/>
                <w:color w:val="FF0000"/>
                <w:sz w:val="18"/>
              </w:rPr>
              <w:t>DM3</w:t>
            </w:r>
          </w:p>
        </w:tc>
        <w:tc>
          <w:tcPr>
            <w:tcW w:w="2664" w:type="dxa"/>
            <w:vAlign w:val="center"/>
          </w:tcPr>
          <w:p w14:paraId="262BF8B3" w14:textId="77777777" w:rsidR="0099616A" w:rsidRDefault="003D1F04" w:rsidP="004148DE">
            <w:pPr>
              <w:bidi/>
              <w:jc w:val="center"/>
            </w:pPr>
            <w:r>
              <w:rPr>
                <w:rFonts w:ascii="Arial" w:hAnsi="Arial"/>
                <w:color w:val="FF0000"/>
                <w:sz w:val="18"/>
                <w:lang w:val="ar-SA"/>
              </w:rPr>
              <w:t>تمتلك منشأتنا قدرة جيدة على إنتاج المحتوى الرقمي التسويقي وإدارته.</w:t>
            </w:r>
          </w:p>
        </w:tc>
        <w:tc>
          <w:tcPr>
            <w:tcW w:w="1800" w:type="dxa"/>
            <w:vAlign w:val="center"/>
          </w:tcPr>
          <w:p w14:paraId="7FF0B0A2"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4FB52D3D"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749556B2" w14:textId="77777777" w:rsidR="0099616A" w:rsidRDefault="003D1F04" w:rsidP="004148DE">
            <w:pPr>
              <w:bidi/>
              <w:jc w:val="center"/>
            </w:pPr>
            <w:r>
              <w:rPr>
                <w:color w:val="FF0000"/>
              </w:rPr>
              <w:t>صياغة المؤشر لقياس القدرة على إنتاج المحتوى الرقمي التسويقي وإدارته بما يلائم المنشآت الصغيرة والمتوسطة.</w:t>
            </w:r>
          </w:p>
        </w:tc>
      </w:tr>
      <w:tr w:rsidR="0099616A" w14:paraId="1860B4BF" w14:textId="77777777">
        <w:trPr>
          <w:cantSplit/>
          <w:jc w:val="center"/>
        </w:trPr>
        <w:tc>
          <w:tcPr>
            <w:tcW w:w="1224" w:type="dxa"/>
            <w:vAlign w:val="center"/>
          </w:tcPr>
          <w:p w14:paraId="50373476" w14:textId="77777777"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14:paraId="70E46D87" w14:textId="77777777" w:rsidR="0099616A" w:rsidRDefault="003D1F04" w:rsidP="004148DE">
            <w:pPr>
              <w:jc w:val="center"/>
            </w:pPr>
            <w:r>
              <w:rPr>
                <w:rFonts w:ascii="Arial" w:hAnsi="Arial"/>
                <w:color w:val="FF0000"/>
                <w:sz w:val="18"/>
              </w:rPr>
              <w:t>DM4</w:t>
            </w:r>
          </w:p>
        </w:tc>
        <w:tc>
          <w:tcPr>
            <w:tcW w:w="2664" w:type="dxa"/>
            <w:vAlign w:val="center"/>
          </w:tcPr>
          <w:p w14:paraId="064ACC02" w14:textId="77777777" w:rsidR="0099616A" w:rsidRDefault="003D1F04" w:rsidP="004148DE">
            <w:pPr>
              <w:bidi/>
              <w:jc w:val="center"/>
            </w:pPr>
            <w:r>
              <w:rPr>
                <w:rFonts w:ascii="Arial" w:hAnsi="Arial"/>
                <w:color w:val="FF0000"/>
                <w:sz w:val="18"/>
                <w:lang w:val="ar-SA"/>
              </w:rPr>
              <w:t>تمتلك منشأتنا قدرة جيدة على إدارة التسويق عبر محركات البحث.</w:t>
            </w:r>
          </w:p>
        </w:tc>
        <w:tc>
          <w:tcPr>
            <w:tcW w:w="1800" w:type="dxa"/>
            <w:vAlign w:val="center"/>
          </w:tcPr>
          <w:p w14:paraId="7E8114DB"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390A153D"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52DD8C6B" w14:textId="77777777" w:rsidR="0099616A" w:rsidRDefault="003D1F04" w:rsidP="004148DE">
            <w:pPr>
              <w:bidi/>
              <w:jc w:val="center"/>
            </w:pPr>
            <w:r>
              <w:rPr>
                <w:color w:val="FF0000"/>
              </w:rPr>
              <w:t>صياغة المؤشر لقياس القدرة على إدارة التسويق عبر محركات البحث بعبارة مختصرة وواضحة للمشارك.</w:t>
            </w:r>
          </w:p>
        </w:tc>
      </w:tr>
      <w:tr w:rsidR="0099616A" w14:paraId="39E175C4" w14:textId="77777777">
        <w:trPr>
          <w:cantSplit/>
          <w:jc w:val="center"/>
        </w:trPr>
        <w:tc>
          <w:tcPr>
            <w:tcW w:w="1224" w:type="dxa"/>
            <w:vAlign w:val="center"/>
          </w:tcPr>
          <w:p w14:paraId="5102CEFD" w14:textId="77777777"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14:paraId="73CBA450" w14:textId="77777777" w:rsidR="0099616A" w:rsidRDefault="003D1F04" w:rsidP="004148DE">
            <w:pPr>
              <w:jc w:val="center"/>
            </w:pPr>
            <w:r>
              <w:rPr>
                <w:rFonts w:ascii="Arial" w:hAnsi="Arial"/>
                <w:color w:val="FF0000"/>
                <w:sz w:val="18"/>
              </w:rPr>
              <w:t>DM5</w:t>
            </w:r>
          </w:p>
        </w:tc>
        <w:tc>
          <w:tcPr>
            <w:tcW w:w="2664" w:type="dxa"/>
            <w:vAlign w:val="center"/>
          </w:tcPr>
          <w:p w14:paraId="666B7A2F" w14:textId="77777777" w:rsidR="0099616A" w:rsidRDefault="003D1F04" w:rsidP="004148DE">
            <w:pPr>
              <w:bidi/>
              <w:jc w:val="center"/>
            </w:pPr>
            <w:r>
              <w:rPr>
                <w:rFonts w:ascii="Arial" w:hAnsi="Arial"/>
                <w:color w:val="FF0000"/>
                <w:sz w:val="18"/>
                <w:lang w:val="ar-SA"/>
              </w:rPr>
              <w:t>تستخدم منشأتنا تحليلات الويب والمنصات الرقمية لتقييم الأنشطة التسويقية وتحسينها.</w:t>
            </w:r>
          </w:p>
        </w:tc>
        <w:tc>
          <w:tcPr>
            <w:tcW w:w="1800" w:type="dxa"/>
            <w:vAlign w:val="center"/>
          </w:tcPr>
          <w:p w14:paraId="443B5748"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339048D0"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41461D5E" w14:textId="77777777" w:rsidR="0099616A" w:rsidRDefault="003D1F04" w:rsidP="004148DE">
            <w:pPr>
              <w:bidi/>
              <w:jc w:val="center"/>
            </w:pPr>
            <w:r>
              <w:rPr>
                <w:color w:val="FF0000"/>
              </w:rPr>
              <w:t>صياغة المؤشر لقياس استخدام تحليلات الويب والمنصات الرقمية في تقييم الأنشطة التسويقية وتحسينها.</w:t>
            </w:r>
          </w:p>
        </w:tc>
      </w:tr>
      <w:tr w:rsidR="0099616A" w14:paraId="18EF71AC" w14:textId="77777777">
        <w:trPr>
          <w:cantSplit/>
          <w:jc w:val="center"/>
        </w:trPr>
        <w:tc>
          <w:tcPr>
            <w:tcW w:w="1224" w:type="dxa"/>
            <w:vAlign w:val="center"/>
          </w:tcPr>
          <w:p w14:paraId="196FB925" w14:textId="77777777"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14:paraId="6E1E8B38" w14:textId="77777777" w:rsidR="0099616A" w:rsidRDefault="003D1F04" w:rsidP="004148DE">
            <w:pPr>
              <w:jc w:val="center"/>
            </w:pPr>
            <w:r>
              <w:rPr>
                <w:rFonts w:ascii="Arial" w:hAnsi="Arial"/>
                <w:color w:val="FF0000"/>
                <w:sz w:val="18"/>
              </w:rPr>
              <w:t>DM6</w:t>
            </w:r>
          </w:p>
        </w:tc>
        <w:tc>
          <w:tcPr>
            <w:tcW w:w="2664" w:type="dxa"/>
            <w:vAlign w:val="center"/>
          </w:tcPr>
          <w:p w14:paraId="24CFC7D3" w14:textId="77777777" w:rsidR="0099616A" w:rsidRDefault="003D1F04" w:rsidP="004148DE">
            <w:pPr>
              <w:bidi/>
              <w:jc w:val="center"/>
            </w:pPr>
            <w:r>
              <w:rPr>
                <w:rFonts w:ascii="Arial" w:hAnsi="Arial"/>
                <w:color w:val="FF0000"/>
                <w:sz w:val="18"/>
                <w:lang w:val="ar-SA"/>
              </w:rPr>
              <w:t>تستخدم منشأتنا أدوات أتمتة التسويق لتنفيذ الأنشطة والتواصل مع العملاء بكفاءة.</w:t>
            </w:r>
          </w:p>
        </w:tc>
        <w:tc>
          <w:tcPr>
            <w:tcW w:w="1800" w:type="dxa"/>
            <w:vAlign w:val="center"/>
          </w:tcPr>
          <w:p w14:paraId="5231B375"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57BE661F"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3E608C34" w14:textId="77777777" w:rsidR="0099616A" w:rsidRDefault="003D1F04" w:rsidP="004148DE">
            <w:pPr>
              <w:bidi/>
              <w:jc w:val="center"/>
            </w:pPr>
            <w:r>
              <w:rPr>
                <w:color w:val="FF0000"/>
              </w:rPr>
              <w:t>صياغة المؤشر لقياس استخدام أتمتة التسويق في تنفيذ الأنشطة والتواصل مع العملاء بكفاءة.</w:t>
            </w:r>
          </w:p>
        </w:tc>
      </w:tr>
      <w:tr w:rsidR="0099616A" w14:paraId="2F80AC34" w14:textId="77777777">
        <w:trPr>
          <w:cantSplit/>
          <w:jc w:val="center"/>
        </w:trPr>
        <w:tc>
          <w:tcPr>
            <w:tcW w:w="1224" w:type="dxa"/>
            <w:vAlign w:val="center"/>
          </w:tcPr>
          <w:p w14:paraId="34E8919A" w14:textId="77777777"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14:paraId="59268AAC" w14:textId="77777777" w:rsidR="0099616A" w:rsidRDefault="003D1F04" w:rsidP="004148DE">
            <w:pPr>
              <w:jc w:val="center"/>
            </w:pPr>
            <w:r>
              <w:rPr>
                <w:rFonts w:ascii="Arial" w:hAnsi="Arial"/>
                <w:color w:val="FF0000"/>
                <w:sz w:val="18"/>
              </w:rPr>
              <w:t>DM7</w:t>
            </w:r>
          </w:p>
        </w:tc>
        <w:tc>
          <w:tcPr>
            <w:tcW w:w="2664" w:type="dxa"/>
            <w:vAlign w:val="center"/>
          </w:tcPr>
          <w:p w14:paraId="36A2DE7F" w14:textId="77777777" w:rsidR="0099616A" w:rsidRDefault="003D1F04" w:rsidP="004148DE">
            <w:pPr>
              <w:bidi/>
              <w:jc w:val="center"/>
            </w:pPr>
            <w:r>
              <w:rPr>
                <w:rFonts w:ascii="Arial" w:hAnsi="Arial"/>
                <w:color w:val="FF0000"/>
                <w:sz w:val="18"/>
                <w:lang w:val="ar-SA"/>
              </w:rPr>
              <w:t>تستخدم منشأتنا البريد الإلكتروني ضمن قنوات التسويق الرقمي المباشر بصورة منظمة.</w:t>
            </w:r>
          </w:p>
        </w:tc>
        <w:tc>
          <w:tcPr>
            <w:tcW w:w="1800" w:type="dxa"/>
            <w:vAlign w:val="center"/>
          </w:tcPr>
          <w:p w14:paraId="213E8B33" w14:textId="77777777" w:rsidR="0099616A" w:rsidRDefault="003D1F04" w:rsidP="004148DE">
            <w:pPr>
              <w:jc w:val="center"/>
            </w:pPr>
            <w:r>
              <w:rPr>
                <w:rFonts w:ascii="Arial" w:hAnsi="Arial"/>
                <w:color w:val="FF0000"/>
                <w:sz w:val="18"/>
              </w:rPr>
              <w:t>Homburg &amp; Wielgos (2022), p. 677</w:t>
            </w:r>
          </w:p>
        </w:tc>
        <w:tc>
          <w:tcPr>
            <w:tcW w:w="1080" w:type="dxa"/>
            <w:vAlign w:val="center"/>
          </w:tcPr>
          <w:p w14:paraId="776EEDEE"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75AAAB75" w14:textId="77777777" w:rsidR="0099616A" w:rsidRDefault="003D1F04" w:rsidP="004148DE">
            <w:pPr>
              <w:bidi/>
              <w:jc w:val="center"/>
            </w:pPr>
            <w:r>
              <w:rPr>
                <w:color w:val="FF0000"/>
              </w:rPr>
              <w:t>صياغة المؤشر لقياس الاستخدام المنظم للبريد الإلكتروني ضمن قنوات التسويق الرقمي المباشر.</w:t>
            </w:r>
          </w:p>
        </w:tc>
      </w:tr>
      <w:tr w:rsidR="0099616A" w14:paraId="6AC1C088" w14:textId="77777777">
        <w:trPr>
          <w:cantSplit/>
          <w:jc w:val="center"/>
        </w:trPr>
        <w:tc>
          <w:tcPr>
            <w:tcW w:w="1224" w:type="dxa"/>
            <w:vAlign w:val="center"/>
          </w:tcPr>
          <w:p w14:paraId="765B14BD" w14:textId="77777777" w:rsidR="0099616A" w:rsidRDefault="003D1F04" w:rsidP="004148DE">
            <w:pPr>
              <w:bidi/>
              <w:jc w:val="center"/>
            </w:pPr>
            <w:r>
              <w:rPr>
                <w:rFonts w:ascii="Arial" w:hAnsi="Arial"/>
                <w:color w:val="FF0000"/>
                <w:sz w:val="18"/>
                <w:lang w:val="ar-SA"/>
              </w:rPr>
              <w:t>الأداء التسويقي</w:t>
            </w:r>
          </w:p>
        </w:tc>
        <w:tc>
          <w:tcPr>
            <w:tcW w:w="720" w:type="dxa"/>
            <w:vAlign w:val="center"/>
          </w:tcPr>
          <w:p w14:paraId="1F378C4D" w14:textId="77777777" w:rsidR="0099616A" w:rsidRDefault="003D1F04" w:rsidP="004148DE">
            <w:pPr>
              <w:jc w:val="center"/>
            </w:pPr>
            <w:r>
              <w:rPr>
                <w:rFonts w:ascii="Arial" w:hAnsi="Arial"/>
                <w:color w:val="FF0000"/>
                <w:sz w:val="18"/>
              </w:rPr>
              <w:t>MP1</w:t>
            </w:r>
          </w:p>
        </w:tc>
        <w:tc>
          <w:tcPr>
            <w:tcW w:w="2664" w:type="dxa"/>
            <w:vAlign w:val="center"/>
          </w:tcPr>
          <w:p w14:paraId="310E2058" w14:textId="77777777" w:rsidR="0099616A" w:rsidRDefault="003D1F04" w:rsidP="004148DE">
            <w:pPr>
              <w:bidi/>
              <w:jc w:val="center"/>
            </w:pPr>
            <w:r>
              <w:rPr>
                <w:rFonts w:ascii="Arial" w:hAnsi="Arial"/>
                <w:color w:val="FF0000"/>
                <w:sz w:val="18"/>
                <w:lang w:val="ar-SA"/>
              </w:rPr>
              <w:t>تحقق الأنشطة التسويقية في منشأتنا مستوى مرتفعًا من رضا العملاء.</w:t>
            </w:r>
          </w:p>
        </w:tc>
        <w:tc>
          <w:tcPr>
            <w:tcW w:w="1800" w:type="dxa"/>
            <w:vAlign w:val="center"/>
          </w:tcPr>
          <w:p w14:paraId="05FB968E" w14:textId="77777777" w:rsidR="0099616A" w:rsidRDefault="003D1F04" w:rsidP="004148DE">
            <w:pPr>
              <w:jc w:val="center"/>
            </w:pPr>
            <w:r>
              <w:rPr>
                <w:rFonts w:ascii="Arial" w:hAnsi="Arial"/>
                <w:color w:val="FF0000"/>
                <w:sz w:val="18"/>
              </w:rPr>
              <w:t>Katsikeas et al. (2016), p. 4, Table 1</w:t>
            </w:r>
          </w:p>
        </w:tc>
        <w:tc>
          <w:tcPr>
            <w:tcW w:w="1080" w:type="dxa"/>
            <w:vAlign w:val="center"/>
          </w:tcPr>
          <w:p w14:paraId="1FCB7D1C"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5C8B6580" w14:textId="77777777" w:rsidR="0099616A" w:rsidRDefault="003D1F04" w:rsidP="004148DE">
            <w:pPr>
              <w:bidi/>
              <w:jc w:val="center"/>
            </w:pPr>
            <w:r>
              <w:rPr>
                <w:color w:val="FF0000"/>
              </w:rPr>
              <w:t>رضا العملاء أحد مخرجات توجهات العملاء؛ وصيغ المؤشر ليتناسب مع التقييم الإدراكي على مستوى المنشأة.</w:t>
            </w:r>
          </w:p>
        </w:tc>
      </w:tr>
      <w:tr w:rsidR="0099616A" w14:paraId="62D80F98" w14:textId="77777777">
        <w:trPr>
          <w:cantSplit/>
          <w:jc w:val="center"/>
        </w:trPr>
        <w:tc>
          <w:tcPr>
            <w:tcW w:w="1224" w:type="dxa"/>
            <w:vAlign w:val="center"/>
          </w:tcPr>
          <w:p w14:paraId="260403DD" w14:textId="77777777" w:rsidR="0099616A" w:rsidRDefault="003D1F04" w:rsidP="004148DE">
            <w:pPr>
              <w:bidi/>
              <w:jc w:val="center"/>
            </w:pPr>
            <w:r>
              <w:rPr>
                <w:rFonts w:ascii="Arial" w:hAnsi="Arial"/>
                <w:color w:val="FF0000"/>
                <w:sz w:val="18"/>
                <w:lang w:val="ar-SA"/>
              </w:rPr>
              <w:t>الأداء التسويقي</w:t>
            </w:r>
          </w:p>
        </w:tc>
        <w:tc>
          <w:tcPr>
            <w:tcW w:w="720" w:type="dxa"/>
            <w:vAlign w:val="center"/>
          </w:tcPr>
          <w:p w14:paraId="031502B1" w14:textId="77777777" w:rsidR="0099616A" w:rsidRDefault="003D1F04" w:rsidP="004148DE">
            <w:pPr>
              <w:jc w:val="center"/>
            </w:pPr>
            <w:r>
              <w:rPr>
                <w:rFonts w:ascii="Arial" w:hAnsi="Arial"/>
                <w:color w:val="FF0000"/>
                <w:sz w:val="18"/>
              </w:rPr>
              <w:t>MP2</w:t>
            </w:r>
          </w:p>
        </w:tc>
        <w:tc>
          <w:tcPr>
            <w:tcW w:w="2664" w:type="dxa"/>
            <w:vAlign w:val="center"/>
          </w:tcPr>
          <w:p w14:paraId="5814E5C4" w14:textId="77777777" w:rsidR="0099616A" w:rsidRDefault="003D1F04" w:rsidP="004148DE">
            <w:pPr>
              <w:bidi/>
              <w:jc w:val="center"/>
            </w:pPr>
            <w:r>
              <w:rPr>
                <w:rFonts w:ascii="Arial" w:hAnsi="Arial"/>
                <w:color w:val="FF0000"/>
                <w:sz w:val="18"/>
                <w:lang w:val="ar-SA"/>
              </w:rPr>
              <w:t>تسهم الأنشطة التسويقية في منشأتنا في الاحتفاظ بالعملاء واستمرار تعاملهم معها.</w:t>
            </w:r>
          </w:p>
        </w:tc>
        <w:tc>
          <w:tcPr>
            <w:tcW w:w="1800" w:type="dxa"/>
            <w:vAlign w:val="center"/>
          </w:tcPr>
          <w:p w14:paraId="34BF6327" w14:textId="77777777" w:rsidR="0099616A" w:rsidRDefault="003D1F04" w:rsidP="004148DE">
            <w:pPr>
              <w:jc w:val="center"/>
            </w:pPr>
            <w:r>
              <w:rPr>
                <w:rFonts w:ascii="Arial" w:hAnsi="Arial"/>
                <w:color w:val="FF0000"/>
                <w:sz w:val="18"/>
              </w:rPr>
              <w:t>Katsikeas et al. (2016), p. 4, Table 1</w:t>
            </w:r>
          </w:p>
        </w:tc>
        <w:tc>
          <w:tcPr>
            <w:tcW w:w="1080" w:type="dxa"/>
            <w:vAlign w:val="center"/>
          </w:tcPr>
          <w:p w14:paraId="2D4B9C92"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48C258DE" w14:textId="77777777" w:rsidR="0099616A" w:rsidRDefault="003D1F04" w:rsidP="004148DE">
            <w:pPr>
              <w:bidi/>
              <w:jc w:val="center"/>
            </w:pPr>
            <w:r>
              <w:rPr>
                <w:color w:val="FF0000"/>
              </w:rPr>
              <w:t>الاحتفاظ بالعملاء مخرج سلوكي للعملاء، ويكمل مؤشر رضا العملاء ضمن قياس الأداء التسويقي.</w:t>
            </w:r>
          </w:p>
        </w:tc>
      </w:tr>
      <w:tr w:rsidR="0099616A" w14:paraId="6E7873BB" w14:textId="77777777">
        <w:trPr>
          <w:cantSplit/>
          <w:jc w:val="center"/>
        </w:trPr>
        <w:tc>
          <w:tcPr>
            <w:tcW w:w="1224" w:type="dxa"/>
            <w:vAlign w:val="center"/>
          </w:tcPr>
          <w:p w14:paraId="15DB16FC" w14:textId="77777777" w:rsidR="0099616A" w:rsidRDefault="003D1F04" w:rsidP="004148DE">
            <w:pPr>
              <w:bidi/>
              <w:jc w:val="center"/>
            </w:pPr>
            <w:r>
              <w:rPr>
                <w:rFonts w:ascii="Arial" w:hAnsi="Arial"/>
                <w:color w:val="FF0000"/>
                <w:sz w:val="18"/>
                <w:lang w:val="ar-SA"/>
              </w:rPr>
              <w:lastRenderedPageBreak/>
              <w:t>الأداء التسويقي</w:t>
            </w:r>
          </w:p>
        </w:tc>
        <w:tc>
          <w:tcPr>
            <w:tcW w:w="720" w:type="dxa"/>
            <w:vAlign w:val="center"/>
          </w:tcPr>
          <w:p w14:paraId="110D7015" w14:textId="77777777" w:rsidR="0099616A" w:rsidRDefault="003D1F04" w:rsidP="004148DE">
            <w:pPr>
              <w:jc w:val="center"/>
            </w:pPr>
            <w:r>
              <w:rPr>
                <w:rFonts w:ascii="Arial" w:hAnsi="Arial"/>
                <w:color w:val="FF0000"/>
                <w:sz w:val="18"/>
              </w:rPr>
              <w:t>MP3</w:t>
            </w:r>
          </w:p>
        </w:tc>
        <w:tc>
          <w:tcPr>
            <w:tcW w:w="2664" w:type="dxa"/>
            <w:vAlign w:val="center"/>
          </w:tcPr>
          <w:p w14:paraId="4B918163" w14:textId="77777777" w:rsidR="0099616A" w:rsidRDefault="003D1F04" w:rsidP="004148DE">
            <w:pPr>
              <w:bidi/>
              <w:jc w:val="center"/>
            </w:pPr>
            <w:r>
              <w:rPr>
                <w:rFonts w:ascii="Arial" w:hAnsi="Arial"/>
                <w:color w:val="FF0000"/>
                <w:sz w:val="18"/>
                <w:lang w:val="ar-SA"/>
              </w:rPr>
              <w:t>تُظهر حملاتنا التسويقية كفاءة جيدة في تحويل الجمهور المستهدف إلى استجابات أو عملاء فعليين.</w:t>
            </w:r>
          </w:p>
        </w:tc>
        <w:tc>
          <w:tcPr>
            <w:tcW w:w="1800" w:type="dxa"/>
            <w:vAlign w:val="center"/>
          </w:tcPr>
          <w:p w14:paraId="281D8FCE" w14:textId="77777777" w:rsidR="0099616A" w:rsidRDefault="003D1F04" w:rsidP="004148DE">
            <w:pPr>
              <w:jc w:val="center"/>
            </w:pPr>
            <w:r>
              <w:rPr>
                <w:rFonts w:ascii="Arial" w:hAnsi="Arial"/>
                <w:color w:val="FF0000"/>
                <w:sz w:val="18"/>
              </w:rPr>
              <w:t>Homburg &amp; Wielgos (2022), p. 672; Katsikeas et al. (2016), p. 4, Table 1</w:t>
            </w:r>
          </w:p>
        </w:tc>
        <w:tc>
          <w:tcPr>
            <w:tcW w:w="1080" w:type="dxa"/>
            <w:vAlign w:val="center"/>
          </w:tcPr>
          <w:p w14:paraId="11228757"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74AEBC3D" w14:textId="77777777" w:rsidR="0099616A" w:rsidRDefault="003D1F04" w:rsidP="004148DE">
            <w:pPr>
              <w:bidi/>
              <w:jc w:val="center"/>
            </w:pPr>
            <w:r>
              <w:rPr>
                <w:color w:val="FF0000"/>
              </w:rPr>
              <w:t>صيغ المؤشر لالتقاط التحويل بوصفه مخرجًا سلوكيًا مرتبطًا بفعالية الأنشطة التسويقية الرقمية.</w:t>
            </w:r>
          </w:p>
        </w:tc>
      </w:tr>
      <w:tr w:rsidR="0099616A" w14:paraId="2225C07C" w14:textId="77777777">
        <w:trPr>
          <w:cantSplit/>
          <w:jc w:val="center"/>
        </w:trPr>
        <w:tc>
          <w:tcPr>
            <w:tcW w:w="1224" w:type="dxa"/>
            <w:vAlign w:val="center"/>
          </w:tcPr>
          <w:p w14:paraId="1DFCCBA4" w14:textId="77777777" w:rsidR="0099616A" w:rsidRDefault="003D1F04" w:rsidP="004148DE">
            <w:pPr>
              <w:bidi/>
              <w:jc w:val="center"/>
            </w:pPr>
            <w:r>
              <w:rPr>
                <w:rFonts w:ascii="Arial" w:hAnsi="Arial"/>
                <w:color w:val="FF0000"/>
                <w:sz w:val="18"/>
                <w:lang w:val="ar-SA"/>
              </w:rPr>
              <w:t>الأداء التسويقي</w:t>
            </w:r>
          </w:p>
        </w:tc>
        <w:tc>
          <w:tcPr>
            <w:tcW w:w="720" w:type="dxa"/>
            <w:vAlign w:val="center"/>
          </w:tcPr>
          <w:p w14:paraId="061D0C0D" w14:textId="77777777" w:rsidR="0099616A" w:rsidRDefault="003D1F04" w:rsidP="004148DE">
            <w:pPr>
              <w:jc w:val="center"/>
            </w:pPr>
            <w:r>
              <w:rPr>
                <w:rFonts w:ascii="Arial" w:hAnsi="Arial"/>
                <w:color w:val="FF0000"/>
                <w:sz w:val="18"/>
              </w:rPr>
              <w:t>MP4</w:t>
            </w:r>
          </w:p>
        </w:tc>
        <w:tc>
          <w:tcPr>
            <w:tcW w:w="2664" w:type="dxa"/>
            <w:vAlign w:val="center"/>
          </w:tcPr>
          <w:p w14:paraId="23640E6A" w14:textId="77777777" w:rsidR="0099616A" w:rsidRDefault="003D1F04" w:rsidP="004148DE">
            <w:pPr>
              <w:bidi/>
              <w:jc w:val="center"/>
            </w:pPr>
            <w:r>
              <w:rPr>
                <w:rFonts w:ascii="Arial" w:hAnsi="Arial"/>
                <w:color w:val="FF0000"/>
                <w:sz w:val="18"/>
                <w:lang w:val="ar-SA"/>
              </w:rPr>
              <w:t>تحقق استثمارات منشأتنا في التسويق عائدًا مرضيًا مقارنة بالتكاليف المخصصة لها.</w:t>
            </w:r>
          </w:p>
        </w:tc>
        <w:tc>
          <w:tcPr>
            <w:tcW w:w="1800" w:type="dxa"/>
            <w:vAlign w:val="center"/>
          </w:tcPr>
          <w:p w14:paraId="5089BB1E" w14:textId="77777777" w:rsidR="0099616A" w:rsidRDefault="003D1F04" w:rsidP="004148DE">
            <w:pPr>
              <w:jc w:val="center"/>
            </w:pPr>
            <w:r>
              <w:rPr>
                <w:rFonts w:ascii="Arial" w:hAnsi="Arial"/>
                <w:color w:val="FF0000"/>
                <w:sz w:val="18"/>
              </w:rPr>
              <w:t>Katsikeas et al. (2016), p. 4, Table 1</w:t>
            </w:r>
          </w:p>
        </w:tc>
        <w:tc>
          <w:tcPr>
            <w:tcW w:w="1080" w:type="dxa"/>
            <w:vAlign w:val="center"/>
          </w:tcPr>
          <w:p w14:paraId="4EDC5A18" w14:textId="77777777"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14:paraId="76792FA5" w14:textId="77777777" w:rsidR="0099616A" w:rsidRDefault="003D1F04" w:rsidP="004148DE">
            <w:pPr>
              <w:bidi/>
              <w:jc w:val="center"/>
            </w:pPr>
            <w:r>
              <w:rPr>
                <w:color w:val="FF0000"/>
              </w:rPr>
              <w:t>يعكس العائد على الاستثمار كفاءة المخرج التسويقي في ضوء الموارد أو المدخلات المستخدمة.</w:t>
            </w:r>
          </w:p>
        </w:tc>
      </w:tr>
    </w:tbl>
    <w:p w14:paraId="1D560C1F" w14:textId="77777777" w:rsidR="00EB5CBD" w:rsidRDefault="00EB5CBD">
      <w:pPr>
        <w:spacing w:after="160"/>
      </w:pPr>
    </w:p>
    <w:p w14:paraId="091BC826" w14:textId="77777777" w:rsidR="00EB5CBD" w:rsidRDefault="00EA4CEB">
      <w:pPr>
        <w:bidi/>
        <w:spacing w:after="160" w:line="320" w:lineRule="auto"/>
        <w:jc w:val="both"/>
      </w:pPr>
      <w:r>
        <w:rPr>
          <w:color w:val="FF0000"/>
        </w:rPr>
        <w:t xml:space="preserve">تُطبق الترجمة العكسية على الفقرات المعدلة من مقاييس أصلية باللغة الإنجليزية، بينما تخضع الفقرات المطورة لتحكيم المحتوى </w:t>
      </w:r>
      <w:r>
        <w:rPr>
          <w:color w:val="FF0000"/>
          <w:rtl w:val="0"/>
        </w:rPr>
        <w:t>‎CVR‎</w:t>
      </w:r>
      <w:r>
        <w:rPr>
          <w:color w:val="FF0000"/>
        </w:rPr>
        <w:t xml:space="preserve"> والدراسة الاستطلاعية قبل التطبيق النهائي. ولا يُنسب أي نص مطور إلى المؤلف الأصلي باعتباره اقتباسًا حرفيًا؛ بل يُذكر بوضوح أنه «مطوّر بالاستناد إلى» المصدر النظري أو القياسي المحدد في الجدول.</w:t>
      </w:r>
    </w:p>
    <w:p w14:paraId="09DA06D7" w14:textId="77777777" w:rsidR="00EB5CBD" w:rsidRDefault="00EA4CEB" w:rsidP="007E709B">
      <w:pPr>
        <w:bidi/>
        <w:spacing w:after="140" w:line="320" w:lineRule="auto"/>
      </w:pPr>
      <w:r>
        <w:rPr>
          <w:b/>
          <w:rtl w:val="0"/>
        </w:rPr>
        <w:t>‎3.9.2‎</w:t>
      </w:r>
      <w:r>
        <w:rPr>
          <w:b/>
        </w:rPr>
        <w:t xml:space="preserve"> إجراءات الترجمة والترجمة العكسية</w:t>
      </w:r>
    </w:p>
    <w:p w14:paraId="0C451FF4" w14:textId="77777777" w:rsidR="00EB5CBD" w:rsidRDefault="00EA4CEB">
      <w:pPr>
        <w:bidi/>
        <w:spacing w:after="160" w:line="320" w:lineRule="auto"/>
        <w:jc w:val="right"/>
      </w:pPr>
      <w:r>
        <w:rPr>
          <w:color w:val="C00000"/>
        </w:rPr>
        <w:t>تتضمن الأداة فقرات معدلة من مقاييس أصلية باللغة الإنجليزية؛ إذ استندت فقرات الفائدة المتوقعة وسهولة الاستخدام إلى ديفيس، 1989، واستندت فقرات الجاهزية التكنولوجية إلى فينكاتيش وزملائه، 2003. كما طُوّرت فقرات قدرات التسويق الرقمي بالاستناد إلى هومبورغ وويلغوس، 2022، وطُوّرت فقرات الأداء التسويقي بالاستناد إلى كاتسيكاس وزملائه، 2016. لذلك ستُطبَّق الترجمة والترجمة العكسية على الفقرات المعدلة، بينما تُراجع الفقرات المطورة لغويًا ومفاهيميًا من خلال التحكيم العلمي والدراسة الاستطلاعية، وفق الخطوات التالية:</w:t>
      </w:r>
    </w:p>
    <w:p w14:paraId="52E78FCF" w14:textId="77777777" w:rsidR="00EB5CBD" w:rsidRDefault="00EA4CEB">
      <w:pPr>
        <w:pStyle w:val="a4"/>
        <w:numPr>
          <w:ilvl w:val="0"/>
          <w:numId w:val="2"/>
        </w:numPr>
        <w:bidi/>
        <w:spacing w:after="100" w:line="300" w:lineRule="auto"/>
        <w:jc w:val="both"/>
      </w:pPr>
      <w:r>
        <w:rPr>
          <w:lang w:val="ar-SA"/>
        </w:rPr>
        <w:t>ترجمة أولية للفقرات من الإنجليزية إلى العربية بواسطة مترجم متخصص في المصطلحات التسويقية والتقنية.</w:t>
      </w:r>
    </w:p>
    <w:p w14:paraId="1884CC92" w14:textId="77777777" w:rsidR="00EB5CBD" w:rsidRDefault="00EA4CEB">
      <w:pPr>
        <w:pStyle w:val="a4"/>
        <w:numPr>
          <w:ilvl w:val="0"/>
          <w:numId w:val="2"/>
        </w:numPr>
        <w:bidi/>
        <w:spacing w:after="100" w:line="300" w:lineRule="auto"/>
        <w:jc w:val="both"/>
      </w:pPr>
      <w:r>
        <w:rPr>
          <w:lang w:val="ar-SA"/>
        </w:rPr>
        <w:t>مراجعة علمية ولغوية للنسخة العربية من قِبل الباحثة والمشرف الأكاديمي.</w:t>
      </w:r>
    </w:p>
    <w:p w14:paraId="39A8C4BF" w14:textId="77777777" w:rsidR="00EB5CBD" w:rsidRDefault="00EA4CEB">
      <w:pPr>
        <w:pStyle w:val="a4"/>
        <w:numPr>
          <w:ilvl w:val="0"/>
          <w:numId w:val="2"/>
        </w:numPr>
        <w:bidi/>
        <w:spacing w:after="100" w:line="300" w:lineRule="auto"/>
        <w:jc w:val="both"/>
      </w:pPr>
      <w:r>
        <w:rPr>
          <w:lang w:val="ar-SA"/>
        </w:rPr>
        <w:t>ترجمة عكسية للنسخة العربية إلى الإنجليزية بواسطة مترجم مستقل لم يطّلع على النسخة الأصلية.</w:t>
      </w:r>
    </w:p>
    <w:p w14:paraId="1A90A6B6" w14:textId="77777777" w:rsidR="00EB5CBD" w:rsidRDefault="00EA4CEB">
      <w:pPr>
        <w:pStyle w:val="a4"/>
        <w:numPr>
          <w:ilvl w:val="0"/>
          <w:numId w:val="2"/>
        </w:numPr>
        <w:bidi/>
        <w:spacing w:after="100" w:line="300" w:lineRule="auto"/>
        <w:jc w:val="both"/>
      </w:pPr>
      <w:r>
        <w:rPr>
          <w:lang w:val="ar-SA"/>
        </w:rPr>
        <w:t>مقارنة النسخة العكسية بالنص الإنجليزي الأصلي لرصد أي انحراف دلالي.</w:t>
      </w:r>
    </w:p>
    <w:p w14:paraId="3A5846FF" w14:textId="77777777" w:rsidR="00EB5CBD" w:rsidRDefault="00EA4CEB">
      <w:pPr>
        <w:pStyle w:val="a4"/>
        <w:numPr>
          <w:ilvl w:val="0"/>
          <w:numId w:val="2"/>
        </w:numPr>
        <w:bidi/>
        <w:spacing w:after="100" w:line="300" w:lineRule="auto"/>
        <w:jc w:val="both"/>
      </w:pPr>
      <w:r>
        <w:rPr>
          <w:lang w:val="ar-SA"/>
        </w:rPr>
        <w:t>تعديل أي فقرة أظهرت تباينًا بين النسختين حتى تتحقق المطابقة الدلالية.</w:t>
      </w:r>
    </w:p>
    <w:p w14:paraId="67A864EC" w14:textId="77777777" w:rsidR="00EB5CBD" w:rsidRDefault="00EA4CEB">
      <w:pPr>
        <w:pStyle w:val="a4"/>
        <w:numPr>
          <w:ilvl w:val="0"/>
          <w:numId w:val="2"/>
        </w:numPr>
        <w:bidi/>
        <w:spacing w:after="100" w:line="300" w:lineRule="auto"/>
        <w:jc w:val="both"/>
      </w:pPr>
      <w:r>
        <w:rPr>
          <w:lang w:val="ar-SA"/>
        </w:rPr>
        <w:t>التحقق من الملاءمة الثقافية للتعابير المستخدمة في السياق السعودي.</w:t>
      </w:r>
    </w:p>
    <w:p w14:paraId="4234AC18" w14:textId="77777777" w:rsidR="00EB5CBD" w:rsidRDefault="00EA4CEB">
      <w:pPr>
        <w:pStyle w:val="a4"/>
        <w:numPr>
          <w:ilvl w:val="0"/>
          <w:numId w:val="2"/>
        </w:numPr>
        <w:bidi/>
        <w:spacing w:after="100" w:line="300" w:lineRule="auto"/>
        <w:jc w:val="both"/>
      </w:pPr>
      <w:r>
        <w:t>اختبار وضوح المصطلحات على مجموعة صغيرة من 5 إلى 8 أشخاص من الفئة المستهدفة قبل الدراسة الاستطلاعية الرسمية.</w:t>
      </w:r>
    </w:p>
    <w:p w14:paraId="79BADFF2" w14:textId="77777777" w:rsidR="00EB5CBD" w:rsidRDefault="00EA4CEB" w:rsidP="007E709B">
      <w:pPr>
        <w:bidi/>
        <w:spacing w:after="140" w:line="320" w:lineRule="auto"/>
      </w:pPr>
      <w:r>
        <w:rPr>
          <w:b/>
          <w:rtl w:val="0"/>
        </w:rPr>
        <w:t>‎3.9.3‎</w:t>
      </w:r>
      <w:r>
        <w:rPr>
          <w:b/>
        </w:rPr>
        <w:t xml:space="preserve"> التحكيم العلمي للأداة</w:t>
      </w:r>
    </w:p>
    <w:p w14:paraId="112E2ED8" w14:textId="77777777" w:rsidR="00EB5CBD" w:rsidRDefault="00EA4CEB">
      <w:pPr>
        <w:bidi/>
        <w:spacing w:after="160" w:line="320" w:lineRule="auto"/>
        <w:jc w:val="both"/>
        <w:rPr>
          <w:rtl w:val="0"/>
        </w:rPr>
      </w:pPr>
      <w:r>
        <w:lastRenderedPageBreak/>
        <w:t xml:space="preserve">ستُعرض النسخة العربية النهائية من الاستبيان على لجنة تحكيم مكوّنة مما لا يقل عن خمسة محكمين من أعضاء هيئة التدريس المتخصصين في التسويق أو نظم المعلومات الإدارية أو الإحصاء التطبيقي، من جامعات سعودية أو عربية، على أن تُختار اللجنة بما يضمن تنوع التخصصات الدقيقة ذات الصلة. سيُرفق نموذج تحكيم موحد يطلب من كل محكّم تقييم كل فقرة من حيث الوضوح اللغوي، والانتماء للبعد المخصص لها، وسلامة الصياغة العلمية، إلى جانب حقل ملاحظات مفتوح. وسيُعتمد معيار كمّي لقرار الاحتفاظ بالفقرة أو حذفها أو تعديلها عبر حساب نسبة صلاحية المحتوى </w:t>
      </w:r>
      <w:r>
        <w:rPr>
          <w:rtl w:val="0"/>
        </w:rPr>
        <w:t>‎CVR‎</w:t>
      </w:r>
      <w:r>
        <w:t xml:space="preserve"> وفق معادلة </w:t>
      </w:r>
      <w:r>
        <w:rPr>
          <w:rtl w:val="0"/>
        </w:rPr>
        <w:t>‎Lawshe‎</w:t>
      </w:r>
      <w:r>
        <w:t>، بحيث تُحذف أو تُعاد صياغة أي فقرة تقل نسبة اتفاق المحكمين عليها عن العتبة المقبولة إحصائيًا للعدد المحدد من المحكمين. وسيُرفق نموذج التحكيم فارغًا في ملاحق الأطروحة، إلى جانب ملخص نتائج التحكيم الفعلية.</w:t>
      </w:r>
    </w:p>
    <w:p w14:paraId="33C7C58C" w14:textId="77777777" w:rsidR="00EB5CBD" w:rsidRDefault="00EA4CEB" w:rsidP="007E709B">
      <w:pPr>
        <w:bidi/>
        <w:spacing w:after="140" w:line="320" w:lineRule="auto"/>
      </w:pPr>
      <w:r>
        <w:rPr>
          <w:b/>
          <w:rtl w:val="0"/>
        </w:rPr>
        <w:t>‎3.9.4‎</w:t>
      </w:r>
      <w:r>
        <w:rPr>
          <w:b/>
        </w:rPr>
        <w:t xml:space="preserve"> الدراسة الاستطلاعية الكمية</w:t>
      </w:r>
    </w:p>
    <w:p w14:paraId="11F264BA" w14:textId="77777777" w:rsidR="00EB5CBD" w:rsidRDefault="00EA4CEB">
      <w:pPr>
        <w:bidi/>
        <w:spacing w:after="160" w:line="320" w:lineRule="auto"/>
        <w:jc w:val="both"/>
      </w:pPr>
      <w:r>
        <w:t xml:space="preserve">قبل التطبيق النهائي، ستُطبَّق الأداة على عينة استطلاعية لا تقل عن 30 منشأة تنطبق عليها شروط المشاركة نفسها الواردة في الفقرة </w:t>
      </w:r>
      <w:r>
        <w:rPr>
          <w:rtl w:val="0"/>
        </w:rPr>
        <w:t>‎3.6‎</w:t>
      </w:r>
      <w:r>
        <w:t>، على أن تُستبعد هذه العينة من العينة النهائية للتحليل الرئيسي. وتهدف هذه المرحلة إلى قياس الزمن اللازم للإجابة، والتحقق من وضوح صياغة الفقرات من وجهة نظر المستجيبين الفعليين، ورصد أي مشكلات تقنية في نموذج جوجل فورم، مثل التعطل أو صعوبة التصفح على الجوال أو غموض التعليمات، وحساب معامل ألفا كرونباخ لكل بُعد بوصفه فحصًا مبدئيًا للثبات لا فحصًا نهائيًا. وستُوثق التعديلات التي أُجريت على الاستبيان بناءً على نتائج هذه المرحلة قبل الانتقال إلى التطبيق النهائي.</w:t>
      </w:r>
    </w:p>
    <w:p w14:paraId="1B0EF762" w14:textId="77777777" w:rsidR="00EB5CBD" w:rsidRDefault="00EA4CEB" w:rsidP="007E709B">
      <w:pPr>
        <w:bidi/>
        <w:spacing w:after="160" w:line="320" w:lineRule="auto"/>
      </w:pPr>
      <w:r>
        <w:rPr>
          <w:b/>
          <w:rtl w:val="0"/>
        </w:rPr>
        <w:t>‎3.10‎</w:t>
      </w:r>
      <w:r>
        <w:rPr>
          <w:b/>
        </w:rPr>
        <w:t xml:space="preserve"> أداة الدراسة النوعية: المقابلات شبه المنظمة</w:t>
      </w:r>
    </w:p>
    <w:p w14:paraId="28352CD7" w14:textId="77777777" w:rsidR="00EB5CBD" w:rsidRDefault="00EA4CEB" w:rsidP="007E709B">
      <w:pPr>
        <w:bidi/>
        <w:spacing w:after="140" w:line="320" w:lineRule="auto"/>
      </w:pPr>
      <w:r>
        <w:rPr>
          <w:b/>
          <w:rtl w:val="0"/>
        </w:rPr>
        <w:t>‎3.10.1‎</w:t>
      </w:r>
      <w:r>
        <w:rPr>
          <w:b/>
        </w:rPr>
        <w:t xml:space="preserve"> آلية اختيار المشاركين في المقابلات في ضوء نتائج المرحلة الكمية</w:t>
      </w:r>
    </w:p>
    <w:p w14:paraId="1B05FD76" w14:textId="77777777" w:rsidR="00EB5CBD" w:rsidRDefault="00EA4CEB">
      <w:pPr>
        <w:bidi/>
        <w:spacing w:after="160" w:line="320" w:lineRule="auto"/>
        <w:jc w:val="both"/>
      </w:pPr>
      <w:r>
        <w:rPr>
          <w:color w:val="FF0000"/>
          <w:lang w:val="ar-SA"/>
        </w:rPr>
        <w:t>بما أن التصميم المعتمد تفسيري متتابع، لن يُختار المشاركون في المقابلات بمعزل عن نتائج المرحلة الكمية، بل عبر الخطوات التالية:</w:t>
      </w:r>
    </w:p>
    <w:p w14:paraId="4FD96B09" w14:textId="77777777" w:rsidR="00EB5CBD" w:rsidRDefault="00EA4CEB">
      <w:pPr>
        <w:pStyle w:val="a4"/>
        <w:numPr>
          <w:ilvl w:val="0"/>
          <w:numId w:val="2"/>
        </w:numPr>
        <w:bidi/>
        <w:spacing w:after="100" w:line="300" w:lineRule="auto"/>
        <w:jc w:val="both"/>
      </w:pPr>
      <w:r>
        <w:rPr>
          <w:color w:val="FF0000"/>
        </w:rPr>
        <w:t xml:space="preserve">يُضاف في نهاية الاستبانة سؤال اختياري مستقل عن بيانات المقياس يسأل المستجيب عن استعداده للمشاركة في مقابلة لاحقة. وعند الموافقة، يُطلب من المشارك إنشاء رمز مستعار عشوائي مكوّن من 8 أحرف أو أرقام، مثل </w:t>
      </w:r>
      <w:r>
        <w:rPr>
          <w:color w:val="FF0000"/>
          <w:rtl w:val="0"/>
        </w:rPr>
        <w:t>‎K7M2R9Q4‎</w:t>
      </w:r>
      <w:r>
        <w:rPr>
          <w:color w:val="FF0000"/>
        </w:rPr>
        <w:t>، وإدخال الرمز نفسه في نموذج تواصل منفصل. ويحتوي ملف التواصل على الرمز ووسيلة التواصل فقط، بينما يحتفظ ملف التحليل بالرمز المستعار دون اسم أو رقم هاتف أو بريد إلكتروني. وبذلك يمكن الربط المؤقت لأغراض اختيار المشاركين في المقابلات دون إدخال بيانات الهوية في ملف التحليل.</w:t>
      </w:r>
    </w:p>
    <w:p w14:paraId="62EC29EF" w14:textId="77777777" w:rsidR="00EB5CBD" w:rsidRDefault="00EA4CEB">
      <w:pPr>
        <w:pStyle w:val="a4"/>
        <w:numPr>
          <w:ilvl w:val="0"/>
          <w:numId w:val="2"/>
        </w:numPr>
        <w:bidi/>
        <w:spacing w:after="100" w:line="300" w:lineRule="auto"/>
        <w:jc w:val="both"/>
      </w:pPr>
      <w:r>
        <w:rPr>
          <w:rFonts w:ascii="Arial" w:hAnsi="Arial"/>
          <w:color w:val="FF0000"/>
          <w:lang w:val="ar-SA"/>
        </w:rPr>
        <w:t>بعد تحليل المرحلة الكمية، تُحدد الحالات المرشحة للمقابلات من ملف التحليل باستخدام الرمز المستعار فقط، وفق نتائجها الكمية؛ مثل الحالات ذات الدرجات المرتفعة أو المتوسطة أو المنخفضة، والحالات المنتمية إلى قطاعات مختلفة، والحالات النموذجية أو المتطرفة إذا ظهرت. وبعد اعتماد قائمة الرموز المرشحة، يُرجع إلى ملف التواصل المنفصل للحصول على وسيلة التواصل الخاصة بكل رمز ودعوة صاحبه إلى المقابلة.</w:t>
      </w:r>
    </w:p>
    <w:p w14:paraId="1911A4B9" w14:textId="77777777" w:rsidR="00EB5CBD" w:rsidRDefault="00EA4CEB">
      <w:pPr>
        <w:pStyle w:val="a4"/>
        <w:numPr>
          <w:ilvl w:val="0"/>
          <w:numId w:val="2"/>
        </w:numPr>
        <w:bidi/>
        <w:spacing w:after="100" w:line="300" w:lineRule="auto"/>
        <w:jc w:val="both"/>
      </w:pPr>
      <w:r>
        <w:rPr>
          <w:rFonts w:ascii="Arial" w:hAnsi="Arial"/>
          <w:color w:val="FF0000"/>
          <w:lang w:val="ar-SA"/>
        </w:rPr>
        <w:t>يُراعى في اختيار المشاركين للمقابلات التنوع بين القطاعات الثلاثة والمدن الخمس المشمولة بالدراسة قدر الإمكان، دون اشتراط تناسب رياضي صارم في المرحلة النوعية. وبعد انتهاء اختيار المشاركين وتأكيد المقابلات، يُفصل ملف التواصل عن بيانات التحليل، ويُحذف أو يُحتفظ به مشفرًا وفق موافقة لجنة الأخلاقيات وسياسة الجامعة، بما يمنع إعادة تعريف المشاركين من ملف التحليل نفسه.</w:t>
      </w:r>
    </w:p>
    <w:p w14:paraId="54E8FA17" w14:textId="77777777" w:rsidR="00EB5CBD" w:rsidRDefault="00EA4CEB">
      <w:pPr>
        <w:pStyle w:val="a4"/>
        <w:numPr>
          <w:ilvl w:val="0"/>
          <w:numId w:val="2"/>
        </w:numPr>
        <w:bidi/>
        <w:spacing w:after="100" w:line="300" w:lineRule="auto"/>
        <w:jc w:val="both"/>
      </w:pPr>
      <w:r>
        <w:rPr>
          <w:rFonts w:ascii="Arial" w:hAnsi="Arial"/>
          <w:color w:val="FF0000"/>
          <w:lang w:val="ar-SA"/>
        </w:rPr>
        <w:lastRenderedPageBreak/>
        <w:t>تُستخدم النتائج الكمية تحديدًا في صياغة معايير الترشيح والأسئلة التفسيرية. فإذا ظهر، مثلًا، مسار غير دال أو أثر ضعيف في قطاع معين، تُستخرج الرموز المستعارة للحالات ذات الصلة من ذلك القطاع، ثم تُوجه الدعوات عبر ملف التواصل المنفصل. وبهذه الآلية يتحقق الربط المنهجي المطلوب في التصميم التفسيري المتتابع، مع بقاء بيانات الهوية منفصلة عن محتوى الإجابات في ملف التحليل.</w:t>
      </w:r>
    </w:p>
    <w:p w14:paraId="08CF16A1" w14:textId="77777777" w:rsidR="00EB5CBD" w:rsidRDefault="00EA4CEB" w:rsidP="007E709B">
      <w:pPr>
        <w:bidi/>
        <w:spacing w:after="140" w:line="320" w:lineRule="auto"/>
      </w:pPr>
      <w:r>
        <w:rPr>
          <w:b/>
          <w:rtl w:val="0"/>
        </w:rPr>
        <w:t>‎3.10.2‎</w:t>
      </w:r>
      <w:r>
        <w:rPr>
          <w:b/>
        </w:rPr>
        <w:t xml:space="preserve"> معايير اختيار المشاركين</w:t>
      </w:r>
    </w:p>
    <w:p w14:paraId="0BA3E2E7" w14:textId="77777777" w:rsidR="00EB5CBD" w:rsidRDefault="00EA4CEB" w:rsidP="004148DE">
      <w:pPr>
        <w:pStyle w:val="a4"/>
        <w:numPr>
          <w:ilvl w:val="0"/>
          <w:numId w:val="2"/>
        </w:numPr>
        <w:bidi/>
        <w:spacing w:after="100" w:line="300" w:lineRule="auto"/>
      </w:pPr>
      <w:r>
        <w:rPr>
          <w:color w:val="C00000"/>
        </w:rPr>
        <w:t>المسمى الوظيفي: مدير تسويق، أو مسؤول أو أخصائي تسويق رقمي، أو صاحب منشأة أو مدير عام مطّلع مباشرة على القرارات التسويقية.</w:t>
      </w:r>
    </w:p>
    <w:p w14:paraId="2944652D" w14:textId="77777777" w:rsidR="00EB5CBD" w:rsidRDefault="00EA4CEB">
      <w:pPr>
        <w:pStyle w:val="a4"/>
        <w:numPr>
          <w:ilvl w:val="0"/>
          <w:numId w:val="2"/>
        </w:numPr>
        <w:bidi/>
        <w:spacing w:after="100" w:line="300" w:lineRule="auto"/>
        <w:jc w:val="both"/>
      </w:pPr>
      <w:r>
        <w:rPr>
          <w:lang w:val="ar-SA"/>
        </w:rPr>
        <w:t>عدد سنوات الخبرة: ثلاث سنوات فأكثر في العمل التسويقي، بما يوفر منظورًا كافيًا لمقارنة الممارسات قبل استخدام أدوات الذكاء الاصطناعي وبعده.</w:t>
      </w:r>
    </w:p>
    <w:p w14:paraId="3FEA3E19" w14:textId="77777777" w:rsidR="00EB5CBD" w:rsidRDefault="00EA4CEB">
      <w:pPr>
        <w:pStyle w:val="a4"/>
        <w:numPr>
          <w:ilvl w:val="0"/>
          <w:numId w:val="2"/>
        </w:numPr>
        <w:bidi/>
        <w:spacing w:after="100" w:line="300" w:lineRule="auto"/>
        <w:jc w:val="both"/>
      </w:pPr>
      <w:r>
        <w:rPr>
          <w:lang w:val="ar-SA"/>
        </w:rPr>
        <w:t>المشاركة الفعلية في القرارات التسويقية للمنشأة، لا مجرد التنفيذ الإجرائي.</w:t>
      </w:r>
    </w:p>
    <w:p w14:paraId="185D1B41" w14:textId="77777777" w:rsidR="00EB5CBD" w:rsidRDefault="00EA4CEB">
      <w:pPr>
        <w:pStyle w:val="a4"/>
        <w:numPr>
          <w:ilvl w:val="0"/>
          <w:numId w:val="2"/>
        </w:numPr>
        <w:bidi/>
        <w:spacing w:after="100" w:line="300" w:lineRule="auto"/>
        <w:jc w:val="both"/>
      </w:pPr>
      <w:r>
        <w:rPr>
          <w:lang w:val="ar-SA"/>
        </w:rPr>
        <w:t>معرفة مباشرة بالتقنيات المستخدمة داخل المنشأة، سواء كانت أدوات ذكاء اصطناعي متقدمة أو أدوات رقمية أساسية.</w:t>
      </w:r>
    </w:p>
    <w:p w14:paraId="46EB3BBE" w14:textId="77777777" w:rsidR="00EB5CBD" w:rsidRDefault="00EA4CEB">
      <w:pPr>
        <w:pStyle w:val="a4"/>
        <w:numPr>
          <w:ilvl w:val="0"/>
          <w:numId w:val="2"/>
        </w:numPr>
        <w:bidi/>
        <w:spacing w:after="100" w:line="300" w:lineRule="auto"/>
        <w:jc w:val="both"/>
      </w:pPr>
      <w:r>
        <w:t xml:space="preserve">تنوع القطاع والمدينة وحجم المنشأة، وفق ما هو مبيّن في الفقرة </w:t>
      </w:r>
      <w:r>
        <w:rPr>
          <w:rtl w:val="0"/>
        </w:rPr>
        <w:t>‎3.10.1‎</w:t>
      </w:r>
      <w:r>
        <w:t>.</w:t>
      </w:r>
    </w:p>
    <w:p w14:paraId="495FCB87" w14:textId="77777777" w:rsidR="00EB5CBD" w:rsidRDefault="00EA4CEB">
      <w:pPr>
        <w:pStyle w:val="a4"/>
        <w:numPr>
          <w:ilvl w:val="0"/>
          <w:numId w:val="2"/>
        </w:numPr>
        <w:bidi/>
        <w:spacing w:after="100" w:line="300" w:lineRule="auto"/>
        <w:jc w:val="both"/>
      </w:pPr>
      <w:r>
        <w:rPr>
          <w:lang w:val="ar-SA"/>
        </w:rPr>
        <w:t>يُستبعد أي مرشح لا تنطبق عليه هذه المعايير، حتى لو أبدى استعدادًا للمشاركة، وتُوثَّق أسباب الاستبعاد.</w:t>
      </w:r>
    </w:p>
    <w:p w14:paraId="7B0FDC45" w14:textId="77777777" w:rsidR="00EB5CBD" w:rsidRDefault="00EA4CEB" w:rsidP="007E709B">
      <w:pPr>
        <w:bidi/>
        <w:spacing w:after="140" w:line="320" w:lineRule="auto"/>
      </w:pPr>
      <w:r>
        <w:rPr>
          <w:b/>
          <w:rtl w:val="0"/>
        </w:rPr>
        <w:t>‎3.10.3‎</w:t>
      </w:r>
      <w:r>
        <w:rPr>
          <w:b/>
        </w:rPr>
        <w:t xml:space="preserve"> تبرير عدد المقابلات</w:t>
      </w:r>
    </w:p>
    <w:p w14:paraId="2A82484A" w14:textId="77777777" w:rsidR="00EB5CBD" w:rsidRDefault="00EA4CEB">
      <w:pPr>
        <w:bidi/>
        <w:spacing w:after="160" w:line="320" w:lineRule="auto"/>
        <w:jc w:val="both"/>
      </w:pPr>
      <w:r>
        <w:t>لن يُلتزم بعدد ثابت مسبقًا، كخمسة عشر مقابلة، دون مبرر منهجي. وسيستمر جمع البيانات النوعية حتى تحقق تشبع البيانات، أي حتى تتوقف المقابلات الجديدة عن إضافة موضوعات جوهرية جديدة، مع مراعاة معيار قوة المعلومات الذي يربط العدد المطلوب بعوامل أربعة: تنوع المشاركين المتاح، وتعقيد موضوع الدراسة الذي يتراوح من متوسط إلى مرتفع بسبب تداخله بين البعد التقني والتسويقي والتنظيمي، وتجانس أو اختلاف الحالات المختارة، وجودة الحوار في كل مقابلة. والحد المبدئي المتوقع، بناءً على هذه المعايير وعلى دراسات مماثلة في أدبيات التسويق الرقمي، يتراوح بين 12 و18 مقابلة، على أن يُحسم العدد الفعلي عند تحقق التشبع لا عند بلوغ رقم محدد سلفًا.</w:t>
      </w:r>
    </w:p>
    <w:p w14:paraId="631C1739" w14:textId="77777777" w:rsidR="00EB5CBD" w:rsidRDefault="00EA4CEB" w:rsidP="007E709B">
      <w:pPr>
        <w:bidi/>
        <w:spacing w:after="140" w:line="320" w:lineRule="auto"/>
      </w:pPr>
      <w:r>
        <w:rPr>
          <w:b/>
          <w:rtl w:val="0"/>
        </w:rPr>
        <w:t>‎3.10.4‎</w:t>
      </w:r>
      <w:r>
        <w:rPr>
          <w:b/>
        </w:rPr>
        <w:t xml:space="preserve"> دليل المقابلة</w:t>
      </w:r>
    </w:p>
    <w:p w14:paraId="47B3C577" w14:textId="77777777" w:rsidR="00EB5CBD" w:rsidRDefault="00EA4CEB">
      <w:pPr>
        <w:bidi/>
        <w:spacing w:after="160" w:line="320" w:lineRule="auto"/>
        <w:jc w:val="both"/>
      </w:pPr>
      <w:r>
        <w:rPr>
          <w:lang w:val="ar-SA"/>
        </w:rPr>
        <w:t>يُطوَّر دليل المقابلة النهائي بعد ظهور نتائج المرحلة الكمية، اتساقًا مع التصميم التفسيري المتتابع، بحيث يضم فئتين من الأسئلة: أسئلة عامة ثابتة تغطي أهداف الدراسة الأساسية، وأسئلة إضافية مرنة تُصاغ خصيصًا لاستكشاف المسارات غير الدالة أو المتباينة التي كشفتها المرحلة الكمية لكل مشارك بحسب خلفيته. يُعاد صياغة الأسئلة العامة الحالية بطريقة حيادية خالية من التوجيه نحو إجابة إيجابية متوقعة، وفق البنية التالية:</w:t>
      </w:r>
    </w:p>
    <w:p w14:paraId="56AB4550" w14:textId="77777777" w:rsidR="00EB5CBD" w:rsidRDefault="00EA4CEB">
      <w:pPr>
        <w:pStyle w:val="a4"/>
        <w:numPr>
          <w:ilvl w:val="0"/>
          <w:numId w:val="2"/>
        </w:numPr>
        <w:bidi/>
        <w:spacing w:after="100" w:line="300" w:lineRule="auto"/>
        <w:jc w:val="both"/>
      </w:pPr>
      <w:r>
        <w:rPr>
          <w:lang w:val="ar-SA"/>
        </w:rPr>
        <w:t>أسئلة تمهيدية عن دور المشارك ومسؤولياته وخبرته في التسويق الرقمي.</w:t>
      </w:r>
    </w:p>
    <w:p w14:paraId="038EFB29" w14:textId="77777777" w:rsidR="00EB5CBD" w:rsidRDefault="00EA4CEB">
      <w:pPr>
        <w:pStyle w:val="a4"/>
        <w:numPr>
          <w:ilvl w:val="0"/>
          <w:numId w:val="2"/>
        </w:numPr>
        <w:bidi/>
        <w:spacing w:after="100" w:line="300" w:lineRule="auto"/>
        <w:jc w:val="both"/>
      </w:pPr>
      <w:r>
        <w:rPr>
          <w:lang w:val="ar-SA"/>
        </w:rPr>
        <w:t>سؤال مفتوح غير موجّه عن واقع استخدام أدوات الذكاء الاصطناعي في التسويق داخل المنشأة، دون افتراض مسبق بأن الاستخدام أدى إلى تحسّن.</w:t>
      </w:r>
    </w:p>
    <w:p w14:paraId="1F46195B" w14:textId="77777777" w:rsidR="00EB5CBD" w:rsidRDefault="00EA4CEB">
      <w:pPr>
        <w:pStyle w:val="a4"/>
        <w:numPr>
          <w:ilvl w:val="0"/>
          <w:numId w:val="2"/>
        </w:numPr>
        <w:bidi/>
        <w:spacing w:after="100" w:line="300" w:lineRule="auto"/>
        <w:jc w:val="both"/>
      </w:pPr>
      <w:r>
        <w:lastRenderedPageBreak/>
        <w:t>أسئلة متابعة تطلب أمثلة ومواقف عملية محددة بدلًا من إجابات عامة، مثل: «صف موقفًا محددًا استُخدمت فيه إحدى هذه الأدوات، وما الذي حدث بالضبط؟».</w:t>
      </w:r>
    </w:p>
    <w:p w14:paraId="5F477A25" w14:textId="77777777" w:rsidR="00EB5CBD" w:rsidRDefault="00EA4CEB">
      <w:pPr>
        <w:pStyle w:val="a4"/>
        <w:numPr>
          <w:ilvl w:val="0"/>
          <w:numId w:val="2"/>
        </w:numPr>
        <w:bidi/>
        <w:spacing w:after="100" w:line="300" w:lineRule="auto"/>
        <w:jc w:val="both"/>
      </w:pPr>
      <w:r>
        <w:rPr>
          <w:lang w:val="ar-SA"/>
        </w:rPr>
        <w:t>سؤال صريح عن أي نتائج غير متوقعة أو سلبية أو محايدة نتجت عن استخدام هذه الأدوات، لإتاحة المجال لظهور تجارب غير إيجابية.</w:t>
      </w:r>
    </w:p>
    <w:p w14:paraId="5425BF39" w14:textId="77777777" w:rsidR="00EB5CBD" w:rsidRDefault="00EA4CEB">
      <w:pPr>
        <w:pStyle w:val="a4"/>
        <w:numPr>
          <w:ilvl w:val="0"/>
          <w:numId w:val="2"/>
        </w:numPr>
        <w:bidi/>
        <w:spacing w:after="100" w:line="300" w:lineRule="auto"/>
        <w:jc w:val="both"/>
      </w:pPr>
      <w:r>
        <w:rPr>
          <w:lang w:val="ar-SA"/>
        </w:rPr>
        <w:t>سؤال عن التحديات التقنية والمالية والبشرية التي واجهت المنشأة.</w:t>
      </w:r>
    </w:p>
    <w:p w14:paraId="4725C91F" w14:textId="77777777" w:rsidR="00EB5CBD" w:rsidRDefault="00EA4CEB">
      <w:pPr>
        <w:pStyle w:val="a4"/>
        <w:numPr>
          <w:ilvl w:val="0"/>
          <w:numId w:val="2"/>
        </w:numPr>
        <w:bidi/>
        <w:spacing w:after="100" w:line="300" w:lineRule="auto"/>
        <w:jc w:val="both"/>
      </w:pPr>
      <w:r>
        <w:t>سؤال يربط التجربة بمؤشرات الأداء الملموسة، وهي رضا العملاء والعائد على الاستثمار وكفاءة الحملات، دون افتراض اتجاه العلاقة سلفًا.</w:t>
      </w:r>
    </w:p>
    <w:p w14:paraId="0FA174D2" w14:textId="77777777" w:rsidR="00EB5CBD" w:rsidRDefault="00EA4CEB">
      <w:pPr>
        <w:pStyle w:val="a4"/>
        <w:numPr>
          <w:ilvl w:val="0"/>
          <w:numId w:val="2"/>
        </w:numPr>
        <w:bidi/>
        <w:spacing w:after="100" w:line="300" w:lineRule="auto"/>
        <w:jc w:val="both"/>
        <w:rPr>
          <w:rtl w:val="0"/>
        </w:rPr>
      </w:pPr>
      <w:r>
        <w:rPr>
          <w:lang w:val="ar-SA"/>
        </w:rPr>
        <w:t>سؤال ختامي مفتوح يتيح للمشارك إضافة أي ملاحظة لم تغطها الأسئلة السابقة.</w:t>
      </w:r>
    </w:p>
    <w:p w14:paraId="400B4580" w14:textId="77777777" w:rsidR="00EA4CEB" w:rsidRDefault="00EA4CEB" w:rsidP="00EA4CEB">
      <w:pPr>
        <w:spacing w:after="100" w:line="300" w:lineRule="auto"/>
        <w:jc w:val="both"/>
      </w:pPr>
    </w:p>
    <w:p w14:paraId="0B761599" w14:textId="77777777" w:rsidR="00EA4CEB" w:rsidRDefault="00EA4CEB" w:rsidP="00EA4CEB">
      <w:pPr>
        <w:spacing w:after="100" w:line="300" w:lineRule="auto"/>
        <w:jc w:val="both"/>
      </w:pPr>
    </w:p>
    <w:p w14:paraId="4C2736BE" w14:textId="77777777" w:rsidR="00EA4CEB" w:rsidRDefault="00EA4CEB" w:rsidP="00EA4CEB">
      <w:pPr>
        <w:spacing w:after="100" w:line="300" w:lineRule="auto"/>
        <w:jc w:val="both"/>
      </w:pPr>
    </w:p>
    <w:p w14:paraId="176BFEA7" w14:textId="77777777" w:rsidR="00EB5CBD" w:rsidRDefault="00EA4CEB" w:rsidP="007E709B">
      <w:pPr>
        <w:bidi/>
        <w:spacing w:after="140" w:line="320" w:lineRule="auto"/>
      </w:pPr>
      <w:r>
        <w:rPr>
          <w:b/>
          <w:rtl w:val="0"/>
        </w:rPr>
        <w:t>‎3.10.5‎</w:t>
      </w:r>
      <w:r>
        <w:rPr>
          <w:b/>
        </w:rPr>
        <w:t xml:space="preserve"> المقابلات الاستطلاعية</w:t>
      </w:r>
    </w:p>
    <w:p w14:paraId="2515082A" w14:textId="77777777" w:rsidR="007E709B" w:rsidRDefault="00EA4CEB" w:rsidP="00EA4CEB">
      <w:pPr>
        <w:bidi/>
        <w:spacing w:after="160" w:line="320" w:lineRule="auto"/>
        <w:jc w:val="both"/>
      </w:pPr>
      <w:r>
        <w:rPr>
          <w:lang w:val="ar-SA"/>
        </w:rPr>
        <w:t>قبل تنفيذ المقابلات الرئيسة، ستُجرى مقابلتان تجريبيتان مع مشاركين تنطبق عليهما معايير الاختيار، بهدف اختبار وضوح الأسئلة، وتقدير مدة المقابلة الفعلية، واكتشاف أي تكرار أو غموض في ترتيب الأسئلة، وتدريب الباحثة على مهارات المتابعة والاستيضاح، والتأكد من جودة التسجيل الصوتي وسهولة تفريغه. لن تُدرج هاتان المقابلتان ضمن عينة التحليل النهائي، وإنما تُستخدمان فقط لضبط أداة المقابلة قبل التطبيق.</w:t>
      </w:r>
    </w:p>
    <w:p w14:paraId="32E6EF47" w14:textId="77777777" w:rsidR="00EB5CBD" w:rsidRDefault="00EA4CEB" w:rsidP="007E709B">
      <w:pPr>
        <w:bidi/>
        <w:spacing w:after="140" w:line="320" w:lineRule="auto"/>
      </w:pPr>
      <w:r>
        <w:rPr>
          <w:b/>
          <w:rtl w:val="0"/>
        </w:rPr>
        <w:t>‎3.10.6‎</w:t>
      </w:r>
      <w:r>
        <w:rPr>
          <w:b/>
        </w:rPr>
        <w:t xml:space="preserve"> إجراءات إجراء المقابلات</w:t>
      </w:r>
    </w:p>
    <w:p w14:paraId="60763D39" w14:textId="77777777" w:rsidR="00EB5CBD" w:rsidRDefault="00EA4CEB">
      <w:pPr>
        <w:pStyle w:val="a4"/>
        <w:numPr>
          <w:ilvl w:val="0"/>
          <w:numId w:val="2"/>
        </w:numPr>
        <w:bidi/>
        <w:spacing w:after="100" w:line="300" w:lineRule="auto"/>
        <w:jc w:val="both"/>
      </w:pPr>
      <w:r>
        <w:t xml:space="preserve">مكان المقابلة: مكتب المشارك أو مكان يختاره، أو عن بُعد عبر وسيلة اتصال مرئي مثل </w:t>
      </w:r>
      <w:r>
        <w:rPr>
          <w:rtl w:val="0"/>
        </w:rPr>
        <w:t>‎Microsoft Teams‎</w:t>
      </w:r>
      <w:r>
        <w:t xml:space="preserve"> أو </w:t>
      </w:r>
      <w:r>
        <w:rPr>
          <w:rtl w:val="0"/>
        </w:rPr>
        <w:t>‎Zoom‎</w:t>
      </w:r>
      <w:r>
        <w:t>، بحسب تفضيل المشارك.</w:t>
      </w:r>
    </w:p>
    <w:p w14:paraId="3317AA05" w14:textId="77777777" w:rsidR="00EB5CBD" w:rsidRDefault="00EA4CEB">
      <w:pPr>
        <w:pStyle w:val="a4"/>
        <w:numPr>
          <w:ilvl w:val="0"/>
          <w:numId w:val="2"/>
        </w:numPr>
        <w:bidi/>
        <w:spacing w:after="100" w:line="300" w:lineRule="auto"/>
        <w:jc w:val="both"/>
      </w:pPr>
      <w:r>
        <w:rPr>
          <w:lang w:val="ar-SA"/>
        </w:rPr>
        <w:t>اللغة المستخدمة: العربية، مع إمكانية التحول للإنجليزية إذا فضّل المشارك ذلك.</w:t>
      </w:r>
    </w:p>
    <w:p w14:paraId="2DE25464" w14:textId="77777777" w:rsidR="00EB5CBD" w:rsidRDefault="00EA4CEB">
      <w:pPr>
        <w:pStyle w:val="a4"/>
        <w:numPr>
          <w:ilvl w:val="0"/>
          <w:numId w:val="2"/>
        </w:numPr>
        <w:bidi/>
        <w:spacing w:after="100" w:line="300" w:lineRule="auto"/>
        <w:jc w:val="both"/>
      </w:pPr>
      <w:r>
        <w:t>طريقة التسجيل: تسجيل صوتي، أو مرئي في حال المقابلة عن بُعد، بعد الحصول على موافقة منفصلة ومحددة للتسجيل، متمايزة عن الموافقة العامة على المشاركة في المقابلة.</w:t>
      </w:r>
    </w:p>
    <w:p w14:paraId="5ECC3A3F" w14:textId="77777777" w:rsidR="00EB5CBD" w:rsidRDefault="00EA4CEB">
      <w:pPr>
        <w:pStyle w:val="a4"/>
        <w:numPr>
          <w:ilvl w:val="0"/>
          <w:numId w:val="2"/>
        </w:numPr>
        <w:bidi/>
        <w:spacing w:after="100" w:line="300" w:lineRule="auto"/>
        <w:jc w:val="both"/>
      </w:pPr>
      <w:r>
        <w:rPr>
          <w:lang w:val="ar-SA"/>
        </w:rPr>
        <w:t>إعداد ملاحظات ميدانية مكتوبة أثناء كل مقابلة أو مباشرة بعدها، توثق السياق والانطباعات غير اللفظية.</w:t>
      </w:r>
    </w:p>
    <w:p w14:paraId="5BE36C62" w14:textId="77777777" w:rsidR="00EB5CBD" w:rsidRDefault="00EA4CEB">
      <w:pPr>
        <w:pStyle w:val="a4"/>
        <w:numPr>
          <w:ilvl w:val="0"/>
          <w:numId w:val="2"/>
        </w:numPr>
        <w:bidi/>
        <w:spacing w:after="100" w:line="300" w:lineRule="auto"/>
        <w:jc w:val="both"/>
      </w:pPr>
      <w:r>
        <w:rPr>
          <w:lang w:val="ar-SA"/>
        </w:rPr>
        <w:t>تفريغ التسجيلات نصيًا بالكامل خلال مدة لا تتجاوز أسبوعًا من تاريخ كل مقابلة.</w:t>
      </w:r>
    </w:p>
    <w:p w14:paraId="3EC1E237" w14:textId="77777777" w:rsidR="00EB5CBD" w:rsidRDefault="00EA4CEB">
      <w:pPr>
        <w:pStyle w:val="a4"/>
        <w:numPr>
          <w:ilvl w:val="0"/>
          <w:numId w:val="2"/>
        </w:numPr>
        <w:bidi/>
        <w:spacing w:after="100" w:line="300" w:lineRule="auto"/>
        <w:jc w:val="both"/>
      </w:pPr>
      <w:r>
        <w:rPr>
          <w:lang w:val="ar-SA"/>
        </w:rPr>
        <w:t>مراجعة دقة كل تفريغ بمقارنته بالتسجيل الأصلي قبل اعتماده للتحليل.</w:t>
      </w:r>
    </w:p>
    <w:p w14:paraId="2F102010" w14:textId="77777777" w:rsidR="00EB5CBD" w:rsidRDefault="00EA4CEB">
      <w:pPr>
        <w:pStyle w:val="a4"/>
        <w:numPr>
          <w:ilvl w:val="0"/>
          <w:numId w:val="2"/>
        </w:numPr>
        <w:bidi/>
        <w:spacing w:after="100" w:line="300" w:lineRule="auto"/>
        <w:jc w:val="both"/>
      </w:pPr>
      <w:r>
        <w:rPr>
          <w:lang w:val="ar-SA"/>
        </w:rPr>
        <w:t>توثيق أي مقطع غير واضح في التسجيل بعلامة صريحة في نص التفريغ، مع محاولة استيضاحه من المشارك عند الإمكان دون تخمين محتواه.</w:t>
      </w:r>
    </w:p>
    <w:p w14:paraId="18AAD59D" w14:textId="77777777" w:rsidR="00EB5CBD" w:rsidRDefault="00EA4CEB">
      <w:pPr>
        <w:pStyle w:val="a4"/>
        <w:numPr>
          <w:ilvl w:val="0"/>
          <w:numId w:val="2"/>
        </w:numPr>
        <w:bidi/>
        <w:spacing w:after="100" w:line="300" w:lineRule="auto"/>
        <w:jc w:val="both"/>
      </w:pPr>
      <w:r>
        <w:rPr>
          <w:lang w:val="ar-SA"/>
        </w:rPr>
        <w:t>الاحتفاظ بالتسجيلات الصوتية والنصوص المفرغة لمدة لا تقل عن خمس سنوات من تاريخ إجازة الأطروحة، وفق سياسة الجامعة لحفظ بيانات البحث، على أن تُحفظ في وسيط مشفّر يُتاح الوصول إليه للباحثة والمشرف فقط.</w:t>
      </w:r>
    </w:p>
    <w:p w14:paraId="6CD1ACAB" w14:textId="77777777" w:rsidR="00EB5CBD" w:rsidRDefault="00EA4CEB" w:rsidP="007E709B">
      <w:pPr>
        <w:bidi/>
        <w:spacing w:after="160" w:line="320" w:lineRule="auto"/>
      </w:pPr>
      <w:r>
        <w:rPr>
          <w:b/>
          <w:rtl w:val="0"/>
        </w:rPr>
        <w:t>‎3.11‎</w:t>
      </w:r>
      <w:r>
        <w:rPr>
          <w:b/>
        </w:rPr>
        <w:t xml:space="preserve"> إجراءات تنظيف البيانات الكمية ومنع التكرار</w:t>
      </w:r>
    </w:p>
    <w:p w14:paraId="42DA04A5" w14:textId="77777777" w:rsidR="00EB5CBD" w:rsidRDefault="00EA4CEB" w:rsidP="007E709B">
      <w:pPr>
        <w:bidi/>
        <w:spacing w:after="140" w:line="320" w:lineRule="auto"/>
      </w:pPr>
      <w:r>
        <w:rPr>
          <w:b/>
          <w:rtl w:val="0"/>
        </w:rPr>
        <w:lastRenderedPageBreak/>
        <w:t>‎3.11.1‎</w:t>
      </w:r>
      <w:r>
        <w:rPr>
          <w:b/>
        </w:rPr>
        <w:t xml:space="preserve"> تنظيف البيانات</w:t>
      </w:r>
    </w:p>
    <w:p w14:paraId="40F116C4" w14:textId="77777777" w:rsidR="00EB5CBD" w:rsidRDefault="00EA4CEB">
      <w:pPr>
        <w:bidi/>
        <w:spacing w:after="160" w:line="320" w:lineRule="auto"/>
        <w:jc w:val="both"/>
      </w:pPr>
      <w:r>
        <w:rPr>
          <w:lang w:val="ar-SA"/>
        </w:rPr>
        <w:t>قبل الانتقال إلى التحليل الإحصائي، ستُطبَّق سلسلة إجراءات تنظيف على البيانات الخام المجمّعة عبر نموذج جوجل فورم:</w:t>
      </w:r>
    </w:p>
    <w:p w14:paraId="7C033B76" w14:textId="77777777" w:rsidR="00EB5CBD" w:rsidRDefault="00EA4CEB">
      <w:pPr>
        <w:pStyle w:val="a4"/>
        <w:numPr>
          <w:ilvl w:val="0"/>
          <w:numId w:val="2"/>
        </w:numPr>
        <w:bidi/>
        <w:spacing w:after="100" w:line="300" w:lineRule="auto"/>
        <w:jc w:val="both"/>
      </w:pPr>
      <w:r>
        <w:t>فحص الاستبانات غير المكتملة، واستبعاد كل استجابة تقل نسبة إتمام فقراتها الأساسية عن 90 في المئة.</w:t>
      </w:r>
    </w:p>
    <w:p w14:paraId="230D0B0A" w14:textId="77777777" w:rsidR="00EB5CBD" w:rsidRDefault="00EA4CEB">
      <w:pPr>
        <w:pStyle w:val="a4"/>
        <w:numPr>
          <w:ilvl w:val="0"/>
          <w:numId w:val="2"/>
        </w:numPr>
        <w:bidi/>
        <w:spacing w:after="100" w:line="300" w:lineRule="auto"/>
        <w:jc w:val="both"/>
      </w:pPr>
      <w:r>
        <w:t>معالجة البيانات المفقودة الجزئية التي تقل عن 10 في المئة من الفقرات عبر أسلوب الاستبدال بالمتوسط على مستوى البُعد، لا حذف الحالة كاملة، إلا إذا تركزت القيم المفقودة في متغير واحد بما يوحي بخلل في فهم الفقرة.</w:t>
      </w:r>
    </w:p>
    <w:p w14:paraId="466D4B22" w14:textId="77777777" w:rsidR="00EB5CBD" w:rsidRDefault="00EA4CEB">
      <w:pPr>
        <w:pStyle w:val="a4"/>
        <w:numPr>
          <w:ilvl w:val="0"/>
          <w:numId w:val="2"/>
        </w:numPr>
        <w:bidi/>
        <w:spacing w:after="100" w:line="300" w:lineRule="auto"/>
        <w:jc w:val="both"/>
      </w:pPr>
      <w:r>
        <w:t xml:space="preserve">اكتشاف الاستجابات المكررة من المصدر نفسه، وفق الآلية الموضحة في الفقرة </w:t>
      </w:r>
      <w:r>
        <w:rPr>
          <w:rtl w:val="0"/>
        </w:rPr>
        <w:t>‎3.5‎</w:t>
      </w:r>
      <w:r>
        <w:t xml:space="preserve">، وكذلك في الفقرة </w:t>
      </w:r>
      <w:r>
        <w:rPr>
          <w:rtl w:val="0"/>
        </w:rPr>
        <w:t>‎3.11.2‎</w:t>
      </w:r>
      <w:r>
        <w:t>.</w:t>
      </w:r>
    </w:p>
    <w:p w14:paraId="69E842A6" w14:textId="77777777" w:rsidR="00EB5CBD" w:rsidRDefault="00EA4CEB">
      <w:pPr>
        <w:pStyle w:val="a4"/>
        <w:numPr>
          <w:ilvl w:val="0"/>
          <w:numId w:val="2"/>
        </w:numPr>
        <w:bidi/>
        <w:spacing w:after="100" w:line="300" w:lineRule="auto"/>
        <w:jc w:val="both"/>
      </w:pPr>
      <w:r>
        <w:t>فحص الاستجابات النمطية، أي اختيار الدرجة نفسها لجميع الفقرات دون تمييز، عبر حساب الانحراف المعياري لإجابات كل مستجيب، واستبعاد من يقل انحرافه عن حد أدنى يساوي صفرًا أو يقترب منه عبر جميع الفقرات.</w:t>
      </w:r>
    </w:p>
    <w:p w14:paraId="0E51B858" w14:textId="77777777" w:rsidR="00EB5CBD" w:rsidRDefault="00EA4CEB">
      <w:pPr>
        <w:pStyle w:val="a4"/>
        <w:numPr>
          <w:ilvl w:val="0"/>
          <w:numId w:val="2"/>
        </w:numPr>
        <w:bidi/>
        <w:spacing w:after="100" w:line="300" w:lineRule="auto"/>
        <w:jc w:val="both"/>
      </w:pPr>
      <w:r>
        <w:rPr>
          <w:lang w:val="ar-SA"/>
        </w:rPr>
        <w:t>فحص زمن الاستجابة، واستبعاد الاستجابات التي أُنجزت في زمن أقل من ثلث الزمن المتوسط المرصود في الدراسة الاستطلاعية، بوصفها مؤشرًا محتملًا على عدم الجدية.</w:t>
      </w:r>
    </w:p>
    <w:p w14:paraId="7019B9DE" w14:textId="77777777" w:rsidR="00EB5CBD" w:rsidRDefault="00EA4CEB">
      <w:pPr>
        <w:pStyle w:val="a4"/>
        <w:numPr>
          <w:ilvl w:val="0"/>
          <w:numId w:val="2"/>
        </w:numPr>
        <w:bidi/>
        <w:spacing w:after="100" w:line="300" w:lineRule="auto"/>
        <w:jc w:val="both"/>
      </w:pPr>
      <w:r>
        <w:t>اكتشاف القيم الشاذة إحصائيًا في المتغيرات المستمرة عبر مسافة ماهالانوبيس أو الرسم الصندوقي، مع مراجعة كل حالة قبل قرار الاستبعاد.</w:t>
      </w:r>
    </w:p>
    <w:p w14:paraId="25FC78CE" w14:textId="77777777" w:rsidR="00EB5CBD" w:rsidRDefault="00EA4CEB">
      <w:pPr>
        <w:pStyle w:val="a4"/>
        <w:numPr>
          <w:ilvl w:val="0"/>
          <w:numId w:val="2"/>
        </w:numPr>
        <w:bidi/>
        <w:spacing w:after="100" w:line="300" w:lineRule="auto"/>
        <w:jc w:val="both"/>
      </w:pPr>
      <w:r>
        <w:t>مراجعة ترميز الفقرات العكسية، إن وُجدت، للتأكد من صحة اتجاه الترميز قبل التحليل.</w:t>
      </w:r>
    </w:p>
    <w:p w14:paraId="61B333C0" w14:textId="77777777" w:rsidR="00EB5CBD" w:rsidRDefault="00EA4CEB">
      <w:pPr>
        <w:pStyle w:val="a4"/>
        <w:numPr>
          <w:ilvl w:val="0"/>
          <w:numId w:val="2"/>
        </w:numPr>
        <w:bidi/>
        <w:spacing w:after="100" w:line="300" w:lineRule="auto"/>
        <w:jc w:val="both"/>
      </w:pPr>
      <w:r>
        <w:t>فحص التوزيع الوصفي لكل متغير من خلال التكرارات والمتوسطات والانحرافات المعيارية والالتواء والتفرطح؛ للكشف عن أي خلل غير مرصود بالإجراءات السابقة.</w:t>
      </w:r>
    </w:p>
    <w:p w14:paraId="32D54071" w14:textId="77777777" w:rsidR="00EB5CBD" w:rsidRDefault="00EA4CEB">
      <w:pPr>
        <w:pStyle w:val="a4"/>
        <w:numPr>
          <w:ilvl w:val="0"/>
          <w:numId w:val="2"/>
        </w:numPr>
        <w:bidi/>
        <w:spacing w:after="100" w:line="300" w:lineRule="auto"/>
        <w:jc w:val="both"/>
      </w:pPr>
      <w:r>
        <w:t>تحديد سبب الاستبعاد لكل استجابة مستبعدة وتصنيفه بوضوح، مثل: استجابة غير مكتملة، أو مكررة، أو نمطية، أو ذات زمن غير منطقي، أو شاذة إحصائيًا، أو لا تنطبق عليها شروط المشاركة.</w:t>
      </w:r>
    </w:p>
    <w:p w14:paraId="3A15F3E9" w14:textId="77777777" w:rsidR="00EB5CBD" w:rsidRDefault="00EA4CEB">
      <w:pPr>
        <w:pStyle w:val="a4"/>
        <w:numPr>
          <w:ilvl w:val="0"/>
          <w:numId w:val="2"/>
        </w:numPr>
        <w:bidi/>
        <w:spacing w:after="100" w:line="300" w:lineRule="auto"/>
        <w:jc w:val="both"/>
      </w:pPr>
      <w:r>
        <w:t>إعداد مخطط تدفق يوضح عدد الاستجابات في كل مرحلة: الموزعة، المستردة، بعد استبعاد غير المكتملة، بعد استبعاد المكررة، بعد استبعاد غير المؤهلة، الصالحة نهائيًا للتحليل.</w:t>
      </w:r>
    </w:p>
    <w:p w14:paraId="773B08B5" w14:textId="77777777" w:rsidR="00EB5CBD" w:rsidRDefault="00EA4CEB" w:rsidP="007E709B">
      <w:pPr>
        <w:bidi/>
        <w:spacing w:after="140" w:line="320" w:lineRule="auto"/>
      </w:pPr>
      <w:r>
        <w:rPr>
          <w:b/>
          <w:rtl w:val="0"/>
        </w:rPr>
        <w:t>‎3.11.2‎</w:t>
      </w:r>
      <w:r>
        <w:rPr>
          <w:b/>
        </w:rPr>
        <w:t xml:space="preserve"> منع الاستجابات المتكررة وغير المؤهلة</w:t>
      </w:r>
    </w:p>
    <w:p w14:paraId="2ECA0A81" w14:textId="77777777" w:rsidR="00EB5CBD" w:rsidRDefault="00EA4CEB">
      <w:pPr>
        <w:bidi/>
        <w:spacing w:after="160" w:line="320" w:lineRule="auto"/>
        <w:jc w:val="both"/>
      </w:pPr>
      <w:r>
        <w:rPr>
          <w:lang w:val="ar-SA"/>
        </w:rPr>
        <w:t>ستُطبَّق الإجراءات التالية وقائيًا في تصميم نموذج جوجل فورم قبل الجمع، دون طلب معلومات شخصية غير ضرورية:</w:t>
      </w:r>
    </w:p>
    <w:p w14:paraId="1801CF5B" w14:textId="77777777" w:rsidR="00EB5CBD" w:rsidRDefault="00EA4CEB">
      <w:pPr>
        <w:pStyle w:val="a4"/>
        <w:numPr>
          <w:ilvl w:val="0"/>
          <w:numId w:val="2"/>
        </w:numPr>
        <w:bidi/>
        <w:spacing w:after="100" w:line="300" w:lineRule="auto"/>
        <w:jc w:val="both"/>
      </w:pPr>
      <w:r>
        <w:t>تفعيل خيار «حصر الاستجابة إلى استجابة واحدة» المرتبط بحساب جوجل، مع توضيح ذلك للمشارك مسبقًا.</w:t>
      </w:r>
    </w:p>
    <w:p w14:paraId="187C9D65" w14:textId="77777777" w:rsidR="00EB5CBD" w:rsidRDefault="00EA4CEB">
      <w:pPr>
        <w:pStyle w:val="a4"/>
        <w:numPr>
          <w:ilvl w:val="0"/>
          <w:numId w:val="2"/>
        </w:numPr>
        <w:bidi/>
        <w:spacing w:after="100" w:line="300" w:lineRule="auto"/>
        <w:jc w:val="both"/>
      </w:pPr>
      <w:r>
        <w:t xml:space="preserve">يُستخدم حقل إداري منفصل للتحقق من عدم تكرار المنشأة، مثل رقم السجل التجاري أو رمز منشأة مخصص، ويُخزن خارج ملف التحليل مع تشفيره أو تحويله إلى قيمة مجزأة عند الإمكان. ولا يظهر اسم المنشأة أو رقم السجل في ملفي </w:t>
      </w:r>
      <w:r>
        <w:rPr>
          <w:rtl w:val="0"/>
        </w:rPr>
        <w:t>‎SPSS‎</w:t>
      </w:r>
      <w:r>
        <w:t xml:space="preserve"> أو </w:t>
      </w:r>
      <w:r>
        <w:rPr>
          <w:rtl w:val="0"/>
        </w:rPr>
        <w:t>‎SmartPLS.‎</w:t>
      </w:r>
      <w:r>
        <w:t xml:space="preserve"> ويختلف هذا الحقل عن رمز المقابلات المستعار؛ إذ يُخصص الأول لمنع التكرار، بينما يُخصص الرمز المستعار للربط المؤقت مع ملف التواصل عند اختيار المشاركين في المرحلة النوعية.</w:t>
      </w:r>
    </w:p>
    <w:p w14:paraId="7FAEDC2B" w14:textId="77777777" w:rsidR="00EB5CBD" w:rsidRDefault="00EA4CEB">
      <w:pPr>
        <w:pStyle w:val="a4"/>
        <w:numPr>
          <w:ilvl w:val="0"/>
          <w:numId w:val="2"/>
        </w:numPr>
        <w:bidi/>
        <w:spacing w:after="100" w:line="300" w:lineRule="auto"/>
        <w:jc w:val="both"/>
      </w:pPr>
      <w:r>
        <w:lastRenderedPageBreak/>
        <w:t xml:space="preserve">مراجعة الطابع الزمني وعنوان </w:t>
      </w:r>
      <w:r>
        <w:rPr>
          <w:rtl w:val="0"/>
        </w:rPr>
        <w:t>‎IP‎</w:t>
      </w:r>
      <w:r>
        <w:t>، إذا أتاحه النموذج، لرصد الأنماط المشبوهة، مثل ورود عدة استجابات من المصدر نفسه خلال دقائق.</w:t>
      </w:r>
    </w:p>
    <w:p w14:paraId="72414B77" w14:textId="77777777" w:rsidR="00EB5CBD" w:rsidRDefault="00EA4CEB">
      <w:pPr>
        <w:pStyle w:val="a4"/>
        <w:numPr>
          <w:ilvl w:val="0"/>
          <w:numId w:val="2"/>
        </w:numPr>
        <w:bidi/>
        <w:spacing w:after="100" w:line="300" w:lineRule="auto"/>
        <w:jc w:val="both"/>
      </w:pPr>
      <w:r>
        <w:t xml:space="preserve">تحديد نطاق نشر رابط الاستبيان بالقنوات الموضحة في الفقرة </w:t>
      </w:r>
      <w:r>
        <w:rPr>
          <w:rtl w:val="0"/>
        </w:rPr>
        <w:t>‎3.7.1‎</w:t>
      </w:r>
      <w:r>
        <w:t xml:space="preserve"> حصرًا، وعدم نشره في مجموعات عامة مفتوحة يصعب فيها التحقق من صفة المشارك.</w:t>
      </w:r>
    </w:p>
    <w:p w14:paraId="4DF8F929" w14:textId="77777777" w:rsidR="00EB5CBD" w:rsidRDefault="00EA4CEB">
      <w:pPr>
        <w:pStyle w:val="a4"/>
        <w:numPr>
          <w:ilvl w:val="0"/>
          <w:numId w:val="2"/>
        </w:numPr>
        <w:bidi/>
        <w:spacing w:after="100" w:line="300" w:lineRule="auto"/>
        <w:jc w:val="both"/>
      </w:pPr>
      <w:r>
        <w:t>إدراج سؤالي التحقق من التصنيف، وهما عدد الموظفين والإيرادات، في مطلع الاستبيان لاستبعاد غير المؤهلين آليًا قبل وصولهم إلى بقية الفقرات.</w:t>
      </w:r>
    </w:p>
    <w:p w14:paraId="637B6725" w14:textId="77777777" w:rsidR="00EB5CBD" w:rsidRDefault="00EA4CEB" w:rsidP="007E709B">
      <w:pPr>
        <w:bidi/>
        <w:spacing w:after="140" w:line="320" w:lineRule="auto"/>
      </w:pPr>
      <w:r>
        <w:rPr>
          <w:b/>
          <w:rtl w:val="0"/>
        </w:rPr>
        <w:t>‎3.11.3‎</w:t>
      </w:r>
      <w:r>
        <w:rPr>
          <w:b/>
        </w:rPr>
        <w:t xml:space="preserve"> فحص تحيز عدم الاستجابة</w:t>
      </w:r>
    </w:p>
    <w:p w14:paraId="1030DAB3" w14:textId="77777777" w:rsidR="00EB5CBD" w:rsidRDefault="00EA4CEB">
      <w:pPr>
        <w:bidi/>
        <w:spacing w:after="160" w:line="320" w:lineRule="auto"/>
        <w:jc w:val="both"/>
      </w:pPr>
      <w:r>
        <w:t xml:space="preserve">للتحقق من عدم تحيز عدم الاستجابة، ستُقارن خصائص المستجيبين الأوائل بالمستجيبين المتأخرين. وتُعرَّف الاستجابات «المبكرة» بأنها الثلث الأول من الاستجابات زمنيًا، و«المتأخرة» بأنها الثلث الأخير. وتُقارن المجموعتان في المتغيرات الرئيسية للدراسة، وهي تبنّي الذكاء الاصطناعي والتسويق الرقمي والأداء التسويقي، وكذلك في الخصائص الديموغرافية للمنشأة، وهي القطاع والحجم، باستخدام اختبار </w:t>
      </w:r>
      <w:r>
        <w:rPr>
          <w:rtl w:val="0"/>
        </w:rPr>
        <w:t>‎t‎</w:t>
      </w:r>
      <w:r>
        <w:t xml:space="preserve"> المستقل أو اختبار مان-ويتني حسب توزيع البيانات. ويُعتمد مستوى دلالة </w:t>
      </w:r>
      <w:r>
        <w:rPr>
          <w:rtl w:val="0"/>
        </w:rPr>
        <w:t>‎0.05‎</w:t>
      </w:r>
      <w:r>
        <w:t xml:space="preserve"> معيارًا للحكم على وجود تحيز؛ فإذا لم تظهر فروق دالة إحصائيًا بين المجموعتين، يُستنتج غياب دليل على تحيز جوهري ناتج عن عدم الاستجابة، وتُوثَّق النتيجة بوضوح في تقرير التحليل سواء أثبتت التحيز أو نفته.</w:t>
      </w:r>
    </w:p>
    <w:p w14:paraId="3D42B9DA" w14:textId="77777777" w:rsidR="00EB5CBD" w:rsidRDefault="00EA4CEB" w:rsidP="007E709B">
      <w:pPr>
        <w:bidi/>
        <w:spacing w:after="160" w:line="320" w:lineRule="auto"/>
      </w:pPr>
      <w:r>
        <w:rPr>
          <w:b/>
          <w:rtl w:val="0"/>
        </w:rPr>
        <w:t>‎3.12‎</w:t>
      </w:r>
      <w:r>
        <w:rPr>
          <w:b/>
        </w:rPr>
        <w:t xml:space="preserve"> إجراءات التحليل الإحصائي الكمي عبر </w:t>
      </w:r>
      <w:r>
        <w:rPr>
          <w:b/>
          <w:rtl w:val="0"/>
        </w:rPr>
        <w:t>‎SmartPLS‎</w:t>
      </w:r>
    </w:p>
    <w:p w14:paraId="43E0BC35" w14:textId="77777777" w:rsidR="00EB5CBD" w:rsidRDefault="00EA4CEB">
      <w:pPr>
        <w:bidi/>
        <w:spacing w:after="160" w:line="320" w:lineRule="auto"/>
        <w:jc w:val="right"/>
      </w:pPr>
      <w:r>
        <w:rPr>
          <w:color w:val="C00000"/>
        </w:rPr>
        <w:t>ستُحلَّل البيانات الكمية باستخدام نمذجة المعادلات الهيكلية بالمربعات الصغرى الجزئية عبر برنامج SmartPLS، الإصدار 4.1، لملاءمتها للبيانات السلوكية والنماذج التي تتضمن علاقات وساطة ومتغيرات من الرتبة الثانية، وفق هير وزملائه، 2022. وقبل عرض معايير التحليل، تُجرى إجراءات تنظيف البيانات الموضحة في الفقرة 3.11 على بيانات SPSS، ثم تُستورد البيانات النظيفة إلى SmartPLS.</w:t>
      </w:r>
    </w:p>
    <w:p w14:paraId="1FA11931" w14:textId="77777777" w:rsidR="00EB5CBD" w:rsidRDefault="00EA4CEB" w:rsidP="007E709B">
      <w:pPr>
        <w:bidi/>
        <w:spacing w:after="140" w:line="320" w:lineRule="auto"/>
      </w:pPr>
      <w:r>
        <w:rPr>
          <w:b/>
          <w:rtl w:val="0"/>
        </w:rPr>
        <w:t>‎3.12.1‎</w:t>
      </w:r>
      <w:r>
        <w:rPr>
          <w:b/>
        </w:rPr>
        <w:t xml:space="preserve"> تحيز الطريقة المشتركة</w:t>
      </w:r>
    </w:p>
    <w:p w14:paraId="025041C6" w14:textId="77777777" w:rsidR="00EB5CBD" w:rsidRDefault="00EA4CEB">
      <w:pPr>
        <w:bidi/>
        <w:spacing w:after="160" w:line="320" w:lineRule="auto"/>
        <w:jc w:val="both"/>
      </w:pPr>
      <w:r>
        <w:t xml:space="preserve">لأن البيانات تُجمع عبر أداة استبانة واحدة ذاتية التقرير، سيُتحقق من تحيز الطريقة المشتركة باستخدام اختبار التعدد الخطي الكامل، وفق </w:t>
      </w:r>
      <w:r>
        <w:rPr>
          <w:rtl w:val="0"/>
        </w:rPr>
        <w:t>‎Kock‎</w:t>
      </w:r>
      <w:r>
        <w:t xml:space="preserve"> (2015). ويُشترط أن تكون قيم معامل تضخم التباين </w:t>
      </w:r>
      <w:r>
        <w:rPr>
          <w:rtl w:val="0"/>
        </w:rPr>
        <w:t>‎VIF‎</w:t>
      </w:r>
      <w:r>
        <w:t xml:space="preserve"> لجميع المتغيرات الكامنة في النموذج البنائي أقل من </w:t>
      </w:r>
      <w:r>
        <w:rPr>
          <w:rtl w:val="0"/>
        </w:rPr>
        <w:t>‎3.3‎</w:t>
      </w:r>
      <w:r>
        <w:t xml:space="preserve">. وسيوثق أسلوب حساب هذا المؤشر في </w:t>
      </w:r>
      <w:r>
        <w:rPr>
          <w:rtl w:val="0"/>
        </w:rPr>
        <w:t>‎SmartPLS‎</w:t>
      </w:r>
      <w:r>
        <w:t xml:space="preserve"> عبر تشغيل انحدار كامل لكل متغير كامن على متغير وهمي وحساب قيمة </w:t>
      </w:r>
      <w:r>
        <w:rPr>
          <w:rtl w:val="0"/>
        </w:rPr>
        <w:t>‎VIF‎</w:t>
      </w:r>
      <w:r>
        <w:t xml:space="preserve"> الناتجة. ويؤكد صراحةً أن اجتياز هذا الاختبار وحده لا يُعد دليلًا قاطعًا على خلو البيانات من التحيز، بل مؤشرًا مساعدًا ضمن أدلة متعددة؛ لذلك تُضاف احترازات وقائية في تصميم الاستبانة، ولا يُدعى خلو البيانات التام من هذا التحيز اعتمادًا على اختبار إحصائي واحد فقط.</w:t>
      </w:r>
    </w:p>
    <w:p w14:paraId="5BF7FBA8" w14:textId="77777777" w:rsidR="00EB5CBD" w:rsidRDefault="00EA4CEB">
      <w:pPr>
        <w:bidi/>
        <w:spacing w:after="160" w:line="320" w:lineRule="auto"/>
        <w:jc w:val="both"/>
      </w:pPr>
      <w:r>
        <w:rPr>
          <w:lang w:val="ar-SA"/>
        </w:rPr>
        <w:t>الإجراءات الوقائية المتبعة عند تصميم الاستبيان وجمع البيانات، قبل أي فحص إحصائي لاحق، تشمل:</w:t>
      </w:r>
    </w:p>
    <w:p w14:paraId="537E34BF" w14:textId="77777777" w:rsidR="00EB5CBD" w:rsidRDefault="00EA4CEB">
      <w:pPr>
        <w:pStyle w:val="a4"/>
        <w:numPr>
          <w:ilvl w:val="0"/>
          <w:numId w:val="2"/>
        </w:numPr>
        <w:bidi/>
        <w:spacing w:after="100" w:line="300" w:lineRule="auto"/>
        <w:jc w:val="both"/>
      </w:pPr>
      <w:r>
        <w:rPr>
          <w:lang w:val="ar-SA"/>
        </w:rPr>
        <w:t>ضمان السرية التامة للمستجيب، والتأكيد الصريح في مقدمة الاستبيان على عدم طلب اسم المشارك.</w:t>
      </w:r>
    </w:p>
    <w:p w14:paraId="2BBA76A1" w14:textId="77777777" w:rsidR="00EB5CBD" w:rsidRDefault="00EA4CEB">
      <w:pPr>
        <w:pStyle w:val="a4"/>
        <w:numPr>
          <w:ilvl w:val="0"/>
          <w:numId w:val="2"/>
        </w:numPr>
        <w:bidi/>
        <w:spacing w:after="100" w:line="300" w:lineRule="auto"/>
        <w:jc w:val="both"/>
      </w:pPr>
      <w:r>
        <w:t xml:space="preserve">عدم طلب اسم المنشأة في حقول التحليل؛ إذ يُفصل حقل التحقق من التكرار عن ملف التحليل، كما هو مبيّن في الفقرة </w:t>
      </w:r>
      <w:r>
        <w:rPr>
          <w:rtl w:val="0"/>
        </w:rPr>
        <w:t>‎3.11.2‎</w:t>
      </w:r>
      <w:r>
        <w:t>.</w:t>
      </w:r>
    </w:p>
    <w:p w14:paraId="2B65BFE7" w14:textId="77777777" w:rsidR="00EB5CBD" w:rsidRDefault="00EA4CEB">
      <w:pPr>
        <w:pStyle w:val="a4"/>
        <w:numPr>
          <w:ilvl w:val="0"/>
          <w:numId w:val="2"/>
        </w:numPr>
        <w:bidi/>
        <w:spacing w:after="100" w:line="300" w:lineRule="auto"/>
        <w:jc w:val="both"/>
      </w:pPr>
      <w:r>
        <w:rPr>
          <w:lang w:val="ar-SA"/>
        </w:rPr>
        <w:t>التأكيد للمستجيب على عدم وجود إجابات صحيحة أو خاطئة، وأن الهدف هو وصف الممارسة الفعلية لا تقييم أداء المنشأة.</w:t>
      </w:r>
    </w:p>
    <w:p w14:paraId="797FCA58" w14:textId="77777777" w:rsidR="00EB5CBD" w:rsidRDefault="00EA4CEB">
      <w:pPr>
        <w:pStyle w:val="a4"/>
        <w:numPr>
          <w:ilvl w:val="0"/>
          <w:numId w:val="2"/>
        </w:numPr>
        <w:bidi/>
        <w:spacing w:after="100" w:line="300" w:lineRule="auto"/>
        <w:jc w:val="both"/>
      </w:pPr>
      <w:r>
        <w:rPr>
          <w:lang w:val="ar-SA"/>
        </w:rPr>
        <w:t>تجنب صياغة فقرات موجهة تلمّح لإجابة متوقعة أو مرغوبة اجتماعيًا.</w:t>
      </w:r>
    </w:p>
    <w:p w14:paraId="36829279" w14:textId="77777777" w:rsidR="00EB5CBD" w:rsidRDefault="00EA4CEB">
      <w:pPr>
        <w:pStyle w:val="a4"/>
        <w:numPr>
          <w:ilvl w:val="0"/>
          <w:numId w:val="2"/>
        </w:numPr>
        <w:bidi/>
        <w:spacing w:after="100" w:line="300" w:lineRule="auto"/>
        <w:jc w:val="both"/>
      </w:pPr>
      <w:r>
        <w:lastRenderedPageBreak/>
        <w:t>الفصل المنطقي بين أقسام الاستبيان الخاصة بالمتغير المستقل والوسيط والتابع بفواصل بصرية، مع ترتيب الفقرات بطريقة تقلل تجاور الفقرات التي تقيس المفهوم نفسه.</w:t>
      </w:r>
    </w:p>
    <w:p w14:paraId="4A39F337" w14:textId="77777777" w:rsidR="00EB5CBD" w:rsidRDefault="00EA4CEB">
      <w:pPr>
        <w:pStyle w:val="a4"/>
        <w:numPr>
          <w:ilvl w:val="0"/>
          <w:numId w:val="2"/>
        </w:numPr>
        <w:bidi/>
        <w:spacing w:after="100" w:line="300" w:lineRule="auto"/>
        <w:jc w:val="both"/>
      </w:pPr>
      <w:r>
        <w:t>تنويع صياغة الفقرات بين الإيجابي والسلبي حيث أمكن؛ لتقليل نمط الاستجابة الآلي.</w:t>
      </w:r>
    </w:p>
    <w:p w14:paraId="2C3454DB" w14:textId="77777777" w:rsidR="00EB5CBD" w:rsidRDefault="00EA4CEB">
      <w:pPr>
        <w:pStyle w:val="a4"/>
        <w:numPr>
          <w:ilvl w:val="0"/>
          <w:numId w:val="2"/>
        </w:numPr>
        <w:bidi/>
        <w:spacing w:after="100" w:line="300" w:lineRule="auto"/>
        <w:jc w:val="both"/>
      </w:pPr>
      <w:r>
        <w:t xml:space="preserve">تقليل الغموض اللغوي في الفقرات عبر التحكيم العلمي والدراسة الاستطلاعية، وفق الفقرتين </w:t>
      </w:r>
      <w:r>
        <w:rPr>
          <w:rtl w:val="0"/>
        </w:rPr>
        <w:t>‎3.9.3‎</w:t>
      </w:r>
      <w:r>
        <w:t xml:space="preserve"> و</w:t>
      </w:r>
      <w:r>
        <w:rPr>
          <w:rtl w:val="0"/>
        </w:rPr>
        <w:t>‎3.9.4‎</w:t>
      </w:r>
      <w:r>
        <w:t>.</w:t>
      </w:r>
    </w:p>
    <w:p w14:paraId="6EA82129" w14:textId="77777777" w:rsidR="00EB5CBD" w:rsidRDefault="00EA4CEB">
      <w:pPr>
        <w:pStyle w:val="a4"/>
        <w:numPr>
          <w:ilvl w:val="0"/>
          <w:numId w:val="2"/>
        </w:numPr>
        <w:bidi/>
        <w:spacing w:after="100" w:line="300" w:lineRule="auto"/>
        <w:jc w:val="both"/>
        <w:rPr>
          <w:rtl w:val="0"/>
        </w:rPr>
      </w:pPr>
      <w:r>
        <w:rPr>
          <w:lang w:val="ar-SA"/>
        </w:rPr>
        <w:t>تجنب الأسئلة أو الفقرات المركبة التي تقيس أكثر من فكرة واحدة في جملة واحدة.</w:t>
      </w:r>
    </w:p>
    <w:p w14:paraId="430D064C" w14:textId="77777777" w:rsidR="00EA4CEB" w:rsidRDefault="00EA4CEB" w:rsidP="00EA4CEB">
      <w:pPr>
        <w:spacing w:after="100" w:line="300" w:lineRule="auto"/>
        <w:jc w:val="both"/>
      </w:pPr>
    </w:p>
    <w:p w14:paraId="65B77ABB" w14:textId="77777777" w:rsidR="00EA4CEB" w:rsidRDefault="00EA4CEB" w:rsidP="00EA4CEB">
      <w:pPr>
        <w:spacing w:after="100" w:line="300" w:lineRule="auto"/>
        <w:jc w:val="both"/>
      </w:pPr>
    </w:p>
    <w:p w14:paraId="4AEC5211" w14:textId="77777777" w:rsidR="00EA4CEB" w:rsidRDefault="00EA4CEB" w:rsidP="00EA4CEB">
      <w:pPr>
        <w:spacing w:after="100" w:line="300" w:lineRule="auto"/>
        <w:jc w:val="both"/>
      </w:pPr>
    </w:p>
    <w:p w14:paraId="671532DC" w14:textId="77777777" w:rsidR="00EB5CBD" w:rsidRDefault="00EA4CEB" w:rsidP="007E709B">
      <w:pPr>
        <w:bidi/>
        <w:spacing w:after="140" w:line="320" w:lineRule="auto"/>
      </w:pPr>
      <w:r>
        <w:rPr>
          <w:b/>
          <w:rtl w:val="0"/>
        </w:rPr>
        <w:t>‎3.12.2‎</w:t>
      </w:r>
      <w:r>
        <w:rPr>
          <w:b/>
        </w:rPr>
        <w:t xml:space="preserve"> تقييم نموذج القياس </w:t>
      </w:r>
    </w:p>
    <w:p w14:paraId="334D1636" w14:textId="77777777" w:rsidR="00EB5CBD" w:rsidRDefault="00EA4CEB">
      <w:pPr>
        <w:bidi/>
        <w:spacing w:after="160" w:line="320" w:lineRule="auto"/>
        <w:jc w:val="both"/>
      </w:pPr>
      <w:r>
        <w:t xml:space="preserve">يُقيَّم نموذج القياس بحسب النوع المحدد مسبقًا في الفقرة </w:t>
      </w:r>
      <w:r>
        <w:rPr>
          <w:rtl w:val="0"/>
        </w:rPr>
        <w:t>‎3.8.1‎</w:t>
      </w:r>
      <w:r>
        <w:t xml:space="preserve">. وتُطبَّق معايير المقاييس الانعكاسية على أبعاد «تبنّي الذكاء الاصطناعي» من الرتبة الأولى وعلى مقياس «التسويق الرقمي». أما مركب «تبنّي الذكاء الاصطناعي» من الرتبة الأعلى ومركب «الأداء التسويقي» فيُقيَّمان بمعايير القياس التكويني، ولا تُطبَّق عليهما </w:t>
      </w:r>
      <w:r>
        <w:rPr>
          <w:rtl w:val="0"/>
        </w:rPr>
        <w:t>‎AVE‎</w:t>
      </w:r>
      <w:r>
        <w:t xml:space="preserve"> أو مؤشرات الثبات الداخلي بوصفها معايير صلاحية رئيسية.</w:t>
      </w:r>
    </w:p>
    <w:p w14:paraId="2F59EBDC" w14:textId="77777777" w:rsidR="00EB5CBD" w:rsidRDefault="00EA4CEB">
      <w:pPr>
        <w:pStyle w:val="a4"/>
        <w:numPr>
          <w:ilvl w:val="0"/>
          <w:numId w:val="2"/>
        </w:numPr>
        <w:bidi/>
        <w:spacing w:after="100" w:line="300" w:lineRule="auto"/>
        <w:jc w:val="both"/>
      </w:pPr>
      <w:r>
        <w:t xml:space="preserve">التحميلات الخارجية: يُحتفظ بالفقرة إذا بلغ تحميلها </w:t>
      </w:r>
      <w:r>
        <w:rPr>
          <w:rtl w:val="0"/>
        </w:rPr>
        <w:t>‎0.708‎</w:t>
      </w:r>
      <w:r>
        <w:t xml:space="preserve"> فأكثر. أما الفقرات التي يتراوح تحميلها بين </w:t>
      </w:r>
      <w:r>
        <w:rPr>
          <w:rtl w:val="0"/>
        </w:rPr>
        <w:t>‎0.40‎</w:t>
      </w:r>
      <w:r>
        <w:t xml:space="preserve"> و</w:t>
      </w:r>
      <w:r>
        <w:rPr>
          <w:rtl w:val="0"/>
        </w:rPr>
        <w:t>‎0.708‎</w:t>
      </w:r>
      <w:r>
        <w:t xml:space="preserve"> فلا تُحذف تلقائيًا؛ بل يُختبر أثر حذفها على متوسط التباين المستخرج </w:t>
      </w:r>
      <w:r>
        <w:rPr>
          <w:rtl w:val="0"/>
        </w:rPr>
        <w:t>‎AVE‎</w:t>
      </w:r>
      <w:r>
        <w:t xml:space="preserve"> والموثوقية التركيبية </w:t>
      </w:r>
      <w:r>
        <w:rPr>
          <w:rtl w:val="0"/>
        </w:rPr>
        <w:t>‎CR.‎</w:t>
      </w:r>
      <w:r>
        <w:t xml:space="preserve"> وتُحذف الفقرة فقط إذا أدى حذفها إلى تجاوز المؤشرين العتبات المطلوبة، وتُستبقى إذا لم يتحقق ذلك، مع تفضيل الاستبقاء عند القرب من العتبة حفاظًا على المحتوى المفاهيمي للبعد. ولا تُحذف أي فقرة اعتمادًا على النتيجة الإحصائية وحدها دون مراجعة مضمونها العلمي.</w:t>
      </w:r>
    </w:p>
    <w:p w14:paraId="27BA3363" w14:textId="77777777" w:rsidR="00EB5CBD" w:rsidRDefault="00EA4CEB">
      <w:pPr>
        <w:pStyle w:val="a4"/>
        <w:numPr>
          <w:ilvl w:val="0"/>
          <w:numId w:val="2"/>
        </w:numPr>
        <w:bidi/>
        <w:spacing w:after="100" w:line="300" w:lineRule="auto"/>
        <w:jc w:val="both"/>
      </w:pPr>
      <w:r>
        <w:t xml:space="preserve">الاتساق الداخلي: معامل ألفا كرونباخ ومعامل </w:t>
      </w:r>
      <w:r>
        <w:rPr>
          <w:rtl w:val="0"/>
        </w:rPr>
        <w:t>‎rho_A‎</w:t>
      </w:r>
      <w:r>
        <w:t xml:space="preserve">، يُشترط أن تتجاوز قيمتهما </w:t>
      </w:r>
      <w:r>
        <w:rPr>
          <w:rtl w:val="0"/>
        </w:rPr>
        <w:t>‎0.70‎</w:t>
      </w:r>
      <w:r>
        <w:t xml:space="preserve"> لكل متغير.</w:t>
      </w:r>
    </w:p>
    <w:p w14:paraId="2D5215FD" w14:textId="77777777" w:rsidR="00EB5CBD" w:rsidRDefault="00EA4CEB">
      <w:pPr>
        <w:pStyle w:val="a4"/>
        <w:numPr>
          <w:ilvl w:val="0"/>
          <w:numId w:val="2"/>
        </w:numPr>
        <w:bidi/>
        <w:spacing w:after="100" w:line="300" w:lineRule="auto"/>
        <w:jc w:val="both"/>
      </w:pPr>
      <w:r>
        <w:t xml:space="preserve">الموثوقية التركيبية </w:t>
      </w:r>
      <w:r>
        <w:rPr>
          <w:rtl w:val="0"/>
        </w:rPr>
        <w:t>‎CR‎</w:t>
      </w:r>
      <w:r>
        <w:t xml:space="preserve">: يُشترط أن تتجاوز </w:t>
      </w:r>
      <w:r>
        <w:rPr>
          <w:rtl w:val="0"/>
        </w:rPr>
        <w:t>‎0.70‎</w:t>
      </w:r>
      <w:r>
        <w:t xml:space="preserve">، مع مراعاة ألا تتجاوز </w:t>
      </w:r>
      <w:r>
        <w:rPr>
          <w:rtl w:val="0"/>
        </w:rPr>
        <w:t>‎0.95‎</w:t>
      </w:r>
      <w:r>
        <w:t>؛ لتفادي التكرار المفرط في الفقرات الذي قد يشير إلى قياس المفهوم نفسه بصياغات متطابقة تقريبًا.</w:t>
      </w:r>
    </w:p>
    <w:p w14:paraId="41224727" w14:textId="77777777" w:rsidR="00EB5CBD" w:rsidRDefault="00EA4CEB">
      <w:pPr>
        <w:pStyle w:val="a4"/>
        <w:numPr>
          <w:ilvl w:val="0"/>
          <w:numId w:val="2"/>
        </w:numPr>
        <w:bidi/>
        <w:spacing w:after="100" w:line="300" w:lineRule="auto"/>
        <w:jc w:val="both"/>
      </w:pPr>
      <w:r>
        <w:t xml:space="preserve">الصدق التقاربي: يجب أن يتجاوز متوسط التباين المستخرج </w:t>
      </w:r>
      <w:r>
        <w:rPr>
          <w:rtl w:val="0"/>
        </w:rPr>
        <w:t>‎AVE‎</w:t>
      </w:r>
      <w:r>
        <w:t xml:space="preserve"> قيمة </w:t>
      </w:r>
      <w:r>
        <w:rPr>
          <w:rtl w:val="0"/>
        </w:rPr>
        <w:t>‎0.50‎</w:t>
      </w:r>
      <w:r>
        <w:t xml:space="preserve"> لكل متغير، وفق فورنل ولاركر عام 1981.</w:t>
      </w:r>
    </w:p>
    <w:p w14:paraId="5B107E81" w14:textId="77777777" w:rsidR="00EB5CBD" w:rsidRDefault="00EA4CEB">
      <w:pPr>
        <w:pStyle w:val="a4"/>
        <w:numPr>
          <w:ilvl w:val="0"/>
          <w:numId w:val="2"/>
        </w:numPr>
        <w:bidi/>
        <w:spacing w:after="100" w:line="300" w:lineRule="auto"/>
        <w:jc w:val="both"/>
      </w:pPr>
      <w:r>
        <w:t xml:space="preserve">الصدق التمييزي: يُختبر بمعيارين معًا، لا بمعيار واحد منفرد. الأول معيار فورنل-لاركر، الذي يشترط أن يكون الجذر التربيعي لـ </w:t>
      </w:r>
      <w:r>
        <w:rPr>
          <w:rtl w:val="0"/>
        </w:rPr>
        <w:t>‎AVE‎</w:t>
      </w:r>
      <w:r>
        <w:t xml:space="preserve"> أكبر من معاملات الارتباط مع المتغيرات الأخرى. والثاني نسبة هيتيروتريت-مونوتريت </w:t>
      </w:r>
      <w:r>
        <w:rPr>
          <w:rtl w:val="0"/>
        </w:rPr>
        <w:t>‎HTMT‎</w:t>
      </w:r>
      <w:r>
        <w:t xml:space="preserve">، التي يجب ألا تتجاوز </w:t>
      </w:r>
      <w:r>
        <w:rPr>
          <w:rtl w:val="0"/>
        </w:rPr>
        <w:t>‎0.85‎</w:t>
      </w:r>
      <w:r>
        <w:t xml:space="preserve">، ويمكن قبول حد </w:t>
      </w:r>
      <w:r>
        <w:rPr>
          <w:rtl w:val="0"/>
        </w:rPr>
        <w:t>‎0.90‎</w:t>
      </w:r>
      <w:r>
        <w:t xml:space="preserve"> للمتغيرات المتقاربة مفاهيميًا. كما تُستخدم فترات الثقة الخاصة بـ </w:t>
      </w:r>
      <w:r>
        <w:rPr>
          <w:rtl w:val="0"/>
        </w:rPr>
        <w:t>‎HTMT‎</w:t>
      </w:r>
      <w:r>
        <w:t xml:space="preserve"> المستخرجة عبر </w:t>
      </w:r>
      <w:r>
        <w:rPr>
          <w:rtl w:val="0"/>
        </w:rPr>
        <w:t>‎Bootstrapping‎</w:t>
      </w:r>
      <w:r>
        <w:t xml:space="preserve"> للتأكد إحصائيًا من أن القيمة العليا للفترة لا تتجاوز العتبة، بدل الاكتفاء بالقيمة النقطية وحدها.</w:t>
      </w:r>
    </w:p>
    <w:p w14:paraId="22D204D0" w14:textId="77777777" w:rsidR="00EB5CBD" w:rsidRDefault="00EA4CEB">
      <w:pPr>
        <w:pStyle w:val="a4"/>
        <w:numPr>
          <w:ilvl w:val="0"/>
          <w:numId w:val="2"/>
        </w:numPr>
        <w:bidi/>
        <w:spacing w:after="100" w:line="300" w:lineRule="auto"/>
        <w:jc w:val="both"/>
      </w:pPr>
      <w:r>
        <w:t xml:space="preserve">بالنسبة للمركبات التكوينية، يُفحص التعدد الخطي بين المؤشرات باستخدام </w:t>
      </w:r>
      <w:r>
        <w:rPr>
          <w:rtl w:val="0"/>
        </w:rPr>
        <w:t>‎VIF‎</w:t>
      </w:r>
      <w:r>
        <w:t xml:space="preserve">، مع استهداف قيم أقل من 3 واعتبار 5 حدًا أعلى احترازيًا. ثم تُفحص دلالة الأوزان الخارجية عبر </w:t>
      </w:r>
      <w:r>
        <w:rPr>
          <w:rtl w:val="0"/>
        </w:rPr>
        <w:t>‎Bootstrapping.‎</w:t>
      </w:r>
      <w:r>
        <w:t xml:space="preserve"> وإذا كان وزن أحد المؤشرات غير دال إحصائيًا، تُراجع دلالته </w:t>
      </w:r>
      <w:r>
        <w:lastRenderedPageBreak/>
        <w:t>المطلقة ومبررات الاحتفاظ به من منظور صلاحية المحتوى قبل اتخاذ قرار الحذف. ولن يُعاد تحويل المركب من تكويني إلى انعكاسي، أو العكس، استنادًا إلى النتائج؛ إذ يظل قرار نوع القياس قرارًا نظريًا ومنهجيًا سابقًا على جمع البيانات.</w:t>
      </w:r>
    </w:p>
    <w:p w14:paraId="6E0F7341" w14:textId="77777777" w:rsidR="00EB5CBD" w:rsidRDefault="00EA4CEB" w:rsidP="007E709B">
      <w:pPr>
        <w:bidi/>
        <w:spacing w:after="140" w:line="320" w:lineRule="auto"/>
      </w:pPr>
      <w:r>
        <w:rPr>
          <w:rtl w:val="0"/>
        </w:rPr>
        <w:t>‎3.12.3‎</w:t>
      </w:r>
      <w:r>
        <w:t xml:space="preserve"> تقييم النموذج البنائي </w:t>
      </w:r>
    </w:p>
    <w:p w14:paraId="61C580B1" w14:textId="77777777" w:rsidR="00EB5CBD" w:rsidRDefault="00EA4CEB">
      <w:pPr>
        <w:pStyle w:val="a4"/>
        <w:numPr>
          <w:ilvl w:val="0"/>
          <w:numId w:val="2"/>
        </w:numPr>
        <w:bidi/>
        <w:spacing w:after="100" w:line="300" w:lineRule="auto"/>
        <w:jc w:val="right"/>
      </w:pPr>
      <w:r>
        <w:rPr>
          <w:color w:val="C00000"/>
        </w:rPr>
        <w:t>فحص التعدد الخطي الداخلي لجميع المسارات قبل تفسير معاملاتها، بحيث تكون قيم VIF أقل من 5، ويُفضَّل أن تكون أقل من 3؛ لاستبعاد أي تضخم قد يشوّه تفسير معاملات المسار.</w:t>
      </w:r>
    </w:p>
    <w:p w14:paraId="70E6FEB5" w14:textId="77777777" w:rsidR="00EB5CBD" w:rsidRDefault="00EA4CEB">
      <w:pPr>
        <w:pStyle w:val="a4"/>
        <w:numPr>
          <w:ilvl w:val="0"/>
          <w:numId w:val="2"/>
        </w:numPr>
        <w:bidi/>
        <w:spacing w:after="100" w:line="300" w:lineRule="auto"/>
        <w:jc w:val="right"/>
      </w:pPr>
      <w:r>
        <w:rPr>
          <w:color w:val="C00000"/>
        </w:rPr>
        <w:t>معاملات المسار لتحديد اتجاه العلاقات وقوتها، مع استخدام اختبار بوتستراب ثنائي الطرف بمستوى دلالة 0.05 وفترات ثقة متحيزة مصححة من نوع BCa بخمسة آلاف عينة فرعية. ويُعتمد الاختبار ثنائي الطرف لأن اتجاه بعض العلاقات، مثل أثر الوساطة الجزئي، غير محسوم نظريًا سلفًا في جميع المسارات.</w:t>
      </w:r>
    </w:p>
    <w:p w14:paraId="68C661FC" w14:textId="77777777" w:rsidR="00EB5CBD" w:rsidRDefault="00EA4CEB">
      <w:pPr>
        <w:pStyle w:val="a4"/>
        <w:numPr>
          <w:ilvl w:val="0"/>
          <w:numId w:val="2"/>
        </w:numPr>
        <w:bidi/>
        <w:spacing w:after="100" w:line="300" w:lineRule="auto"/>
        <w:jc w:val="both"/>
      </w:pPr>
      <w:r>
        <w:t xml:space="preserve">معامل التحديد </w:t>
      </w:r>
      <w:r>
        <w:rPr>
          <w:rtl w:val="0"/>
        </w:rPr>
        <w:t>‎R²‎</w:t>
      </w:r>
      <w:r>
        <w:t xml:space="preserve"> لقياس نسبة التباين المفسَّر في المتغيرات التابعة والوسيطة. وتُصنَّف القيم تقريبيًا إلى ضعيفة عند </w:t>
      </w:r>
      <w:r>
        <w:rPr>
          <w:rtl w:val="0"/>
        </w:rPr>
        <w:t>‎0.25‎</w:t>
      </w:r>
      <w:r>
        <w:t xml:space="preserve">، ومتوسطة عند </w:t>
      </w:r>
      <w:r>
        <w:rPr>
          <w:rtl w:val="0"/>
        </w:rPr>
        <w:t>‎0.50‎</w:t>
      </w:r>
      <w:r>
        <w:t xml:space="preserve">، وقوية عند </w:t>
      </w:r>
      <w:r>
        <w:rPr>
          <w:rtl w:val="0"/>
        </w:rPr>
        <w:t>‎0.75‎</w:t>
      </w:r>
      <w:r>
        <w:t xml:space="preserve">، وفق </w:t>
      </w:r>
      <w:r>
        <w:rPr>
          <w:rtl w:val="0"/>
        </w:rPr>
        <w:t>‎Hair et al.‎</w:t>
      </w:r>
      <w:r>
        <w:t xml:space="preserve"> (2019)، مع التنبيه إلى أن هذا التصنيف إرشادي عام لا يمثل حدًا فاصلًا صارمًا.</w:t>
      </w:r>
    </w:p>
    <w:p w14:paraId="1DA9E0AF" w14:textId="77777777" w:rsidR="00EB5CBD" w:rsidRDefault="00EA4CEB">
      <w:pPr>
        <w:pStyle w:val="a4"/>
        <w:numPr>
          <w:ilvl w:val="0"/>
          <w:numId w:val="2"/>
        </w:numPr>
        <w:bidi/>
        <w:spacing w:after="100" w:line="300" w:lineRule="auto"/>
        <w:jc w:val="both"/>
      </w:pPr>
      <w:r>
        <w:t xml:space="preserve">حجم التأثير </w:t>
      </w:r>
      <w:r>
        <w:rPr>
          <w:rtl w:val="0"/>
        </w:rPr>
        <w:t>‎f²‎</w:t>
      </w:r>
      <w:r>
        <w:t xml:space="preserve"> لتحديد مساهمة كل متغير مستقل أو وسيط منفردًا في المتغير التابع، وفق تصنيف </w:t>
      </w:r>
      <w:r>
        <w:rPr>
          <w:rtl w:val="0"/>
        </w:rPr>
        <w:t>‎Cohen‎</w:t>
      </w:r>
      <w:r>
        <w:t xml:space="preserve">: قيمة </w:t>
      </w:r>
      <w:r>
        <w:rPr>
          <w:rtl w:val="0"/>
        </w:rPr>
        <w:t>‎0.02‎</w:t>
      </w:r>
      <w:r>
        <w:t xml:space="preserve"> تعبر عن تأثير ضعيف، و</w:t>
      </w:r>
      <w:r>
        <w:rPr>
          <w:rtl w:val="0"/>
        </w:rPr>
        <w:t>‎0.15‎</w:t>
      </w:r>
      <w:r>
        <w:t xml:space="preserve"> عن تأثير متوسط، و</w:t>
      </w:r>
      <w:r>
        <w:rPr>
          <w:rtl w:val="0"/>
        </w:rPr>
        <w:t>‎0.35‎</w:t>
      </w:r>
      <w:r>
        <w:t xml:space="preserve"> عن تأثير قوي.</w:t>
      </w:r>
    </w:p>
    <w:p w14:paraId="191D4EC7" w14:textId="77777777" w:rsidR="00EB5CBD" w:rsidRDefault="00EA4CEB">
      <w:pPr>
        <w:pStyle w:val="a4"/>
        <w:numPr>
          <w:ilvl w:val="0"/>
          <w:numId w:val="2"/>
        </w:numPr>
        <w:bidi/>
        <w:spacing w:after="100" w:line="300" w:lineRule="auto"/>
        <w:jc w:val="both"/>
      </w:pPr>
      <w:r>
        <w:t xml:space="preserve">معامل القدرة التنبؤية </w:t>
      </w:r>
      <w:r>
        <w:rPr>
          <w:rtl w:val="0"/>
        </w:rPr>
        <w:t>‎Q²‎</w:t>
      </w:r>
      <w:r>
        <w:t xml:space="preserve"> عبر تقنية </w:t>
      </w:r>
      <w:r>
        <w:rPr>
          <w:rtl w:val="0"/>
        </w:rPr>
        <w:t>‎Blindfolding‎</w:t>
      </w:r>
      <w:r>
        <w:t>، ويُشترط أن تكون القيمة أكبر من الصفر لكل متغير تابع لإثبات الصلاحية التنبؤية داخل العينة.</w:t>
      </w:r>
    </w:p>
    <w:p w14:paraId="1463DA6C" w14:textId="77777777" w:rsidR="00EB5CBD" w:rsidRDefault="00EA4CEB">
      <w:pPr>
        <w:pStyle w:val="a4"/>
        <w:numPr>
          <w:ilvl w:val="0"/>
          <w:numId w:val="2"/>
        </w:numPr>
        <w:bidi/>
        <w:spacing w:after="100" w:line="300" w:lineRule="auto"/>
        <w:jc w:val="both"/>
      </w:pPr>
      <w:r>
        <w:t xml:space="preserve">عند تقديم أي ادعاء تنبؤي يتجاوز حدود العينة نفسها، يُضاف تقييم للقدرة التنبؤية خارج العينة عبر إجراء </w:t>
      </w:r>
      <w:r>
        <w:rPr>
          <w:rtl w:val="0"/>
        </w:rPr>
        <w:t>‎PLSpredict‎</w:t>
      </w:r>
      <w:r>
        <w:t xml:space="preserve">، وتُقارن أخطاء التنبؤ </w:t>
      </w:r>
      <w:r>
        <w:rPr>
          <w:rtl w:val="0"/>
        </w:rPr>
        <w:t>‎RMSE‎</w:t>
      </w:r>
      <w:r>
        <w:t xml:space="preserve"> لمؤشرات النموذج بأخطاء خط الأساس الساذج، ولا يُكتفى بمعامل </w:t>
      </w:r>
      <w:r>
        <w:rPr>
          <w:rtl w:val="0"/>
        </w:rPr>
        <w:t>‎Q²‎</w:t>
      </w:r>
      <w:r>
        <w:t xml:space="preserve"> وحده لأنه يقيس الصلاحية التنبؤية داخل العينة فقط.</w:t>
      </w:r>
    </w:p>
    <w:p w14:paraId="55BF2891" w14:textId="77777777" w:rsidR="00EB5CBD" w:rsidRDefault="00EA4CEB" w:rsidP="007E709B">
      <w:pPr>
        <w:bidi/>
        <w:spacing w:after="140" w:line="320" w:lineRule="auto"/>
      </w:pPr>
      <w:r>
        <w:rPr>
          <w:rtl w:val="0"/>
        </w:rPr>
        <w:t>‎3.12.4‎</w:t>
      </w:r>
      <w:r>
        <w:t xml:space="preserve"> مؤشر جودة المطابقة </w:t>
      </w:r>
      <w:r>
        <w:rPr>
          <w:rtl w:val="0"/>
        </w:rPr>
        <w:t>‎SRMR‎</w:t>
      </w:r>
    </w:p>
    <w:p w14:paraId="21841985" w14:textId="77777777" w:rsidR="00EB5CBD" w:rsidRDefault="00EA4CEB">
      <w:pPr>
        <w:bidi/>
        <w:spacing w:after="160" w:line="320" w:lineRule="auto"/>
        <w:jc w:val="both"/>
      </w:pPr>
      <w:r>
        <w:t xml:space="preserve">لا يُعامَل مؤشر </w:t>
      </w:r>
      <w:r>
        <w:rPr>
          <w:rtl w:val="0"/>
        </w:rPr>
        <w:t>‎SRMR‎</w:t>
      </w:r>
      <w:r>
        <w:t xml:space="preserve"> بوصفه دليلًا نهائيًا على «مطابقة ممتازة» في </w:t>
      </w:r>
      <w:r>
        <w:rPr>
          <w:rtl w:val="0"/>
        </w:rPr>
        <w:t>‎PLS-SEM‎</w:t>
      </w:r>
      <w:r>
        <w:t xml:space="preserve">؛ إذ إن معايير المطابقة المطلقة المستعارة من </w:t>
      </w:r>
      <w:r>
        <w:rPr>
          <w:rtl w:val="0"/>
        </w:rPr>
        <w:t>‎CB-SEM‎</w:t>
      </w:r>
      <w:r>
        <w:t xml:space="preserve"> لا تُطبق بالصورة نفسها على نماذج المربعات الصغرى الجزئية. لذلك يُستخدم </w:t>
      </w:r>
      <w:r>
        <w:rPr>
          <w:rtl w:val="0"/>
        </w:rPr>
        <w:t>‎SRMR‎</w:t>
      </w:r>
      <w:r>
        <w:t xml:space="preserve"> كمؤشر تشخيصي مساعد فقط، وتُعامل القيمة الأقل من </w:t>
      </w:r>
      <w:r>
        <w:rPr>
          <w:rtl w:val="0"/>
        </w:rPr>
        <w:t>‎0.08‎</w:t>
      </w:r>
      <w:r>
        <w:t xml:space="preserve"> كإشارة داعمة لا كافية وحدها، وتُفسَّر دائمًا إلى جانب جودة نموذج القياس، والقوة التفسيرية </w:t>
      </w:r>
      <w:r>
        <w:rPr>
          <w:rtl w:val="0"/>
        </w:rPr>
        <w:t>‎R²‎</w:t>
      </w:r>
      <w:r>
        <w:t xml:space="preserve">، والقدرة التنبؤية المقاسة عبر </w:t>
      </w:r>
      <w:r>
        <w:rPr>
          <w:rtl w:val="0"/>
        </w:rPr>
        <w:t>‎Q²‎</w:t>
      </w:r>
      <w:r>
        <w:t xml:space="preserve"> وإجراء </w:t>
      </w:r>
      <w:r>
        <w:rPr>
          <w:rtl w:val="0"/>
        </w:rPr>
        <w:t>‎PLSpredict.‎</w:t>
      </w:r>
    </w:p>
    <w:p w14:paraId="63D3CACC" w14:textId="77777777" w:rsidR="00EB5CBD" w:rsidRDefault="00EA4CEB" w:rsidP="007E709B">
      <w:pPr>
        <w:bidi/>
        <w:spacing w:after="140" w:line="320" w:lineRule="auto"/>
      </w:pPr>
      <w:r>
        <w:rPr>
          <w:rtl w:val="0"/>
        </w:rPr>
        <w:t>‎3.12.5‎</w:t>
      </w:r>
      <w:r>
        <w:t xml:space="preserve"> اختبار ثبات القياس عبر المجموعات </w:t>
      </w:r>
      <w:r>
        <w:rPr>
          <w:rtl w:val="0"/>
        </w:rPr>
        <w:t>‎MICOM‎</w:t>
      </w:r>
      <w:r>
        <w:t xml:space="preserve"> والمقارنات البينية</w:t>
      </w:r>
    </w:p>
    <w:p w14:paraId="4F17D8E3" w14:textId="77777777" w:rsidR="00EB5CBD" w:rsidRDefault="00EA4CEB">
      <w:pPr>
        <w:bidi/>
        <w:spacing w:after="160" w:line="320" w:lineRule="auto"/>
        <w:jc w:val="both"/>
      </w:pPr>
      <w:r>
        <w:t xml:space="preserve">لا يُنفَّذ تحليل المقارنات بين المجموعات المتعددة </w:t>
      </w:r>
      <w:r>
        <w:rPr>
          <w:rtl w:val="0"/>
        </w:rPr>
        <w:t>‎PLS-MGA‎</w:t>
      </w:r>
      <w:r>
        <w:t xml:space="preserve"> مباشرة دون التحقق أولًا من أن أداة القياس تقيس المفهوم نفسه بالطريقة نفسها عبر المجموعات المقارَنة. لذلك سيُطبَّق إجراء ثبات القياس للنماذج المركبة </w:t>
      </w:r>
      <w:r>
        <w:rPr>
          <w:rtl w:val="0"/>
        </w:rPr>
        <w:t>‎MICOM‎</w:t>
      </w:r>
      <w:r>
        <w:t xml:space="preserve"> قبل أي مقارنة بين المجموعات، عبر خطواته الثلاث:</w:t>
      </w:r>
    </w:p>
    <w:p w14:paraId="60E86211" w14:textId="77777777" w:rsidR="00EB5CBD" w:rsidRDefault="00EA4CEB">
      <w:pPr>
        <w:pStyle w:val="a4"/>
        <w:numPr>
          <w:ilvl w:val="0"/>
          <w:numId w:val="2"/>
        </w:numPr>
        <w:bidi/>
        <w:spacing w:after="100" w:line="300" w:lineRule="auto"/>
        <w:jc w:val="both"/>
      </w:pPr>
      <w:r>
        <w:rPr>
          <w:color w:val="FF0000"/>
        </w:rPr>
        <w:t>الخطوة الأولى - ثبات التكوين: التحقق من أن المتغيرات ستُقاس بالفقرات نفسها وستُعالج بالطريقة نفسها في جميع المجموعات. وهذا الشرط متحقق تلقائيًا هنا لاستخدام الاستبيان نفسه في جميع المجموعات.</w:t>
      </w:r>
    </w:p>
    <w:p w14:paraId="4E070BB4" w14:textId="77777777" w:rsidR="00EB5CBD" w:rsidRDefault="00EA4CEB">
      <w:pPr>
        <w:pStyle w:val="a4"/>
        <w:numPr>
          <w:ilvl w:val="0"/>
          <w:numId w:val="2"/>
        </w:numPr>
        <w:bidi/>
        <w:spacing w:after="100" w:line="300" w:lineRule="auto"/>
        <w:jc w:val="both"/>
      </w:pPr>
      <w:r>
        <w:lastRenderedPageBreak/>
        <w:t>الخطوة الثانية - ثبات التكوين الكمّي: التحقق عبر اختبار التبديل من أن الارتباط بين درجات المتغير الكامن عبر المجموعات لا يقل جوهريًا عن الواحد الصحيح.</w:t>
      </w:r>
    </w:p>
    <w:p w14:paraId="7F58D6F2" w14:textId="77777777" w:rsidR="00EB5CBD" w:rsidRDefault="00EA4CEB">
      <w:pPr>
        <w:pStyle w:val="a4"/>
        <w:numPr>
          <w:ilvl w:val="0"/>
          <w:numId w:val="2"/>
        </w:numPr>
        <w:bidi/>
        <w:spacing w:after="100" w:line="300" w:lineRule="auto"/>
        <w:jc w:val="both"/>
      </w:pPr>
      <w:r>
        <w:t>الخطوة الثالثة - تساوي المتوسطات والتباينات: يُختبر عند الحاجة لتحديد نوع الثبات الكامل أو الجزئي المتحقق.</w:t>
      </w:r>
    </w:p>
    <w:p w14:paraId="0E3B0AF6" w14:textId="77777777" w:rsidR="00EB5CBD" w:rsidRDefault="00EA4CEB">
      <w:pPr>
        <w:bidi/>
        <w:spacing w:after="160" w:line="320" w:lineRule="auto"/>
        <w:jc w:val="both"/>
      </w:pPr>
      <w:r>
        <w:t xml:space="preserve">إذا تحقق الثبات الجزئي على الأقل، يجوز الانتقال إلى تحليل </w:t>
      </w:r>
      <w:r>
        <w:rPr>
          <w:rtl w:val="0"/>
        </w:rPr>
        <w:t>‎PLS-MGA‎</w:t>
      </w:r>
      <w:r>
        <w:t xml:space="preserve"> أو اختبار التبديل لمقارنة معاملات المسار جوهريًا بين المجموعات. وتشمل المقارنات مستويات تبني الذكاء الاصطناعي المرتفع والمتوسط والمنخفض، والقطاعات الاقتصادية الصناعي والخدمي والتجاري، مع مراعاة الحد الأدنى لحجم كل مجموعة الموضح في الفقرة </w:t>
      </w:r>
      <w:r>
        <w:rPr>
          <w:rtl w:val="0"/>
        </w:rPr>
        <w:t>‎3.7.4‎</w:t>
      </w:r>
      <w:r>
        <w:t>. وإذا لم يتحقق الثبات ولو جزئيًا، فلا تُجرى المقارنة الكمية المباشرة بين المجموعات، وتُناقش الفروق وصفيًا فقط مع توضيح هذا القيد المنهجي صراحة.</w:t>
      </w:r>
    </w:p>
    <w:p w14:paraId="0A203B63" w14:textId="77777777" w:rsidR="00EA4CEB" w:rsidRDefault="00EA4CEB" w:rsidP="00EA4CEB">
      <w:pPr>
        <w:spacing w:after="160" w:line="320" w:lineRule="auto"/>
        <w:jc w:val="both"/>
      </w:pPr>
    </w:p>
    <w:p w14:paraId="11930B67" w14:textId="77777777" w:rsidR="00EA4CEB" w:rsidRDefault="00EA4CEB" w:rsidP="00EA4CEB">
      <w:pPr>
        <w:spacing w:after="160" w:line="320" w:lineRule="auto"/>
        <w:jc w:val="both"/>
      </w:pPr>
    </w:p>
    <w:p w14:paraId="51291801" w14:textId="77777777" w:rsidR="00EB5CBD" w:rsidRDefault="00EA4CEB" w:rsidP="007E709B">
      <w:pPr>
        <w:bidi/>
        <w:spacing w:after="140" w:line="320" w:lineRule="auto"/>
      </w:pPr>
      <w:r>
        <w:rPr>
          <w:b/>
          <w:rtl w:val="0"/>
        </w:rPr>
        <w:t>‎3.12.6‎</w:t>
      </w:r>
      <w:r>
        <w:rPr>
          <w:b/>
        </w:rPr>
        <w:t xml:space="preserve"> تحليل الوساطة</w:t>
      </w:r>
    </w:p>
    <w:p w14:paraId="308AB0EF" w14:textId="77777777" w:rsidR="00EB5CBD" w:rsidRDefault="00EA4CEB">
      <w:pPr>
        <w:bidi/>
        <w:spacing w:after="160" w:line="320" w:lineRule="auto"/>
        <w:jc w:val="both"/>
      </w:pPr>
      <w:r>
        <w:t>يُختبر الأثر الوسيط للتسويق الرقمي بين تبنّي الذكاء الاصطناعي والأداء التسويقي وفق منهجية زاو وزملائه المنشورة عام 2010، التي تصنّف نتائج الوساطة إلى خمس فئات دقيقة، لا فئتين فقط هما «وساطة كاملة» و«وساطة جزئية»:</w:t>
      </w:r>
    </w:p>
    <w:p w14:paraId="53B2A11B" w14:textId="77777777" w:rsidR="00EB5CBD" w:rsidRDefault="00EA4CEB">
      <w:pPr>
        <w:pStyle w:val="a4"/>
        <w:numPr>
          <w:ilvl w:val="0"/>
          <w:numId w:val="2"/>
        </w:numPr>
        <w:bidi/>
        <w:spacing w:after="100" w:line="300" w:lineRule="auto"/>
        <w:jc w:val="both"/>
      </w:pPr>
      <w:r>
        <w:t>وساطة غير مباشرة فقط: الأثر غير المباشر دالٌّ، والأثر المباشر غير دالٍّ.</w:t>
      </w:r>
    </w:p>
    <w:p w14:paraId="06DB7250" w14:textId="77777777" w:rsidR="00EB5CBD" w:rsidRDefault="00EA4CEB">
      <w:pPr>
        <w:pStyle w:val="a4"/>
        <w:numPr>
          <w:ilvl w:val="0"/>
          <w:numId w:val="2"/>
        </w:numPr>
        <w:bidi/>
        <w:spacing w:after="100" w:line="300" w:lineRule="auto"/>
        <w:jc w:val="both"/>
      </w:pPr>
      <w:r>
        <w:t>وساطة تكاملية: الأثران المباشر وغير المباشر دالّان ومتفقان في الاتجاه.</w:t>
      </w:r>
    </w:p>
    <w:p w14:paraId="2BBD10F3" w14:textId="77777777" w:rsidR="00EB5CBD" w:rsidRDefault="00EA4CEB">
      <w:pPr>
        <w:pStyle w:val="a4"/>
        <w:numPr>
          <w:ilvl w:val="0"/>
          <w:numId w:val="2"/>
        </w:numPr>
        <w:bidi/>
        <w:spacing w:after="100" w:line="300" w:lineRule="auto"/>
        <w:jc w:val="both"/>
      </w:pPr>
      <w:r>
        <w:t>وساطة تنافسية: الأثران المباشر وغير المباشر دالّان لكنهما متعاكسان في الاتجاه.</w:t>
      </w:r>
    </w:p>
    <w:p w14:paraId="0F40025D" w14:textId="77777777" w:rsidR="00EB5CBD" w:rsidRDefault="00EA4CEB">
      <w:pPr>
        <w:pStyle w:val="a4"/>
        <w:numPr>
          <w:ilvl w:val="0"/>
          <w:numId w:val="2"/>
        </w:numPr>
        <w:bidi/>
        <w:spacing w:after="100" w:line="300" w:lineRule="auto"/>
        <w:jc w:val="both"/>
      </w:pPr>
      <w:r>
        <w:t>أثر مباشر فقط دون وساطة: الأثر المباشر دالٌّ، والأثر غير المباشر غير دالٍّ.</w:t>
      </w:r>
    </w:p>
    <w:p w14:paraId="25A75339" w14:textId="77777777" w:rsidR="00EB5CBD" w:rsidRDefault="00EA4CEB">
      <w:pPr>
        <w:pStyle w:val="a4"/>
        <w:numPr>
          <w:ilvl w:val="0"/>
          <w:numId w:val="2"/>
        </w:numPr>
        <w:bidi/>
        <w:spacing w:after="100" w:line="300" w:lineRule="auto"/>
        <w:jc w:val="both"/>
      </w:pPr>
      <w:r>
        <w:t>غياب الأثر كليًا: الأثران المباشر وغير المباشر غير دالّين معًا.</w:t>
      </w:r>
    </w:p>
    <w:p w14:paraId="1F307658" w14:textId="77777777" w:rsidR="00EB5CBD" w:rsidRDefault="00EA4CEB">
      <w:pPr>
        <w:bidi/>
        <w:spacing w:after="160" w:line="320" w:lineRule="auto"/>
        <w:jc w:val="both"/>
      </w:pPr>
      <w:r>
        <w:t xml:space="preserve">يُبنى الحكم على نوع الوساطة على قيمة الأثر غير المباشر الناتجة من ضرب معاملي المسارين، وفترة الثقة الناتجة من أسلوب </w:t>
      </w:r>
      <w:r>
        <w:rPr>
          <w:rtl w:val="0"/>
        </w:rPr>
        <w:t>‎Bootstrap‎</w:t>
      </w:r>
      <w:r>
        <w:t xml:space="preserve"> بخمسة آلاف عينة فرعية، وعدم اشتمال هذه الفترة على الصفر كشرط للدلالة الإحصائية، إلى جانب مراجعة اتجاه الأثرين المباشر وغير المباشر معًا لتحديد الفئة الدقيقة من الفئات الخمس أعلاه. ولا يُعتمد على الخطوات التقليدية التي قدمها بارون وكيني عام 1986، بعد أن تجاوزتها الأدبيات المنهجية الحديثة.</w:t>
      </w:r>
    </w:p>
    <w:p w14:paraId="2138D022" w14:textId="77777777" w:rsidR="00EB5CBD" w:rsidRDefault="00EA4CEB" w:rsidP="007E709B">
      <w:pPr>
        <w:bidi/>
        <w:spacing w:after="160" w:line="320" w:lineRule="auto"/>
      </w:pPr>
      <w:r>
        <w:rPr>
          <w:b/>
          <w:rtl w:val="0"/>
        </w:rPr>
        <w:t>‎3.13‎</w:t>
      </w:r>
      <w:r>
        <w:rPr>
          <w:b/>
        </w:rPr>
        <w:t xml:space="preserve"> إجراءات التحليل النوعي</w:t>
      </w:r>
    </w:p>
    <w:p w14:paraId="1B956ABE" w14:textId="77777777" w:rsidR="00EB5CBD" w:rsidRDefault="00EA4CEB" w:rsidP="007E709B">
      <w:pPr>
        <w:bidi/>
        <w:spacing w:after="140" w:line="320" w:lineRule="auto"/>
      </w:pPr>
      <w:r>
        <w:rPr>
          <w:b/>
          <w:rtl w:val="0"/>
        </w:rPr>
        <w:t>‎3.13.1‎</w:t>
      </w:r>
      <w:r>
        <w:rPr>
          <w:b/>
        </w:rPr>
        <w:t xml:space="preserve"> نوع التحليل الموضوعي</w:t>
      </w:r>
    </w:p>
    <w:p w14:paraId="4E2CABF3" w14:textId="77777777" w:rsidR="00EB5CBD" w:rsidRDefault="00EA4CEB">
      <w:pPr>
        <w:bidi/>
        <w:spacing w:after="160" w:line="320" w:lineRule="auto"/>
        <w:jc w:val="both"/>
      </w:pPr>
      <w:r>
        <w:t xml:space="preserve">يُعتمد التحليل الموضوعي الانعكاسي وفق منهجية براون وكلارك المنشورة عامي 2006 و2019، وهو نهج استقرائي في الأساس؛ بحيث تُشتق الموضوعات من محتوى المقابلات نفسها لا من إطار نظري مُسبق مفروض عليها، مع الإقرار بأن معرفة الباحثة بالإطار النظري للدراسة تؤثر حتمًا في </w:t>
      </w:r>
      <w:r>
        <w:lastRenderedPageBreak/>
        <w:t xml:space="preserve">عملية الترميز والتفسير، وهو ما يُعالَج عبر إجراءات الانعكاسية الموضحة في الفقرة </w:t>
      </w:r>
      <w:r>
        <w:rPr>
          <w:rtl w:val="0"/>
        </w:rPr>
        <w:t>‎3.13.2‎</w:t>
      </w:r>
      <w:r>
        <w:t>. ويُعتمد الترميز على المستوى الدلالي بالدرجة الأولى، أي ترميز المعنى الظاهر لكلام المشاركين، مع استكمال ذلك بترميز على المستوى الكامن عند مناقشة الافتراضات أو التصورات الضمنية التي تكشفها الإجابات حول تجربة تبني الذكاء الاصطناعي. تنفذ الباحثة الترميز الأولي منفردة، ثم يراجعه مشرف أكاديمي أو زميل باحث بوصفه مراجعًا مستقلًا، بما يتفق مع الطبيعة التفسيرية للتحليل الانعكاسي التي لا تشترط اتفاقًا رقميًا بين مرمزين.</w:t>
      </w:r>
    </w:p>
    <w:p w14:paraId="22CD7A92" w14:textId="77777777" w:rsidR="00EB5CBD" w:rsidRDefault="00EA4CEB">
      <w:pPr>
        <w:bidi/>
        <w:spacing w:after="160" w:line="320" w:lineRule="auto"/>
        <w:jc w:val="both"/>
      </w:pPr>
      <w:r>
        <w:t>تمر خطوات التحليل بالمراحل الست المعروفة لدى براون وكلارك: التعرف على البيانات وتفريغها وقراءتها بعمق، توليد الرموز الأولية، البحث عن الموضوعات المحتملة، مراجعة الموضوعات ومطابقتها بنصوص المقابلات كاملة، تعريف الموضوعات النهائية وتسميتها بدقة، وكتابة التقرير النهائي مربوطًا باقتباسات نصية وبالنتائج الكمية المقابلة لها.</w:t>
      </w:r>
    </w:p>
    <w:p w14:paraId="3FE3FF17" w14:textId="77777777" w:rsidR="00EA4CEB" w:rsidRDefault="00EA4CEB" w:rsidP="00EA4CEB">
      <w:pPr>
        <w:spacing w:after="160" w:line="320" w:lineRule="auto"/>
        <w:jc w:val="both"/>
      </w:pPr>
    </w:p>
    <w:p w14:paraId="28BDFD35" w14:textId="77777777" w:rsidR="00EB5CBD" w:rsidRDefault="00EA4CEB" w:rsidP="007E709B">
      <w:pPr>
        <w:bidi/>
        <w:spacing w:after="140" w:line="320" w:lineRule="auto"/>
      </w:pPr>
      <w:r>
        <w:rPr>
          <w:b/>
          <w:rtl w:val="0"/>
        </w:rPr>
        <w:t>‎3.13.2‎</w:t>
      </w:r>
      <w:r>
        <w:rPr>
          <w:b/>
        </w:rPr>
        <w:t xml:space="preserve"> إجراءات ضمان جودة البحث النوعي</w:t>
      </w:r>
    </w:p>
    <w:p w14:paraId="1BA7AAA8" w14:textId="77777777" w:rsidR="00EB5CBD" w:rsidRDefault="00EA4CEB">
      <w:pPr>
        <w:bidi/>
        <w:spacing w:after="160" w:line="320" w:lineRule="auto"/>
        <w:jc w:val="both"/>
      </w:pPr>
      <w:r>
        <w:t>ستُطبَّق الإجراءات التالية لتحقيق معايير الموثوقية الأربعة في البحث النوعي، وفق لينكولن وجوبا عام 1985:</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200"/>
        <w:gridCol w:w="3600"/>
      </w:tblGrid>
      <w:tr w:rsidR="00EB5CBD" w14:paraId="3989FDF3" w14:textId="77777777">
        <w:trPr>
          <w:tblHeader/>
        </w:trPr>
        <w:tc>
          <w:tcPr>
            <w:tcW w:w="2000" w:type="dxa"/>
            <w:tcBorders>
              <w:top w:val="single" w:sz="4" w:space="0" w:color="999999"/>
              <w:left w:val="single" w:sz="4" w:space="0" w:color="999999"/>
              <w:bottom w:val="single" w:sz="4" w:space="0" w:color="999999"/>
              <w:right w:val="single" w:sz="4" w:space="0" w:color="999999"/>
            </w:tcBorders>
            <w:shd w:val="clear" w:color="auto" w:fill="2F5496"/>
          </w:tcPr>
          <w:p w14:paraId="0A4A9EB0" w14:textId="77777777" w:rsidR="00EB5CBD" w:rsidRDefault="00EA4CEB" w:rsidP="008505AD">
            <w:pPr>
              <w:bidi/>
              <w:spacing w:after="60" w:line="320" w:lineRule="auto"/>
              <w:jc w:val="center"/>
            </w:pPr>
            <w:r>
              <w:rPr>
                <w:b/>
                <w:bCs/>
                <w:color w:val="FFFFFF"/>
                <w:sz w:val="21"/>
                <w:szCs w:val="21"/>
                <w:lang w:val="ar-SA"/>
              </w:rPr>
              <w:t>معيار الموثوقية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6BB68D7E" w14:textId="77777777" w:rsidR="00EB5CBD" w:rsidRDefault="00EA4CEB" w:rsidP="008505AD">
            <w:pPr>
              <w:bidi/>
              <w:spacing w:after="60" w:line="320" w:lineRule="auto"/>
              <w:jc w:val="center"/>
            </w:pPr>
            <w:r>
              <w:rPr>
                <w:b/>
                <w:bCs/>
                <w:color w:val="FFFFFF"/>
                <w:sz w:val="21"/>
                <w:szCs w:val="21"/>
                <w:lang w:val="ar-SA"/>
              </w:rPr>
              <w:t>التعريف</w:t>
            </w:r>
          </w:p>
        </w:tc>
        <w:tc>
          <w:tcPr>
            <w:tcW w:w="3600" w:type="dxa"/>
            <w:tcBorders>
              <w:top w:val="single" w:sz="4" w:space="0" w:color="999999"/>
              <w:left w:val="single" w:sz="4" w:space="0" w:color="999999"/>
              <w:bottom w:val="single" w:sz="4" w:space="0" w:color="999999"/>
              <w:right w:val="single" w:sz="4" w:space="0" w:color="999999"/>
            </w:tcBorders>
            <w:shd w:val="clear" w:color="auto" w:fill="2F5496"/>
          </w:tcPr>
          <w:p w14:paraId="555F0685" w14:textId="77777777" w:rsidR="00EB5CBD" w:rsidRDefault="00EA4CEB">
            <w:pPr>
              <w:bidi/>
              <w:spacing w:after="60" w:line="320" w:lineRule="auto"/>
              <w:jc w:val="center"/>
            </w:pPr>
            <w:r>
              <w:rPr>
                <w:b/>
                <w:bCs/>
                <w:color w:val="FFFFFF"/>
                <w:sz w:val="21"/>
                <w:szCs w:val="21"/>
                <w:lang w:val="ar-SA"/>
              </w:rPr>
              <w:t>الإجراء المتبع</w:t>
            </w:r>
          </w:p>
        </w:tc>
      </w:tr>
      <w:tr w:rsidR="00EB5CBD" w14:paraId="665ABB99" w14:textId="77777777">
        <w:tc>
          <w:tcPr>
            <w:tcW w:w="2000" w:type="dxa"/>
            <w:tcBorders>
              <w:top w:val="single" w:sz="4" w:space="0" w:color="999999"/>
              <w:left w:val="single" w:sz="4" w:space="0" w:color="999999"/>
              <w:bottom w:val="single" w:sz="4" w:space="0" w:color="999999"/>
              <w:right w:val="single" w:sz="4" w:space="0" w:color="999999"/>
            </w:tcBorders>
          </w:tcPr>
          <w:p w14:paraId="7DE020C0" w14:textId="77777777" w:rsidR="00EB5CBD" w:rsidRDefault="00EA4CEB" w:rsidP="004148DE">
            <w:pPr>
              <w:bidi/>
              <w:spacing w:after="60" w:line="320" w:lineRule="auto"/>
              <w:jc w:val="center"/>
            </w:pPr>
            <w:r>
              <w:t>المصداقية ‎‎</w:t>
            </w:r>
          </w:p>
        </w:tc>
        <w:tc>
          <w:tcPr>
            <w:tcW w:w="3200" w:type="dxa"/>
            <w:tcBorders>
              <w:top w:val="single" w:sz="4" w:space="0" w:color="999999"/>
              <w:left w:val="single" w:sz="4" w:space="0" w:color="999999"/>
              <w:bottom w:val="single" w:sz="4" w:space="0" w:color="999999"/>
              <w:right w:val="single" w:sz="4" w:space="0" w:color="999999"/>
            </w:tcBorders>
          </w:tcPr>
          <w:p w14:paraId="1A555EE9" w14:textId="77777777" w:rsidR="00EB5CBD" w:rsidRDefault="00EA4CEB" w:rsidP="004148DE">
            <w:pPr>
              <w:bidi/>
              <w:spacing w:after="60" w:line="320" w:lineRule="auto"/>
              <w:jc w:val="center"/>
            </w:pPr>
            <w:r>
              <w:rPr>
                <w:sz w:val="21"/>
                <w:szCs w:val="21"/>
                <w:lang w:val="ar-SA"/>
              </w:rPr>
              <w:t>مدى تطابق النتائج مع واقع تجربة المشاركين</w:t>
            </w:r>
          </w:p>
        </w:tc>
        <w:tc>
          <w:tcPr>
            <w:tcW w:w="3600" w:type="dxa"/>
            <w:tcBorders>
              <w:top w:val="single" w:sz="4" w:space="0" w:color="999999"/>
              <w:left w:val="single" w:sz="4" w:space="0" w:color="999999"/>
              <w:bottom w:val="single" w:sz="4" w:space="0" w:color="999999"/>
              <w:right w:val="single" w:sz="4" w:space="0" w:color="999999"/>
            </w:tcBorders>
          </w:tcPr>
          <w:p w14:paraId="5826DF8B" w14:textId="77777777" w:rsidR="00EB5CBD" w:rsidRDefault="00EA4CEB" w:rsidP="004148DE">
            <w:pPr>
              <w:bidi/>
              <w:spacing w:after="60" w:line="320" w:lineRule="auto"/>
              <w:jc w:val="center"/>
            </w:pPr>
            <w:r>
              <w:t>مراجعة المشاركين عبر عرض الموضوعات النهائية على عينة من المشاركين للتحقق من مطابقتها لتجربتهم؛ مراجعة نظير أو خبير لتحدي التفسيرات وتحسينها</w:t>
            </w:r>
          </w:p>
        </w:tc>
      </w:tr>
      <w:tr w:rsidR="00EB5CBD" w14:paraId="1F8BF177" w14:textId="77777777">
        <w:tc>
          <w:tcPr>
            <w:tcW w:w="2000" w:type="dxa"/>
            <w:tcBorders>
              <w:top w:val="single" w:sz="4" w:space="0" w:color="999999"/>
              <w:left w:val="single" w:sz="4" w:space="0" w:color="999999"/>
              <w:bottom w:val="single" w:sz="4" w:space="0" w:color="999999"/>
              <w:right w:val="single" w:sz="4" w:space="0" w:color="999999"/>
            </w:tcBorders>
            <w:shd w:val="clear" w:color="auto" w:fill="F2F2F2"/>
          </w:tcPr>
          <w:p w14:paraId="41DBD032" w14:textId="77777777" w:rsidR="00EB5CBD" w:rsidRDefault="00EA4CEB" w:rsidP="004148DE">
            <w:pPr>
              <w:bidi/>
              <w:spacing w:after="60" w:line="320" w:lineRule="auto"/>
              <w:jc w:val="center"/>
            </w:pPr>
            <w:r>
              <w:t>الاعتمادية ‎‎</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8CEF26B" w14:textId="77777777" w:rsidR="00EB5CBD" w:rsidRDefault="00EA4CEB" w:rsidP="004148DE">
            <w:pPr>
              <w:bidi/>
              <w:spacing w:after="60" w:line="320" w:lineRule="auto"/>
              <w:jc w:val="center"/>
            </w:pPr>
            <w:r>
              <w:rPr>
                <w:sz w:val="21"/>
                <w:szCs w:val="21"/>
                <w:lang w:val="ar-SA"/>
              </w:rPr>
              <w:t>ثبات الإجراءات واتساقها عبر الزمن</w:t>
            </w:r>
          </w:p>
        </w:tc>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2636CE10" w14:textId="77777777" w:rsidR="00EB5CBD" w:rsidRDefault="00EA4CEB" w:rsidP="004148DE">
            <w:pPr>
              <w:bidi/>
              <w:spacing w:after="60" w:line="320" w:lineRule="auto"/>
              <w:jc w:val="center"/>
            </w:pPr>
            <w:r>
              <w:t>الاحتفاظ بمسار تدقيق يوثق كل قرار تحليلي وتاريخه ومبرره من الترميز الأولي حتى الموضوعات النهائية</w:t>
            </w:r>
          </w:p>
        </w:tc>
      </w:tr>
      <w:tr w:rsidR="00EB5CBD" w14:paraId="6D51D5CF" w14:textId="77777777">
        <w:tc>
          <w:tcPr>
            <w:tcW w:w="2000" w:type="dxa"/>
            <w:tcBorders>
              <w:top w:val="single" w:sz="4" w:space="0" w:color="999999"/>
              <w:left w:val="single" w:sz="4" w:space="0" w:color="999999"/>
              <w:bottom w:val="single" w:sz="4" w:space="0" w:color="999999"/>
              <w:right w:val="single" w:sz="4" w:space="0" w:color="999999"/>
            </w:tcBorders>
          </w:tcPr>
          <w:p w14:paraId="56BB17CE" w14:textId="77777777" w:rsidR="00EB5CBD" w:rsidRDefault="00EA4CEB" w:rsidP="004148DE">
            <w:pPr>
              <w:bidi/>
              <w:spacing w:after="60" w:line="320" w:lineRule="auto"/>
              <w:jc w:val="center"/>
            </w:pPr>
            <w:r>
              <w:t>قابلية التأكيد ‎‎</w:t>
            </w:r>
          </w:p>
        </w:tc>
        <w:tc>
          <w:tcPr>
            <w:tcW w:w="3200" w:type="dxa"/>
            <w:tcBorders>
              <w:top w:val="single" w:sz="4" w:space="0" w:color="999999"/>
              <w:left w:val="single" w:sz="4" w:space="0" w:color="999999"/>
              <w:bottom w:val="single" w:sz="4" w:space="0" w:color="999999"/>
              <w:right w:val="single" w:sz="4" w:space="0" w:color="999999"/>
            </w:tcBorders>
          </w:tcPr>
          <w:p w14:paraId="628D0ECE" w14:textId="77777777" w:rsidR="00EB5CBD" w:rsidRDefault="00EA4CEB" w:rsidP="004148DE">
            <w:pPr>
              <w:bidi/>
              <w:spacing w:after="60" w:line="320" w:lineRule="auto"/>
              <w:jc w:val="center"/>
            </w:pPr>
            <w:r>
              <w:rPr>
                <w:sz w:val="21"/>
                <w:szCs w:val="21"/>
                <w:lang w:val="ar-SA"/>
              </w:rPr>
              <w:t>استناد النتائج إلى بيانات المشاركين لا إلى تحيز الباحثة</w:t>
            </w:r>
          </w:p>
        </w:tc>
        <w:tc>
          <w:tcPr>
            <w:tcW w:w="3600" w:type="dxa"/>
            <w:tcBorders>
              <w:top w:val="single" w:sz="4" w:space="0" w:color="999999"/>
              <w:left w:val="single" w:sz="4" w:space="0" w:color="999999"/>
              <w:bottom w:val="single" w:sz="4" w:space="0" w:color="999999"/>
              <w:right w:val="single" w:sz="4" w:space="0" w:color="999999"/>
            </w:tcBorders>
          </w:tcPr>
          <w:p w14:paraId="587DCDED" w14:textId="77777777" w:rsidR="00EB5CBD" w:rsidRDefault="00EA4CEB" w:rsidP="004148DE">
            <w:pPr>
              <w:bidi/>
              <w:spacing w:after="60" w:line="320" w:lineRule="auto"/>
              <w:jc w:val="center"/>
            </w:pPr>
            <w:r>
              <w:t>الاحتفاظ بمذكرات انعكاسية طوال عملية التحليل توثق افتراضات الباحثة المسبقة وكيفية التعامل معها؛ مقارنة الرموز والموضوعات بالمقابلات الأصلية بصورة متكررة</w:t>
            </w:r>
          </w:p>
        </w:tc>
      </w:tr>
      <w:tr w:rsidR="00EB5CBD" w14:paraId="2E7C03DD" w14:textId="77777777">
        <w:tc>
          <w:tcPr>
            <w:tcW w:w="2000" w:type="dxa"/>
            <w:tcBorders>
              <w:top w:val="single" w:sz="4" w:space="0" w:color="999999"/>
              <w:left w:val="single" w:sz="4" w:space="0" w:color="999999"/>
              <w:bottom w:val="single" w:sz="4" w:space="0" w:color="999999"/>
              <w:right w:val="single" w:sz="4" w:space="0" w:color="999999"/>
            </w:tcBorders>
            <w:shd w:val="clear" w:color="auto" w:fill="F2F2F2"/>
          </w:tcPr>
          <w:p w14:paraId="778468CC" w14:textId="77777777" w:rsidR="00EB5CBD" w:rsidRDefault="00EA4CEB" w:rsidP="004148DE">
            <w:pPr>
              <w:bidi/>
              <w:spacing w:after="60" w:line="320" w:lineRule="auto"/>
              <w:jc w:val="center"/>
            </w:pPr>
            <w:r>
              <w:t>قابلية النقل ‎‎</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DB54B07" w14:textId="77777777" w:rsidR="00EB5CBD" w:rsidRDefault="00EA4CEB" w:rsidP="004148DE">
            <w:pPr>
              <w:bidi/>
              <w:spacing w:after="60" w:line="320" w:lineRule="auto"/>
              <w:jc w:val="center"/>
            </w:pPr>
            <w:r>
              <w:rPr>
                <w:sz w:val="21"/>
                <w:szCs w:val="21"/>
                <w:lang w:val="ar-SA"/>
              </w:rPr>
              <w:t>إمكانية الاستفادة من النتائج في سياقات مشابهة</w:t>
            </w:r>
          </w:p>
        </w:tc>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1F0C1B32" w14:textId="77777777" w:rsidR="00EB5CBD" w:rsidRDefault="00EA4CEB" w:rsidP="004148DE">
            <w:pPr>
              <w:bidi/>
              <w:spacing w:after="60" w:line="320" w:lineRule="auto"/>
              <w:jc w:val="center"/>
            </w:pPr>
            <w:r>
              <w:t>كتابة وصف سياقي غني لخصائص المشاركين والمنشآت والسياق، ودعم كل موضوع رئيسي باقتباسات نصية مباشرة توضح أساسه في البيانات</w:t>
            </w:r>
          </w:p>
        </w:tc>
      </w:tr>
    </w:tbl>
    <w:p w14:paraId="66ACFFB0" w14:textId="77777777" w:rsidR="00EB5CBD" w:rsidRDefault="00EB5CBD">
      <w:pPr>
        <w:spacing w:after="160"/>
      </w:pPr>
    </w:p>
    <w:p w14:paraId="15D9EAF1" w14:textId="77777777" w:rsidR="004148DE" w:rsidRDefault="004148DE">
      <w:pPr>
        <w:spacing w:after="160"/>
      </w:pPr>
    </w:p>
    <w:p w14:paraId="6416D785" w14:textId="77777777" w:rsidR="004148DE" w:rsidRDefault="004148DE">
      <w:pPr>
        <w:spacing w:after="160"/>
      </w:pPr>
    </w:p>
    <w:p w14:paraId="5B56FD74" w14:textId="77777777" w:rsidR="004148DE" w:rsidRDefault="004148DE">
      <w:pPr>
        <w:spacing w:after="160"/>
      </w:pPr>
    </w:p>
    <w:p w14:paraId="334639D0" w14:textId="77777777" w:rsidR="00EB5CBD" w:rsidRDefault="00EA4CEB" w:rsidP="007E709B">
      <w:pPr>
        <w:bidi/>
        <w:spacing w:after="140" w:line="320" w:lineRule="auto"/>
      </w:pPr>
      <w:r>
        <w:rPr>
          <w:b/>
          <w:rtl w:val="0"/>
        </w:rPr>
        <w:lastRenderedPageBreak/>
        <w:t>‎3.13.3‎</w:t>
      </w:r>
      <w:r>
        <w:rPr>
          <w:b/>
        </w:rPr>
        <w:t xml:space="preserve"> برنامج تحليل البيانات النوعية</w:t>
      </w:r>
    </w:p>
    <w:p w14:paraId="28249EE8" w14:textId="77777777" w:rsidR="00EB5CBD" w:rsidRDefault="00EA4CEB">
      <w:pPr>
        <w:bidi/>
        <w:spacing w:after="160" w:line="320" w:lineRule="auto"/>
        <w:jc w:val="both"/>
      </w:pPr>
      <w:r>
        <w:t xml:space="preserve">سيُستخدم برنامج </w:t>
      </w:r>
      <w:r>
        <w:rPr>
          <w:rtl w:val="0"/>
        </w:rPr>
        <w:t>‎NVivo‎</w:t>
      </w:r>
      <w:r>
        <w:t>، الإصدار 14، لتنظيم النصوص المفرغة وترميزها وتصنيف الموضوعات وإدارة الاقتباسات. ويُوضَّح صراحةً أن البرنامج أداة تنظيمية تساعد على الترميز والفهرسة واسترجاع المقتطفات، ولا يقوم بالتفسير التحليلي بدلًا من الباحثة؛ فقرارات الترميز والتصنيف وتسمية الموضوعات وتفسير معانيها تبقى قرارات بشرية بالكامل.</w:t>
      </w:r>
    </w:p>
    <w:p w14:paraId="1FF0E28E" w14:textId="77777777" w:rsidR="00EB5CBD" w:rsidRDefault="00EA4CEB" w:rsidP="007E709B">
      <w:pPr>
        <w:bidi/>
        <w:spacing w:after="160" w:line="320" w:lineRule="auto"/>
      </w:pPr>
      <w:r>
        <w:rPr>
          <w:b/>
          <w:rtl w:val="0"/>
        </w:rPr>
        <w:t>‎3.14‎</w:t>
      </w:r>
      <w:r>
        <w:rPr>
          <w:b/>
        </w:rPr>
        <w:t xml:space="preserve"> إجراءات تكامل نتائج المنهج المختلط</w:t>
      </w:r>
    </w:p>
    <w:p w14:paraId="773024DE" w14:textId="77777777" w:rsidR="00EB5CBD" w:rsidRDefault="00EA4CEB">
      <w:pPr>
        <w:bidi/>
        <w:spacing w:after="160" w:line="320" w:lineRule="auto"/>
        <w:jc w:val="both"/>
      </w:pPr>
      <w:r>
        <w:rPr>
          <w:lang w:val="ar-SA"/>
        </w:rPr>
        <w:t>لم يكتفَ هذا الفصل بذكر أن الدراسة تعتمد منهجًا مختلطًا، بل يوضح إجراءات دمج النتائج الكمية والنوعية تحديدًا، وفق الخطوات التالية:</w:t>
      </w:r>
    </w:p>
    <w:p w14:paraId="0D035D33" w14:textId="77777777" w:rsidR="00EB5CBD" w:rsidRDefault="00EA4CEB">
      <w:pPr>
        <w:pStyle w:val="a4"/>
        <w:numPr>
          <w:ilvl w:val="0"/>
          <w:numId w:val="2"/>
        </w:numPr>
        <w:bidi/>
        <w:spacing w:after="100" w:line="300" w:lineRule="auto"/>
        <w:jc w:val="both"/>
      </w:pPr>
      <w:r>
        <w:t xml:space="preserve">الربط: استخدام نتائج المرحلة الكمية لتحديد من سيُدعى للمقابلات وما الأسئلة التي ستُطرح عليهم، كما هو مفصل في القسم </w:t>
      </w:r>
      <w:r>
        <w:rPr>
          <w:rtl w:val="0"/>
        </w:rPr>
        <w:t>‎3.10‎</w:t>
      </w:r>
      <w:r>
        <w:t xml:space="preserve"> الخاص باختيار المشاركين ودليل المقابلة.</w:t>
      </w:r>
    </w:p>
    <w:p w14:paraId="551B2D71" w14:textId="77777777" w:rsidR="00EB5CBD" w:rsidRDefault="00EA4CEB">
      <w:pPr>
        <w:pStyle w:val="a4"/>
        <w:numPr>
          <w:ilvl w:val="0"/>
          <w:numId w:val="2"/>
        </w:numPr>
        <w:bidi/>
        <w:spacing w:after="100" w:line="300" w:lineRule="auto"/>
        <w:jc w:val="both"/>
      </w:pPr>
      <w:r>
        <w:t>البناء: بناء دليل المقابلة النهائي مباشرة من مخرجات التحليل الكمي، بحيث تُصاغ أسئلة إضافية موجّهة لكل مسار غير دالٍّ أو متباين تحديدًا.</w:t>
      </w:r>
    </w:p>
    <w:p w14:paraId="0EAB1F92" w14:textId="77777777" w:rsidR="00EB5CBD" w:rsidRDefault="00EA4CEB">
      <w:pPr>
        <w:pStyle w:val="a4"/>
        <w:numPr>
          <w:ilvl w:val="0"/>
          <w:numId w:val="2"/>
        </w:numPr>
        <w:bidi/>
        <w:spacing w:after="100" w:line="300" w:lineRule="auto"/>
        <w:jc w:val="both"/>
      </w:pPr>
      <w:r>
        <w:t>الدمج: بعد اكتمال التحليلين، تُقارَن النتائج الكمية والنوعية جنبًا إلى جنب لكل فرضية على حدة، وتُصنَّف نقاط الالتقاء ونقاط الاختلاف بينهما.</w:t>
      </w:r>
    </w:p>
    <w:p w14:paraId="55E6DD82" w14:textId="77777777" w:rsidR="00EB5CBD" w:rsidRDefault="00EA4CEB">
      <w:pPr>
        <w:pStyle w:val="a4"/>
        <w:numPr>
          <w:ilvl w:val="0"/>
          <w:numId w:val="2"/>
        </w:numPr>
        <w:bidi/>
        <w:spacing w:after="100" w:line="300" w:lineRule="auto"/>
        <w:jc w:val="both"/>
      </w:pPr>
      <w:r>
        <w:t>إعداد جدول عرض مشترك: جدول يجمع في صف واحد لكل فرضية أو سؤال بحثي النتيجة الكمية، بما فيها معامل المسار والدلالة، والنتيجة النوعية المقابلة لها، بما فيها الموضوعات والاقتباسات ذات الصلة، ثم يقدم تفسيرًا مشتركًا موجزًا.</w:t>
      </w:r>
    </w:p>
    <w:p w14:paraId="14CCAA48" w14:textId="77777777" w:rsidR="00EB5CBD" w:rsidRDefault="00EA4CEB">
      <w:pPr>
        <w:pStyle w:val="a4"/>
        <w:numPr>
          <w:ilvl w:val="0"/>
          <w:numId w:val="2"/>
        </w:numPr>
        <w:bidi/>
        <w:spacing w:after="100" w:line="300" w:lineRule="auto"/>
        <w:jc w:val="both"/>
      </w:pPr>
      <w:r>
        <w:rPr>
          <w:lang w:val="ar-SA"/>
        </w:rPr>
        <w:t>تفسير نقاط الاتفاق والاختلاف: عند اتفاق الدليلين، يُعزَّز التفسير الواحد؛ وعند اختلافهما، يُناقَش الاختلاف صراحة بوصفه نتيجة قائمة بذاتها لا خللًا يُخفى أو يُوفَّق بينهما تعسفيًا.</w:t>
      </w:r>
    </w:p>
    <w:p w14:paraId="0AAD4EC5" w14:textId="77777777" w:rsidR="00EB5CBD" w:rsidRDefault="00EA4CEB">
      <w:pPr>
        <w:pStyle w:val="a4"/>
        <w:numPr>
          <w:ilvl w:val="0"/>
          <w:numId w:val="2"/>
        </w:numPr>
        <w:bidi/>
        <w:spacing w:after="100" w:line="300" w:lineRule="auto"/>
        <w:jc w:val="both"/>
      </w:pPr>
      <w:r>
        <w:t>صياغة استنتاجات ما وراء الاستدلال: استنتاجات نهائية تدمج الدليلين في تفسير واحد متماسك يتجاوز حدود كل مرحلة منفردة.</w:t>
      </w:r>
    </w:p>
    <w:p w14:paraId="35B3A167" w14:textId="77777777" w:rsidR="00EB5CBD" w:rsidRDefault="00EA4CEB">
      <w:pPr>
        <w:pStyle w:val="a4"/>
        <w:numPr>
          <w:ilvl w:val="0"/>
          <w:numId w:val="2"/>
        </w:numPr>
        <w:bidi/>
        <w:spacing w:after="100" w:line="300" w:lineRule="auto"/>
        <w:jc w:val="both"/>
      </w:pPr>
      <w:r>
        <w:t>توضيح صريح لكيفية التعامل مع أي نتيجة نوعية تتعارض مع نتيجة كمية مقابلة لها: تُعرَض الحالتان معًا دون ترجيح تلقائي لأحدهما، مع مناقشة التفسيرات المحتملة لهذا التعارض، مثل خصوصية سياق قطاع بعينه، أو محدودية حجم العينة الفرعية، أو فروق فهم المفهوم بين الاستبيان والمقابلة.</w:t>
      </w:r>
    </w:p>
    <w:p w14:paraId="4743AAFC" w14:textId="77777777" w:rsidR="00EB5CBD" w:rsidRDefault="00EA4CEB" w:rsidP="007E709B">
      <w:pPr>
        <w:bidi/>
        <w:spacing w:after="160" w:line="320" w:lineRule="auto"/>
      </w:pPr>
      <w:r>
        <w:rPr>
          <w:b/>
          <w:rtl w:val="0"/>
        </w:rPr>
        <w:t>‎3.15‎</w:t>
      </w:r>
      <w:r>
        <w:rPr>
          <w:b/>
        </w:rPr>
        <w:t xml:space="preserve"> إعادة النظر في تصنيف مستوى التبني إلى فئات</w:t>
      </w:r>
    </w:p>
    <w:p w14:paraId="0A0352BA" w14:textId="77777777" w:rsidR="00EB5CBD" w:rsidRDefault="00EA4CEB">
      <w:pPr>
        <w:bidi/>
        <w:spacing w:after="160" w:line="320" w:lineRule="auto"/>
        <w:jc w:val="both"/>
      </w:pPr>
      <w:r>
        <w:t xml:space="preserve">تحويل درجة مستوى تبني الذكاء الاصطناعي المستمرة إلى ثلاث فئات، هي منخفض ومتوسط ومرتفع، قد يفقد معلومات إحصائية ويخفض القوة الإحصائية للاختبار، وقد ينشئ حدود تصنيف اعتباطية يصعب تبريرها نظريًا. لذلك تُعامَل درجة تبني الذكاء الاصطناعي في التحليل الأساسي، الذي يشمل اختبار الفرضيات ونمذجة المسارات، كمتغير مستمر دون تصنيف. ويُستخدم التصنيف إلى ثلاث فئات فقط لغرض التحليل الإضافي التوصيفي ولمقارنات </w:t>
      </w:r>
      <w:r>
        <w:rPr>
          <w:rtl w:val="0"/>
        </w:rPr>
        <w:t>‎PLS-MGA‎</w:t>
      </w:r>
      <w:r>
        <w:t xml:space="preserve"> الموضحة في الفقرة </w:t>
      </w:r>
      <w:r>
        <w:rPr>
          <w:rtl w:val="0"/>
        </w:rPr>
        <w:t>‎3.12.5‎</w:t>
      </w:r>
      <w:r>
        <w:t>، على أن تُطبَّق الاحترازات التالية عند اللجوء إليه:</w:t>
      </w:r>
    </w:p>
    <w:p w14:paraId="3C89607E" w14:textId="77777777" w:rsidR="00EB5CBD" w:rsidRDefault="00EA4CEB">
      <w:pPr>
        <w:pStyle w:val="a4"/>
        <w:numPr>
          <w:ilvl w:val="0"/>
          <w:numId w:val="2"/>
        </w:numPr>
        <w:bidi/>
        <w:spacing w:after="100" w:line="300" w:lineRule="auto"/>
        <w:jc w:val="both"/>
      </w:pPr>
      <w:r>
        <w:rPr>
          <w:rFonts w:ascii="Arial" w:hAnsi="Arial"/>
          <w:lang w:val="ar-SA"/>
        </w:rPr>
        <w:lastRenderedPageBreak/>
        <w:t>تُحدد حدود الفئات إحصائيًا بناءً على توزيع الدرجات الفعلي في العينة، مثل تقسيم العينة إلى ثلاثة أثلاث متساوية العدد، ولا تُحدد بناءً على قيم نظرية افتراضية مسبقة؛ حتى يكون التصنيف قابلًا للتبرير بالبيانات نفسها.</w:t>
      </w:r>
    </w:p>
    <w:p w14:paraId="7D47A114" w14:textId="77777777" w:rsidR="00EB5CBD" w:rsidRDefault="00EA4CEB">
      <w:pPr>
        <w:pStyle w:val="a4"/>
        <w:numPr>
          <w:ilvl w:val="0"/>
          <w:numId w:val="2"/>
        </w:numPr>
        <w:bidi/>
        <w:spacing w:after="100" w:line="300" w:lineRule="auto"/>
        <w:jc w:val="both"/>
      </w:pPr>
      <w:r>
        <w:t xml:space="preserve">يُبيَّن عدد الحالات الفعلي في كل فئة بعد جمع البيانات، مع التأكد من عدم وجود فئة صغيرة جدًا تُضعف أي تحليل إضافي مبني عليها، وفق الحد الأدنى الموضح في الفقرة </w:t>
      </w:r>
      <w:r>
        <w:rPr>
          <w:rtl w:val="0"/>
        </w:rPr>
        <w:t>‎3.7.4‎</w:t>
      </w:r>
      <w:r>
        <w:t>.</w:t>
      </w:r>
    </w:p>
    <w:p w14:paraId="3FFB7E44" w14:textId="77777777" w:rsidR="00EA4CEB" w:rsidRDefault="00EA4CEB" w:rsidP="004148DE">
      <w:pPr>
        <w:pStyle w:val="a4"/>
        <w:numPr>
          <w:ilvl w:val="0"/>
          <w:numId w:val="2"/>
        </w:numPr>
        <w:bidi/>
        <w:spacing w:after="100" w:line="300" w:lineRule="auto"/>
        <w:jc w:val="both"/>
      </w:pPr>
      <w:r>
        <w:rPr>
          <w:lang w:val="ar-SA"/>
        </w:rPr>
        <w:t>تُناقَش صراحة في تفسير النتائج الآثار المحتملة لهذا التصنيف على دقة الفروق المكتشفة بين الفئات، باعتبارها فروقًا تقريبية لا حدًا فاصلًا دقيقًا بين مستويات تبني متمايزة تمامًا.</w:t>
      </w:r>
    </w:p>
    <w:p w14:paraId="2E27D63D" w14:textId="77777777" w:rsidR="00EA4CEB" w:rsidRDefault="00EA4CEB" w:rsidP="00EA4CEB">
      <w:pPr>
        <w:spacing w:after="100" w:line="300" w:lineRule="auto"/>
        <w:jc w:val="both"/>
      </w:pPr>
    </w:p>
    <w:p w14:paraId="4952AC57" w14:textId="77777777" w:rsidR="00EB5CBD" w:rsidRDefault="00EA4CEB" w:rsidP="007E709B">
      <w:pPr>
        <w:bidi/>
        <w:spacing w:after="160" w:line="320" w:lineRule="auto"/>
      </w:pPr>
      <w:r>
        <w:rPr>
          <w:b/>
          <w:rtl w:val="0"/>
        </w:rPr>
        <w:t>‎3.16‎</w:t>
      </w:r>
      <w:r>
        <w:rPr>
          <w:b/>
        </w:rPr>
        <w:t xml:space="preserve"> البرامج الإحصائية والتحليلية المستخدمة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400"/>
        <w:gridCol w:w="3200"/>
      </w:tblGrid>
      <w:tr w:rsidR="00EB5CBD" w14:paraId="5D33F694" w14:textId="77777777">
        <w:trPr>
          <w:tblHeader/>
        </w:trPr>
        <w:tc>
          <w:tcPr>
            <w:tcW w:w="2400" w:type="dxa"/>
            <w:tcBorders>
              <w:top w:val="single" w:sz="4" w:space="0" w:color="999999"/>
              <w:left w:val="single" w:sz="4" w:space="0" w:color="999999"/>
              <w:bottom w:val="single" w:sz="4" w:space="0" w:color="999999"/>
              <w:right w:val="single" w:sz="4" w:space="0" w:color="999999"/>
            </w:tcBorders>
            <w:shd w:val="clear" w:color="auto" w:fill="2F5496"/>
          </w:tcPr>
          <w:p w14:paraId="03AA58B4" w14:textId="77777777" w:rsidR="00EB5CBD" w:rsidRDefault="00EA4CEB" w:rsidP="008505AD">
            <w:pPr>
              <w:bidi/>
              <w:spacing w:after="60" w:line="320" w:lineRule="auto"/>
              <w:jc w:val="center"/>
            </w:pPr>
            <w:r>
              <w:rPr>
                <w:b/>
                <w:bCs/>
                <w:color w:val="FFFFFF"/>
                <w:sz w:val="21"/>
                <w:szCs w:val="21"/>
                <w:lang w:val="ar-SA"/>
              </w:rPr>
              <w:t>البرنامج والإصدار</w:t>
            </w:r>
          </w:p>
        </w:tc>
        <w:tc>
          <w:tcPr>
            <w:tcW w:w="3400" w:type="dxa"/>
            <w:tcBorders>
              <w:top w:val="single" w:sz="4" w:space="0" w:color="999999"/>
              <w:left w:val="single" w:sz="4" w:space="0" w:color="999999"/>
              <w:bottom w:val="single" w:sz="4" w:space="0" w:color="999999"/>
              <w:right w:val="single" w:sz="4" w:space="0" w:color="999999"/>
            </w:tcBorders>
            <w:shd w:val="clear" w:color="auto" w:fill="2F5496"/>
          </w:tcPr>
          <w:p w14:paraId="3919B5BA" w14:textId="77777777" w:rsidR="00EB5CBD" w:rsidRDefault="00EA4CEB">
            <w:pPr>
              <w:bidi/>
              <w:spacing w:after="60" w:line="320" w:lineRule="auto"/>
              <w:jc w:val="center"/>
            </w:pPr>
            <w:r>
              <w:rPr>
                <w:b/>
                <w:bCs/>
                <w:color w:val="FFFFFF"/>
                <w:sz w:val="21"/>
                <w:szCs w:val="21"/>
                <w:lang w:val="ar-SA"/>
              </w:rPr>
              <w:t>الوظيفة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2A5D6D39" w14:textId="77777777" w:rsidR="00EB5CBD" w:rsidRDefault="00EA4CEB" w:rsidP="008505AD">
            <w:pPr>
              <w:bidi/>
              <w:spacing w:after="60" w:line="320" w:lineRule="auto"/>
              <w:jc w:val="center"/>
            </w:pPr>
            <w:r>
              <w:rPr>
                <w:b/>
                <w:bCs/>
                <w:color w:val="FFFFFF"/>
                <w:sz w:val="21"/>
                <w:szCs w:val="21"/>
                <w:lang w:val="ar-SA"/>
              </w:rPr>
              <w:t>مرحلة الاستخدام</w:t>
            </w:r>
          </w:p>
        </w:tc>
      </w:tr>
      <w:tr w:rsidR="00EB5CBD" w14:paraId="51DB64AD" w14:textId="77777777">
        <w:tc>
          <w:tcPr>
            <w:tcW w:w="2400" w:type="dxa"/>
            <w:tcBorders>
              <w:top w:val="single" w:sz="4" w:space="0" w:color="999999"/>
              <w:left w:val="single" w:sz="4" w:space="0" w:color="999999"/>
              <w:bottom w:val="single" w:sz="4" w:space="0" w:color="999999"/>
              <w:right w:val="single" w:sz="4" w:space="0" w:color="999999"/>
            </w:tcBorders>
          </w:tcPr>
          <w:p w14:paraId="2D87618F" w14:textId="77777777" w:rsidR="0099616A" w:rsidRDefault="003D1F04" w:rsidP="004148DE">
            <w:pPr>
              <w:bidi/>
              <w:jc w:val="center"/>
            </w:pPr>
            <w:r>
              <w:rPr>
                <w:rtl w:val="0"/>
              </w:rPr>
              <w:t>‎SPSS‎</w:t>
            </w:r>
            <w:r>
              <w:t xml:space="preserve"> - الإصدار 29</w:t>
            </w:r>
          </w:p>
        </w:tc>
        <w:tc>
          <w:tcPr>
            <w:tcW w:w="3400" w:type="dxa"/>
            <w:tcBorders>
              <w:top w:val="single" w:sz="4" w:space="0" w:color="999999"/>
              <w:left w:val="single" w:sz="4" w:space="0" w:color="999999"/>
              <w:bottom w:val="single" w:sz="4" w:space="0" w:color="999999"/>
              <w:right w:val="single" w:sz="4" w:space="0" w:color="999999"/>
            </w:tcBorders>
          </w:tcPr>
          <w:p w14:paraId="3DB683F7" w14:textId="77777777" w:rsidR="00EB5CBD" w:rsidRDefault="00EA4CEB" w:rsidP="004148DE">
            <w:pPr>
              <w:bidi/>
              <w:spacing w:after="60" w:line="320" w:lineRule="auto"/>
              <w:jc w:val="center"/>
            </w:pPr>
            <w:r>
              <w:rPr>
                <w:sz w:val="21"/>
                <w:szCs w:val="21"/>
                <w:lang w:val="ar-SA"/>
              </w:rPr>
              <w:t>تنظيف البيانات، الإحصاء الوصفي، فحص القيم المفقودة والشاذة، اختبار تحيز عدم الاستجابة</w:t>
            </w:r>
          </w:p>
        </w:tc>
        <w:tc>
          <w:tcPr>
            <w:tcW w:w="3200" w:type="dxa"/>
            <w:tcBorders>
              <w:top w:val="single" w:sz="4" w:space="0" w:color="999999"/>
              <w:left w:val="single" w:sz="4" w:space="0" w:color="999999"/>
              <w:bottom w:val="single" w:sz="4" w:space="0" w:color="999999"/>
              <w:right w:val="single" w:sz="4" w:space="0" w:color="999999"/>
            </w:tcBorders>
          </w:tcPr>
          <w:p w14:paraId="1DF16C7B" w14:textId="77777777" w:rsidR="00EB5CBD" w:rsidRDefault="00EA4CEB" w:rsidP="004148DE">
            <w:pPr>
              <w:bidi/>
              <w:spacing w:after="60" w:line="320" w:lineRule="auto"/>
              <w:jc w:val="center"/>
            </w:pPr>
            <w:r>
              <w:t xml:space="preserve">قبل التحليل الهيكلي، الفقرة </w:t>
            </w:r>
            <w:r>
              <w:rPr>
                <w:rtl w:val="0"/>
              </w:rPr>
              <w:t>‎3.11‎</w:t>
            </w:r>
          </w:p>
        </w:tc>
      </w:tr>
      <w:tr w:rsidR="00EB5CBD" w14:paraId="2997DE46" w14:textId="77777777">
        <w:tc>
          <w:tcPr>
            <w:tcW w:w="2400" w:type="dxa"/>
            <w:tcBorders>
              <w:top w:val="single" w:sz="4" w:space="0" w:color="999999"/>
              <w:left w:val="single" w:sz="4" w:space="0" w:color="999999"/>
              <w:bottom w:val="single" w:sz="4" w:space="0" w:color="999999"/>
              <w:right w:val="single" w:sz="4" w:space="0" w:color="999999"/>
            </w:tcBorders>
            <w:shd w:val="clear" w:color="auto" w:fill="F2F2F2"/>
          </w:tcPr>
          <w:p w14:paraId="68B23150" w14:textId="77777777" w:rsidR="0099616A" w:rsidRDefault="003D1F04" w:rsidP="004148DE">
            <w:pPr>
              <w:bidi/>
              <w:jc w:val="center"/>
            </w:pPr>
            <w:r>
              <w:rPr>
                <w:color w:val="FF0000"/>
                <w:rtl w:val="0"/>
              </w:rPr>
              <w:t>‎SmartPLS‎</w:t>
            </w:r>
            <w:r>
              <w:rPr>
                <w:color w:val="FF0000"/>
              </w:rPr>
              <w:t xml:space="preserve"> - الإصدار </w:t>
            </w:r>
            <w:r>
              <w:rPr>
                <w:color w:val="FF0000"/>
                <w:rtl w:val="0"/>
              </w:rPr>
              <w:t>‎4.1‎</w:t>
            </w:r>
          </w:p>
        </w:tc>
        <w:tc>
          <w:tcPr>
            <w:tcW w:w="3400" w:type="dxa"/>
            <w:tcBorders>
              <w:top w:val="single" w:sz="4" w:space="0" w:color="999999"/>
              <w:left w:val="single" w:sz="4" w:space="0" w:color="999999"/>
              <w:bottom w:val="single" w:sz="4" w:space="0" w:color="999999"/>
              <w:right w:val="single" w:sz="4" w:space="0" w:color="999999"/>
            </w:tcBorders>
            <w:shd w:val="clear" w:color="auto" w:fill="F2F2F2"/>
          </w:tcPr>
          <w:p w14:paraId="171ABC8E" w14:textId="77777777" w:rsidR="0099616A" w:rsidRDefault="003D1F04" w:rsidP="004148DE">
            <w:pPr>
              <w:bidi/>
              <w:jc w:val="center"/>
            </w:pPr>
            <w:r>
              <w:rPr>
                <w:color w:val="FF0000"/>
              </w:rPr>
              <w:t xml:space="preserve">تقييم نموذج القياس والنموذج البنائي، وتحليل الوساطة، وتحليل المقارنات بين المجموعات، واختبار </w:t>
            </w:r>
            <w:r>
              <w:rPr>
                <w:color w:val="FF0000"/>
                <w:rtl w:val="0"/>
              </w:rPr>
              <w:t>‎MICOM‎</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77C05C0A" w14:textId="77777777" w:rsidR="00EB5CBD" w:rsidRDefault="00EA4CEB" w:rsidP="004148DE">
            <w:pPr>
              <w:bidi/>
              <w:spacing w:after="60" w:line="320" w:lineRule="auto"/>
              <w:jc w:val="center"/>
            </w:pPr>
            <w:r>
              <w:t xml:space="preserve">التحليل الكمي الأساسي، الفقرة </w:t>
            </w:r>
            <w:r>
              <w:rPr>
                <w:rtl w:val="0"/>
              </w:rPr>
              <w:t>‎3.12‎</w:t>
            </w:r>
          </w:p>
        </w:tc>
      </w:tr>
      <w:tr w:rsidR="00EB5CBD" w14:paraId="01DF4D08" w14:textId="77777777">
        <w:tc>
          <w:tcPr>
            <w:tcW w:w="2400" w:type="dxa"/>
            <w:tcBorders>
              <w:top w:val="single" w:sz="4" w:space="0" w:color="999999"/>
              <w:left w:val="single" w:sz="4" w:space="0" w:color="999999"/>
              <w:bottom w:val="single" w:sz="4" w:space="0" w:color="999999"/>
              <w:right w:val="single" w:sz="4" w:space="0" w:color="999999"/>
            </w:tcBorders>
          </w:tcPr>
          <w:p w14:paraId="4236F9F9" w14:textId="77777777" w:rsidR="0099616A" w:rsidRDefault="003D1F04" w:rsidP="004148DE">
            <w:pPr>
              <w:bidi/>
              <w:jc w:val="center"/>
            </w:pPr>
            <w:r>
              <w:rPr>
                <w:color w:val="FF0000"/>
                <w:rtl w:val="0"/>
              </w:rPr>
              <w:t>‎G*Power‎</w:t>
            </w:r>
            <w:r>
              <w:rPr>
                <w:color w:val="FF0000"/>
              </w:rPr>
              <w:t xml:space="preserve"> - الإصدار </w:t>
            </w:r>
            <w:r>
              <w:rPr>
                <w:color w:val="FF0000"/>
                <w:rtl w:val="0"/>
              </w:rPr>
              <w:t>‎3.1‎</w:t>
            </w:r>
          </w:p>
        </w:tc>
        <w:tc>
          <w:tcPr>
            <w:tcW w:w="3400" w:type="dxa"/>
            <w:tcBorders>
              <w:top w:val="single" w:sz="4" w:space="0" w:color="999999"/>
              <w:left w:val="single" w:sz="4" w:space="0" w:color="999999"/>
              <w:bottom w:val="single" w:sz="4" w:space="0" w:color="999999"/>
              <w:right w:val="single" w:sz="4" w:space="0" w:color="999999"/>
            </w:tcBorders>
          </w:tcPr>
          <w:p w14:paraId="5220976E" w14:textId="77777777" w:rsidR="00EB5CBD" w:rsidRDefault="00EA4CEB" w:rsidP="004148DE">
            <w:pPr>
              <w:bidi/>
              <w:spacing w:after="60" w:line="320" w:lineRule="auto"/>
              <w:jc w:val="center"/>
            </w:pPr>
            <w:r>
              <w:rPr>
                <w:sz w:val="21"/>
                <w:szCs w:val="21"/>
                <w:lang w:val="ar-SA"/>
              </w:rPr>
              <w:t>تحليل القوة الإحصائية المسبق والبعدي</w:t>
            </w:r>
          </w:p>
        </w:tc>
        <w:tc>
          <w:tcPr>
            <w:tcW w:w="3200" w:type="dxa"/>
            <w:tcBorders>
              <w:top w:val="single" w:sz="4" w:space="0" w:color="999999"/>
              <w:left w:val="single" w:sz="4" w:space="0" w:color="999999"/>
              <w:bottom w:val="single" w:sz="4" w:space="0" w:color="999999"/>
              <w:right w:val="single" w:sz="4" w:space="0" w:color="999999"/>
            </w:tcBorders>
          </w:tcPr>
          <w:p w14:paraId="475E25DC" w14:textId="77777777" w:rsidR="00EB5CBD" w:rsidRDefault="00EA4CEB" w:rsidP="004148DE">
            <w:pPr>
              <w:bidi/>
              <w:spacing w:after="60" w:line="320" w:lineRule="auto"/>
              <w:jc w:val="center"/>
            </w:pPr>
            <w:r>
              <w:t xml:space="preserve">قبل جمع البيانات وبعده، الفقرة </w:t>
            </w:r>
            <w:r>
              <w:rPr>
                <w:rtl w:val="0"/>
              </w:rPr>
              <w:t>‎3.7.2‎</w:t>
            </w:r>
          </w:p>
        </w:tc>
      </w:tr>
      <w:tr w:rsidR="00EB5CBD" w14:paraId="0CDEDE9F" w14:textId="77777777">
        <w:tc>
          <w:tcPr>
            <w:tcW w:w="2400" w:type="dxa"/>
            <w:tcBorders>
              <w:top w:val="single" w:sz="4" w:space="0" w:color="999999"/>
              <w:left w:val="single" w:sz="4" w:space="0" w:color="999999"/>
              <w:bottom w:val="single" w:sz="4" w:space="0" w:color="999999"/>
              <w:right w:val="single" w:sz="4" w:space="0" w:color="999999"/>
            </w:tcBorders>
            <w:shd w:val="clear" w:color="auto" w:fill="F2F2F2"/>
          </w:tcPr>
          <w:p w14:paraId="6E9AD2CB" w14:textId="77777777" w:rsidR="0099616A" w:rsidRDefault="003D1F04" w:rsidP="004148DE">
            <w:pPr>
              <w:bidi/>
              <w:jc w:val="center"/>
            </w:pPr>
            <w:r>
              <w:rPr>
                <w:rtl w:val="0"/>
              </w:rPr>
              <w:t>‎NVivo‎</w:t>
            </w:r>
            <w:r>
              <w:t xml:space="preserve"> - الإصدار 14</w:t>
            </w:r>
          </w:p>
        </w:tc>
        <w:tc>
          <w:tcPr>
            <w:tcW w:w="3400" w:type="dxa"/>
            <w:tcBorders>
              <w:top w:val="single" w:sz="4" w:space="0" w:color="999999"/>
              <w:left w:val="single" w:sz="4" w:space="0" w:color="999999"/>
              <w:bottom w:val="single" w:sz="4" w:space="0" w:color="999999"/>
              <w:right w:val="single" w:sz="4" w:space="0" w:color="999999"/>
            </w:tcBorders>
            <w:shd w:val="clear" w:color="auto" w:fill="F2F2F2"/>
          </w:tcPr>
          <w:p w14:paraId="44959A01" w14:textId="77777777" w:rsidR="00EB5CBD" w:rsidRDefault="00EA4CEB" w:rsidP="004148DE">
            <w:pPr>
              <w:bidi/>
              <w:spacing w:after="60" w:line="320" w:lineRule="auto"/>
              <w:jc w:val="center"/>
            </w:pPr>
            <w:r>
              <w:rPr>
                <w:sz w:val="21"/>
                <w:szCs w:val="21"/>
                <w:lang w:val="ar-SA"/>
              </w:rPr>
              <w:t>تنظيم النصوص المفرغة وترميزها وإدارة الموضوعات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3A41E444" w14:textId="77777777" w:rsidR="00EB5CBD" w:rsidRDefault="00EA4CEB" w:rsidP="004148DE">
            <w:pPr>
              <w:bidi/>
              <w:spacing w:after="60" w:line="320" w:lineRule="auto"/>
              <w:jc w:val="center"/>
            </w:pPr>
            <w:r>
              <w:t xml:space="preserve">التحليل النوعي، الفقرة </w:t>
            </w:r>
            <w:r>
              <w:rPr>
                <w:rtl w:val="0"/>
              </w:rPr>
              <w:t>‎3.13.3‎</w:t>
            </w:r>
          </w:p>
        </w:tc>
      </w:tr>
      <w:tr w:rsidR="00EB5CBD" w14:paraId="7352C28B" w14:textId="77777777">
        <w:tc>
          <w:tcPr>
            <w:tcW w:w="2400" w:type="dxa"/>
            <w:tcBorders>
              <w:top w:val="single" w:sz="4" w:space="0" w:color="999999"/>
              <w:left w:val="single" w:sz="4" w:space="0" w:color="999999"/>
              <w:bottom w:val="single" w:sz="4" w:space="0" w:color="999999"/>
              <w:right w:val="single" w:sz="4" w:space="0" w:color="999999"/>
            </w:tcBorders>
          </w:tcPr>
          <w:p w14:paraId="5D0F2C0A" w14:textId="77777777" w:rsidR="0099616A" w:rsidRDefault="003D1F04" w:rsidP="004148DE">
            <w:pPr>
              <w:bidi/>
              <w:jc w:val="center"/>
            </w:pPr>
            <w:r>
              <w:t>أداة تشفير وحفظ ملفات - تُحدَّد عند التنفيذ وفق سياسة الجامعة</w:t>
            </w:r>
          </w:p>
        </w:tc>
        <w:tc>
          <w:tcPr>
            <w:tcW w:w="3400" w:type="dxa"/>
            <w:tcBorders>
              <w:top w:val="single" w:sz="4" w:space="0" w:color="999999"/>
              <w:left w:val="single" w:sz="4" w:space="0" w:color="999999"/>
              <w:bottom w:val="single" w:sz="4" w:space="0" w:color="999999"/>
              <w:right w:val="single" w:sz="4" w:space="0" w:color="999999"/>
            </w:tcBorders>
          </w:tcPr>
          <w:p w14:paraId="2A1950E7" w14:textId="77777777" w:rsidR="00EB5CBD" w:rsidRDefault="00EA4CEB" w:rsidP="004148DE">
            <w:pPr>
              <w:bidi/>
              <w:spacing w:after="60" w:line="320" w:lineRule="auto"/>
              <w:jc w:val="center"/>
            </w:pPr>
            <w:r>
              <w:rPr>
                <w:sz w:val="21"/>
                <w:szCs w:val="21"/>
                <w:lang w:val="ar-SA"/>
              </w:rPr>
              <w:t>حفظ التسجيلات الصوتية والنصوص المفرغة وملفات البيانات الشخصية بصورة مشفّرة</w:t>
            </w:r>
          </w:p>
        </w:tc>
        <w:tc>
          <w:tcPr>
            <w:tcW w:w="3200" w:type="dxa"/>
            <w:tcBorders>
              <w:top w:val="single" w:sz="4" w:space="0" w:color="999999"/>
              <w:left w:val="single" w:sz="4" w:space="0" w:color="999999"/>
              <w:bottom w:val="single" w:sz="4" w:space="0" w:color="999999"/>
              <w:right w:val="single" w:sz="4" w:space="0" w:color="999999"/>
            </w:tcBorders>
          </w:tcPr>
          <w:p w14:paraId="28417C85" w14:textId="77777777" w:rsidR="00EB5CBD" w:rsidRDefault="00EA4CEB" w:rsidP="004148DE">
            <w:pPr>
              <w:bidi/>
              <w:spacing w:after="60" w:line="320" w:lineRule="auto"/>
              <w:jc w:val="center"/>
            </w:pPr>
            <w:r>
              <w:t xml:space="preserve">طوال فترة الاحتفاظ بالبيانات، الفقرة </w:t>
            </w:r>
            <w:r>
              <w:rPr>
                <w:rtl w:val="0"/>
              </w:rPr>
              <w:t>‎3.17‎</w:t>
            </w:r>
          </w:p>
        </w:tc>
      </w:tr>
    </w:tbl>
    <w:p w14:paraId="48FE5298" w14:textId="77777777" w:rsidR="00EB5CBD" w:rsidRDefault="00EA4CEB" w:rsidP="007E709B">
      <w:pPr>
        <w:bidi/>
        <w:spacing w:after="160" w:line="320" w:lineRule="auto"/>
      </w:pPr>
      <w:r>
        <w:rPr>
          <w:b/>
          <w:rtl w:val="0"/>
        </w:rPr>
        <w:t>‎3.17‎</w:t>
      </w:r>
      <w:r>
        <w:rPr>
          <w:b/>
        </w:rPr>
        <w:t xml:space="preserve"> الاعتبارات الأخلاقية</w:t>
      </w:r>
    </w:p>
    <w:p w14:paraId="5FB3740C" w14:textId="77777777" w:rsidR="00EB5CBD" w:rsidRDefault="00EA4CEB">
      <w:pPr>
        <w:bidi/>
        <w:spacing w:after="160" w:line="320" w:lineRule="auto"/>
        <w:jc w:val="both"/>
      </w:pPr>
      <w:r>
        <w:rPr>
          <w:lang w:val="ar-SA"/>
        </w:rPr>
        <w:t>ستلتزم الدراسة بجميع المعايير الأخلاقية للبحث العلمي المعتمدة لدى الجامعة، وتشمل الإجراءات التالية:</w:t>
      </w:r>
    </w:p>
    <w:p w14:paraId="0277E09B" w14:textId="77777777" w:rsidR="00EB5CBD" w:rsidRDefault="00EA4CEB">
      <w:pPr>
        <w:pStyle w:val="a4"/>
        <w:numPr>
          <w:ilvl w:val="0"/>
          <w:numId w:val="2"/>
        </w:numPr>
        <w:bidi/>
        <w:spacing w:after="100" w:line="300" w:lineRule="auto"/>
        <w:jc w:val="both"/>
      </w:pPr>
      <w:r>
        <w:rPr>
          <w:lang w:val="ar-SA"/>
        </w:rPr>
        <w:t>الحصول على موافقة لجنة أخلاقيات البحث العلمي بالجامعة قبل بدء أي جمع للبيانات، وسيُدرج اسم اللجنة، والجهة المصدرة للموافقة، ورقم الموافقة وتاريخها، فور صدورها.</w:t>
      </w:r>
    </w:p>
    <w:p w14:paraId="4BF05188" w14:textId="77777777" w:rsidR="00EB5CBD" w:rsidRDefault="00EA4CEB">
      <w:pPr>
        <w:pStyle w:val="a4"/>
        <w:numPr>
          <w:ilvl w:val="0"/>
          <w:numId w:val="2"/>
        </w:numPr>
        <w:bidi/>
        <w:spacing w:after="100" w:line="300" w:lineRule="auto"/>
        <w:jc w:val="both"/>
      </w:pPr>
      <w:r>
        <w:t>الحصول على موافقات الجهات المشاركة، مثل غرف التجارة أو مراكز دعم المنشآت، إذا استُخدمت قوائمها للتواصل مع المشاركين.</w:t>
      </w:r>
    </w:p>
    <w:p w14:paraId="5D74A33A" w14:textId="77777777" w:rsidR="00EB5CBD" w:rsidRDefault="00EA4CEB">
      <w:pPr>
        <w:pStyle w:val="a4"/>
        <w:numPr>
          <w:ilvl w:val="0"/>
          <w:numId w:val="2"/>
        </w:numPr>
        <w:bidi/>
        <w:spacing w:after="100" w:line="300" w:lineRule="auto"/>
        <w:jc w:val="both"/>
      </w:pPr>
      <w:r>
        <w:rPr>
          <w:lang w:val="ar-SA"/>
        </w:rPr>
        <w:t>إعداد نموذج موافقة مستنيرة منفصل للاستبيان، يوضح للمشارك طبيعة الدراسة وأهدافها والجهة المشرفة عليها ومدة تعبئة الاستبيان وطبيعة البيانات المطلوبة، قبل عرض الفقرات.</w:t>
      </w:r>
    </w:p>
    <w:p w14:paraId="5EA6CA3A" w14:textId="77777777" w:rsidR="00EB5CBD" w:rsidRDefault="00EA4CEB">
      <w:pPr>
        <w:pStyle w:val="a4"/>
        <w:numPr>
          <w:ilvl w:val="0"/>
          <w:numId w:val="2"/>
        </w:numPr>
        <w:bidi/>
        <w:spacing w:after="100" w:line="300" w:lineRule="auto"/>
        <w:jc w:val="both"/>
      </w:pPr>
      <w:r>
        <w:rPr>
          <w:lang w:val="ar-SA"/>
        </w:rPr>
        <w:t>إعداد نموذج موافقة مستنيرة منفصل ومحدد للمقابلة والتسجيل الصوتي، متمايز عن موافقة الاستبيان، يوضح تحديدًا أن المقابلة ستُسجَّل وأن للمشارك الحق في رفض التسجيل مع استمرار المقابلة كتابيًا فقط إن رغب.</w:t>
      </w:r>
    </w:p>
    <w:p w14:paraId="3FA8EAF6" w14:textId="77777777" w:rsidR="00EB5CBD" w:rsidRDefault="00EA4CEB">
      <w:pPr>
        <w:pStyle w:val="a4"/>
        <w:numPr>
          <w:ilvl w:val="0"/>
          <w:numId w:val="2"/>
        </w:numPr>
        <w:bidi/>
        <w:spacing w:after="100" w:line="300" w:lineRule="auto"/>
        <w:jc w:val="both"/>
      </w:pPr>
      <w:r>
        <w:rPr>
          <w:lang w:val="ar-SA"/>
        </w:rPr>
        <w:lastRenderedPageBreak/>
        <w:t>توضيح أن المشاركة طوعية بالكامل في كلا الأداتين، وأنه لا توجد أي تبعات سلبية على المشارك أو منشأته عند الاعتذار عن المشاركة أو الانسحاب في أي مرحلة دون إبداء أسباب.</w:t>
      </w:r>
    </w:p>
    <w:p w14:paraId="4E4ABBAE" w14:textId="77777777" w:rsidR="00EB5CBD" w:rsidRDefault="00EA4CEB">
      <w:pPr>
        <w:pStyle w:val="a4"/>
        <w:numPr>
          <w:ilvl w:val="0"/>
          <w:numId w:val="2"/>
        </w:numPr>
        <w:bidi/>
        <w:spacing w:after="100" w:line="300" w:lineRule="auto"/>
        <w:jc w:val="both"/>
      </w:pPr>
      <w:r>
        <w:t>السرية والتجهيل: تشفير أو حذف أي بيانات تعريفية، مثل اسم المنشأة أو اسم المشارك، من ملفات التحليل، واستبدالها برموز ترميزية مجردة؛ بحيث لا يمكن ربط أي نتيجة منشورة بمنشأة أو فرد بعينه.</w:t>
      </w:r>
    </w:p>
    <w:p w14:paraId="240ED3A9" w14:textId="77777777" w:rsidR="00EB5CBD" w:rsidRDefault="00EA4CEB">
      <w:pPr>
        <w:pStyle w:val="a4"/>
        <w:numPr>
          <w:ilvl w:val="0"/>
          <w:numId w:val="2"/>
        </w:numPr>
        <w:bidi/>
        <w:spacing w:after="100" w:line="300" w:lineRule="auto"/>
        <w:jc w:val="both"/>
      </w:pPr>
      <w:r>
        <w:t>الفصل الفعلي بين بيانات الاتصال المستخدمة لتنسيق المقابلات أو رصد التكرار وبين بيانات البحث نفسها، أي إجابات الاستبيان ونصوص المقابلات؛ بحيث تُحفظ في ملفات منفصلة ولا تُدمج إلا عبر رمز ترميزي وسيط لا يحمل دلالة تعريفية مباشرة.</w:t>
      </w:r>
    </w:p>
    <w:p w14:paraId="67DABEE0" w14:textId="77777777" w:rsidR="00EB5CBD" w:rsidRDefault="00EA4CEB">
      <w:pPr>
        <w:pStyle w:val="a4"/>
        <w:numPr>
          <w:ilvl w:val="0"/>
          <w:numId w:val="2"/>
        </w:numPr>
        <w:bidi/>
        <w:spacing w:after="100" w:line="300" w:lineRule="auto"/>
        <w:jc w:val="both"/>
      </w:pPr>
      <w:r>
        <w:t>تحديد طريقة حفظ البيانات من خلال تشفير الملفات وتقييد الوصول للباحثة والمشرف فقط، وتحديد مدة الاحتفاظ بها بخمس سنوات من تاريخ إجازة الأطروحة كحد أدنى وفق سياسة الجامعة، ثم إتلافها بعد انتهاء هذه المدة بالحذف الآمن للملفات الرقمية.</w:t>
      </w:r>
    </w:p>
    <w:p w14:paraId="4DD99853" w14:textId="77777777" w:rsidR="00EB5CBD" w:rsidRDefault="00EA4CEB">
      <w:pPr>
        <w:pStyle w:val="a4"/>
        <w:numPr>
          <w:ilvl w:val="0"/>
          <w:numId w:val="2"/>
        </w:numPr>
        <w:bidi/>
        <w:spacing w:after="100" w:line="300" w:lineRule="auto"/>
        <w:jc w:val="both"/>
      </w:pPr>
      <w:r>
        <w:rPr>
          <w:lang w:val="ar-SA"/>
        </w:rPr>
        <w:t>حماية التسجيلات الصوتية والنصوص المفرغة تحديدًا بالإجراءات نفسها المطبقة على بيانات الاستبيان، مع تقييد إضافي للوصول إليها نظرًا لحساسية المحتوى الصوتي.</w:t>
      </w:r>
    </w:p>
    <w:p w14:paraId="2FB59925" w14:textId="77777777" w:rsidR="00EB5CBD" w:rsidRDefault="00EA4CEB" w:rsidP="007E709B">
      <w:pPr>
        <w:bidi/>
        <w:spacing w:after="160" w:line="320" w:lineRule="auto"/>
      </w:pPr>
      <w:r>
        <w:rPr>
          <w:b/>
          <w:rtl w:val="0"/>
        </w:rPr>
        <w:t>‎3.18‎</w:t>
      </w:r>
      <w:r>
        <w:rPr>
          <w:b/>
        </w:rPr>
        <w:t xml:space="preserve"> الجدول الزمني المقترح لتنفيذ الدراسة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200"/>
        <w:gridCol w:w="2200"/>
      </w:tblGrid>
      <w:tr w:rsidR="00EB5CBD" w14:paraId="29B49616" w14:textId="77777777">
        <w:trPr>
          <w:tblHeader/>
        </w:trPr>
        <w:tc>
          <w:tcPr>
            <w:tcW w:w="3600" w:type="dxa"/>
            <w:tcBorders>
              <w:top w:val="single" w:sz="4" w:space="0" w:color="999999"/>
              <w:left w:val="single" w:sz="4" w:space="0" w:color="999999"/>
              <w:bottom w:val="single" w:sz="4" w:space="0" w:color="999999"/>
              <w:right w:val="single" w:sz="4" w:space="0" w:color="999999"/>
            </w:tcBorders>
            <w:shd w:val="clear" w:color="auto" w:fill="2F5496"/>
          </w:tcPr>
          <w:p w14:paraId="64C0F6FB" w14:textId="77777777" w:rsidR="00EB5CBD" w:rsidRDefault="00EA4CEB" w:rsidP="008505AD">
            <w:pPr>
              <w:bidi/>
              <w:spacing w:after="60" w:line="320" w:lineRule="auto"/>
              <w:jc w:val="center"/>
            </w:pPr>
            <w:r>
              <w:rPr>
                <w:b/>
                <w:bCs/>
                <w:color w:val="FFFFFF"/>
                <w:sz w:val="21"/>
                <w:szCs w:val="21"/>
                <w:lang w:val="ar-SA"/>
              </w:rPr>
              <w:t>المرحلة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59CFF384" w14:textId="77777777" w:rsidR="00EB5CBD" w:rsidRDefault="00EA4CEB">
            <w:pPr>
              <w:bidi/>
              <w:spacing w:after="60" w:line="320" w:lineRule="auto"/>
              <w:jc w:val="center"/>
            </w:pPr>
            <w:r>
              <w:rPr>
                <w:b/>
                <w:bCs/>
                <w:color w:val="FFFFFF"/>
                <w:sz w:val="21"/>
                <w:szCs w:val="21"/>
                <w:lang w:val="ar-SA"/>
              </w:rPr>
              <w:t>الأنشطة الرئيسية</w:t>
            </w:r>
          </w:p>
        </w:tc>
        <w:tc>
          <w:tcPr>
            <w:tcW w:w="2200" w:type="dxa"/>
            <w:tcBorders>
              <w:top w:val="single" w:sz="4" w:space="0" w:color="999999"/>
              <w:left w:val="single" w:sz="4" w:space="0" w:color="999999"/>
              <w:bottom w:val="single" w:sz="4" w:space="0" w:color="999999"/>
              <w:right w:val="single" w:sz="4" w:space="0" w:color="999999"/>
            </w:tcBorders>
            <w:shd w:val="clear" w:color="auto" w:fill="2F5496"/>
          </w:tcPr>
          <w:p w14:paraId="19BE0438" w14:textId="77777777" w:rsidR="00EB5CBD" w:rsidRDefault="00EA4CEB" w:rsidP="008505AD">
            <w:pPr>
              <w:bidi/>
              <w:spacing w:after="60" w:line="320" w:lineRule="auto"/>
              <w:jc w:val="center"/>
            </w:pPr>
            <w:r>
              <w:rPr>
                <w:b/>
                <w:bCs/>
                <w:color w:val="FFFFFF"/>
                <w:sz w:val="21"/>
                <w:szCs w:val="21"/>
                <w:lang w:val="ar-SA"/>
              </w:rPr>
              <w:t>المدة التقديرية</w:t>
            </w:r>
          </w:p>
        </w:tc>
      </w:tr>
      <w:tr w:rsidR="00EB5CBD" w14:paraId="704F34B1" w14:textId="77777777">
        <w:tc>
          <w:tcPr>
            <w:tcW w:w="3600" w:type="dxa"/>
            <w:tcBorders>
              <w:top w:val="single" w:sz="4" w:space="0" w:color="999999"/>
              <w:left w:val="single" w:sz="4" w:space="0" w:color="999999"/>
              <w:bottom w:val="single" w:sz="4" w:space="0" w:color="999999"/>
              <w:right w:val="single" w:sz="4" w:space="0" w:color="999999"/>
            </w:tcBorders>
          </w:tcPr>
          <w:p w14:paraId="0FEE973F" w14:textId="77777777" w:rsidR="00EB5CBD" w:rsidRDefault="00EA4CEB" w:rsidP="004148DE">
            <w:pPr>
              <w:bidi/>
              <w:spacing w:after="60" w:line="320" w:lineRule="auto"/>
              <w:jc w:val="center"/>
            </w:pPr>
            <w:r>
              <w:rPr>
                <w:sz w:val="21"/>
                <w:szCs w:val="21"/>
                <w:lang w:val="ar-SA"/>
              </w:rPr>
              <w:t>الإعداد المنهجي</w:t>
            </w:r>
          </w:p>
        </w:tc>
        <w:tc>
          <w:tcPr>
            <w:tcW w:w="3200" w:type="dxa"/>
            <w:tcBorders>
              <w:top w:val="single" w:sz="4" w:space="0" w:color="999999"/>
              <w:left w:val="single" w:sz="4" w:space="0" w:color="999999"/>
              <w:bottom w:val="single" w:sz="4" w:space="0" w:color="999999"/>
              <w:right w:val="single" w:sz="4" w:space="0" w:color="999999"/>
            </w:tcBorders>
          </w:tcPr>
          <w:p w14:paraId="4F2D09C7" w14:textId="77777777" w:rsidR="00EB5CBD" w:rsidRDefault="00EA4CEB" w:rsidP="004148DE">
            <w:pPr>
              <w:bidi/>
              <w:spacing w:after="60" w:line="320" w:lineRule="auto"/>
              <w:jc w:val="center"/>
            </w:pPr>
            <w:r>
              <w:rPr>
                <w:sz w:val="21"/>
                <w:szCs w:val="21"/>
                <w:lang w:val="ar-SA"/>
              </w:rPr>
              <w:t>تطوير الاستبيان، جدول مصادر الفقرات، الترجمة والترجمة العكسية</w:t>
            </w:r>
          </w:p>
        </w:tc>
        <w:tc>
          <w:tcPr>
            <w:tcW w:w="2200" w:type="dxa"/>
            <w:tcBorders>
              <w:top w:val="single" w:sz="4" w:space="0" w:color="999999"/>
              <w:left w:val="single" w:sz="4" w:space="0" w:color="999999"/>
              <w:bottom w:val="single" w:sz="4" w:space="0" w:color="999999"/>
              <w:right w:val="single" w:sz="4" w:space="0" w:color="999999"/>
            </w:tcBorders>
          </w:tcPr>
          <w:p w14:paraId="0DDCF27C" w14:textId="77777777" w:rsidR="00EB5CBD" w:rsidRDefault="00EA4CEB" w:rsidP="004148DE">
            <w:pPr>
              <w:bidi/>
              <w:spacing w:after="60" w:line="320" w:lineRule="auto"/>
              <w:jc w:val="center"/>
            </w:pPr>
            <w:r>
              <w:rPr>
                <w:sz w:val="21"/>
                <w:szCs w:val="21"/>
                <w:lang w:val="ar-SA"/>
              </w:rPr>
              <w:t>4 أسابيع</w:t>
            </w:r>
          </w:p>
        </w:tc>
      </w:tr>
      <w:tr w:rsidR="00EB5CBD" w14:paraId="008F47B1"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29A56C9A" w14:textId="77777777" w:rsidR="00EB5CBD" w:rsidRDefault="00EA4CEB" w:rsidP="004148DE">
            <w:pPr>
              <w:bidi/>
              <w:spacing w:after="60" w:line="320" w:lineRule="auto"/>
              <w:jc w:val="center"/>
            </w:pPr>
            <w:r>
              <w:rPr>
                <w:sz w:val="21"/>
                <w:szCs w:val="21"/>
                <w:lang w:val="ar-SA"/>
              </w:rPr>
              <w:t>التحكيم والموافقات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4A4424FD" w14:textId="77777777" w:rsidR="00EB5CBD" w:rsidRDefault="00EA4CEB" w:rsidP="004148DE">
            <w:pPr>
              <w:bidi/>
              <w:spacing w:after="60" w:line="320" w:lineRule="auto"/>
              <w:jc w:val="center"/>
            </w:pPr>
            <w:r>
              <w:rPr>
                <w:sz w:val="21"/>
                <w:szCs w:val="21"/>
                <w:lang w:val="ar-SA"/>
              </w:rPr>
              <w:t>عرض الأداة على المحكمين، الحصول على موافقة لجنة الأخلاقيات، تعديل الفقرات وفق ملاحظات المحكمين</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334BDDF8" w14:textId="77777777" w:rsidR="00EB5CBD" w:rsidRDefault="00EA4CEB" w:rsidP="004148DE">
            <w:pPr>
              <w:bidi/>
              <w:spacing w:after="60" w:line="320" w:lineRule="auto"/>
              <w:jc w:val="center"/>
            </w:pPr>
            <w:r>
              <w:rPr>
                <w:sz w:val="21"/>
                <w:szCs w:val="21"/>
                <w:lang w:val="ar-SA"/>
              </w:rPr>
              <w:t>4 أسابيع</w:t>
            </w:r>
          </w:p>
        </w:tc>
      </w:tr>
      <w:tr w:rsidR="00EB5CBD" w14:paraId="6C649F2C" w14:textId="77777777">
        <w:tc>
          <w:tcPr>
            <w:tcW w:w="3600" w:type="dxa"/>
            <w:tcBorders>
              <w:top w:val="single" w:sz="4" w:space="0" w:color="999999"/>
              <w:left w:val="single" w:sz="4" w:space="0" w:color="999999"/>
              <w:bottom w:val="single" w:sz="4" w:space="0" w:color="999999"/>
              <w:right w:val="single" w:sz="4" w:space="0" w:color="999999"/>
            </w:tcBorders>
          </w:tcPr>
          <w:p w14:paraId="13BE078D" w14:textId="77777777" w:rsidR="00EB5CBD" w:rsidRDefault="00EA4CEB" w:rsidP="004148DE">
            <w:pPr>
              <w:bidi/>
              <w:spacing w:after="60" w:line="320" w:lineRule="auto"/>
              <w:jc w:val="center"/>
            </w:pPr>
            <w:r>
              <w:rPr>
                <w:sz w:val="21"/>
                <w:szCs w:val="21"/>
                <w:lang w:val="ar-SA"/>
              </w:rPr>
              <w:t>الدراسة الاستطلاعية</w:t>
            </w:r>
          </w:p>
        </w:tc>
        <w:tc>
          <w:tcPr>
            <w:tcW w:w="3200" w:type="dxa"/>
            <w:tcBorders>
              <w:top w:val="single" w:sz="4" w:space="0" w:color="999999"/>
              <w:left w:val="single" w:sz="4" w:space="0" w:color="999999"/>
              <w:bottom w:val="single" w:sz="4" w:space="0" w:color="999999"/>
              <w:right w:val="single" w:sz="4" w:space="0" w:color="999999"/>
            </w:tcBorders>
          </w:tcPr>
          <w:p w14:paraId="7C34732D" w14:textId="77777777" w:rsidR="0099616A" w:rsidRDefault="003D1F04" w:rsidP="004148DE">
            <w:pPr>
              <w:bidi/>
              <w:jc w:val="center"/>
            </w:pPr>
            <w:r>
              <w:t>تطبيق العينة الاستطلاعية على 30 منشأة، حساب الثبات الأولي، تعديل الأداة نهائيًا</w:t>
            </w:r>
          </w:p>
        </w:tc>
        <w:tc>
          <w:tcPr>
            <w:tcW w:w="2200" w:type="dxa"/>
            <w:tcBorders>
              <w:top w:val="single" w:sz="4" w:space="0" w:color="999999"/>
              <w:left w:val="single" w:sz="4" w:space="0" w:color="999999"/>
              <w:bottom w:val="single" w:sz="4" w:space="0" w:color="999999"/>
              <w:right w:val="single" w:sz="4" w:space="0" w:color="999999"/>
            </w:tcBorders>
          </w:tcPr>
          <w:p w14:paraId="03339194" w14:textId="77777777" w:rsidR="00EB5CBD" w:rsidRDefault="00EA4CEB" w:rsidP="004148DE">
            <w:pPr>
              <w:bidi/>
              <w:spacing w:after="60" w:line="320" w:lineRule="auto"/>
              <w:jc w:val="center"/>
            </w:pPr>
            <w:r>
              <w:rPr>
                <w:sz w:val="21"/>
                <w:szCs w:val="21"/>
                <w:lang w:val="ar-SA"/>
              </w:rPr>
              <w:t>2 أسبوع</w:t>
            </w:r>
          </w:p>
        </w:tc>
      </w:tr>
      <w:tr w:rsidR="00EB5CBD" w14:paraId="511FC8E7"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6B3B54F8" w14:textId="77777777" w:rsidR="00EB5CBD" w:rsidRDefault="00EA4CEB" w:rsidP="004148DE">
            <w:pPr>
              <w:bidi/>
              <w:spacing w:after="60" w:line="320" w:lineRule="auto"/>
              <w:jc w:val="center"/>
            </w:pPr>
            <w:r>
              <w:rPr>
                <w:sz w:val="21"/>
                <w:szCs w:val="21"/>
                <w:lang w:val="ar-SA"/>
              </w:rPr>
              <w:t>جمع البيانات الكمية</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5E3793EB" w14:textId="77777777" w:rsidR="0099616A" w:rsidRDefault="003D1F04" w:rsidP="004148DE">
            <w:pPr>
              <w:bidi/>
              <w:jc w:val="center"/>
            </w:pPr>
            <w:r>
              <w:t xml:space="preserve">توزيع الاستبيان الإلكتروني على العينة المستهدفة، وعددها 300 منشأة، عبر الطبقات الموضحة في الفقرة </w:t>
            </w:r>
            <w:r>
              <w:rPr>
                <w:rtl w:val="0"/>
              </w:rPr>
              <w:t>‎3.7.3‎</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153298E2" w14:textId="77777777" w:rsidR="00EB5CBD" w:rsidRDefault="00EA4CEB" w:rsidP="004148DE">
            <w:pPr>
              <w:bidi/>
              <w:spacing w:after="60" w:line="320" w:lineRule="auto"/>
              <w:jc w:val="center"/>
            </w:pPr>
            <w:r>
              <w:rPr>
                <w:sz w:val="21"/>
                <w:szCs w:val="21"/>
                <w:lang w:val="ar-SA"/>
              </w:rPr>
              <w:t>6 أسابيع</w:t>
            </w:r>
          </w:p>
        </w:tc>
      </w:tr>
      <w:tr w:rsidR="00EB5CBD" w14:paraId="463ADA34" w14:textId="77777777">
        <w:tc>
          <w:tcPr>
            <w:tcW w:w="3600" w:type="dxa"/>
            <w:tcBorders>
              <w:top w:val="single" w:sz="4" w:space="0" w:color="999999"/>
              <w:left w:val="single" w:sz="4" w:space="0" w:color="999999"/>
              <w:bottom w:val="single" w:sz="4" w:space="0" w:color="999999"/>
              <w:right w:val="single" w:sz="4" w:space="0" w:color="999999"/>
            </w:tcBorders>
          </w:tcPr>
          <w:p w14:paraId="4B6B259A" w14:textId="77777777" w:rsidR="00EB5CBD" w:rsidRDefault="00EA4CEB" w:rsidP="004148DE">
            <w:pPr>
              <w:bidi/>
              <w:spacing w:after="60" w:line="320" w:lineRule="auto"/>
              <w:jc w:val="center"/>
            </w:pPr>
            <w:r>
              <w:rPr>
                <w:sz w:val="21"/>
                <w:szCs w:val="21"/>
                <w:lang w:val="ar-SA"/>
              </w:rPr>
              <w:t>تنظيف البيانات وتحليلها الأولي</w:t>
            </w:r>
          </w:p>
        </w:tc>
        <w:tc>
          <w:tcPr>
            <w:tcW w:w="3200" w:type="dxa"/>
            <w:tcBorders>
              <w:top w:val="single" w:sz="4" w:space="0" w:color="999999"/>
              <w:left w:val="single" w:sz="4" w:space="0" w:color="999999"/>
              <w:bottom w:val="single" w:sz="4" w:space="0" w:color="999999"/>
              <w:right w:val="single" w:sz="4" w:space="0" w:color="999999"/>
            </w:tcBorders>
          </w:tcPr>
          <w:p w14:paraId="688E5D0F" w14:textId="77777777" w:rsidR="00EB5CBD" w:rsidRDefault="00EA4CEB" w:rsidP="004148DE">
            <w:pPr>
              <w:bidi/>
              <w:spacing w:after="60" w:line="320" w:lineRule="auto"/>
              <w:jc w:val="center"/>
            </w:pPr>
            <w:r>
              <w:t xml:space="preserve">تطبيق إجراءات الفقرة </w:t>
            </w:r>
            <w:r>
              <w:rPr>
                <w:rtl w:val="0"/>
              </w:rPr>
              <w:t>‎3.11‎</w:t>
            </w:r>
            <w:r>
              <w:t xml:space="preserve">، ثم تقييم نموذجي القياس والنموذج البنائي في </w:t>
            </w:r>
            <w:r>
              <w:rPr>
                <w:rtl w:val="0"/>
              </w:rPr>
              <w:t>‎SmartPLS‎</w:t>
            </w:r>
          </w:p>
        </w:tc>
        <w:tc>
          <w:tcPr>
            <w:tcW w:w="2200" w:type="dxa"/>
            <w:tcBorders>
              <w:top w:val="single" w:sz="4" w:space="0" w:color="999999"/>
              <w:left w:val="single" w:sz="4" w:space="0" w:color="999999"/>
              <w:bottom w:val="single" w:sz="4" w:space="0" w:color="999999"/>
              <w:right w:val="single" w:sz="4" w:space="0" w:color="999999"/>
            </w:tcBorders>
          </w:tcPr>
          <w:p w14:paraId="3894F9AB" w14:textId="77777777" w:rsidR="00EB5CBD" w:rsidRDefault="00EA4CEB" w:rsidP="004148DE">
            <w:pPr>
              <w:bidi/>
              <w:spacing w:after="60" w:line="320" w:lineRule="auto"/>
              <w:jc w:val="center"/>
            </w:pPr>
            <w:r>
              <w:rPr>
                <w:sz w:val="21"/>
                <w:szCs w:val="21"/>
                <w:lang w:val="ar-SA"/>
              </w:rPr>
              <w:t>5 أسابيع</w:t>
            </w:r>
          </w:p>
        </w:tc>
      </w:tr>
      <w:tr w:rsidR="00EB5CBD" w14:paraId="6A4D5652"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5AD1E8DC" w14:textId="77777777" w:rsidR="00EB5CBD" w:rsidRDefault="00EA4CEB" w:rsidP="004148DE">
            <w:pPr>
              <w:bidi/>
              <w:spacing w:after="60" w:line="320" w:lineRule="auto"/>
              <w:jc w:val="center"/>
            </w:pPr>
            <w:r>
              <w:rPr>
                <w:sz w:val="21"/>
                <w:szCs w:val="21"/>
                <w:lang w:val="ar-SA"/>
              </w:rPr>
              <w:t>اختيار المشاركين في المقابلات وإعداد الدليل</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41DF364F" w14:textId="77777777" w:rsidR="00EB5CBD" w:rsidRDefault="00EA4CEB" w:rsidP="004148DE">
            <w:pPr>
              <w:bidi/>
              <w:spacing w:after="60" w:line="320" w:lineRule="auto"/>
              <w:jc w:val="center"/>
            </w:pPr>
            <w:r>
              <w:rPr>
                <w:sz w:val="21"/>
                <w:szCs w:val="21"/>
                <w:lang w:val="ar-SA"/>
              </w:rPr>
              <w:t>ترشيح المشاركين بناءً على النتائج الكمية، صياغة دليل المقابلة النهائي، إجراء المقابلات الاستطلاعية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2B334E3D" w14:textId="77777777" w:rsidR="00EB5CBD" w:rsidRDefault="00EA4CEB" w:rsidP="004148DE">
            <w:pPr>
              <w:bidi/>
              <w:spacing w:after="60" w:line="320" w:lineRule="auto"/>
              <w:jc w:val="center"/>
            </w:pPr>
            <w:r>
              <w:rPr>
                <w:sz w:val="21"/>
                <w:szCs w:val="21"/>
                <w:lang w:val="ar-SA"/>
              </w:rPr>
              <w:t>3 أسابيع</w:t>
            </w:r>
          </w:p>
        </w:tc>
      </w:tr>
      <w:tr w:rsidR="00EB5CBD" w14:paraId="53BBF723" w14:textId="77777777">
        <w:tc>
          <w:tcPr>
            <w:tcW w:w="3600" w:type="dxa"/>
            <w:tcBorders>
              <w:top w:val="single" w:sz="4" w:space="0" w:color="999999"/>
              <w:left w:val="single" w:sz="4" w:space="0" w:color="999999"/>
              <w:bottom w:val="single" w:sz="4" w:space="0" w:color="999999"/>
              <w:right w:val="single" w:sz="4" w:space="0" w:color="999999"/>
            </w:tcBorders>
          </w:tcPr>
          <w:p w14:paraId="33F571AA" w14:textId="77777777" w:rsidR="00EB5CBD" w:rsidRDefault="00EA4CEB" w:rsidP="004148DE">
            <w:pPr>
              <w:bidi/>
              <w:spacing w:after="60" w:line="320" w:lineRule="auto"/>
              <w:jc w:val="center"/>
            </w:pPr>
            <w:r>
              <w:rPr>
                <w:sz w:val="21"/>
                <w:szCs w:val="21"/>
                <w:lang w:val="ar-SA"/>
              </w:rPr>
              <w:t>إجراء المقابلات</w:t>
            </w:r>
          </w:p>
        </w:tc>
        <w:tc>
          <w:tcPr>
            <w:tcW w:w="3200" w:type="dxa"/>
            <w:tcBorders>
              <w:top w:val="single" w:sz="4" w:space="0" w:color="999999"/>
              <w:left w:val="single" w:sz="4" w:space="0" w:color="999999"/>
              <w:bottom w:val="single" w:sz="4" w:space="0" w:color="999999"/>
              <w:right w:val="single" w:sz="4" w:space="0" w:color="999999"/>
            </w:tcBorders>
          </w:tcPr>
          <w:p w14:paraId="6A16537B" w14:textId="77777777" w:rsidR="0099616A" w:rsidRDefault="003D1F04" w:rsidP="004148DE">
            <w:pPr>
              <w:bidi/>
              <w:jc w:val="center"/>
            </w:pPr>
            <w:r>
              <w:t>تنفيذ من 12 إلى 18 مقابلة حتى تحقق التشبع</w:t>
            </w:r>
          </w:p>
        </w:tc>
        <w:tc>
          <w:tcPr>
            <w:tcW w:w="2200" w:type="dxa"/>
            <w:tcBorders>
              <w:top w:val="single" w:sz="4" w:space="0" w:color="999999"/>
              <w:left w:val="single" w:sz="4" w:space="0" w:color="999999"/>
              <w:bottom w:val="single" w:sz="4" w:space="0" w:color="999999"/>
              <w:right w:val="single" w:sz="4" w:space="0" w:color="999999"/>
            </w:tcBorders>
          </w:tcPr>
          <w:p w14:paraId="758D95E2" w14:textId="77777777" w:rsidR="00EB5CBD" w:rsidRDefault="00EA4CEB" w:rsidP="004148DE">
            <w:pPr>
              <w:bidi/>
              <w:spacing w:after="60" w:line="320" w:lineRule="auto"/>
              <w:jc w:val="center"/>
            </w:pPr>
            <w:r>
              <w:rPr>
                <w:sz w:val="21"/>
                <w:szCs w:val="21"/>
                <w:lang w:val="ar-SA"/>
              </w:rPr>
              <w:t>6 أسابيع</w:t>
            </w:r>
          </w:p>
        </w:tc>
      </w:tr>
      <w:tr w:rsidR="00EB5CBD" w14:paraId="356ACC61"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6D04D340" w14:textId="77777777" w:rsidR="00EB5CBD" w:rsidRDefault="00EA4CEB" w:rsidP="004148DE">
            <w:pPr>
              <w:bidi/>
              <w:spacing w:after="60" w:line="320" w:lineRule="auto"/>
              <w:jc w:val="center"/>
            </w:pPr>
            <w:r>
              <w:rPr>
                <w:sz w:val="21"/>
                <w:szCs w:val="21"/>
                <w:lang w:val="ar-SA"/>
              </w:rPr>
              <w:t>تفريغ وتحليل المقابلات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6D2940C6" w14:textId="77777777" w:rsidR="00EB5CBD" w:rsidRDefault="00EA4CEB" w:rsidP="004148DE">
            <w:pPr>
              <w:bidi/>
              <w:spacing w:after="60" w:line="320" w:lineRule="auto"/>
              <w:jc w:val="center"/>
            </w:pPr>
            <w:r>
              <w:rPr>
                <w:sz w:val="21"/>
                <w:szCs w:val="21"/>
                <w:lang w:val="ar-SA"/>
              </w:rPr>
              <w:t>تفريغ التسجيلات، الترميز الأولي، مراجعة نظير، تحديد الموضوعات النهائية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62A6D5F4" w14:textId="77777777" w:rsidR="00EB5CBD" w:rsidRDefault="00EA4CEB" w:rsidP="004148DE">
            <w:pPr>
              <w:bidi/>
              <w:spacing w:after="60" w:line="320" w:lineRule="auto"/>
              <w:jc w:val="center"/>
            </w:pPr>
            <w:r>
              <w:rPr>
                <w:sz w:val="21"/>
                <w:szCs w:val="21"/>
                <w:lang w:val="ar-SA"/>
              </w:rPr>
              <w:t>6 أسابيع</w:t>
            </w:r>
          </w:p>
        </w:tc>
      </w:tr>
      <w:tr w:rsidR="00EB5CBD" w14:paraId="38CD038C" w14:textId="77777777">
        <w:tc>
          <w:tcPr>
            <w:tcW w:w="3600" w:type="dxa"/>
            <w:tcBorders>
              <w:top w:val="single" w:sz="4" w:space="0" w:color="999999"/>
              <w:left w:val="single" w:sz="4" w:space="0" w:color="999999"/>
              <w:bottom w:val="single" w:sz="4" w:space="0" w:color="999999"/>
              <w:right w:val="single" w:sz="4" w:space="0" w:color="999999"/>
            </w:tcBorders>
          </w:tcPr>
          <w:p w14:paraId="5D2F7DCD" w14:textId="77777777" w:rsidR="00EB5CBD" w:rsidRDefault="00EA4CEB" w:rsidP="004148DE">
            <w:pPr>
              <w:bidi/>
              <w:spacing w:after="60" w:line="320" w:lineRule="auto"/>
              <w:jc w:val="center"/>
            </w:pPr>
            <w:r>
              <w:rPr>
                <w:sz w:val="21"/>
                <w:szCs w:val="21"/>
                <w:lang w:val="ar-SA"/>
              </w:rPr>
              <w:t>دمج النتائج</w:t>
            </w:r>
          </w:p>
        </w:tc>
        <w:tc>
          <w:tcPr>
            <w:tcW w:w="3200" w:type="dxa"/>
            <w:tcBorders>
              <w:top w:val="single" w:sz="4" w:space="0" w:color="999999"/>
              <w:left w:val="single" w:sz="4" w:space="0" w:color="999999"/>
              <w:bottom w:val="single" w:sz="4" w:space="0" w:color="999999"/>
              <w:right w:val="single" w:sz="4" w:space="0" w:color="999999"/>
            </w:tcBorders>
          </w:tcPr>
          <w:p w14:paraId="01FA1624" w14:textId="77777777" w:rsidR="0099616A" w:rsidRDefault="003D1F04" w:rsidP="004148DE">
            <w:pPr>
              <w:bidi/>
              <w:jc w:val="center"/>
            </w:pPr>
            <w:r>
              <w:t xml:space="preserve">تطبيق إجراءات التكامل: الربط، البناء، الدمج، والجدول المشترك، وفق الفقرة </w:t>
            </w:r>
            <w:r>
              <w:rPr>
                <w:rtl w:val="0"/>
              </w:rPr>
              <w:t>‎3.14‎</w:t>
            </w:r>
          </w:p>
        </w:tc>
        <w:tc>
          <w:tcPr>
            <w:tcW w:w="2200" w:type="dxa"/>
            <w:tcBorders>
              <w:top w:val="single" w:sz="4" w:space="0" w:color="999999"/>
              <w:left w:val="single" w:sz="4" w:space="0" w:color="999999"/>
              <w:bottom w:val="single" w:sz="4" w:space="0" w:color="999999"/>
              <w:right w:val="single" w:sz="4" w:space="0" w:color="999999"/>
            </w:tcBorders>
          </w:tcPr>
          <w:p w14:paraId="72300F6F" w14:textId="77777777" w:rsidR="00EB5CBD" w:rsidRDefault="00EA4CEB" w:rsidP="004148DE">
            <w:pPr>
              <w:bidi/>
              <w:spacing w:after="60" w:line="320" w:lineRule="auto"/>
              <w:jc w:val="center"/>
            </w:pPr>
            <w:r>
              <w:rPr>
                <w:sz w:val="21"/>
                <w:szCs w:val="21"/>
                <w:lang w:val="ar-SA"/>
              </w:rPr>
              <w:t>3 أسابيع</w:t>
            </w:r>
          </w:p>
        </w:tc>
      </w:tr>
      <w:tr w:rsidR="00EB5CBD" w14:paraId="5D86789A"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2C0DE3C2" w14:textId="77777777" w:rsidR="0099616A" w:rsidRDefault="003D1F04" w:rsidP="004148DE">
            <w:pPr>
              <w:bidi/>
              <w:jc w:val="center"/>
            </w:pPr>
            <w:r>
              <w:lastRenderedPageBreak/>
              <w:t>كتابة الفصل النهائي - النتائج والمناقشة</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BE75169" w14:textId="77777777" w:rsidR="00EB5CBD" w:rsidRDefault="00EA4CEB" w:rsidP="004148DE">
            <w:pPr>
              <w:bidi/>
              <w:spacing w:after="60" w:line="320" w:lineRule="auto"/>
              <w:jc w:val="center"/>
            </w:pPr>
            <w:r>
              <w:rPr>
                <w:sz w:val="21"/>
                <w:szCs w:val="21"/>
                <w:lang w:val="ar-SA"/>
              </w:rPr>
              <w:t>صياغة فصول النتائج والمناقشة بناءً على النتائج المتكاملة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642AEB01" w14:textId="77777777" w:rsidR="00EB5CBD" w:rsidRDefault="00EA4CEB" w:rsidP="004148DE">
            <w:pPr>
              <w:bidi/>
              <w:spacing w:after="60" w:line="320" w:lineRule="auto"/>
              <w:jc w:val="center"/>
            </w:pPr>
            <w:r>
              <w:rPr>
                <w:sz w:val="21"/>
                <w:szCs w:val="21"/>
                <w:lang w:val="ar-SA"/>
              </w:rPr>
              <w:t>5 أسابيع</w:t>
            </w:r>
          </w:p>
        </w:tc>
      </w:tr>
    </w:tbl>
    <w:p w14:paraId="0ACD93B9" w14:textId="77777777" w:rsidR="00EB5CBD" w:rsidRDefault="00EB5CBD">
      <w:pPr>
        <w:spacing w:after="160"/>
      </w:pPr>
    </w:p>
    <w:p w14:paraId="0BA8E9A4" w14:textId="77777777" w:rsidR="00EB5CBD" w:rsidRDefault="00EA4CEB">
      <w:pPr>
        <w:bidi/>
        <w:spacing w:after="160" w:line="320" w:lineRule="auto"/>
        <w:jc w:val="both"/>
      </w:pPr>
      <w:r>
        <w:t>المدة الإجمالية التقديرية لتنفيذ ما ورد في هذا الفصل نحو 44 أسبوعًا، أي قرابة عشرة أشهر ونصف، وقد تتغير هذه المدد بحسب سرعة الحصول على الموافقات ونسبة الاستجابة الفعلية.</w:t>
      </w:r>
    </w:p>
    <w:p w14:paraId="6A17EC5A" w14:textId="77777777" w:rsidR="00EA4CEB" w:rsidRDefault="00EA4CEB" w:rsidP="00EA4CEB">
      <w:pPr>
        <w:spacing w:after="160" w:line="320" w:lineRule="auto"/>
        <w:jc w:val="both"/>
      </w:pPr>
    </w:p>
    <w:p w14:paraId="32D3263E" w14:textId="77777777" w:rsidR="00EA4CEB" w:rsidRDefault="00EA4CEB" w:rsidP="00EA4CEB">
      <w:pPr>
        <w:spacing w:after="160" w:line="320" w:lineRule="auto"/>
        <w:jc w:val="both"/>
      </w:pPr>
    </w:p>
    <w:p w14:paraId="696EE16D" w14:textId="77777777" w:rsidR="00EA4CEB" w:rsidRDefault="00EA4CEB" w:rsidP="00EA4CEB">
      <w:pPr>
        <w:spacing w:after="160" w:line="320" w:lineRule="auto"/>
        <w:jc w:val="both"/>
      </w:pPr>
    </w:p>
    <w:p w14:paraId="5DCB08AF" w14:textId="77777777" w:rsidR="00EB5CBD" w:rsidRPr="003D1F04" w:rsidRDefault="00EA4CEB" w:rsidP="007E709B">
      <w:pPr>
        <w:bidi/>
        <w:spacing w:after="160" w:line="320" w:lineRule="auto"/>
        <w:rPr>
          <w:sz w:val="28"/>
          <w:szCs w:val="28"/>
        </w:rPr>
      </w:pPr>
      <w:r w:rsidRPr="003D1F04">
        <w:rPr>
          <w:b/>
          <w:sz w:val="28"/>
          <w:szCs w:val="28"/>
          <w:rtl w:val="0"/>
        </w:rPr>
        <w:t>‎3.19‎</w:t>
      </w:r>
      <w:r w:rsidRPr="003D1F04">
        <w:rPr>
          <w:b/>
          <w:sz w:val="28"/>
          <w:szCs w:val="28"/>
        </w:rPr>
        <w:t xml:space="preserve"> خلاصة الفصل</w:t>
      </w:r>
    </w:p>
    <w:p w14:paraId="5119059A" w14:textId="77777777" w:rsidR="00EB5CBD" w:rsidRDefault="00EA4CEB">
      <w:pPr>
        <w:bidi/>
        <w:spacing w:after="160" w:line="320" w:lineRule="auto"/>
        <w:jc w:val="right"/>
      </w:pPr>
      <w:r>
        <w:rPr>
          <w:color w:val="000000"/>
        </w:rPr>
        <w:t>استعرض هذا الفصل خطة العمل المنهجي الكاملة للدراسة: اعتماد المنهج المختلط التفسيري المتتابع بتصميم تفصيلي مكوّن من تسع خطوات مترابطة، ومجتمع دراسة موثق من مصدره الرسمي، وعينة كمية مستهدفة قوامها 300 منشأة موزعة حصصيًا على القطاعات والمدن ومبررة بتحليل قوة إحصائية مسبق. كما اعتمدت الدراسة أداتين لجمع البيانات: استبانة محكّمة ومختبرة استطلاعيًا، ومقابلات شبه منظمة مبنية على النتائج الكمية، إلى جانب إجراءات صارمة لتنظيف البيانات والتحقق من جودتها قبل التحليل. ويعتمد التحليل الكمي على نمذجة المعادلات الهيكلية بالمربعات الصغرى الجزئية عبر SmartPLS، مع معايير متكاملة لتقييم نموذجي القياس والبناء، واختبار ثبات القياس MICOM قبل أي مقارنة بين المجموعات، وتصنيف أنماط الوساطة الخمسة وفق منهجية زاو وزملائه، 2010. ويُستكمل ذلك بتحليل موضوعي انعكاسي للبيانات النوعية مدعوم بإجراءات موثوقية واضحة، وإجراءات محددة لدمج النتائج الكمية والنوعية في استنتاجات متكاملة. كما روعي طوال الفصل الالتزام بالاعتبارات الأخلاقية للبحث مع المشاركين البشريين، من الموافقة المستنيرة إلى حفظ البيانات وإتلافها. ويُمهّد هذا الإطار المنهجي للفصل الرابع، الذي سيعرض نتائج التحليلين الكمي والنوعي وتكاملهما.</w:t>
      </w:r>
    </w:p>
    <w:p w14:paraId="47F8D197" w14:textId="77777777" w:rsidR="00EB5CBD" w:rsidRDefault="00EA4CEB">
      <w:r>
        <w:br w:type="page"/>
      </w:r>
    </w:p>
    <w:p w14:paraId="2F8D763B" w14:textId="77777777" w:rsidR="00EB5CBD" w:rsidRPr="003D1F04" w:rsidRDefault="00EA4CEB" w:rsidP="007E709B">
      <w:pPr>
        <w:bidi/>
        <w:spacing w:after="160" w:line="320" w:lineRule="auto"/>
        <w:rPr>
          <w:sz w:val="28"/>
          <w:szCs w:val="28"/>
        </w:rPr>
      </w:pPr>
      <w:r w:rsidRPr="003D1F04">
        <w:rPr>
          <w:b/>
          <w:bCs/>
          <w:sz w:val="32"/>
          <w:szCs w:val="32"/>
          <w:lang w:val="ar-SA"/>
        </w:rPr>
        <w:lastRenderedPageBreak/>
        <w:t>‏المراجع</w:t>
      </w:r>
    </w:p>
    <w:p w14:paraId="60FD903F" w14:textId="77777777" w:rsidR="00414570" w:rsidRDefault="00414570" w:rsidP="004148DE">
      <w:pPr>
        <w:pStyle w:val="a4"/>
        <w:spacing w:after="120"/>
        <w:rPr>
          <w:rtl w:val="0"/>
        </w:rPr>
      </w:pPr>
      <w:r>
        <w:rPr>
          <w:rFonts w:ascii="Times New Roman" w:hAnsi="Times New Roman" w:cs="Times New Roman"/>
          <w:sz w:val="20"/>
        </w:rPr>
        <w:t>1. Baron, R. M., &amp; Kenny, D. A. (1986). The moderator-mediator variable distinction in social psychological research: Conceptual, strategic, and statistical considerations. Journal of Personality and Social Psychology, 51(6), 1173-1182. https://doi.org/10.1037/0022-3514.51.6.1173</w:t>
      </w:r>
    </w:p>
    <w:p w14:paraId="7A93A06B" w14:textId="77777777" w:rsidR="00414570" w:rsidRDefault="00414570" w:rsidP="004148DE">
      <w:pPr>
        <w:ind w:left="360"/>
        <w:rPr>
          <w:rtl w:val="0"/>
        </w:rPr>
      </w:pPr>
    </w:p>
    <w:p w14:paraId="0C7E196B" w14:textId="77777777" w:rsidR="00414570" w:rsidRDefault="00414570" w:rsidP="004148DE">
      <w:pPr>
        <w:pStyle w:val="a4"/>
        <w:spacing w:after="120"/>
        <w:rPr>
          <w:rtl w:val="0"/>
        </w:rPr>
      </w:pPr>
      <w:r>
        <w:rPr>
          <w:rFonts w:ascii="Times New Roman" w:hAnsi="Times New Roman" w:cs="Times New Roman"/>
          <w:sz w:val="20"/>
        </w:rPr>
        <w:t>2. Braun, V., &amp; Clarke, V. (2006). Using thematic analysis in psychology. Qualitative Research in Psychology, 3(2), 77-101. https://doi.org/10.1191/1478088706qp063oa</w:t>
      </w:r>
    </w:p>
    <w:p w14:paraId="5CA1CAC0" w14:textId="77777777" w:rsidR="00414570" w:rsidRDefault="00414570" w:rsidP="004148DE">
      <w:pPr>
        <w:pStyle w:val="a4"/>
        <w:rPr>
          <w:rtl w:val="0"/>
        </w:rPr>
      </w:pPr>
    </w:p>
    <w:p w14:paraId="45EC2062" w14:textId="77777777" w:rsidR="00414570" w:rsidRDefault="00414570" w:rsidP="004148DE">
      <w:pPr>
        <w:pStyle w:val="a4"/>
        <w:spacing w:after="120"/>
        <w:rPr>
          <w:rtl w:val="0"/>
        </w:rPr>
      </w:pPr>
      <w:r>
        <w:rPr>
          <w:rFonts w:ascii="Times New Roman" w:hAnsi="Times New Roman" w:cs="Times New Roman"/>
          <w:sz w:val="20"/>
        </w:rPr>
        <w:t>3. Braun, V., &amp; Clarke, V. (2019). Reflecting on reflexive thematic analysis. Qualitative Research in Sport, Exercise and Health, 11(4), 589-597. https://doi.org/10.1080/2159676X.2019.1628806</w:t>
      </w:r>
    </w:p>
    <w:p w14:paraId="0EA33A61" w14:textId="77777777" w:rsidR="00414570" w:rsidRDefault="00414570" w:rsidP="004148DE">
      <w:pPr>
        <w:pStyle w:val="a4"/>
        <w:rPr>
          <w:rtl w:val="0"/>
        </w:rPr>
      </w:pPr>
    </w:p>
    <w:p w14:paraId="2703487F" w14:textId="77777777" w:rsidR="00414570" w:rsidRDefault="00414570" w:rsidP="004148DE">
      <w:pPr>
        <w:pStyle w:val="a4"/>
        <w:spacing w:after="120"/>
        <w:rPr>
          <w:rtl w:val="0"/>
        </w:rPr>
      </w:pPr>
      <w:r>
        <w:rPr>
          <w:rFonts w:ascii="Times New Roman" w:hAnsi="Times New Roman" w:cs="Times New Roman"/>
          <w:color w:val="C00000"/>
          <w:sz w:val="20"/>
        </w:rPr>
        <w:t>4. Homburg, C., &amp; Wielgos, D. M. (2022). The value relevance of digital marketing capabilities to firm performance. Journal of the Academy of Marketing Science, 50, 666–688. https://doi.org/10.1007/s11747-022-00858-7</w:t>
      </w:r>
    </w:p>
    <w:p w14:paraId="4400FEE3" w14:textId="77777777" w:rsidR="00414570" w:rsidRDefault="00414570" w:rsidP="004148DE">
      <w:pPr>
        <w:ind w:left="360"/>
        <w:rPr>
          <w:rtl w:val="0"/>
        </w:rPr>
      </w:pPr>
    </w:p>
    <w:p w14:paraId="753F20A1" w14:textId="77777777" w:rsidR="00414570" w:rsidRDefault="00414570" w:rsidP="004148DE">
      <w:pPr>
        <w:pStyle w:val="a4"/>
        <w:spacing w:after="120"/>
        <w:rPr>
          <w:rtl w:val="0"/>
        </w:rPr>
      </w:pPr>
      <w:r>
        <w:rPr>
          <w:rFonts w:ascii="Times New Roman" w:hAnsi="Times New Roman" w:cs="Times New Roman"/>
          <w:sz w:val="20"/>
        </w:rPr>
        <w:t>5. Cohen, J. (1988). Statistical power analysis for the behavioral sciences (2nd ed.). Lawrence Erlbaum Associates.</w:t>
      </w:r>
    </w:p>
    <w:p w14:paraId="11D3BC59" w14:textId="77777777" w:rsidR="00414570" w:rsidRDefault="00414570" w:rsidP="004148DE">
      <w:pPr>
        <w:pStyle w:val="a4"/>
        <w:spacing w:after="120"/>
        <w:rPr>
          <w:rtl w:val="0"/>
        </w:rPr>
      </w:pPr>
      <w:r>
        <w:rPr>
          <w:rFonts w:ascii="Times New Roman" w:hAnsi="Times New Roman" w:cs="Times New Roman"/>
          <w:color w:val="C00000"/>
          <w:sz w:val="20"/>
        </w:rPr>
        <w:t>6. Faul, F., Erdfelder, E., Buchner, A., &amp; Lang, A.-G. (2009). Statistical power analyses using G*Power 3.1: Tests for correlation and regression analyses. Behavior Research Methods, 41(4), 1149–1160. https://doi.org/10.3758/BRM.41.4.1149</w:t>
      </w:r>
    </w:p>
    <w:p w14:paraId="02ED5F8D" w14:textId="77777777" w:rsidR="00414570" w:rsidRDefault="00414570" w:rsidP="004148DE">
      <w:pPr>
        <w:ind w:left="360"/>
        <w:rPr>
          <w:rtl w:val="0"/>
        </w:rPr>
      </w:pPr>
    </w:p>
    <w:p w14:paraId="6777670E" w14:textId="77777777" w:rsidR="00414570" w:rsidRDefault="00414570" w:rsidP="004148DE">
      <w:pPr>
        <w:pStyle w:val="a4"/>
        <w:spacing w:after="120"/>
        <w:rPr>
          <w:rtl w:val="0"/>
        </w:rPr>
      </w:pPr>
      <w:r>
        <w:rPr>
          <w:rFonts w:ascii="Times New Roman" w:hAnsi="Times New Roman" w:cs="Times New Roman"/>
          <w:sz w:val="20"/>
        </w:rPr>
        <w:t>7. Creswell, J. W., &amp; Plano Clark, V. L. (2018). Designing and conducting mixed methods research (3rd ed.). SAGE Publications.</w:t>
      </w:r>
    </w:p>
    <w:p w14:paraId="6AB98530" w14:textId="77777777" w:rsidR="00414570" w:rsidRDefault="00414570" w:rsidP="004148DE">
      <w:pPr>
        <w:ind w:left="360"/>
        <w:rPr>
          <w:rtl w:val="0"/>
        </w:rPr>
      </w:pPr>
    </w:p>
    <w:p w14:paraId="6A377201" w14:textId="77777777" w:rsidR="00414570" w:rsidRDefault="00414570" w:rsidP="004148DE">
      <w:pPr>
        <w:pStyle w:val="a4"/>
        <w:spacing w:after="120"/>
        <w:rPr>
          <w:rtl w:val="0"/>
        </w:rPr>
      </w:pPr>
      <w:r>
        <w:rPr>
          <w:rFonts w:ascii="Times New Roman" w:hAnsi="Times New Roman" w:cs="Times New Roman"/>
          <w:color w:val="C00000"/>
          <w:sz w:val="20"/>
        </w:rPr>
        <w:t>8. Davis, F. D. (1989). Perceived usefulness, perceived ease of use, and user acceptance of information technology. MIS Quarterly, 13(3), 319–340. https://doi.org/10.2307/249008</w:t>
      </w:r>
    </w:p>
    <w:p w14:paraId="6C1D7BF5" w14:textId="77777777" w:rsidR="00414570" w:rsidRDefault="00414570" w:rsidP="004148DE">
      <w:pPr>
        <w:pStyle w:val="a4"/>
        <w:rPr>
          <w:rtl w:val="0"/>
        </w:rPr>
      </w:pPr>
    </w:p>
    <w:p w14:paraId="42295FEA" w14:textId="77777777" w:rsidR="00414570" w:rsidRDefault="00414570" w:rsidP="004148DE">
      <w:pPr>
        <w:pStyle w:val="a4"/>
        <w:spacing w:after="120"/>
        <w:rPr>
          <w:rtl w:val="0"/>
        </w:rPr>
      </w:pPr>
      <w:r>
        <w:rPr>
          <w:rFonts w:ascii="Times New Roman" w:hAnsi="Times New Roman" w:cs="Times New Roman"/>
          <w:sz w:val="20"/>
        </w:rPr>
        <w:t>9. Fornell, C., &amp; Larcker, D. F. (1981). Evaluating structural equation models with unobservable variables and measurement error. Journal of Marketing Research, 18(1), 39-50. https://doi.org/10.2307/3151312</w:t>
      </w:r>
    </w:p>
    <w:p w14:paraId="48515BDD" w14:textId="77777777" w:rsidR="00414570" w:rsidRDefault="00414570" w:rsidP="004148DE">
      <w:pPr>
        <w:pStyle w:val="a4"/>
        <w:rPr>
          <w:rtl w:val="0"/>
        </w:rPr>
      </w:pPr>
    </w:p>
    <w:p w14:paraId="743E0E8A" w14:textId="77777777" w:rsidR="00414570" w:rsidRDefault="00414570" w:rsidP="004148DE">
      <w:pPr>
        <w:pStyle w:val="a4"/>
        <w:spacing w:after="120"/>
        <w:rPr>
          <w:rtl w:val="0"/>
        </w:rPr>
      </w:pPr>
      <w:r>
        <w:rPr>
          <w:rFonts w:ascii="Times New Roman" w:hAnsi="Times New Roman" w:cs="Times New Roman"/>
          <w:sz w:val="20"/>
        </w:rPr>
        <w:t>10. Hair, J. F., Hult, G. T. M., Ringle, C. M., &amp; Sarstedt, M. (2022). A primer on partial least squares structural equation modeling (PLS-SEM) (3rd ed.). SAGE Publications.</w:t>
      </w:r>
    </w:p>
    <w:p w14:paraId="0BC0BB7F" w14:textId="77777777" w:rsidR="00414570" w:rsidRDefault="00414570" w:rsidP="004148DE">
      <w:pPr>
        <w:ind w:left="360"/>
        <w:rPr>
          <w:rtl w:val="0"/>
        </w:rPr>
      </w:pPr>
    </w:p>
    <w:p w14:paraId="7BE5B83F" w14:textId="77777777" w:rsidR="00414570" w:rsidRDefault="00414570" w:rsidP="004148DE">
      <w:pPr>
        <w:pStyle w:val="a4"/>
        <w:spacing w:after="120"/>
        <w:rPr>
          <w:rtl w:val="0"/>
        </w:rPr>
      </w:pPr>
      <w:r>
        <w:rPr>
          <w:rFonts w:ascii="Times New Roman" w:hAnsi="Times New Roman" w:cs="Times New Roman"/>
          <w:sz w:val="20"/>
        </w:rPr>
        <w:t>11. Hair, J. F., Risher, J. J., Sarstedt, M., &amp; Ringle, C. M. (2019). When to use and how to report the results of PLS-SEM. European Business Review, 31(1), 2-24. https://doi.org/10.1108/EBR-11-2018-0203</w:t>
      </w:r>
    </w:p>
    <w:p w14:paraId="36DA432C" w14:textId="77777777" w:rsidR="00414570" w:rsidRDefault="00414570" w:rsidP="004148DE">
      <w:pPr>
        <w:pStyle w:val="a4"/>
        <w:rPr>
          <w:rtl w:val="0"/>
        </w:rPr>
      </w:pPr>
    </w:p>
    <w:p w14:paraId="6E4FB33E" w14:textId="77777777" w:rsidR="00414570" w:rsidRDefault="00414570" w:rsidP="004148DE">
      <w:pPr>
        <w:pStyle w:val="a4"/>
        <w:spacing w:after="120"/>
        <w:rPr>
          <w:rtl w:val="0"/>
        </w:rPr>
      </w:pPr>
      <w:r>
        <w:rPr>
          <w:rFonts w:ascii="Times New Roman" w:hAnsi="Times New Roman" w:cs="Times New Roman"/>
          <w:sz w:val="20"/>
        </w:rPr>
        <w:lastRenderedPageBreak/>
        <w:t>12. Henseler, J., Ringle, C. M., &amp; Sarstedt, M. (2015). A new criterion for assessing discriminant validity in variance-based structural equation modeling. Journal of the Academy of Marketing Science, 43(1), 115-135. https://doi.org/10.1007/s11747-014-0403-8</w:t>
      </w:r>
    </w:p>
    <w:p w14:paraId="029C3D93" w14:textId="77777777" w:rsidR="00414570" w:rsidRPr="00414570" w:rsidRDefault="00414570" w:rsidP="004148DE">
      <w:pPr>
        <w:pStyle w:val="a4"/>
        <w:rPr>
          <w:sz w:val="18"/>
          <w:szCs w:val="18"/>
          <w:rtl w:val="0"/>
        </w:rPr>
      </w:pPr>
    </w:p>
    <w:p w14:paraId="3EF2E12E" w14:textId="77777777" w:rsidR="00414570" w:rsidRDefault="00414570" w:rsidP="004148DE">
      <w:pPr>
        <w:pStyle w:val="a4"/>
        <w:spacing w:after="120"/>
        <w:rPr>
          <w:rtl w:val="0"/>
        </w:rPr>
      </w:pPr>
      <w:r>
        <w:rPr>
          <w:rFonts w:ascii="Times New Roman" w:hAnsi="Times New Roman" w:cs="Times New Roman"/>
          <w:sz w:val="20"/>
        </w:rPr>
        <w:t>13. Henseler, J., Ringle, C. M., &amp; Sarstedt, M. (2016). Testing measurement invariance of composites using partial least squares. International Marketing Review, 33(3), 405-431. https://doi.org/10.1108/IMR-09-2014-0304</w:t>
      </w:r>
    </w:p>
    <w:p w14:paraId="06B58512" w14:textId="77777777" w:rsidR="00414570" w:rsidRPr="00414570" w:rsidRDefault="00414570" w:rsidP="004148DE">
      <w:pPr>
        <w:pStyle w:val="a4"/>
        <w:rPr>
          <w:sz w:val="18"/>
          <w:szCs w:val="18"/>
          <w:rtl w:val="0"/>
        </w:rPr>
      </w:pPr>
    </w:p>
    <w:p w14:paraId="7CBEC878" w14:textId="77777777" w:rsidR="00414570" w:rsidRDefault="00414570" w:rsidP="004148DE">
      <w:pPr>
        <w:pStyle w:val="a4"/>
        <w:spacing w:after="120"/>
        <w:rPr>
          <w:rtl w:val="0"/>
        </w:rPr>
      </w:pPr>
      <w:r>
        <w:rPr>
          <w:rFonts w:ascii="Times New Roman" w:hAnsi="Times New Roman" w:cs="Times New Roman"/>
          <w:color w:val="C00000"/>
          <w:sz w:val="20"/>
        </w:rPr>
        <w:t>14. Katsikeas, C. S., Morgan, N. A., Leonidou, L. C., &amp; Hult, G. T. M. (2016). Assessing performance outcomes in marketing. Journal of Marketing, 80(2), 1–20. https://doi.org/10.1509/jm.15.0287</w:t>
      </w:r>
    </w:p>
    <w:p w14:paraId="3E1DA7FE" w14:textId="77777777" w:rsidR="00414570" w:rsidRPr="00414570" w:rsidRDefault="00414570" w:rsidP="004148DE">
      <w:pPr>
        <w:pStyle w:val="a4"/>
        <w:rPr>
          <w:sz w:val="18"/>
          <w:szCs w:val="18"/>
          <w:rtl w:val="0"/>
        </w:rPr>
      </w:pPr>
    </w:p>
    <w:p w14:paraId="12C2939E" w14:textId="77777777" w:rsidR="00414570" w:rsidRDefault="00414570" w:rsidP="004148DE">
      <w:pPr>
        <w:pStyle w:val="a4"/>
        <w:spacing w:after="120"/>
        <w:rPr>
          <w:rtl w:val="0"/>
        </w:rPr>
      </w:pPr>
      <w:r>
        <w:rPr>
          <w:rFonts w:ascii="Times New Roman" w:hAnsi="Times New Roman" w:cs="Times New Roman"/>
          <w:sz w:val="20"/>
        </w:rPr>
        <w:t>15. Kock, N. (2015). Common method bias in PLS-SEM: A full collinearity assessment approach. International Journal of e-Collaboration, 11(4), 1-10. https://doi.org/10.4018/ijec.2015100101</w:t>
      </w:r>
    </w:p>
    <w:p w14:paraId="4DA5CDCB" w14:textId="77777777" w:rsidR="00414570" w:rsidRPr="00414570" w:rsidRDefault="00414570" w:rsidP="004148DE">
      <w:pPr>
        <w:pStyle w:val="a4"/>
        <w:rPr>
          <w:sz w:val="18"/>
          <w:szCs w:val="18"/>
          <w:rtl w:val="0"/>
        </w:rPr>
      </w:pPr>
    </w:p>
    <w:p w14:paraId="6CD4C3D4" w14:textId="77777777" w:rsidR="00414570" w:rsidRDefault="00414570" w:rsidP="004148DE">
      <w:pPr>
        <w:pStyle w:val="a4"/>
        <w:spacing w:after="120"/>
        <w:rPr>
          <w:rtl w:val="0"/>
        </w:rPr>
      </w:pPr>
      <w:r>
        <w:rPr>
          <w:rFonts w:ascii="Times New Roman" w:hAnsi="Times New Roman" w:cs="Times New Roman"/>
          <w:sz w:val="20"/>
        </w:rPr>
        <w:t>16. Lawshe, C. H. (1975). A quantitative approach to content validity. Personnel Psychology, 28(4), 563-575. https://doi.org/10.1111/j.1744-6570.1975.tb01393.x</w:t>
      </w:r>
    </w:p>
    <w:p w14:paraId="3969891D" w14:textId="77777777" w:rsidR="00414570" w:rsidRPr="00414570" w:rsidRDefault="00414570" w:rsidP="004148DE">
      <w:pPr>
        <w:pStyle w:val="a4"/>
        <w:rPr>
          <w:sz w:val="18"/>
          <w:szCs w:val="18"/>
          <w:rtl w:val="0"/>
        </w:rPr>
      </w:pPr>
    </w:p>
    <w:p w14:paraId="20BDE2FF" w14:textId="77777777" w:rsidR="00414570" w:rsidRDefault="00414570" w:rsidP="004148DE">
      <w:pPr>
        <w:pStyle w:val="a4"/>
        <w:spacing w:after="120"/>
        <w:rPr>
          <w:rtl w:val="0"/>
        </w:rPr>
      </w:pPr>
      <w:r>
        <w:rPr>
          <w:rFonts w:ascii="Times New Roman" w:hAnsi="Times New Roman" w:cs="Times New Roman"/>
          <w:sz w:val="20"/>
        </w:rPr>
        <w:t>17. Lincoln, Y. S., &amp; Guba, E. G. (1985). Naturalistic inquiry. SAGE Publications.</w:t>
      </w:r>
    </w:p>
    <w:p w14:paraId="2FBA12BA" w14:textId="77777777" w:rsidR="00414570" w:rsidRPr="00414570" w:rsidRDefault="00414570" w:rsidP="004148DE">
      <w:pPr>
        <w:ind w:left="360"/>
        <w:rPr>
          <w:sz w:val="18"/>
          <w:szCs w:val="18"/>
          <w:rtl w:val="0"/>
        </w:rPr>
      </w:pPr>
    </w:p>
    <w:p w14:paraId="106D24FE" w14:textId="77777777" w:rsidR="00414570" w:rsidRDefault="00414570" w:rsidP="004148DE">
      <w:pPr>
        <w:pStyle w:val="a4"/>
        <w:spacing w:after="120"/>
        <w:rPr>
          <w:rtl w:val="0"/>
        </w:rPr>
      </w:pPr>
      <w:r>
        <w:rPr>
          <w:rFonts w:ascii="Times New Roman" w:hAnsi="Times New Roman" w:cs="Times New Roman"/>
          <w:sz w:val="20"/>
        </w:rPr>
        <w:t>18. Monsha'at – General Authority for Small and Medium Enterprises. (2025). SME Monitor Report, Q1 2025 [in Arabic]. https://www.monshaat.gov.sa/sites/default/files/2025-05/SME%20Monitor%20Q1%202025%20-%20AR.pdf</w:t>
      </w:r>
    </w:p>
    <w:p w14:paraId="4630D953" w14:textId="77777777" w:rsidR="0099616A" w:rsidRDefault="003D1F04" w:rsidP="004148DE">
      <w:pPr>
        <w:pStyle w:val="a4"/>
        <w:spacing w:after="120"/>
        <w:rPr>
          <w:rtl w:val="0"/>
        </w:rPr>
      </w:pPr>
      <w:r>
        <w:rPr>
          <w:rFonts w:ascii="Times New Roman" w:hAnsi="Times New Roman"/>
          <w:color w:val="000000"/>
          <w:sz w:val="20"/>
          <w:rtl w:val="0"/>
        </w:rPr>
        <w:t>19. Monsha’at – General Authority for Small and Medium Enterprises. (n.d.). SMEs Classification. https://www.monshaat.gov.sa/ar/SMEs-definition (Accessed 15 August 2026).</w:t>
      </w:r>
    </w:p>
    <w:p w14:paraId="5B0E0FB4" w14:textId="77777777" w:rsidR="00414570" w:rsidRPr="00414570" w:rsidRDefault="00414570" w:rsidP="004148DE">
      <w:pPr>
        <w:pStyle w:val="a4"/>
        <w:rPr>
          <w:sz w:val="18"/>
          <w:szCs w:val="18"/>
          <w:rtl w:val="0"/>
        </w:rPr>
      </w:pPr>
    </w:p>
    <w:p w14:paraId="457D6254" w14:textId="77777777" w:rsidR="00414570" w:rsidRDefault="00414570" w:rsidP="004148DE">
      <w:pPr>
        <w:pStyle w:val="a4"/>
        <w:spacing w:after="120"/>
        <w:rPr>
          <w:rtl w:val="0"/>
        </w:rPr>
      </w:pPr>
      <w:r>
        <w:rPr>
          <w:rFonts w:ascii="Times New Roman" w:hAnsi="Times New Roman" w:cs="Times New Roman"/>
          <w:sz w:val="20"/>
        </w:rPr>
        <w:t>20. Podsakoff, P. M., MacKenzie, S. B., &amp; Podsakoff, N. P. (2012). Sources of method bias in social science research and recommendations on how to control it. Annual Review of Psychology, 63(1), 539-569. https://doi.org/10.1146/annurev-psych-120710-100452</w:t>
      </w:r>
    </w:p>
    <w:p w14:paraId="7632069B" w14:textId="77777777" w:rsidR="00414570" w:rsidRPr="00414570" w:rsidRDefault="00414570" w:rsidP="004148DE">
      <w:pPr>
        <w:pStyle w:val="a4"/>
        <w:rPr>
          <w:sz w:val="18"/>
          <w:szCs w:val="18"/>
          <w:rtl w:val="0"/>
        </w:rPr>
      </w:pPr>
    </w:p>
    <w:p w14:paraId="78345D32" w14:textId="77777777" w:rsidR="00414570" w:rsidRDefault="00414570" w:rsidP="004148DE">
      <w:pPr>
        <w:pStyle w:val="a4"/>
        <w:spacing w:after="120"/>
        <w:rPr>
          <w:rtl w:val="0"/>
        </w:rPr>
      </w:pPr>
      <w:r>
        <w:rPr>
          <w:rFonts w:ascii="Times New Roman" w:hAnsi="Times New Roman" w:cs="Times New Roman"/>
          <w:sz w:val="20"/>
        </w:rPr>
        <w:t>21. Venkatesh, V., Morris, M. G., Davis, G. B., &amp; Davis, F. D. (2003). User acceptance of information technology: Toward a unified view. MIS Quarterly, 27(3), 425-478. https://doi.org/10.2307/30036540</w:t>
      </w:r>
    </w:p>
    <w:p w14:paraId="0BE82ECB" w14:textId="77777777" w:rsidR="00414570" w:rsidRPr="00414570" w:rsidRDefault="00414570" w:rsidP="004148DE">
      <w:pPr>
        <w:pStyle w:val="a4"/>
        <w:rPr>
          <w:sz w:val="18"/>
          <w:szCs w:val="18"/>
          <w:rtl w:val="0"/>
        </w:rPr>
      </w:pPr>
    </w:p>
    <w:p w14:paraId="6557DD50" w14:textId="77777777" w:rsidR="00EB5CBD" w:rsidRDefault="00414570" w:rsidP="004148DE">
      <w:pPr>
        <w:pStyle w:val="a4"/>
        <w:spacing w:after="120"/>
        <w:rPr>
          <w:rtl w:val="0"/>
        </w:rPr>
      </w:pPr>
      <w:r>
        <w:rPr>
          <w:rFonts w:ascii="Times New Roman" w:hAnsi="Times New Roman" w:cs="Times New Roman"/>
          <w:sz w:val="20"/>
        </w:rPr>
        <w:t>22. Zhao, X., Lynch, J. G., &amp; Chen, Q. (2010). Reconsidering Baron and Kenny: Myths and truths about mediation analysis. Journal of Consumer Research, 37(2), 197-206. https://doi.org/10.1086/651257</w:t>
      </w:r>
    </w:p>
    <w:p w14:paraId="76D22F69" w14:textId="77777777" w:rsidR="00414570" w:rsidRDefault="00414570" w:rsidP="004148DE">
      <w:pPr>
        <w:pStyle w:val="a4"/>
        <w:rPr>
          <w:rtl w:val="0"/>
        </w:rPr>
      </w:pPr>
    </w:p>
    <w:sectPr w:rsidR="00414570" w:rsidSect="007E709B">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F Sultan">
    <w:altName w:val="Times New Roman"/>
    <w:charset w:val="00"/>
    <w:family w:val="auto"/>
    <w:pitch w:val="variable"/>
    <w:sig w:usb0="00000000" w:usb1="C000A04A"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344E06"/>
    <w:multiLevelType w:val="hybridMultilevel"/>
    <w:tmpl w:val="C120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352070"/>
    <w:multiLevelType w:val="hybridMultilevel"/>
    <w:tmpl w:val="5ADE6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3508BB"/>
    <w:multiLevelType w:val="hybridMultilevel"/>
    <w:tmpl w:val="30E4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6E050F"/>
    <w:multiLevelType w:val="hybridMultilevel"/>
    <w:tmpl w:val="8410D2CC"/>
    <w:lvl w:ilvl="0" w:tplc="94086272">
      <w:start w:val="1"/>
      <w:numFmt w:val="bullet"/>
      <w:lvlText w:val="●"/>
      <w:lvlJc w:val="left"/>
      <w:pPr>
        <w:ind w:left="720" w:hanging="360"/>
      </w:pPr>
    </w:lvl>
    <w:lvl w:ilvl="1" w:tplc="05DC04F4">
      <w:start w:val="1"/>
      <w:numFmt w:val="bullet"/>
      <w:lvlText w:val="○"/>
      <w:lvlJc w:val="left"/>
      <w:pPr>
        <w:ind w:left="1440" w:hanging="360"/>
      </w:pPr>
    </w:lvl>
    <w:lvl w:ilvl="2" w:tplc="5FDCD72E">
      <w:start w:val="1"/>
      <w:numFmt w:val="bullet"/>
      <w:lvlText w:val="■"/>
      <w:lvlJc w:val="left"/>
      <w:pPr>
        <w:ind w:left="2160" w:hanging="360"/>
      </w:pPr>
    </w:lvl>
    <w:lvl w:ilvl="3" w:tplc="83B8B010">
      <w:start w:val="1"/>
      <w:numFmt w:val="bullet"/>
      <w:lvlText w:val="●"/>
      <w:lvlJc w:val="left"/>
      <w:pPr>
        <w:ind w:left="2880" w:hanging="360"/>
      </w:pPr>
    </w:lvl>
    <w:lvl w:ilvl="4" w:tplc="E6DC0796">
      <w:start w:val="1"/>
      <w:numFmt w:val="bullet"/>
      <w:lvlText w:val="○"/>
      <w:lvlJc w:val="left"/>
      <w:pPr>
        <w:ind w:left="3600" w:hanging="360"/>
      </w:pPr>
    </w:lvl>
    <w:lvl w:ilvl="5" w:tplc="7354CFA6">
      <w:start w:val="1"/>
      <w:numFmt w:val="bullet"/>
      <w:lvlText w:val="■"/>
      <w:lvlJc w:val="left"/>
      <w:pPr>
        <w:ind w:left="4320" w:hanging="360"/>
      </w:pPr>
    </w:lvl>
    <w:lvl w:ilvl="6" w:tplc="D08E790E">
      <w:start w:val="1"/>
      <w:numFmt w:val="bullet"/>
      <w:lvlText w:val="●"/>
      <w:lvlJc w:val="left"/>
      <w:pPr>
        <w:ind w:left="5040" w:hanging="360"/>
      </w:pPr>
    </w:lvl>
    <w:lvl w:ilvl="7" w:tplc="7A3CDF86">
      <w:start w:val="1"/>
      <w:numFmt w:val="bullet"/>
      <w:lvlText w:val="●"/>
      <w:lvlJc w:val="left"/>
      <w:pPr>
        <w:ind w:left="5760" w:hanging="360"/>
      </w:pPr>
    </w:lvl>
    <w:lvl w:ilvl="8" w:tplc="BA061C56">
      <w:start w:val="1"/>
      <w:numFmt w:val="bullet"/>
      <w:lvlText w:val="●"/>
      <w:lvlJc w:val="left"/>
      <w:pPr>
        <w:ind w:left="6480" w:hanging="360"/>
      </w:pPr>
    </w:lvl>
  </w:abstractNum>
  <w:abstractNum w:abstractNumId="4" w15:restartNumberingAfterBreak="0">
    <w:nsid w:val="579A7B1E"/>
    <w:multiLevelType w:val="hybridMultilevel"/>
    <w:tmpl w:val="EBA81E64"/>
    <w:lvl w:ilvl="0" w:tplc="27FE9688">
      <w:start w:val="1"/>
      <w:numFmt w:val="bullet"/>
      <w:lvlText w:val="•"/>
      <w:lvlJc w:val="right"/>
      <w:pPr>
        <w:ind w:right="720" w:hanging="360"/>
      </w:pPr>
    </w:lvl>
    <w:lvl w:ilvl="1" w:tplc="431A8F94">
      <w:numFmt w:val="decimal"/>
      <w:lvlText w:val=""/>
      <w:lvlJc w:val="left"/>
    </w:lvl>
    <w:lvl w:ilvl="2" w:tplc="945281C8">
      <w:numFmt w:val="decimal"/>
      <w:lvlText w:val=""/>
      <w:lvlJc w:val="left"/>
    </w:lvl>
    <w:lvl w:ilvl="3" w:tplc="5BA653E0">
      <w:numFmt w:val="decimal"/>
      <w:lvlText w:val=""/>
      <w:lvlJc w:val="left"/>
    </w:lvl>
    <w:lvl w:ilvl="4" w:tplc="2B084D78">
      <w:numFmt w:val="decimal"/>
      <w:lvlText w:val=""/>
      <w:lvlJc w:val="left"/>
    </w:lvl>
    <w:lvl w:ilvl="5" w:tplc="6CB6FF70">
      <w:numFmt w:val="decimal"/>
      <w:lvlText w:val=""/>
      <w:lvlJc w:val="left"/>
    </w:lvl>
    <w:lvl w:ilvl="6" w:tplc="F6305884">
      <w:numFmt w:val="decimal"/>
      <w:lvlText w:val=""/>
      <w:lvlJc w:val="left"/>
    </w:lvl>
    <w:lvl w:ilvl="7" w:tplc="3984FB98">
      <w:numFmt w:val="decimal"/>
      <w:lvlText w:val=""/>
      <w:lvlJc w:val="left"/>
    </w:lvl>
    <w:lvl w:ilvl="8" w:tplc="A044E7B2">
      <w:numFmt w:val="decimal"/>
      <w:lvlText w:val=""/>
      <w:lvlJc w:val="left"/>
    </w:lvl>
  </w:abstractNum>
  <w:abstractNum w:abstractNumId="5" w15:restartNumberingAfterBreak="0">
    <w:nsid w:val="70A11706"/>
    <w:multiLevelType w:val="hybridMultilevel"/>
    <w:tmpl w:val="F124BC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51128267">
    <w:abstractNumId w:val="3"/>
    <w:lvlOverride w:ilvl="0">
      <w:startOverride w:val="1"/>
    </w:lvlOverride>
  </w:num>
  <w:num w:numId="2" w16cid:durableId="915673657">
    <w:abstractNumId w:val="4"/>
    <w:lvlOverride w:ilvl="0">
      <w:startOverride w:val="1"/>
    </w:lvlOverride>
  </w:num>
  <w:num w:numId="3" w16cid:durableId="670765441">
    <w:abstractNumId w:val="2"/>
  </w:num>
  <w:num w:numId="4" w16cid:durableId="1567690922">
    <w:abstractNumId w:val="5"/>
  </w:num>
  <w:num w:numId="5" w16cid:durableId="300771261">
    <w:abstractNumId w:val="1"/>
  </w:num>
  <w:num w:numId="6" w16cid:durableId="50008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CBD"/>
    <w:rsid w:val="0009148E"/>
    <w:rsid w:val="0031643D"/>
    <w:rsid w:val="003D1F04"/>
    <w:rsid w:val="00414570"/>
    <w:rsid w:val="004148DE"/>
    <w:rsid w:val="007E709B"/>
    <w:rsid w:val="008505AD"/>
    <w:rsid w:val="0099616A"/>
    <w:rsid w:val="00AD5A90"/>
    <w:rsid w:val="00B246BB"/>
    <w:rsid w:val="00EA4CEB"/>
    <w:rsid w:val="00EB5C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0D08"/>
  <w15:docId w15:val="{12DAC41E-3901-4527-BB50-6BE9F22A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raditional Arabic" w:eastAsia="Traditional Arabic" w:hAnsi="Traditional Arabic" w:cs="Traditional Arabic"/>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Strong1">
    <w:name w:val="Strong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table" w:styleId="a9">
    <w:name w:val="Table Grid"/>
    <w:basedOn w:val="a1"/>
    <w:uiPriority w:val="39"/>
    <w:rsid w:val="008505AD"/>
    <w:rPr>
      <w:rFonts w:ascii="Calibri" w:eastAsia="Calibri" w:hAnsi="Calibri" w:cs="Arial"/>
      <w:sz w:val="22"/>
      <w:szCs w:val="22"/>
      <w:rtl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8404</Words>
  <Characters>47905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dc:description>نسخة معدلة وفق ملاحظات لجنة التقييم؛ التعديلات الجوهرية مميزة باللون الأزرق.</dc:description>
  <cp:lastModifiedBy>Noufah nono</cp:lastModifiedBy>
  <cp:revision>2</cp:revision>
  <dcterms:created xsi:type="dcterms:W3CDTF">2026-08-15T15:00:00Z</dcterms:created>
  <dcterms:modified xsi:type="dcterms:W3CDTF">2026-08-15T15:00:00Z</dcterms:modified>
</cp:coreProperties>
</file>