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CA4BC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CA4B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6E6697" w:rsidR="008239B5" w:rsidRDefault="00EB387B" w:rsidP="00CA4BC1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CA4B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CA4B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CA4BC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CA4BC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CA4B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CA4BC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CA4BC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5E68A58B" w14:textId="61FAAB1E" w:rsidR="008239B5" w:rsidRDefault="00CA4BC1">
            <w:pPr>
              <w:jc w:val="center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 xml:space="preserve">مقدمة عن ادارة المخاطر </w:t>
            </w:r>
          </w:p>
          <w:p w14:paraId="68838B98" w14:textId="25CD2E98" w:rsidR="00CA4BC1" w:rsidRDefault="00CA4BC1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مفهووم جودة التشغيل </w:t>
            </w:r>
          </w:p>
          <w:p w14:paraId="4B813C75" w14:textId="6F342377" w:rsidR="00CA4BC1" w:rsidRDefault="00CA4BC1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انواع المخاطر </w:t>
            </w:r>
          </w:p>
          <w:p w14:paraId="3E416EE9" w14:textId="117BABC6" w:rsidR="00CA4BC1" w:rsidRPr="00CA4BC1" w:rsidRDefault="00CA4BC1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دور ادارة المخاطر في تحسين جودة التشغيل </w:t>
            </w: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CA4BC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6F48C306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CA4B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CA4BC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CA4BC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B0E78D2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CA4BC1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