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B2724" w14:textId="47AA8CFC" w:rsidR="00EF73E8" w:rsidRPr="004C1AE1" w:rsidRDefault="00C91FFD" w:rsidP="00C92A71">
      <w:pPr>
        <w:pStyle w:val="NoSpacing"/>
        <w:rPr>
          <w:noProof/>
        </w:rPr>
      </w:pPr>
      <w:r>
        <w:rPr>
          <w:noProof/>
        </w:rPr>
        <w:drawing>
          <wp:anchor distT="0" distB="0" distL="114300" distR="114300" simplePos="0" relativeHeight="251638784" behindDoc="0" locked="0" layoutInCell="1" allowOverlap="1" wp14:anchorId="374F60BD" wp14:editId="39573968">
            <wp:simplePos x="0" y="0"/>
            <wp:positionH relativeFrom="column">
              <wp:posOffset>1582877</wp:posOffset>
            </wp:positionH>
            <wp:positionV relativeFrom="paragraph">
              <wp:posOffset>90780</wp:posOffset>
            </wp:positionV>
            <wp:extent cx="2522439" cy="1158340"/>
            <wp:effectExtent l="0" t="0" r="0" b="3810"/>
            <wp:wrapNone/>
            <wp:docPr id="5404788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78898" name="صورة 540478898"/>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anchor>
        </w:drawing>
      </w:r>
    </w:p>
    <w:p w14:paraId="1868F14D" w14:textId="461C530A"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7E0D39A9" w14:textId="77777777"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6A8DEAB0" w14:textId="77777777"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05E58757" w14:textId="77777777" w:rsidR="00A92274" w:rsidRDefault="00A92274" w:rsidP="00A92274">
      <w:pPr>
        <w:pStyle w:val="NormalWeb"/>
        <w:bidi/>
        <w:spacing w:before="0" w:beforeAutospacing="0" w:after="0" w:afterAutospacing="0"/>
        <w:ind w:right="-270"/>
        <w:jc w:val="center"/>
        <w:rPr>
          <w:rFonts w:ascii="Arial" w:hAnsi="Arial" w:cs="Arial"/>
          <w:b/>
          <w:bCs/>
          <w:color w:val="0070C0"/>
          <w:sz w:val="36"/>
          <w:szCs w:val="40"/>
        </w:rPr>
      </w:pPr>
    </w:p>
    <w:p w14:paraId="682C6E8D" w14:textId="77777777" w:rsidR="002E2B29" w:rsidRDefault="002E2B29" w:rsidP="002E2B29">
      <w:pPr>
        <w:pStyle w:val="NormalWeb"/>
        <w:bidi/>
        <w:spacing w:before="0" w:beforeAutospacing="0" w:after="0" w:afterAutospacing="0"/>
        <w:ind w:right="-270"/>
        <w:jc w:val="center"/>
        <w:rPr>
          <w:rFonts w:ascii="Arial" w:hAnsi="Arial" w:cs="Arial"/>
          <w:b/>
          <w:bCs/>
          <w:color w:val="0070C0"/>
          <w:sz w:val="36"/>
          <w:szCs w:val="40"/>
        </w:rPr>
      </w:pPr>
    </w:p>
    <w:p w14:paraId="0D891EE8" w14:textId="77777777" w:rsidR="00461A4C" w:rsidRPr="00465637" w:rsidRDefault="002E2B29" w:rsidP="00100C7F">
      <w:pPr>
        <w:pStyle w:val="NormalWeb"/>
        <w:bidi/>
        <w:spacing w:before="0" w:beforeAutospacing="0" w:after="0" w:afterAutospacing="0"/>
        <w:ind w:right="-270"/>
        <w:jc w:val="center"/>
        <w:rPr>
          <w:rFonts w:ascii="Traditional Arabic" w:hAnsi="Traditional Arabic" w:cs="Traditional Arabic"/>
          <w:b/>
          <w:bCs/>
          <w:sz w:val="36"/>
          <w:szCs w:val="36"/>
          <w:rtl/>
        </w:rPr>
      </w:pPr>
      <w:r>
        <w:rPr>
          <w:rFonts w:ascii="Traditional Arabic" w:hAnsi="Traditional Arabic" w:cs="Traditional Arabic"/>
          <w:b/>
          <w:bCs/>
          <w:sz w:val="36"/>
          <w:szCs w:val="36"/>
          <w:rtl/>
        </w:rPr>
        <w:t>جامعة ميدأوشن</w:t>
      </w:r>
    </w:p>
    <w:p w14:paraId="62AC0951" w14:textId="57B9CA0C" w:rsidR="002E2B29" w:rsidRPr="00100C7F" w:rsidRDefault="002E2B29" w:rsidP="00100C7F">
      <w:pPr>
        <w:pStyle w:val="NormalWeb"/>
        <w:bidi/>
        <w:spacing w:before="0" w:beforeAutospacing="0" w:after="0" w:afterAutospacing="0"/>
        <w:ind w:right="-270"/>
        <w:jc w:val="center"/>
        <w:rPr>
          <w:rFonts w:ascii="Traditional Arabic" w:hAnsi="Traditional Arabic" w:cs="Traditional Arabic"/>
          <w:b/>
          <w:bCs/>
          <w:sz w:val="28"/>
          <w:szCs w:val="28"/>
          <w:rtl/>
        </w:rPr>
      </w:pPr>
      <w:r>
        <w:rPr>
          <w:rFonts w:ascii="Traditional Arabic" w:hAnsi="Traditional Arabic" w:cs="Traditional Arabic"/>
          <w:b/>
          <w:bCs/>
          <w:sz w:val="28"/>
          <w:szCs w:val="28"/>
        </w:rPr>
        <w:br/>
      </w:r>
      <w:r>
        <w:rPr>
          <w:rFonts w:ascii="Traditional Arabic" w:hAnsi="Traditional Arabic" w:cs="Traditional Arabic"/>
          <w:b/>
          <w:bCs/>
          <w:sz w:val="28"/>
          <w:szCs w:val="28"/>
          <w:rtl/>
        </w:rPr>
        <w:t>كلية الإدارة</w:t>
      </w:r>
    </w:p>
    <w:p w14:paraId="41F46454" w14:textId="77777777" w:rsidR="00461A4C" w:rsidRPr="00100C7F" w:rsidRDefault="00461A4C" w:rsidP="00100C7F">
      <w:pPr>
        <w:pStyle w:val="NormalWeb"/>
        <w:bidi/>
        <w:spacing w:before="0" w:beforeAutospacing="0" w:after="0" w:afterAutospacing="0"/>
        <w:ind w:right="-270"/>
        <w:jc w:val="center"/>
        <w:rPr>
          <w:rFonts w:ascii="Traditional Arabic" w:hAnsi="Traditional Arabic" w:cs="Traditional Arabic"/>
          <w:b/>
          <w:bCs/>
          <w:sz w:val="36"/>
          <w:szCs w:val="40"/>
          <w:rtl/>
        </w:rPr>
      </w:pPr>
    </w:p>
    <w:p w14:paraId="4236746F" w14:textId="0FBF6E25" w:rsidR="00845959" w:rsidRPr="00100C7F" w:rsidRDefault="00B70862" w:rsidP="00100C7F">
      <w:pPr>
        <w:pStyle w:val="NormalWeb"/>
        <w:bidi/>
        <w:spacing w:before="0" w:beforeAutospacing="0" w:after="0" w:afterAutospacing="0"/>
        <w:ind w:right="-270"/>
        <w:jc w:val="center"/>
        <w:rPr>
          <w:rFonts w:ascii="Traditional Arabic" w:hAnsi="Traditional Arabic" w:cs="Traditional Arabic"/>
          <w:b/>
          <w:bCs/>
          <w:sz w:val="36"/>
          <w:szCs w:val="40"/>
          <w:rtl/>
        </w:rPr>
      </w:pPr>
      <w:r>
        <w:rPr>
          <w:rStyle w:val="Strong"/>
          <w:rFonts w:ascii="Traditional Arabic" w:eastAsiaTheme="majorEastAsia" w:hAnsi="Traditional Arabic" w:cs="Traditional Arabic"/>
          <w:sz w:val="36"/>
          <w:szCs w:val="36"/>
          <w:rtl/>
        </w:rPr>
        <w:t>نموذج حوكمة ذكي لأصول البنية التحتية المائية في المملكة العربية السعودية</w:t>
      </w:r>
      <w:r>
        <w:rPr>
          <w:rFonts w:ascii="Traditional Arabic" w:hAnsi="Traditional Arabic" w:cs="Traditional Arabic"/>
          <w:sz w:val="36"/>
          <w:szCs w:val="36"/>
        </w:rPr>
        <w:br/>
      </w:r>
      <w:r>
        <w:rPr>
          <w:rStyle w:val="Emphasis"/>
          <w:rFonts w:ascii="Traditional Arabic" w:eastAsiaTheme="majorEastAsia" w:hAnsi="Traditional Arabic" w:cs="Traditional Arabic"/>
          <w:i w:val="0"/>
          <w:iCs w:val="0"/>
          <w:sz w:val="28"/>
          <w:szCs w:val="28"/>
          <w:rtl/>
        </w:rPr>
        <w:t>(نحو تكامل الاستدامة والتحول الرقمي وتعزيز الأداء المؤسسي)</w:t>
      </w:r>
    </w:p>
    <w:p w14:paraId="0C93025E" w14:textId="77777777" w:rsidR="00B03973" w:rsidRPr="00100C7F" w:rsidRDefault="00B03973" w:rsidP="00100C7F">
      <w:pPr>
        <w:pStyle w:val="NormalWeb"/>
        <w:bidi/>
        <w:spacing w:before="0" w:beforeAutospacing="0" w:after="0" w:afterAutospacing="0"/>
        <w:ind w:right="-270"/>
        <w:jc w:val="center"/>
        <w:rPr>
          <w:rFonts w:ascii="Traditional Arabic" w:hAnsi="Traditional Arabic" w:cs="Traditional Arabic"/>
          <w:b/>
          <w:bCs/>
          <w:sz w:val="36"/>
          <w:szCs w:val="40"/>
          <w:rtl/>
        </w:rPr>
      </w:pPr>
    </w:p>
    <w:p w14:paraId="2F78FC23" w14:textId="77777777" w:rsidR="00B03973" w:rsidRPr="00100C7F" w:rsidRDefault="00B03973" w:rsidP="00100C7F">
      <w:pPr>
        <w:pStyle w:val="NormalWeb"/>
        <w:bidi/>
        <w:spacing w:before="0" w:beforeAutospacing="0" w:after="0" w:afterAutospacing="0"/>
        <w:ind w:right="-270"/>
        <w:jc w:val="center"/>
        <w:rPr>
          <w:rFonts w:ascii="Traditional Arabic" w:hAnsi="Traditional Arabic" w:cs="Traditional Arabic"/>
          <w:b/>
          <w:bCs/>
          <w:szCs w:val="28"/>
          <w:rtl/>
        </w:rPr>
      </w:pPr>
      <w:r>
        <w:rPr>
          <w:rFonts w:ascii="Traditional Arabic" w:hAnsi="Traditional Arabic" w:cs="Traditional Arabic"/>
          <w:b/>
          <w:bCs/>
          <w:szCs w:val="28"/>
          <w:rtl/>
        </w:rPr>
        <w:t>اعداد</w:t>
      </w:r>
    </w:p>
    <w:p w14:paraId="2B757BD5" w14:textId="77777777" w:rsidR="003A4369" w:rsidRPr="00100C7F" w:rsidRDefault="003A4369" w:rsidP="00100C7F">
      <w:pPr>
        <w:pStyle w:val="NormalWeb"/>
        <w:bidi/>
        <w:spacing w:before="0" w:beforeAutospacing="0" w:after="0" w:afterAutospacing="0"/>
        <w:ind w:right="-270"/>
        <w:jc w:val="center"/>
        <w:rPr>
          <w:rFonts w:ascii="Traditional Arabic" w:hAnsi="Traditional Arabic" w:cs="Traditional Arabic"/>
          <w:b/>
          <w:bCs/>
          <w:szCs w:val="28"/>
          <w:rtl/>
        </w:rPr>
      </w:pPr>
      <w:r>
        <w:rPr>
          <w:rFonts w:ascii="Traditional Arabic" w:hAnsi="Traditional Arabic" w:cs="Traditional Arabic" w:hint="cs"/>
          <w:b/>
          <w:bCs/>
          <w:szCs w:val="28"/>
          <w:rtl/>
        </w:rPr>
        <w:t>اسم الباحث : ماجد علي بن هلال</w:t>
      </w:r>
    </w:p>
    <w:p w14:paraId="1017EE22" w14:textId="0BAC1595" w:rsidR="00845959" w:rsidRPr="00100C7F" w:rsidRDefault="003A4369" w:rsidP="00100C7F">
      <w:pPr>
        <w:pStyle w:val="NormalWeb"/>
        <w:bidi/>
        <w:spacing w:before="0" w:beforeAutospacing="0" w:after="0" w:afterAutospacing="0"/>
        <w:ind w:right="-270"/>
        <w:jc w:val="center"/>
        <w:rPr>
          <w:rFonts w:ascii="Traditional Arabic" w:hAnsi="Traditional Arabic" w:cs="Traditional Arabic"/>
          <w:b/>
          <w:bCs/>
          <w:sz w:val="22"/>
          <w:rtl/>
        </w:rPr>
      </w:pPr>
      <w:r>
        <w:rPr>
          <w:rFonts w:ascii="Traditional Arabic" w:hAnsi="Traditional Arabic" w:cs="Traditional Arabic" w:hint="cs"/>
          <w:b/>
          <w:bCs/>
          <w:sz w:val="22"/>
          <w:rtl/>
        </w:rPr>
        <w:t>المملكة العربية السعودية</w:t>
      </w:r>
    </w:p>
    <w:p w14:paraId="60935E8E" w14:textId="77777777" w:rsidR="00C91FFD" w:rsidRPr="00100C7F" w:rsidRDefault="00C91FFD" w:rsidP="00100C7F">
      <w:pPr>
        <w:bidi/>
        <w:jc w:val="center"/>
        <w:rPr>
          <w:rFonts w:asciiTheme="majorBidi" w:hAnsiTheme="majorBidi" w:cstheme="majorBidi"/>
          <w:b/>
          <w:bCs/>
          <w:sz w:val="24"/>
          <w:szCs w:val="24"/>
          <w:rtl/>
        </w:rPr>
      </w:pPr>
    </w:p>
    <w:p w14:paraId="29423DDC" w14:textId="77777777" w:rsidR="00C91FFD" w:rsidRPr="00100C7F" w:rsidRDefault="00C91FFD" w:rsidP="00100C7F">
      <w:pPr>
        <w:bidi/>
        <w:jc w:val="center"/>
        <w:rPr>
          <w:rFonts w:asciiTheme="majorBidi" w:hAnsiTheme="majorBidi" w:cstheme="majorBidi"/>
          <w:b/>
          <w:bCs/>
          <w:sz w:val="24"/>
          <w:szCs w:val="24"/>
          <w:rtl/>
        </w:rPr>
      </w:pPr>
    </w:p>
    <w:p w14:paraId="09A4DE5D" w14:textId="77777777" w:rsidR="00FD21D6" w:rsidRPr="00100C7F" w:rsidRDefault="00E109DE" w:rsidP="00100C7F">
      <w:pPr>
        <w:bidi/>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رسالة مقدمة لجامعة ميدأوشن</w:t>
      </w:r>
    </w:p>
    <w:p w14:paraId="53E9C58A" w14:textId="63C4AFB9" w:rsidR="00FD21D6" w:rsidRPr="00100C7F" w:rsidRDefault="00E109DE" w:rsidP="00100C7F">
      <w:pPr>
        <w:bidi/>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لاستكمال متطلبات نيل درجة الدكتوراه في الإدارة</w:t>
      </w:r>
    </w:p>
    <w:p w14:paraId="7D9868E7" w14:textId="1941C015" w:rsidR="0057361B" w:rsidRPr="00100C7F" w:rsidRDefault="0057361B" w:rsidP="008D16F8">
      <w:pPr>
        <w:bidi/>
        <w:jc w:val="center"/>
        <w:rPr>
          <w:rFonts w:ascii="Traditional Arabic" w:hAnsi="Traditional Arabic" w:cs="Traditional Arabic"/>
          <w:b/>
          <w:bCs/>
          <w:sz w:val="16"/>
          <w:szCs w:val="16"/>
          <w:rtl/>
        </w:rPr>
      </w:pPr>
      <w:r>
        <w:rPr>
          <w:rFonts w:ascii="Traditional Arabic" w:hAnsi="Traditional Arabic" w:cs="Traditional Arabic"/>
          <w:b/>
          <w:bCs/>
          <w:sz w:val="16"/>
          <w:szCs w:val="16"/>
          <w:rtl/>
        </w:rPr>
        <w:t>2026م</w:t>
      </w:r>
    </w:p>
    <w:p w14:paraId="36230A79" w14:textId="77777777" w:rsidR="00373669" w:rsidRPr="00100C7F" w:rsidRDefault="00373669" w:rsidP="00100C7F">
      <w:pPr>
        <w:bidi/>
        <w:jc w:val="center"/>
        <w:rPr>
          <w:rFonts w:ascii="Traditional Arabic" w:hAnsi="Traditional Arabic" w:cs="Traditional Arabic"/>
          <w:b/>
          <w:bCs/>
          <w:sz w:val="16"/>
          <w:szCs w:val="16"/>
          <w:rtl/>
        </w:rPr>
      </w:pPr>
    </w:p>
    <w:p w14:paraId="5C06BC68" w14:textId="77777777" w:rsidR="009F6631" w:rsidRDefault="00FA1C9B" w:rsidP="00100C7F">
      <w:pPr>
        <w:pStyle w:val="NormalWeb"/>
        <w:bidi/>
        <w:spacing w:before="0" w:beforeAutospacing="0" w:after="0" w:afterAutospacing="0"/>
        <w:ind w:right="-270"/>
        <w:jc w:val="center"/>
        <w:rPr>
          <w:rFonts w:ascii="Traditional Arabic" w:hAnsi="Traditional Arabic" w:cs="Traditional Arabic"/>
          <w:b/>
          <w:bCs/>
          <w:rtl/>
        </w:rPr>
      </w:pPr>
      <w:r>
        <w:rPr>
          <w:rFonts w:ascii="Traditional Arabic" w:hAnsi="Traditional Arabic" w:cs="Traditional Arabic"/>
          <w:b/>
          <w:bCs/>
          <w:rtl/>
        </w:rPr>
        <w:t xml:space="preserve">دكتوراه في </w:t>
      </w:r>
      <w:r>
        <w:rPr>
          <w:rFonts w:ascii="Traditional Arabic" w:hAnsi="Traditional Arabic" w:cs="Traditional Arabic" w:hint="cs"/>
          <w:b/>
          <w:bCs/>
          <w:rtl/>
        </w:rPr>
        <w:t>الإدارة</w:t>
      </w:r>
    </w:p>
    <w:p w14:paraId="477DEA35" w14:textId="3CE5EECB" w:rsidR="00B003EE" w:rsidRPr="009F6631" w:rsidRDefault="009F6631" w:rsidP="009F6631">
      <w:pPr>
        <w:pStyle w:val="NormalWeb"/>
        <w:bidi/>
        <w:spacing w:before="0" w:beforeAutospacing="0" w:after="0" w:afterAutospacing="0"/>
        <w:ind w:right="-270"/>
        <w:jc w:val="center"/>
        <w:rPr>
          <w:rFonts w:ascii="Traditional Arabic" w:hAnsi="Traditional Arabic" w:cs="Traditional Arabic"/>
          <w:sz w:val="16"/>
          <w:szCs w:val="16"/>
          <w:rtl/>
        </w:rPr>
      </w:pPr>
      <w:r>
        <w:rPr>
          <w:rFonts w:ascii="Traditional Arabic" w:hAnsi="Traditional Arabic" w:cs="Traditional Arabic" w:hint="cs"/>
          <w:sz w:val="16"/>
          <w:szCs w:val="16"/>
          <w:rtl/>
        </w:rPr>
        <w:t xml:space="preserve">2025م </w:t>
      </w:r>
    </w:p>
    <w:p w14:paraId="474E22D8" w14:textId="49D6E16B" w:rsidR="00B003EE" w:rsidRPr="00100C7F" w:rsidRDefault="00B003EE" w:rsidP="00100C7F">
      <w:pPr>
        <w:pStyle w:val="NormalWeb"/>
        <w:bidi/>
        <w:spacing w:before="0" w:beforeAutospacing="0" w:after="0" w:afterAutospacing="0"/>
        <w:ind w:right="-270"/>
        <w:jc w:val="center"/>
        <w:rPr>
          <w:rFonts w:ascii="Traditional Arabic" w:hAnsi="Traditional Arabic" w:cs="Traditional Arabic"/>
          <w:sz w:val="16"/>
          <w:szCs w:val="16"/>
          <w:rtl/>
        </w:rPr>
      </w:pPr>
    </w:p>
    <w:p w14:paraId="416746FF" w14:textId="1B9B8B44" w:rsidR="00D971D0" w:rsidRDefault="00FA1C9B" w:rsidP="00100C7F">
      <w:pPr>
        <w:pStyle w:val="NormalWeb"/>
        <w:bidi/>
        <w:spacing w:before="0" w:beforeAutospacing="0" w:after="0" w:afterAutospacing="0"/>
        <w:ind w:right="-270"/>
        <w:jc w:val="center"/>
        <w:rPr>
          <w:rFonts w:asciiTheme="majorBidi" w:hAnsiTheme="majorBidi" w:cstheme="majorBidi"/>
          <w:b/>
          <w:bCs/>
          <w:sz w:val="36"/>
          <w:szCs w:val="40"/>
          <w:rtl/>
        </w:rPr>
      </w:pPr>
      <w:r>
        <w:rPr>
          <w:rFonts w:ascii="Traditional Arabic" w:hAnsi="Traditional Arabic" w:cs="Traditional Arabic"/>
          <w:b/>
          <w:bCs/>
          <w:sz w:val="16"/>
          <w:szCs w:val="16"/>
          <w:rtl/>
        </w:rPr>
        <w:t>ماجد علي بن هلال</w:t>
      </w:r>
    </w:p>
    <w:p w14:paraId="68310A34"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F80B073"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5EFB7897"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DA32EAB"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23FF52E" w14:textId="77777777" w:rsidR="00DD73BF" w:rsidRDefault="00DD73BF" w:rsidP="00953DC2">
      <w:pPr>
        <w:pStyle w:val="NormalWeb"/>
        <w:bidi/>
        <w:spacing w:before="0" w:beforeAutospacing="0" w:after="0" w:afterAutospacing="0"/>
        <w:ind w:right="-270"/>
        <w:rPr>
          <w:rFonts w:asciiTheme="majorBidi" w:hAnsiTheme="majorBidi" w:cstheme="majorBidi"/>
          <w:b/>
          <w:bCs/>
          <w:sz w:val="36"/>
          <w:szCs w:val="40"/>
          <w:rtl/>
        </w:rPr>
      </w:pPr>
    </w:p>
    <w:p w14:paraId="188E7F78" w14:textId="77777777" w:rsidR="00DD73BF" w:rsidRDefault="00DD73BF" w:rsidP="00DD73BF">
      <w:pPr>
        <w:pStyle w:val="NormalWeb"/>
        <w:bidi/>
        <w:spacing w:before="0" w:beforeAutospacing="0" w:after="0" w:afterAutospacing="0"/>
        <w:ind w:right="-270"/>
        <w:rPr>
          <w:rFonts w:asciiTheme="majorBidi" w:hAnsiTheme="majorBidi" w:cstheme="majorBidi"/>
          <w:b/>
          <w:bCs/>
          <w:sz w:val="36"/>
          <w:szCs w:val="40"/>
          <w:rtl/>
        </w:rPr>
      </w:pPr>
    </w:p>
    <w:p w14:paraId="78F2AFA5" w14:textId="1AADCC97" w:rsidR="00C051FB" w:rsidRDefault="00000989" w:rsidP="00DD73BF">
      <w:pPr>
        <w:pStyle w:val="NormalWeb"/>
        <w:bidi/>
        <w:spacing w:before="0" w:beforeAutospacing="0" w:after="0" w:afterAutospacing="0"/>
        <w:ind w:right="-270"/>
        <w:rPr>
          <w:rFonts w:ascii="Sakkal Majalla" w:hAnsi="Sakkal Majalla" w:cs="Sakkal Majalla"/>
          <w:b/>
          <w:bCs/>
          <w:color w:val="2F5496" w:themeColor="accent1" w:themeShade="BF"/>
          <w:sz w:val="36"/>
          <w:szCs w:val="40"/>
          <w:rtl/>
        </w:rPr>
      </w:pPr>
      <w:r>
        <w:rPr>
          <w:rFonts w:ascii="Sakkal Majalla" w:hAnsi="Sakkal Majalla" w:cs="Sakkal Majalla"/>
          <w:b/>
          <w:bCs/>
          <w:noProof/>
          <w:color w:val="2F5496" w:themeColor="accent1" w:themeShade="BF"/>
          <w:sz w:val="36"/>
          <w:szCs w:val="40"/>
          <w:rtl/>
          <w:lang w:val="ar-SA"/>
          <w14:ligatures w14:val="standardContextual"/>
        </w:rPr>
        <w:lastRenderedPageBreak/>
        <w:drawing>
          <wp:anchor distT="0" distB="0" distL="114300" distR="114300" simplePos="0" relativeHeight="251639808" behindDoc="0" locked="0" layoutInCell="1" allowOverlap="1" wp14:anchorId="4B25161C" wp14:editId="62421F00">
            <wp:simplePos x="0" y="0"/>
            <wp:positionH relativeFrom="column">
              <wp:posOffset>1580515</wp:posOffset>
            </wp:positionH>
            <wp:positionV relativeFrom="paragraph">
              <wp:posOffset>352425</wp:posOffset>
            </wp:positionV>
            <wp:extent cx="2522220" cy="1158240"/>
            <wp:effectExtent l="0" t="0" r="0" b="3810"/>
            <wp:wrapNone/>
            <wp:docPr id="189704584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45840" name="صورة 1897045840"/>
                    <pic:cNvPicPr/>
                  </pic:nvPicPr>
                  <pic:blipFill>
                    <a:blip r:embed="rId8">
                      <a:extLst>
                        <a:ext uri="{28A0092B-C50C-407E-A947-70E740481C1C}">
                          <a14:useLocalDpi xmlns:a14="http://schemas.microsoft.com/office/drawing/2010/main" val="0"/>
                        </a:ext>
                      </a:extLst>
                    </a:blip>
                    <a:stretch>
                      <a:fillRect/>
                    </a:stretch>
                  </pic:blipFill>
                  <pic:spPr>
                    <a:xfrm>
                      <a:off x="0" y="0"/>
                      <a:ext cx="2522220" cy="1158240"/>
                    </a:xfrm>
                    <a:prstGeom prst="rect">
                      <a:avLst/>
                    </a:prstGeom>
                  </pic:spPr>
                </pic:pic>
              </a:graphicData>
            </a:graphic>
          </wp:anchor>
        </w:drawing>
      </w:r>
    </w:p>
    <w:p w14:paraId="41DF9042" w14:textId="25541CE5"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0801805A" w14:textId="0AEB507F"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3BFCB2CD"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6A1CA734"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73437C8"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CD61E56" w14:textId="0087CB67" w:rsidR="006E3F93" w:rsidRPr="007F1EFC" w:rsidRDefault="00520F03" w:rsidP="006E3F93">
      <w:pPr>
        <w:bidi/>
        <w:jc w:val="center"/>
        <w:rPr>
          <w:rFonts w:asciiTheme="majorBidi" w:eastAsia="Times New Roman" w:hAnsiTheme="majorBidi" w:cstheme="majorBidi"/>
          <w:b/>
          <w:bCs/>
          <w:sz w:val="24"/>
          <w:szCs w:val="24"/>
        </w:rPr>
      </w:pPr>
      <w:r>
        <w:rPr>
          <w:rFonts w:asciiTheme="majorBidi" w:eastAsia="Times New Roman" w:hAnsiTheme="majorBidi" w:cstheme="majorBidi"/>
          <w:b/>
          <w:bCs/>
          <w:sz w:val="28"/>
          <w:szCs w:val="32"/>
        </w:rPr>
        <w:t>MIDOCEAN UNIVERSITY</w:t>
      </w:r>
      <w:r>
        <w:rPr>
          <w:rFonts w:asciiTheme="majorBidi" w:eastAsia="Times New Roman" w:hAnsiTheme="majorBidi" w:cstheme="majorBidi"/>
          <w:b/>
          <w:bCs/>
          <w:sz w:val="36"/>
          <w:szCs w:val="40"/>
        </w:rPr>
        <w:br/>
      </w:r>
      <w:r>
        <w:rPr>
          <w:rFonts w:asciiTheme="majorBidi" w:eastAsia="Times New Roman" w:hAnsiTheme="majorBidi" w:cstheme="majorBidi"/>
          <w:b/>
          <w:bCs/>
          <w:sz w:val="24"/>
          <w:szCs w:val="24"/>
        </w:rPr>
        <w:t>COLLEGE OF MANAGEMENT</w:t>
      </w:r>
    </w:p>
    <w:p w14:paraId="7EF50EFE" w14:textId="77777777" w:rsidR="008A656A" w:rsidRPr="006E3F93" w:rsidRDefault="008A656A" w:rsidP="008A656A">
      <w:pPr>
        <w:bidi/>
        <w:jc w:val="center"/>
        <w:rPr>
          <w:rFonts w:asciiTheme="majorBidi" w:eastAsia="Times New Roman" w:hAnsiTheme="majorBidi" w:cstheme="majorBidi"/>
          <w:b/>
          <w:bCs/>
          <w:sz w:val="32"/>
          <w:szCs w:val="36"/>
        </w:rPr>
      </w:pPr>
    </w:p>
    <w:p w14:paraId="5D567A9E" w14:textId="1DE49868" w:rsidR="006E3F93" w:rsidRPr="007F1EFC" w:rsidRDefault="00CB4F86" w:rsidP="006E3F93">
      <w:pPr>
        <w:bidi/>
        <w:jc w:val="center"/>
        <w:rPr>
          <w:rFonts w:asciiTheme="majorBidi" w:eastAsia="Times New Roman" w:hAnsiTheme="majorBidi" w:cstheme="majorBidi"/>
          <w:b/>
          <w:bCs/>
          <w:sz w:val="28"/>
          <w:szCs w:val="28"/>
        </w:rPr>
      </w:pPr>
      <w:r>
        <w:rPr>
          <w:rFonts w:asciiTheme="majorBidi" w:eastAsia="Times New Roman" w:hAnsiTheme="majorBidi" w:cstheme="majorBidi"/>
          <w:b/>
          <w:bCs/>
          <w:sz w:val="36"/>
          <w:szCs w:val="40"/>
        </w:rPr>
        <w:t>A SMART GOVERNANCE MODEL FOR WATER INFRASTRUCTURE ASSETS IN THE KINGDOM OF SAUDI ARABIA</w:t>
      </w:r>
      <w:r>
        <w:rPr>
          <w:rFonts w:asciiTheme="majorBidi" w:eastAsia="Times New Roman" w:hAnsiTheme="majorBidi" w:cstheme="majorBidi"/>
          <w:sz w:val="32"/>
          <w:szCs w:val="36"/>
        </w:rPr>
        <w:br/>
      </w:r>
      <w:r>
        <w:rPr>
          <w:rFonts w:asciiTheme="majorBidi" w:eastAsia="Times New Roman" w:hAnsiTheme="majorBidi" w:cstheme="majorBidi"/>
          <w:sz w:val="28"/>
          <w:szCs w:val="32"/>
        </w:rPr>
        <w:t>(</w:t>
      </w:r>
      <w:r>
        <w:rPr>
          <w:rFonts w:asciiTheme="majorBidi" w:eastAsia="Times New Roman" w:hAnsiTheme="majorBidi" w:cstheme="majorBidi"/>
          <w:sz w:val="28"/>
          <w:szCs w:val="28"/>
        </w:rPr>
        <w:t>Towards the Integration of Sustainability, Digital Transformation, and Institutional Performance Enhancement</w:t>
      </w:r>
      <w:r>
        <w:rPr>
          <w:rFonts w:asciiTheme="majorBidi" w:eastAsia="Times New Roman" w:hAnsiTheme="majorBidi" w:cstheme="majorBidi"/>
          <w:b/>
          <w:bCs/>
          <w:sz w:val="28"/>
          <w:szCs w:val="28"/>
        </w:rPr>
        <w:t>)</w:t>
      </w:r>
    </w:p>
    <w:p w14:paraId="2B5A95C2" w14:textId="77777777" w:rsidR="008120ED" w:rsidRPr="007F1EFC" w:rsidRDefault="008120ED" w:rsidP="008120ED">
      <w:pPr>
        <w:bidi/>
        <w:jc w:val="center"/>
        <w:rPr>
          <w:rFonts w:asciiTheme="majorBidi" w:eastAsia="Times New Roman" w:hAnsiTheme="majorBidi" w:cstheme="majorBidi"/>
          <w:b/>
          <w:bCs/>
          <w:i/>
          <w:iCs/>
          <w:sz w:val="28"/>
          <w:szCs w:val="28"/>
        </w:rPr>
      </w:pPr>
    </w:p>
    <w:p w14:paraId="0A35C3A9" w14:textId="6570D6FE" w:rsidR="00000989" w:rsidRPr="006E3F93" w:rsidRDefault="008120ED" w:rsidP="00000989">
      <w:pPr>
        <w:bidi/>
        <w:jc w:val="center"/>
        <w:rPr>
          <w:rFonts w:asciiTheme="majorBidi" w:eastAsia="Times New Roman" w:hAnsiTheme="majorBidi" w:cstheme="majorBidi"/>
          <w:b/>
          <w:bCs/>
          <w:sz w:val="28"/>
          <w:szCs w:val="28"/>
        </w:rPr>
      </w:pPr>
      <w:r>
        <w:rPr>
          <w:rFonts w:asciiTheme="majorBidi" w:eastAsia="Times New Roman" w:hAnsiTheme="majorBidi" w:cstheme="majorBidi"/>
          <w:b/>
          <w:bCs/>
          <w:sz w:val="28"/>
          <w:szCs w:val="28"/>
        </w:rPr>
        <w:t>BY</w:t>
      </w:r>
    </w:p>
    <w:p w14:paraId="59AAF423" w14:textId="77777777" w:rsidR="006E3F93" w:rsidRPr="006E3F93" w:rsidRDefault="006E3F93" w:rsidP="006E3F93">
      <w:pPr>
        <w:bidi/>
        <w:jc w:val="center"/>
        <w:rPr>
          <w:rFonts w:asciiTheme="majorBidi" w:eastAsia="Times New Roman" w:hAnsiTheme="majorBidi" w:cstheme="majorBidi"/>
          <w:b/>
          <w:bCs/>
          <w:sz w:val="28"/>
          <w:szCs w:val="28"/>
        </w:rPr>
      </w:pPr>
      <w:r>
        <w:rPr>
          <w:rFonts w:asciiTheme="majorBidi" w:eastAsia="Times New Roman" w:hAnsiTheme="majorBidi" w:cstheme="majorBidi"/>
          <w:b/>
          <w:bCs/>
          <w:sz w:val="28"/>
          <w:szCs w:val="28"/>
        </w:rPr>
        <w:t>Researcher Name: Majed Ali Al Hilal</w:t>
      </w:r>
    </w:p>
    <w:p w14:paraId="16B021CF" w14:textId="77777777" w:rsidR="00C91B56" w:rsidRPr="007F1EFC" w:rsidRDefault="006E3F93" w:rsidP="006E3F93">
      <w:pPr>
        <w:bidi/>
        <w:jc w:val="center"/>
        <w:rPr>
          <w:rFonts w:asciiTheme="majorBidi" w:eastAsia="Times New Roman" w:hAnsiTheme="majorBidi" w:cstheme="majorBidi"/>
          <w:b/>
          <w:bCs/>
          <w:sz w:val="24"/>
          <w:szCs w:val="24"/>
        </w:rPr>
      </w:pPr>
      <w:r>
        <w:rPr>
          <w:rFonts w:asciiTheme="majorBidi" w:eastAsia="Times New Roman" w:hAnsiTheme="majorBidi" w:cstheme="majorBidi"/>
          <w:b/>
          <w:bCs/>
          <w:sz w:val="24"/>
          <w:szCs w:val="24"/>
        </w:rPr>
        <w:t>Kingdom of Saudi Arabia</w:t>
      </w:r>
    </w:p>
    <w:p w14:paraId="6662EEB5" w14:textId="77777777" w:rsidR="00D379F7" w:rsidRDefault="006E3F93" w:rsidP="00C91B56">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36"/>
          <w:szCs w:val="40"/>
        </w:rPr>
        <w:br/>
      </w:r>
      <w:r>
        <w:rPr>
          <w:rFonts w:asciiTheme="majorBidi" w:eastAsia="Times New Roman" w:hAnsiTheme="majorBidi" w:cstheme="majorBidi"/>
          <w:b/>
          <w:bCs/>
          <w:sz w:val="24"/>
          <w:szCs w:val="28"/>
        </w:rPr>
        <w:t>A dissertation submitted to Midocean University</w:t>
      </w:r>
    </w:p>
    <w:p w14:paraId="3940270B" w14:textId="0203C9D7" w:rsidR="00DD45AE" w:rsidRDefault="006E3F93" w:rsidP="00D379F7">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24"/>
          <w:szCs w:val="28"/>
        </w:rPr>
        <w:t xml:space="preserve"> in partial fulfillment of the requirements for the degree of Doctor of Philosophy</w:t>
      </w:r>
    </w:p>
    <w:p w14:paraId="183D135E" w14:textId="5D64E075" w:rsidR="00D379F7" w:rsidRPr="007F1EFC" w:rsidRDefault="00D379F7" w:rsidP="00D379F7">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24"/>
          <w:szCs w:val="28"/>
        </w:rPr>
        <w:t>2026</w:t>
      </w:r>
    </w:p>
    <w:p w14:paraId="581A82B4" w14:textId="77777777" w:rsidR="00B427D5" w:rsidRPr="005506F9" w:rsidRDefault="006E3F93" w:rsidP="00B427D5">
      <w:pPr>
        <w:bidi/>
        <w:jc w:val="center"/>
        <w:rPr>
          <w:rFonts w:asciiTheme="majorBidi" w:hAnsiTheme="majorBidi" w:cstheme="majorBidi"/>
          <w:sz w:val="24"/>
          <w:szCs w:val="24"/>
        </w:rPr>
      </w:pPr>
      <w:r>
        <w:rPr>
          <w:rFonts w:asciiTheme="majorBidi" w:eastAsia="Times New Roman" w:hAnsiTheme="majorBidi" w:cstheme="majorBidi"/>
          <w:b/>
          <w:bCs/>
          <w:sz w:val="52"/>
          <w:szCs w:val="56"/>
        </w:rPr>
        <w:br/>
      </w:r>
      <w:r>
        <w:rPr>
          <w:rFonts w:asciiTheme="majorBidi" w:hAnsiTheme="majorBidi" w:cstheme="majorBidi"/>
          <w:sz w:val="24"/>
          <w:szCs w:val="24"/>
        </w:rPr>
        <w:t>Doctor of Philosophy (Ph.D.) in Management</w:t>
      </w:r>
    </w:p>
    <w:p w14:paraId="0C150CEF" w14:textId="77777777" w:rsidR="00B427D5" w:rsidRPr="00B427D5" w:rsidRDefault="00B427D5" w:rsidP="00B427D5">
      <w:pPr>
        <w:bidi/>
        <w:jc w:val="center"/>
        <w:rPr>
          <w:rFonts w:asciiTheme="majorBidi" w:eastAsia="Times New Roman" w:hAnsiTheme="majorBidi" w:cstheme="majorBidi"/>
          <w:sz w:val="16"/>
          <w:szCs w:val="16"/>
        </w:rPr>
      </w:pPr>
      <w:r>
        <w:rPr>
          <w:rFonts w:asciiTheme="majorBidi" w:eastAsia="Times New Roman" w:hAnsiTheme="majorBidi" w:cstheme="majorBidi"/>
          <w:sz w:val="16"/>
          <w:szCs w:val="16"/>
        </w:rPr>
        <w:t>2025</w:t>
      </w:r>
    </w:p>
    <w:p w14:paraId="1E9DE2A0" w14:textId="7167B6BA" w:rsidR="00B427D5" w:rsidRPr="00B427D5" w:rsidRDefault="00B427D5" w:rsidP="00B427D5">
      <w:pPr>
        <w:bidi/>
        <w:jc w:val="center"/>
        <w:rPr>
          <w:rFonts w:asciiTheme="majorBidi" w:eastAsia="Times New Roman" w:hAnsiTheme="majorBidi" w:cstheme="majorBidi"/>
          <w:b/>
          <w:bCs/>
          <w:sz w:val="16"/>
          <w:szCs w:val="16"/>
        </w:rPr>
      </w:pPr>
      <w:r>
        <w:rPr>
          <w:rFonts w:asciiTheme="majorBidi" w:eastAsia="Times New Roman" w:hAnsiTheme="majorBidi" w:cstheme="majorBidi"/>
          <w:b/>
          <w:bCs/>
          <w:sz w:val="16"/>
          <w:szCs w:val="16"/>
        </w:rPr>
        <w:t>Majed Ali AlHilal</w:t>
      </w:r>
    </w:p>
    <w:p w14:paraId="0E64BC68" w14:textId="2A0BD7A3" w:rsidR="006E3F93" w:rsidRDefault="006E3F93" w:rsidP="00A06CDC">
      <w:pPr>
        <w:bidi/>
        <w:jc w:val="center"/>
        <w:rPr>
          <w:rFonts w:asciiTheme="majorBidi" w:eastAsia="Times New Roman" w:hAnsiTheme="majorBidi" w:cstheme="majorBidi"/>
          <w:b/>
          <w:bCs/>
          <w:sz w:val="36"/>
          <w:szCs w:val="40"/>
          <w:rtl/>
        </w:rPr>
      </w:pPr>
    </w:p>
    <w:p w14:paraId="42940E87" w14:textId="77777777" w:rsidR="00DD73BF" w:rsidRDefault="00DD73BF" w:rsidP="00DD73BF">
      <w:pPr>
        <w:bidi/>
        <w:jc w:val="center"/>
        <w:rPr>
          <w:rFonts w:asciiTheme="majorBidi" w:eastAsia="Times New Roman" w:hAnsiTheme="majorBidi" w:cstheme="majorBidi"/>
          <w:b/>
          <w:bCs/>
          <w:sz w:val="36"/>
          <w:szCs w:val="40"/>
          <w:rtl/>
        </w:rPr>
      </w:pPr>
    </w:p>
    <w:p w14:paraId="4DD3D92A" w14:textId="77777777" w:rsidR="006B7903" w:rsidRDefault="006B7903" w:rsidP="006B7903">
      <w:pPr>
        <w:bidi/>
        <w:jc w:val="both"/>
      </w:pPr>
    </w:p>
    <w:p w14:paraId="533F0CAE" w14:textId="77777777" w:rsidR="006B7903" w:rsidRPr="009B3E68" w:rsidRDefault="006B7903" w:rsidP="006B7903">
      <w:pPr>
        <w:rPr>
          <w:rFonts w:asciiTheme="majorBidi" w:hAnsiTheme="majorBidi" w:cstheme="majorBidi"/>
          <w:sz w:val="36"/>
          <w:szCs w:val="36"/>
        </w:rPr>
      </w:pPr>
      <w:r>
        <w:rPr>
          <w:rFonts w:asciiTheme="majorBidi" w:hAnsiTheme="majorBidi" w:cstheme="majorBidi"/>
          <w:sz w:val="36"/>
          <w:szCs w:val="36"/>
        </w:rPr>
        <w:lastRenderedPageBreak/>
        <w:t>Abstract</w:t>
      </w:r>
    </w:p>
    <w:p w14:paraId="34D642AF" w14:textId="77777777" w:rsidR="006B7903" w:rsidRPr="002B1D5C" w:rsidRDefault="006B7903" w:rsidP="006B7903">
      <w:pPr>
        <w:jc w:val="both"/>
        <w:rPr>
          <w:rFonts w:asciiTheme="majorBidi" w:hAnsiTheme="majorBidi" w:cstheme="majorBidi"/>
          <w:sz w:val="28"/>
          <w:szCs w:val="28"/>
        </w:rPr>
      </w:pPr>
      <w:r>
        <w:rPr>
          <w:rFonts w:asciiTheme="majorBidi" w:hAnsiTheme="majorBidi" w:cstheme="majorBidi"/>
          <w:sz w:val="28"/>
          <w:szCs w:val="28"/>
        </w:rPr>
        <w:t>his study seeks to design a smart and integrated governance model for water infrastructure assets in Saudi Arabia, incorporating digital transformation, sustainability principles, and institutional performance enhancement. Adopting a descriptive-analytical methodology, the research utilized both quantitative and qualitative tools to collect data from a purposive sample of experts and practitioners in the water sector. The findings demonstrate a strong positive relationship between digital maturity and asset integrity, while the integration of sustainability principles plays a significant role in mitigating risks and improving institutional performance. The study presents a practical and applicable model aimed at strengthening asset reliability and achieving both operational and institutional sustainability, in line with the objectives of Saudi Vision 2030.</w:t>
      </w:r>
    </w:p>
    <w:p w14:paraId="1AC8F464" w14:textId="77777777" w:rsidR="006B7903" w:rsidRPr="002B1D5C" w:rsidRDefault="006B7903" w:rsidP="006B7903">
      <w:pPr>
        <w:jc w:val="both"/>
        <w:rPr>
          <w:rFonts w:asciiTheme="majorBidi" w:hAnsiTheme="majorBidi" w:cstheme="majorBidi"/>
          <w:sz w:val="28"/>
          <w:szCs w:val="28"/>
        </w:rPr>
      </w:pPr>
      <w:r>
        <w:rPr>
          <w:rFonts w:asciiTheme="majorBidi" w:hAnsiTheme="majorBidi" w:cstheme="majorBidi"/>
          <w:b/>
          <w:bCs/>
          <w:sz w:val="28"/>
          <w:szCs w:val="28"/>
        </w:rPr>
        <w:t>Keywords:</w:t>
      </w:r>
      <w:r>
        <w:rPr>
          <w:rFonts w:asciiTheme="majorBidi" w:hAnsiTheme="majorBidi" w:cstheme="majorBidi"/>
          <w:sz w:val="28"/>
          <w:szCs w:val="28"/>
        </w:rPr>
        <w:t xml:space="preserve"> Smart Governance, Water Assets, Sustainability, Digital Transformation, Institutional Performance.</w:t>
      </w:r>
    </w:p>
    <w:p w14:paraId="2146BAB7" w14:textId="77777777" w:rsidR="0083463A" w:rsidRPr="006B7903" w:rsidRDefault="0083463A" w:rsidP="0083463A">
      <w:pPr>
        <w:bidi/>
        <w:jc w:val="center"/>
        <w:rPr>
          <w:rFonts w:asciiTheme="majorBidi" w:eastAsia="Times New Roman" w:hAnsiTheme="majorBidi" w:cstheme="majorBidi"/>
          <w:b/>
          <w:bCs/>
          <w:sz w:val="36"/>
          <w:szCs w:val="40"/>
          <w:rtl/>
        </w:rPr>
      </w:pPr>
    </w:p>
    <w:p w14:paraId="0F0FE973" w14:textId="77777777" w:rsidR="0083463A" w:rsidRDefault="0083463A" w:rsidP="0083463A">
      <w:pPr>
        <w:bidi/>
        <w:jc w:val="center"/>
        <w:rPr>
          <w:rFonts w:asciiTheme="majorBidi" w:eastAsia="Times New Roman" w:hAnsiTheme="majorBidi" w:cstheme="majorBidi"/>
          <w:b/>
          <w:bCs/>
          <w:sz w:val="36"/>
          <w:szCs w:val="40"/>
          <w:rtl/>
        </w:rPr>
      </w:pPr>
    </w:p>
    <w:p w14:paraId="516342BB" w14:textId="77777777" w:rsidR="0083463A" w:rsidRDefault="0083463A" w:rsidP="0083463A">
      <w:pPr>
        <w:bidi/>
        <w:jc w:val="center"/>
        <w:rPr>
          <w:rFonts w:asciiTheme="majorBidi" w:eastAsia="Times New Roman" w:hAnsiTheme="majorBidi" w:cstheme="majorBidi"/>
          <w:b/>
          <w:bCs/>
          <w:sz w:val="36"/>
          <w:szCs w:val="40"/>
          <w:rtl/>
        </w:rPr>
      </w:pPr>
    </w:p>
    <w:p w14:paraId="782AC290" w14:textId="77777777" w:rsidR="0083463A" w:rsidRDefault="0083463A" w:rsidP="0083463A">
      <w:pPr>
        <w:bidi/>
        <w:jc w:val="center"/>
        <w:rPr>
          <w:rFonts w:asciiTheme="majorBidi" w:eastAsia="Times New Roman" w:hAnsiTheme="majorBidi" w:cstheme="majorBidi"/>
          <w:b/>
          <w:bCs/>
          <w:sz w:val="36"/>
          <w:szCs w:val="40"/>
          <w:rtl/>
        </w:rPr>
      </w:pPr>
    </w:p>
    <w:p w14:paraId="3F8C05B0" w14:textId="77777777" w:rsidR="0083463A" w:rsidRDefault="0083463A" w:rsidP="0083463A">
      <w:pPr>
        <w:bidi/>
        <w:jc w:val="center"/>
        <w:rPr>
          <w:rFonts w:asciiTheme="majorBidi" w:eastAsia="Times New Roman" w:hAnsiTheme="majorBidi" w:cstheme="majorBidi"/>
          <w:b/>
          <w:bCs/>
          <w:sz w:val="36"/>
          <w:szCs w:val="40"/>
          <w:rtl/>
        </w:rPr>
      </w:pPr>
    </w:p>
    <w:p w14:paraId="473CCB99" w14:textId="77777777" w:rsidR="0083463A" w:rsidRDefault="0083463A" w:rsidP="0083463A">
      <w:pPr>
        <w:bidi/>
        <w:jc w:val="center"/>
        <w:rPr>
          <w:rFonts w:asciiTheme="majorBidi" w:eastAsia="Times New Roman" w:hAnsiTheme="majorBidi" w:cstheme="majorBidi"/>
          <w:b/>
          <w:bCs/>
          <w:sz w:val="36"/>
          <w:szCs w:val="40"/>
          <w:rtl/>
        </w:rPr>
      </w:pPr>
    </w:p>
    <w:p w14:paraId="0DB09E5B" w14:textId="77777777" w:rsidR="0083463A" w:rsidRDefault="0083463A" w:rsidP="0083463A">
      <w:pPr>
        <w:bidi/>
        <w:jc w:val="center"/>
        <w:rPr>
          <w:rFonts w:asciiTheme="majorBidi" w:eastAsia="Times New Roman" w:hAnsiTheme="majorBidi" w:cstheme="majorBidi"/>
          <w:b/>
          <w:bCs/>
          <w:sz w:val="36"/>
          <w:szCs w:val="40"/>
          <w:rtl/>
        </w:rPr>
      </w:pPr>
    </w:p>
    <w:p w14:paraId="64276CAA" w14:textId="77777777" w:rsidR="0083463A" w:rsidRDefault="0083463A" w:rsidP="0083463A">
      <w:pPr>
        <w:bidi/>
        <w:jc w:val="center"/>
        <w:rPr>
          <w:rFonts w:asciiTheme="majorBidi" w:eastAsia="Times New Roman" w:hAnsiTheme="majorBidi" w:cstheme="majorBidi"/>
          <w:b/>
          <w:bCs/>
          <w:sz w:val="36"/>
          <w:szCs w:val="40"/>
          <w:rtl/>
        </w:rPr>
      </w:pPr>
    </w:p>
    <w:p w14:paraId="7DC92772" w14:textId="77777777" w:rsidR="0083463A" w:rsidRDefault="0083463A" w:rsidP="0083463A">
      <w:pPr>
        <w:bidi/>
        <w:jc w:val="center"/>
        <w:rPr>
          <w:rFonts w:asciiTheme="majorBidi" w:eastAsia="Times New Roman" w:hAnsiTheme="majorBidi" w:cstheme="majorBidi"/>
          <w:b/>
          <w:bCs/>
          <w:sz w:val="36"/>
          <w:szCs w:val="40"/>
          <w:rtl/>
        </w:rPr>
      </w:pPr>
    </w:p>
    <w:p w14:paraId="46A644B4" w14:textId="77777777" w:rsidR="0083463A" w:rsidRDefault="0083463A" w:rsidP="0083463A">
      <w:pPr>
        <w:bidi/>
        <w:jc w:val="center"/>
        <w:rPr>
          <w:rFonts w:asciiTheme="majorBidi" w:eastAsia="Times New Roman" w:hAnsiTheme="majorBidi" w:cstheme="majorBidi"/>
          <w:b/>
          <w:bCs/>
          <w:sz w:val="36"/>
          <w:szCs w:val="40"/>
          <w:rtl/>
        </w:rPr>
      </w:pPr>
    </w:p>
    <w:p w14:paraId="580BC3AE" w14:textId="77777777" w:rsidR="0083463A" w:rsidRDefault="0083463A" w:rsidP="0083463A">
      <w:pPr>
        <w:bidi/>
        <w:jc w:val="center"/>
        <w:rPr>
          <w:rFonts w:asciiTheme="majorBidi" w:eastAsia="Times New Roman" w:hAnsiTheme="majorBidi" w:cstheme="majorBidi"/>
          <w:b/>
          <w:bCs/>
          <w:sz w:val="36"/>
          <w:szCs w:val="40"/>
          <w:rtl/>
        </w:rPr>
      </w:pPr>
    </w:p>
    <w:p w14:paraId="0E93A161" w14:textId="77777777" w:rsidR="0083463A" w:rsidRPr="006E3F93" w:rsidRDefault="0083463A" w:rsidP="0083463A">
      <w:pPr>
        <w:bidi/>
        <w:jc w:val="center"/>
        <w:rPr>
          <w:rFonts w:asciiTheme="majorBidi" w:eastAsia="Times New Roman" w:hAnsiTheme="majorBidi" w:cstheme="majorBidi"/>
          <w:b/>
          <w:bCs/>
          <w:sz w:val="36"/>
          <w:szCs w:val="40"/>
        </w:rPr>
      </w:pPr>
    </w:p>
    <w:p w14:paraId="28DBA2EE" w14:textId="77777777" w:rsidR="006E3F93" w:rsidRDefault="006E3F93" w:rsidP="00A16743">
      <w:pPr>
        <w:bidi/>
        <w:rPr>
          <w:sz w:val="24"/>
          <w:szCs w:val="24"/>
          <w:rtl/>
        </w:rPr>
      </w:pPr>
    </w:p>
    <w:p w14:paraId="3127331C" w14:textId="77777777" w:rsidR="007F2C3C" w:rsidRDefault="007F2C3C" w:rsidP="007F2C3C">
      <w:pPr>
        <w:bidi/>
        <w:rPr>
          <w:sz w:val="24"/>
          <w:szCs w:val="24"/>
          <w:rtl/>
        </w:rPr>
      </w:pPr>
    </w:p>
    <w:p w14:paraId="0E1B6444" w14:textId="77777777" w:rsidR="007F2C3C" w:rsidRDefault="007F2C3C" w:rsidP="007F2C3C">
      <w:pPr>
        <w:bidi/>
        <w:rPr>
          <w:sz w:val="24"/>
          <w:szCs w:val="24"/>
          <w:rtl/>
        </w:rPr>
      </w:pPr>
    </w:p>
    <w:p w14:paraId="3F2D9E6B" w14:textId="77777777" w:rsidR="007F2C3C" w:rsidRDefault="007F2C3C" w:rsidP="007F2C3C">
      <w:pPr>
        <w:bidi/>
        <w:rPr>
          <w:sz w:val="24"/>
          <w:szCs w:val="24"/>
          <w:rtl/>
        </w:rPr>
      </w:pPr>
    </w:p>
    <w:p w14:paraId="6A6F6B5A" w14:textId="77777777" w:rsidR="007F2C3C" w:rsidRDefault="007F2C3C" w:rsidP="007F2C3C">
      <w:pPr>
        <w:bidi/>
        <w:rPr>
          <w:sz w:val="24"/>
          <w:szCs w:val="24"/>
          <w:rtl/>
        </w:rPr>
      </w:pPr>
    </w:p>
    <w:p w14:paraId="0AC75732" w14:textId="77777777" w:rsidR="007F2C3C" w:rsidRDefault="007F2C3C" w:rsidP="007F2C3C">
      <w:pPr>
        <w:bidi/>
        <w:rPr>
          <w:sz w:val="24"/>
          <w:szCs w:val="24"/>
          <w:rtl/>
        </w:rPr>
      </w:pPr>
    </w:p>
    <w:p w14:paraId="63DA27A1" w14:textId="77777777" w:rsidR="00DD73BF" w:rsidRDefault="00DD73BF" w:rsidP="00DD73BF">
      <w:pPr>
        <w:bidi/>
        <w:rPr>
          <w:sz w:val="24"/>
          <w:szCs w:val="24"/>
          <w:rtl/>
        </w:rPr>
      </w:pPr>
    </w:p>
    <w:p w14:paraId="7C3D38B6" w14:textId="77777777" w:rsidR="007F2C3C" w:rsidRDefault="007F2C3C" w:rsidP="007F2C3C">
      <w:pPr>
        <w:bidi/>
        <w:rPr>
          <w:sz w:val="24"/>
          <w:szCs w:val="24"/>
          <w:rtl/>
        </w:rPr>
      </w:pPr>
    </w:p>
    <w:p w14:paraId="78F20842" w14:textId="77777777" w:rsidR="007F2C3C" w:rsidRDefault="007F2C3C" w:rsidP="007F2C3C">
      <w:pPr>
        <w:bidi/>
        <w:rPr>
          <w:sz w:val="24"/>
          <w:szCs w:val="24"/>
          <w:rtl/>
        </w:rPr>
      </w:pPr>
    </w:p>
    <w:p w14:paraId="74C582B2" w14:textId="77777777" w:rsidR="007F2C3C" w:rsidRDefault="007F2C3C" w:rsidP="007F2C3C">
      <w:pPr>
        <w:bidi/>
        <w:rPr>
          <w:sz w:val="24"/>
          <w:szCs w:val="24"/>
          <w:rtl/>
        </w:rPr>
      </w:pPr>
    </w:p>
    <w:p w14:paraId="58EAB2E1" w14:textId="77777777" w:rsidR="007F2C3C" w:rsidRDefault="007F2C3C" w:rsidP="007F2C3C">
      <w:pPr>
        <w:bidi/>
        <w:rPr>
          <w:sz w:val="24"/>
          <w:szCs w:val="24"/>
          <w:rtl/>
        </w:rPr>
      </w:pPr>
    </w:p>
    <w:p w14:paraId="496B811E" w14:textId="77777777" w:rsidR="007F2C3C" w:rsidRDefault="007F2C3C" w:rsidP="007F2C3C">
      <w:pPr>
        <w:bidi/>
        <w:rPr>
          <w:sz w:val="24"/>
          <w:szCs w:val="24"/>
          <w:rtl/>
        </w:rPr>
      </w:pPr>
    </w:p>
    <w:p w14:paraId="45BB4A60" w14:textId="5A7BE8D0" w:rsidR="007F2C3C" w:rsidRPr="00035E5B" w:rsidRDefault="00035E5B" w:rsidP="00035E5B">
      <w:pPr>
        <w:bidi/>
        <w:jc w:val="center"/>
        <w:rPr>
          <w:sz w:val="24"/>
          <w:szCs w:val="24"/>
          <w:rtl/>
        </w:rPr>
      </w:pPr>
      <w:r>
        <w:rPr>
          <w:rFonts w:ascii="Traditional Arabic" w:hAnsi="Traditional Arabic" w:cs="Traditional Arabic"/>
          <w:b/>
          <w:bCs/>
          <w:sz w:val="36"/>
          <w:szCs w:val="36"/>
          <w:rtl/>
        </w:rPr>
        <w:t>﴿ هُوَ أَنْشَأَكُمْ مِنَ الْأَرْضِ وَاسْتَعْمَرَكُمْ فِيهَا فَاسْتَغْفِرُوهُ ثُمَّ تُوبُوا إِلَيْهِ ۚ إِنَّ رَبِّي قَرِيبٌ مُجِيبٌ ﴾</w:t>
      </w:r>
      <w:r>
        <w:rPr>
          <w:rFonts w:ascii="Traditional Arabic" w:hAnsi="Traditional Arabic" w:cs="Traditional Arabic"/>
          <w:sz w:val="36"/>
          <w:szCs w:val="36"/>
        </w:rPr>
        <w:br/>
      </w:r>
      <w:r>
        <w:rPr>
          <w:rFonts w:hint="cs"/>
          <w:sz w:val="24"/>
          <w:szCs w:val="24"/>
          <w:rtl/>
        </w:rPr>
        <w:t>(</w:t>
      </w:r>
      <w:r>
        <w:rPr>
          <w:sz w:val="24"/>
          <w:szCs w:val="24"/>
          <w:rtl/>
        </w:rPr>
        <w:t>سورة هود، الآية 61</w:t>
      </w:r>
      <w:r>
        <w:rPr>
          <w:rFonts w:hint="cs"/>
          <w:sz w:val="24"/>
          <w:szCs w:val="24"/>
          <w:rtl/>
        </w:rPr>
        <w:t>)</w:t>
      </w:r>
    </w:p>
    <w:p w14:paraId="3BA9B862" w14:textId="77777777" w:rsidR="007F2C3C" w:rsidRDefault="007F2C3C" w:rsidP="00035E5B">
      <w:pPr>
        <w:bidi/>
        <w:jc w:val="center"/>
        <w:rPr>
          <w:sz w:val="24"/>
          <w:szCs w:val="24"/>
          <w:rtl/>
        </w:rPr>
      </w:pPr>
    </w:p>
    <w:p w14:paraId="78C74F9F" w14:textId="77777777" w:rsidR="007F2C3C" w:rsidRDefault="007F2C3C" w:rsidP="007F2C3C">
      <w:pPr>
        <w:bidi/>
        <w:rPr>
          <w:sz w:val="24"/>
          <w:szCs w:val="24"/>
          <w:rtl/>
        </w:rPr>
      </w:pPr>
    </w:p>
    <w:p w14:paraId="5B5270DA" w14:textId="77777777" w:rsidR="007F2C3C" w:rsidRDefault="007F2C3C" w:rsidP="007F2C3C">
      <w:pPr>
        <w:bidi/>
        <w:rPr>
          <w:sz w:val="24"/>
          <w:szCs w:val="24"/>
          <w:rtl/>
        </w:rPr>
      </w:pPr>
    </w:p>
    <w:p w14:paraId="60C75D83" w14:textId="77777777" w:rsidR="007F2C3C" w:rsidRDefault="007F2C3C" w:rsidP="007F2C3C">
      <w:pPr>
        <w:bidi/>
        <w:rPr>
          <w:sz w:val="24"/>
          <w:szCs w:val="24"/>
          <w:rtl/>
        </w:rPr>
      </w:pPr>
    </w:p>
    <w:p w14:paraId="59CCC591" w14:textId="77777777" w:rsidR="007F2C3C" w:rsidRDefault="007F2C3C" w:rsidP="007F2C3C">
      <w:pPr>
        <w:bidi/>
        <w:rPr>
          <w:sz w:val="24"/>
          <w:szCs w:val="24"/>
          <w:rtl/>
        </w:rPr>
      </w:pPr>
    </w:p>
    <w:p w14:paraId="46C57DC0" w14:textId="77777777" w:rsidR="007F2C3C" w:rsidRDefault="007F2C3C" w:rsidP="007F2C3C">
      <w:pPr>
        <w:bidi/>
        <w:rPr>
          <w:sz w:val="24"/>
          <w:szCs w:val="24"/>
          <w:rtl/>
        </w:rPr>
      </w:pPr>
    </w:p>
    <w:p w14:paraId="468DCD8A" w14:textId="77777777" w:rsidR="007F2C3C" w:rsidRDefault="007F2C3C" w:rsidP="007F2C3C">
      <w:pPr>
        <w:bidi/>
        <w:rPr>
          <w:sz w:val="24"/>
          <w:szCs w:val="24"/>
          <w:rtl/>
        </w:rPr>
      </w:pPr>
    </w:p>
    <w:p w14:paraId="77D450BD" w14:textId="77777777" w:rsidR="007F2C3C" w:rsidRDefault="007F2C3C" w:rsidP="007F2C3C">
      <w:pPr>
        <w:bidi/>
        <w:rPr>
          <w:sz w:val="24"/>
          <w:szCs w:val="24"/>
          <w:rtl/>
        </w:rPr>
      </w:pPr>
    </w:p>
    <w:p w14:paraId="20DA618E" w14:textId="77777777" w:rsidR="007F2C3C" w:rsidRDefault="007F2C3C" w:rsidP="007F2C3C">
      <w:pPr>
        <w:bidi/>
        <w:rPr>
          <w:sz w:val="24"/>
          <w:szCs w:val="24"/>
          <w:rtl/>
        </w:rPr>
      </w:pPr>
    </w:p>
    <w:p w14:paraId="65C52F18" w14:textId="77777777" w:rsidR="007F2C3C" w:rsidRDefault="007F2C3C" w:rsidP="007F2C3C">
      <w:pPr>
        <w:bidi/>
        <w:rPr>
          <w:sz w:val="24"/>
          <w:szCs w:val="24"/>
          <w:rtl/>
        </w:rPr>
      </w:pPr>
    </w:p>
    <w:p w14:paraId="7163A464" w14:textId="77777777" w:rsidR="007F2C3C" w:rsidRDefault="007F2C3C" w:rsidP="007F2C3C">
      <w:pPr>
        <w:bidi/>
        <w:rPr>
          <w:sz w:val="24"/>
          <w:szCs w:val="24"/>
          <w:rtl/>
        </w:rPr>
      </w:pPr>
    </w:p>
    <w:p w14:paraId="0AB3B4D1" w14:textId="77777777" w:rsidR="007F2C3C" w:rsidRDefault="007F2C3C" w:rsidP="007F2C3C">
      <w:pPr>
        <w:bidi/>
        <w:rPr>
          <w:sz w:val="24"/>
          <w:szCs w:val="24"/>
          <w:rtl/>
        </w:rPr>
      </w:pPr>
    </w:p>
    <w:p w14:paraId="643E6A48" w14:textId="77777777" w:rsidR="007F2C3C" w:rsidRDefault="007F2C3C" w:rsidP="007F2C3C">
      <w:pPr>
        <w:bidi/>
        <w:rPr>
          <w:sz w:val="24"/>
          <w:szCs w:val="24"/>
          <w:rtl/>
        </w:rPr>
      </w:pPr>
    </w:p>
    <w:p w14:paraId="59601E35" w14:textId="77777777" w:rsidR="007F2C3C" w:rsidRDefault="007F2C3C" w:rsidP="007F2C3C">
      <w:pPr>
        <w:bidi/>
        <w:rPr>
          <w:sz w:val="24"/>
          <w:szCs w:val="24"/>
          <w:rtl/>
        </w:rPr>
      </w:pPr>
    </w:p>
    <w:p w14:paraId="0BC55E40" w14:textId="77777777" w:rsidR="007F2C3C" w:rsidRDefault="007F2C3C" w:rsidP="007F2C3C">
      <w:pPr>
        <w:bidi/>
        <w:rPr>
          <w:sz w:val="24"/>
          <w:szCs w:val="24"/>
          <w:rtl/>
        </w:rPr>
      </w:pPr>
    </w:p>
    <w:p w14:paraId="55C5D652" w14:textId="77777777" w:rsidR="007F2C3C" w:rsidRDefault="007F2C3C" w:rsidP="007F2C3C">
      <w:pPr>
        <w:bidi/>
        <w:rPr>
          <w:sz w:val="24"/>
          <w:szCs w:val="24"/>
          <w:rtl/>
        </w:rPr>
      </w:pPr>
    </w:p>
    <w:p w14:paraId="42A8AE2F" w14:textId="77777777" w:rsidR="007F2C3C" w:rsidRDefault="007F2C3C" w:rsidP="007F2C3C">
      <w:pPr>
        <w:bidi/>
        <w:rPr>
          <w:sz w:val="24"/>
          <w:szCs w:val="24"/>
          <w:rtl/>
        </w:rPr>
      </w:pPr>
    </w:p>
    <w:p w14:paraId="13D54F74" w14:textId="77777777" w:rsidR="007F2C3C" w:rsidRDefault="007F2C3C" w:rsidP="007F2C3C">
      <w:pPr>
        <w:bidi/>
        <w:rPr>
          <w:sz w:val="24"/>
          <w:szCs w:val="24"/>
          <w:rtl/>
        </w:rPr>
      </w:pPr>
    </w:p>
    <w:p w14:paraId="64597061" w14:textId="0DCB4537" w:rsidR="002D227D" w:rsidRPr="004F072C" w:rsidRDefault="002D227D" w:rsidP="001C1505">
      <w:pPr>
        <w:bidi/>
        <w:jc w:val="center"/>
        <w:rPr>
          <w:rFonts w:ascii="Sakkal Majalla" w:hAnsi="Sakkal Majalla" w:cs="Sakkal Majalla"/>
          <w:b/>
          <w:bCs/>
          <w:sz w:val="36"/>
          <w:szCs w:val="36"/>
          <w:rtl/>
        </w:rPr>
      </w:pPr>
      <w:r>
        <w:rPr>
          <w:rFonts w:ascii="Sakkal Majalla" w:hAnsi="Sakkal Majalla" w:cs="Sakkal Majalla"/>
          <w:b/>
          <w:bCs/>
          <w:sz w:val="36"/>
          <w:szCs w:val="36"/>
          <w:rtl/>
        </w:rPr>
        <w:lastRenderedPageBreak/>
        <w:t>إهداء</w:t>
      </w:r>
    </w:p>
    <w:p w14:paraId="2F33C839" w14:textId="77777777" w:rsidR="00AA4B37" w:rsidRPr="00AA4B37" w:rsidRDefault="00AA4B37" w:rsidP="00AA4B37">
      <w:pPr>
        <w:bidi/>
        <w:rPr>
          <w:rFonts w:ascii="Traditional Arabic" w:hAnsi="Traditional Arabic" w:cs="Traditional Arabic"/>
          <w:b/>
          <w:bCs/>
          <w:sz w:val="28"/>
          <w:szCs w:val="28"/>
          <w:rtl/>
        </w:rPr>
      </w:pPr>
    </w:p>
    <w:p w14:paraId="05D603B6" w14:textId="77777777" w:rsidR="00224153" w:rsidRPr="00A018C5" w:rsidRDefault="003076A6" w:rsidP="002D227D">
      <w:p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إلى أمي الحبيبة</w:t>
      </w:r>
      <w:r>
        <w:rPr>
          <w:rFonts w:ascii="Traditional Arabic" w:hAnsi="Traditional Arabic" w:cs="Traditional Arabic"/>
          <w:b/>
          <w:bCs/>
          <w:sz w:val="28"/>
          <w:szCs w:val="28"/>
        </w:rPr>
        <w:t>...</w:t>
      </w:r>
    </w:p>
    <w:p w14:paraId="4E961699" w14:textId="354DD44B" w:rsidR="00224153" w:rsidRPr="009B3E68" w:rsidRDefault="003076A6" w:rsidP="00224153">
      <w:pPr>
        <w:bidi/>
        <w:jc w:val="both"/>
        <w:rPr>
          <w:rFonts w:ascii="Traditional Arabic" w:hAnsi="Traditional Arabic" w:cs="Traditional Arabic"/>
          <w:sz w:val="28"/>
          <w:szCs w:val="28"/>
          <w:rtl/>
        </w:rPr>
      </w:pPr>
      <w:r>
        <w:rPr>
          <w:rFonts w:ascii="Traditional Arabic" w:hAnsi="Traditional Arabic" w:cs="Traditional Arabic"/>
          <w:sz w:val="28"/>
          <w:szCs w:val="28"/>
          <w:rtl/>
        </w:rPr>
        <w:t>من علّمتني أن الإصرار طريق الحلم، وأن الدعاء الصادق لا يضيع أبدًا</w:t>
      </w:r>
      <w:r>
        <w:rPr>
          <w:rFonts w:ascii="Traditional Arabic" w:hAnsi="Traditional Arabic" w:cs="Traditional Arabic"/>
          <w:sz w:val="28"/>
          <w:szCs w:val="28"/>
        </w:rPr>
        <w:t>.</w:t>
      </w:r>
    </w:p>
    <w:p w14:paraId="686D2780" w14:textId="52659BAD" w:rsidR="00C616F2" w:rsidRPr="009B3E68" w:rsidRDefault="003076A6" w:rsidP="00544C98">
      <w:pPr>
        <w:bidi/>
        <w:jc w:val="both"/>
        <w:rPr>
          <w:rFonts w:ascii="Traditional Arabic" w:hAnsi="Traditional Arabic" w:cs="Traditional Arabic"/>
          <w:sz w:val="28"/>
          <w:szCs w:val="28"/>
          <w:rtl/>
        </w:rPr>
      </w:pPr>
      <w:r>
        <w:rPr>
          <w:rFonts w:ascii="Traditional Arabic" w:hAnsi="Traditional Arabic" w:cs="Traditional Arabic"/>
          <w:sz w:val="28"/>
          <w:szCs w:val="28"/>
          <w:rtl/>
        </w:rPr>
        <w:t>إليك يا من حملتِ همي قبل أن أولد، وسهرتِ من أجلي في صغري، ودعوتِ لي في كل مراحل حياتي</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كل خطوة في هذا المشوار كانت ببركة دعائك، وكل نجاح كان صدًى لصبرك وتضحيتك</w:t>
      </w:r>
      <w:r>
        <w:rPr>
          <w:rFonts w:ascii="Traditional Arabic" w:hAnsi="Traditional Arabic" w:cs="Traditional Arabic"/>
          <w:sz w:val="28"/>
          <w:szCs w:val="28"/>
        </w:rPr>
        <w:t>.</w:t>
      </w:r>
    </w:p>
    <w:p w14:paraId="13452AFD" w14:textId="014252BF" w:rsidR="00224153" w:rsidRPr="009B3E68" w:rsidRDefault="003076A6" w:rsidP="00C616F2">
      <w:pPr>
        <w:bidi/>
        <w:jc w:val="both"/>
        <w:rPr>
          <w:rFonts w:ascii="Traditional Arabic" w:hAnsi="Traditional Arabic" w:cs="Traditional Arabic"/>
          <w:sz w:val="28"/>
          <w:szCs w:val="28"/>
          <w:rtl/>
        </w:rPr>
      </w:pPr>
      <w:r>
        <w:rPr>
          <w:rFonts w:ascii="Traditional Arabic" w:hAnsi="Traditional Arabic" w:cs="Traditional Arabic"/>
          <w:sz w:val="28"/>
          <w:szCs w:val="28"/>
          <w:rtl/>
        </w:rPr>
        <w:t>لقد منحتِني من حبك وحنانك ما لا يوصف، وغرستِ في نفسي الإيمان بأن ما يُزرع بالنية الصافية يُثمر مهما طال الزمن</w:t>
      </w:r>
      <w:r>
        <w:rPr>
          <w:rFonts w:ascii="Traditional Arabic" w:hAnsi="Traditional Arabic" w:cs="Traditional Arabic"/>
          <w:sz w:val="28"/>
          <w:szCs w:val="28"/>
        </w:rPr>
        <w:t>.</w:t>
      </w:r>
    </w:p>
    <w:p w14:paraId="6217591D" w14:textId="605AB7AC" w:rsidR="003076A6" w:rsidRPr="009B3E68" w:rsidRDefault="003076A6" w:rsidP="00224153">
      <w:pPr>
        <w:bidi/>
        <w:jc w:val="both"/>
        <w:rPr>
          <w:rFonts w:ascii="Traditional Arabic" w:hAnsi="Traditional Arabic" w:cs="Traditional Arabic"/>
          <w:sz w:val="28"/>
          <w:szCs w:val="28"/>
          <w:rtl/>
        </w:rPr>
      </w:pPr>
      <w:r>
        <w:rPr>
          <w:rFonts w:ascii="Traditional Arabic" w:hAnsi="Traditional Arabic" w:cs="Traditional Arabic"/>
          <w:sz w:val="28"/>
          <w:szCs w:val="28"/>
          <w:rtl/>
        </w:rPr>
        <w:t>فكل حرف في هذه الرسالة، وكل جهد بُذل فيها، هو امتداد لعطائك الذي لا ينضب</w:t>
      </w:r>
      <w:r>
        <w:rPr>
          <w:rFonts w:ascii="Traditional Arabic" w:hAnsi="Traditional Arabic" w:cs="Traditional Arabic"/>
          <w:sz w:val="28"/>
          <w:szCs w:val="28"/>
        </w:rPr>
        <w:t>.</w:t>
      </w:r>
    </w:p>
    <w:p w14:paraId="3A880143" w14:textId="77777777" w:rsidR="00224153" w:rsidRPr="003076A6" w:rsidRDefault="00224153" w:rsidP="00224153">
      <w:pPr>
        <w:bidi/>
        <w:jc w:val="both"/>
        <w:rPr>
          <w:rFonts w:ascii="Traditional Arabic" w:hAnsi="Traditional Arabic" w:cs="Traditional Arabic"/>
          <w:sz w:val="28"/>
          <w:szCs w:val="28"/>
        </w:rPr>
      </w:pPr>
    </w:p>
    <w:p w14:paraId="25EEE3FA" w14:textId="77777777" w:rsidR="002D227D" w:rsidRPr="00A018C5" w:rsidRDefault="003076A6" w:rsidP="002D227D">
      <w:p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وإلى زوجتي الغالية</w:t>
      </w:r>
      <w:r>
        <w:rPr>
          <w:rFonts w:ascii="Traditional Arabic" w:hAnsi="Traditional Arabic" w:cs="Traditional Arabic"/>
          <w:b/>
          <w:bCs/>
          <w:sz w:val="28"/>
          <w:szCs w:val="28"/>
        </w:rPr>
        <w:t>...</w:t>
      </w:r>
    </w:p>
    <w:p w14:paraId="34C296A9" w14:textId="25B9DAC9" w:rsidR="003076A6" w:rsidRPr="003076A6" w:rsidRDefault="003076A6" w:rsidP="00544C98">
      <w:pPr>
        <w:bidi/>
        <w:jc w:val="both"/>
        <w:rPr>
          <w:rFonts w:ascii="Traditional Arabic" w:hAnsi="Traditional Arabic" w:cs="Traditional Arabic"/>
          <w:sz w:val="28"/>
          <w:szCs w:val="28"/>
        </w:rPr>
      </w:pPr>
      <w:r>
        <w:rPr>
          <w:rFonts w:ascii="Traditional Arabic" w:hAnsi="Traditional Arabic" w:cs="Traditional Arabic"/>
          <w:sz w:val="28"/>
          <w:szCs w:val="28"/>
          <w:rtl/>
        </w:rPr>
        <w:t>رفيقة الدرب، وسند القلب، التي كانت معي في كل لحظة تعب وسهر وتحدٍ</w:t>
      </w:r>
      <w:r>
        <w:rPr>
          <w:rFonts w:ascii="Traditional Arabic" w:hAnsi="Traditional Arabic" w:cs="Traditional Arabic"/>
          <w:sz w:val="28"/>
          <w:szCs w:val="28"/>
        </w:rPr>
        <w:t>.</w:t>
      </w:r>
      <w:r>
        <w:rPr>
          <w:rFonts w:ascii="Traditional Arabic" w:hAnsi="Traditional Arabic" w:cs="Traditional Arabic"/>
          <w:sz w:val="28"/>
          <w:szCs w:val="28"/>
          <w:rtl/>
        </w:rPr>
        <w:t>كنتِ العون والسكينة، والصوت الهادئ الذي يذكرني دائمًا أن الغايات العظيمة تستحق الصبر</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منحتِني من دعمك وتشجيعك وإيمانك ما جعل المستحيل يبدو ممكنًا، فكنتِ الشريكة في كل إنجاز، لا شاهدة عليه فقط</w:t>
      </w:r>
      <w:r>
        <w:rPr>
          <w:rFonts w:ascii="Traditional Arabic" w:hAnsi="Traditional Arabic" w:cs="Traditional Arabic"/>
          <w:sz w:val="28"/>
          <w:szCs w:val="28"/>
        </w:rPr>
        <w:t>.</w:t>
      </w:r>
    </w:p>
    <w:p w14:paraId="502DAD7B" w14:textId="77777777" w:rsidR="00224153" w:rsidRPr="009B3E68" w:rsidRDefault="00224153" w:rsidP="00224153">
      <w:pPr>
        <w:bidi/>
        <w:jc w:val="both"/>
        <w:rPr>
          <w:rFonts w:ascii="Traditional Arabic" w:hAnsi="Traditional Arabic" w:cs="Traditional Arabic"/>
          <w:sz w:val="28"/>
          <w:szCs w:val="28"/>
          <w:rtl/>
        </w:rPr>
      </w:pPr>
    </w:p>
    <w:p w14:paraId="281AA52B" w14:textId="1221E645" w:rsidR="003076A6" w:rsidRPr="003076A6" w:rsidRDefault="003076A6" w:rsidP="00224153">
      <w:pPr>
        <w:bidi/>
        <w:jc w:val="both"/>
        <w:rPr>
          <w:rFonts w:ascii="Traditional Arabic" w:hAnsi="Traditional Arabic" w:cs="Traditional Arabic"/>
          <w:sz w:val="28"/>
          <w:szCs w:val="28"/>
        </w:rPr>
      </w:pPr>
      <w:r>
        <w:rPr>
          <w:rFonts w:ascii="Traditional Arabic" w:hAnsi="Traditional Arabic" w:cs="Traditional Arabic"/>
          <w:sz w:val="28"/>
          <w:szCs w:val="28"/>
          <w:rtl/>
        </w:rPr>
        <w:t>إليكما معًا، أهدي ثمرة هذا الجهد المتواضع، عرفانًا وامتنانًا، ووفاءً لحبٍ لا يُقاس بالكلمات،</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ودعاءً أن يبارك الله فيكما كما باركتما في أيامي وأحلامي</w:t>
      </w:r>
      <w:r>
        <w:rPr>
          <w:rFonts w:ascii="Traditional Arabic" w:hAnsi="Traditional Arabic" w:cs="Traditional Arabic"/>
          <w:sz w:val="28"/>
          <w:szCs w:val="28"/>
        </w:rPr>
        <w:t>.</w:t>
      </w:r>
    </w:p>
    <w:p w14:paraId="771A7DF2" w14:textId="77777777" w:rsidR="007F2C3C" w:rsidRDefault="007F2C3C" w:rsidP="007F2C3C">
      <w:pPr>
        <w:bidi/>
        <w:rPr>
          <w:sz w:val="24"/>
          <w:szCs w:val="24"/>
          <w:rtl/>
        </w:rPr>
      </w:pPr>
    </w:p>
    <w:p w14:paraId="3D398938" w14:textId="77777777" w:rsidR="00544C98" w:rsidRDefault="00544C98" w:rsidP="00544C98">
      <w:pPr>
        <w:bidi/>
        <w:rPr>
          <w:sz w:val="24"/>
          <w:szCs w:val="24"/>
          <w:rtl/>
        </w:rPr>
      </w:pPr>
    </w:p>
    <w:p w14:paraId="59EF8F29" w14:textId="77777777" w:rsidR="00544C98" w:rsidRDefault="00544C98" w:rsidP="00544C98">
      <w:pPr>
        <w:bidi/>
        <w:rPr>
          <w:sz w:val="24"/>
          <w:szCs w:val="24"/>
          <w:rtl/>
        </w:rPr>
      </w:pPr>
    </w:p>
    <w:p w14:paraId="71CE9887" w14:textId="77777777" w:rsidR="00544C98" w:rsidRDefault="00544C98" w:rsidP="00544C98">
      <w:pPr>
        <w:bidi/>
        <w:rPr>
          <w:sz w:val="24"/>
          <w:szCs w:val="24"/>
          <w:rtl/>
        </w:rPr>
      </w:pPr>
    </w:p>
    <w:p w14:paraId="2EE2036D" w14:textId="77777777" w:rsidR="00544C98" w:rsidRDefault="00544C98" w:rsidP="00544C98">
      <w:pPr>
        <w:bidi/>
        <w:rPr>
          <w:sz w:val="24"/>
          <w:szCs w:val="24"/>
          <w:rtl/>
        </w:rPr>
      </w:pPr>
    </w:p>
    <w:p w14:paraId="32712775" w14:textId="77777777" w:rsidR="00544C98" w:rsidRDefault="00544C98" w:rsidP="00544C98">
      <w:pPr>
        <w:bidi/>
        <w:rPr>
          <w:sz w:val="24"/>
          <w:szCs w:val="24"/>
          <w:rtl/>
        </w:rPr>
      </w:pPr>
    </w:p>
    <w:p w14:paraId="30EE4D35" w14:textId="77777777" w:rsidR="00544C98" w:rsidRDefault="00544C98" w:rsidP="00544C98">
      <w:pPr>
        <w:bidi/>
        <w:rPr>
          <w:sz w:val="24"/>
          <w:szCs w:val="24"/>
          <w:rtl/>
        </w:rPr>
      </w:pPr>
    </w:p>
    <w:p w14:paraId="54A53F09" w14:textId="77777777" w:rsidR="00544C98" w:rsidRDefault="00544C98" w:rsidP="00544C98">
      <w:pPr>
        <w:bidi/>
        <w:rPr>
          <w:sz w:val="24"/>
          <w:szCs w:val="24"/>
          <w:rtl/>
        </w:rPr>
      </w:pPr>
    </w:p>
    <w:p w14:paraId="04123F0F" w14:textId="77777777" w:rsidR="00544C98" w:rsidRDefault="00544C98" w:rsidP="00544C98">
      <w:pPr>
        <w:bidi/>
        <w:rPr>
          <w:sz w:val="24"/>
          <w:szCs w:val="24"/>
          <w:rtl/>
        </w:rPr>
      </w:pPr>
    </w:p>
    <w:p w14:paraId="53E7D0B1" w14:textId="77777777" w:rsidR="00544C98" w:rsidRPr="003076A6" w:rsidRDefault="00544C98" w:rsidP="00544C98">
      <w:pPr>
        <w:bidi/>
        <w:rPr>
          <w:sz w:val="24"/>
          <w:szCs w:val="24"/>
          <w:rtl/>
        </w:rPr>
      </w:pPr>
    </w:p>
    <w:p w14:paraId="71C65D55" w14:textId="6BF48887" w:rsidR="003957AC" w:rsidRPr="009B3E68" w:rsidRDefault="006A7286" w:rsidP="004F072C">
      <w:pPr>
        <w:bidi/>
        <w:jc w:val="center"/>
        <w:rPr>
          <w:sz w:val="24"/>
          <w:szCs w:val="24"/>
          <w:rtl/>
        </w:rPr>
      </w:pPr>
      <w:r>
        <w:rPr>
          <w:rFonts w:ascii="Traditional Arabic" w:hAnsi="Traditional Arabic" w:cs="Traditional Arabic" w:hint="cs"/>
          <w:b/>
          <w:bCs/>
          <w:sz w:val="36"/>
          <w:szCs w:val="36"/>
          <w:rtl/>
        </w:rPr>
        <w:lastRenderedPageBreak/>
        <w:t>شكر وتقدير</w:t>
      </w:r>
    </w:p>
    <w:p w14:paraId="05D94AC3" w14:textId="77777777" w:rsidR="00544C98" w:rsidRPr="00F672E5" w:rsidRDefault="00544C98" w:rsidP="00544C98">
      <w:pPr>
        <w:bidi/>
        <w:rPr>
          <w:sz w:val="20"/>
          <w:szCs w:val="20"/>
          <w:rtl/>
        </w:rPr>
      </w:pPr>
    </w:p>
    <w:p w14:paraId="347E8296"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الحمد لله رب العالمين، الذي بنعمته تتم الصالحات، وبفضله تتحقق الأمنيات، وبتوفيقه تُنال الغايات</w:t>
      </w:r>
      <w:r>
        <w:rPr>
          <w:rFonts w:ascii="Traditional Arabic" w:hAnsi="Traditional Arabic" w:cs="Traditional Arabic"/>
          <w:sz w:val="28"/>
          <w:szCs w:val="28"/>
        </w:rPr>
        <w:t>.</w:t>
      </w:r>
    </w:p>
    <w:p w14:paraId="768A362D" w14:textId="77777777" w:rsidR="00ED259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أتقدم بخالص الشكر والتقدير والعرفان إلى أساتذتي الأفاضل في جامعة ميدأوشن، الذين كان لهم الفضل بعد الله في إرشادي وتوجيهي خلال هذه الرحلة العلمية المليئة بالتحديات والمعرفة</w:t>
      </w:r>
      <w:r>
        <w:rPr>
          <w:rFonts w:ascii="Traditional Arabic" w:hAnsi="Traditional Arabic" w:cs="Traditional Arabic"/>
          <w:sz w:val="28"/>
          <w:szCs w:val="28"/>
        </w:rPr>
        <w:t>.</w:t>
      </w:r>
    </w:p>
    <w:p w14:paraId="5CB7A59D" w14:textId="3EA5B7D5" w:rsidR="006A7286"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لقد أثروا مسيرتي بفكرهم النيّر، ودعمهم المتواصل، وملاحظاتهم القيّمة التي أسهمت في إغناء هذا البحث وتجويده</w:t>
      </w:r>
      <w:r>
        <w:rPr>
          <w:rFonts w:ascii="Traditional Arabic" w:hAnsi="Traditional Arabic" w:cs="Traditional Arabic"/>
          <w:sz w:val="28"/>
          <w:szCs w:val="28"/>
        </w:rPr>
        <w:t>.</w:t>
      </w:r>
    </w:p>
    <w:p w14:paraId="74648257" w14:textId="48EA39C9"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فلكم مني كل التقدير والعرفان، جزاء ما قدمتم من علم وصبر وتوجيه كريم</w:t>
      </w:r>
      <w:r>
        <w:rPr>
          <w:rFonts w:ascii="Traditional Arabic" w:hAnsi="Traditional Arabic" w:cs="Traditional Arabic"/>
          <w:sz w:val="28"/>
          <w:szCs w:val="28"/>
        </w:rPr>
        <w:t>.</w:t>
      </w:r>
    </w:p>
    <w:p w14:paraId="4EE9393E" w14:textId="0C5970D3"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كما أتوجه بخالص الشكر والامتنان إلى عائلتي الكريمة التي كانت السند الحقيقي والداعم الصادق في مسيرة هذا الإنجاز</w:t>
      </w:r>
      <w:r>
        <w:rPr>
          <w:rFonts w:ascii="Traditional Arabic" w:hAnsi="Traditional Arabic" w:cs="Traditional Arabic"/>
          <w:sz w:val="28"/>
          <w:szCs w:val="28"/>
        </w:rPr>
        <w:t>.</w:t>
      </w:r>
    </w:p>
    <w:p w14:paraId="53C742BD" w14:textId="77777777" w:rsidR="00ED259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أولاً، إلى أمي الغالية، نبع الحنان، ورفيقة الدعاء، ومنبع القوة في كل خطوة من حياتي</w:t>
      </w:r>
      <w:r>
        <w:rPr>
          <w:rFonts w:ascii="Traditional Arabic" w:hAnsi="Traditional Arabic" w:cs="Traditional Arabic"/>
          <w:sz w:val="28"/>
          <w:szCs w:val="28"/>
        </w:rPr>
        <w:t>.</w:t>
      </w:r>
    </w:p>
    <w:p w14:paraId="1620370A" w14:textId="77777777" w:rsidR="00ED259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هي من غرست في نفسي الإيمان، ومنحتني الصبر والثقة لأكمل الطريق مهما كانت الصعوبات</w:t>
      </w:r>
      <w:r>
        <w:rPr>
          <w:rFonts w:ascii="Traditional Arabic" w:hAnsi="Traditional Arabic" w:cs="Traditional Arabic"/>
          <w:sz w:val="28"/>
          <w:szCs w:val="28"/>
        </w:rPr>
        <w:t>.</w:t>
      </w:r>
    </w:p>
    <w:p w14:paraId="6445E041" w14:textId="38E0761E"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إن بركة دعائها كانت سرّ هذا التوفيق، وإن كل إنجاز يتحقق في حياتي فهو امتداد لعطائها الذي لا ينتهي</w:t>
      </w:r>
      <w:r>
        <w:rPr>
          <w:rFonts w:ascii="Traditional Arabic" w:hAnsi="Traditional Arabic" w:cs="Traditional Arabic"/>
          <w:sz w:val="28"/>
          <w:szCs w:val="28"/>
        </w:rPr>
        <w:t>.</w:t>
      </w:r>
    </w:p>
    <w:p w14:paraId="67B90A8F" w14:textId="57210A9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ثم إلى زوجتي العزيزة، رفيقة الدرب وشريكة النجاح، التي شاركتني الأوقات الصعبة كما شاركتني الفرح والإنجاز</w:t>
      </w:r>
      <w:r>
        <w:rPr>
          <w:rFonts w:ascii="Traditional Arabic" w:hAnsi="Traditional Arabic" w:cs="Traditional Arabic"/>
          <w:sz w:val="28"/>
          <w:szCs w:val="28"/>
        </w:rPr>
        <w:t>.</w:t>
      </w:r>
      <w:r>
        <w:rPr>
          <w:rFonts w:ascii="Traditional Arabic" w:hAnsi="Traditional Arabic" w:cs="Traditional Arabic"/>
          <w:sz w:val="28"/>
          <w:szCs w:val="28"/>
          <w:rtl/>
        </w:rPr>
        <w:t>كانت الدعم المعنوي والروحي، وكانت حاضرة بالحب والتشجيع في كل لحظة تعب وسهر، فجزاها الله عني خير الجزاء</w:t>
      </w:r>
      <w:r>
        <w:rPr>
          <w:rFonts w:ascii="Traditional Arabic" w:hAnsi="Traditional Arabic" w:cs="Traditional Arabic"/>
          <w:sz w:val="28"/>
          <w:szCs w:val="28"/>
        </w:rPr>
        <w:t>.</w:t>
      </w:r>
    </w:p>
    <w:p w14:paraId="40D6EDD6"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وإلى أبنائي الأحبة، الذين كانوا مصدر إلهامي وطاقتي المتجددة، أقول لهم: هذا العمل ثمرة من ثمار صبركم ومحبتكم، فليكن لكم دافعًا لتؤمنوا أن الأحلام تتحقق بالإصرار والعمل</w:t>
      </w:r>
      <w:r>
        <w:rPr>
          <w:rFonts w:ascii="Traditional Arabic" w:hAnsi="Traditional Arabic" w:cs="Traditional Arabic"/>
          <w:sz w:val="28"/>
          <w:szCs w:val="28"/>
        </w:rPr>
        <w:t>.</w:t>
      </w:r>
    </w:p>
    <w:p w14:paraId="106EF513"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كما أشكر إخوتي وأخواتي الذين أحاطوني بالمحبة والمساندة والدعاء الصادق، فوجودكم في حياتي نعمة لا تقدر بثمن</w:t>
      </w:r>
      <w:r>
        <w:rPr>
          <w:rFonts w:ascii="Traditional Arabic" w:hAnsi="Traditional Arabic" w:cs="Traditional Arabic"/>
          <w:sz w:val="28"/>
          <w:szCs w:val="28"/>
        </w:rPr>
        <w:t>.</w:t>
      </w:r>
    </w:p>
    <w:p w14:paraId="0BBC9493"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ولا أنسى أن أعبّر عن امتناني لـ أصدقائي وزملائي الذين كانوا عونًا وسندًا، شاركوني هذه المسيرة بدعمهم وتشجيعهم وتقديرهم الصادق</w:t>
      </w:r>
      <w:r>
        <w:rPr>
          <w:rFonts w:ascii="Traditional Arabic" w:hAnsi="Traditional Arabic" w:cs="Traditional Arabic"/>
          <w:sz w:val="28"/>
          <w:szCs w:val="28"/>
        </w:rPr>
        <w:t>.</w:t>
      </w:r>
    </w:p>
    <w:p w14:paraId="5DD09A37" w14:textId="77777777" w:rsidR="00F672E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إلى كل من كان له أثر، بكلمة أو نصيحة أو دعاء</w:t>
      </w:r>
      <w:r>
        <w:rPr>
          <w:rFonts w:ascii="Traditional Arabic" w:hAnsi="Traditional Arabic" w:cs="Traditional Arabic"/>
          <w:sz w:val="28"/>
          <w:szCs w:val="28"/>
        </w:rPr>
        <w:t xml:space="preserve"> —</w:t>
      </w:r>
    </w:p>
    <w:p w14:paraId="5C9C877E" w14:textId="249E091E"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أقول: شكرًا من القلب، فأنتم شركاء النجاح ورفقاء هذا الإنجاز الذي أعتز به ما حييت</w:t>
      </w:r>
      <w:r>
        <w:rPr>
          <w:rFonts w:ascii="Traditional Arabic" w:hAnsi="Traditional Arabic" w:cs="Traditional Arabic"/>
          <w:sz w:val="28"/>
          <w:szCs w:val="28"/>
        </w:rPr>
        <w:t>.</w:t>
      </w:r>
    </w:p>
    <w:p w14:paraId="0F59B909" w14:textId="77777777" w:rsidR="006A7286" w:rsidRPr="006A7286" w:rsidRDefault="006A7286" w:rsidP="006A7286">
      <w:pPr>
        <w:bidi/>
        <w:rPr>
          <w:sz w:val="24"/>
          <w:szCs w:val="24"/>
          <w:rtl/>
        </w:rPr>
      </w:pPr>
    </w:p>
    <w:p w14:paraId="6F86894F" w14:textId="77777777" w:rsidR="003957AC" w:rsidRDefault="003957AC" w:rsidP="003957AC">
      <w:pPr>
        <w:bidi/>
        <w:rPr>
          <w:sz w:val="24"/>
          <w:szCs w:val="24"/>
          <w:rtl/>
        </w:rPr>
      </w:pPr>
    </w:p>
    <w:p w14:paraId="39D48BE0" w14:textId="77777777" w:rsidR="003957AC" w:rsidRDefault="003957AC" w:rsidP="003957AC">
      <w:pPr>
        <w:bidi/>
        <w:rPr>
          <w:sz w:val="24"/>
          <w:szCs w:val="24"/>
          <w:rtl/>
        </w:rPr>
      </w:pPr>
    </w:p>
    <w:p w14:paraId="0389AFC0" w14:textId="77777777" w:rsidR="00DD73BF" w:rsidRDefault="00DD73BF" w:rsidP="00DD73BF">
      <w:pPr>
        <w:bidi/>
        <w:rPr>
          <w:sz w:val="24"/>
          <w:szCs w:val="24"/>
          <w:rtl/>
        </w:rPr>
      </w:pPr>
    </w:p>
    <w:p w14:paraId="656B3C20" w14:textId="77777777" w:rsidR="003957AC" w:rsidRDefault="003957AC" w:rsidP="003957AC">
      <w:pPr>
        <w:bidi/>
        <w:rPr>
          <w:sz w:val="24"/>
          <w:szCs w:val="24"/>
          <w:rtl/>
        </w:rPr>
      </w:pPr>
    </w:p>
    <w:p w14:paraId="36BDC46A" w14:textId="77777777" w:rsidR="00732E2D" w:rsidRPr="009B3E68" w:rsidRDefault="00732E2D" w:rsidP="009B3E68">
      <w:pPr>
        <w:bidi/>
        <w:rPr>
          <w:rFonts w:ascii="Traditional Arabic" w:hAnsi="Traditional Arabic" w:cs="Traditional Arabic"/>
          <w:sz w:val="36"/>
          <w:szCs w:val="36"/>
        </w:rPr>
      </w:pPr>
      <w:r>
        <w:rPr>
          <w:rFonts w:ascii="Traditional Arabic" w:hAnsi="Traditional Arabic" w:cs="Traditional Arabic"/>
          <w:sz w:val="36"/>
          <w:szCs w:val="36"/>
        </w:rPr>
        <w:lastRenderedPageBreak/>
        <w:t>الملخص</w:t>
      </w:r>
    </w:p>
    <w:p w14:paraId="2924E183" w14:textId="77777777" w:rsidR="00732E2D" w:rsidRPr="002B1D5C" w:rsidRDefault="00732E2D" w:rsidP="00732E2D">
      <w:pPr>
        <w:bidi/>
        <w:jc w:val="both"/>
        <w:rPr>
          <w:rFonts w:ascii="Traditional Arabic" w:hAnsi="Traditional Arabic" w:cs="Traditional Arabic"/>
          <w:sz w:val="28"/>
          <w:szCs w:val="28"/>
          <w:rtl/>
        </w:rPr>
      </w:pPr>
      <w:r>
        <w:rPr>
          <w:rFonts w:ascii="Traditional Arabic" w:hAnsi="Traditional Arabic" w:cs="Traditional Arabic"/>
          <w:sz w:val="28"/>
          <w:szCs w:val="28"/>
          <w:rtl/>
        </w:rPr>
        <w:t>تهدف هذه الدراسة إلى ابتكار نموذج حوكمة ذكي ومتكامل لإدارة أصول البنية التحتية المائية في المملكة العربية السعودية، يرتكز على دمج تقنيات التحول الرقمي ومبادئ الاستدامة مع تعزيز كفاءة الأداء المؤسسي. اعتمدت الدراسة المنهج الوصفي التحليلي، مدعومًا بأدوات كمية ونوعية، لجمع البيانات من عينة قصدية تضم خبراء وممارسين في قطاع المياه. وأظهرت النتائج وجود ارتباط إيجابي قوي بين مستوى نضج التحول الرقمي وسلامة الأصول، كما تبين أن دمج مبادئ الاستدامة يسهم في الحد من المخاطر ورفع كفاءة الأداء المؤسسي. ويقترح البحث نموذجًا عمليًا قابلًا للتطبيق، يهدف إلى تعزيز موثوقية الأصول وتحقيق الاستدامة التشغيلية والمؤسسية، بما يتماشى مع مستهدفات رؤية المملكة 2030</w:t>
      </w:r>
      <w:r>
        <w:rPr>
          <w:rFonts w:ascii="Traditional Arabic" w:hAnsi="Traditional Arabic" w:cs="Traditional Arabic"/>
          <w:sz w:val="28"/>
          <w:szCs w:val="28"/>
        </w:rPr>
        <w:t>.</w:t>
      </w:r>
    </w:p>
    <w:p w14:paraId="06EC319D" w14:textId="77777777" w:rsidR="00732E2D" w:rsidRPr="002B1D5C" w:rsidRDefault="00732E2D" w:rsidP="00732E2D">
      <w:pPr>
        <w:bidi/>
        <w:jc w:val="both"/>
        <w:rPr>
          <w:rFonts w:ascii="Traditional Arabic" w:hAnsi="Traditional Arabic" w:cs="Traditional Arabic"/>
          <w:sz w:val="28"/>
          <w:szCs w:val="28"/>
        </w:rPr>
      </w:pPr>
      <w:r>
        <w:rPr>
          <w:rFonts w:ascii="Traditional Arabic" w:hAnsi="Traditional Arabic" w:cs="Traditional Arabic"/>
          <w:sz w:val="28"/>
          <w:szCs w:val="28"/>
          <w:rtl/>
        </w:rPr>
        <w:t>الكلمات المفتاحية: الحوكمة الذكية، أصول المياه، الاستدامة، التحول الرقمي، الأداء المؤسسي</w:t>
      </w:r>
      <w:r>
        <w:rPr>
          <w:rFonts w:ascii="Traditional Arabic" w:hAnsi="Traditional Arabic" w:cs="Traditional Arabic"/>
          <w:sz w:val="28"/>
          <w:szCs w:val="28"/>
        </w:rPr>
        <w:t>.</w:t>
      </w:r>
    </w:p>
    <w:p w14:paraId="2E381167" w14:textId="77777777" w:rsidR="00732E2D" w:rsidRDefault="00732E2D" w:rsidP="00732E2D">
      <w:pPr>
        <w:bidi/>
        <w:jc w:val="both"/>
        <w:rPr>
          <w:rtl/>
        </w:rPr>
      </w:pPr>
    </w:p>
    <w:p w14:paraId="38006D31" w14:textId="77777777" w:rsidR="00732E2D" w:rsidRDefault="00732E2D" w:rsidP="00732E2D">
      <w:pPr>
        <w:bidi/>
        <w:jc w:val="both"/>
        <w:rPr>
          <w:rtl/>
        </w:rPr>
      </w:pPr>
    </w:p>
    <w:p w14:paraId="0369C34D" w14:textId="77777777" w:rsidR="00732E2D" w:rsidRDefault="00732E2D" w:rsidP="00732E2D">
      <w:pPr>
        <w:bidi/>
        <w:jc w:val="both"/>
        <w:rPr>
          <w:rtl/>
        </w:rPr>
      </w:pPr>
    </w:p>
    <w:p w14:paraId="7DB6191C" w14:textId="77777777" w:rsidR="003957AC" w:rsidRPr="00732E2D" w:rsidRDefault="003957AC" w:rsidP="003957AC">
      <w:pPr>
        <w:bidi/>
        <w:rPr>
          <w:sz w:val="24"/>
          <w:szCs w:val="24"/>
          <w:rtl/>
        </w:rPr>
      </w:pPr>
    </w:p>
    <w:p w14:paraId="47DC0F24" w14:textId="77777777" w:rsidR="003957AC" w:rsidRDefault="003957AC" w:rsidP="003957AC">
      <w:pPr>
        <w:bidi/>
        <w:rPr>
          <w:sz w:val="24"/>
          <w:szCs w:val="24"/>
          <w:rtl/>
        </w:rPr>
      </w:pPr>
    </w:p>
    <w:p w14:paraId="3A387209" w14:textId="77777777" w:rsidR="003957AC" w:rsidRDefault="003957AC" w:rsidP="003957AC">
      <w:pPr>
        <w:bidi/>
        <w:rPr>
          <w:sz w:val="24"/>
          <w:szCs w:val="24"/>
          <w:rtl/>
        </w:rPr>
      </w:pPr>
    </w:p>
    <w:p w14:paraId="32F00E5D" w14:textId="77777777" w:rsidR="00732E2D" w:rsidRDefault="00732E2D" w:rsidP="00732E2D">
      <w:pPr>
        <w:bidi/>
        <w:rPr>
          <w:sz w:val="24"/>
          <w:szCs w:val="24"/>
          <w:rtl/>
        </w:rPr>
      </w:pPr>
    </w:p>
    <w:p w14:paraId="00CF2FA0" w14:textId="77777777" w:rsidR="006B7903" w:rsidRDefault="006B7903" w:rsidP="006B7903">
      <w:pPr>
        <w:bidi/>
        <w:rPr>
          <w:sz w:val="24"/>
          <w:szCs w:val="24"/>
          <w:rtl/>
        </w:rPr>
      </w:pPr>
    </w:p>
    <w:p w14:paraId="0F44EAFF" w14:textId="77777777" w:rsidR="006B7903" w:rsidRDefault="006B7903" w:rsidP="006B7903">
      <w:pPr>
        <w:bidi/>
        <w:rPr>
          <w:sz w:val="24"/>
          <w:szCs w:val="24"/>
          <w:rtl/>
        </w:rPr>
      </w:pPr>
    </w:p>
    <w:p w14:paraId="01140029" w14:textId="77777777" w:rsidR="006B7903" w:rsidRDefault="006B7903" w:rsidP="006B7903">
      <w:pPr>
        <w:bidi/>
        <w:rPr>
          <w:sz w:val="24"/>
          <w:szCs w:val="24"/>
          <w:rtl/>
        </w:rPr>
      </w:pPr>
    </w:p>
    <w:p w14:paraId="5AB75AAC" w14:textId="77777777" w:rsidR="006B7903" w:rsidRDefault="006B7903" w:rsidP="006B7903">
      <w:pPr>
        <w:bidi/>
        <w:rPr>
          <w:sz w:val="24"/>
          <w:szCs w:val="24"/>
          <w:rtl/>
        </w:rPr>
      </w:pPr>
    </w:p>
    <w:p w14:paraId="757C1B74" w14:textId="77777777" w:rsidR="006B7903" w:rsidRDefault="006B7903" w:rsidP="006B7903">
      <w:pPr>
        <w:bidi/>
        <w:rPr>
          <w:sz w:val="24"/>
          <w:szCs w:val="24"/>
          <w:rtl/>
        </w:rPr>
      </w:pPr>
    </w:p>
    <w:p w14:paraId="79FBDB21" w14:textId="77777777" w:rsidR="006B7903" w:rsidRDefault="006B7903" w:rsidP="006B7903">
      <w:pPr>
        <w:bidi/>
        <w:rPr>
          <w:sz w:val="24"/>
          <w:szCs w:val="24"/>
          <w:rtl/>
        </w:rPr>
      </w:pPr>
    </w:p>
    <w:p w14:paraId="33F948E5" w14:textId="397CF5D4" w:rsidR="006B7903" w:rsidRDefault="006B7903" w:rsidP="006B7903">
      <w:pPr>
        <w:bidi/>
        <w:rPr>
          <w:sz w:val="24"/>
          <w:szCs w:val="24"/>
          <w:rtl/>
        </w:rPr>
      </w:pPr>
    </w:p>
    <w:p w14:paraId="09EFA8A0" w14:textId="77777777" w:rsidR="00537F4D" w:rsidRDefault="00537F4D" w:rsidP="00537F4D">
      <w:pPr>
        <w:bidi/>
        <w:rPr>
          <w:sz w:val="24"/>
          <w:szCs w:val="24"/>
          <w:rtl/>
        </w:rPr>
      </w:pPr>
    </w:p>
    <w:p w14:paraId="0B68D79C" w14:textId="77777777" w:rsidR="006B7903" w:rsidRDefault="006B7903" w:rsidP="006B7903">
      <w:pPr>
        <w:bidi/>
        <w:rPr>
          <w:sz w:val="24"/>
          <w:szCs w:val="24"/>
          <w:rtl/>
        </w:rPr>
      </w:pPr>
    </w:p>
    <w:p w14:paraId="1714D7C6" w14:textId="77777777" w:rsidR="006B7903" w:rsidRDefault="006B7903" w:rsidP="006B7903">
      <w:pPr>
        <w:bidi/>
        <w:rPr>
          <w:sz w:val="24"/>
          <w:szCs w:val="24"/>
          <w:rtl/>
        </w:rPr>
      </w:pPr>
    </w:p>
    <w:p w14:paraId="2F0EB551" w14:textId="77777777" w:rsidR="006B7903" w:rsidRDefault="006B7903" w:rsidP="006B7903">
      <w:pPr>
        <w:bidi/>
        <w:rPr>
          <w:sz w:val="24"/>
          <w:szCs w:val="24"/>
          <w:rtl/>
        </w:rPr>
      </w:pPr>
    </w:p>
    <w:p w14:paraId="7F50E61E" w14:textId="77777777" w:rsidR="006B7903" w:rsidRDefault="006B7903" w:rsidP="006B7903">
      <w:pPr>
        <w:bidi/>
        <w:rPr>
          <w:sz w:val="24"/>
          <w:szCs w:val="24"/>
          <w:rtl/>
        </w:rPr>
      </w:pPr>
    </w:p>
    <w:p w14:paraId="54DA0F14" w14:textId="77777777" w:rsidR="003957AC" w:rsidRDefault="003957AC" w:rsidP="003957AC">
      <w:pPr>
        <w:bidi/>
        <w:rPr>
          <w:sz w:val="24"/>
          <w:szCs w:val="24"/>
          <w:rtl/>
        </w:rPr>
      </w:pPr>
    </w:p>
    <w:p w14:paraId="03D4A24D" w14:textId="77777777" w:rsidR="001142D3" w:rsidRDefault="001142D3" w:rsidP="001142D3">
      <w:pPr>
        <w:bidi/>
        <w:rPr>
          <w:sz w:val="24"/>
          <w:szCs w:val="24"/>
          <w:rtl/>
        </w:rPr>
      </w:pPr>
    </w:p>
    <w:p w14:paraId="6E554773" w14:textId="77777777" w:rsidR="001142D3" w:rsidRPr="006E3F93" w:rsidRDefault="001142D3" w:rsidP="001142D3">
      <w:pPr>
        <w:bidi/>
        <w:rPr>
          <w:sz w:val="24"/>
          <w:szCs w:val="24"/>
          <w:rtl/>
        </w:rPr>
      </w:pPr>
    </w:p>
    <w:sdt>
      <w:sdtPr>
        <w:rPr>
          <w:rFonts w:asciiTheme="minorHAnsi" w:eastAsiaTheme="minorHAnsi" w:hAnsiTheme="minorHAnsi" w:cstheme="minorBidi"/>
          <w:color w:val="auto"/>
          <w:sz w:val="22"/>
          <w:szCs w:val="22"/>
          <w:rtl/>
          <w:lang w:val="ar-SA"/>
        </w:rPr>
        <w:id w:val="123668334"/>
        <w:docPartObj>
          <w:docPartGallery w:val="Table of Contents"/>
          <w:docPartUnique/>
        </w:docPartObj>
      </w:sdtPr>
      <w:sdtEndPr>
        <w:rPr>
          <w:lang w:val="en-US"/>
        </w:rPr>
      </w:sdtEndPr>
      <w:sdtContent>
        <w:p w14:paraId="5DE4ACE7" w14:textId="142FAA94" w:rsidR="00104969" w:rsidRDefault="00104969" w:rsidP="00FE662A">
          <w:pPr>
            <w:pStyle w:val="Heading1"/>
            <w:bidi/>
          </w:pPr>
          <w:r>
            <w:rPr>
              <w:lang w:val="ar-SA"/>
            </w:rPr>
            <w:t>المحتويات</w:t>
          </w:r>
        </w:p>
        <w:p w14:paraId="5D79E775" w14:textId="62CCC7FD" w:rsidR="0020169F" w:rsidRDefault="00104969">
          <w:pPr>
            <w:pStyle w:val="TOC1"/>
            <w:tabs>
              <w:tab w:val="right" w:leader="dot" w:pos="9204"/>
            </w:tabs>
            <w:bidi/>
            <w:rPr>
              <w:rFonts w:eastAsiaTheme="minorEastAsia"/>
              <w:noProof/>
              <w:rtl/>
            </w:rPr>
          </w:pPr>
          <w:r>
            <w:fldChar w:fldCharType="begin"/>
          </w:r>
          <w:r>
            <w:instrText xml:space="preserve"> TOC \o "1-3" \h \z \u </w:instrText>
          </w:r>
          <w:r>
            <w:fldChar w:fldCharType="separate"/>
          </w:r>
          <w:hyperlink w:anchor="_Toc218160611" w:history="1">
            <w:r>
              <w:rPr>
                <w:rStyle w:val="Hyperlink"/>
                <w:rFonts w:ascii="Traditional Arabic" w:hAnsi="Traditional Arabic" w:cs="Traditional Arabic"/>
                <w:b/>
                <w:bCs/>
                <w:noProof/>
                <w:rtl/>
              </w:rPr>
              <w:t>الفصل الأول: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8B1530A" w14:textId="4B33238B" w:rsidR="0020169F" w:rsidRDefault="0020169F">
          <w:pPr>
            <w:pStyle w:val="TOC1"/>
            <w:tabs>
              <w:tab w:val="right" w:leader="dot" w:pos="9204"/>
            </w:tabs>
            <w:bidi/>
            <w:rPr>
              <w:rFonts w:eastAsiaTheme="minorEastAsia"/>
              <w:noProof/>
              <w:rtl/>
            </w:rPr>
          </w:pPr>
          <w:hyperlink w:anchor="_Toc218160612" w:history="1">
            <w:r>
              <w:rPr>
                <w:rStyle w:val="Hyperlink"/>
                <w:rFonts w:ascii="Traditional Arabic" w:hAnsi="Traditional Arabic" w:cs="Traditional Arabic"/>
                <w:b/>
                <w:bCs/>
                <w:noProof/>
                <w:rtl/>
              </w:rPr>
              <w:t>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5CB70D0" w14:textId="1C52BBDC" w:rsidR="0020169F" w:rsidRDefault="0020169F">
          <w:pPr>
            <w:pStyle w:val="TOC1"/>
            <w:tabs>
              <w:tab w:val="right" w:leader="dot" w:pos="9204"/>
            </w:tabs>
            <w:bidi/>
            <w:rPr>
              <w:rFonts w:eastAsiaTheme="minorEastAsia"/>
              <w:noProof/>
              <w:rtl/>
            </w:rPr>
          </w:pPr>
          <w:hyperlink w:anchor="_Toc218160613" w:history="1">
            <w:r>
              <w:rPr>
                <w:rStyle w:val="Hyperlink"/>
                <w:rFonts w:ascii="Traditional Arabic" w:hAnsi="Traditional Arabic" w:cs="Traditional Arabic"/>
                <w:b/>
                <w:bCs/>
                <w:noProof/>
                <w:rtl/>
              </w:rPr>
              <w:t>مشكلة الدراسة وأسئلتها: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8B3AEA8" w14:textId="5AC09464" w:rsidR="0020169F" w:rsidRDefault="0020169F">
          <w:pPr>
            <w:pStyle w:val="TOC1"/>
            <w:tabs>
              <w:tab w:val="right" w:leader="dot" w:pos="9204"/>
            </w:tabs>
            <w:bidi/>
            <w:rPr>
              <w:rFonts w:eastAsiaTheme="minorEastAsia"/>
              <w:noProof/>
              <w:rtl/>
            </w:rPr>
          </w:pPr>
          <w:hyperlink w:anchor="_Toc218160614" w:history="1">
            <w:r>
              <w:rPr>
                <w:rStyle w:val="Hyperlink"/>
                <w:rFonts w:ascii="Traditional Arabic" w:hAnsi="Traditional Arabic" w:cs="Traditional Arabic"/>
                <w:b/>
                <w:bCs/>
                <w:noProof/>
                <w:rtl/>
              </w:rPr>
              <w:t>أسئلة الدراسة</w:t>
            </w:r>
            <w:r>
              <w:rPr>
                <w:rStyle w:val="Hyperlink"/>
                <w:rFonts w:ascii="Traditional Arabic"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0404DBC" w14:textId="1F648F47" w:rsidR="0020169F" w:rsidRDefault="0020169F">
          <w:pPr>
            <w:pStyle w:val="TOC2"/>
            <w:tabs>
              <w:tab w:val="right" w:leader="dot" w:pos="9204"/>
            </w:tabs>
            <w:bidi/>
            <w:rPr>
              <w:rFonts w:eastAsiaTheme="minorEastAsia"/>
              <w:noProof/>
              <w:rtl/>
            </w:rPr>
          </w:pPr>
          <w:hyperlink w:anchor="_Toc218160615" w:history="1">
            <w:r>
              <w:rPr>
                <w:rStyle w:val="Hyperlink"/>
                <w:rFonts w:ascii="Traditional Arabic" w:hAnsi="Traditional Arabic" w:cs="Traditional Arabic"/>
                <w:b/>
                <w:bCs/>
                <w:noProof/>
                <w:rtl/>
              </w:rPr>
              <w:t>أهمية الدراسة (النظرية والتطبيقية)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DF2CB96" w14:textId="361EE0B5" w:rsidR="0020169F" w:rsidRDefault="0020169F">
          <w:pPr>
            <w:pStyle w:val="TOC2"/>
            <w:tabs>
              <w:tab w:val="right" w:leader="dot" w:pos="9204"/>
            </w:tabs>
            <w:bidi/>
            <w:rPr>
              <w:rFonts w:eastAsiaTheme="minorEastAsia"/>
              <w:noProof/>
              <w:rtl/>
            </w:rPr>
          </w:pPr>
          <w:hyperlink w:anchor="_Toc218160616" w:history="1">
            <w:r>
              <w:rPr>
                <w:rStyle w:val="Hyperlink"/>
                <w:rFonts w:ascii="Traditional Arabic" w:eastAsia="Times New Roman" w:hAnsi="Traditional Arabic" w:cs="Traditional Arabic"/>
                <w:b/>
                <w:bCs/>
                <w:noProof/>
                <w:rtl/>
              </w:rPr>
              <w:t>أولًا: 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6790C5E" w14:textId="5ABC2923" w:rsidR="0020169F" w:rsidRDefault="0020169F">
          <w:pPr>
            <w:pStyle w:val="TOC2"/>
            <w:tabs>
              <w:tab w:val="right" w:leader="dot" w:pos="9204"/>
            </w:tabs>
            <w:bidi/>
            <w:rPr>
              <w:rFonts w:eastAsiaTheme="minorEastAsia"/>
              <w:noProof/>
              <w:rtl/>
            </w:rPr>
          </w:pPr>
          <w:hyperlink w:anchor="_Toc218160617" w:history="1">
            <w:r>
              <w:rPr>
                <w:rStyle w:val="Hyperlink"/>
                <w:rFonts w:ascii="Traditional Arabic" w:eastAsia="Times New Roman" w:hAnsi="Traditional Arabic" w:cs="Traditional Arabic"/>
                <w:b/>
                <w:bCs/>
                <w:noProof/>
                <w:rtl/>
              </w:rPr>
              <w:t>ثانيًا: 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CDC2FF8" w14:textId="7F9AD34A" w:rsidR="0020169F" w:rsidRDefault="0020169F">
          <w:pPr>
            <w:pStyle w:val="TOC2"/>
            <w:tabs>
              <w:tab w:val="right" w:leader="dot" w:pos="9204"/>
            </w:tabs>
            <w:bidi/>
            <w:rPr>
              <w:rFonts w:eastAsiaTheme="minorEastAsia"/>
              <w:noProof/>
              <w:rtl/>
            </w:rPr>
          </w:pPr>
          <w:hyperlink w:anchor="_Toc218160618" w:history="1">
            <w:r>
              <w:rPr>
                <w:rStyle w:val="Hyperlink"/>
                <w:rFonts w:ascii="Traditional Arabic" w:eastAsia="Times New Roman" w:hAnsi="Traditional Arabic" w:cs="Traditional Arabic"/>
                <w:b/>
                <w:bCs/>
                <w:noProof/>
                <w:rtl/>
              </w:rPr>
              <w:t>القيمة المضافة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Toc218160618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628EAF2" w14:textId="28099962" w:rsidR="0020169F" w:rsidRDefault="0020169F">
          <w:pPr>
            <w:pStyle w:val="TOC2"/>
            <w:tabs>
              <w:tab w:val="right" w:leader="dot" w:pos="9204"/>
            </w:tabs>
            <w:bidi/>
            <w:rPr>
              <w:rFonts w:eastAsiaTheme="minorEastAsia"/>
              <w:noProof/>
              <w:rtl/>
            </w:rPr>
          </w:pPr>
          <w:hyperlink w:anchor="_Toc218160619" w:history="1">
            <w:r>
              <w:rPr>
                <w:rStyle w:val="Hyperlink"/>
                <w:rFonts w:ascii="Traditional Arabic" w:eastAsia="Times New Roman" w:hAnsi="Traditional Arabic" w:cs="Traditional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ACA4C6A" w14:textId="78AB7B4F" w:rsidR="0020169F" w:rsidRDefault="0020169F">
          <w:pPr>
            <w:pStyle w:val="TOC2"/>
            <w:tabs>
              <w:tab w:val="right" w:leader="dot" w:pos="9204"/>
            </w:tabs>
            <w:bidi/>
            <w:rPr>
              <w:rFonts w:eastAsiaTheme="minorEastAsia"/>
              <w:noProof/>
              <w:rtl/>
            </w:rPr>
          </w:pPr>
          <w:hyperlink w:anchor="_Toc218160620" w:history="1">
            <w:r>
              <w:rPr>
                <w:rStyle w:val="Hyperlink"/>
                <w:rFonts w:ascii="Traditional Arabic" w:hAnsi="Traditional Arabic" w:cs="Traditional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Toc218160620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DE233C8" w14:textId="447CE94B" w:rsidR="0020169F" w:rsidRDefault="0020169F">
          <w:pPr>
            <w:pStyle w:val="TOC1"/>
            <w:tabs>
              <w:tab w:val="right" w:leader="dot" w:pos="9204"/>
            </w:tabs>
            <w:bidi/>
            <w:rPr>
              <w:rFonts w:eastAsiaTheme="minorEastAsia"/>
              <w:noProof/>
              <w:rtl/>
            </w:rPr>
          </w:pPr>
          <w:hyperlink w:anchor="_Toc218160621" w:history="1">
            <w:r>
              <w:rPr>
                <w:rStyle w:val="Hyperlink"/>
                <w:rFonts w:ascii="Traditional Arabic" w:hAnsi="Traditional Arabic" w:cs="Traditional Arabic"/>
                <w:b/>
                <w:bCs/>
                <w:noProof/>
                <w:rtl/>
              </w:rPr>
              <w:t>نموذج الدراسة (النموذج المفاهيمي والعلاقات بين المتغيرات)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9E95F1D" w14:textId="134F51B3" w:rsidR="0020169F" w:rsidRDefault="0020169F">
          <w:pPr>
            <w:pStyle w:val="TOC2"/>
            <w:tabs>
              <w:tab w:val="right" w:leader="dot" w:pos="9204"/>
            </w:tabs>
            <w:bidi/>
            <w:rPr>
              <w:rFonts w:eastAsiaTheme="minorEastAsia"/>
              <w:noProof/>
              <w:rtl/>
            </w:rPr>
          </w:pPr>
          <w:hyperlink w:anchor="_Toc218160622" w:history="1">
            <w:r>
              <w:rPr>
                <w:rStyle w:val="Hyperlink"/>
                <w:rFonts w:ascii="Traditional Arabic" w:eastAsia="Times New Roman" w:hAnsi="Traditional Arabic" w:cs="Traditional Arabic"/>
                <w:b/>
                <w:bCs/>
                <w:noProof/>
                <w:rtl/>
              </w:rPr>
              <w:t>وصف النموذج المفاهيمي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Toc218160622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8F2C51D" w14:textId="54CF1319" w:rsidR="0020169F" w:rsidRDefault="0020169F">
          <w:pPr>
            <w:pStyle w:val="TOC2"/>
            <w:tabs>
              <w:tab w:val="right" w:leader="dot" w:pos="9204"/>
            </w:tabs>
            <w:bidi/>
            <w:rPr>
              <w:rFonts w:eastAsiaTheme="minorEastAsia"/>
              <w:noProof/>
              <w:rtl/>
            </w:rPr>
          </w:pPr>
          <w:hyperlink w:anchor="_Toc218160623" w:history="1">
            <w:r>
              <w:rPr>
                <w:rStyle w:val="Hyperlink"/>
                <w:rFonts w:ascii="Traditional Arabic" w:eastAsia="Times New Roman" w:hAnsi="Traditional Arabic" w:cs="Traditional Arabic"/>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Toc218160623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4809A64" w14:textId="362413D6" w:rsidR="0020169F" w:rsidRDefault="0020169F">
          <w:pPr>
            <w:pStyle w:val="TOC2"/>
            <w:tabs>
              <w:tab w:val="right" w:leader="dot" w:pos="9204"/>
            </w:tabs>
            <w:bidi/>
            <w:rPr>
              <w:rFonts w:eastAsiaTheme="minorEastAsia"/>
              <w:noProof/>
              <w:rtl/>
            </w:rPr>
          </w:pPr>
          <w:hyperlink w:anchor="_Toc218160624" w:history="1">
            <w:r>
              <w:rPr>
                <w:rStyle w:val="Hyperlink"/>
                <w:rFonts w:ascii="Traditional Arabic" w:eastAsia="Times New Roman" w:hAnsi="Traditional Arabic" w:cs="Traditional Arabic"/>
                <w:b/>
                <w:bCs/>
                <w:noProof/>
                <w:rtl/>
              </w:rPr>
              <w:t>نوع الدراسة وطرق الحصول على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4AFB24A" w14:textId="1542CFA7" w:rsidR="0020169F" w:rsidRDefault="0020169F">
          <w:pPr>
            <w:pStyle w:val="TOC1"/>
            <w:tabs>
              <w:tab w:val="right" w:leader="dot" w:pos="9204"/>
            </w:tabs>
            <w:bidi/>
            <w:rPr>
              <w:rFonts w:eastAsiaTheme="minorEastAsia"/>
              <w:noProof/>
              <w:rtl/>
            </w:rPr>
          </w:pPr>
          <w:hyperlink w:anchor="_Toc218160625" w:history="1">
            <w:r>
              <w:rPr>
                <w:rStyle w:val="Hyperlink"/>
                <w:rFonts w:ascii="Traditional Arabic" w:eastAsia="Times New Roman" w:hAnsi="Traditional Arabic" w:cs="Traditional Arabic"/>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Toc218160625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357910F" w14:textId="770DC56B" w:rsidR="0020169F" w:rsidRDefault="0020169F">
          <w:pPr>
            <w:pStyle w:val="TOC1"/>
            <w:tabs>
              <w:tab w:val="right" w:leader="dot" w:pos="9204"/>
            </w:tabs>
            <w:bidi/>
            <w:rPr>
              <w:rFonts w:eastAsiaTheme="minorEastAsia"/>
              <w:noProof/>
              <w:rtl/>
            </w:rPr>
          </w:pPr>
          <w:hyperlink w:anchor="_Toc218160626" w:history="1">
            <w:r>
              <w:rPr>
                <w:rStyle w:val="Hyperlink"/>
                <w:rFonts w:ascii="Traditional Arabic" w:eastAsia="Times New Roman" w:hAnsi="Traditional Arabic" w:cs="Traditional Arabic"/>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Toc218160626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164AD8F" w14:textId="38B2B61E" w:rsidR="0020169F" w:rsidRDefault="0020169F">
          <w:pPr>
            <w:pStyle w:val="TOC1"/>
            <w:tabs>
              <w:tab w:val="right" w:leader="dot" w:pos="9204"/>
            </w:tabs>
            <w:bidi/>
            <w:rPr>
              <w:rFonts w:eastAsiaTheme="minorEastAsia"/>
              <w:noProof/>
              <w:rtl/>
            </w:rPr>
          </w:pPr>
          <w:hyperlink w:anchor="_Toc218160627" w:history="1">
            <w:r>
              <w:rPr>
                <w:rStyle w:val="Hyperlink"/>
                <w:rFonts w:ascii="Traditional Arabic" w:eastAsia="Times New Roman" w:hAnsi="Traditional Arabic" w:cs="Traditional Arabic"/>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Toc218160627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3E63413C" w14:textId="046300F7" w:rsidR="0020169F" w:rsidRDefault="0020169F">
          <w:pPr>
            <w:pStyle w:val="TOC1"/>
            <w:tabs>
              <w:tab w:val="right" w:leader="dot" w:pos="9204"/>
            </w:tabs>
            <w:bidi/>
            <w:rPr>
              <w:rFonts w:eastAsiaTheme="minorEastAsia"/>
              <w:noProof/>
              <w:rtl/>
            </w:rPr>
          </w:pPr>
          <w:hyperlink w:anchor="_Toc218160628" w:history="1">
            <w:r>
              <w:rPr>
                <w:rStyle w:val="Hyperlink"/>
                <w:rFonts w:ascii="Traditional Arabic" w:eastAsia="Times New Roman" w:hAnsi="Traditional Arabic" w:cs="Traditional Arabic"/>
                <w:b/>
                <w:bCs/>
                <w:noProof/>
                <w:rtl/>
              </w:rPr>
              <w:t>الفصل 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0CA5F10" w14:textId="616317CC" w:rsidR="0020169F" w:rsidRDefault="0020169F">
          <w:pPr>
            <w:pStyle w:val="TOC1"/>
            <w:tabs>
              <w:tab w:val="right" w:leader="dot" w:pos="9204"/>
            </w:tabs>
            <w:bidi/>
            <w:rPr>
              <w:rFonts w:eastAsiaTheme="minorEastAsia"/>
              <w:noProof/>
              <w:rtl/>
            </w:rPr>
          </w:pPr>
          <w:hyperlink w:anchor="_Toc218160629" w:history="1">
            <w:r>
              <w:rPr>
                <w:rStyle w:val="Hyperlink"/>
                <w:rFonts w:ascii="Traditional Arabic" w:eastAsia="Times New Roman" w:hAnsi="Traditional Arabic" w:cs="Traditional Arabic"/>
                <w:b/>
                <w:bCs/>
                <w:noProof/>
                <w:rtl/>
              </w:rPr>
              <w:t>المستخلص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Toc218160629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6EAD8821" w14:textId="166C5916" w:rsidR="0020169F" w:rsidRDefault="0020169F">
          <w:pPr>
            <w:pStyle w:val="TOC1"/>
            <w:tabs>
              <w:tab w:val="right" w:leader="dot" w:pos="9204"/>
            </w:tabs>
            <w:bidi/>
            <w:rPr>
              <w:rFonts w:eastAsiaTheme="minorEastAsia"/>
              <w:noProof/>
              <w:rtl/>
            </w:rPr>
          </w:pPr>
          <w:hyperlink w:anchor="_Toc218160630" w:history="1">
            <w:r>
              <w:rPr>
                <w:rStyle w:val="Hyperlink"/>
                <w:rFonts w:ascii="Traditional Arabic" w:eastAsia="Times New Roman" w:hAnsi="Traditional Arabic" w:cs="Traditional Arabic"/>
                <w:b/>
                <w:bCs/>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Toc218160630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124C5759" w14:textId="46A4F29D" w:rsidR="0020169F" w:rsidRDefault="0020169F">
          <w:pPr>
            <w:pStyle w:val="TOC1"/>
            <w:tabs>
              <w:tab w:val="right" w:leader="dot" w:pos="9204"/>
            </w:tabs>
            <w:bidi/>
            <w:rPr>
              <w:rFonts w:eastAsiaTheme="minorEastAsia"/>
              <w:noProof/>
              <w:rtl/>
            </w:rPr>
          </w:pPr>
          <w:hyperlink w:anchor="_Toc218160631" w:history="1">
            <w:r>
              <w:rPr>
                <w:rStyle w:val="Hyperlink"/>
                <w:rFonts w:ascii="Traditional Arabic" w:eastAsia="Times New Roman" w:hAnsi="Traditional Arabic" w:cs="Traditional Arabic"/>
                <w:b/>
                <w:bCs/>
                <w:noProof/>
                <w:rtl/>
              </w:rPr>
              <w:t>قائمة 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Toc218160631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8CA122E" w14:textId="524C8AE9" w:rsidR="00104969" w:rsidRDefault="00104969" w:rsidP="000E723C">
          <w:pPr>
            <w:bidi/>
          </w:pPr>
          <w:r>
            <w:rPr>
              <w:b/>
              <w:bCs/>
              <w:lang w:val="ar-SA"/>
            </w:rPr>
            <w:fldChar w:fldCharType="end"/>
          </w:r>
        </w:p>
      </w:sdtContent>
    </w:sdt>
    <w:p w14:paraId="6E56CA59" w14:textId="77777777" w:rsidR="00297EE6" w:rsidRDefault="00297EE6" w:rsidP="00EF73E8">
      <w:pPr>
        <w:bidi/>
        <w:spacing w:after="200" w:line="276" w:lineRule="auto"/>
        <w:rPr>
          <w:rFonts w:ascii="Sakkal Majalla" w:hAnsi="Sakkal Majalla" w:cs="Sakkal Majalla"/>
          <w:b/>
          <w:bCs/>
          <w:color w:val="1F3864" w:themeColor="accent1" w:themeShade="80"/>
          <w:sz w:val="36"/>
          <w:szCs w:val="36"/>
          <w:u w:val="single"/>
          <w:rtl/>
        </w:rPr>
      </w:pPr>
    </w:p>
    <w:p w14:paraId="45C0687B"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05213E2C"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3710A6B1"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p>
    <w:p w14:paraId="09269C2C" w14:textId="77777777" w:rsidR="00056C52" w:rsidRPr="00056C52" w:rsidRDefault="00056C52" w:rsidP="00056C52">
      <w:pPr>
        <w:pStyle w:val="Heading1"/>
        <w:bidi/>
        <w:rPr>
          <w:rFonts w:ascii="Traditional Arabic" w:hAnsi="Traditional Arabic" w:cs="Traditional Arabic"/>
          <w:b/>
          <w:bCs/>
          <w:sz w:val="36"/>
          <w:szCs w:val="36"/>
        </w:rPr>
      </w:pPr>
      <w:bookmarkStart w:id="0" w:name="_Toc218160611"/>
      <w:r>
        <w:rPr>
          <w:rFonts w:ascii="Traditional Arabic" w:hAnsi="Traditional Arabic" w:cs="Traditional Arabic"/>
          <w:b/>
          <w:bCs/>
          <w:sz w:val="36"/>
          <w:szCs w:val="36"/>
          <w:rtl/>
        </w:rPr>
        <w:lastRenderedPageBreak/>
        <w:t>الفصل الأول: الإطار العام للدراسة</w:t>
      </w:r>
      <w:bookmarkEnd w:id="0"/>
    </w:p>
    <w:p w14:paraId="192E432D" w14:textId="151E472D" w:rsidR="007C43D1" w:rsidRPr="00C77FD7" w:rsidRDefault="00EF73E8" w:rsidP="00F9026C">
      <w:pPr>
        <w:pStyle w:val="Heading1"/>
        <w:bidi/>
        <w:rPr>
          <w:rFonts w:ascii="Traditional Arabic" w:hAnsi="Traditional Arabic" w:cs="Traditional Arabic"/>
          <w:b/>
          <w:bCs/>
          <w:sz w:val="36"/>
          <w:szCs w:val="36"/>
          <w:rtl/>
        </w:rPr>
      </w:pPr>
      <w:bookmarkStart w:id="1" w:name="_Toc218160612"/>
      <w:r>
        <w:rPr>
          <w:rFonts w:ascii="Traditional Arabic" w:hAnsi="Traditional Arabic" w:cs="Traditional Arabic"/>
          <w:b/>
          <w:bCs/>
          <w:sz w:val="36"/>
          <w:szCs w:val="36"/>
          <w:rtl/>
        </w:rPr>
        <w:t>مقدمة الدراسة:</w:t>
      </w:r>
      <w:bookmarkEnd w:id="1"/>
    </w:p>
    <w:p w14:paraId="1A9314C6" w14:textId="2768A9F3" w:rsidR="00555593" w:rsidRDefault="00555593" w:rsidP="0055559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تُعدّ البنية التحتية المائية من أبرز ركائز التنمية الاقتصادية والاجتماعية في الدول الحديثة، نظرًا لدورها الحيوي في ضمان استمرارية الخدمات الأساسية المرتبطة بصحة الإنسان وجودة الحياة وتعزيز النمو الاقتصادي. ومع التوسع الحضري المتسارع وارتفاع الطلب على المياه والتحديات المناخية، تواجه أصول المياه ضغوطًا متزايدة تتطلب تعزيز كفاءتها التشغيلية ورفع موثوقيتها واستدامتها على المدى الطويل</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(Aiyetan, 2025; Zywiec et al., 2024)</w:t>
      </w:r>
    </w:p>
    <w:p w14:paraId="0DE5DCAA" w14:textId="7BB99B98" w:rsidR="00621286" w:rsidRPr="00621286" w:rsidRDefault="00621286" w:rsidP="00555593">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المملكة العربية السعودية، يمثل قطاع المياه والصرف الصحي أحد أهم القطاعات الحيوية التي تحظى بدعم كبير ضمن مستهدفات رؤية المملكة 2030، من خلال تطوير البنية التحتية، وتحسين كفاءة الأصول، واعتماد أنظمة تشغيل أكثر مرونة وفعالية. وتشير التقارير الوطنية إلى أن نسبة كبيرة من شبكات المياه الحالية بُنيت منذ عقود، مما يجعلها عرضة للأعطال والمخاطر التشغيلية، ويعزز الحاجة إلى نماذج حوكمة أكثر نضجًا لتنظيم إدارة الأصول وتحقيق استدامتها</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(MEWA, 2023)</w:t>
      </w:r>
      <w:r>
        <w:rPr>
          <w:rFonts w:ascii="Traditional Arabic" w:eastAsia="Times New Roman" w:hAnsi="Traditional Arabic" w:cs="Traditional Arabic" w:hint="cs"/>
          <w:color w:val="000000" w:themeColor="text1"/>
          <w:sz w:val="28"/>
          <w:szCs w:val="28"/>
          <w:rtl/>
        </w:rPr>
        <w:t>.</w:t>
      </w:r>
    </w:p>
    <w:p w14:paraId="62D2CC9D" w14:textId="00E9C8FC"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وتمثل حوكمة الأصول إطارًا مؤسسيًا محوريًا يهدف إلى تنظيم العلاقة بين الجوانب الفنية والإدارية والتشغيلية ضمن منظومة متكاملة تضمن الاستخدام الأمثل للموارد. وقد أكدت المواصفة الدولية</w:t>
      </w:r>
      <w:r>
        <w:rPr>
          <w:rFonts w:ascii="Traditional Arabic" w:eastAsia="Times New Roman" w:hAnsi="Traditional Arabic" w:cs="Traditional Arabic"/>
          <w:color w:val="000000" w:themeColor="text1"/>
          <w:sz w:val="28"/>
          <w:szCs w:val="28"/>
        </w:rPr>
        <w:t xml:space="preserve"> (ISO 55000, 2021) </w:t>
      </w:r>
      <w:r>
        <w:rPr>
          <w:rFonts w:ascii="Traditional Arabic" w:eastAsia="Times New Roman" w:hAnsi="Traditional Arabic" w:cs="Traditional Arabic"/>
          <w:color w:val="000000" w:themeColor="text1"/>
          <w:sz w:val="28"/>
          <w:szCs w:val="28"/>
          <w:rtl/>
        </w:rPr>
        <w:t>أهمية التكامل بين الجهات المعنية وإدارة الأصول كمتطلب أساسي لرفع كفاءة الأداء وتعزيز القيمة المستدامة</w:t>
      </w:r>
      <w:r>
        <w:rPr>
          <w:rFonts w:ascii="Traditional Arabic" w:eastAsia="Times New Roman" w:hAnsi="Traditional Arabic" w:cs="Traditional Arabic"/>
          <w:color w:val="000000" w:themeColor="text1"/>
          <w:sz w:val="28"/>
          <w:szCs w:val="28"/>
        </w:rPr>
        <w:t>.</w:t>
      </w:r>
    </w:p>
    <w:p w14:paraId="748124E3" w14:textId="7A09BCE0" w:rsidR="00BB170B" w:rsidRDefault="00BB170B" w:rsidP="00BB170B">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ورغم التطور الذي يشهده قطاع المياه السعودي في مجالات التحول الرقمي</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بما في ذلك العدادات الذكية، وأنظمة التحكم</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SCADA</w:t>
      </w:r>
      <w:r>
        <w:rPr>
          <w:rFonts w:ascii="Traditional Arabic" w:eastAsia="Times New Roman" w:hAnsi="Traditional Arabic" w:cs="Traditional Arabic"/>
          <w:color w:val="000000" w:themeColor="text1"/>
          <w:sz w:val="28"/>
          <w:szCs w:val="28"/>
          <w:rtl/>
        </w:rPr>
        <w:t>، والمراقبة الحية للتشغيل</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إلا أن العديد من المبادرات الرقمية قد تُنفّذ بصورة تقنية جزئية ما لم تُدمج ضمن إطار حوكمة مؤسسي واضح يضمن مواءمتها مع الاستراتيجية العامة وتحقيق قيمة مستدامة. وتشير الأدبيات إلى أن التحول الرقمي لا يحقق كامل أثره المؤسسي إلا عندما يُدار ضمن نموذج حوكمة يدعم اتخاذ القرار القائم على البيانات ويعزز الشفافية والمساءلة</w:t>
      </w:r>
      <w:r>
        <w:rPr>
          <w:rFonts w:ascii="Traditional Arabic" w:eastAsia="Times New Roman" w:hAnsi="Traditional Arabic" w:cs="Traditional Arabic"/>
          <w:color w:val="000000" w:themeColor="text1"/>
          <w:sz w:val="28"/>
          <w:szCs w:val="28"/>
        </w:rPr>
        <w:t xml:space="preserve"> (Vial, 2019; Verhoef et al., 2021; Janssen et al., 2017).</w:t>
      </w:r>
    </w:p>
    <w:p w14:paraId="40502D5C" w14:textId="340665EE" w:rsidR="00227FF9" w:rsidRPr="004A0B64" w:rsidRDefault="00621286" w:rsidP="00BB170B">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ومن هذا المنطلق، تبرز الحاجة إلى تطوير نموذج حوكمة ذكي متكامل يربط بين التحول الرقمي ومبادئ الاستدامة وسلامة الأصول، ويعزز موثوقية البنية التحتية المائية، ويرفع كفاءة الأداء المؤسسي بما يتوافق مع تطلعات القطاع لتحقيق الاستدامة التشغيلية والمؤسسية، ويسهم في تحقيق مستهدفات رؤية المملكة 2030 في الإدارة الذكية للموارد.</w:t>
      </w:r>
    </w:p>
    <w:p w14:paraId="2DD3EB32" w14:textId="1A0CB596" w:rsidR="00377089" w:rsidRPr="00D027C3" w:rsidRDefault="00EF73E8" w:rsidP="005518CA">
      <w:pPr>
        <w:pStyle w:val="Heading1"/>
        <w:bidi/>
        <w:rPr>
          <w:rFonts w:ascii="Traditional Arabic" w:eastAsiaTheme="minorHAnsi" w:hAnsi="Traditional Arabic" w:cs="Traditional Arabic"/>
          <w:b/>
          <w:bCs/>
          <w:sz w:val="36"/>
          <w:szCs w:val="36"/>
          <w:rtl/>
        </w:rPr>
      </w:pPr>
      <w:bookmarkStart w:id="2" w:name="_Toc218160613"/>
      <w:r>
        <w:rPr>
          <w:rFonts w:ascii="Traditional Arabic" w:hAnsi="Traditional Arabic" w:cs="Traditional Arabic"/>
          <w:b/>
          <w:bCs/>
          <w:sz w:val="36"/>
          <w:szCs w:val="36"/>
          <w:rtl/>
        </w:rPr>
        <w:lastRenderedPageBreak/>
        <w:t>مشكلة الدراسة وأسئلتها:</w:t>
      </w:r>
      <w:bookmarkEnd w:id="2"/>
      <w:r>
        <w:rPr>
          <w:rFonts w:ascii="Traditional Arabic" w:hAnsi="Traditional Arabic" w:cs="Traditional Arabic"/>
          <w:b/>
          <w:bCs/>
          <w:sz w:val="36"/>
          <w:szCs w:val="36"/>
          <w:rtl/>
        </w:rPr>
        <w:t xml:space="preserve">   </w:t>
      </w:r>
    </w:p>
    <w:p w14:paraId="0678786C" w14:textId="77777777" w:rsidR="001A5D3B" w:rsidRPr="001A5D3B" w:rsidRDefault="001A5D3B" w:rsidP="001A5D3B">
      <w:pPr>
        <w:bidi/>
        <w:rPr>
          <w:rtl/>
        </w:rPr>
      </w:pPr>
    </w:p>
    <w:p w14:paraId="4124228C" w14:textId="77777777" w:rsidR="00BB170B" w:rsidRDefault="00BB170B" w:rsidP="00BB170B">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تشير الأدبيات الحديثة في مجال إدارة الأصول والبنية التحتية إلى تزايد الاهتمام بتطبيق مبادئ الحوكمة والرقمنة في تحسين الكفاءة التشغيلية ورفع مستوى الموثوقية، إلا أن معظم الدراسات تناولت هذه الأبعاد بصورة جزئية، سواء من منظور التحول الرقمي أو الاستدامة أو الحوكمة المؤسسية، دون تطوير نموذج تكاملي يجمع بينها ضمن إطار مؤسسي موحد</w:t>
      </w:r>
      <w:r>
        <w:rPr>
          <w:rFonts w:ascii="Traditional Arabic" w:eastAsia="Times New Roman" w:hAnsi="Traditional Arabic" w:cs="Traditional Arabic"/>
          <w:color w:val="000000" w:themeColor="text1"/>
          <w:sz w:val="28"/>
          <w:szCs w:val="28"/>
        </w:rPr>
        <w:t xml:space="preserve"> (El-Akruti et al., 2013; Too &amp; Weaver, 2014; Mergel et al., 2019).</w:t>
      </w:r>
    </w:p>
    <w:p w14:paraId="38FC3D45" w14:textId="77777777" w:rsidR="008F3BF7" w:rsidRDefault="008F3BF7" w:rsidP="008F3BF7">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كما تشير تقارير وزارة البيئة والمياه والزراعة إلى استمرار اعتماد جزء من شبكات المياه على أنماط تشغيل وصيانة تقليدية، رغم تبني مبادرات رقمية متقدمة مثل العدادات الذكية وأنظمة المراقبة عن بُعد</w:t>
      </w:r>
      <w:r>
        <w:rPr>
          <w:rFonts w:ascii="Traditional Arabic" w:eastAsia="Times New Roman" w:hAnsi="Traditional Arabic" w:cs="Traditional Arabic"/>
          <w:color w:val="000000" w:themeColor="text1"/>
          <w:sz w:val="28"/>
          <w:szCs w:val="28"/>
        </w:rPr>
        <w:t xml:space="preserve"> (Ministry of Environment, Water and Agriculture [MEWA], 2023). </w:t>
      </w:r>
      <w:r>
        <w:rPr>
          <w:rFonts w:ascii="Traditional Arabic" w:eastAsia="Times New Roman" w:hAnsi="Traditional Arabic" w:cs="Traditional Arabic"/>
          <w:color w:val="000000" w:themeColor="text1"/>
          <w:sz w:val="28"/>
          <w:szCs w:val="28"/>
          <w:rtl/>
        </w:rPr>
        <w:t>ويعكس ذلك وجود فجوة بين إدخال التقنيات الرقمية من جهة، ونضج الأطر الحوكميّة القادرة على تعظيم الاستفادة منها وتحويلها إلى قيمة تشغيلية مستدامة من جهة أخرى</w:t>
      </w:r>
      <w:r>
        <w:rPr>
          <w:rFonts w:ascii="Traditional Arabic" w:eastAsia="Times New Roman" w:hAnsi="Traditional Arabic" w:cs="Traditional Arabic"/>
          <w:color w:val="000000" w:themeColor="text1"/>
          <w:sz w:val="28"/>
          <w:szCs w:val="28"/>
        </w:rPr>
        <w:t>.</w:t>
      </w:r>
    </w:p>
    <w:p w14:paraId="04E33CD6" w14:textId="00AFA883" w:rsidR="00F03AFB" w:rsidRDefault="00F03AFB" w:rsidP="008F3BF7">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وتُظهر مراجعة الأدبيات أن نماذج الحوكمة التقليدية تركز أساسًا على الامتثال الإجرائي ومتابعة الأداء من منظور رقابي، في حين تفتقر غالبًا إلى دمج التحليلات المتقدمة للبيانات واتخاذ القرار الاستباقي القائم على المعلومات في الوقت الحقيقي، وهو ما يمثل سمة جوهرية للحوكمة الذكية في الأدبيات الحديثة</w:t>
      </w:r>
      <w:r>
        <w:rPr>
          <w:rFonts w:ascii="Traditional Arabic" w:eastAsia="Times New Roman" w:hAnsi="Traditional Arabic" w:cs="Traditional Arabic"/>
          <w:color w:val="000000" w:themeColor="text1"/>
          <w:sz w:val="28"/>
          <w:szCs w:val="28"/>
        </w:rPr>
        <w:t xml:space="preserve"> (Meijer &amp; Bolívar, 2016; Gil-Garcia et al., 2018; Janssen et al., 2017).</w:t>
      </w:r>
      <w:r>
        <w:rPr>
          <w:rFonts w:ascii="Traditional Arabic" w:eastAsia="Times New Roman" w:hAnsi="Traditional Arabic" w:cs="Traditional Arabic" w:hint="cs"/>
          <w:color w:val="000000" w:themeColor="text1"/>
          <w:sz w:val="28"/>
          <w:szCs w:val="28"/>
          <w:rtl/>
        </w:rPr>
        <w:t xml:space="preserve"> </w:t>
      </w:r>
    </w:p>
    <w:p w14:paraId="727E4C8F" w14:textId="79531F43" w:rsidR="00F03AFB" w:rsidRDefault="00F03AFB" w:rsidP="00F03AFB">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كما أن الدراسات العربية في هذا المجال ما تزال محدودة، ولم تقدم إطارًا تطبيقيًا تكامليًا يربط بين التحول الرقمي والاستدامة وسلامة الأصول ضمن سياق قطاع المياه السعودي، الأمر الذي يبرز الحاجة إلى تطوير نموذج حوكمي قابل للتطبيق والاختبار</w:t>
      </w:r>
      <w:r>
        <w:rPr>
          <w:rFonts w:ascii="Traditional Arabic" w:eastAsia="Times New Roman" w:hAnsi="Traditional Arabic" w:cs="Traditional Arabic"/>
          <w:color w:val="000000" w:themeColor="text1"/>
          <w:sz w:val="28"/>
          <w:szCs w:val="28"/>
        </w:rPr>
        <w:t>.</w:t>
      </w:r>
    </w:p>
    <w:p w14:paraId="12E78FDF" w14:textId="6F1E24FF" w:rsidR="007234ED" w:rsidRPr="007234ED" w:rsidRDefault="007234ED" w:rsidP="00F03AFB">
      <w:pPr>
        <w:bidi/>
        <w:spacing w:after="200" w:line="276" w:lineRule="auto"/>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وبناءً على ما سبق، تتحدد مشكلة الدراسة في وجود قصور واضح في تكامل الأبعاد الثلاثة — الحوكمة الذكية، التحول الرقمي، والاستدامة — ضمن منظومة إدارة أصول البنية التحتية المائية في المملكة العربية السعودية، الأمر الذي يؤدي إلى ضعف في سلامة الأصول وكفاءتها التشغيلية وعدم تحقيق الأثر المؤسسي المستدام</w:t>
      </w:r>
      <w:r>
        <w:rPr>
          <w:rFonts w:ascii="Traditional Arabic" w:eastAsia="Times New Roman" w:hAnsi="Traditional Arabic" w:cs="Traditional Arabic"/>
          <w:color w:val="000000" w:themeColor="text1"/>
          <w:sz w:val="28"/>
          <w:szCs w:val="28"/>
        </w:rPr>
        <w:t>.</w:t>
      </w:r>
    </w:p>
    <w:p w14:paraId="4F638958" w14:textId="530A3A1B"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وتنبع الفجوة العلمية من غياب نموذج تطبيقي متكامل يجمع هذه الأبعاد الثلاثة في إطار واحد موجّه لقطاع المياه السعودي، رغم وجود مبادرات رقمية متقدمة وجهود منفصلة في الاستدامة والحوكمة، إلا أنها لم تُدمج ضمن نموذج مؤسسي شامل يمكن قياس تأثيره بوضوح</w:t>
      </w:r>
      <w:r>
        <w:rPr>
          <w:rFonts w:ascii="Traditional Arabic" w:eastAsia="Times New Roman" w:hAnsi="Traditional Arabic" w:cs="Traditional Arabic"/>
          <w:color w:val="000000" w:themeColor="text1"/>
          <w:sz w:val="28"/>
          <w:szCs w:val="28"/>
        </w:rPr>
        <w:t>.</w:t>
      </w:r>
    </w:p>
    <w:p w14:paraId="3898C1EC" w14:textId="77777777"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وعليه، يمكن صياغة مشكلة الدراسة في العبارة التالية</w:t>
      </w:r>
      <w:r>
        <w:rPr>
          <w:rFonts w:ascii="Traditional Arabic" w:eastAsia="Times New Roman" w:hAnsi="Traditional Arabic" w:cs="Traditional Arabic"/>
          <w:color w:val="000000" w:themeColor="text1"/>
          <w:sz w:val="28"/>
          <w:szCs w:val="28"/>
        </w:rPr>
        <w:t>:</w:t>
      </w:r>
    </w:p>
    <w:p w14:paraId="7D387084" w14:textId="5754431D" w:rsidR="00377089" w:rsidRPr="0003624C" w:rsidRDefault="007234ED" w:rsidP="00F76D05">
      <w:pPr>
        <w:bidi/>
        <w:spacing w:after="200" w:line="276" w:lineRule="auto"/>
        <w:jc w:val="both"/>
        <w:rPr>
          <w:rFonts w:ascii="Sakkal Majalla" w:hAnsi="Sakkal Majalla" w:cs="Sakkal Majalla"/>
          <w:b/>
          <w:bCs/>
          <w:color w:val="1F3864" w:themeColor="accent1" w:themeShade="80"/>
          <w:sz w:val="36"/>
          <w:szCs w:val="36"/>
          <w:u w:val="single"/>
          <w:rtl/>
        </w:rPr>
      </w:pPr>
      <w:r>
        <w:rPr>
          <w:rFonts w:ascii="Traditional Arabic" w:eastAsia="Times New Roman" w:hAnsi="Traditional Arabic" w:cs="Traditional Arabic"/>
          <w:color w:val="000000" w:themeColor="text1"/>
          <w:sz w:val="28"/>
          <w:szCs w:val="28"/>
          <w:rtl/>
        </w:rPr>
        <w:t>تتمثل مشكلة هذه الدراسة في غياب نموذج حوكمة ذكي ومتكامل يربط بفاعلية بين التحول الرقمي ومبادئ الاستدامة لضمان سلامة أصول البنية التحتية المائية، بما ينعكس إيجابًا على كفاءة الأداء المؤسسي في قطاع المياه السعودي.</w:t>
      </w:r>
    </w:p>
    <w:p w14:paraId="6598DA8C" w14:textId="74F89415" w:rsidR="00EF73E8" w:rsidRPr="00D027C3" w:rsidRDefault="00EF73E8" w:rsidP="00F76D05">
      <w:pPr>
        <w:pStyle w:val="Heading1"/>
        <w:bidi/>
        <w:rPr>
          <w:rFonts w:ascii="Traditional Arabic" w:hAnsi="Traditional Arabic" w:cs="Traditional Arabic"/>
          <w:b/>
          <w:bCs/>
          <w:sz w:val="36"/>
          <w:szCs w:val="36"/>
        </w:rPr>
      </w:pPr>
      <w:bookmarkStart w:id="3" w:name="_Toc218160614"/>
      <w:r>
        <w:rPr>
          <w:rFonts w:ascii="Traditional Arabic" w:hAnsi="Traditional Arabic" w:cs="Traditional Arabic"/>
          <w:b/>
          <w:bCs/>
          <w:sz w:val="36"/>
          <w:szCs w:val="36"/>
          <w:rtl/>
        </w:rPr>
        <w:lastRenderedPageBreak/>
        <w:t>أسئلة الدراسة</w:t>
      </w:r>
      <w:r>
        <w:rPr>
          <w:rFonts w:ascii="Traditional Arabic" w:hAnsi="Traditional Arabic" w:cs="Traditional Arabic"/>
          <w:b/>
          <w:bCs/>
          <w:sz w:val="36"/>
          <w:szCs w:val="36"/>
        </w:rPr>
        <w:t>:</w:t>
      </w:r>
      <w:bookmarkEnd w:id="3"/>
    </w:p>
    <w:p w14:paraId="0758C015" w14:textId="77777777" w:rsidR="00AB32EA" w:rsidRPr="0063343A" w:rsidRDefault="00AB32EA" w:rsidP="00F76D05">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تنبثق تساؤلات هذه الدراسة من مشكلة البحث والأهداف المحددة، حيث تسعى للإجابة عن الأسئلة الرئيسة والفرعية التي توضح أبعاد العلاقة بين الحوكمة الذكية، والتحول الرقمي، والاستدامة، وسلامة الأصول، والأداء المؤسسي في قطاع المياه السعودي. وقد صيغت التساؤلات على النحو الآتي</w:t>
      </w:r>
      <w:r>
        <w:rPr>
          <w:rFonts w:ascii="Traditional Arabic" w:eastAsia="Times New Roman" w:hAnsi="Traditional Arabic" w:cs="Traditional Arabic"/>
          <w:color w:val="000000" w:themeColor="text1"/>
          <w:sz w:val="28"/>
          <w:szCs w:val="28"/>
        </w:rPr>
        <w:t>:</w:t>
      </w:r>
    </w:p>
    <w:p w14:paraId="72CDA371"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ما واقع ممارسات الحوكمة الرقمية في إدارة أصول البنية التحتية المائية في قطاع المياه السعودي؟</w:t>
      </w:r>
    </w:p>
    <w:p w14:paraId="560420A2"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ما مدى تأثير التحول الرقمي في تعزيز سلامة الأصول وكفاءتها التشغيلية؟</w:t>
      </w:r>
    </w:p>
    <w:p w14:paraId="7764C6FB"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كيف تسهم مبادئ الاستدامة في تحسين موثوقية الأصول المائية وتقليل المخاطر التشغيلية؟</w:t>
      </w:r>
    </w:p>
    <w:p w14:paraId="70328D1B"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ما العلاقة بين جودة الحوكمة وسلامة الأصول وبين كفاءة الأداء المؤسسي في قطاع المياه؟</w:t>
      </w:r>
    </w:p>
    <w:p w14:paraId="60234242" w14:textId="56B9FCEB" w:rsidR="006A7BEC"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كيف يمكن تصميم نموذج حوكمة ذكي متكامل يربط بين التحول الرقمي والاستدامة وسلامة الأصول لتحقيق أداء مؤسسي مستدام في قطاع المياه السعودي؟</w:t>
      </w:r>
    </w:p>
    <w:p w14:paraId="1CF6EF6F" w14:textId="2A011400" w:rsidR="00B242CC" w:rsidRPr="000D327A" w:rsidRDefault="00B242CC" w:rsidP="00D32493">
      <w:pPr>
        <w:pStyle w:val="Heading2"/>
        <w:bidi/>
        <w:rPr>
          <w:rFonts w:ascii="Traditional Arabic" w:hAnsi="Traditional Arabic" w:cs="Traditional Arabic"/>
          <w:b/>
          <w:bCs/>
          <w:sz w:val="36"/>
          <w:szCs w:val="36"/>
        </w:rPr>
      </w:pPr>
      <w:bookmarkStart w:id="4" w:name="_Toc218160615"/>
      <w:r>
        <w:rPr>
          <w:rFonts w:ascii="Traditional Arabic" w:hAnsi="Traditional Arabic" w:cs="Traditional Arabic"/>
          <w:b/>
          <w:bCs/>
          <w:sz w:val="36"/>
          <w:szCs w:val="36"/>
          <w:rtl/>
        </w:rPr>
        <w:t>أهمية الدراسة (النظرية والتطبيقية)</w:t>
      </w:r>
      <w:bookmarkEnd w:id="4"/>
    </w:p>
    <w:p w14:paraId="5CDB750B" w14:textId="0554D777" w:rsidR="0003047E" w:rsidRDefault="00B242CC"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تنبع أهمية هذه الدراسة من تناولها أحد الموضوعات الحديثة في ميدان الإدارة والحوكمة الفنية، وهو نموذج الحوكمة الذكية لأصول البنية التحتية المائية، الذي يجمع بين مفاهيم التحول الرقمي والاستدامة المؤسسية وسلامة الأصول في إطار واحد متكامل. وتُعدّ هذه الدراسة من الدراسات الرائدة التي تسعى إلى تقديم فهم أعمق للعلاقة بين هذه المتغيرات في بيئة قطاع المياه السعودي، بما يتماشى مع توجهات رؤية المملكة 2030 في التحول نحو إدارة ذكية ومستدامة للموارد</w:t>
      </w:r>
      <w:r>
        <w:rPr>
          <w:rFonts w:ascii="Traditional Arabic" w:eastAsia="Times New Roman" w:hAnsi="Traditional Arabic" w:cs="Traditional Arabic"/>
          <w:color w:val="000000" w:themeColor="text1"/>
          <w:sz w:val="28"/>
          <w:szCs w:val="28"/>
        </w:rPr>
        <w:t>.</w:t>
      </w:r>
    </w:p>
    <w:p w14:paraId="2E7CB142" w14:textId="77777777" w:rsidR="0003047E" w:rsidRPr="000D327A" w:rsidRDefault="0003047E" w:rsidP="00005560">
      <w:pPr>
        <w:pStyle w:val="Heading2"/>
        <w:bidi/>
        <w:rPr>
          <w:rFonts w:ascii="Traditional Arabic" w:eastAsia="Times New Roman" w:hAnsi="Traditional Arabic" w:cs="Traditional Arabic"/>
          <w:b/>
          <w:bCs/>
          <w:sz w:val="36"/>
          <w:szCs w:val="36"/>
        </w:rPr>
      </w:pPr>
      <w:bookmarkStart w:id="5" w:name="_Toc218160616"/>
      <w:r>
        <w:rPr>
          <w:rFonts w:ascii="Traditional Arabic" w:eastAsia="Times New Roman" w:hAnsi="Traditional Arabic" w:cs="Traditional Arabic"/>
          <w:b/>
          <w:bCs/>
          <w:sz w:val="36"/>
          <w:szCs w:val="36"/>
          <w:rtl/>
        </w:rPr>
        <w:t>أولًا: الأهمية النظرية</w:t>
      </w:r>
      <w:bookmarkEnd w:id="5"/>
    </w:p>
    <w:p w14:paraId="00A905E0" w14:textId="77777777" w:rsidR="0003047E" w:rsidRPr="0003047E"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إثراء المعرفة العلمية في مجال الحوكمة وإدارة الأصول من خلال دمج البعدين الرقمي والاستدامي ضمن إطار مؤسسي متكامل يسهم في تطوير النظرية الإدارية الحديثة</w:t>
      </w:r>
      <w:r>
        <w:rPr>
          <w:rFonts w:ascii="Traditional Arabic" w:eastAsia="Times New Roman" w:hAnsi="Traditional Arabic" w:cs="Traditional Arabic"/>
          <w:color w:val="000000" w:themeColor="text1"/>
          <w:sz w:val="28"/>
          <w:szCs w:val="28"/>
        </w:rPr>
        <w:t>.</w:t>
      </w:r>
    </w:p>
    <w:p w14:paraId="6F530E21" w14:textId="77777777" w:rsidR="0003047E" w:rsidRPr="0003047E"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سد فجوة بحثية في الأدبيات العربية حول العلاقة التكاملية بين التحول الرقمي والاستدامة وسلامة الأصول في القطاعات الخدمية، وخاصة قطاع المياه</w:t>
      </w:r>
      <w:r>
        <w:rPr>
          <w:rFonts w:ascii="Traditional Arabic" w:eastAsia="Times New Roman" w:hAnsi="Traditional Arabic" w:cs="Traditional Arabic"/>
          <w:color w:val="000000" w:themeColor="text1"/>
          <w:sz w:val="28"/>
          <w:szCs w:val="28"/>
        </w:rPr>
        <w:t>.</w:t>
      </w:r>
    </w:p>
    <w:p w14:paraId="60520B30" w14:textId="77777777" w:rsidR="0003047E" w:rsidRPr="0003047E"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lastRenderedPageBreak/>
        <w:t>توسيع المفهوم النظري للحوكمة الذكية بوصفها إطارًا إداريًا يقوم على توظيف البيانات الذكية والتقنيات الرقمية في دعم اتخاذ القرار وتحقيق الكفاءة التشغيلية</w:t>
      </w:r>
      <w:r>
        <w:rPr>
          <w:rFonts w:ascii="Traditional Arabic" w:eastAsia="Times New Roman" w:hAnsi="Traditional Arabic" w:cs="Traditional Arabic"/>
          <w:color w:val="000000" w:themeColor="text1"/>
          <w:sz w:val="28"/>
          <w:szCs w:val="28"/>
        </w:rPr>
        <w:t>.</w:t>
      </w:r>
    </w:p>
    <w:p w14:paraId="1ACD6440" w14:textId="6EE33793" w:rsidR="00CC1672" w:rsidRPr="00537F4D"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تعزيز الجانب المفاهيمي للأداء المؤسسي من خلال ربطه بفعالية الحوكمة وموثوقية الأصول والاستدامة التشغيلية، مما يضيف بعدًا بحثيًا جديدًا للممارسات المؤسسية المعاصرة</w:t>
      </w:r>
      <w:r>
        <w:rPr>
          <w:rFonts w:ascii="Traditional Arabic" w:eastAsia="Times New Roman" w:hAnsi="Traditional Arabic" w:cs="Traditional Arabic"/>
          <w:color w:val="000000" w:themeColor="text1"/>
          <w:sz w:val="28"/>
          <w:szCs w:val="28"/>
        </w:rPr>
        <w:t>.</w:t>
      </w:r>
    </w:p>
    <w:p w14:paraId="7ECC2A43" w14:textId="77777777" w:rsidR="00055954" w:rsidRPr="000D327A" w:rsidRDefault="00055954" w:rsidP="00055954">
      <w:pPr>
        <w:pStyle w:val="Heading2"/>
        <w:bidi/>
        <w:rPr>
          <w:rFonts w:ascii="Traditional Arabic" w:eastAsia="Times New Roman" w:hAnsi="Traditional Arabic" w:cs="Traditional Arabic"/>
          <w:b/>
          <w:bCs/>
          <w:sz w:val="36"/>
          <w:szCs w:val="36"/>
        </w:rPr>
      </w:pPr>
      <w:bookmarkStart w:id="6" w:name="_Toc218160617"/>
      <w:r>
        <w:rPr>
          <w:rFonts w:ascii="Traditional Arabic" w:eastAsia="Times New Roman" w:hAnsi="Traditional Arabic" w:cs="Traditional Arabic"/>
          <w:b/>
          <w:bCs/>
          <w:sz w:val="36"/>
          <w:szCs w:val="36"/>
          <w:rtl/>
        </w:rPr>
        <w:t>ثانيًا: الأهمية التطبيقية</w:t>
      </w:r>
      <w:bookmarkEnd w:id="6"/>
    </w:p>
    <w:p w14:paraId="797E3B28"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تمكين مؤسسات قطاع المياه من تبني نموذج حوكمة ذكي يسهم في رفع كفاءة إدارة الأصول وتقليل الأعطال التشغيلية وتحسين موثوقية الخدمات</w:t>
      </w:r>
      <w:r>
        <w:rPr>
          <w:rFonts w:ascii="Traditional Arabic" w:eastAsia="Times New Roman" w:hAnsi="Traditional Arabic" w:cs="Traditional Arabic"/>
          <w:color w:val="000000" w:themeColor="text1"/>
          <w:sz w:val="28"/>
          <w:szCs w:val="28"/>
        </w:rPr>
        <w:t>.</w:t>
      </w:r>
    </w:p>
    <w:p w14:paraId="7AB0603E"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دعم صناع القرار في تحديد أولويات التحول الرقمي في ضوء مبادئ الحوكمة والاستدامة لتحقيق أفضل استخدام للموارد المالية والبشرية</w:t>
      </w:r>
      <w:r>
        <w:rPr>
          <w:rFonts w:ascii="Traditional Arabic" w:eastAsia="Times New Roman" w:hAnsi="Traditional Arabic" w:cs="Traditional Arabic"/>
          <w:color w:val="000000" w:themeColor="text1"/>
          <w:sz w:val="28"/>
          <w:szCs w:val="28"/>
        </w:rPr>
        <w:t>.</w:t>
      </w:r>
    </w:p>
    <w:p w14:paraId="5B692E52"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تعزيز استدامة البنية التحتية المائية عبر تطوير سياسات وممارسات مؤسسية قادرة على التكيف مع التغيرات البيئية والتقنية</w:t>
      </w:r>
      <w:r>
        <w:rPr>
          <w:rFonts w:ascii="Traditional Arabic" w:eastAsia="Times New Roman" w:hAnsi="Traditional Arabic" w:cs="Traditional Arabic"/>
          <w:color w:val="000000" w:themeColor="text1"/>
          <w:sz w:val="28"/>
          <w:szCs w:val="28"/>
        </w:rPr>
        <w:t>.</w:t>
      </w:r>
    </w:p>
    <w:p w14:paraId="6D22ED1B"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توفير إطار تطبيقي عملي يمكن من خلاله قياس نضج الحوكمة الرقمية والاستدامة المؤسسية، وتقييم جاهزية المؤسسات الخدمية للتحول نحو الإدارة الذكية</w:t>
      </w:r>
      <w:r>
        <w:rPr>
          <w:rFonts w:ascii="Traditional Arabic" w:eastAsia="Times New Roman" w:hAnsi="Traditional Arabic" w:cs="Traditional Arabic"/>
          <w:color w:val="000000" w:themeColor="text1"/>
          <w:sz w:val="28"/>
          <w:szCs w:val="28"/>
        </w:rPr>
        <w:t>.</w:t>
      </w:r>
    </w:p>
    <w:p w14:paraId="30B1674D" w14:textId="16971C20" w:rsidR="00CC1672" w:rsidRPr="00F76D05"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إمكانية تعميم النموذج المقترح على قطاعات بنية تحتية أخرى كقطاع الطاقة والنقل، نظرًا لطبيعة التحديات المتشابهة في إدارة الأصول وتحقيق الاستدامة التشغيلية</w:t>
      </w:r>
      <w:r>
        <w:rPr>
          <w:rFonts w:ascii="Traditional Arabic" w:eastAsia="Times New Roman" w:hAnsi="Traditional Arabic" w:cs="Traditional Arabic"/>
          <w:color w:val="000000" w:themeColor="text1"/>
          <w:sz w:val="28"/>
          <w:szCs w:val="28"/>
        </w:rPr>
        <w:t>.</w:t>
      </w:r>
    </w:p>
    <w:p w14:paraId="29D5C0DE" w14:textId="77777777" w:rsidR="00CC1672" w:rsidRPr="000D327A" w:rsidRDefault="00CC1672" w:rsidP="00CC1672">
      <w:pPr>
        <w:pStyle w:val="Heading2"/>
        <w:bidi/>
        <w:rPr>
          <w:rFonts w:ascii="Traditional Arabic" w:eastAsia="Times New Roman" w:hAnsi="Traditional Arabic" w:cs="Traditional Arabic"/>
          <w:b/>
          <w:bCs/>
          <w:sz w:val="36"/>
          <w:szCs w:val="36"/>
          <w:rtl/>
        </w:rPr>
      </w:pPr>
      <w:bookmarkStart w:id="7" w:name="_Toc218160618"/>
      <w:r>
        <w:rPr>
          <w:rFonts w:ascii="Traditional Arabic" w:eastAsia="Times New Roman" w:hAnsi="Traditional Arabic" w:cs="Traditional Arabic"/>
          <w:b/>
          <w:bCs/>
          <w:sz w:val="36"/>
          <w:szCs w:val="36"/>
          <w:rtl/>
        </w:rPr>
        <w:t>القيمة المضافة للدراسة</w:t>
      </w:r>
      <w:bookmarkEnd w:id="7"/>
    </w:p>
    <w:p w14:paraId="2015E3D0" w14:textId="38D9F6D4" w:rsidR="007B6D22" w:rsidRPr="00CC1672" w:rsidRDefault="00CC1672" w:rsidP="00F76D05">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تكتسب هذه الدراسة أهميتها الاستثنائية من كونها تسعى إلى تقديم نموذج تطبيقي حديث يمكن أن يُسهم في تحسين جودة القرارات المؤسسية، ورفع الكفاءة التشغيلية، وتعزيز استدامة أصول البنية التحتية، وذلك من خلال الربط المتكامل بين التحول الرقمي والحوكمة والاستدامة. كما تشكل نتائجها مرجعًا علميًا ومهنيًا يمكن أن يُسهم في تطوير</w:t>
      </w:r>
      <w:r>
        <w:rPr>
          <w:rFonts w:ascii="Sakkal Majalla" w:hAnsi="Sakkal Majalla" w:cs="Sakkal Majalla"/>
          <w:b/>
          <w:bCs/>
          <w:color w:val="1F3864" w:themeColor="accent1" w:themeShade="80"/>
          <w:sz w:val="36"/>
          <w:szCs w:val="36"/>
          <w:u w:val="single"/>
          <w:rtl/>
        </w:rPr>
        <w:t xml:space="preserve"> </w:t>
      </w:r>
      <w:r>
        <w:rPr>
          <w:rFonts w:ascii="Traditional Arabic" w:eastAsia="Times New Roman" w:hAnsi="Traditional Arabic" w:cs="Traditional Arabic"/>
          <w:color w:val="000000" w:themeColor="text1"/>
          <w:sz w:val="28"/>
          <w:szCs w:val="28"/>
          <w:rtl/>
        </w:rPr>
        <w:t>السياسات الوطنية ذات العلاقة بإدارة المياه والأصول العامة.</w:t>
      </w:r>
    </w:p>
    <w:p w14:paraId="36BBCADA" w14:textId="77777777" w:rsidR="007B6D22" w:rsidRPr="007B6D22" w:rsidRDefault="007B6D22" w:rsidP="007B6D22">
      <w:pPr>
        <w:pStyle w:val="Heading2"/>
        <w:bidi/>
        <w:rPr>
          <w:rFonts w:ascii="Traditional Arabic" w:eastAsia="Times New Roman" w:hAnsi="Traditional Arabic" w:cs="Traditional Arabic"/>
          <w:b/>
          <w:bCs/>
          <w:sz w:val="36"/>
          <w:szCs w:val="36"/>
        </w:rPr>
      </w:pPr>
      <w:bookmarkStart w:id="8" w:name="_Toc218160619"/>
      <w:r>
        <w:rPr>
          <w:rFonts w:ascii="Traditional Arabic" w:eastAsia="Times New Roman" w:hAnsi="Traditional Arabic" w:cs="Traditional Arabic"/>
          <w:b/>
          <w:bCs/>
          <w:sz w:val="36"/>
          <w:szCs w:val="36"/>
          <w:rtl/>
        </w:rPr>
        <w:lastRenderedPageBreak/>
        <w:t>أهداف الدراسة</w:t>
      </w:r>
      <w:bookmarkEnd w:id="8"/>
    </w:p>
    <w:p w14:paraId="5D61D666" w14:textId="77777777" w:rsidR="007B6D22" w:rsidRPr="007B6D22" w:rsidRDefault="007B6D22" w:rsidP="007B6D22">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تهدف هذه الدراسة إلى تطوير نموذج حوكمة ذكي ومتكامل يربط بين التحول الرقمي ومبادئ الاستدامة لضمان سلامة أصول البنية التحتية المائية في المملكة العربية السعودية، بما يسهم في رفع كفاءة الأداء المؤسسي وتحقيق الاستدامة التشغيلية. وينبثق عن هذا الهدف الرئيس عدد من الأهداف الفرعية التي تسعى الدراسة إلى تحقيقها، وهي على النحو الآتي:</w:t>
      </w:r>
    </w:p>
    <w:p w14:paraId="0D6AF2A8"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تصميم نموذج حوكمة ذكي متكامل يربط بين التحول الرقمي ومبادئ الاستدامة في إدارة أصول البنية التحتية المائية.</w:t>
      </w:r>
    </w:p>
    <w:p w14:paraId="5AEBC436"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قياس أثر التحول الرقمي على موثوقية وكفاءة الأصول المائية في مؤسسات قطاع المياه.</w:t>
      </w:r>
    </w:p>
    <w:p w14:paraId="21D339C4"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تحليل دور مبادئ الاستدامة في تقليل المخاطر التشغيلية وتعزيز سلامة الأصول وجودتها الفنية.</w:t>
      </w:r>
    </w:p>
    <w:p w14:paraId="3F5BC821"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تقييم العلاقة بين مستوى الحوكمة الذكية وسلامة الأصول والأداء المؤسسي لتحديد مدى تأثيرها في كفاءة المنظومة الإدارية والتشغيلية.</w:t>
      </w:r>
    </w:p>
    <w:p w14:paraId="3502C812" w14:textId="31DEBEA1" w:rsidR="008C638A"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 xml:space="preserve">تحليل الفجوة بين الممارسات الحالية والمعايير الدولية </w:t>
      </w:r>
      <w:r>
        <w:rPr>
          <w:rFonts w:asciiTheme="majorBidi" w:eastAsia="Times New Roman" w:hAnsiTheme="majorBidi" w:cstheme="majorBidi"/>
          <w:color w:val="000000" w:themeColor="text1"/>
          <w:sz w:val="24"/>
          <w:szCs w:val="24"/>
          <w:rtl/>
        </w:rPr>
        <w:t>(</w:t>
      </w:r>
      <w:r>
        <w:rPr>
          <w:rFonts w:asciiTheme="majorBidi" w:eastAsia="Times New Roman" w:hAnsiTheme="majorBidi" w:cstheme="majorBidi"/>
          <w:color w:val="000000" w:themeColor="text1"/>
          <w:sz w:val="24"/>
          <w:szCs w:val="24"/>
        </w:rPr>
        <w:t>ISO 55000</w:t>
      </w:r>
      <w:r>
        <w:rPr>
          <w:rFonts w:asciiTheme="majorBidi" w:eastAsia="Times New Roman" w:hAnsiTheme="majorBidi" w:cstheme="majorBidi"/>
          <w:color w:val="000000" w:themeColor="text1"/>
          <w:sz w:val="24"/>
          <w:szCs w:val="24"/>
          <w:rtl/>
        </w:rPr>
        <w:t>)</w:t>
      </w:r>
      <w:r>
        <w:rPr>
          <w:rFonts w:ascii="Traditional Arabic" w:eastAsia="Times New Roman" w:hAnsi="Traditional Arabic" w:cs="Traditional Arabic"/>
          <w:color w:val="000000" w:themeColor="text1"/>
          <w:sz w:val="28"/>
          <w:szCs w:val="28"/>
          <w:rtl/>
        </w:rPr>
        <w:t xml:space="preserve"> في إدارة أصول البنية التحتية المائية، بهدف تحديد فرص التحسين والتكامل المؤسسي المستدام.</w:t>
      </w:r>
    </w:p>
    <w:p w14:paraId="2F15C9C0" w14:textId="77777777" w:rsid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tl/>
        </w:rPr>
      </w:pPr>
      <w:r>
        <w:rPr>
          <w:rFonts w:ascii="Traditional Arabic" w:eastAsiaTheme="majorEastAsia" w:hAnsi="Traditional Arabic" w:cs="Traditional Arabic"/>
          <w:b/>
          <w:bCs/>
          <w:color w:val="2F5496" w:themeColor="accent1" w:themeShade="BF"/>
          <w:sz w:val="36"/>
          <w:szCs w:val="36"/>
          <w:rtl/>
        </w:rPr>
        <w:t>الدراسات ذات الصلة</w:t>
      </w:r>
    </w:p>
    <w:p w14:paraId="3078DED1" w14:textId="255DFB26" w:rsidR="002D46EB" w:rsidRPr="002D46EB" w:rsidRDefault="002D46EB" w:rsidP="001F16AB">
      <w:pPr>
        <w:bidi/>
        <w:spacing w:after="200" w:line="276"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تناولت العديد من الدراسات موضوع حوكمة الأصول والتحول الرقمي والاستدامة في قطاعات البنية التحتية، وأشارت إلى أن دمج التقنيات الرقمية الحديثة مع أطر الحوكمة المؤسسية يسهم في تحسين كفاءة التشغيل وتعزيز موثوقية الأصول. كما بينت بعض</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الدراسات أن استخدام أنظمة المراقبة الذكية والصيانة التنبؤية يمكن أن يقلل من الأعطال ويرفع مستوى الكفاءة التشغيلية في مرافق المياه</w:t>
      </w:r>
      <w:r>
        <w:rPr>
          <w:rFonts w:ascii="Traditional Arabic" w:eastAsia="Times New Roman" w:hAnsi="Traditional Arabic" w:cs="Traditional Arabic"/>
          <w:color w:val="000000" w:themeColor="text1"/>
          <w:sz w:val="28"/>
          <w:szCs w:val="28"/>
        </w:rPr>
        <w:t>.</w:t>
      </w:r>
    </w:p>
    <w:p w14:paraId="2808BAEA" w14:textId="77777777"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المقابل، ركزت دراسات أخرى على دور الاستدامة المؤسسية في تحسين إدارة الموارد وتقليل المخاطر التشغيلية، مؤكدة أهمية التكامل بين الأبعاد التقنية والتنظيمية في إدارة الأصول الحيوية</w:t>
      </w:r>
      <w:r>
        <w:rPr>
          <w:rFonts w:ascii="Traditional Arabic" w:eastAsia="Times New Roman" w:hAnsi="Traditional Arabic" w:cs="Traditional Arabic"/>
          <w:color w:val="000000" w:themeColor="text1"/>
          <w:sz w:val="28"/>
          <w:szCs w:val="28"/>
        </w:rPr>
        <w:t>.</w:t>
      </w:r>
    </w:p>
    <w:p w14:paraId="71F76551" w14:textId="77777777"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وعلى الرغم من أهمية هذه الدراسات، إلا أن معظمها تناول هذه المتغيرات بصورة منفصلة، ولم يقدم نموذجًا تكامليًا يربط بين التحول الرقمي والاستدامة والحوكمة المؤسسية في إطار واحد يفسر تأثيرها في سلامة أصول البنية التحتية والأداء المؤسسي في قطاع المياه</w:t>
      </w:r>
      <w:r>
        <w:rPr>
          <w:rFonts w:ascii="Traditional Arabic" w:eastAsia="Times New Roman" w:hAnsi="Traditional Arabic" w:cs="Traditional Arabic"/>
          <w:color w:val="000000" w:themeColor="text1"/>
          <w:sz w:val="28"/>
          <w:szCs w:val="28"/>
        </w:rPr>
        <w:t>.</w:t>
      </w:r>
    </w:p>
    <w:p w14:paraId="71A24AEA" w14:textId="36D23153"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ولذلك تسعى الدراسة الحالية إلى تطوير نموذج حوكمة ذكي يدمج هذه الأبعاد ضمن إطار تحليلي متكامل قابل للاختبار</w:t>
      </w:r>
      <w:r>
        <w:rPr>
          <w:rFonts w:ascii="Traditional Arabic" w:eastAsia="Times New Roman" w:hAnsi="Traditional Arabic" w:cs="Traditional Arabic"/>
          <w:color w:val="000000" w:themeColor="text1"/>
          <w:sz w:val="28"/>
          <w:szCs w:val="28"/>
        </w:rPr>
        <w:t>.</w:t>
      </w:r>
    </w:p>
    <w:p w14:paraId="205532CF" w14:textId="4319EEA8" w:rsidR="00C92A71" w:rsidRPr="001142D3" w:rsidRDefault="00C92A71" w:rsidP="001142D3">
      <w:pPr>
        <w:pStyle w:val="Heading1"/>
        <w:bidi/>
        <w:rPr>
          <w:rFonts w:ascii="Traditional Arabic" w:hAnsi="Traditional Arabic" w:cs="Traditional Arabic"/>
          <w:b/>
          <w:bCs/>
          <w:sz w:val="36"/>
          <w:szCs w:val="36"/>
          <w:rtl/>
        </w:rPr>
      </w:pPr>
      <w:bookmarkStart w:id="9" w:name="_Toc218160621"/>
      <w:r>
        <w:rPr>
          <w:rFonts w:ascii="Traditional Arabic" w:hAnsi="Traditional Arabic" w:cs="Traditional Arabic"/>
          <w:b/>
          <w:bCs/>
          <w:sz w:val="36"/>
          <w:szCs w:val="36"/>
          <w:rtl/>
        </w:rPr>
        <w:lastRenderedPageBreak/>
        <w:t xml:space="preserve">نموذج الدراسة </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النموذج المفاهيمي والعلاقات بين المتغيرات</w:t>
      </w:r>
      <w:r>
        <w:rPr>
          <w:rFonts w:ascii="Traditional Arabic" w:hAnsi="Traditional Arabic" w:cs="Traditional Arabic" w:hint="cs"/>
          <w:b/>
          <w:bCs/>
          <w:sz w:val="36"/>
          <w:szCs w:val="36"/>
          <w:rtl/>
        </w:rPr>
        <w:t>)</w:t>
      </w:r>
      <w:bookmarkEnd w:id="9"/>
    </w:p>
    <w:p w14:paraId="37C6FED6" w14:textId="77777777" w:rsidR="0044146F" w:rsidRPr="0044146F" w:rsidRDefault="0044146F" w:rsidP="0044146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يوضح هذا القسم نموذج الدراسة المقترح الذي يبيّن العلاقات بين متغيرات البحث وفق الصيغة النهائية المعتمدة. ويستند النموذج المفاهيمي إلى تفسير كيفية إسهام التحول الرقمي والاستدامة المؤسسية في تحسين سلامة أصول البنية التحتية والأداء المؤسسي في قطاع المياه السعودي، عند توجيههما ضمن إطار حوكمة ذكي</w:t>
      </w:r>
      <w:r>
        <w:rPr>
          <w:rFonts w:ascii="Traditional Arabic" w:hAnsi="Traditional Arabic" w:cs="Traditional Arabic"/>
          <w:sz w:val="28"/>
          <w:szCs w:val="28"/>
        </w:rPr>
        <w:t>.</w:t>
      </w:r>
    </w:p>
    <w:p w14:paraId="682B2969" w14:textId="77777777" w:rsidR="0044146F" w:rsidRPr="0044146F" w:rsidRDefault="0044146F" w:rsidP="0044146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وينطلق النموذج من افتراض أساسي مفاده أن التحول الرقمي وممارسات الاستدامة، على الرغم من أهميتهما، لا يحققان أثرًا مؤسسيًا مستدامًا بصورة تلقائية، وإنما تتحدد فاعليتهما بمدى خضوعهما لإطار حوكمة ذكي ينظم عملية اتخاذ القرار، ويضبط الأدوار والمسؤوليات، ويضمن الاتساق بين المبادرات التقنية والاستراتيجية المؤسسية لإدارة الأصول</w:t>
      </w:r>
      <w:r>
        <w:rPr>
          <w:rFonts w:ascii="Traditional Arabic" w:hAnsi="Traditional Arabic" w:cs="Traditional Arabic"/>
          <w:sz w:val="28"/>
          <w:szCs w:val="28"/>
        </w:rPr>
        <w:t>.</w:t>
      </w:r>
    </w:p>
    <w:p w14:paraId="5AE0A0E5" w14:textId="77777777" w:rsidR="0044146F" w:rsidRPr="0044146F" w:rsidRDefault="0044146F" w:rsidP="0044146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وبذلك، لا يُقدَّم النموذج بوصفه علاقة خطية بسيطة بين متغيرات مستقلة ووسيطة وتابعة، بل بوصفه إطارًا تحليليًا يوضح كيف تعمل المتغيرات التقنية والمؤسسية داخل منظومة حوكمة ذكية لإنتاج نتائج تشغيلية ومؤسسية ملموسة</w:t>
      </w:r>
      <w:r>
        <w:rPr>
          <w:rFonts w:ascii="Traditional Arabic" w:hAnsi="Traditional Arabic" w:cs="Traditional Arabic"/>
          <w:sz w:val="28"/>
          <w:szCs w:val="28"/>
        </w:rPr>
        <w:t>.</w:t>
      </w:r>
    </w:p>
    <w:p w14:paraId="6713CEDF" w14:textId="77777777" w:rsidR="00537F4D" w:rsidRPr="00537F4D" w:rsidRDefault="00537F4D" w:rsidP="00537F4D">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أولًا: المتغيرات المستقلة وعلاقاتها الأولية</w:t>
      </w:r>
    </w:p>
    <w:p w14:paraId="7DF41FA5" w14:textId="77777777" w:rsidR="00537F4D" w:rsidRPr="00537F4D" w:rsidRDefault="00537F4D" w:rsidP="00B7711D">
      <w:pPr>
        <w:pStyle w:val="ListParagraph"/>
        <w:numPr>
          <w:ilvl w:val="0"/>
          <w:numId w:val="7"/>
        </w:numPr>
        <w:bidi/>
        <w:jc w:val="both"/>
        <w:rPr>
          <w:rFonts w:ascii="Traditional Arabic" w:hAnsi="Traditional Arabic" w:cs="Traditional Arabic"/>
          <w:b/>
          <w:bCs/>
          <w:sz w:val="28"/>
          <w:szCs w:val="28"/>
        </w:rPr>
      </w:pPr>
      <w:r>
        <w:rPr>
          <w:rFonts w:ascii="Traditional Arabic" w:hAnsi="Traditional Arabic" w:cs="Traditional Arabic"/>
          <w:b/>
          <w:bCs/>
          <w:sz w:val="28"/>
          <w:szCs w:val="28"/>
          <w:rtl/>
        </w:rPr>
        <w:t>التحول الرقمي</w:t>
      </w:r>
      <w:r>
        <w:rPr>
          <w:rFonts w:ascii="Traditional Arabic" w:hAnsi="Traditional Arabic" w:cs="Traditional Arabic" w:hint="cs"/>
          <w:b/>
          <w:bCs/>
          <w:sz w:val="28"/>
          <w:szCs w:val="28"/>
          <w:rtl/>
        </w:rPr>
        <w:t>:</w:t>
      </w:r>
    </w:p>
    <w:p w14:paraId="3EEB155D" w14:textId="77777777" w:rsidR="003E662B" w:rsidRPr="003E662B" w:rsidRDefault="001A533E" w:rsidP="00B84459">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يمثل التحول الرقمي أحد المتغيرات المستقلة في الدراسة، ويشير إلى توظيف التقنيات الرقمية ونظم المعلومات والبيانات الذكية في إدارة أصول البنية التحتية المائية. ويُفترض أن يسهم التحول الرقمي في تحسين سلامة الأصول من خلال دعم الصيانة التنبؤية، وتحسين جودة البيانات، وتعزيز القدرة على رصد المخاطر التشغيلية في مراحل مبكرة. إلا أن الأدبيات تشير إلى أن هذا الأثر يظل محدودًا في حال غياب أطر حوكمة واضحة تنظم استخدام التقنيات وتربطها بأهداف إدارة الأصول</w:t>
      </w:r>
      <w:r>
        <w:rPr>
          <w:rFonts w:ascii="Traditional Arabic" w:hAnsi="Traditional Arabic" w:cs="Traditional Arabic"/>
          <w:sz w:val="28"/>
          <w:szCs w:val="28"/>
        </w:rPr>
        <w:t>.</w:t>
      </w:r>
    </w:p>
    <w:p w14:paraId="4E910D31" w14:textId="418FA649" w:rsidR="00537F4D" w:rsidRPr="00537F4D" w:rsidRDefault="00537F4D" w:rsidP="00B7711D">
      <w:pPr>
        <w:pStyle w:val="ListParagraph"/>
        <w:numPr>
          <w:ilvl w:val="0"/>
          <w:numId w:val="7"/>
        </w:numPr>
        <w:bidi/>
        <w:jc w:val="both"/>
        <w:rPr>
          <w:rFonts w:ascii="Traditional Arabic" w:hAnsi="Traditional Arabic" w:cs="Traditional Arabic"/>
          <w:b/>
          <w:bCs/>
          <w:sz w:val="28"/>
          <w:szCs w:val="28"/>
        </w:rPr>
      </w:pPr>
      <w:r>
        <w:rPr>
          <w:rFonts w:ascii="Traditional Arabic" w:hAnsi="Traditional Arabic" w:cs="Traditional Arabic"/>
          <w:b/>
          <w:bCs/>
          <w:sz w:val="28"/>
          <w:szCs w:val="28"/>
          <w:rtl/>
        </w:rPr>
        <w:t>الاستدامة المؤسسية</w:t>
      </w:r>
      <w:r>
        <w:rPr>
          <w:rFonts w:ascii="Traditional Arabic" w:hAnsi="Traditional Arabic" w:cs="Traditional Arabic" w:hint="cs"/>
          <w:b/>
          <w:bCs/>
          <w:sz w:val="28"/>
          <w:szCs w:val="28"/>
          <w:rtl/>
        </w:rPr>
        <w:t>:</w:t>
      </w:r>
    </w:p>
    <w:p w14:paraId="08091676" w14:textId="77777777" w:rsidR="006B126E" w:rsidRDefault="006B126E" w:rsidP="006B126E">
      <w:pPr>
        <w:bidi/>
        <w:ind w:left="360"/>
        <w:jc w:val="both"/>
        <w:rPr>
          <w:rFonts w:ascii="Traditional Arabic" w:hAnsi="Traditional Arabic" w:cs="Traditional Arabic"/>
          <w:b/>
          <w:bCs/>
          <w:sz w:val="28"/>
          <w:szCs w:val="28"/>
          <w:rtl/>
        </w:rPr>
      </w:pPr>
      <w:r>
        <w:rPr>
          <w:rFonts w:ascii="Traditional Arabic" w:hAnsi="Traditional Arabic" w:cs="Traditional Arabic"/>
          <w:sz w:val="28"/>
          <w:szCs w:val="28"/>
          <w:rtl/>
        </w:rPr>
        <w:t>تمثل الاستدامة المؤسسية المتغير المستقل الثاني، وتشير إلى السياسات والممارسات التي تهدف إلى ضمان استمرارية الخدمات، وتحسين كفاءة استخدام الموارد، وتقليل المخاطر التشغيلية طويلة المدى. ويُفترض أن تسهم الاستدامة المؤسسية في دعم سلامة الأصول من خلال تعزيز جودة القرارات الإدارية والفنية المرتبطة بإدارة دورة حياة الأصول</w:t>
      </w:r>
      <w:r>
        <w:rPr>
          <w:rFonts w:ascii="Traditional Arabic" w:hAnsi="Traditional Arabic" w:cs="Traditional Arabic"/>
          <w:sz w:val="28"/>
          <w:szCs w:val="28"/>
        </w:rPr>
        <w:t>.</w:t>
      </w:r>
    </w:p>
    <w:p w14:paraId="686E9C12" w14:textId="23583FBD" w:rsidR="00537F4D" w:rsidRPr="00537F4D" w:rsidRDefault="00537F4D" w:rsidP="002E6F1E">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ثانيًا: إطار الحوكمة الذكية (</w:t>
      </w:r>
      <w:r>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rPr>
        <w:t xml:space="preserve">المتغير الوسيط </w:t>
      </w:r>
      <w:r>
        <w:rPr>
          <w:rFonts w:ascii="Traditional Arabic" w:hAnsi="Traditional Arabic" w:cs="Traditional Arabic"/>
          <w:b/>
          <w:bCs/>
          <w:sz w:val="28"/>
          <w:szCs w:val="28"/>
          <w:rtl/>
        </w:rPr>
        <w:t>)</w:t>
      </w:r>
    </w:p>
    <w:p w14:paraId="6E397B13" w14:textId="77777777" w:rsidR="0020169F" w:rsidRPr="0020169F" w:rsidRDefault="0020169F" w:rsidP="0020169F">
      <w:pPr>
        <w:bidi/>
        <w:ind w:left="360"/>
        <w:jc w:val="both"/>
        <w:rPr>
          <w:rFonts w:ascii="Traditional Arabic" w:hAnsi="Traditional Arabic" w:cs="Traditional Arabic"/>
          <w:sz w:val="28"/>
          <w:szCs w:val="28"/>
          <w:rtl/>
        </w:rPr>
      </w:pPr>
      <w:r>
        <w:rPr>
          <w:rFonts w:ascii="Traditional Arabic" w:hAnsi="Traditional Arabic" w:cs="Traditional Arabic"/>
          <w:sz w:val="28"/>
          <w:szCs w:val="28"/>
          <w:rtl/>
        </w:rPr>
        <w:t>تمثّل الحوكمة الذكية في هذه الدراسة إطارًا حاكمًا ينظّم ويوجّه العلاقة بين التحول الرقمي والاستدامة المؤسسية من جهة، وسلامة أصول البنية التحتية المائية والأداء المؤسسي من جهة أخرى. ويُقصد بالحوكمة الذكية منظومة متكاملة من السياسات، والهياكل التنظيمية، وآليات اتخاذ القرار، التي تضمن توجيه المبادرات الرقمية وممارسات الاستدامة بصورة منهجية تخدم أهداف إدارة الأصول، وتُعزّز الاتساق المؤسسي وكفاءة الأداء</w:t>
      </w:r>
      <w:r>
        <w:rPr>
          <w:rFonts w:ascii="Traditional Arabic" w:hAnsi="Traditional Arabic" w:cs="Traditional Arabic"/>
          <w:sz w:val="28"/>
          <w:szCs w:val="28"/>
        </w:rPr>
        <w:t>.</w:t>
      </w:r>
    </w:p>
    <w:p w14:paraId="2E336989" w14:textId="77777777" w:rsidR="0020169F" w:rsidRPr="0020169F" w:rsidRDefault="0020169F" w:rsidP="0020169F">
      <w:pPr>
        <w:bidi/>
        <w:ind w:left="360"/>
        <w:rPr>
          <w:rFonts w:ascii="Traditional Arabic" w:hAnsi="Traditional Arabic" w:cs="Traditional Arabic"/>
          <w:sz w:val="28"/>
          <w:szCs w:val="28"/>
          <w:rtl/>
        </w:rPr>
      </w:pPr>
    </w:p>
    <w:p w14:paraId="4910246D" w14:textId="77777777" w:rsidR="0020169F" w:rsidRDefault="0020169F" w:rsidP="0020169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وانطلاقًا من ذلك، لا تُعامَل الحوكمة الذكية في هذه الدراسة كمتغير وسيط تقليدي فحسب، بل كآلية تنظيمية تفسيرية توضّح كيف ولماذا يختلف أثر التحول الرقمي والاستدامة المؤسسية على سلامة الأصول والأداء المؤسسي بين المؤسسات، وذلك تبعًا لمستوى نضج الحوكمة المؤسسية وقدرتها على تحويل المبادرات التقنية من مجرد تطبيقات تشغيلية إلى قيمة مؤسسية مستدامة.</w:t>
      </w:r>
    </w:p>
    <w:p w14:paraId="64676AC4" w14:textId="5512B0A9" w:rsidR="00537F4D" w:rsidRPr="00537F4D" w:rsidRDefault="00537F4D" w:rsidP="0020169F">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ثالثًا: المتغيرات التابعة وتسلسل التأثير</w:t>
      </w:r>
    </w:p>
    <w:p w14:paraId="6E77C348" w14:textId="77777777" w:rsidR="00537F4D" w:rsidRPr="00537F4D" w:rsidRDefault="00537F4D" w:rsidP="00B7711D">
      <w:pPr>
        <w:pStyle w:val="ListParagraph"/>
        <w:numPr>
          <w:ilvl w:val="0"/>
          <w:numId w:val="8"/>
        </w:num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سلامة الأصول</w:t>
      </w:r>
    </w:p>
    <w:p w14:paraId="4BCB75AE" w14:textId="77777777" w:rsidR="007B684F" w:rsidRPr="007B684F" w:rsidRDefault="007B684F" w:rsidP="007B684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تمثل سلامة الأصول المتغير التابع الأول في النموذج، وتعكس الحالة الفنية والتشغيلية للأصول ومدى موثوقيتها وقدرتها على أداء وظائفها بكفاءة وأمان. ويُفترض أن تتأثر سلامة الأصول بكل من التحول الرقمي والاستدامة المؤسسية عند تطبيقهما ضمن إطار حوكمة ذكية، كما تُعد حلقة وصل رئيسة بين المتغيرات الإدارية والتقنية والنتائج المؤسسية النهائية</w:t>
      </w:r>
      <w:r>
        <w:rPr>
          <w:rFonts w:ascii="Traditional Arabic" w:hAnsi="Traditional Arabic" w:cs="Traditional Arabic"/>
          <w:sz w:val="28"/>
          <w:szCs w:val="28"/>
        </w:rPr>
        <w:t>.</w:t>
      </w:r>
    </w:p>
    <w:p w14:paraId="1D64077C" w14:textId="39AD6369" w:rsidR="00537F4D" w:rsidRPr="00537F4D" w:rsidRDefault="00537F4D" w:rsidP="00B7711D">
      <w:pPr>
        <w:pStyle w:val="ListParagraph"/>
        <w:numPr>
          <w:ilvl w:val="0"/>
          <w:numId w:val="8"/>
        </w:num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الأداء المؤسسي</w:t>
      </w:r>
    </w:p>
    <w:p w14:paraId="6792E8BF" w14:textId="77777777" w:rsidR="00AF7D89" w:rsidRDefault="00AF7D89" w:rsidP="00AF7D89">
      <w:pPr>
        <w:bidi/>
        <w:ind w:left="360"/>
        <w:jc w:val="both"/>
        <w:rPr>
          <w:rFonts w:ascii="Traditional Arabic" w:hAnsi="Traditional Arabic" w:cs="Traditional Arabic"/>
          <w:b/>
          <w:bCs/>
          <w:sz w:val="28"/>
          <w:szCs w:val="28"/>
          <w:rtl/>
        </w:rPr>
      </w:pPr>
      <w:r>
        <w:rPr>
          <w:rFonts w:ascii="Traditional Arabic" w:hAnsi="Traditional Arabic" w:cs="Traditional Arabic"/>
          <w:sz w:val="28"/>
          <w:szCs w:val="28"/>
          <w:rtl/>
        </w:rPr>
        <w:t>يمثل الأداء المؤسسي المتغير التابع النهائي في النموذج، ويعكس النتائج الشاملة لتكامل المتغيرات السابقة، من حيث كفاءة التشغيل، وجودة الخدمة، واستدامة الأداء. ويُفترض أن يتأثر الأداء المؤسسي بشكل مباشر بمستوى سلامة الأصول، حيث يؤدي تحسن موثوقية الأصول إلى رفع كفاءة العمليات التشغيلية وتحسين مستوى الخدمة المقدمة</w:t>
      </w:r>
      <w:r>
        <w:rPr>
          <w:rFonts w:ascii="Traditional Arabic" w:hAnsi="Traditional Arabic" w:cs="Traditional Arabic"/>
          <w:sz w:val="28"/>
          <w:szCs w:val="28"/>
        </w:rPr>
        <w:t>.</w:t>
      </w:r>
    </w:p>
    <w:p w14:paraId="4451FA45" w14:textId="41D6C6BC" w:rsidR="00537F4D" w:rsidRPr="00537F4D" w:rsidRDefault="00537F4D" w:rsidP="00AF7D89">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رابعًا: العلاقات السببية التي يختبرها النموذج المقترح</w:t>
      </w:r>
    </w:p>
    <w:p w14:paraId="6D80ACD3" w14:textId="77777777" w:rsidR="00777BCB" w:rsidRPr="00777BCB" w:rsidRDefault="00777BCB" w:rsidP="00777BCB">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استنادًا إلى الإطار المفاهيمي المقترح، تختبر الدراسة العلاقات السببية الآتية</w:t>
      </w:r>
      <w:r>
        <w:rPr>
          <w:rFonts w:ascii="Traditional Arabic" w:hAnsi="Traditional Arabic" w:cs="Traditional Arabic"/>
          <w:sz w:val="28"/>
          <w:szCs w:val="28"/>
        </w:rPr>
        <w:t>:</w:t>
      </w:r>
    </w:p>
    <w:p w14:paraId="7C72FDC7"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وجود تأثير مباشر ذي دلالة إحصائية للتحول الرقمي، عند تطبيقه ضمن إطار حوكمة ذكية، على سلامة أصول البنية التحتية المائية</w:t>
      </w:r>
      <w:r>
        <w:rPr>
          <w:rFonts w:ascii="Traditional Arabic" w:hAnsi="Traditional Arabic" w:cs="Traditional Arabic"/>
          <w:sz w:val="28"/>
          <w:szCs w:val="28"/>
        </w:rPr>
        <w:t>.</w:t>
      </w:r>
    </w:p>
    <w:p w14:paraId="627EC77B"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وجود تأثير مباشر ذي دلالة إحصائية للاستدامة المؤسسية، عند تطبيقها ضمن إطار حوكمة ذكية، على سلامة أصول البنية التحتية المائية</w:t>
      </w:r>
      <w:r>
        <w:rPr>
          <w:rFonts w:ascii="Traditional Arabic" w:hAnsi="Traditional Arabic" w:cs="Traditional Arabic"/>
          <w:sz w:val="28"/>
          <w:szCs w:val="28"/>
        </w:rPr>
        <w:t>.</w:t>
      </w:r>
    </w:p>
    <w:p w14:paraId="34B7B431"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وجود تأثير مباشر ذي دلالة إحصائية لسلامة أصول البنية التحتية المائية على الأداء المؤسسي</w:t>
      </w:r>
      <w:r>
        <w:rPr>
          <w:rFonts w:ascii="Traditional Arabic" w:hAnsi="Traditional Arabic" w:cs="Traditional Arabic"/>
          <w:sz w:val="28"/>
          <w:szCs w:val="28"/>
        </w:rPr>
        <w:t>.</w:t>
      </w:r>
    </w:p>
    <w:p w14:paraId="068894F8"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قيام إطار الحوكمة الذكية بدور حاكم في توجيه أثر التحول الرقمي والاستدامة المؤسسية نحو تحسين سلامة الأصول وتحقيق نتائج مؤسسية ملموسة</w:t>
      </w:r>
      <w:r>
        <w:rPr>
          <w:rFonts w:ascii="Traditional Arabic" w:hAnsi="Traditional Arabic" w:cs="Traditional Arabic"/>
          <w:sz w:val="28"/>
          <w:szCs w:val="28"/>
        </w:rPr>
        <w:t>.</w:t>
      </w:r>
    </w:p>
    <w:p w14:paraId="5486ACE4" w14:textId="77777777" w:rsidR="00537F4D" w:rsidRPr="00537F4D" w:rsidRDefault="00537F4D" w:rsidP="00537F4D">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خامسًا: موقع النموذج في تصميم الدراسة</w:t>
      </w:r>
    </w:p>
    <w:p w14:paraId="4705F234" w14:textId="65CC4B5E" w:rsidR="00A608AB" w:rsidRPr="00A31AF3" w:rsidRDefault="00A608AB" w:rsidP="00A31AF3">
      <w:pPr>
        <w:bidi/>
        <w:jc w:val="both"/>
        <w:rPr>
          <w:rFonts w:ascii="Traditional Arabic" w:hAnsi="Traditional Arabic" w:cs="Traditional Arabic"/>
          <w:sz w:val="28"/>
          <w:szCs w:val="28"/>
          <w:rtl/>
        </w:rPr>
      </w:pPr>
      <w:r>
        <w:rPr>
          <w:rFonts w:ascii="Traditional Arabic" w:hAnsi="Traditional Arabic" w:cs="Traditional Arabic"/>
          <w:sz w:val="28"/>
          <w:szCs w:val="28"/>
          <w:rtl/>
        </w:rPr>
        <w:t>يمثل هذا النموذج المفاهيمي الأساس النظري الذي تُشتق منه فروض الدراسة وأسئلتها البحثية، كما يوجّه اختيار المنهجية الإحصائية المناسبة. وسيتم اختبار العلاقات المقترحة باستخدام نمذجة المعادلات الهيكلية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(SEM)</w:t>
      </w:r>
      <w:r>
        <w:rPr>
          <w:rFonts w:ascii="Traditional Arabic" w:hAnsi="Traditional Arabic" w:cs="Traditional Arabic"/>
          <w:sz w:val="28"/>
          <w:szCs w:val="28"/>
          <w:rtl/>
        </w:rPr>
        <w:t>، بما يسمح بتحليل التأثيرات المباشرة وتفسير طبيعة التفاعل بين المتغيرات ضمن إطار الحوكمة الذكية في سياق قطاع المياه السعودي</w:t>
      </w:r>
      <w:r>
        <w:rPr>
          <w:rFonts w:ascii="Traditional Arabic" w:hAnsi="Traditional Arabic" w:cs="Traditional Arabic"/>
          <w:sz w:val="28"/>
          <w:szCs w:val="28"/>
        </w:rPr>
        <w:t>.</w:t>
      </w:r>
    </w:p>
    <w:p w14:paraId="37C1DC22" w14:textId="4359B2FC" w:rsidR="00537F4D" w:rsidRPr="00537F4D" w:rsidRDefault="00537F4D" w:rsidP="00A608AB">
      <w:pPr>
        <w:pStyle w:val="Heading2"/>
        <w:bidi/>
        <w:rPr>
          <w:rFonts w:ascii="Traditional Arabic" w:eastAsia="Times New Roman" w:hAnsi="Traditional Arabic" w:cs="Traditional Arabic"/>
          <w:b/>
          <w:bCs/>
          <w:sz w:val="36"/>
          <w:szCs w:val="36"/>
          <w:rtl/>
        </w:rPr>
      </w:pPr>
      <w:bookmarkStart w:id="10" w:name="_Toc218160622"/>
      <w:r>
        <w:rPr>
          <w:rFonts w:ascii="Traditional Arabic" w:eastAsia="Times New Roman" w:hAnsi="Traditional Arabic" w:cs="Traditional Arabic"/>
          <w:b/>
          <w:bCs/>
          <w:sz w:val="36"/>
          <w:szCs w:val="36"/>
          <w:rtl/>
        </w:rPr>
        <w:lastRenderedPageBreak/>
        <w:t>وصف النموذج المفاهيمي للدراسة</w:t>
      </w:r>
      <w:bookmarkEnd w:id="10"/>
    </w:p>
    <w:p w14:paraId="26603862" w14:textId="1C0B2EA3"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يوضح النموذج المفاهيمي المقترح في هذه الدراسة طبيعة العلاقات السببية المباشرة وغير المباشرة بين المتغيرات الرئيسة، ويهدف إلى تفسير كيفية إسهام التكامل بين التحول الرقمي والاستدامة المؤسسية، من خلال الحوكمة الذكية، في تحسين سلامة أصول البنية التحتية والأداء المؤسسي في قطاع المياه السعودي</w:t>
      </w:r>
      <w:r>
        <w:rPr>
          <w:rFonts w:ascii="Traditional Arabic" w:eastAsia="Times New Roman" w:hAnsi="Traditional Arabic" w:cs="Traditional Arabic"/>
          <w:color w:val="000000" w:themeColor="text1"/>
          <w:sz w:val="28"/>
          <w:szCs w:val="28"/>
        </w:rPr>
        <w:t>.</w:t>
      </w:r>
    </w:p>
    <w:p w14:paraId="77D7FD17" w14:textId="166782A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ويتكون النموذج من ثلاثة أنواع من المتغيرات هي: المتغيرات المستقلة، والمتغير الوسيط، والمتغيرات التابعة. حيث يمثّل التحول الرقمي والاستدامة المؤسسية المتغيرين المستقلين في النموذج، ويُفترض أن يؤثرا بشكل مباشر في سلامة أصول البنية التحتية. ويعكس التحول الرقمي دور التقنيات الذكية ونظم المعلومات في تحسين جودة البيانات، ودعم الصيانة التنبؤية، وتعزيز القدرة على رصد المخاطر التشغيلية، في حين تمثل الاستدامة المؤسسية الإطار الذي يضمن تقليل المخاطر طويلة المدى وتحسين كفاءة العمليات التشغيلية والإدارية</w:t>
      </w:r>
      <w:r>
        <w:rPr>
          <w:rFonts w:ascii="Traditional Arabic" w:eastAsia="Times New Roman" w:hAnsi="Traditional Arabic" w:cs="Traditional Arabic"/>
          <w:color w:val="000000" w:themeColor="text1"/>
          <w:sz w:val="28"/>
          <w:szCs w:val="28"/>
        </w:rPr>
        <w:t>.</w:t>
      </w:r>
    </w:p>
    <w:p w14:paraId="303E6787" w14:textId="6B18184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أما الحوكمة الذكية، فتمثل المتغير الوسيط في النموذج، حيث تؤدي دورًا محوريًا في تنظيم العلاقة بين المتغيرات المستقلة وسلامة الأصول. ويُفترض أن الحوكمة الذكية تسهم في توجيه مبادرات التحول الرقمي وممارسات الاستدامة ضمن إطار مؤسسي متكامل، يضمن اتساقها مع الاستراتيجية العامة لإدارة الأصول ومتطلبات اتخاذ القرار المؤسسي. وبذلك، يعمل هذا المتغير كآلية تفسيرية توضّح كيفية تعظيم أثر التحول الرقمي والاستدامة على سلامة الأصول</w:t>
      </w:r>
      <w:r>
        <w:rPr>
          <w:rFonts w:ascii="Traditional Arabic" w:eastAsia="Times New Roman" w:hAnsi="Traditional Arabic" w:cs="Traditional Arabic"/>
          <w:color w:val="000000" w:themeColor="text1"/>
          <w:sz w:val="28"/>
          <w:szCs w:val="28"/>
        </w:rPr>
        <w:t>.</w:t>
      </w:r>
    </w:p>
    <w:p w14:paraId="2A07005B" w14:textId="528FA0C9"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ويمثل تحسين سلامة أصول البنية التحتية المتغير التابع الأول في النموذج، ويُعد مؤشرًا فنيًا وتشغيليًا يعكس كفاءة إدارة الأصول وموثوقيتها. ويُفترض أن يكون لهذا المتغير تأثير مباشر في الأداء المؤسسي، الذي يمثل المتغير التابع النهائي في النموذج. ويعكس الأداء المؤسسي النتائج الشاملة لتكامل المتغيرات السابقة، من حيث كفاءة التشغيل، وجودة الخدمة، واستدامة الأداء في قطاع المياه</w:t>
      </w:r>
      <w:r>
        <w:rPr>
          <w:rFonts w:ascii="Traditional Arabic" w:eastAsia="Times New Roman" w:hAnsi="Traditional Arabic" w:cs="Traditional Arabic"/>
          <w:color w:val="000000" w:themeColor="text1"/>
          <w:sz w:val="28"/>
          <w:szCs w:val="28"/>
        </w:rPr>
        <w:t>.</w:t>
      </w:r>
    </w:p>
    <w:p w14:paraId="01BCBA9A" w14:textId="77777777" w:rsidR="0020169F" w:rsidRDefault="00537F4D" w:rsidP="0020169F">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ويُظهر النموذج المفاهيمي كذلك وجود تأثيرات مباشرة للتحول الرقمي والاستدامة المؤسسية والحوكمة الذكية على سلامة الأصول، إلى جانب تأثير غير مباشر يتمثل في الدور الوسيط للحوكمة الذكية في العلاقة بين التحول الرقمي وسلامة الأصول، وكذلك بين الاستدامة المؤسسية وسلامة الأصول. ويُعد هذا النموذج الأساس النظري الذي تُشتق منه فروض الدراسة، ويوجّه اختيار منهجية التحليل الإحصائي المناسبة، حيث سيتم اختبار العلاقات المقترحة باستخدام نمذجة المعادلات الهيكلية (</w:t>
      </w:r>
      <w:r>
        <w:rPr>
          <w:rFonts w:ascii="Traditional Arabic" w:eastAsia="Times New Roman" w:hAnsi="Traditional Arabic" w:cs="Traditional Arabic"/>
          <w:color w:val="000000" w:themeColor="text1"/>
          <w:sz w:val="28"/>
          <w:szCs w:val="28"/>
        </w:rPr>
        <w:t>SEM</w:t>
      </w:r>
      <w:r>
        <w:rPr>
          <w:rFonts w:ascii="Traditional Arabic" w:eastAsia="Times New Roman" w:hAnsi="Traditional Arabic" w:cs="Traditional Arabic"/>
          <w:color w:val="000000" w:themeColor="text1"/>
          <w:sz w:val="28"/>
          <w:szCs w:val="28"/>
          <w:rtl/>
        </w:rPr>
        <w:t>) للتحقق من صحة النموذج وقياس قوة العلاقات بين متغيراته في سياق قطاع المياه السعودي.</w:t>
      </w:r>
    </w:p>
    <w:p w14:paraId="2B358881" w14:textId="1019541B" w:rsidR="006E72FA" w:rsidRPr="00B550C9" w:rsidRDefault="00591B4C" w:rsidP="00591B4C">
      <w:pPr>
        <w:bidi/>
        <w:spacing w:after="200" w:line="360" w:lineRule="auto"/>
        <w:jc w:val="both"/>
        <w:rPr>
          <w:rFonts w:ascii="Traditional Arabic" w:hAnsi="Traditional Arabic" w:cs="Traditional Arabic"/>
          <w:b/>
          <w:bCs/>
          <w:color w:val="000000" w:themeColor="text1"/>
          <w:kern w:val="24"/>
          <w:sz w:val="28"/>
          <w:szCs w:val="28"/>
          <w:rtl/>
        </w:rPr>
      </w:pPr>
      <w:r>
        <w:rPr>
          <w:rFonts w:ascii="Traditional Arabic" w:hAnsi="Traditional Arabic" w:cs="Traditional Arabic"/>
          <w:b/>
          <w:bCs/>
          <w:color w:val="000000" w:themeColor="text1"/>
          <w:kern w:val="24"/>
          <w:sz w:val="28"/>
          <w:szCs w:val="28"/>
          <w:rtl/>
        </w:rPr>
        <w:lastRenderedPageBreak/>
        <w:t>يوضح الشكل التالي النموذج المفاهيمي للدراسة</w:t>
      </w:r>
      <w:r>
        <w:rPr>
          <w:rFonts w:ascii="Traditional Arabic" w:hAnsi="Traditional Arabic" w:cs="Traditional Arabic"/>
          <w:b/>
          <w:bCs/>
          <w:color w:val="000000" w:themeColor="text1"/>
          <w:kern w:val="24"/>
          <w:sz w:val="28"/>
          <w:szCs w:val="28"/>
        </w:rPr>
        <w:t>:</w:t>
      </w:r>
    </w:p>
    <w:p w14:paraId="3448B68C" w14:textId="0A124542" w:rsidR="00B550C9" w:rsidRDefault="00B550C9" w:rsidP="00B550C9">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noProof/>
          <w:color w:val="000000" w:themeColor="text1"/>
          <w:sz w:val="28"/>
          <w:szCs w:val="28"/>
          <w:rtl/>
        </w:rPr>
        <w:drawing>
          <wp:anchor distT="0" distB="0" distL="114300" distR="114300" simplePos="0" relativeHeight="251658240" behindDoc="0" locked="0" layoutInCell="1" allowOverlap="1" wp14:anchorId="332989F3" wp14:editId="50C1E44E">
            <wp:simplePos x="0" y="0"/>
            <wp:positionH relativeFrom="margin">
              <wp:posOffset>-317</wp:posOffset>
            </wp:positionH>
            <wp:positionV relativeFrom="paragraph">
              <wp:posOffset>148908</wp:posOffset>
            </wp:positionV>
            <wp:extent cx="5880500" cy="3248025"/>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886799" cy="3251504"/>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2D1B6253" w14:textId="75E26A3B" w:rsidR="00323275" w:rsidRDefault="00323275" w:rsidP="0020169F">
      <w:pPr>
        <w:bidi/>
        <w:spacing w:after="200" w:line="360" w:lineRule="auto"/>
        <w:jc w:val="both"/>
        <w:rPr>
          <w:rFonts w:ascii="Traditional Arabic" w:eastAsia="Times New Roman" w:hAnsi="Traditional Arabic" w:cs="Traditional Arabic"/>
          <w:color w:val="000000" w:themeColor="text1"/>
          <w:sz w:val="28"/>
          <w:szCs w:val="28"/>
          <w:rtl/>
        </w:rPr>
      </w:pPr>
    </w:p>
    <w:p w14:paraId="2147CBBA" w14:textId="5E0FEE40"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1AE32E19" w14:textId="186C2351"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Pr>
      </w:pPr>
    </w:p>
    <w:p w14:paraId="079390AD" w14:textId="432203CE"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0AF8D034" w14:textId="1A20280E"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0C5E659B" w14:textId="04620D93" w:rsidR="00D82061"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66432" behindDoc="0" locked="0" layoutInCell="1" allowOverlap="1" wp14:anchorId="45AC3BAB" wp14:editId="35FBB8CE">
                <wp:simplePos x="0" y="0"/>
                <wp:positionH relativeFrom="margin">
                  <wp:align>center</wp:align>
                </wp:positionH>
                <wp:positionV relativeFrom="paragraph">
                  <wp:posOffset>276656</wp:posOffset>
                </wp:positionV>
                <wp:extent cx="2399252" cy="354965"/>
                <wp:effectExtent l="0" t="0" r="0" b="0"/>
                <wp:wrapNone/>
                <wp:docPr id="16" name="مربع نص 15">
                  <a:extLst xmlns:a="http://schemas.openxmlformats.org/drawingml/2006/main">
                    <a:ext uri="{FF2B5EF4-FFF2-40B4-BE49-F238E27FC236}">
                      <a16:creationId xmlns:a16="http://schemas.microsoft.com/office/drawing/2014/main" id="{D041A50F-C6C0-A939-C7FF-2DED02D561D4}"/>
                    </a:ext>
                  </a:extLst>
                </wp:docPr>
                <wp:cNvGraphicFramePr/>
                <a:graphic xmlns:a="http://schemas.openxmlformats.org/drawingml/2006/main">
                  <a:graphicData uri="http://schemas.microsoft.com/office/word/2010/wordprocessingShape">
                    <wps:wsp>
                      <wps:cNvSpPr txBox="1"/>
                      <wps:spPr>
                        <a:xfrm>
                          <a:off x="0" y="0"/>
                          <a:ext cx="2399252" cy="354965"/>
                        </a:xfrm>
                        <a:prstGeom prst="rect">
                          <a:avLst/>
                        </a:prstGeom>
                        <a:noFill/>
                      </wps:spPr>
                      <wps:txbx>
                        <w:txbxContent>
                          <w:p w14:paraId="354C015F" w14:textId="43A09F5C" w:rsidR="0072496D" w:rsidRPr="00323275" w:rsidRDefault="0072496D" w:rsidP="008629C3">
                            <w:pPr>
                              <w:bidi/>
                              <w:jc w:val="center"/>
                              <w:rPr>
                                <w:rFonts w:ascii="Traditional Arabic" w:hAnsi="Traditional Arabic" w:cs="Traditional Arabic"/>
                                <w:b/>
                                <w:bCs/>
                                <w:color w:val="000000" w:themeColor="text1"/>
                                <w:kern w:val="24"/>
                                <w:sz w:val="28"/>
                                <w:szCs w:val="28"/>
                              </w:rPr>
                            </w:pPr>
                            <w:r>
                              <w:rPr>
                                <w:rFonts w:ascii="Traditional Arabic" w:hAnsi="Traditional Arabic" w:cs="Traditional Arabic"/>
                                <w:b/>
                                <w:bCs/>
                                <w:color w:val="000000" w:themeColor="text1"/>
                                <w:kern w:val="24"/>
                                <w:sz w:val="28"/>
                                <w:szCs w:val="28"/>
                                <w:rtl/>
                              </w:rPr>
                              <w:t>شكل (1): النموذج المفاهيمي</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45AC3BAB" id="_x0000_t202" coordsize="21600,21600" o:spt="202" path="m,l,21600r21600,l21600,xe">
                <v:stroke joinstyle="miter"/>
                <v:path gradientshapeok="t" o:connecttype="rect"/>
              </v:shapetype>
              <v:shape id="مربع نص 15" o:spid="_x0000_s1026" type="#_x0000_t202" style="position:absolute;left:0;text-align:left;margin-left:0;margin-top:21.8pt;width:188.9pt;height:27.9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nKCVdgEAAN4CAAAOAAAAZHJzL2Uyb0RvYy54bWysUstOwzAQvCPxD5bvNG2giEZNEQjBBQES 8AGuYzeWYq/xuk3696zd0iK4IS4bex/j2ZnMrwfbsY0KaMDVfDIac6achMa4Vc3f3+7PrjjDKFwj OnCq5luF/HpxejLvfaVKaKFrVGAE4rDqfc3bGH1VFChbZQWOwCtHRQ3BikjXsCqaIHpCt11RjseX RQ+h8QGkQqTs3a7IFxlfayXjs9aoIutqTtxijiHHZYrFYi6qVRC+NXJPQ/yBhRXG0aMHqDsRBVsH 8wvKGhkAQceRBFuA1kaqvANtMxn/2Oa1FV7lXUgc9AeZ8P9g5dPm1b8EFodbGMjAJEjvsUJKpn0G HWz6ElNGdZJwe5BNDZFJSpbns1k5LTmTVDufXswupwmmOE77gPFBgWXpUPNAtmS1xOYR4671qyU9 5uDedF3KH6mkUxyWw57fEpot0e7JuZrjx1qEJFQavVlH0Cajppld4x6KRMy89oYnl77fc9fxt1x8 AgAA//8DAFBLAwQUAAYACAAAACEAYK2FGtsAAAAGAQAADwAAAGRycy9kb3ducmV2LnhtbEyPS0/D MBCE70j8B2uRuFEb+iIhmwqBuIJaHhI3N94mEfE6it0m/HuWExxHM5r5pthMvlMnGmIbGOF6ZkAR V8G1XCO8vT5d3YKKybKzXWBC+KYIm/L8rLC5CyNv6bRLtZISjrlFaFLqc61j1ZC3cRZ6YvEOYfA2 iRxq7QY7Srnv9I0xK+1ty7LQ2J4eGqq+dkeP8P58+PxYmJf60S/7MUxGs8804uXFdH8HKtGU/sLw iy/oUArTPhzZRdUhyJGEsJivQIk7X6/lyB4hy5agy0L/xy9/AAAA//8DAFBLAQItABQABgAIAAAA IQC2gziS/gAAAOEBAAATAAAAAAAAAAAAAAAAAAAAAABbQ29udGVudF9UeXBlc10ueG1sUEsBAi0A FAAGAAgAAAAhADj9If/WAAAAlAEAAAsAAAAAAAAAAAAAAAAALwEAAF9yZWxzLy5yZWxzUEsBAi0A FAAGAAgAAAAhAD6coJV2AQAA3gIAAA4AAAAAAAAAAAAAAAAALgIAAGRycy9lMm9Eb2MueG1sUEsB Ai0AFAAGAAgAAAAhAGCthRrbAAAABgEAAA8AAAAAAAAAAAAAAAAA0AMAAGRycy9kb3ducmV2Lnht bFBLBQYAAAAABAAEAPMAAADYBAAAAAA= " filled="f" stroked="f">
                <v:textbox>
                  <w:txbxContent>
                    <w:p w14:paraId="354C015F" w14:textId="43A09F5C" w:rsidR="0072496D" w:rsidRPr="00323275" w:rsidRDefault="0072496D" w:rsidP="008629C3">
                      <w:pPr>
                        <w:bidi/>
                        <w:jc w:val="center"/>
                        <w:rPr>
                          <w:rFonts w:ascii="Traditional Arabic" w:hAnsi="Traditional Arabic" w:cs="Traditional Arabic"/>
                          <w:b/>
                          <w:bCs/>
                          <w:color w:val="000000" w:themeColor="text1"/>
                          <w:kern w:val="24"/>
                          <w:sz w:val="28"/>
                          <w:szCs w:val="28"/>
                        </w:rPr>
                      </w:pPr>
                      <w:r>
                        <w:rPr>
                          <w:rFonts w:ascii="Traditional Arabic" w:hAnsi="Traditional Arabic" w:cs="Traditional Arabic"/>
                          <w:b/>
                          <w:bCs/>
                          <w:color w:val="000000" w:themeColor="text1"/>
                          <w:kern w:val="24"/>
                          <w:sz w:val="28"/>
                          <w:szCs w:val="28"/>
                          <w:rtl/>
                        </w:rPr>
                        <w:t xml:space="preserve">شكل (1): النموذج المفاهيمي</w:t>
                      </w:r>
                    </w:p>
                  </w:txbxContent>
                </v:textbox>
                <w10:wrap anchorx="margin"/>
              </v:shape>
            </w:pict>
          </mc:Fallback>
        </mc:AlternateContent>
      </w:r>
    </w:p>
    <w:p w14:paraId="5E622938" w14:textId="777622EC" w:rsidR="00D82061" w:rsidRDefault="00D82061" w:rsidP="00D82061">
      <w:pPr>
        <w:bidi/>
        <w:spacing w:after="200" w:line="360" w:lineRule="auto"/>
        <w:jc w:val="both"/>
        <w:rPr>
          <w:rFonts w:ascii="Traditional Arabic" w:eastAsia="Times New Roman" w:hAnsi="Traditional Arabic" w:cs="Traditional Arabic"/>
          <w:color w:val="000000" w:themeColor="text1"/>
          <w:sz w:val="28"/>
          <w:szCs w:val="28"/>
          <w:rtl/>
        </w:rPr>
      </w:pPr>
    </w:p>
    <w:p w14:paraId="4741F414"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يوضح النموذج المفاهيمي للدراسة العلاقات بين متغيراتها الرئيسة، حيث يمثل التحول الرقمي والاستدامة المؤسسية متغيرين مستقلين يؤثران في كل من سلامة أصول البنية التحتية المائية والأداء المؤسسي، وذلك بشكل مباشر وغير مباشر. ويُفترض أن يسهم التحول الرقمي في تحسين كفاءة العمليات التشغيلية من خلال توظيف التقنيات الحديثة وتحليل البيانات، مما ينعكس إيجابًا على موثوقية الأصول وجودة الأداء المؤسسي. كما تعزز الاستدامة المؤسسية من كفاءة إدارة الموارد وتقليل المخاطر التشغيلية، بما يدعم استمرارية الأصول وتحسين نتائج الأداء</w:t>
      </w:r>
      <w:r>
        <w:rPr>
          <w:rFonts w:ascii="Traditional Arabic" w:eastAsia="Times New Roman" w:hAnsi="Traditional Arabic" w:cs="Traditional Arabic"/>
          <w:color w:val="000000" w:themeColor="text1"/>
          <w:sz w:val="28"/>
          <w:szCs w:val="28"/>
        </w:rPr>
        <w:t>.</w:t>
      </w:r>
    </w:p>
    <w:p w14:paraId="483D8F2A"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هذا السياق، تؤدي الحوكمة الذكية دور المتغير الوسيط الذي ينظم العلاقة بين التحول الرقمي والاستدامة المؤسسية من جهة، وسلامة الأصول والأداء المؤسسي من جهة أخرى، من خلال توفير إطار تنظيمي يوجه استخدام التقنيات الرقمية ويضمن تكامل البيانات وجودة اتخاذ القرار. كما تمثل سلامة أصول البنية التحتية المائية مخرجًا تشغيليًا يعكس كفاءة إدارة الأصول، حيث تسهم في نقل أثر المتغيرات المستقلة إلى الأداء المؤسسي، مما يعزز من تحقيق الأهداف الاستراتيجية للمؤسسة في قطاع المياه</w:t>
      </w:r>
      <w:r>
        <w:rPr>
          <w:rFonts w:ascii="Traditional Arabic" w:eastAsia="Times New Roman" w:hAnsi="Traditional Arabic" w:cs="Traditional Arabic"/>
          <w:color w:val="000000" w:themeColor="text1"/>
          <w:sz w:val="28"/>
          <w:szCs w:val="28"/>
        </w:rPr>
        <w:t>.</w:t>
      </w:r>
    </w:p>
    <w:p w14:paraId="17E8EF02"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p>
    <w:p w14:paraId="422B899A" w14:textId="358620C7" w:rsidR="008C638A" w:rsidRPr="008C638A" w:rsidRDefault="008C638A" w:rsidP="008C638A">
      <w:pPr>
        <w:pStyle w:val="Heading2"/>
        <w:bidi/>
        <w:rPr>
          <w:rFonts w:ascii="Traditional Arabic" w:eastAsia="Times New Roman" w:hAnsi="Traditional Arabic" w:cs="Traditional Arabic"/>
          <w:b/>
          <w:bCs/>
          <w:sz w:val="36"/>
          <w:szCs w:val="36"/>
        </w:rPr>
      </w:pPr>
      <w:bookmarkStart w:id="11" w:name="_Toc218160623"/>
      <w:r>
        <w:rPr>
          <w:rFonts w:ascii="Traditional Arabic" w:eastAsia="Times New Roman" w:hAnsi="Traditional Arabic" w:cs="Traditional Arabic"/>
          <w:b/>
          <w:bCs/>
          <w:sz w:val="36"/>
          <w:szCs w:val="36"/>
          <w:rtl/>
        </w:rPr>
        <w:lastRenderedPageBreak/>
        <w:t>فروض الدراسة</w:t>
      </w:r>
      <w:bookmarkEnd w:id="11"/>
    </w:p>
    <w:p w14:paraId="5999C8BE" w14:textId="144BEB09" w:rsidR="008D14D9" w:rsidRPr="008D14D9" w:rsidRDefault="008D14D9" w:rsidP="00527ED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استنادًا إلى مشكلة البحث وأسئلته وأهدافه، وفي ضوء ما قدمته الأدبيات الحديثة حول العلاقة بين الحوكمة الذكية، والتحول الرقمي، والاستدامة، وسلامة الأصول، والأداء المؤسسي، تُصاغ فروض الدراسة على النحو الآتي</w:t>
      </w:r>
      <w:r>
        <w:rPr>
          <w:rFonts w:ascii="Traditional Arabic" w:eastAsia="Times New Roman" w:hAnsi="Traditional Arabic" w:cs="Traditional Arabic"/>
          <w:color w:val="000000" w:themeColor="text1"/>
          <w:sz w:val="28"/>
          <w:szCs w:val="28"/>
        </w:rPr>
        <w:t>:</w:t>
      </w:r>
    </w:p>
    <w:p w14:paraId="2A0C8E17" w14:textId="18448233" w:rsidR="003522B4" w:rsidRDefault="008D14D9" w:rsidP="00527ED7">
      <w:pPr>
        <w:bidi/>
        <w:spacing w:after="200" w:line="360" w:lineRule="auto"/>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tl/>
        </w:rPr>
        <w:t>الفرض الأول</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يوجد تأثير ذو دلالة إحصائية للتحول الرقمي، عند تطبيقه ضمن إطار حوكمة ذكية، على سلامة أصول البنية التحتية المائية في قطاع المياه السعودي</w:t>
      </w:r>
      <w:r>
        <w:rPr>
          <w:rFonts w:ascii="Traditional Arabic" w:eastAsia="Times New Roman" w:hAnsi="Traditional Arabic" w:cs="Traditional Arabic"/>
          <w:color w:val="000000" w:themeColor="text1"/>
          <w:sz w:val="28"/>
          <w:szCs w:val="28"/>
        </w:rPr>
        <w:t>.</w:t>
      </w:r>
    </w:p>
    <w:p w14:paraId="4BD5F33D" w14:textId="15C3A7DC" w:rsidR="003522B4" w:rsidRPr="003522B4" w:rsidRDefault="003522B4" w:rsidP="00527ED7">
      <w:pPr>
        <w:bidi/>
        <w:spacing w:after="200" w:line="360" w:lineRule="auto"/>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hint="cs"/>
          <w:b/>
          <w:bCs/>
          <w:color w:val="000000" w:themeColor="text1"/>
          <w:sz w:val="28"/>
          <w:szCs w:val="28"/>
          <w:rtl/>
        </w:rPr>
        <w:t>الفرض الثاني:</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يوجد تأثير ذو دلالة إحصائية للاستدامة المؤسسية، عند تطبيقها ضمن إطار حوكمة ذكية، على سلامة أصول البنية التحتية المائية في قطاع المياه السعودي</w:t>
      </w:r>
      <w:r>
        <w:rPr>
          <w:rFonts w:ascii="Traditional Arabic" w:eastAsia="Times New Roman" w:hAnsi="Traditional Arabic" w:cs="Traditional Arabic"/>
          <w:color w:val="000000" w:themeColor="text1"/>
          <w:sz w:val="28"/>
          <w:szCs w:val="28"/>
        </w:rPr>
        <w:t>.</w:t>
      </w:r>
    </w:p>
    <w:p w14:paraId="69E155A2" w14:textId="62F8C47E" w:rsidR="003522B4" w:rsidRPr="003522B4" w:rsidRDefault="003522B4" w:rsidP="003522B4">
      <w:pPr>
        <w:bidi/>
        <w:spacing w:after="200" w:line="360"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b/>
          <w:bCs/>
          <w:color w:val="000000" w:themeColor="text1"/>
          <w:sz w:val="28"/>
          <w:szCs w:val="28"/>
          <w:rtl/>
        </w:rPr>
        <w:t>الفرض الثالث:</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يوجد تأثير ذو دلالة إحصائية لسلامة أصول البنية التحتية المائية على الأداء المؤسسي في قطاع المياه السعودي</w:t>
      </w:r>
      <w:r>
        <w:rPr>
          <w:rFonts w:ascii="Traditional Arabic" w:eastAsia="Times New Roman" w:hAnsi="Traditional Arabic" w:cs="Traditional Arabic"/>
          <w:color w:val="000000" w:themeColor="text1"/>
          <w:sz w:val="28"/>
          <w:szCs w:val="28"/>
        </w:rPr>
        <w:t>.</w:t>
      </w:r>
    </w:p>
    <w:p w14:paraId="5E4195F9" w14:textId="77777777" w:rsidR="00527ED7" w:rsidRDefault="00585840" w:rsidP="00527ED7">
      <w:pPr>
        <w:bidi/>
        <w:spacing w:after="200" w:line="360" w:lineRule="auto"/>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b/>
          <w:bCs/>
          <w:color w:val="000000" w:themeColor="text1"/>
          <w:sz w:val="28"/>
          <w:szCs w:val="28"/>
          <w:rtl/>
        </w:rPr>
        <w:t>الفرض الرابع:</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يمثل إطار الحوكمة الذكية عاملًا حاسمًا في توجيه أثر التحول الرقمي والاستدامة المؤسسية نحو تحقيق سلامة الأصول وتحسين الأداء المؤسسي</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p>
    <w:p w14:paraId="3C8757C2" w14:textId="71A18F9F" w:rsidR="00D33E0C" w:rsidRDefault="00D33E0C" w:rsidP="00D33E0C">
      <w:pPr>
        <w:bidi/>
        <w:spacing w:after="200" w:line="360" w:lineRule="auto"/>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وبناءً على ذلك، تفترض الدراسة وجود تأثير ذي دلالة إحصائية للتحول الرقمي على سلامة أصول البنية التحتية المائية في قطاع المياه السعودي، وهو ما سيتم اختباره إحصائيًا في الفصل الرابع باستخدام نمذجة المعادلات الهيكلية</w:t>
      </w:r>
    </w:p>
    <w:p w14:paraId="3B8BF1C2" w14:textId="60FFFF6A" w:rsidR="002E5806" w:rsidRPr="00A67433" w:rsidRDefault="002E5806" w:rsidP="00323275">
      <w:pPr>
        <w:pStyle w:val="Heading2"/>
        <w:bidi/>
        <w:rPr>
          <w:rFonts w:ascii="Traditional Arabic" w:eastAsia="Times New Roman" w:hAnsi="Traditional Arabic" w:cs="Traditional Arabic"/>
          <w:b/>
          <w:bCs/>
          <w:sz w:val="36"/>
          <w:szCs w:val="36"/>
          <w:rtl/>
        </w:rPr>
      </w:pPr>
      <w:bookmarkStart w:id="12" w:name="_Toc218160624"/>
      <w:r>
        <w:rPr>
          <w:rFonts w:ascii="Traditional Arabic" w:eastAsia="Times New Roman" w:hAnsi="Traditional Arabic" w:cs="Traditional Arabic"/>
          <w:b/>
          <w:bCs/>
          <w:sz w:val="36"/>
          <w:szCs w:val="36"/>
          <w:rtl/>
        </w:rPr>
        <w:t>نوع الدراسة وطرق الحصول على البيانات</w:t>
      </w:r>
      <w:bookmarkEnd w:id="12"/>
      <w:r>
        <w:rPr>
          <w:rFonts w:ascii="Traditional Arabic" w:eastAsia="Times New Roman" w:hAnsi="Traditional Arabic" w:cs="Traditional Arabic"/>
          <w:b/>
          <w:bCs/>
          <w:sz w:val="36"/>
          <w:szCs w:val="36"/>
          <w:rtl/>
        </w:rPr>
        <w:t xml:space="preserve"> </w:t>
      </w:r>
    </w:p>
    <w:p w14:paraId="02C6611E" w14:textId="6B909BD1" w:rsidR="002E5806" w:rsidRPr="002E5806" w:rsidRDefault="002E5806" w:rsidP="00527ED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تعتمد هذه الدراسة على المنهج الوصفي التحليلي الذي يجمع بين الأساليب الكمية والنوعية، نظرًا لملاءمته في تحليل العلاقات بين المتغيرات المدروسة (التحول الرقمي، الحوكمة الذكية، الاستدامة، سلامة الأصول، الأداء المؤسسي)</w:t>
      </w:r>
      <w:r>
        <w:rPr>
          <w:rFonts w:ascii="Traditional Arabic" w:eastAsia="Times New Roman" w:hAnsi="Traditional Arabic" w:cs="Traditional Arabic"/>
          <w:color w:val="000000" w:themeColor="text1"/>
          <w:sz w:val="28"/>
          <w:szCs w:val="28"/>
        </w:rPr>
        <w:t>.</w:t>
      </w:r>
    </w:p>
    <w:p w14:paraId="00D1FFCB" w14:textId="0E5D7D5C" w:rsidR="002E5806" w:rsidRPr="002E5806" w:rsidRDefault="002E5806" w:rsidP="00527ED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ويعتمد هذا المنهج على توصيف الظاهرة وتحليلها بالاستناد إلى البيانات الواقعية من قطاع المياه السعودي</w:t>
      </w:r>
      <w:r>
        <w:rPr>
          <w:rFonts w:ascii="Traditional Arabic" w:eastAsia="Times New Roman" w:hAnsi="Traditional Arabic" w:cs="Traditional Arabic"/>
          <w:color w:val="000000" w:themeColor="text1"/>
          <w:sz w:val="28"/>
          <w:szCs w:val="28"/>
        </w:rPr>
        <w:t>.</w:t>
      </w:r>
    </w:p>
    <w:p w14:paraId="504FACF0" w14:textId="15BC5E69" w:rsidR="002E5806" w:rsidRPr="00A67433" w:rsidRDefault="002E5806" w:rsidP="00044D93">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مجتمع الدراسة</w:t>
      </w:r>
    </w:p>
    <w:p w14:paraId="71EAA9A0" w14:textId="75812171" w:rsidR="002E5806" w:rsidRPr="002E5806" w:rsidRDefault="002E5806" w:rsidP="00044D9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يشمل مجتمع الدراسة العاملين والخبراء في مجالات</w:t>
      </w:r>
      <w:r>
        <w:rPr>
          <w:rFonts w:ascii="Traditional Arabic" w:eastAsia="Times New Roman" w:hAnsi="Traditional Arabic" w:cs="Traditional Arabic"/>
          <w:color w:val="000000" w:themeColor="text1"/>
          <w:sz w:val="28"/>
          <w:szCs w:val="28"/>
        </w:rPr>
        <w:t>:</w:t>
      </w:r>
    </w:p>
    <w:p w14:paraId="37ED9633" w14:textId="15AD3F0D"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إدارة الأصول</w:t>
      </w:r>
    </w:p>
    <w:p w14:paraId="36951ED0" w14:textId="7C1020E6"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lastRenderedPageBreak/>
        <w:t>التحول الرقمي</w:t>
      </w:r>
    </w:p>
    <w:p w14:paraId="57C1F833" w14:textId="6333C8D0"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الاستدامة</w:t>
      </w:r>
    </w:p>
    <w:p w14:paraId="222568FC" w14:textId="74EFF79E"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التشغيل والصيانة</w:t>
      </w:r>
    </w:p>
    <w:p w14:paraId="1039404D" w14:textId="6ED7DEBF"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الجودة</w:t>
      </w:r>
    </w:p>
    <w:p w14:paraId="4C757EBA" w14:textId="729A7127" w:rsidR="002E5806" w:rsidRPr="002E5806" w:rsidRDefault="002E5806" w:rsidP="00A6743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في مؤسسات قطاع المياه</w:t>
      </w:r>
      <w:r>
        <w:rPr>
          <w:rFonts w:ascii="Traditional Arabic" w:eastAsia="Times New Roman" w:hAnsi="Traditional Arabic" w:cs="Traditional Arabic"/>
          <w:color w:val="000000" w:themeColor="text1"/>
          <w:sz w:val="28"/>
          <w:szCs w:val="28"/>
        </w:rPr>
        <w:t>.</w:t>
      </w:r>
    </w:p>
    <w:p w14:paraId="4BE0399C" w14:textId="4D2C5C5B" w:rsidR="002E5806" w:rsidRPr="00A67433" w:rsidRDefault="002E5806" w:rsidP="00A67433">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حجم العينة وطريقة اختيارها</w:t>
      </w:r>
    </w:p>
    <w:p w14:paraId="5B615D54" w14:textId="18932214" w:rsidR="002E5806" w:rsidRPr="002E5806" w:rsidRDefault="002C01EA" w:rsidP="002C01EA">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تم تحديد حجم العينة في هذه الدراسة بما يتراوح بين (150–250) مشاركًا استنادًا إلى طبيعة مجتمع الدراسة الذي يضم فئة متخصصة من الخبراء في قطاع المياه، حيث تشير</w:t>
      </w:r>
      <w:r>
        <w:rPr>
          <w:rFonts w:ascii="Traditional Arabic" w:eastAsia="Times New Roman" w:hAnsi="Traditional Arabic" w:cs="Traditional Arabic"/>
          <w:color w:val="000000" w:themeColor="text1"/>
          <w:sz w:val="28"/>
          <w:szCs w:val="28"/>
        </w:rPr>
        <w:t xml:space="preserve"> Sekaran &amp; Bougie (2016) </w:t>
      </w:r>
      <w:r>
        <w:rPr>
          <w:rFonts w:ascii="Traditional Arabic" w:eastAsia="Times New Roman" w:hAnsi="Traditional Arabic" w:cs="Traditional Arabic"/>
          <w:color w:val="000000" w:themeColor="text1"/>
          <w:sz w:val="28"/>
          <w:szCs w:val="28"/>
          <w:rtl/>
        </w:rPr>
        <w:t>إلى أن هذا النطاق يُعد مناسبًا للدراسات التطبيقية ذات المجتمعات المحدودة والمتجانسة نسبيًا. كما يتوافق هذا الحجم مع متطلبات نمذجة المعادلات الهيكلية بطريقة المربعات الصغرى الجزئية</w:t>
      </w:r>
      <w:r>
        <w:rPr>
          <w:rFonts w:ascii="Traditional Arabic" w:eastAsia="Times New Roman" w:hAnsi="Traditional Arabic" w:cs="Traditional Arabic"/>
          <w:color w:val="000000" w:themeColor="text1"/>
          <w:sz w:val="28"/>
          <w:szCs w:val="28"/>
        </w:rPr>
        <w:t xml:space="preserve"> (PLS-SEM) </w:t>
      </w:r>
      <w:r>
        <w:rPr>
          <w:rFonts w:ascii="Traditional Arabic" w:eastAsia="Times New Roman" w:hAnsi="Traditional Arabic" w:cs="Traditional Arabic"/>
          <w:color w:val="000000" w:themeColor="text1"/>
          <w:sz w:val="28"/>
          <w:szCs w:val="28"/>
          <w:rtl/>
        </w:rPr>
        <w:t>وفق توصيات</w:t>
      </w:r>
      <w:r>
        <w:rPr>
          <w:rFonts w:ascii="Traditional Arabic" w:eastAsia="Times New Roman" w:hAnsi="Traditional Arabic" w:cs="Traditional Arabic"/>
          <w:color w:val="000000" w:themeColor="text1"/>
          <w:sz w:val="28"/>
          <w:szCs w:val="28"/>
        </w:rPr>
        <w:t xml:space="preserve"> Hair et al. (2017) </w:t>
      </w:r>
      <w:r>
        <w:rPr>
          <w:rFonts w:ascii="Traditional Arabic" w:eastAsia="Times New Roman" w:hAnsi="Traditional Arabic" w:cs="Traditional Arabic"/>
          <w:color w:val="000000" w:themeColor="text1"/>
          <w:sz w:val="28"/>
          <w:szCs w:val="28"/>
          <w:rtl/>
        </w:rPr>
        <w:t>، مما يعزز موثوقية النتائج ودقتها الإحصائية</w:t>
      </w:r>
      <w:r>
        <w:rPr>
          <w:rFonts w:ascii="Traditional Arabic" w:eastAsia="Times New Roman" w:hAnsi="Traditional Arabic" w:cs="Traditional Arabic"/>
          <w:color w:val="000000" w:themeColor="text1"/>
          <w:sz w:val="28"/>
          <w:szCs w:val="28"/>
        </w:rPr>
        <w:t>.</w:t>
      </w:r>
    </w:p>
    <w:p w14:paraId="3F049EDE" w14:textId="62073F12" w:rsidR="002E5806" w:rsidRPr="00931B85" w:rsidRDefault="002E5806" w:rsidP="00931B85">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طرق جمع البيانات</w:t>
      </w:r>
    </w:p>
    <w:p w14:paraId="1866C36A" w14:textId="6AA15D1A" w:rsidR="002E5806" w:rsidRPr="00931B85" w:rsidRDefault="00234102" w:rsidP="00931B85">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noProof/>
          <w:color w:val="000000" w:themeColor="text1"/>
          <w:sz w:val="28"/>
          <w:szCs w:val="28"/>
          <w:rtl/>
          <w:lang w:val="ar-SA"/>
          <w14:ligatures w14:val="standardContextual"/>
        </w:rPr>
        <mc:AlternateContent>
          <mc:Choice Requires="wpi">
            <w:drawing>
              <wp:anchor distT="0" distB="0" distL="114300" distR="114300" simplePos="0" relativeHeight="251667456" behindDoc="0" locked="0" layoutInCell="1" allowOverlap="1" wp14:anchorId="4B7DB158" wp14:editId="7992F780">
                <wp:simplePos x="0" y="0"/>
                <wp:positionH relativeFrom="column">
                  <wp:posOffset>6624260</wp:posOffset>
                </wp:positionH>
                <wp:positionV relativeFrom="paragraph">
                  <wp:posOffset>521170</wp:posOffset>
                </wp:positionV>
                <wp:extent cx="360" cy="360"/>
                <wp:effectExtent l="57150" t="57150" r="57150" b="57150"/>
                <wp:wrapNone/>
                <wp:docPr id="369737230" name="حبر 2"/>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580DF8C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 o:spid="_x0000_s1026" type="#_x0000_t75" style="position:absolute;margin-left:520.2pt;margin-top:39.65pt;width:2.9pt;height:2.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 dyT+wfKKEqcdEEJJOpAyAkLlAyz7JbHqPFt+JrR/j5O2C1AyeLD97rlHdrk5DJaNEMg4rPgqLzgD VE4b7Cr+sXvOHjijKFFL6xAqfgTim/r2ptwdPRBLaaSK9zH6RyFI9TBIyp0HTDetC4OMaRs64aXa yw7EuijuhXIYAWMWJwavywZa+Wkj2x7S8ckkgCXOnk6DU1fFpffWKBmTqRhR/2jJzg15Ss4z1BtP d0mDiz8bppvrBefca3qaYDSwNxniixyShtCBBKxd41T+P2OSHChzbWsU5E2g7Zy6OF1jG9yLtFYL 9DQy2CWWdl8YYFxA/RJtUuwdxgtdzJ9dfwMAAP//AwBQSwMEFAAGAAgAAAAhADj9If/WAAAAlAEA AAsAAABfcmVscy8ucmVsc6SQwWrDMAyG74O9g9F9cZrDGKNOL6PQa+kewNiKYxpbRjLZ+vYzg8Ey ettRv9D3iX9/+EyLWpElUjaw63pQmB35mIOB98vx6QWUVJu9XSijgRsKHMbHh/0ZF1vbkcyxiGqU LAbmWsur1uJmTFY6KpjbZiJOtraRgy7WXW1APfT9s+bfDBg3THXyBvjkB1CXW2nmP+wUHZPQVDtH SdM0RXePqj195DOujWI5YDXgWb5DxrVrz4G+79390xvYljm6I9uEb+S2fhyoZT96vely/AIAAP// AwBQSwMEFAAGAAgAAAAhANlq05VoAQAABwMAAA4AAABkcnMvZTJvRG9jLnhtbJxSy27CMBC8V+o/ WL6XBFohFJFwKKrEoS2H9gOMH8Rq7I3WhsDfd0N4hFZVJS7WPrSzMzueznauYluNwYLP+XCQcqa9 BGX9OuefHy8PE85CFF6JCrzO+V4HPivu76ZNnekRlFApjYxAfMiaOudljHWWJEGW2okwgFp7ahpA JyKluE4UiobQXZWM0nScNICqRpA6BKrOuyYvDvjGaBnfjQk6sorYTdKU+MVzhOdodYqSYiqyNYq6 tPJIS9zAygnricQZai6iYBu0v6CclQgBTBxIcAkYY6U+aCJ1w/SHuoX/apUNn+QGMwk+ah+XAuPp fofGLStcxdmqeQVFDolNBH5EpAP9b0hHeg5y44hP5wrqSkT6EqG0deAMM6tyjgs1vPD32+eLgiVe dL1dN8iR5Cj5r5GdQdcem5iwXc7J4337HrzUu8gkFR/HVJZUb4MeZjd72tA7Kq29sq+ft5R6/7f4 BgAA//8DAFBLAwQUAAYACAAAACEAlZILZdEBAACUBAAAEAAAAGRycy9pbmsvaW5rMS54bWy0k1Fr 2zAQx98L+w5CfehLY8t2kzimThmjgUELY+lge3RtNRa1pCDJcfLte5YVxaXpy9gwGOtk/e/ud3/d 3u15g3ZUaSZFjqOAYERFKSsmNjn+9bSapBhpU4iqaKSgOT5Qje+WXy5umXjlTQZvBApC91+8yXFt zDYLw67rgi4JpNqEMSFJ+F28Pj7gpTtV0RcmmIGU+hgqpTB0b3qxjFU5Ls2e+P9Bey1bVVK/3UdU efrDqKKkK6l4YbxiXQhBGyQKDnX/xsgctvDBIM+GKow4g4YncRDdzG/S+wUEin2OR+sWStRQCcfh ec0//0Fz9VGzLyuJ57M5Rq6kiu76mkLLPPu89x9KbqkyjJ4wD1DcxgGVw9ryGUApqmXT9rPBaFc0 LSCLCAFbuNxReAbIRz1g80/1gMuneuPi3qNx7Y05OGjeUsfRGsYpGJ1vvceMBuE+vDbKXoeYxLMJ iSfR4ilaZNNFFqVBOk9Go3AuPmo+q1bXXu9Znfxqdzy1obOOVab20EkQeeZj4udO1pRtavNXR0vZ SLgMbtKXhKTfkq+jjmw6b7UzF9e6D7nGf9KXHF/au4vsySFgOyeIoNl0mlxfkf55516fAMayfAMA AP//AwBQSwMEFAAGAAgAAAAhAFWzZwXhAAAACwEAAA8AAABkcnMvZG93bnJldi54bWxMj8FKAzEQ hu+C7xBG8GaTtmtt180WEQQRBK2C13ST7q5NJmGTtGuf3ulJjz/zzT/fVOvRWXYwQ+w9SphOBDCD jdc9thI+P55ulsBiUqiV9Wgk/JgI6/ryolKl9kd8N4dNahmVYCyVhC6lUHIem844FSc+GKTZzg9O JYpDy/WgjlTuLJ8JseBO9UgXOhXMY2ea/SY70vhavT7vQp6f8v4U7NuYu5fvLOX11fhwDyyZMf3B cNanHajJaesz6sgsZVGIglgJd6s5sDMhisUM2FbC8nYKvK74/x/qXwAAAP//AwBQSwMEFAAGAAgA AAAhAHkYvJ2/AAAAIQEAABkAAABkcnMvX3JlbHMvZTJvRG9jLnhtbC5yZWxzhM+xasQwDAbgvdB3 MNobJR3KUeJkOQ6ylhRuNY6SmMSysZzSe/t67MHBDRqE0PdLbf/rd/VDSVxgDU1VgyK2YXK8aPge L28nUJINT2YPTBpuJNB3ry/tF+0mlyVZXRRVFBYNa87xE1HsSt5IFSJxmcwheZNLmxaMxm5mIXyv 6w9M/w3o7kw1TBrSMDWgxlssyc/tMM/O0jnYwxPnBxFoD8nBX/1eUJMWyhocb1iqqcqhgF2Ld491 fwAAAP//AwBQSwECLQAUAAYACAAAACEAmzMnNwwBAAAtAgAAEwAAAAAAAAAAAAAAAAAAAAAAW0Nv bnRlbnRfVHlwZXNdLnhtbFBLAQItABQABgAIAAAAIQA4/SH/1gAAAJQBAAALAAAAAAAAAAAAAAAA AD0BAABfcmVscy8ucmVsc1BLAQItABQABgAIAAAAIQDZatOVaAEAAAcDAAAOAAAAAAAAAAAAAAAA ADwCAABkcnMvZTJvRG9jLnhtbFBLAQItABQABgAIAAAAIQCVkgtl0QEAAJQEAAAQAAAAAAAAAAAA AAAAANADAABkcnMvaW5rL2luazEueG1sUEsBAi0AFAAGAAgAAAAhAFWzZwXhAAAACwEAAA8AAAAA AAAAAAAAAAAAzwUAAGRycy9kb3ducmV2LnhtbFBLAQItABQABgAIAAAAIQB5GLydvwAAACEBAAAZ AAAAAAAAAAAAAAAAAN0GAABkcnMvX3JlbHMvZTJvRG9jLnhtbC5yZWxzUEsFBgAAAAAGAAYAeAEA ANMHAAAAAA== ">
                <v:imagedata r:id="rId11" o:title=""/>
              </v:shape>
            </w:pict>
          </mc:Fallback>
        </mc:AlternateContent>
      </w:r>
      <w:r>
        <w:rPr>
          <w:rFonts w:ascii="Traditional Arabic" w:eastAsia="Times New Roman" w:hAnsi="Traditional Arabic" w:cs="Traditional Arabic"/>
          <w:b/>
          <w:bCs/>
          <w:color w:val="000000" w:themeColor="text1"/>
          <w:sz w:val="28"/>
          <w:szCs w:val="28"/>
          <w:rtl/>
        </w:rPr>
        <w:t>تعتمد الدراسة على طريقتين رئيسيتين</w:t>
      </w:r>
      <w:r>
        <w:rPr>
          <w:rFonts w:ascii="Traditional Arabic" w:eastAsia="Times New Roman" w:hAnsi="Traditional Arabic" w:cs="Traditional Arabic"/>
          <w:b/>
          <w:bCs/>
          <w:color w:val="000000" w:themeColor="text1"/>
          <w:sz w:val="28"/>
          <w:szCs w:val="28"/>
        </w:rPr>
        <w:t>:</w:t>
      </w:r>
    </w:p>
    <w:p w14:paraId="396369FD" w14:textId="5783F28E" w:rsidR="002E5806" w:rsidRPr="00931B85" w:rsidRDefault="002E5806" w:rsidP="00B7711D">
      <w:pPr>
        <w:pStyle w:val="ListParagraph"/>
        <w:numPr>
          <w:ilvl w:val="0"/>
          <w:numId w:val="6"/>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الاستبيان الإلكتروني</w:t>
      </w:r>
      <w:r>
        <w:rPr>
          <w:rFonts w:ascii="Traditional Arabic" w:eastAsia="Times New Roman" w:hAnsi="Traditional Arabic" w:cs="Traditional Arabic"/>
          <w:color w:val="000000" w:themeColor="text1"/>
          <w:sz w:val="28"/>
          <w:szCs w:val="28"/>
        </w:rPr>
        <w:t>:</w:t>
      </w:r>
    </w:p>
    <w:p w14:paraId="4D5E9F1B" w14:textId="61710F25" w:rsidR="002E5806" w:rsidRPr="00931B85" w:rsidRDefault="002E5806" w:rsidP="00B7711D">
      <w:pPr>
        <w:pStyle w:val="ListParagraph"/>
        <w:numPr>
          <w:ilvl w:val="0"/>
          <w:numId w:val="6"/>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وهو الأداة الأساسية لجمع البيانات الكمية لقياس العلاقة بين المتغيرات</w:t>
      </w:r>
      <w:r>
        <w:rPr>
          <w:rFonts w:ascii="Traditional Arabic" w:eastAsia="Times New Roman" w:hAnsi="Traditional Arabic" w:cs="Traditional Arabic"/>
          <w:color w:val="000000" w:themeColor="text1"/>
          <w:sz w:val="28"/>
          <w:szCs w:val="28"/>
        </w:rPr>
        <w:t>.</w:t>
      </w:r>
    </w:p>
    <w:p w14:paraId="420AB469" w14:textId="693D0194" w:rsidR="002E5806" w:rsidRPr="00931B85" w:rsidRDefault="002E5806" w:rsidP="002E5806">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المقابلات شبه المهيكلة</w:t>
      </w:r>
      <w:r>
        <w:rPr>
          <w:rFonts w:ascii="Traditional Arabic" w:eastAsia="Times New Roman" w:hAnsi="Traditional Arabic" w:cs="Traditional Arabic"/>
          <w:b/>
          <w:bCs/>
          <w:color w:val="000000" w:themeColor="text1"/>
          <w:sz w:val="28"/>
          <w:szCs w:val="28"/>
        </w:rPr>
        <w:t>:</w:t>
      </w:r>
    </w:p>
    <w:p w14:paraId="41BE760B" w14:textId="2DB8B61A" w:rsidR="002E5806" w:rsidRPr="002E5806" w:rsidRDefault="002E5806" w:rsidP="00D3249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للحصول على بيانات نوعية تدعم تفسير النتائج وتعزز الصدق الداخلي للدراسة</w:t>
      </w:r>
      <w:r>
        <w:rPr>
          <w:rFonts w:ascii="Traditional Arabic" w:eastAsia="Times New Roman" w:hAnsi="Traditional Arabic" w:cs="Traditional Arabic"/>
          <w:color w:val="000000" w:themeColor="text1"/>
          <w:sz w:val="28"/>
          <w:szCs w:val="28"/>
        </w:rPr>
        <w:t>.</w:t>
      </w:r>
    </w:p>
    <w:p w14:paraId="6E7F8091" w14:textId="6E7F8092" w:rsidR="002E5806"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 xml:space="preserve">وتُجرى المقابلات مع عدد يتراوح بين (8-10) من قادة قطاع المياه وصانعي القرار في مواقع تنفيذية وقيادية عليا (كمدراء عموم ومدراء تنفيذيين)، وذلك لضمان تمثيل خبرة استراتيجية شاملة بممارسات الحوكمة والتحول الرقمي وإدارة الأصول. وتستغرق كل مقابلة نحو (30-45) دقيقة، وتتضمن ما بين (8-10) أسئلة مفتوحة موزعة على محاور النموذج المفاهيمي. وتُوثَّق المقابلات عبر تدوين ملاحظات ميدانية مكتوبة أثناء إجرائها مباشرةً دون تسجيل صوتي، تُراجَع وتُنظَّم فور انتهاء كل مقابلة لضمان دقة التوثيق. ويتولى </w:t>
      </w:r>
      <w:r>
        <w:rPr>
          <w:rFonts w:ascii="Traditional Arabic" w:eastAsia="Times New Roman" w:hAnsi="Traditional Arabic" w:cs="Traditional Arabic"/>
          <w:color w:val="000000" w:themeColor="text1"/>
          <w:sz w:val="28"/>
          <w:szCs w:val="28"/>
          <w:rtl/>
        </w:rPr>
        <w:lastRenderedPageBreak/>
        <w:t>الباحث بمفرده عملية الترميز والتحليل الموضوعي، مع عرض عيّنة من الترميز على المشرف الأكاديمي للتحقق من اتساقه ومصداقيته. ويُعتمَد معيار التشبع النظري</w:t>
      </w:r>
      <w:r>
        <w:rPr>
          <w:rFonts w:ascii="Traditional Arabic" w:eastAsia="Times New Roman" w:hAnsi="Traditional Arabic" w:cs="Traditional Arabic"/>
          <w:color w:val="000000" w:themeColor="text1"/>
          <w:sz w:val="28"/>
          <w:szCs w:val="28"/>
        </w:rPr>
        <w:t xml:space="preserve"> (Theoretical Saturation) </w:t>
      </w:r>
      <w:r>
        <w:rPr>
          <w:rFonts w:ascii="Traditional Arabic" w:eastAsia="Times New Roman" w:hAnsi="Traditional Arabic" w:cs="Traditional Arabic"/>
          <w:color w:val="000000" w:themeColor="text1"/>
          <w:sz w:val="28"/>
          <w:szCs w:val="28"/>
          <w:rtl/>
        </w:rPr>
        <w:t>لتحديد كفاية عدد المقابلات، بحيث يُتوقف عن إجراء مقابلات إضافية عند عدم ظهور محاور أو أنماط تفسيرية جديدة في مقابلتين متتاليتين. وتُدمَج النتائج النوعية مع النتائج الكمية في مرحلة التفسير من خلال مقارنة المحاور الموضوعية المستخلَصة من المقابلات بنتائج اختبار الفروض الكمية، بهدف تعزيز فهم الآليات التفسيرية الكامنة وراء العلاقات الإحصائية الدالة (Triangulation عند التفسير لا عند التحليل).</w:t>
      </w:r>
    </w:p>
    <w:p w14:paraId="5D46DD27" w14:textId="7EE49223" w:rsidR="002E5806" w:rsidRPr="00931B85" w:rsidRDefault="002E5806" w:rsidP="0072496D">
      <w:pPr>
        <w:bidi/>
        <w:spacing w:before="240" w:after="200" w:line="276"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مبرر اختيار هذا الأسلوب</w:t>
      </w:r>
    </w:p>
    <w:p w14:paraId="72679B53" w14:textId="67935363" w:rsidR="00566E72"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يتيح الدمج بين البيانات الكمية والنوعية فهمًا أعمق للعلاقات المعقدة بين المتغيرات، ويعزز القدرة على تفسير نتائج النمذجة الإحصائية، خاصة في دراسة تطبيقية على قطاع المياه السعودي.</w:t>
      </w:r>
    </w:p>
    <w:p w14:paraId="0AB9D612" w14:textId="77777777" w:rsidR="00B266F4" w:rsidRDefault="00B266F4" w:rsidP="00B266F4">
      <w:pPr>
        <w:bidi/>
        <w:spacing w:after="200" w:line="360" w:lineRule="auto"/>
        <w:jc w:val="both"/>
        <w:rPr>
          <w:rFonts w:ascii="Traditional Arabic" w:eastAsia="Times New Roman" w:hAnsi="Traditional Arabic" w:cs="Traditional Arabic"/>
          <w:color w:val="000000" w:themeColor="text1"/>
          <w:sz w:val="28"/>
          <w:szCs w:val="28"/>
          <w:rtl/>
        </w:rPr>
      </w:pPr>
    </w:p>
    <w:p w14:paraId="0ACD3EE2" w14:textId="77777777" w:rsidR="00BD0159" w:rsidRPr="00BD0159" w:rsidRDefault="00BD0159" w:rsidP="00B2746E">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t>الفصل الثاني</w:t>
      </w:r>
    </w:p>
    <w:p w14:paraId="7EF213E7" w14:textId="77777777" w:rsidR="00BD0159" w:rsidRPr="00BD0159" w:rsidRDefault="00BD0159" w:rsidP="00B2746E">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t>الإطار النظري والدراسات السابقة</w:t>
      </w:r>
    </w:p>
    <w:p w14:paraId="27F280C7" w14:textId="77777777" w:rsidR="00BD0159" w:rsidRPr="00BD0159" w:rsidRDefault="00BD0159" w:rsidP="00B2746E">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t>مقدمة</w:t>
      </w:r>
    </w:p>
    <w:p w14:paraId="1D430F83" w14:textId="77777777" w:rsidR="00BD0159" w:rsidRPr="00BD0159" w:rsidRDefault="00BD0159" w:rsidP="00BD0159">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يُعد هذا الفصل المرتكز الرئيس الذي تقوم عليه الدراسة، إذ يمثل الهيكل النظري الذي يُبنى عليه النموذج المفاهيمي وتُصاغ في ضوئه الفرضيات البحثية. ويعتمد الباحث في هذا الفصل على استعراض وتحليل الأدبيات العلمية ذات الصلة بمتغيرات الدراسة، بما يعكس استيعابًا نقديًا للنظريات والمفاهيم المعتمدة، ويبرر أسباب اختيارها ومدى ملاءمتها لسياق الدراسة وتطبيقها في قطاع المياه</w:t>
      </w:r>
      <w:r>
        <w:rPr>
          <w:rFonts w:ascii="Traditional Arabic" w:eastAsia="Times New Roman" w:hAnsi="Traditional Arabic" w:cs="Traditional Arabic"/>
          <w:color w:val="000000" w:themeColor="text1"/>
          <w:sz w:val="28"/>
          <w:szCs w:val="28"/>
        </w:rPr>
        <w:t>.</w:t>
      </w:r>
    </w:p>
    <w:p w14:paraId="30B6D76D" w14:textId="77777777" w:rsidR="00BD0159" w:rsidRDefault="00BD0159" w:rsidP="00BD0159">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وينقسم هذا الفصل إلى جزئين رئيسين؛ أولهما الإطار النظري الذي يتناول الخلفية العلمية لمتغيرات الدراسة، وثانيهما الدراسات السابقة التي تستعرض البحوث ذات الصلة وتحللها وصولًا إلى تحديد الفجوة البحثية</w:t>
      </w:r>
      <w:r>
        <w:rPr>
          <w:rFonts w:ascii="Traditional Arabic" w:eastAsia="Times New Roman" w:hAnsi="Traditional Arabic" w:cs="Traditional Arabic"/>
          <w:color w:val="000000" w:themeColor="text1"/>
          <w:sz w:val="28"/>
          <w:szCs w:val="28"/>
        </w:rPr>
        <w:t>.</w:t>
      </w:r>
    </w:p>
    <w:p w14:paraId="755E78B8" w14:textId="77777777" w:rsidR="00DC22F6" w:rsidRDefault="00DC22F6" w:rsidP="00DC22F6">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كما تم عرض النموذج المفاهيمي للدراسة بشكل تفصيلي في الفصل الأول، ويُعاد توظيفه في هذا الفصل بوصفه إطارًا مرجعيًا يوجّه تحليل الأدبيات وتفسير العلاقات بين المتغيرات، تمهيدًا لبناء الفروض واختبارها</w:t>
      </w:r>
      <w:r>
        <w:rPr>
          <w:rFonts w:ascii="Traditional Arabic" w:eastAsia="Times New Roman" w:hAnsi="Traditional Arabic" w:cs="Traditional Arabic"/>
          <w:color w:val="000000" w:themeColor="text1"/>
          <w:sz w:val="28"/>
          <w:szCs w:val="28"/>
        </w:rPr>
        <w:t>.</w:t>
      </w:r>
    </w:p>
    <w:p w14:paraId="71734B55" w14:textId="4584091D" w:rsidR="00BD0159" w:rsidRDefault="00BD0159" w:rsidP="00DC22F6">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وانطلاقًا من موضوع الدراسة المتمثل في بناء نموذج حوكمة ذكي لإدارة التفتيش الفني في أصول البنية التحتية المائية من خلال تكامل التحول الرقمي والاستدامة والأداء المؤسسي، سيتم تناول المتغيرات وفق ترتيبها المنطقي، مع مراعاة التوازن في العرض، وعدم الإفراط في تناول متغير على حساب آخر</w:t>
      </w:r>
      <w:r>
        <w:rPr>
          <w:rFonts w:ascii="Traditional Arabic" w:eastAsia="Times New Roman" w:hAnsi="Traditional Arabic" w:cs="Traditional Arabic"/>
          <w:color w:val="000000" w:themeColor="text1"/>
          <w:sz w:val="28"/>
          <w:szCs w:val="28"/>
        </w:rPr>
        <w:t>.</w:t>
      </w:r>
    </w:p>
    <w:p w14:paraId="1BA0485A" w14:textId="77777777" w:rsidR="00ED3AE7" w:rsidRPr="00ED3AE7" w:rsidRDefault="00ED3AE7" w:rsidP="00ED3AE7">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lastRenderedPageBreak/>
        <w:t>الأسس النظرية للدراسة</w:t>
      </w:r>
    </w:p>
    <w:p w14:paraId="6F045CD0"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يستند النموذج المفاهيمي المقترح في هذه الدراسة إلى مجموعة من النظريات التنظيمية والإدارية التي تسهم في تفسير العلاقات بين متغيرات الدراسة المتمثلة في التحول الرقمي، والحوكمة الذكية، والاستدامة المؤسسية، وسلامة أصول البنية التحتية، والأداء المؤسسي</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وتوفر هذه النظريات إطارًا تفسيرياً لفهم كيفية تفاعل العوامل التقنية والتنظيمية داخل المؤسسات المعتمدة على الأصول والبنية التحتية، خاصة في القطاعات الخدمية كثيفة الاستثمار مثل قطاع المياه</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ومن أبرز النظريات التي تستند إليها الدراسة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نظرية التحول الرقمي، والنظرية المؤسسية، ونظرية الحوكمة</w:t>
      </w:r>
      <w:r>
        <w:rPr>
          <w:rFonts w:ascii="Traditional Arabic" w:eastAsia="Times New Roman" w:hAnsi="Traditional Arabic" w:cs="Traditional Arabic"/>
          <w:color w:val="000000" w:themeColor="text1"/>
          <w:sz w:val="28"/>
          <w:szCs w:val="28"/>
        </w:rPr>
        <w:t>.</w:t>
      </w:r>
    </w:p>
    <w:p w14:paraId="156999A4"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أولًا</w:t>
      </w:r>
      <w:r>
        <w:rPr>
          <w:rFonts w:ascii="Traditional Arabic" w:eastAsiaTheme="majorEastAsia" w:hAnsi="Traditional Arabic" w:cs="Traditional Arabic"/>
          <w:b/>
          <w:bCs/>
          <w:color w:val="2F5496" w:themeColor="accent1" w:themeShade="BF"/>
          <w:sz w:val="36"/>
          <w:szCs w:val="36"/>
        </w:rPr>
        <w:t xml:space="preserve">: </w:t>
      </w:r>
      <w:r>
        <w:rPr>
          <w:rFonts w:ascii="Traditional Arabic" w:eastAsiaTheme="majorEastAsia" w:hAnsi="Traditional Arabic" w:cs="Traditional Arabic"/>
          <w:b/>
          <w:bCs/>
          <w:color w:val="2F5496" w:themeColor="accent1" w:themeShade="BF"/>
          <w:sz w:val="36"/>
          <w:szCs w:val="36"/>
          <w:rtl/>
        </w:rPr>
        <w:t>نظرية التحول الرقمي</w:t>
      </w:r>
      <w:r>
        <w:rPr>
          <w:rFonts w:ascii="Traditional Arabic" w:eastAsiaTheme="majorEastAsia" w:hAnsi="Traditional Arabic" w:cs="Traditional Arabic"/>
          <w:b/>
          <w:bCs/>
          <w:color w:val="2F5496" w:themeColor="accent1" w:themeShade="BF"/>
          <w:sz w:val="36"/>
          <w:szCs w:val="36"/>
        </w:rPr>
        <w:t xml:space="preserve"> (Digital Transformation Theory)</w:t>
      </w:r>
    </w:p>
    <w:p w14:paraId="0F37E8A5"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تشير نظرية التحول الرقمي إلى أن التقنيات الرقمية لا تقتصر على تحسين العمليات التشغيلية القائمة، بل تسهم في إحداث تحولات جوهرية في نماذج الأعمال والهياكل التنظيمية وأساليب اتخاذ القرار داخل المؤسسات</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ويشير</w:t>
      </w:r>
      <w:r>
        <w:rPr>
          <w:rFonts w:ascii="Traditional Arabic" w:eastAsia="Times New Roman" w:hAnsi="Traditional Arabic" w:cs="Traditional Arabic"/>
          <w:color w:val="000000" w:themeColor="text1"/>
          <w:sz w:val="28"/>
          <w:szCs w:val="28"/>
        </w:rPr>
        <w:t xml:space="preserve"> (Vial, 2019) </w:t>
      </w:r>
      <w:r>
        <w:rPr>
          <w:rFonts w:ascii="Traditional Arabic" w:eastAsia="Times New Roman" w:hAnsi="Traditional Arabic" w:cs="Traditional Arabic"/>
          <w:color w:val="000000" w:themeColor="text1"/>
          <w:sz w:val="28"/>
          <w:szCs w:val="28"/>
          <w:rtl/>
        </w:rPr>
        <w:t>إلى أن التحول الرقمي يمثل عملية مؤسسية متعددة الأبعاد تهدف إلى خلق قيمة استراتيجية من خلال توظيف التقنيات الرقمية وإعادة تصميم العمليات والموارد التنظيمية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وفي سياق إدارة أصول البنية التحتية، يسهم التحول الرقمي في تعزيز موثوقية الأصول وتحسين القدرة على التنبؤ بالأعطال وإدارة المخاطر التشغيلية من خلال استخدام البيانات وتحليلاتها في دعم القرارات التشغيلية والاستراتيجية</w:t>
      </w:r>
      <w:r>
        <w:rPr>
          <w:rFonts w:ascii="Traditional Arabic" w:eastAsia="Times New Roman" w:hAnsi="Traditional Arabic" w:cs="Traditional Arabic"/>
          <w:color w:val="000000" w:themeColor="text1"/>
          <w:sz w:val="28"/>
          <w:szCs w:val="28"/>
        </w:rPr>
        <w:t>.</w:t>
      </w:r>
    </w:p>
    <w:p w14:paraId="6EE4C107"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ثانيًا</w:t>
      </w:r>
      <w:r>
        <w:rPr>
          <w:rFonts w:ascii="Traditional Arabic" w:eastAsiaTheme="majorEastAsia" w:hAnsi="Traditional Arabic" w:cs="Traditional Arabic"/>
          <w:b/>
          <w:bCs/>
          <w:color w:val="2F5496" w:themeColor="accent1" w:themeShade="BF"/>
          <w:sz w:val="36"/>
          <w:szCs w:val="36"/>
        </w:rPr>
        <w:t xml:space="preserve">: </w:t>
      </w:r>
      <w:r>
        <w:rPr>
          <w:rFonts w:ascii="Traditional Arabic" w:eastAsiaTheme="majorEastAsia" w:hAnsi="Traditional Arabic" w:cs="Traditional Arabic"/>
          <w:b/>
          <w:bCs/>
          <w:color w:val="2F5496" w:themeColor="accent1" w:themeShade="BF"/>
          <w:sz w:val="36"/>
          <w:szCs w:val="36"/>
          <w:rtl/>
        </w:rPr>
        <w:t>النظرية المؤسسية</w:t>
      </w:r>
      <w:r>
        <w:rPr>
          <w:rFonts w:ascii="Traditional Arabic" w:eastAsiaTheme="majorEastAsia" w:hAnsi="Traditional Arabic" w:cs="Traditional Arabic"/>
          <w:b/>
          <w:bCs/>
          <w:color w:val="2F5496" w:themeColor="accent1" w:themeShade="BF"/>
          <w:sz w:val="36"/>
          <w:szCs w:val="36"/>
        </w:rPr>
        <w:t xml:space="preserve"> (Institutional Theory)</w:t>
      </w:r>
    </w:p>
    <w:p w14:paraId="58CE277F"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تفسر النظرية المؤسسية سلوك المؤسسات في تبني الممارسات التنظيمية والتقنية الجديدة استجابةً للضغوط التنظيمية والتشريعية والاجتماعية التي تواجهها</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وتشير هذه النظرية إلى أن المؤسسات تسعى إلى تحقيق الشرعية المؤسسية من خلال التوافق مع المعايير التنظيمية والبيئية السائدة</w:t>
      </w:r>
      <w:r>
        <w:rPr>
          <w:rFonts w:ascii="Traditional Arabic" w:eastAsia="Times New Roman" w:hAnsi="Traditional Arabic" w:cs="Traditional Arabic"/>
          <w:color w:val="000000" w:themeColor="text1"/>
          <w:sz w:val="28"/>
          <w:szCs w:val="28"/>
        </w:rPr>
        <w:t xml:space="preserve"> (DiMaggio &amp; Powell, 1983). </w:t>
      </w:r>
      <w:r>
        <w:rPr>
          <w:rFonts w:ascii="Traditional Arabic" w:eastAsia="Times New Roman" w:hAnsi="Traditional Arabic" w:cs="Traditional Arabic"/>
          <w:color w:val="000000" w:themeColor="text1"/>
          <w:sz w:val="28"/>
          <w:szCs w:val="28"/>
          <w:rtl/>
        </w:rPr>
        <w:t>وفي سياق التحول الرقمي والحوكمة في قطاع المياه، تساعد هذه النظرية في تفسير توجه المؤسسات نحو تبني ممارسات الحوكمة الرقمية وتعزيز الاستدامة المؤسسية، استجابة للتوجهات العالمية والمتطلبات التنظيمية المرتبطة بإدارة الموارد والبنية التحتية الحيوية</w:t>
      </w:r>
      <w:r>
        <w:rPr>
          <w:rFonts w:ascii="Traditional Arabic" w:eastAsia="Times New Roman" w:hAnsi="Traditional Arabic" w:cs="Traditional Arabic"/>
          <w:color w:val="000000" w:themeColor="text1"/>
          <w:sz w:val="28"/>
          <w:szCs w:val="28"/>
        </w:rPr>
        <w:t>.</w:t>
      </w:r>
    </w:p>
    <w:p w14:paraId="77CE1A03"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ثالثًا</w:t>
      </w:r>
      <w:r>
        <w:rPr>
          <w:rFonts w:ascii="Traditional Arabic" w:eastAsiaTheme="majorEastAsia" w:hAnsi="Traditional Arabic" w:cs="Traditional Arabic"/>
          <w:b/>
          <w:bCs/>
          <w:color w:val="2F5496" w:themeColor="accent1" w:themeShade="BF"/>
          <w:sz w:val="36"/>
          <w:szCs w:val="36"/>
        </w:rPr>
        <w:t xml:space="preserve">: </w:t>
      </w:r>
      <w:r>
        <w:rPr>
          <w:rFonts w:ascii="Traditional Arabic" w:eastAsiaTheme="majorEastAsia" w:hAnsi="Traditional Arabic" w:cs="Traditional Arabic"/>
          <w:b/>
          <w:bCs/>
          <w:color w:val="2F5496" w:themeColor="accent1" w:themeShade="BF"/>
          <w:sz w:val="36"/>
          <w:szCs w:val="36"/>
          <w:rtl/>
        </w:rPr>
        <w:t>نظرية الحوكمة</w:t>
      </w:r>
      <w:r>
        <w:rPr>
          <w:rFonts w:ascii="Traditional Arabic" w:eastAsiaTheme="majorEastAsia" w:hAnsi="Traditional Arabic" w:cs="Traditional Arabic"/>
          <w:b/>
          <w:bCs/>
          <w:color w:val="2F5496" w:themeColor="accent1" w:themeShade="BF"/>
          <w:sz w:val="36"/>
          <w:szCs w:val="36"/>
        </w:rPr>
        <w:t xml:space="preserve"> (Governance Theory)</w:t>
      </w:r>
    </w:p>
    <w:p w14:paraId="38C8CDFD" w14:textId="50B649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lastRenderedPageBreak/>
        <w:t>تركز نظرية الحوكمة على أهمية وجود هياكل تنظيمية وآليات رقابية فعالة تضمن توجيه الموارد والقرارات المؤسسية بما يحقق الأهداف الاستراتيجية للمؤسسة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ومع تطور التقنيات الرقمية، برز مفهوم الحوكمة الذكية الذي يجمع بين مبادئ الحوكمة المؤسسية والتقنيات الرقمية وتحليلات البيانات بهدف تعزيز الشفافية وتحسين جودة اتخاذ القرار المؤسسي</w:t>
      </w:r>
      <w:r>
        <w:rPr>
          <w:rFonts w:ascii="Traditional Arabic" w:eastAsia="Times New Roman" w:hAnsi="Traditional Arabic" w:cs="Traditional Arabic"/>
          <w:color w:val="000000" w:themeColor="text1"/>
          <w:sz w:val="28"/>
          <w:szCs w:val="28"/>
        </w:rPr>
        <w:t xml:space="preserve"> (Janssen et al., 2017). </w:t>
      </w:r>
      <w:r>
        <w:rPr>
          <w:rFonts w:ascii="Traditional Arabic" w:eastAsia="Times New Roman" w:hAnsi="Traditional Arabic" w:cs="Traditional Arabic"/>
          <w:color w:val="000000" w:themeColor="text1"/>
          <w:sz w:val="28"/>
          <w:szCs w:val="28"/>
          <w:rtl/>
        </w:rPr>
        <w:t>وفي إطار هذه الدراسة، تمثل الحوكمة الذكية آلية تنظيمية تسهم في توجيه استخدام التقنيات الرقمية وممارسات الاستدامة المؤسسية بما يعزز سلامة أصول البنية التحتية ويرفع مستوى الأداء المؤسسي في قطاع المياه</w:t>
      </w:r>
      <w:r>
        <w:rPr>
          <w:rFonts w:ascii="Traditional Arabic" w:eastAsia="Times New Roman" w:hAnsi="Traditional Arabic" w:cs="Traditional Arabic"/>
          <w:color w:val="000000" w:themeColor="text1"/>
          <w:sz w:val="28"/>
          <w:szCs w:val="28"/>
        </w:rPr>
        <w:t>.</w:t>
      </w:r>
    </w:p>
    <w:p w14:paraId="0A934824"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ارتباط الأسس النظرية بالنموذج المفاهيمي للدراسة</w:t>
      </w:r>
    </w:p>
    <w:p w14:paraId="2F464549" w14:textId="6B2ACAB4" w:rsidR="00ED3AE7" w:rsidRPr="00BD0159" w:rsidRDefault="00ED3AE7" w:rsidP="00ED3AE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في ضوء هذه الأسس النظرية، يمكن تفسير العلاقات بين متغيرات الدراسة ضمن إطار تكاملي يوضح دور التحول الرقمي والاستدامة المؤسسية في تحسين إدارة أصول البنية التحتية، في حين تؤدي الحوكمة الذكية دورًا تنظيميًا وسيطًا يوجه تأثير هذه المدخلات نحو تعزيز سلامة الأصول وتحسين الأداء المؤسسي</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وبناءً على ذلك، يفترض النموذج المفاهيمي للدراسة أن تكامل التحول الرقمي والاستدامة المؤسسية ضمن إطار حوكمة ذكية يسهم في تعزيز موثوقية أصول البنية التحتية المائية وتحسين كفاءة الأداء المؤسسي في قطاع المياه</w:t>
      </w:r>
      <w:r>
        <w:rPr>
          <w:rFonts w:ascii="Traditional Arabic" w:eastAsia="Times New Roman" w:hAnsi="Traditional Arabic" w:cs="Traditional Arabic"/>
          <w:color w:val="000000" w:themeColor="text1"/>
          <w:sz w:val="28"/>
          <w:szCs w:val="28"/>
        </w:rPr>
        <w:t>.</w:t>
      </w:r>
    </w:p>
    <w:p w14:paraId="2D9864FA" w14:textId="0831BCDC" w:rsidR="00AE77C1" w:rsidRDefault="00BD0159" w:rsidP="00AE77C1">
      <w:pPr>
        <w:pStyle w:val="Heading2"/>
        <w:bidi/>
        <w:rPr>
          <w:rFonts w:ascii="Traditional Arabic" w:hAnsi="Traditional Arabic" w:cs="Traditional Arabic"/>
          <w:b/>
          <w:bCs/>
          <w:sz w:val="36"/>
          <w:szCs w:val="36"/>
          <w:rtl/>
        </w:rPr>
      </w:pPr>
      <w:r>
        <w:rPr>
          <w:rFonts w:ascii="Traditional Arabic" w:hAnsi="Traditional Arabic" w:cs="Traditional Arabic"/>
          <w:b/>
          <w:bCs/>
          <w:sz w:val="36"/>
          <w:szCs w:val="36"/>
          <w:rtl/>
        </w:rPr>
        <w:t>أولًا: الإطار النظري</w:t>
      </w:r>
    </w:p>
    <w:p w14:paraId="2A417788" w14:textId="77777777" w:rsidR="00FD34FA" w:rsidRPr="00FD34FA" w:rsidRDefault="00FD34FA" w:rsidP="00FD34FA">
      <w:pPr>
        <w:bidi/>
        <w:rPr>
          <w:rtl/>
        </w:rPr>
      </w:pPr>
    </w:p>
    <w:p w14:paraId="03D3A122" w14:textId="2242E9F8" w:rsidR="00BD0159" w:rsidRDefault="00BD0159" w:rsidP="00B7711D">
      <w:pPr>
        <w:pStyle w:val="Heading2"/>
        <w:numPr>
          <w:ilvl w:val="0"/>
          <w:numId w:val="18"/>
        </w:numPr>
        <w:bidi/>
        <w:rPr>
          <w:rFonts w:ascii="Traditional Arabic" w:hAnsi="Traditional Arabic" w:cs="Traditional Arabic"/>
          <w:b/>
          <w:bCs/>
          <w:sz w:val="36"/>
          <w:szCs w:val="36"/>
          <w:rtl/>
        </w:rPr>
      </w:pPr>
      <w:r>
        <w:rPr>
          <w:rFonts w:ascii="Traditional Arabic" w:hAnsi="Traditional Arabic" w:cs="Traditional Arabic"/>
          <w:b/>
          <w:bCs/>
          <w:sz w:val="36"/>
          <w:szCs w:val="36"/>
          <w:rtl/>
        </w:rPr>
        <w:t>التحول الرقمي</w:t>
      </w:r>
    </w:p>
    <w:p w14:paraId="1FE978E6" w14:textId="0F7195A3" w:rsidR="00AE77C1" w:rsidRPr="00AE77C1" w:rsidRDefault="00AE77C1" w:rsidP="00AE77C1">
      <w:pPr>
        <w:bidi/>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Pr>
        <w:t xml:space="preserve">1-1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تعريف التحول الرقمي</w:t>
      </w:r>
    </w:p>
    <w:p w14:paraId="0AEE19B8"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لم يعد التحول الرقمي يُفهم بوصفه “رقمنة” للإجراءات القائمة فحسب، بل أصبح يُنظر إليه كتحول استراتيجي يعيد تشكيل منطق التشغيل، وبنية القرار، ونماذج تقديم الخدمة داخل المؤسسة. ويُعرَّف التحول الرقمي بأنه توظيف التقنيات الرقمية لإحداث تغيير جوهري في العمليات والموارد وآليات العمل بما يولِّد قيمة مستدامة على المدى الطويل</w:t>
      </w:r>
      <w:r>
        <w:rPr>
          <w:rFonts w:ascii="Traditional Arabic" w:eastAsia="Times New Roman" w:hAnsi="Traditional Arabic" w:cs="Traditional Arabic"/>
          <w:color w:val="000000" w:themeColor="text1"/>
          <w:sz w:val="28"/>
          <w:szCs w:val="28"/>
        </w:rPr>
        <w:t xml:space="preserve"> (Vial, 2019). </w:t>
      </w:r>
      <w:r>
        <w:rPr>
          <w:rFonts w:ascii="Traditional Arabic" w:eastAsia="Times New Roman" w:hAnsi="Traditional Arabic" w:cs="Traditional Arabic"/>
          <w:color w:val="000000" w:themeColor="text1"/>
          <w:sz w:val="28"/>
          <w:szCs w:val="28"/>
          <w:rtl/>
        </w:rPr>
        <w:t>كما يؤكد منظور التحول المؤسسي أن النجاح الرقمي لا يتحقق بمجرد إدخال أنظمة جديدة، بل عبر مواءمة التقنية مع الاستراتيجية وإعادة تصميم العمليات وتشكيل الثقافة التنظيمية بما يضمن “ترجمة” التقنية إلى أثرٍ تشغيلي ومؤسسي ملموس</w:t>
      </w:r>
      <w:r>
        <w:rPr>
          <w:rFonts w:ascii="Traditional Arabic" w:eastAsia="Times New Roman" w:hAnsi="Traditional Arabic" w:cs="Traditional Arabic"/>
          <w:color w:val="000000" w:themeColor="text1"/>
          <w:sz w:val="28"/>
          <w:szCs w:val="28"/>
        </w:rPr>
        <w:t xml:space="preserve"> (Verhoef et al., 2021).</w:t>
      </w:r>
    </w:p>
    <w:p w14:paraId="6B5D5CD1"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وبناءً على ذلك، تتبنى هذه الدراسة تعريفًا إجرائيًا للتحول الرقمي بوصفه منظومة تكاملية تشمل: (1) بنية رقمية وتقنيات تشغيلية، (2) إعادة هندسة عمليات، (3) تنمية قدرات بشرية وإدارة تغيير، (4) مواءمة استراتيجية وقياس أثر؛ وذلك بما يخدم غاية الدراسة في تعزيز سلامة الأصول والأداء المؤسسي في قطاع المياه</w:t>
      </w:r>
      <w:r>
        <w:rPr>
          <w:rFonts w:ascii="Traditional Arabic" w:eastAsia="Times New Roman" w:hAnsi="Traditional Arabic" w:cs="Traditional Arabic"/>
          <w:color w:val="000000" w:themeColor="text1"/>
          <w:sz w:val="28"/>
          <w:szCs w:val="28"/>
        </w:rPr>
        <w:t>.</w:t>
      </w:r>
    </w:p>
    <w:p w14:paraId="77BEA7DF" w14:textId="2BAFA2DC" w:rsidR="00AE77C1" w:rsidRPr="00AE77C1" w:rsidRDefault="00AE77C1" w:rsidP="00AE77C1">
      <w:pPr>
        <w:bidi/>
        <w:spacing w:after="200" w:line="360" w:lineRule="auto"/>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1-2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أهمية التحول الرقمي في القطاع العام وقطاع المياه</w:t>
      </w:r>
    </w:p>
    <w:p w14:paraId="683B1038" w14:textId="6F8F0F0C" w:rsidR="00AE77C1" w:rsidRPr="00AE77C1" w:rsidRDefault="00AE77C1" w:rsidP="00527ED7">
      <w:pPr>
        <w:bidi/>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lastRenderedPageBreak/>
        <w:t>تزايد تبني القطاع العام للتحول الرقمي تحت ضغط متطلبات الكفاءة والشفافية وجودة الخدمة، إذ يرتبط التحول الرقمي بتحسين التكامل المعلوماتي، وتسريع الاستجابة، ودعم القرار القائم على البيانات</w:t>
      </w:r>
      <w:r>
        <w:rPr>
          <w:rFonts w:ascii="Traditional Arabic" w:eastAsia="Times New Roman" w:hAnsi="Traditional Arabic" w:cs="Traditional Arabic"/>
          <w:color w:val="000000" w:themeColor="text1"/>
          <w:sz w:val="28"/>
          <w:szCs w:val="28"/>
        </w:rPr>
        <w:t xml:space="preserve"> (Janssen et al., 2017). </w:t>
      </w:r>
      <w:r>
        <w:rPr>
          <w:rFonts w:ascii="Traditional Arabic" w:eastAsia="Times New Roman" w:hAnsi="Traditional Arabic" w:cs="Traditional Arabic"/>
          <w:color w:val="000000" w:themeColor="text1"/>
          <w:sz w:val="28"/>
          <w:szCs w:val="28"/>
          <w:rtl/>
        </w:rPr>
        <w:t>كما تشير تقارير دولية إلى أن الحوكمة الرقمية تمثل رافعة لتحسين الأداء الحكومي عبر تعزيز جودة القرار ورفع قدرة المؤسسات على إدارة الموارد والمخاطر</w:t>
      </w:r>
      <w:r>
        <w:rPr>
          <w:rFonts w:ascii="Traditional Arabic" w:eastAsia="Times New Roman" w:hAnsi="Traditional Arabic" w:cs="Traditional Arabic"/>
          <w:color w:val="000000" w:themeColor="text1"/>
          <w:sz w:val="28"/>
          <w:szCs w:val="28"/>
        </w:rPr>
        <w:t xml:space="preserve"> (OECD, 2020).</w:t>
      </w:r>
    </w:p>
    <w:p w14:paraId="3CEA1813" w14:textId="77777777" w:rsidR="00AE77C1" w:rsidRPr="00AE77C1" w:rsidRDefault="00AE77C1" w:rsidP="00527ED7">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قطاع المياه تحديدًا، تتضاعف أهمية التحول الرقمي بسبب الطبيعة الشبكية المعقدة للأصول وارتفاع تكلفة الأعطال والفاقد، ما يجعل التقنيات الرقمية أداة داعمة للرقابة الاستباقية، والصيانة التنبؤية، وتحسين موثوقية الخدمة</w:t>
      </w:r>
      <w:r>
        <w:rPr>
          <w:rFonts w:ascii="Traditional Arabic" w:eastAsia="Times New Roman" w:hAnsi="Traditional Arabic" w:cs="Traditional Arabic"/>
          <w:color w:val="000000" w:themeColor="text1"/>
          <w:sz w:val="28"/>
          <w:szCs w:val="28"/>
        </w:rPr>
        <w:t>.</w:t>
      </w:r>
    </w:p>
    <w:p w14:paraId="5D7775D6" w14:textId="2825EF60" w:rsidR="00FD34FA" w:rsidRPr="00AE77C1" w:rsidRDefault="00AE77C1" w:rsidP="00FD34FA">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1-3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المداخل النظرية المفسرة للتحول الرقمي</w:t>
      </w:r>
    </w:p>
    <w:p w14:paraId="5271FC58" w14:textId="77777777" w:rsidR="00AE77C1" w:rsidRPr="00AE77C1" w:rsidRDefault="00AE77C1" w:rsidP="00AE77C1">
      <w:pPr>
        <w:bidi/>
      </w:pPr>
      <w:r>
        <w:rPr>
          <w:rtl/>
        </w:rPr>
        <w:t>يستند تفسير التحول الرقمي في هذه الدراسة إلى ثلاثة مداخل نظرية متكاملة</w:t>
      </w:r>
      <w:r>
        <w:t>:</w:t>
      </w:r>
    </w:p>
    <w:p w14:paraId="79EA955B" w14:textId="77777777" w:rsidR="00AE77C1" w:rsidRPr="00AE77C1" w:rsidRDefault="00AE77C1" w:rsidP="00B7711D">
      <w:pPr>
        <w:numPr>
          <w:ilvl w:val="0"/>
          <w:numId w:val="11"/>
        </w:numPr>
        <w:bidi/>
        <w:jc w:val="both"/>
        <w:rPr>
          <w:rFonts w:ascii="Traditional Arabic" w:hAnsi="Traditional Arabic" w:cs="Traditional Arabic"/>
          <w:sz w:val="28"/>
          <w:szCs w:val="28"/>
        </w:rPr>
      </w:pPr>
      <w:r>
        <w:rPr>
          <w:rFonts w:ascii="Traditional Arabic" w:hAnsi="Traditional Arabic" w:cs="Traditional Arabic"/>
          <w:b/>
          <w:bCs/>
          <w:sz w:val="28"/>
          <w:szCs w:val="28"/>
          <w:rtl/>
        </w:rPr>
        <w:t>نظرية الموارد والقدرات</w:t>
      </w:r>
      <w:r>
        <w:rPr>
          <w:rFonts w:ascii="Traditional Arabic" w:hAnsi="Traditional Arabic" w:cs="Traditional Arabic"/>
          <w:b/>
          <w:bCs/>
          <w:sz w:val="28"/>
          <w:szCs w:val="28"/>
        </w:rPr>
        <w:t xml:space="preserve"> (RBV):</w:t>
      </w:r>
      <w:r>
        <w:rPr>
          <w:rFonts w:ascii="Traditional Arabic" w:hAnsi="Traditional Arabic" w:cs="Traditional Arabic"/>
          <w:sz w:val="28"/>
          <w:szCs w:val="28"/>
        </w:rPr>
        <w:t xml:space="preserve"> </w:t>
      </w:r>
      <w:r>
        <w:rPr>
          <w:rFonts w:ascii="Traditional Arabic" w:hAnsi="Traditional Arabic" w:cs="Traditional Arabic"/>
          <w:sz w:val="28"/>
          <w:szCs w:val="28"/>
          <w:rtl/>
        </w:rPr>
        <w:t>تُفسِّر كيف تتحول الموارد الرقمية إلى قيمة عندما تُدمج داخل قدرات تنظيمية (حَوْكمة، مهارات، عمليات)</w:t>
      </w:r>
      <w:r>
        <w:rPr>
          <w:rFonts w:ascii="Traditional Arabic" w:hAnsi="Traditional Arabic" w:cs="Traditional Arabic"/>
          <w:sz w:val="28"/>
          <w:szCs w:val="28"/>
        </w:rPr>
        <w:t>.</w:t>
      </w:r>
    </w:p>
    <w:p w14:paraId="3770B8A6" w14:textId="77777777" w:rsidR="00AE77C1" w:rsidRPr="00AE77C1" w:rsidRDefault="00AE77C1" w:rsidP="00B7711D">
      <w:pPr>
        <w:numPr>
          <w:ilvl w:val="0"/>
          <w:numId w:val="11"/>
        </w:numPr>
        <w:bidi/>
        <w:jc w:val="both"/>
        <w:rPr>
          <w:rFonts w:ascii="Traditional Arabic" w:hAnsi="Traditional Arabic" w:cs="Traditional Arabic"/>
          <w:sz w:val="28"/>
          <w:szCs w:val="28"/>
        </w:rPr>
      </w:pPr>
      <w:r>
        <w:rPr>
          <w:rFonts w:ascii="Traditional Arabic" w:hAnsi="Traditional Arabic" w:cs="Traditional Arabic"/>
          <w:b/>
          <w:bCs/>
          <w:sz w:val="28"/>
          <w:szCs w:val="28"/>
          <w:rtl/>
        </w:rPr>
        <w:t>نظرية التحول التنظيمي</w:t>
      </w:r>
      <w:r>
        <w:rPr>
          <w:rFonts w:ascii="Traditional Arabic" w:hAnsi="Traditional Arabic" w:cs="Traditional Arabic"/>
          <w:b/>
          <w:bCs/>
          <w:sz w:val="28"/>
          <w:szCs w:val="28"/>
        </w:rPr>
        <w:t>:</w:t>
      </w:r>
      <w:r>
        <w:rPr>
          <w:rFonts w:ascii="Traditional Arabic" w:hAnsi="Traditional Arabic" w:cs="Traditional Arabic"/>
          <w:sz w:val="28"/>
          <w:szCs w:val="28"/>
        </w:rPr>
        <w:t xml:space="preserve"> </w:t>
      </w:r>
      <w:r>
        <w:rPr>
          <w:rFonts w:ascii="Traditional Arabic" w:hAnsi="Traditional Arabic" w:cs="Traditional Arabic"/>
          <w:sz w:val="28"/>
          <w:szCs w:val="28"/>
          <w:rtl/>
        </w:rPr>
        <w:t>تؤكد أن التقنية لا تُنتج أثرًا مستدامًا دون تغييرٍ في الهيكل والثقافة وإدارة التغيير</w:t>
      </w:r>
      <w:r>
        <w:rPr>
          <w:rFonts w:ascii="Traditional Arabic" w:hAnsi="Traditional Arabic" w:cs="Traditional Arabic"/>
          <w:sz w:val="28"/>
          <w:szCs w:val="28"/>
        </w:rPr>
        <w:t>.</w:t>
      </w:r>
    </w:p>
    <w:p w14:paraId="7A68840E" w14:textId="77777777" w:rsidR="00AE77C1" w:rsidRPr="00AE77C1" w:rsidRDefault="00AE77C1" w:rsidP="00B7711D">
      <w:pPr>
        <w:numPr>
          <w:ilvl w:val="0"/>
          <w:numId w:val="11"/>
        </w:numPr>
        <w:bidi/>
        <w:jc w:val="both"/>
        <w:rPr>
          <w:rFonts w:ascii="Traditional Arabic" w:hAnsi="Traditional Arabic" w:cs="Traditional Arabic"/>
          <w:sz w:val="28"/>
          <w:szCs w:val="28"/>
        </w:rPr>
      </w:pPr>
      <w:r>
        <w:rPr>
          <w:rFonts w:ascii="Traditional Arabic" w:hAnsi="Traditional Arabic" w:cs="Traditional Arabic"/>
          <w:b/>
          <w:bCs/>
          <w:sz w:val="28"/>
          <w:szCs w:val="28"/>
          <w:rtl/>
        </w:rPr>
        <w:t>نظرية النظم</w:t>
      </w:r>
      <w:r>
        <w:rPr>
          <w:rFonts w:ascii="Traditional Arabic" w:hAnsi="Traditional Arabic" w:cs="Traditional Arabic"/>
          <w:b/>
          <w:bCs/>
          <w:sz w:val="28"/>
          <w:szCs w:val="28"/>
        </w:rPr>
        <w:t>:</w:t>
      </w:r>
      <w:r>
        <w:rPr>
          <w:rFonts w:ascii="Traditional Arabic" w:hAnsi="Traditional Arabic" w:cs="Traditional Arabic"/>
          <w:sz w:val="28"/>
          <w:szCs w:val="28"/>
        </w:rPr>
        <w:t xml:space="preserve"> </w:t>
      </w:r>
      <w:r>
        <w:rPr>
          <w:rFonts w:ascii="Traditional Arabic" w:hAnsi="Traditional Arabic" w:cs="Traditional Arabic"/>
          <w:sz w:val="28"/>
          <w:szCs w:val="28"/>
          <w:rtl/>
        </w:rPr>
        <w:t>تنظر للمؤسسة كنظام مترابط؛ وقيمة الرقمنة تتشكل من تكامل البيانات والعمليات والقرار لا من التقنية منفردة</w:t>
      </w:r>
      <w:r>
        <w:rPr>
          <w:rFonts w:ascii="Traditional Arabic" w:hAnsi="Traditional Arabic" w:cs="Traditional Arabic"/>
          <w:sz w:val="28"/>
          <w:szCs w:val="28"/>
        </w:rPr>
        <w:t>.</w:t>
      </w:r>
    </w:p>
    <w:p w14:paraId="169EFF6E"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ويُستفاد من هذه المداخل في دعم منطق الدراسة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التحول الرقمي شرطٌ لازم لتحسين سلامة الأصول، لكنه ليس شرطًا كافيًا ما لم يُوجَّه ضمن إطار حوكمة ذكية</w:t>
      </w:r>
      <w:r>
        <w:rPr>
          <w:rFonts w:ascii="Traditional Arabic" w:eastAsia="Times New Roman" w:hAnsi="Traditional Arabic" w:cs="Traditional Arabic"/>
          <w:color w:val="000000" w:themeColor="text1"/>
          <w:sz w:val="28"/>
          <w:szCs w:val="28"/>
        </w:rPr>
        <w:t>.</w:t>
      </w:r>
    </w:p>
    <w:p w14:paraId="6CB9D9A1" w14:textId="7D0A203E"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1-4 </w:t>
      </w:r>
      <w:r>
        <w:rPr>
          <w:rFonts w:ascii="Traditional Arabic" w:eastAsia="Times New Roman" w:hAnsi="Traditional Arabic" w:cs="Traditional Arabic"/>
          <w:b/>
          <w:bCs/>
          <w:color w:val="000000" w:themeColor="text1"/>
          <w:sz w:val="28"/>
          <w:szCs w:val="28"/>
          <w:rtl/>
        </w:rPr>
        <w:t xml:space="preserve">أبعاد التحول الرقمي </w:t>
      </w:r>
    </w:p>
    <w:p w14:paraId="30DED7F2" w14:textId="77777777" w:rsidR="00AE77C1" w:rsidRPr="00AE77C1" w:rsidRDefault="00AE77C1" w:rsidP="00AE77C1">
      <w:p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استنادًا إلى الأدبيات، يعتمد قياس التحول الرقمي في هذه الدراسة على أبعاد أربعة مترابطة</w:t>
      </w:r>
      <w:r>
        <w:rPr>
          <w:rFonts w:ascii="Traditional Arabic" w:eastAsia="Times New Roman" w:hAnsi="Traditional Arabic" w:cs="Traditional Arabic"/>
          <w:color w:val="000000" w:themeColor="text1"/>
          <w:sz w:val="28"/>
          <w:szCs w:val="28"/>
        </w:rPr>
        <w:t>:</w:t>
      </w:r>
    </w:p>
    <w:p w14:paraId="700F2C76" w14:textId="578FBB5E"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البعد التقني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البنية الرقمية، إنترنت الأشياء، التوأمة الرقمية/المراقبة اللحظية</w:t>
      </w:r>
      <w:r>
        <w:rPr>
          <w:rFonts w:ascii="Traditional Arabic" w:eastAsia="Times New Roman" w:hAnsi="Traditional Arabic" w:cs="Traditional Arabic"/>
          <w:color w:val="000000" w:themeColor="text1"/>
          <w:sz w:val="28"/>
          <w:szCs w:val="28"/>
        </w:rPr>
        <w:t>.</w:t>
      </w:r>
    </w:p>
    <w:p w14:paraId="1129AAFF" w14:textId="4013E189"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البعد التنظيمي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إعادة هندسة الإجراءات، تكامل البيانات، سياسات التشغيل الرقمية</w:t>
      </w:r>
      <w:r>
        <w:rPr>
          <w:rFonts w:ascii="Traditional Arabic" w:eastAsia="Times New Roman" w:hAnsi="Traditional Arabic" w:cs="Traditional Arabic"/>
          <w:color w:val="000000" w:themeColor="text1"/>
          <w:sz w:val="28"/>
          <w:szCs w:val="28"/>
        </w:rPr>
        <w:t>.</w:t>
      </w:r>
    </w:p>
    <w:p w14:paraId="0691C37E" w14:textId="55C01D2F"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البعد البشري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المهارات الرقمية، إدارة التغيير، تبنّي المستخدمين</w:t>
      </w:r>
      <w:r>
        <w:rPr>
          <w:rFonts w:ascii="Traditional Arabic" w:eastAsia="Times New Roman" w:hAnsi="Traditional Arabic" w:cs="Traditional Arabic"/>
          <w:color w:val="000000" w:themeColor="text1"/>
          <w:sz w:val="28"/>
          <w:szCs w:val="28"/>
        </w:rPr>
        <w:t>.</w:t>
      </w:r>
    </w:p>
    <w:p w14:paraId="21057DDC" w14:textId="462C7ACD"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البعد الاستراتيجي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مواءمة المبادرات الرقمية مع أهداف إدارة الأصول ومؤشرات الأداء</w:t>
      </w:r>
      <w:r>
        <w:rPr>
          <w:rFonts w:ascii="Traditional Arabic" w:eastAsia="Times New Roman" w:hAnsi="Traditional Arabic" w:cs="Traditional Arabic"/>
          <w:color w:val="000000" w:themeColor="text1"/>
          <w:sz w:val="28"/>
          <w:szCs w:val="28"/>
        </w:rPr>
        <w:t>.</w:t>
      </w:r>
    </w:p>
    <w:p w14:paraId="6ABA2687" w14:textId="229E457A" w:rsidR="00AE77C1" w:rsidRPr="00AE77C1" w:rsidRDefault="00AE77C1" w:rsidP="00AE77C1">
      <w:pPr>
        <w:bidi/>
        <w:rPr>
          <w:b/>
          <w:bCs/>
          <w:rtl/>
        </w:rPr>
      </w:pPr>
      <w:r>
        <w:rPr>
          <w:rFonts w:ascii="Traditional Arabic" w:eastAsia="Times New Roman" w:hAnsi="Traditional Arabic" w:cs="Traditional Arabic"/>
          <w:b/>
          <w:bCs/>
          <w:color w:val="000000" w:themeColor="text1"/>
          <w:sz w:val="28"/>
          <w:szCs w:val="28"/>
        </w:rPr>
        <w:t>1-5</w:t>
      </w:r>
      <w:r>
        <w:rPr>
          <w:b/>
          <w:bCs/>
        </w:rPr>
        <w:t xml:space="preserve">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التحول الرقمي وإدارة أصول البنية التحتية المائية</w:t>
      </w:r>
    </w:p>
    <w:p w14:paraId="0264FF6F" w14:textId="7AD54572"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أحدثت التقنيات الرقمية تحولًا في فلسفة إدارة الأصول؛ إذ سمحت أنظمة الاستشعار والتحليلات التنبؤية بالانتقال من صيانة تصحيحية تعتمد على الاستجابة إلى صيانة استباقية تعتمد على التنبؤ، ما ينعكس على تقليل الأعطال ورفع الجاهزية وتحسين السلامة التشغيلية</w:t>
      </w:r>
      <w:r>
        <w:rPr>
          <w:rFonts w:ascii="Traditional Arabic" w:eastAsia="Times New Roman" w:hAnsi="Traditional Arabic" w:cs="Traditional Arabic"/>
          <w:color w:val="000000" w:themeColor="text1"/>
          <w:sz w:val="28"/>
          <w:szCs w:val="28"/>
        </w:rPr>
        <w:t xml:space="preserve"> (Fuller et al., 2020).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غير أن تحقيق هذا الأثر يظل مرتبطًا بقدرة المؤسسة على “حوكمة” البيانات والقرار، لضمان موثوقية البيانات، وتحديد المسؤوليات، ومنع تضارب المبادرات</w:t>
      </w:r>
      <w:r>
        <w:rPr>
          <w:rFonts w:ascii="Traditional Arabic" w:eastAsia="Times New Roman" w:hAnsi="Traditional Arabic" w:cs="Traditional Arabic"/>
          <w:color w:val="000000" w:themeColor="text1"/>
          <w:sz w:val="28"/>
          <w:szCs w:val="28"/>
        </w:rPr>
        <w:t>.</w:t>
      </w:r>
    </w:p>
    <w:p w14:paraId="77A7F87F" w14:textId="379227B5"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lastRenderedPageBreak/>
        <w:t xml:space="preserve">1-6 </w:t>
      </w:r>
      <w:r>
        <w:rPr>
          <w:rFonts w:ascii="Traditional Arabic" w:eastAsia="Times New Roman" w:hAnsi="Traditional Arabic" w:cs="Traditional Arabic"/>
          <w:b/>
          <w:bCs/>
          <w:color w:val="000000" w:themeColor="text1"/>
          <w:sz w:val="28"/>
          <w:szCs w:val="28"/>
          <w:rtl/>
        </w:rPr>
        <w:t xml:space="preserve">العلاقة بين التحول الرقمي والأداء المؤسسي </w:t>
      </w:r>
    </w:p>
    <w:p w14:paraId="01F522AB" w14:textId="62D60F63"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تميل الأدبيات إلى تأييد العلاقة الإيجابية بين النضج الرقمي وتحسن الأداء عبر الكفاءة وتقليل التكاليف وتحسين جودة الخدمات</w:t>
      </w:r>
      <w:r>
        <w:rPr>
          <w:rFonts w:ascii="Traditional Arabic" w:eastAsia="Times New Roman" w:hAnsi="Traditional Arabic" w:cs="Traditional Arabic"/>
          <w:color w:val="000000" w:themeColor="text1"/>
          <w:sz w:val="28"/>
          <w:szCs w:val="28"/>
        </w:rPr>
        <w:t xml:space="preserve"> (Kraus et al., 2021).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إلا أن هذه العلاقة تتفاوت بين المؤسسات؛ وهو تباين تُفسِّره هذه الدراسة عبر إدخال الحوكمة الذكية كإطار يضبط مسار التحول الرقمي ويمنع تحوله إلى “حلول تقنية مجزأة” بلا عائدٍ مؤسسي</w:t>
      </w:r>
      <w:r>
        <w:rPr>
          <w:rFonts w:ascii="Traditional Arabic" w:eastAsia="Times New Roman" w:hAnsi="Traditional Arabic" w:cs="Traditional Arabic"/>
          <w:color w:val="000000" w:themeColor="text1"/>
          <w:sz w:val="28"/>
          <w:szCs w:val="28"/>
        </w:rPr>
        <w:t>.</w:t>
      </w:r>
    </w:p>
    <w:p w14:paraId="0A1056F7" w14:textId="671C2AB1"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خلاصة المبحث</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التحول الرقمي في هذه الدراسة يُفهم كتحولٍ مؤسسي شامل، وتُفترض فاعليته على سلامة الأصول والأداء المؤسسي بشرط توجيهه ضمن حوكمة ذكية قادرة على تحويل البيانات إلى قرارٍ مؤسسي رشيد، وهو ما يقود إلى المبحث التالي</w:t>
      </w:r>
      <w:r>
        <w:rPr>
          <w:rFonts w:ascii="Traditional Arabic" w:eastAsia="Times New Roman" w:hAnsi="Traditional Arabic" w:cs="Traditional Arabic"/>
          <w:color w:val="000000" w:themeColor="text1"/>
          <w:sz w:val="28"/>
          <w:szCs w:val="28"/>
        </w:rPr>
        <w:t>.</w:t>
      </w:r>
    </w:p>
    <w:p w14:paraId="2FE508EA" w14:textId="48027DBB" w:rsidR="00AE77C1" w:rsidRPr="00AE77C1" w:rsidRDefault="00AE77C1" w:rsidP="00B7711D">
      <w:pPr>
        <w:pStyle w:val="Heading2"/>
        <w:numPr>
          <w:ilvl w:val="0"/>
          <w:numId w:val="18"/>
        </w:numPr>
        <w:bidi/>
        <w:rPr>
          <w:rFonts w:ascii="Traditional Arabic" w:hAnsi="Traditional Arabic" w:cs="Traditional Arabic"/>
          <w:b/>
          <w:bCs/>
          <w:sz w:val="36"/>
          <w:szCs w:val="36"/>
        </w:rPr>
      </w:pPr>
      <w:r>
        <w:rPr>
          <w:rFonts w:ascii="Traditional Arabic" w:hAnsi="Traditional Arabic" w:cs="Traditional Arabic"/>
          <w:b/>
          <w:bCs/>
          <w:sz w:val="36"/>
          <w:szCs w:val="36"/>
          <w:rtl/>
        </w:rPr>
        <w:t>الحوكمة الذكية</w:t>
      </w:r>
    </w:p>
    <w:p w14:paraId="0093C1EB" w14:textId="188BD5E1"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2-1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مفهوم الحوكمة الذكية وتعريفها في الدراسة</w:t>
      </w:r>
    </w:p>
    <w:p w14:paraId="3F82FDBB" w14:textId="4FF99F39" w:rsidR="00AE77C1" w:rsidRPr="00AE77C1" w:rsidRDefault="00AE77C1" w:rsidP="001D6F1F">
      <w:pPr>
        <w:bidi/>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تطور مفهوم الحوكمة من التركيز على الرقابة والامتثال إلى بناء منظومة متكاملة تُحسن الشفافية والمساءلة وجودة القرار. ومع تعاظم دور البيانات والتقنيات، برزت الحوكمة الرقمية ثم الحوكمة الذكية بوصفها امتدادًا يدمج مبادئ الحوكمة المؤسسية مع أدوات التحليل الرقمي لدعم القرار وإدارة المخاطر بصورة استباقية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(OECD, 2020 Janssen et al., 2017</w:t>
      </w:r>
      <w:r>
        <w:rPr>
          <w:rFonts w:ascii="Traditional Arabic" w:eastAsia="Times New Roman" w:hAnsi="Traditional Arabic" w:cs="Traditional Arabic" w:hint="cs"/>
          <w:color w:val="000000" w:themeColor="text1"/>
          <w:sz w:val="28"/>
          <w:szCs w:val="28"/>
          <w:rtl/>
        </w:rPr>
        <w:t>.</w:t>
      </w:r>
    </w:p>
    <w:p w14:paraId="1F4CD2F7" w14:textId="77777777" w:rsidR="00AE77C1" w:rsidRPr="00AE77C1" w:rsidRDefault="00AE77C1" w:rsidP="001D6F1F">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وعليه، تُعرّف الحوكمة الذكية في هذه الدراسة بأنها</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منظومة سياسات وهياكل ومسؤوليات وآليات قرار تعتمد على البيانات والتقنيات الرقمية لضبط المخاطر، ورفع الشفافية، وتعظيم العائد المؤسسي من التحول الرقمي والاستدامة بما ينعكس على سلامة الأصول والأداء المؤسسي</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color w:val="000000" w:themeColor="text1"/>
          <w:sz w:val="28"/>
          <w:szCs w:val="28"/>
        </w:rPr>
        <w:br/>
      </w:r>
      <w:r>
        <w:rPr>
          <w:rFonts w:ascii="Traditional Arabic" w:eastAsia="Times New Roman" w:hAnsi="Traditional Arabic" w:cs="Traditional Arabic"/>
          <w:color w:val="000000" w:themeColor="text1"/>
          <w:sz w:val="28"/>
          <w:szCs w:val="28"/>
          <w:rtl/>
        </w:rPr>
        <w:t>وتُعالج الحوكمة الذكية هنا ليس بوصفها وسيطًا “إحصائيًا” فقط، بل بوصفها آلية تفسيرية تشرح لماذا تختلف نتائج التحول الرقمي بين مؤسسة وأخرى وفق نضج الحوكمة</w:t>
      </w:r>
      <w:r>
        <w:rPr>
          <w:rFonts w:ascii="Traditional Arabic" w:eastAsia="Times New Roman" w:hAnsi="Traditional Arabic" w:cs="Traditional Arabic"/>
          <w:color w:val="000000" w:themeColor="text1"/>
          <w:sz w:val="28"/>
          <w:szCs w:val="28"/>
        </w:rPr>
        <w:t>.</w:t>
      </w:r>
    </w:p>
    <w:p w14:paraId="61461F7A" w14:textId="2DD3EFD5" w:rsidR="00AE77C1" w:rsidRPr="00AE77C1" w:rsidRDefault="00AE77C1" w:rsidP="00AE77C1">
      <w:pPr>
        <w:bidi/>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Pr>
        <w:t xml:space="preserve">2-2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تطور الحوكمة من التقليدية إلى الذكية</w:t>
      </w:r>
    </w:p>
    <w:p w14:paraId="5A326BAD" w14:textId="77777777" w:rsidR="00AE77C1" w:rsidRPr="00AE77C1" w:rsidRDefault="00AE77C1" w:rsidP="001D6F1F">
      <w:p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يمكن تتبع التطور المفاهيمي للحوكمة عبر أربع مراحل</w:t>
      </w:r>
      <w:r>
        <w:rPr>
          <w:rFonts w:ascii="Traditional Arabic" w:eastAsia="Times New Roman" w:hAnsi="Traditional Arabic" w:cs="Traditional Arabic"/>
          <w:color w:val="000000" w:themeColor="text1"/>
          <w:sz w:val="28"/>
          <w:szCs w:val="28"/>
        </w:rPr>
        <w:t>:</w:t>
      </w:r>
    </w:p>
    <w:p w14:paraId="53DA29EB" w14:textId="7BA5A283" w:rsidR="001D6F1F" w:rsidRDefault="00AE77C1" w:rsidP="00B7711D">
      <w:pPr>
        <w:numPr>
          <w:ilvl w:val="0"/>
          <w:numId w:val="13"/>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حوكمة تقليدية (امتثال/رقابة)</w:t>
      </w:r>
      <w:r>
        <w:rPr>
          <w:rFonts w:ascii="Traditional Arabic" w:eastAsia="Times New Roman" w:hAnsi="Traditional Arabic" w:cs="Traditional Arabic" w:hint="cs"/>
          <w:color w:val="000000" w:themeColor="text1"/>
          <w:sz w:val="28"/>
          <w:szCs w:val="28"/>
          <w:rtl/>
        </w:rPr>
        <w:t>.</w:t>
      </w:r>
    </w:p>
    <w:p w14:paraId="5B59BC50" w14:textId="282384AF" w:rsidR="00AE77C1" w:rsidRPr="00AE77C1" w:rsidRDefault="00AE77C1" w:rsidP="00B7711D">
      <w:pPr>
        <w:numPr>
          <w:ilvl w:val="0"/>
          <w:numId w:val="13"/>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حوكمة مؤسسية (أصحاب مصلحة/شفافية</w:t>
      </w:r>
      <w:r>
        <w:rPr>
          <w:rFonts w:ascii="Traditional Arabic" w:eastAsia="Times New Roman" w:hAnsi="Traditional Arabic" w:cs="Traditional Arabic" w:hint="cs"/>
          <w:color w:val="000000" w:themeColor="text1"/>
          <w:sz w:val="28"/>
          <w:szCs w:val="28"/>
          <w:rtl/>
        </w:rPr>
        <w:t>).</w:t>
      </w:r>
    </w:p>
    <w:p w14:paraId="3FC04408" w14:textId="77777777" w:rsidR="001D6F1F" w:rsidRDefault="00AE77C1" w:rsidP="00B7711D">
      <w:pPr>
        <w:numPr>
          <w:ilvl w:val="0"/>
          <w:numId w:val="13"/>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حوكمة رقمية (أتمتة/بيانات)</w:t>
      </w:r>
      <w:r>
        <w:rPr>
          <w:rFonts w:ascii="Traditional Arabic" w:eastAsia="Times New Roman" w:hAnsi="Traditional Arabic" w:cs="Traditional Arabic" w:hint="cs"/>
          <w:color w:val="000000" w:themeColor="text1"/>
          <w:sz w:val="28"/>
          <w:szCs w:val="28"/>
          <w:rtl/>
        </w:rPr>
        <w:t>.</w:t>
      </w:r>
    </w:p>
    <w:p w14:paraId="1C9A3B8E" w14:textId="23EF0889"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حوكمة ذكية (تحليلات متقدمة/قرار استباقي/إدارة مخاطر رقمية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 xml:space="preserve">ويرتبط التحول للحوكمة الذكية بتبني نماذج تشغيل قائمة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على البيانات بما يعزز المرونة وسرعة الاستجابة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.(Mergel et al., 2019)</w:t>
      </w:r>
      <w:r>
        <w:rPr>
          <w:rFonts w:ascii="Traditional Arabic" w:eastAsia="Times New Roman" w:hAnsi="Traditional Arabic" w:cs="Traditional Arabic" w:hint="cs"/>
          <w:color w:val="000000" w:themeColor="text1"/>
          <w:sz w:val="28"/>
          <w:szCs w:val="28"/>
          <w:rtl/>
        </w:rPr>
        <w:t xml:space="preserve"> </w:t>
      </w:r>
    </w:p>
    <w:p w14:paraId="63EB7F0A" w14:textId="5E44C80D" w:rsidR="00AE77C1" w:rsidRPr="00AE77C1" w:rsidRDefault="001D6F1F"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2-3 </w:t>
      </w:r>
      <w:r>
        <w:rPr>
          <w:rFonts w:ascii="Traditional Arabic" w:eastAsia="Times New Roman" w:hAnsi="Traditional Arabic" w:cs="Traditional Arabic"/>
          <w:b/>
          <w:bCs/>
          <w:color w:val="000000" w:themeColor="text1"/>
          <w:sz w:val="28"/>
          <w:szCs w:val="28"/>
          <w:rtl/>
        </w:rPr>
        <w:t>المرتكزات النظرية للحوكمة الذكية</w:t>
      </w:r>
    </w:p>
    <w:p w14:paraId="5C759546" w14:textId="717A5B7F"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نظرية الوكالة</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تركز على فجوة المعلومات وتبرر آليات الرقابة والشفافية التي تدعمها البيانات الرقمية</w:t>
      </w:r>
      <w:r>
        <w:rPr>
          <w:rFonts w:ascii="Traditional Arabic" w:eastAsia="Times New Roman" w:hAnsi="Traditional Arabic" w:cs="Traditional Arabic"/>
          <w:color w:val="000000" w:themeColor="text1"/>
          <w:sz w:val="28"/>
          <w:szCs w:val="28"/>
        </w:rPr>
        <w:t>.</w:t>
      </w:r>
    </w:p>
    <w:p w14:paraId="25EC74D3" w14:textId="05EEA73E"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lastRenderedPageBreak/>
        <w:t>نظرية أصحاب المصلحة</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تعزز شمولية القرار وربطه بمصالح المجتمع والجهات التنظيمية والمستفيدين</w:t>
      </w:r>
      <w:r>
        <w:rPr>
          <w:rFonts w:ascii="Traditional Arabic" w:eastAsia="Times New Roman" w:hAnsi="Traditional Arabic" w:cs="Traditional Arabic"/>
          <w:color w:val="000000" w:themeColor="text1"/>
          <w:sz w:val="28"/>
          <w:szCs w:val="28"/>
        </w:rPr>
        <w:t>.</w:t>
      </w:r>
    </w:p>
    <w:p w14:paraId="7B4A86AF" w14:textId="1CBCA994"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نظرية الحوكمة المؤسسية/الرقمي</w:t>
      </w:r>
      <w:r>
        <w:rPr>
          <w:rFonts w:ascii="Traditional Arabic" w:eastAsia="Times New Roman" w:hAnsi="Traditional Arabic" w:cs="Traditional Arabic" w:hint="cs"/>
          <w:b/>
          <w:bCs/>
          <w:color w:val="000000" w:themeColor="text1"/>
          <w:sz w:val="28"/>
          <w:szCs w:val="28"/>
          <w:rtl/>
        </w:rPr>
        <w:t>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تفسر دور السياسات والهياكل والمعايير في تحويل التقنية إلى قيمة وتقليل المخاطر</w:t>
      </w:r>
      <w:r>
        <w:rPr>
          <w:rFonts w:ascii="Traditional Arabic" w:eastAsia="Times New Roman" w:hAnsi="Traditional Arabic" w:cs="Traditional Arabic"/>
          <w:color w:val="000000" w:themeColor="text1"/>
          <w:sz w:val="28"/>
          <w:szCs w:val="28"/>
        </w:rPr>
        <w:t xml:space="preserve"> (OECD, 2020)</w:t>
      </w:r>
      <w:r>
        <w:rPr>
          <w:rFonts w:ascii="Traditional Arabic" w:eastAsia="Times New Roman" w:hAnsi="Traditional Arabic" w:cs="Traditional Arabic" w:hint="cs"/>
          <w:color w:val="000000" w:themeColor="text1"/>
          <w:sz w:val="28"/>
          <w:szCs w:val="28"/>
          <w:rtl/>
        </w:rPr>
        <w:t xml:space="preserve"> .</w:t>
      </w:r>
    </w:p>
    <w:p w14:paraId="751DE514" w14:textId="02C1C46E" w:rsidR="00AE77C1" w:rsidRPr="00AE77C1" w:rsidRDefault="00AE77C1" w:rsidP="00527ED7">
      <w:pPr>
        <w:bidi/>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2-4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أهمية الحوكمة الذكية في إدارة أصول البنية التحتية المائية</w:t>
      </w:r>
    </w:p>
    <w:p w14:paraId="16EA13B3" w14:textId="77777777"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تزداد أهمية الحوكمة الذكية في قطاع المياه لاعتبارات: تعقيد الشبكات، حساسية الخدمة، ضخامة الاستثمارات، وارتفاع المخاطر التشغيلية. وتتمثل القيمة الحقيقية للحوكمة الذكية في</w:t>
      </w:r>
      <w:r>
        <w:rPr>
          <w:rFonts w:ascii="Traditional Arabic" w:eastAsia="Times New Roman" w:hAnsi="Traditional Arabic" w:cs="Traditional Arabic"/>
          <w:color w:val="000000" w:themeColor="text1"/>
          <w:sz w:val="28"/>
          <w:szCs w:val="28"/>
        </w:rPr>
        <w:t>:</w:t>
      </w:r>
    </w:p>
    <w:p w14:paraId="2D026F01"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تنظيم تدفق البيانات وربطها بمسارات قرار واضحة،</w:t>
      </w:r>
    </w:p>
    <w:p w14:paraId="51693CF3"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ضبط المخاطر (التشغيلية والرقمية)،</w:t>
      </w:r>
    </w:p>
    <w:p w14:paraId="4D5409F9"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تعزيز الامتثال والمعايير،</w:t>
      </w:r>
    </w:p>
    <w:p w14:paraId="2C0F6B2D"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رفع موثوقية القرار الاستثماري والتشغيلي</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color w:val="000000" w:themeColor="text1"/>
          <w:sz w:val="28"/>
          <w:szCs w:val="28"/>
        </w:rPr>
        <w:br/>
      </w:r>
      <w:r>
        <w:rPr>
          <w:rFonts w:ascii="Traditional Arabic" w:eastAsia="Times New Roman" w:hAnsi="Traditional Arabic" w:cs="Traditional Arabic"/>
          <w:color w:val="000000" w:themeColor="text1"/>
          <w:sz w:val="28"/>
          <w:szCs w:val="28"/>
          <w:rtl/>
        </w:rPr>
        <w:t>وبالتالي، فإن غياب الحوكمة الناضجة قد يجعل التحول الرقمي “قوة غير مُنضبطة” تزيد التعقيد بدل خفضه</w:t>
      </w:r>
      <w:r>
        <w:rPr>
          <w:rFonts w:ascii="Traditional Arabic" w:eastAsia="Times New Roman" w:hAnsi="Traditional Arabic" w:cs="Traditional Arabic"/>
          <w:color w:val="000000" w:themeColor="text1"/>
          <w:sz w:val="28"/>
          <w:szCs w:val="28"/>
        </w:rPr>
        <w:t>.</w:t>
      </w:r>
    </w:p>
    <w:p w14:paraId="668F6F64" w14:textId="158F480E" w:rsidR="00AE77C1" w:rsidRPr="00AE77C1" w:rsidRDefault="00AE77C1" w:rsidP="00AE77C1">
      <w:pPr>
        <w:bidi/>
        <w:rPr>
          <w:b/>
          <w:bCs/>
        </w:rPr>
      </w:pPr>
      <w:r>
        <w:rPr>
          <w:rFonts w:ascii="Traditional Arabic" w:eastAsia="Times New Roman" w:hAnsi="Traditional Arabic" w:cs="Traditional Arabic"/>
          <w:b/>
          <w:bCs/>
          <w:color w:val="000000" w:themeColor="text1"/>
          <w:sz w:val="28"/>
          <w:szCs w:val="28"/>
        </w:rPr>
        <w:t xml:space="preserve">2-5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 xml:space="preserve">أبعاد الحوكمة الذكية </w:t>
      </w:r>
    </w:p>
    <w:p w14:paraId="27B14B90"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تعتمد الدراسة الأبعاد الآتية لقياس الحوكمة الذكية بما يلائم إدارة أصول المياه</w:t>
      </w:r>
      <w:r>
        <w:rPr>
          <w:rFonts w:ascii="Traditional Arabic" w:eastAsia="Times New Roman" w:hAnsi="Traditional Arabic" w:cs="Traditional Arabic"/>
          <w:color w:val="000000" w:themeColor="text1"/>
          <w:sz w:val="28"/>
          <w:szCs w:val="28"/>
        </w:rPr>
        <w:t>:</w:t>
      </w:r>
    </w:p>
    <w:p w14:paraId="57AC8CEE"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وضوح الأدوار والمسؤوليات،</w:t>
      </w:r>
    </w:p>
    <w:p w14:paraId="11A77A74"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تكامل المعلومات في اتخاذ القرار،</w:t>
      </w:r>
    </w:p>
    <w:p w14:paraId="61116E82"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إدارة المخاطر الرقمية،</w:t>
      </w:r>
    </w:p>
    <w:p w14:paraId="74C95E2B"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الشفافية والمساءلة،</w:t>
      </w:r>
    </w:p>
    <w:p w14:paraId="6C2E9BDE"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الامتثال والمعايير التنظيمية</w:t>
      </w:r>
      <w:r>
        <w:rPr>
          <w:rFonts w:ascii="Traditional Arabic" w:eastAsia="Times New Roman" w:hAnsi="Traditional Arabic" w:cs="Traditional Arabic"/>
          <w:color w:val="000000" w:themeColor="text1"/>
          <w:sz w:val="28"/>
          <w:szCs w:val="28"/>
        </w:rPr>
        <w:t>.</w:t>
      </w:r>
    </w:p>
    <w:p w14:paraId="531E846A" w14:textId="0B0ABF8E"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2-6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الحوكمة الذكية كمنظم للعلاقة بين التحول الرقمي وسلامة الأصول</w:t>
      </w:r>
    </w:p>
    <w:p w14:paraId="54CABE95" w14:textId="71195AF2" w:rsidR="00AE77C1" w:rsidRPr="00AE77C1" w:rsidRDefault="00AE77C1" w:rsidP="002F5E16">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تؤكد الأدبيات أن العائد من التحول الرقمي يتوقف على جودة الإطار الحوكمي الذي ينظمه</w:t>
      </w:r>
      <w:r>
        <w:rPr>
          <w:rFonts w:ascii="Traditional Arabic" w:eastAsia="Times New Roman" w:hAnsi="Traditional Arabic" w:cs="Traditional Arabic"/>
          <w:color w:val="000000" w:themeColor="text1"/>
          <w:sz w:val="28"/>
          <w:szCs w:val="28"/>
        </w:rPr>
        <w:t xml:space="preserve"> (Janssen et al., 2017). </w:t>
      </w:r>
      <w:r>
        <w:rPr>
          <w:rFonts w:ascii="Traditional Arabic" w:eastAsia="Times New Roman" w:hAnsi="Traditional Arabic" w:cs="Traditional Arabic"/>
          <w:color w:val="000000" w:themeColor="text1"/>
          <w:sz w:val="28"/>
          <w:szCs w:val="28"/>
          <w:rtl/>
        </w:rPr>
        <w:t>فحين تكون الحوكمة قوية، تُترجم المبادرات الرقمية إلى تحسينات قابلة للقياس في الصيانة، وإدارة المخاطر، وموثوقية الأصول؛ أما عند ضعف الحوكمة فتتشتت المبادرات وتتكرر الأنظمة وتتدهور جودة البيانات، فتضعف سلامة الأصول ويتراجع الأداء المؤسسي</w:t>
      </w:r>
      <w:r>
        <w:rPr>
          <w:rFonts w:ascii="Traditional Arabic" w:eastAsia="Times New Roman" w:hAnsi="Traditional Arabic" w:cs="Traditional Arabic"/>
          <w:color w:val="000000" w:themeColor="text1"/>
          <w:sz w:val="28"/>
          <w:szCs w:val="28"/>
        </w:rPr>
        <w:t>.</w:t>
      </w:r>
    </w:p>
    <w:p w14:paraId="00FE3F70" w14:textId="7F51E733" w:rsidR="00AE77C1" w:rsidRPr="00AE77C1" w:rsidRDefault="00AE77C1" w:rsidP="002F5E16">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خلاصة المبحث</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الحوكمة الذكية ليست “عنصرًا إضافيًا” للنموذج، بل هي الآلية التي تُحوِّل التحول الرقمي والاستدامة من جهودٍ منفصلة إلى قيمةٍ تشغيلية ومؤسسية تُقاس عبر سلامة الأصول والأداء المؤسسي</w:t>
      </w:r>
      <w:r>
        <w:rPr>
          <w:rFonts w:ascii="Traditional Arabic" w:eastAsia="Times New Roman" w:hAnsi="Traditional Arabic" w:cs="Traditional Arabic"/>
          <w:color w:val="000000" w:themeColor="text1"/>
          <w:sz w:val="28"/>
          <w:szCs w:val="28"/>
        </w:rPr>
        <w:t>.</w:t>
      </w:r>
    </w:p>
    <w:p w14:paraId="4FE6BBDD" w14:textId="0A270C34" w:rsidR="00AE77C1" w:rsidRPr="00AE77C1" w:rsidRDefault="00AE77C1" w:rsidP="00B7711D">
      <w:pPr>
        <w:pStyle w:val="Heading2"/>
        <w:numPr>
          <w:ilvl w:val="1"/>
          <w:numId w:val="30"/>
        </w:numPr>
        <w:bidi/>
      </w:pPr>
      <w:r>
        <w:rPr>
          <w:rtl/>
        </w:rPr>
        <w:lastRenderedPageBreak/>
        <w:t>الاستدامة المؤسسية</w:t>
      </w:r>
    </w:p>
    <w:p w14:paraId="61C1F9F8" w14:textId="1F08117B" w:rsidR="00AE77C1" w:rsidRPr="00FE662A" w:rsidRDefault="00FE662A" w:rsidP="00FE662A">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3-1</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مفهوم الاستدامة المؤسسية وتعريفها في الدراسة</w:t>
      </w:r>
    </w:p>
    <w:p w14:paraId="699F77CE" w14:textId="37E9661E" w:rsidR="00AE77C1" w:rsidRPr="00AE77C1" w:rsidRDefault="00AE77C1" w:rsidP="00527ED7">
      <w:pPr>
        <w:bidi/>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تعبر الاستدامة المؤسسية عن قدرة المؤسسة على تحقيق توازن طويل الأمد بين الأبعاد الاقتصادية والبيئية والاجتماعية، وهو ما يؤسسه مفهوم “المحصلة الثلاثية</w:t>
      </w:r>
      <w:r>
        <w:rPr>
          <w:rFonts w:ascii="Traditional Arabic" w:eastAsia="Times New Roman" w:hAnsi="Traditional Arabic" w:cs="Traditional Arabic"/>
          <w:color w:val="000000" w:themeColor="text1"/>
          <w:sz w:val="28"/>
          <w:szCs w:val="28"/>
        </w:rPr>
        <w:t xml:space="preserve">”. (Elkington, 1997) </w:t>
      </w:r>
      <w:r>
        <w:rPr>
          <w:rFonts w:ascii="Traditional Arabic" w:eastAsia="Times New Roman" w:hAnsi="Traditional Arabic" w:cs="Traditional Arabic"/>
          <w:color w:val="000000" w:themeColor="text1"/>
          <w:sz w:val="28"/>
          <w:szCs w:val="28"/>
          <w:rtl/>
        </w:rPr>
        <w:t>كما تُفهم الاستدامة كمصدر للقيمة المشتركة حين تُدمج في الاستراتيجية المؤسسية وتتحول إلى قرارات تشغيلية واستثمارية رشيدة</w:t>
      </w:r>
      <w:r>
        <w:rPr>
          <w:rFonts w:ascii="Traditional Arabic" w:eastAsia="Times New Roman" w:hAnsi="Traditional Arabic" w:cs="Traditional Arabic"/>
          <w:color w:val="000000" w:themeColor="text1"/>
          <w:sz w:val="28"/>
          <w:szCs w:val="28"/>
        </w:rPr>
        <w:t xml:space="preserve"> (Porter &amp; Kramer, 2011) </w:t>
      </w:r>
      <w:r>
        <w:rPr>
          <w:rFonts w:ascii="Traditional Arabic" w:eastAsia="Times New Roman" w:hAnsi="Traditional Arabic" w:cs="Traditional Arabic" w:hint="cs"/>
          <w:color w:val="000000" w:themeColor="text1"/>
          <w:sz w:val="28"/>
          <w:szCs w:val="28"/>
          <w:rtl/>
        </w:rPr>
        <w:t>.</w:t>
      </w:r>
    </w:p>
    <w:p w14:paraId="25C41C70" w14:textId="77777777" w:rsidR="00AE77C1" w:rsidRPr="00AE77C1" w:rsidRDefault="00AE77C1" w:rsidP="00527ED7">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وبناءً على ذلك، تُعرّف الاستدامة المؤسسية في هذه الدراسة بأنها</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قدرة مؤسسة المياه على إدارة مواردها وأصولها بكفاءة لتحقيق استمرارية الخدمة وتقليل المخاطر طويلة الأجل، مع الالتزام بالاعتبارات البيئية والاجتماعية، بما يدعم الأداء المؤسسي المستدام</w:t>
      </w:r>
      <w:r>
        <w:rPr>
          <w:rFonts w:ascii="Traditional Arabic" w:eastAsia="Times New Roman" w:hAnsi="Traditional Arabic" w:cs="Traditional Arabic"/>
          <w:color w:val="000000" w:themeColor="text1"/>
          <w:sz w:val="28"/>
          <w:szCs w:val="28"/>
        </w:rPr>
        <w:t>.</w:t>
      </w:r>
    </w:p>
    <w:p w14:paraId="6F83BF2A" w14:textId="71F80B5F" w:rsidR="00AE77C1" w:rsidRPr="00AE77C1" w:rsidRDefault="002F5E16"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3-2 </w:t>
      </w:r>
      <w:r>
        <w:rPr>
          <w:rFonts w:ascii="Traditional Arabic" w:eastAsia="Times New Roman" w:hAnsi="Traditional Arabic" w:cs="Traditional Arabic"/>
          <w:b/>
          <w:bCs/>
          <w:color w:val="000000" w:themeColor="text1"/>
          <w:sz w:val="28"/>
          <w:szCs w:val="28"/>
          <w:rtl/>
        </w:rPr>
        <w:t>الأسس النظرية للاستدامة في قطاع المياه</w:t>
      </w:r>
    </w:p>
    <w:p w14:paraId="180A9EEB" w14:textId="1CDC46F8"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تستند الاستدامة المؤسسية في هذه الدراسة إلى مجموعة من المداخل النظرية التي تفسر كيفية تحقيق التوازن بين الأبعاد الاقتصادية والبيئية والاجتماعية في إدارة الأصول والبنية التحتية. ومن أبرز هذه المداخل:</w:t>
      </w:r>
    </w:p>
    <w:p w14:paraId="6A7F50EB" w14:textId="68F08C34" w:rsidR="00FE662A" w:rsidRPr="00FE662A" w:rsidRDefault="00FE662A" w:rsidP="00FE662A">
      <w:pPr>
        <w:bidi/>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3-3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نظرية أصحاب المصلحة (</w:t>
      </w:r>
      <w:r>
        <w:rPr>
          <w:rFonts w:ascii="Traditional Arabic" w:eastAsia="Times New Roman" w:hAnsi="Traditional Arabic" w:cs="Traditional Arabic"/>
          <w:b/>
          <w:bCs/>
          <w:color w:val="000000" w:themeColor="text1"/>
          <w:sz w:val="28"/>
          <w:szCs w:val="28"/>
        </w:rPr>
        <w:t>Stakeholder Theory</w:t>
      </w:r>
      <w:r>
        <w:rPr>
          <w:rFonts w:ascii="Traditional Arabic" w:eastAsia="Times New Roman" w:hAnsi="Traditional Arabic" w:cs="Traditional Arabic"/>
          <w:b/>
          <w:bCs/>
          <w:color w:val="000000" w:themeColor="text1"/>
          <w:sz w:val="28"/>
          <w:szCs w:val="28"/>
          <w:rtl/>
        </w:rPr>
        <w:t>):</w:t>
      </w:r>
    </w:p>
    <w:p w14:paraId="6FA8A624" w14:textId="6CF3C345"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تؤكد هذه النظرية أن المؤسسات لا تقتصر مسؤولياتها على تحقيق العائد الاقتصادي فقط، بل تشمل تلبية توقعات مختلف الأطراف ذات العلاقة، بما في ذلك المجتمع والجهات التنظيمية والمستفيدين، وهو ما يعزز تبني ممارسات الاستدامة المؤسسية في إدارة الموارد.</w:t>
      </w:r>
    </w:p>
    <w:p w14:paraId="33FAA80B" w14:textId="7708A040" w:rsidR="00FE662A" w:rsidRPr="00FE662A" w:rsidRDefault="00FE662A" w:rsidP="00FE662A">
      <w:pPr>
        <w:bidi/>
        <w:jc w:val="both"/>
      </w:pPr>
      <w:r>
        <w:rPr>
          <w:rFonts w:ascii="Traditional Arabic" w:eastAsia="Times New Roman" w:hAnsi="Traditional Arabic" w:cs="Traditional Arabic"/>
          <w:b/>
          <w:bCs/>
          <w:color w:val="000000" w:themeColor="text1"/>
          <w:sz w:val="28"/>
          <w:szCs w:val="28"/>
        </w:rPr>
        <w:t xml:space="preserve">3-4 </w:t>
      </w:r>
      <w:r>
        <w:rPr>
          <w:rFonts w:hint="cs"/>
          <w:rtl/>
        </w:rPr>
        <w:t xml:space="preserve"> </w:t>
      </w:r>
      <w:r>
        <w:rPr>
          <w:rFonts w:ascii="Traditional Arabic" w:eastAsia="Times New Roman" w:hAnsi="Traditional Arabic" w:cs="Traditional Arabic"/>
          <w:b/>
          <w:bCs/>
          <w:color w:val="000000" w:themeColor="text1"/>
          <w:sz w:val="28"/>
          <w:szCs w:val="28"/>
          <w:rtl/>
        </w:rPr>
        <w:t>نظرية التنمية المستدامة (</w:t>
      </w:r>
      <w:r>
        <w:rPr>
          <w:rFonts w:ascii="Traditional Arabic" w:eastAsia="Times New Roman" w:hAnsi="Traditional Arabic" w:cs="Traditional Arabic"/>
          <w:b/>
          <w:bCs/>
          <w:color w:val="000000" w:themeColor="text1"/>
          <w:sz w:val="28"/>
          <w:szCs w:val="28"/>
        </w:rPr>
        <w:t>Sustainable Development Theory</w:t>
      </w:r>
      <w:r>
        <w:rPr>
          <w:rFonts w:ascii="Traditional Arabic" w:eastAsia="Times New Roman" w:hAnsi="Traditional Arabic" w:cs="Traditional Arabic"/>
          <w:b/>
          <w:bCs/>
          <w:color w:val="000000" w:themeColor="text1"/>
          <w:sz w:val="28"/>
          <w:szCs w:val="28"/>
          <w:rtl/>
        </w:rPr>
        <w:t>):</w:t>
      </w:r>
    </w:p>
    <w:p w14:paraId="49804CAD" w14:textId="4F298EA2"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تقوم هذه النظرية على تحقيق التوازن بين الأبعاد الاقتصادية والبيئية والاجتماعية لضمان استمرارية الموارد والخدمات على المدى الطويل، وهو ما يتوافق مع طبيعة قطاع المياه الذي يتطلب إدارة مستدامة للأصول والموارد.</w:t>
      </w:r>
    </w:p>
    <w:p w14:paraId="5A0A677B" w14:textId="00B9ADDB" w:rsidR="00FE662A" w:rsidRPr="00FE662A" w:rsidRDefault="00FE662A" w:rsidP="00FE662A">
      <w:pPr>
        <w:bidi/>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3-5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نظرية الاقتصاد الدائري (</w:t>
      </w:r>
      <w:r>
        <w:rPr>
          <w:rFonts w:ascii="Traditional Arabic" w:eastAsia="Times New Roman" w:hAnsi="Traditional Arabic" w:cs="Traditional Arabic"/>
          <w:b/>
          <w:bCs/>
          <w:color w:val="000000" w:themeColor="text1"/>
          <w:sz w:val="28"/>
          <w:szCs w:val="28"/>
        </w:rPr>
        <w:t>Circular Economy</w:t>
      </w:r>
      <w:r>
        <w:rPr>
          <w:rFonts w:ascii="Traditional Arabic" w:eastAsia="Times New Roman" w:hAnsi="Traditional Arabic" w:cs="Traditional Arabic"/>
          <w:b/>
          <w:bCs/>
          <w:color w:val="000000" w:themeColor="text1"/>
          <w:sz w:val="28"/>
          <w:szCs w:val="28"/>
          <w:rtl/>
        </w:rPr>
        <w:t>):</w:t>
      </w:r>
    </w:p>
    <w:p w14:paraId="55C27210" w14:textId="1FB3310E"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تركز هذه النظرية على تعظيم كفاءة استخدام الموارد وتقليل الفاقد من خلال إعادة الاستخدام وإطالة دورة حياة الأصول، مما يسهم في تحسين كفاءة إدارة البنية التحتية المائية وتعزيز استدامتها التشغيلية.</w:t>
      </w:r>
    </w:p>
    <w:p w14:paraId="13765106" w14:textId="77777777"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سياق هذه الدراسة، تُستخدم هذه المداخل النظرية لتفسير دور الاستدامة المؤسسية في تحسين كفاءة إدارة الأصول وتقليل المخاطر التشغيلية، خاصة عند تكاملها مع التحول الرقمي ضمن إطار حوكمة ذكية.</w:t>
      </w:r>
    </w:p>
    <w:p w14:paraId="4D5B3670" w14:textId="5D013C62" w:rsidR="00AE77C1" w:rsidRPr="00AE77C1" w:rsidRDefault="00AE77C1" w:rsidP="00B7711D">
      <w:pPr>
        <w:pStyle w:val="Heading2"/>
        <w:numPr>
          <w:ilvl w:val="0"/>
          <w:numId w:val="31"/>
        </w:numPr>
        <w:bidi/>
        <w:spacing w:line="276" w:lineRule="auto"/>
        <w:rPr>
          <w:rFonts w:ascii="Traditional Arabic" w:hAnsi="Traditional Arabic" w:cs="Traditional Arabic"/>
          <w:b/>
          <w:bCs/>
          <w:sz w:val="36"/>
          <w:szCs w:val="36"/>
        </w:rPr>
      </w:pPr>
      <w:r>
        <w:rPr>
          <w:rFonts w:ascii="Traditional Arabic" w:hAnsi="Traditional Arabic" w:cs="Traditional Arabic"/>
          <w:b/>
          <w:bCs/>
          <w:sz w:val="36"/>
          <w:szCs w:val="36"/>
          <w:rtl/>
        </w:rPr>
        <w:t>سلامة أصول البنية التحتية المائية</w:t>
      </w:r>
    </w:p>
    <w:p w14:paraId="3F4456EE" w14:textId="0F2244F4" w:rsidR="00AE77C1" w:rsidRPr="00AE77C1" w:rsidRDefault="00AE77C1" w:rsidP="003D0407">
      <w:pPr>
        <w:bidi/>
        <w:spacing w:line="276" w:lineRule="auto"/>
        <w:rPr>
          <w:b/>
          <w:bCs/>
        </w:rPr>
      </w:pPr>
      <w:r>
        <w:rPr>
          <w:rFonts w:ascii="Traditional Arabic" w:eastAsia="Times New Roman" w:hAnsi="Traditional Arabic" w:cs="Traditional Arabic"/>
          <w:b/>
          <w:bCs/>
          <w:color w:val="000000" w:themeColor="text1"/>
          <w:sz w:val="28"/>
          <w:szCs w:val="28"/>
        </w:rPr>
        <w:t xml:space="preserve">4-1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مفهوم إدارة الأصول ومفهوم سلامة الأصول</w:t>
      </w:r>
    </w:p>
    <w:p w14:paraId="3BC7C60C" w14:textId="4818FB6B"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تُعرِّف مواصفة</w:t>
      </w:r>
      <w:r>
        <w:rPr>
          <w:rFonts w:ascii="Traditional Arabic" w:eastAsia="Times New Roman" w:hAnsi="Traditional Arabic" w:cs="Traditional Arabic"/>
          <w:color w:val="000000" w:themeColor="text1"/>
          <w:sz w:val="28"/>
          <w:szCs w:val="28"/>
        </w:rPr>
        <w:t xml:space="preserve"> ISO 55000 </w:t>
      </w:r>
      <w:r>
        <w:rPr>
          <w:rFonts w:ascii="Traditional Arabic" w:eastAsia="Times New Roman" w:hAnsi="Traditional Arabic" w:cs="Traditional Arabic"/>
          <w:color w:val="000000" w:themeColor="text1"/>
          <w:sz w:val="28"/>
          <w:szCs w:val="28"/>
          <w:rtl/>
        </w:rPr>
        <w:t>إدارة الأصول بأنها نشاط منظم ومنسق لإدارة الأصول عبر دورة حياتها بما يحقق القيمة</w:t>
      </w:r>
      <w:r>
        <w:rPr>
          <w:rFonts w:ascii="Traditional Arabic" w:eastAsia="Times New Roman" w:hAnsi="Traditional Arabic" w:cs="Traditional Arabic"/>
          <w:color w:val="000000" w:themeColor="text1"/>
          <w:sz w:val="28"/>
          <w:szCs w:val="28"/>
        </w:rPr>
        <w:t xml:space="preserve"> (ISO 55000, 2014) </w:t>
      </w:r>
      <w:r>
        <w:rPr>
          <w:rFonts w:ascii="Traditional Arabic" w:eastAsia="Times New Roman" w:hAnsi="Traditional Arabic" w:cs="Traditional Arabic" w:hint="cs"/>
          <w:color w:val="000000" w:themeColor="text1"/>
          <w:sz w:val="28"/>
          <w:szCs w:val="28"/>
          <w:rtl/>
        </w:rPr>
        <w:t xml:space="preserve"> ، </w:t>
      </w:r>
      <w:r>
        <w:rPr>
          <w:rFonts w:ascii="Traditional Arabic" w:eastAsia="Times New Roman" w:hAnsi="Traditional Arabic" w:cs="Traditional Arabic"/>
          <w:color w:val="000000" w:themeColor="text1"/>
          <w:sz w:val="28"/>
          <w:szCs w:val="28"/>
          <w:rtl/>
        </w:rPr>
        <w:t>وفي سياق المياه، تتسع إدارة الأصول لتشمل التخطيط، التشغيل، الصيانة، وإدارة المخاطر عبر أصول شبكية معقدة</w:t>
      </w:r>
      <w:r>
        <w:rPr>
          <w:rFonts w:ascii="Traditional Arabic" w:eastAsia="Times New Roman" w:hAnsi="Traditional Arabic" w:cs="Traditional Arabic"/>
          <w:color w:val="000000" w:themeColor="text1"/>
          <w:sz w:val="28"/>
          <w:szCs w:val="28"/>
        </w:rPr>
        <w:t>.</w:t>
      </w:r>
    </w:p>
    <w:p w14:paraId="7A058F2D" w14:textId="7F4F7ECF"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lastRenderedPageBreak/>
        <w:t>أما سلامة الأصول فتُفهم بوصفها قدرة الأصل على أداء وظيفته بكفاءة وأمان وموثوقية، مع تقليل احتمالية الفشل والمخاطر التشغيلية. وتُسهم التقنيات الرقمية في تعزيز السلامة عبر المراقبة المستمرة والتحليلات التنبؤية</w:t>
      </w:r>
      <w:r>
        <w:rPr>
          <w:rFonts w:ascii="Traditional Arabic" w:eastAsia="Times New Roman" w:hAnsi="Traditional Arabic" w:cs="Traditional Arabic"/>
          <w:color w:val="000000" w:themeColor="text1"/>
          <w:sz w:val="28"/>
          <w:szCs w:val="28"/>
        </w:rPr>
        <w:t xml:space="preserve"> (Fuller et al., 2020) </w:t>
      </w:r>
      <w:r>
        <w:rPr>
          <w:rFonts w:ascii="Traditional Arabic" w:eastAsia="Times New Roman" w:hAnsi="Traditional Arabic" w:cs="Traditional Arabic" w:hint="cs"/>
          <w:color w:val="000000" w:themeColor="text1"/>
          <w:sz w:val="28"/>
          <w:szCs w:val="28"/>
          <w:rtl/>
        </w:rPr>
        <w:t>.</w:t>
      </w:r>
    </w:p>
    <w:p w14:paraId="4252A2DD" w14:textId="49D1BC67" w:rsidR="00AE77C1" w:rsidRPr="00AE77C1" w:rsidRDefault="00AE77C1"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4-2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أبعاد سلامة الأصول (لأغراض القياس)</w:t>
      </w:r>
    </w:p>
    <w:p w14:paraId="391631DD" w14:textId="77777777" w:rsidR="003D0407" w:rsidRDefault="00AE77C1" w:rsidP="00B7711D">
      <w:pPr>
        <w:numPr>
          <w:ilvl w:val="0"/>
          <w:numId w:val="15"/>
        </w:numPr>
        <w:bidi/>
        <w:spacing w:line="276" w:lineRule="auto"/>
      </w:pPr>
      <w:r>
        <w:rPr>
          <w:rtl/>
        </w:rPr>
        <w:t>الموثوقية التشغيلية،</w:t>
      </w:r>
    </w:p>
    <w:p w14:paraId="0A3746A6" w14:textId="77777777" w:rsidR="003D0407" w:rsidRDefault="00AE77C1" w:rsidP="00B7711D">
      <w:pPr>
        <w:numPr>
          <w:ilvl w:val="0"/>
          <w:numId w:val="15"/>
        </w:numPr>
        <w:bidi/>
        <w:spacing w:line="276" w:lineRule="auto"/>
      </w:pPr>
      <w:r>
        <w:rPr>
          <w:rtl/>
        </w:rPr>
        <w:t>الجاهزية واستمرارية الخدمة</w:t>
      </w:r>
    </w:p>
    <w:p w14:paraId="773ED950" w14:textId="04E70637" w:rsidR="00AE77C1" w:rsidRPr="00AE77C1" w:rsidRDefault="00AE77C1" w:rsidP="00B7711D">
      <w:pPr>
        <w:numPr>
          <w:ilvl w:val="0"/>
          <w:numId w:val="15"/>
        </w:numPr>
        <w:bidi/>
        <w:spacing w:line="276" w:lineRule="auto"/>
      </w:pPr>
      <w:r>
        <w:rPr>
          <w:rtl/>
        </w:rPr>
        <w:t>إدارة المخاطر التشغيلية</w:t>
      </w:r>
    </w:p>
    <w:p w14:paraId="2B01F37F" w14:textId="6D7A5DE5" w:rsidR="003D0407" w:rsidRDefault="00AE77C1" w:rsidP="00B7711D">
      <w:pPr>
        <w:numPr>
          <w:ilvl w:val="0"/>
          <w:numId w:val="15"/>
        </w:numPr>
        <w:bidi/>
        <w:spacing w:line="276" w:lineRule="auto"/>
      </w:pPr>
      <w:r>
        <w:rPr>
          <w:rtl/>
        </w:rPr>
        <w:t>كفاءة الصيانة الوقائية</w:t>
      </w:r>
      <w:r>
        <w:rPr>
          <w:rFonts w:hint="cs"/>
          <w:rtl/>
        </w:rPr>
        <w:t xml:space="preserve"> </w:t>
      </w:r>
      <w:r>
        <w:rPr>
          <w:rtl/>
        </w:rPr>
        <w:t>/</w:t>
      </w:r>
      <w:r>
        <w:rPr>
          <w:rFonts w:hint="cs"/>
          <w:rtl/>
        </w:rPr>
        <w:t xml:space="preserve"> </w:t>
      </w:r>
      <w:r>
        <w:rPr>
          <w:rtl/>
        </w:rPr>
        <w:t>التنبؤية</w:t>
      </w:r>
    </w:p>
    <w:p w14:paraId="4123DAE2" w14:textId="7B0C8973" w:rsidR="00AE77C1" w:rsidRPr="00AE77C1" w:rsidRDefault="00AE77C1" w:rsidP="00B7711D">
      <w:pPr>
        <w:numPr>
          <w:ilvl w:val="0"/>
          <w:numId w:val="15"/>
        </w:numPr>
        <w:bidi/>
        <w:spacing w:line="276" w:lineRule="auto"/>
      </w:pPr>
      <w:r>
        <w:rPr>
          <w:rtl/>
        </w:rPr>
        <w:t>تقليل الفاقد المائي</w:t>
      </w:r>
      <w:r>
        <w:t>.</w:t>
      </w:r>
    </w:p>
    <w:p w14:paraId="1790DDA8" w14:textId="22177D2A" w:rsidR="00AE77C1" w:rsidRPr="00AE77C1" w:rsidRDefault="00AE77C1"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4-3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سلامة الأصول كحلقة وصل بين المدخلات والنتائج</w:t>
      </w:r>
    </w:p>
    <w:p w14:paraId="6E065206" w14:textId="06CBA654"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تعالج الدراسة سلامة الأصول بوصفها الحلقة التشغيلية التي تترجم التحول الرقمي والاستدامة—حين تُحكم—إلى نتائج مؤسسية، إذ إن تحسن السلامة يُخفض الأعطال ويزيد الاستمرارية ويعزز الثقة، ما ينعكس مباشرة على الأداء المؤسسي</w:t>
      </w:r>
      <w:r>
        <w:rPr>
          <w:rFonts w:ascii="Traditional Arabic" w:eastAsia="Times New Roman" w:hAnsi="Traditional Arabic" w:cs="Traditional Arabic"/>
          <w:color w:val="000000" w:themeColor="text1"/>
          <w:sz w:val="28"/>
          <w:szCs w:val="28"/>
        </w:rPr>
        <w:t>.</w:t>
      </w:r>
    </w:p>
    <w:p w14:paraId="0385B40F" w14:textId="62E08CC9" w:rsidR="00AE77C1" w:rsidRPr="00AE77C1" w:rsidRDefault="00AE77C1" w:rsidP="00B7711D">
      <w:pPr>
        <w:pStyle w:val="Heading2"/>
        <w:numPr>
          <w:ilvl w:val="0"/>
          <w:numId w:val="31"/>
        </w:numPr>
        <w:bidi/>
        <w:spacing w:line="276" w:lineRule="auto"/>
        <w:rPr>
          <w:rFonts w:ascii="Traditional Arabic" w:hAnsi="Traditional Arabic" w:cs="Traditional Arabic"/>
          <w:b/>
          <w:bCs/>
          <w:sz w:val="36"/>
          <w:szCs w:val="36"/>
        </w:rPr>
      </w:pPr>
      <w:r>
        <w:rPr>
          <w:rFonts w:ascii="Traditional Arabic" w:hAnsi="Traditional Arabic" w:cs="Traditional Arabic"/>
          <w:b/>
          <w:bCs/>
          <w:sz w:val="36"/>
          <w:szCs w:val="36"/>
          <w:rtl/>
        </w:rPr>
        <w:t>الأداء المؤسسي</w:t>
      </w:r>
    </w:p>
    <w:p w14:paraId="3B594AF0" w14:textId="13EC0820" w:rsidR="00AE77C1" w:rsidRPr="00AE77C1" w:rsidRDefault="003D0407"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5-1 </w:t>
      </w:r>
      <w:r>
        <w:rPr>
          <w:rFonts w:ascii="Traditional Arabic" w:eastAsia="Times New Roman" w:hAnsi="Traditional Arabic" w:cs="Traditional Arabic"/>
          <w:b/>
          <w:bCs/>
          <w:color w:val="000000" w:themeColor="text1"/>
          <w:sz w:val="28"/>
          <w:szCs w:val="28"/>
          <w:rtl/>
        </w:rPr>
        <w:t>مفهوم الأداء المؤسسي وقياسه</w:t>
      </w:r>
    </w:p>
    <w:p w14:paraId="6B9CA876" w14:textId="00D742F3"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يمثل الأداء المؤسسي قدرة المؤسسة على تحقيق أهدافها بكفاءة وفعالية، وقد تطور قياسه من المؤشرات المالية إلى منظور متوازن يشمل الأبعاد التشغيلية ورضا العملاء والتعلم والنمو</w:t>
      </w:r>
      <w:r>
        <w:rPr>
          <w:rFonts w:ascii="Traditional Arabic" w:eastAsia="Times New Roman" w:hAnsi="Traditional Arabic" w:cs="Traditional Arabic"/>
          <w:color w:val="000000" w:themeColor="text1"/>
          <w:sz w:val="28"/>
          <w:szCs w:val="28"/>
        </w:rPr>
        <w:t xml:space="preserve"> (Kaplan &amp; Norton, 1996). </w:t>
      </w:r>
      <w:r>
        <w:rPr>
          <w:rFonts w:ascii="Traditional Arabic" w:eastAsia="Times New Roman" w:hAnsi="Traditional Arabic" w:cs="Traditional Arabic"/>
          <w:color w:val="000000" w:themeColor="text1"/>
          <w:sz w:val="28"/>
          <w:szCs w:val="28"/>
          <w:rtl/>
        </w:rPr>
        <w:t>كما يُعد الأداء مفهومًا متعدد الأبعاد يتضمن الكفاءة التشغيلية والفعالية الاستراتيجية والاستدامة طويلة الأجل</w:t>
      </w:r>
      <w:r>
        <w:rPr>
          <w:rFonts w:ascii="Traditional Arabic" w:eastAsia="Times New Roman" w:hAnsi="Traditional Arabic" w:cs="Traditional Arabic"/>
          <w:color w:val="000000" w:themeColor="text1"/>
          <w:sz w:val="28"/>
          <w:szCs w:val="28"/>
        </w:rPr>
        <w:t xml:space="preserve"> (Richard et al., 2009).</w:t>
      </w:r>
      <w:r>
        <w:rPr>
          <w:rFonts w:ascii="Traditional Arabic" w:eastAsia="Times New Roman" w:hAnsi="Traditional Arabic" w:cs="Traditional Arabic" w:hint="cs"/>
          <w:color w:val="000000" w:themeColor="text1"/>
          <w:sz w:val="28"/>
          <w:szCs w:val="28"/>
          <w:rtl/>
        </w:rPr>
        <w:t>.</w:t>
      </w:r>
    </w:p>
    <w:p w14:paraId="73F79772" w14:textId="565A99B9" w:rsidR="00AE77C1" w:rsidRPr="00AE77C1" w:rsidRDefault="003D0407"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5-2 </w:t>
      </w:r>
      <w:r>
        <w:rPr>
          <w:rFonts w:ascii="Traditional Arabic" w:eastAsia="Times New Roman" w:hAnsi="Traditional Arabic" w:cs="Traditional Arabic"/>
          <w:b/>
          <w:bCs/>
          <w:color w:val="000000" w:themeColor="text1"/>
          <w:sz w:val="28"/>
          <w:szCs w:val="28"/>
          <w:rtl/>
        </w:rPr>
        <w:t>أبعاد الأداء المؤسسي في الدراسة (لأغراض القياس)</w:t>
      </w:r>
    </w:p>
    <w:p w14:paraId="0AF70EF9" w14:textId="77777777" w:rsidR="003D0407"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الكفاءة التشغيلية</w:t>
      </w:r>
    </w:p>
    <w:p w14:paraId="4978281D" w14:textId="157E8840" w:rsidR="003D0407"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جودة الخدمة واستمراريتها</w:t>
      </w:r>
    </w:p>
    <w:p w14:paraId="7C79F5DC" w14:textId="754AC99E" w:rsidR="00AE77C1" w:rsidRPr="00AE77C1"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رضا المستفيدين</w:t>
      </w:r>
    </w:p>
    <w:p w14:paraId="2E630F17" w14:textId="77777777" w:rsidR="003D0407"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الاستدامة المالية</w:t>
      </w:r>
    </w:p>
    <w:p w14:paraId="6DD9E617" w14:textId="2946A040" w:rsidR="00AE77C1" w:rsidRPr="00AE77C1"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القدرة على إدارة المخاطر</w:t>
      </w:r>
      <w:r>
        <w:rPr>
          <w:rFonts w:ascii="Traditional Arabic" w:eastAsia="Times New Roman" w:hAnsi="Traditional Arabic" w:cs="Traditional Arabic"/>
          <w:color w:val="000000" w:themeColor="text1"/>
          <w:sz w:val="28"/>
          <w:szCs w:val="28"/>
        </w:rPr>
        <w:t>.</w:t>
      </w:r>
    </w:p>
    <w:p w14:paraId="5B5CF338" w14:textId="5863518A" w:rsidR="00AE77C1" w:rsidRPr="00AE77C1" w:rsidRDefault="00AE77C1" w:rsidP="003D0407">
      <w:pPr>
        <w:bidi/>
        <w:spacing w:line="276" w:lineRule="auto"/>
        <w:rPr>
          <w:b/>
          <w:bCs/>
        </w:rPr>
      </w:pPr>
      <w:r>
        <w:rPr>
          <w:rFonts w:ascii="Traditional Arabic" w:eastAsia="Times New Roman" w:hAnsi="Traditional Arabic" w:cs="Traditional Arabic"/>
          <w:b/>
          <w:bCs/>
          <w:color w:val="000000" w:themeColor="text1"/>
          <w:sz w:val="28"/>
          <w:szCs w:val="28"/>
        </w:rPr>
        <w:t xml:space="preserve">5-3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موقع الأداء في النموذج</w:t>
      </w:r>
    </w:p>
    <w:p w14:paraId="17EB96B8" w14:textId="77777777" w:rsidR="00AE77C1" w:rsidRPr="00AE77C1" w:rsidRDefault="00AE77C1" w:rsidP="003D0407">
      <w:p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يُمثل الأداء المؤسسي “المحصلة النهائية” لتكامل المتغيرات</w:t>
      </w:r>
      <w:r>
        <w:rPr>
          <w:rFonts w:ascii="Traditional Arabic" w:eastAsia="Times New Roman" w:hAnsi="Traditional Arabic" w:cs="Traditional Arabic"/>
          <w:color w:val="000000" w:themeColor="text1"/>
          <w:sz w:val="28"/>
          <w:szCs w:val="28"/>
        </w:rPr>
        <w:t>:</w:t>
      </w:r>
    </w:p>
    <w:p w14:paraId="4401CF7C" w14:textId="51259D3F" w:rsidR="00AE77C1" w:rsidRPr="00AE77C1" w:rsidRDefault="00AE77C1" w:rsidP="00B7711D">
      <w:pPr>
        <w:numPr>
          <w:ilvl w:val="0"/>
          <w:numId w:val="17"/>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lastRenderedPageBreak/>
        <w:t>التحول الرقمي والاستدامة كمدخلات</w:t>
      </w:r>
    </w:p>
    <w:p w14:paraId="14819C32" w14:textId="2B0E54A0" w:rsidR="00AE77C1" w:rsidRPr="00AE77C1" w:rsidRDefault="00AE77C1" w:rsidP="00B7711D">
      <w:pPr>
        <w:numPr>
          <w:ilvl w:val="0"/>
          <w:numId w:val="17"/>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الحوكمة الذكية كإطار منظم/مفسر</w:t>
      </w:r>
    </w:p>
    <w:p w14:paraId="1E96CF6B" w14:textId="5A3CAC62" w:rsidR="00AE77C1" w:rsidRPr="00AE77C1" w:rsidRDefault="00AE77C1" w:rsidP="00B7711D">
      <w:pPr>
        <w:numPr>
          <w:ilvl w:val="0"/>
          <w:numId w:val="17"/>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سلامة الأصول كمخرج تشغيلي وسيط يقود للأداء</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color w:val="000000" w:themeColor="text1"/>
          <w:sz w:val="28"/>
          <w:szCs w:val="28"/>
        </w:rPr>
        <w:br/>
      </w:r>
      <w:r>
        <w:rPr>
          <w:rFonts w:ascii="Traditional Arabic" w:eastAsia="Times New Roman" w:hAnsi="Traditional Arabic" w:cs="Traditional Arabic"/>
          <w:color w:val="000000" w:themeColor="text1"/>
          <w:sz w:val="28"/>
          <w:szCs w:val="28"/>
          <w:rtl/>
        </w:rPr>
        <w:t>وبذلك يصبح اختبار العلاقات بين المتغيرات اختبارًا لمنطق “التحول المنضبط” لا “الرقمنة المجردة</w:t>
      </w:r>
      <w:r>
        <w:rPr>
          <w:rFonts w:ascii="Traditional Arabic" w:eastAsia="Times New Roman" w:hAnsi="Traditional Arabic" w:cs="Traditional Arabic"/>
          <w:color w:val="000000" w:themeColor="text1"/>
          <w:sz w:val="28"/>
          <w:szCs w:val="28"/>
        </w:rPr>
        <w:t>”.</w:t>
      </w:r>
    </w:p>
    <w:p w14:paraId="2A9AD080" w14:textId="04224C6F" w:rsidR="00AE77C1" w:rsidRDefault="00AE77C1" w:rsidP="003D0407">
      <w:pPr>
        <w:bidi/>
        <w:spacing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في ضوء العرض السابق، يتبين أن متغيرات الدراسة ليست عناصر منفصلة، بل تمثل منظومة مترابطة: فالتحول الرقمي والاستدامة يوفران أدوات وغايات للتحسين، بينما تقوم الحوكمة الذكية بضبط المسار وتوجيه القرار وإدارة المخاطر، وتظهر سلامة الأصول كترجمة تشغيلية لهذا التكامل، وصولًا إلى الأداء المؤسسي كنتيجة نهائية قابلة للقياس. وانطلاقًا من هذا المنطق النظري، تنتقل الدراسة إلى استعراض الدراسات السابقة وتحليلها نقديًا وفق محاورها المعتمدة؛ بهدف رصد الاتجاهات البحثية، وتحديد أوجه القصور، وصياغة الفجوة البحثية التي تُبنى عليها فروض الدراسة</w:t>
      </w:r>
      <w:r>
        <w:rPr>
          <w:rFonts w:ascii="Traditional Arabic" w:eastAsia="Times New Roman" w:hAnsi="Traditional Arabic" w:cs="Traditional Arabic"/>
          <w:color w:val="000000" w:themeColor="text1"/>
          <w:sz w:val="28"/>
          <w:szCs w:val="28"/>
        </w:rPr>
        <w:t>.</w:t>
      </w:r>
    </w:p>
    <w:p w14:paraId="1632E35C" w14:textId="77777777" w:rsidR="003D0407" w:rsidRPr="00BD0159" w:rsidRDefault="003D0407" w:rsidP="003D0407">
      <w:pPr>
        <w:bidi/>
        <w:jc w:val="both"/>
        <w:rPr>
          <w:rFonts w:ascii="Traditional Arabic" w:eastAsia="Times New Roman" w:hAnsi="Traditional Arabic" w:cs="Traditional Arabic"/>
          <w:color w:val="000000" w:themeColor="text1"/>
          <w:sz w:val="28"/>
          <w:szCs w:val="28"/>
        </w:rPr>
      </w:pPr>
    </w:p>
    <w:p w14:paraId="623AC6BA" w14:textId="77777777" w:rsidR="00E12E59" w:rsidRDefault="00E12E59" w:rsidP="00E12E59">
      <w:pPr>
        <w:pStyle w:val="Heading2"/>
        <w:bidi/>
        <w:rPr>
          <w:rFonts w:ascii="Traditional Arabic" w:hAnsi="Traditional Arabic" w:cs="Traditional Arabic"/>
          <w:b/>
          <w:bCs/>
          <w:sz w:val="36"/>
          <w:szCs w:val="36"/>
          <w:rtl/>
        </w:rPr>
      </w:pPr>
      <w:r>
        <w:rPr>
          <w:rFonts w:ascii="Traditional Arabic" w:hAnsi="Traditional Arabic" w:cs="Traditional Arabic"/>
          <w:b/>
          <w:bCs/>
          <w:sz w:val="36"/>
          <w:szCs w:val="36"/>
          <w:rtl/>
        </w:rPr>
        <w:t>ثانيًا: الدراسات السابقة</w:t>
      </w:r>
    </w:p>
    <w:p w14:paraId="74EEF617" w14:textId="77777777" w:rsidR="00134549" w:rsidRDefault="00E12E59" w:rsidP="003A12BC">
      <w:pPr>
        <w:bidi/>
        <w:spacing w:after="200" w:line="276"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تمهيد</w:t>
      </w:r>
    </w:p>
    <w:p w14:paraId="2660E62B" w14:textId="54F26C41" w:rsidR="00134549" w:rsidRPr="00D21B14" w:rsidRDefault="004D47BA" w:rsidP="003A12BC">
      <w:pPr>
        <w:bidi/>
        <w:spacing w:after="200" w:line="276" w:lineRule="auto"/>
        <w:jc w:val="both"/>
        <w:rPr>
          <w:rFonts w:ascii="Traditional Arabic" w:hAnsi="Traditional Arabic" w:cs="Traditional Arabic"/>
          <w:sz w:val="28"/>
          <w:szCs w:val="28"/>
        </w:rPr>
      </w:pPr>
      <w:r>
        <w:rPr>
          <w:rFonts w:ascii="Traditional Arabic" w:hAnsi="Traditional Arabic" w:cs="Traditional Arabic"/>
          <w:sz w:val="28"/>
          <w:szCs w:val="28"/>
          <w:rtl/>
        </w:rPr>
        <w:t>تناول الفصل الأول عرضًا تأسيسيًا موجزًا للدراسات ذات الصلة دعمًا لمشكلة البحث وبناء النموذج المفاهيمي. أما في هذا الفصل، فيتم تحليل الأدبيات بصورة منهجية نقدية مصنفة وفق محاور الدراسة، بهدف تفكيك الاتجاهات البحثية، والكشف عن أوجه القصور المنهجية، وبناء الأساس النظري المتكامل الذي تستند إليه فروض الدراسة</w:t>
      </w:r>
      <w:r>
        <w:rPr>
          <w:rFonts w:ascii="Traditional Arabic" w:hAnsi="Traditional Arabic" w:cs="Traditional Arabic" w:hint="cs"/>
          <w:sz w:val="28"/>
          <w:szCs w:val="28"/>
          <w:rtl/>
        </w:rPr>
        <w:t xml:space="preserve">، حيث </w:t>
      </w:r>
      <w:r>
        <w:rPr>
          <w:rFonts w:ascii="Traditional Arabic" w:hAnsi="Traditional Arabic" w:cs="Traditional Arabic"/>
          <w:sz w:val="28"/>
          <w:szCs w:val="28"/>
          <w:rtl/>
        </w:rPr>
        <w:t>يمثل عرض الدراسات السابقة مرحلة محورية في البناء العلمي للدراسة، إذ لا يقتصر دوره على استعراض ما كُتب في موضوع البحث، بل يتجاوز ذلك إلى تحليل الاتجاهات البحثية، وتقييم المنطلقات النظرية والمنهجية، والكشف عن أوجه الاتفاق والاختلاف، وصولًا إلى تحديد الفجوة العلمية التي تنطلق منها الدراسة الحالية</w:t>
      </w:r>
      <w:r>
        <w:rPr>
          <w:rFonts w:ascii="Traditional Arabic" w:hAnsi="Traditional Arabic" w:cs="Traditional Arabic"/>
          <w:sz w:val="28"/>
          <w:szCs w:val="28"/>
        </w:rPr>
        <w:t>.</w:t>
      </w:r>
    </w:p>
    <w:p w14:paraId="6E6ACE98" w14:textId="77777777" w:rsidR="00134549" w:rsidRPr="00D21B14" w:rsidRDefault="00134549" w:rsidP="00134549">
      <w:p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وانطلاقًا من الطبيعة التكاملية لموضوع الدراسة – الذي يجمع بين الحوكمة الذكية، وإدارة أصول البنية التحتية المائية، والتحول الرقمي، والاستدامة، والأداء المؤسسي – فقد تم تبني منهجية تحليل موضوعي مقارن</w:t>
      </w:r>
      <w:r>
        <w:rPr>
          <w:rFonts w:ascii="Traditional Arabic" w:hAnsi="Traditional Arabic" w:cs="Traditional Arabic"/>
          <w:sz w:val="28"/>
          <w:szCs w:val="28"/>
        </w:rPr>
        <w:t xml:space="preserve"> (Thematic Comparative Analysis)</w:t>
      </w:r>
      <w:r>
        <w:rPr>
          <w:rFonts w:ascii="Traditional Arabic" w:hAnsi="Traditional Arabic" w:cs="Traditional Arabic"/>
          <w:sz w:val="28"/>
          <w:szCs w:val="28"/>
          <w:rtl/>
        </w:rPr>
        <w:t>، بدلاً من العرض الزمني التقليدي. ويهدف هذا الأسلوب إلى تجنب الطابع السردي التجميعي، والتركيز بدلًا من ذلك على تحليل العلاقات بين المتغيرات، واستكشاف مدى تكاملها في الأدبيات القائمة</w:t>
      </w:r>
      <w:r>
        <w:rPr>
          <w:rFonts w:ascii="Traditional Arabic" w:hAnsi="Traditional Arabic" w:cs="Traditional Arabic"/>
          <w:sz w:val="28"/>
          <w:szCs w:val="28"/>
        </w:rPr>
        <w:t>.</w:t>
      </w:r>
    </w:p>
    <w:p w14:paraId="1284884B" w14:textId="77777777" w:rsidR="00134549" w:rsidRPr="00D21B14" w:rsidRDefault="00134549" w:rsidP="00134549">
      <w:pPr>
        <w:bidi/>
        <w:jc w:val="both"/>
        <w:rPr>
          <w:rFonts w:ascii="Traditional Arabic" w:hAnsi="Traditional Arabic" w:cs="Traditional Arabic"/>
          <w:sz w:val="28"/>
          <w:szCs w:val="28"/>
        </w:rPr>
      </w:pPr>
      <w:r>
        <w:rPr>
          <w:rFonts w:ascii="Traditional Arabic" w:hAnsi="Traditional Arabic" w:cs="Traditional Arabic"/>
          <w:sz w:val="28"/>
          <w:szCs w:val="28"/>
          <w:rtl/>
        </w:rPr>
        <w:t>وقد تم تنظيم الدراسات السابقة وفق خمسة محاور رئيسية تمثل أبعاد الدراسة، وهي</w:t>
      </w:r>
      <w:r>
        <w:rPr>
          <w:rFonts w:ascii="Traditional Arabic" w:hAnsi="Traditional Arabic" w:cs="Traditional Arabic"/>
          <w:sz w:val="28"/>
          <w:szCs w:val="28"/>
        </w:rPr>
        <w:t>:</w:t>
      </w:r>
    </w:p>
    <w:p w14:paraId="016D6E75"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Pr>
        <w:t xml:space="preserve"> </w:t>
      </w:r>
      <w:r>
        <w:rPr>
          <w:rFonts w:ascii="Traditional Arabic" w:hAnsi="Traditional Arabic" w:cs="Traditional Arabic"/>
          <w:sz w:val="28"/>
          <w:szCs w:val="28"/>
          <w:rtl/>
        </w:rPr>
        <w:t>حوكمة البنية التحتية والحوكمة الذكية،</w:t>
      </w:r>
    </w:p>
    <w:p w14:paraId="5E331D5F"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Pr>
        <w:t xml:space="preserve"> </w:t>
      </w:r>
      <w:r>
        <w:rPr>
          <w:rFonts w:ascii="Traditional Arabic" w:hAnsi="Traditional Arabic" w:cs="Traditional Arabic"/>
          <w:sz w:val="28"/>
          <w:szCs w:val="28"/>
          <w:rtl/>
        </w:rPr>
        <w:t>إدارة أصول البنية التحتية المائية،</w:t>
      </w:r>
    </w:p>
    <w:p w14:paraId="69FABF6B"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التحول الرقمي في قطاع المياه،</w:t>
      </w:r>
    </w:p>
    <w:p w14:paraId="538E657B"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الاستدامة في إدارة الموارد المائية،</w:t>
      </w:r>
    </w:p>
    <w:p w14:paraId="18D7F1F5"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الأداء المؤسسي وقياس الأداء</w:t>
      </w:r>
      <w:r>
        <w:rPr>
          <w:rFonts w:ascii="Traditional Arabic" w:hAnsi="Traditional Arabic" w:cs="Traditional Arabic" w:hint="cs"/>
          <w:sz w:val="28"/>
          <w:szCs w:val="28"/>
          <w:rtl/>
        </w:rPr>
        <w:t>.</w:t>
      </w:r>
    </w:p>
    <w:p w14:paraId="2F6A086A" w14:textId="77777777" w:rsidR="00134549" w:rsidRDefault="00134549" w:rsidP="00134549">
      <w:pPr>
        <w:pStyle w:val="ListParagraph"/>
        <w:bidi/>
        <w:jc w:val="both"/>
        <w:rPr>
          <w:rFonts w:ascii="Traditional Arabic" w:hAnsi="Traditional Arabic" w:cs="Traditional Arabic"/>
          <w:sz w:val="28"/>
          <w:szCs w:val="28"/>
          <w:rtl/>
        </w:rPr>
      </w:pPr>
      <w:r>
        <w:rPr>
          <w:rFonts w:ascii="Traditional Arabic" w:hAnsi="Traditional Arabic" w:cs="Traditional Arabic"/>
          <w:sz w:val="28"/>
          <w:szCs w:val="28"/>
          <w:rtl/>
        </w:rPr>
        <w:t>إضافة إلى (6) الدراسات المرتبطة بالسياق المؤسسي في المملكة العربية السعودية</w:t>
      </w:r>
      <w:r>
        <w:rPr>
          <w:rFonts w:ascii="Traditional Arabic" w:hAnsi="Traditional Arabic" w:cs="Traditional Arabic"/>
          <w:sz w:val="28"/>
          <w:szCs w:val="28"/>
        </w:rPr>
        <w:t>.</w:t>
      </w:r>
    </w:p>
    <w:p w14:paraId="11D19E22" w14:textId="77777777" w:rsidR="00134549" w:rsidRDefault="00134549" w:rsidP="00134549">
      <w:pPr>
        <w:pStyle w:val="ListParagraph"/>
        <w:jc w:val="both"/>
        <w:rPr>
          <w:rFonts w:ascii="Traditional Arabic" w:hAnsi="Traditional Arabic" w:cs="Traditional Arabic"/>
          <w:sz w:val="28"/>
          <w:szCs w:val="28"/>
          <w:rtl/>
        </w:rPr>
      </w:pPr>
    </w:p>
    <w:p w14:paraId="31AC26BD" w14:textId="77777777" w:rsidR="00134549" w:rsidRPr="00027E2A" w:rsidRDefault="00134549" w:rsidP="0013454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b/>
          <w:bCs/>
          <w:sz w:val="28"/>
          <w:szCs w:val="28"/>
          <w:rtl/>
        </w:rPr>
        <w:t>أولًا: حوكمة البنية التحتية والحوكمة الذكية</w:t>
      </w:r>
    </w:p>
    <w:p w14:paraId="1AB051C0" w14:textId="36C33A56" w:rsidR="00FA0E7C" w:rsidRPr="00FA0E7C" w:rsidRDefault="00A44299" w:rsidP="00A4429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(Meijer &amp; Bolívar, 2016)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بعنوان </w:t>
      </w:r>
      <w:r>
        <w:rPr>
          <w:rFonts w:ascii="Traditional Arabic" w:hAnsi="Traditional Arabic" w:cs="Traditional Arabic"/>
          <w:sz w:val="28"/>
          <w:szCs w:val="28"/>
        </w:rPr>
        <w:t xml:space="preserve">"Governing the Smart City: A Review of the Literature on Smart Urban Governance"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الدراسة إلى مراجعة الأدبيات التي تناولت حوكمة المدن الذكية وتحليل تصوراتها الرئيسة، مع تحديد مرتكزاتها المؤسسية والتكنولوجية. واعتمدت منهج مراجعة أدبية تحليلية لتيارات البحث ذات الصلة في السياقات الأوروبية. وأظهرت النتائج أن الحوكمة الذكية تقوم على تطويع التقنيات الرقمية لتشكيل أنماط تعاون جديدة وتحسين مخرجات الحوكمة ورفع الانفتاح والشفافية، وأن وضوح الأدوار والمسؤوليات يمثل عاملًا حاسمًا في تحسين جودة القرار العام.</w:t>
      </w:r>
    </w:p>
    <w:p w14:paraId="793CEE17"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ومع ذلك، فإن تركيز الدراسة ظل ضمن السياق الحضري/الإداري العام، دون اختبار الحوكمة الذكية في بيئات تشغيلية عالية الحساسية والمخاطر مثل إدارة أصول البنية التحتية المائية، كما لم تربط بين الحوكمة الذكية ومؤشرات تشغيلية محددة مثل سلامة الأصول/موثوقيتها.</w:t>
      </w:r>
    </w:p>
    <w:p w14:paraId="3186E32A" w14:textId="77777777" w:rsidR="00FA0E7C" w:rsidRDefault="00FA0E7C" w:rsidP="00FA0E7C">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هذا التأصيل المفاهيمي، لكنها تتجاوزه عبر إعادة توطين الحوكمة الذكية داخل نموذج سببي يختبر أثرها التفسيري/المنظِّم في قطاع المياه.</w:t>
      </w:r>
    </w:p>
    <w:p w14:paraId="3065FA68" w14:textId="77777777" w:rsidR="00027E2A" w:rsidRPr="00FA0E7C" w:rsidRDefault="00027E2A" w:rsidP="00027E2A">
      <w:pPr>
        <w:pStyle w:val="ListParagraph"/>
        <w:bidi/>
        <w:spacing w:line="278" w:lineRule="auto"/>
        <w:ind w:left="0"/>
        <w:jc w:val="both"/>
        <w:rPr>
          <w:rFonts w:ascii="Traditional Arabic" w:hAnsi="Traditional Arabic" w:cs="Traditional Arabic"/>
          <w:sz w:val="28"/>
          <w:szCs w:val="28"/>
        </w:rPr>
      </w:pPr>
    </w:p>
    <w:p w14:paraId="1C58CFE6" w14:textId="4D7FB157" w:rsidR="00FA0E7C" w:rsidRPr="00FA0E7C" w:rsidRDefault="00027E2A" w:rsidP="00027E2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(Gil-Garcia et al., 2018)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بعنوان </w:t>
      </w:r>
      <w:r>
        <w:rPr>
          <w:rFonts w:ascii="Traditional Arabic" w:hAnsi="Traditional Arabic" w:cs="Traditional Arabic"/>
          <w:sz w:val="28"/>
          <w:szCs w:val="28"/>
        </w:rPr>
        <w:t xml:space="preserve">"What Makes a City Smart? Identifying Core Components and Proposing an Integrative Conceptualization"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الدراسة إلى مراجعة مسار بحوث الحكومة الرقمية وعلاقتها بمجال الإدارة العامة/إدارة القطاع العام، واستكشاف نقاط التقاطع البحثي بين المجتمعين العلميين، وذلك عبر مراجعة منهجية/نقدية للأدبيات الحديثة المنشورة في دوريات الإدارة العامة. وأظهرت النتائج أن تعظيم قيمة التحول الرقمي يتطلب متطلبات مؤسسية متقدمة تشمل: تكامل المعلومات والبيانات عبر الحدود التنظيمية، وضوح السياسات، وآليات التنسيق والتعاون بين الوحدات؛ وأن غياب هذه المكوّنات يؤدي غالبًا إلى تجزئة المبادرات الرقمية وضعف عوائدها المؤسسية.</w:t>
      </w:r>
    </w:p>
    <w:p w14:paraId="162C59B0"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ورغم أهمية النتائج، فإن الدراسة لم تختبر الأثر التشغيلي لهذه المتطلبات على إدارة الأصول أو سلامتها، كما لم تقدم نموذجًا كمّيًا سببيًا لقياس قوة العلاقات بين المتغيرات.</w:t>
      </w:r>
    </w:p>
    <w:p w14:paraId="3E797214" w14:textId="77777777" w:rsidR="00FA0E7C" w:rsidRDefault="00FA0E7C" w:rsidP="00FA0E7C">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وعليه، توظف الدراسة الحالية هذه المخرجات لتدعيم إدراج الحوكمة الذكية بوصفها متغيرًا تفسيريًا/منظِّمًا يشرح كيف تُترجم مبادرات التحول الرقمي إلى نتائج تشغيلية (سلامة الأصول) ثم إلى نتائج مؤسسية (الأداء).</w:t>
      </w:r>
    </w:p>
    <w:p w14:paraId="30231300" w14:textId="77777777" w:rsidR="00027E2A" w:rsidRPr="00FA0E7C" w:rsidRDefault="00027E2A" w:rsidP="00557CFB">
      <w:pPr>
        <w:pStyle w:val="ListParagraph"/>
        <w:bidi/>
        <w:spacing w:line="278" w:lineRule="auto"/>
        <w:ind w:left="0"/>
        <w:jc w:val="both"/>
        <w:rPr>
          <w:rFonts w:ascii="Traditional Arabic" w:hAnsi="Traditional Arabic" w:cs="Traditional Arabic"/>
          <w:sz w:val="28"/>
          <w:szCs w:val="28"/>
        </w:rPr>
      </w:pPr>
    </w:p>
    <w:p w14:paraId="1243757C" w14:textId="78BA4AE8" w:rsidR="00557CFB" w:rsidRPr="00557CFB" w:rsidRDefault="00557CFB" w:rsidP="002D68B0">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تناولت دراسة</w:t>
      </w:r>
      <w:r>
        <w:rPr>
          <w:rFonts w:ascii="Traditional Arabic" w:hAnsi="Traditional Arabic" w:cs="Traditional Arabic"/>
          <w:sz w:val="28"/>
          <w:szCs w:val="28"/>
        </w:rPr>
        <w:t xml:space="preserve"> (Almulhim &amp; Yigitcanlar, 2025)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 “Understanding Smart Governance of Sustainable Cities: A Review and Multidimensional Framework”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مفهوم الحوكمة الذكية في سياق المدن المستدامة، حيث هدفت إلى تقديم مراجعة علمية شاملة وصياغة إطار متعدد الأبعاد يوضح مكونات الحوكمة الذكية </w:t>
      </w:r>
      <w:r>
        <w:rPr>
          <w:rFonts w:ascii="Traditional Arabic" w:hAnsi="Traditional Arabic" w:cs="Traditional Arabic"/>
          <w:sz w:val="28"/>
          <w:szCs w:val="28"/>
          <w:rtl/>
        </w:rPr>
        <w:lastRenderedPageBreak/>
        <w:t>وعوامل تمكينها. واعتمدت الدراسة على منهج المراجعة الأدبية المنهجية، وأظهرت نتائجها أن الحوكمة الذكية ترتكز على مجموعة من الأبعاد المتكاملة، تشمل حوكمة البيانات وتكاملها، وتعزيز الشفافية والمساءلة، وبناء القدرات المؤسسية، ومواءمة التقنيات الرقمية مع السياسات العامة لتحقيق التنمية المستدامة</w:t>
      </w:r>
      <w:r>
        <w:rPr>
          <w:rFonts w:ascii="Traditional Arabic" w:hAnsi="Traditional Arabic" w:cs="Traditional Arabic"/>
          <w:sz w:val="28"/>
          <w:szCs w:val="28"/>
        </w:rPr>
        <w:t>.</w:t>
      </w:r>
    </w:p>
    <w:p w14:paraId="7B8280B9" w14:textId="783BFB85" w:rsidR="00557CFB" w:rsidRPr="002D68B0" w:rsidRDefault="00557CFB" w:rsidP="002D68B0">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وعلى الرغم من أهمية هذه الدراسة في تطوير الفهم النظري للحوكمة الذكية، إلا أنها ركزت على السياق الحضري العام، ولم تتناول إدارة أصول البنية التحتية بوصفها مجالًا تشغيليًا عالي الحساسية، كما لم تدمج الحوكمة الذكية ضمن نموذج سببي يختبر أثرها على نتائج تشغيلية أو مؤسسية قابلة للقياس</w:t>
      </w:r>
      <w:r>
        <w:rPr>
          <w:rFonts w:ascii="Traditional Arabic" w:hAnsi="Traditional Arabic" w:cs="Traditional Arabic"/>
          <w:sz w:val="28"/>
          <w:szCs w:val="28"/>
        </w:rPr>
        <w:t>.</w:t>
      </w:r>
    </w:p>
    <w:p w14:paraId="6E6EB9DB" w14:textId="77777777" w:rsidR="00557CFB" w:rsidRDefault="00557CFB" w:rsidP="002D68B0">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وفي هذا الإطار، تسعى الدراسة الحالية إلى سد هذه الفجوة من خلال اختبار دور الحوكمة الذكية تجريبيًا في قطاع المياه السعودي، ضمن نموذج تكاملي يربط بين التحول الرقمي والاستدامة المؤسسية وسلامة أصول البنية التحتية والأداء المؤسسي.</w:t>
      </w:r>
    </w:p>
    <w:p w14:paraId="5B517189" w14:textId="5B1C7985" w:rsidR="00971831" w:rsidRPr="00971831" w:rsidRDefault="00971831" w:rsidP="00557CFB">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كما تناولت الأدبيات الحديثة دور الحوكمة الرقمية في تحسين كفاءة إدارة الأصول وتعزيز اتخاذ القرار المؤسسي القائم على البيانات، خاصة في القطاعات كثيفة البنية التحتية. حيث تشير دراسة</w:t>
      </w:r>
      <w:r>
        <w:rPr>
          <w:rFonts w:ascii="Traditional Arabic" w:hAnsi="Traditional Arabic" w:cs="Traditional Arabic"/>
          <w:sz w:val="28"/>
          <w:szCs w:val="28"/>
        </w:rPr>
        <w:t xml:space="preserve"> (Janssen et al., 2017) </w:t>
      </w:r>
      <w:r>
        <w:rPr>
          <w:rFonts w:ascii="Traditional Arabic" w:hAnsi="Traditional Arabic" w:cs="Traditional Arabic"/>
          <w:sz w:val="28"/>
          <w:szCs w:val="28"/>
          <w:rtl/>
        </w:rPr>
        <w:t>إلى أن الحوكمة الرقمية تمثل إطارًا تنظيميًا يدمج بين التقنيات الرقمية والهياكل المؤسسية بهدف تحسين الشفافية وجودة القرار وتقليل المخاطر التشغيلية. كما تؤكد دراسة</w:t>
      </w:r>
      <w:r>
        <w:rPr>
          <w:rFonts w:ascii="Traditional Arabic" w:hAnsi="Traditional Arabic" w:cs="Traditional Arabic"/>
          <w:sz w:val="28"/>
          <w:szCs w:val="28"/>
        </w:rPr>
        <w:t xml:space="preserve"> (Verhoef et al., 2021) </w:t>
      </w:r>
      <w:r>
        <w:rPr>
          <w:rFonts w:ascii="Traditional Arabic" w:hAnsi="Traditional Arabic" w:cs="Traditional Arabic"/>
          <w:sz w:val="28"/>
          <w:szCs w:val="28"/>
          <w:rtl/>
        </w:rPr>
        <w:t>أن تحقيق القيمة من التحول الرقمي لا يعتمد فقط على تبني التقنيات، بل يتطلب وجود آليات حوكمة فعالة تضمن مواءمة المبادرات الرقمية مع الأهداف الاستراتيجية للمؤسسة</w:t>
      </w:r>
      <w:r>
        <w:rPr>
          <w:rFonts w:ascii="Traditional Arabic" w:hAnsi="Traditional Arabic" w:cs="Traditional Arabic"/>
          <w:sz w:val="28"/>
          <w:szCs w:val="28"/>
        </w:rPr>
        <w:t>.</w:t>
      </w:r>
    </w:p>
    <w:p w14:paraId="2205A7DC" w14:textId="43716D8C" w:rsidR="00EA641D" w:rsidRDefault="00971831" w:rsidP="007F5CE5">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وفي السياق نفسه، أوضحت دراسة</w:t>
      </w:r>
      <w:r>
        <w:rPr>
          <w:rFonts w:ascii="Traditional Arabic" w:hAnsi="Traditional Arabic" w:cs="Traditional Arabic"/>
          <w:sz w:val="28"/>
          <w:szCs w:val="28"/>
        </w:rPr>
        <w:t xml:space="preserve"> (Kraus et al., 2021) </w:t>
      </w:r>
      <w:r>
        <w:rPr>
          <w:rFonts w:ascii="Traditional Arabic" w:hAnsi="Traditional Arabic" w:cs="Traditional Arabic"/>
          <w:sz w:val="28"/>
          <w:szCs w:val="28"/>
          <w:rtl/>
        </w:rPr>
        <w:t>أن العلاقة بين التحول الرقمي والأداء المؤسسي تتأثر بشكل مباشر بجودة الحوكمة المؤسسية وتكامل البيانات، حيث تسهم الحوكمة الفعالة في تحويل التقنيات الرقمية إلى قيمة تشغيلية ومؤسسية ملموسة. كما تشير الأدبيات الحديثة إلى أن الحوكمة الذكية تمثل أحد أهم محددات نجاح إدارة الأصول، نظرًا لدورها في تنظيم تدفق البيانات وربطها بعمليات التشغيل والصيانة وتحسين إدارة المخاطر التشغيلية</w:t>
      </w:r>
      <w:r>
        <w:rPr>
          <w:rFonts w:ascii="Traditional Arabic" w:hAnsi="Traditional Arabic" w:cs="Traditional Arabic"/>
          <w:sz w:val="28"/>
          <w:szCs w:val="28"/>
        </w:rPr>
        <w:t xml:space="preserve"> (Almulhim &amp; Yigitcanlar, 2025)</w:t>
      </w:r>
      <w:r>
        <w:rPr>
          <w:rFonts w:ascii="Traditional Arabic" w:hAnsi="Traditional Arabic" w:cs="Traditional Arabic" w:hint="cs"/>
          <w:sz w:val="28"/>
          <w:szCs w:val="28"/>
          <w:rtl/>
        </w:rPr>
        <w:t>.</w:t>
      </w:r>
    </w:p>
    <w:p w14:paraId="41FDA89E" w14:textId="77777777" w:rsidR="00EA641D" w:rsidRDefault="00EA641D" w:rsidP="00EA641D">
      <w:pPr>
        <w:pStyle w:val="ListParagraph"/>
        <w:bidi/>
        <w:spacing w:line="278" w:lineRule="auto"/>
        <w:ind w:left="0"/>
        <w:jc w:val="both"/>
        <w:rPr>
          <w:rFonts w:ascii="Traditional Arabic" w:hAnsi="Traditional Arabic" w:cs="Traditional Arabic"/>
          <w:sz w:val="28"/>
          <w:szCs w:val="28"/>
          <w:rtl/>
        </w:rPr>
      </w:pPr>
    </w:p>
    <w:p w14:paraId="347DF976" w14:textId="4E057245" w:rsidR="00FD34FA" w:rsidRPr="00971831" w:rsidRDefault="00971831" w:rsidP="00EA641D">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وبناءً على ذلك، يمكن النظر إلى الحوكمة الذكية بوصفها آلية تنظيمية تربط بين التحول الرقمي وإدارة الأصول، حيث تفسر كيفية انتقال أثر التقنيات الرقمية إلى تحسين كفاءة الأصول وتعزيز الأداء المؤسسي في المؤسسات المعتمدة على البنية التحتية.</w:t>
      </w:r>
    </w:p>
    <w:p w14:paraId="3A032E12"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خلاصة نقدية للمحور (استنتاج تحليلي):</w:t>
      </w:r>
    </w:p>
    <w:p w14:paraId="270B2E86" w14:textId="77777777" w:rsidR="00FA0E7C" w:rsidRPr="00FA0E7C" w:rsidRDefault="00FA0E7C" w:rsidP="00FA0E7C">
      <w:p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يتضح من تحليل الدراسات السابقة في هذا المحور أن الأدبيات أسهمت في تأصيل مفهوم الحوكمة الذكية وتحديد مرتكزاته المؤسسية والتكنولوجية، إلا أنها تتسم بثلاث ملاحظات رئيسة:</w:t>
      </w:r>
    </w:p>
    <w:p w14:paraId="7304972E" w14:textId="77777777" w:rsidR="00FA0E7C" w:rsidRP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غلبة التركيز على السياقات الحضرية/الإدارية العامة دون امتداد كافٍ لبيئات تشغيلية عالية المخاطر مثل أصول المياه.</w:t>
      </w:r>
    </w:p>
    <w:p w14:paraId="1228AB03" w14:textId="77777777" w:rsidR="00FA0E7C" w:rsidRP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Pr>
        <w:t>predominance</w:t>
      </w:r>
      <w:r>
        <w:rPr>
          <w:rFonts w:ascii="Traditional Arabic" w:hAnsi="Traditional Arabic" w:cs="Traditional Arabic"/>
          <w:sz w:val="28"/>
          <w:szCs w:val="28"/>
          <w:rtl/>
        </w:rPr>
        <w:t xml:space="preserve"> الطابع المفاهيمي/المراجعات مقابل محدودية النماذج السببية الكمية التي تختبر العلاقات بين المتغيرات.</w:t>
      </w:r>
    </w:p>
    <w:p w14:paraId="3D3549C3" w14:textId="77777777" w:rsidR="00FA0E7C" w:rsidRP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ضعف الربط المباشر بين الحوكمة الذكية وبين سلامة الأصول كمؤشر تشغيلي وسيط يفسّر انتقال أثر التحول الرقمي إلى الأداء المؤسسي.</w:t>
      </w:r>
    </w:p>
    <w:p w14:paraId="405B961B" w14:textId="77777777" w:rsid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ومن ثم، تبرز الحاجة إلى دراسة تطبق الحوكمة الذكية داخل نموذج تكاملي يربطها بالتحول الرقمي والاستدامة وسلامة الأصول والأداء المؤسسي في قطاع المياه.</w:t>
      </w:r>
    </w:p>
    <w:p w14:paraId="01D1052C" w14:textId="77777777" w:rsidR="00EA641D" w:rsidRDefault="00EA641D" w:rsidP="00134549">
      <w:pPr>
        <w:pStyle w:val="ListParagraph"/>
        <w:bidi/>
        <w:spacing w:line="278" w:lineRule="auto"/>
        <w:ind w:left="0"/>
        <w:jc w:val="both"/>
        <w:rPr>
          <w:rFonts w:ascii="Traditional Arabic" w:hAnsi="Traditional Arabic" w:cs="Traditional Arabic"/>
          <w:b/>
          <w:bCs/>
          <w:sz w:val="28"/>
          <w:szCs w:val="28"/>
          <w:rtl/>
        </w:rPr>
      </w:pPr>
    </w:p>
    <w:p w14:paraId="2F732A33" w14:textId="25B091AB" w:rsidR="00134549" w:rsidRPr="004502CF" w:rsidRDefault="00134549" w:rsidP="00EA641D">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ثانيًا: إدارة أصول البنية التحتية المائية</w:t>
      </w:r>
    </w:p>
    <w:p w14:paraId="2830A6C5" w14:textId="4ACBF0AD" w:rsidR="00FA0E7C" w:rsidRPr="00FA0E7C" w:rsidRDefault="00027E2A" w:rsidP="00027E2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(El-Akruti et al., 2013)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بعنوان </w:t>
      </w:r>
      <w:r>
        <w:rPr>
          <w:rFonts w:ascii="Traditional Arabic" w:hAnsi="Traditional Arabic" w:cs="Traditional Arabic"/>
          <w:sz w:val="28"/>
          <w:szCs w:val="28"/>
        </w:rPr>
        <w:t xml:space="preserve">"The Strategic Role of Engineering Asset Management"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الدراسة إلى تحليل الدور الاستراتيجي لإدارة الأصول في المؤسسات الصناعية، وربطها بتحقيق القيمة المؤسسية وتحسين الأداء طويل الأجل. واعتمدت منهج دراسة الحالة المقارنة عبر تحليل تطبيقات صناعية متعددة. وأظهرت النتائج أن إدارة الأصول عندما تُدار ضمن إطار استراتيجي متكامل تسهم في تعظيم القيمة وتقليل المخاطر التشغيلية، كما أن مواءمتها مع الأهداف المؤسسية تمثل عاملًا حاسمًا في تحسين الأداء المستدام.</w:t>
      </w:r>
    </w:p>
    <w:p w14:paraId="6D7A9B32"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القطاع الصناعي ولم تتناول خصوصية البنية التحتية الشبكية مثل قطاع المياه، كما لم تدمج الأبعاد الرقمية الحديثة ضمن نموذج إدارة الأصول، ولم تختبر العلاقات ضمن نموذج سببي كمي.</w:t>
      </w:r>
    </w:p>
    <w:p w14:paraId="18EDF82D" w14:textId="3DC1DB89" w:rsidR="00FA0E7C" w:rsidRDefault="00FA0E7C" w:rsidP="00FA0E7C">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الطرح الاستراتيجي لإدارة الأصول، لكنها تتجاوزه بإدخال التحول الرقمي والحوكمة الذكية ضمن إطار تكاملي موجّه لقطاع المياه.</w:t>
      </w:r>
    </w:p>
    <w:p w14:paraId="12791E01" w14:textId="77777777" w:rsidR="00027E2A" w:rsidRPr="00FA0E7C" w:rsidRDefault="00027E2A" w:rsidP="00027E2A">
      <w:pPr>
        <w:pStyle w:val="ListParagraph"/>
        <w:bidi/>
        <w:spacing w:line="278" w:lineRule="auto"/>
        <w:ind w:left="0"/>
        <w:jc w:val="both"/>
        <w:rPr>
          <w:rFonts w:ascii="Traditional Arabic" w:hAnsi="Traditional Arabic" w:cs="Traditional Arabic"/>
          <w:sz w:val="28"/>
          <w:szCs w:val="28"/>
        </w:rPr>
      </w:pPr>
    </w:p>
    <w:p w14:paraId="13EB2C63" w14:textId="3D1437A0" w:rsidR="00B33A23" w:rsidRPr="00B33A23" w:rsidRDefault="00B33A23" w:rsidP="00B33A23">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تناول </w:t>
      </w:r>
      <w:r>
        <w:rPr>
          <w:rFonts w:ascii="Traditional Arabic" w:hAnsi="Traditional Arabic" w:cs="Traditional Arabic"/>
          <w:sz w:val="28"/>
          <w:szCs w:val="28"/>
        </w:rPr>
        <w:t xml:space="preserve">Hastings (2021)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في كتابه </w:t>
      </w:r>
      <w:r>
        <w:rPr>
          <w:rFonts w:ascii="Traditional Arabic" w:hAnsi="Traditional Arabic" w:cs="Traditional Arabic"/>
          <w:i/>
          <w:iCs/>
          <w:sz w:val="28"/>
          <w:szCs w:val="28"/>
        </w:rPr>
        <w:t>Physical Asset Management</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تطوير إطار متكامل لإدارة الأصول الفيزيائية عبر دورة حياتها الكاملة، مع التركيز على مواءمة القرارات التشغيلية والهندسية مع الأهداف الاستراتيجية للمؤسسات. ويؤكد هذا الإطار على أهمية التكامل بين التخطيط طويل الأجل، وإدارة المخاطر، وإدارة الصيانة، وتحليل دورة حياة الأصول، بما يسهم في تحسين موثوقية الأصول وتعظيم القيمة الاقتصادية المتحققة منها. كما يشير المؤلف إلى الدور المتزايد للبيانات وأنظمة المعلومات في دعم عمليات اتخاذ القرار المرتبطة بإدارة الأصول</w:t>
      </w:r>
      <w:r>
        <w:rPr>
          <w:rFonts w:ascii="Traditional Arabic" w:hAnsi="Traditional Arabic" w:cs="Traditional Arabic"/>
          <w:sz w:val="28"/>
          <w:szCs w:val="28"/>
        </w:rPr>
        <w:t>.</w:t>
      </w:r>
    </w:p>
    <w:p w14:paraId="40128AFC" w14:textId="77777777" w:rsidR="00B33A23" w:rsidRPr="00B33A23" w:rsidRDefault="00B33A23" w:rsidP="00B33A23">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وعلى الرغم من أن هذا العمل يقدم تأصيلًا مفاهيميًا مهمًا لإدارة الأصول، إلا أنه يركز بدرجة أكبر على الجوانب الفنية والإدارية التقليدية، دون التعمق في الأطر الحوكمية أو التطبيقات المتقدمة للتحول الرقمي في إدارة الأصول والبنية التحتية. ومن هذا المنطلق تستفيد الدراسة الحالية من هذا الأساس النظري في إدارة الأصول، مع توسيعه ليشمل دور التحول الرقمي والحوكمة الذكية في تعزيز سلامة أصول البنية التحتية في قطاع المياه</w:t>
      </w:r>
      <w:r>
        <w:rPr>
          <w:rFonts w:ascii="Traditional Arabic" w:hAnsi="Traditional Arabic" w:cs="Traditional Arabic"/>
          <w:sz w:val="28"/>
          <w:szCs w:val="28"/>
        </w:rPr>
        <w:t>.</w:t>
      </w:r>
    </w:p>
    <w:p w14:paraId="46F902ED" w14:textId="77777777" w:rsidR="00B52231" w:rsidRDefault="00B52231" w:rsidP="00FA0E7C">
      <w:pPr>
        <w:pStyle w:val="ListParagraph"/>
        <w:bidi/>
        <w:spacing w:line="278" w:lineRule="auto"/>
        <w:ind w:left="0"/>
        <w:jc w:val="both"/>
        <w:rPr>
          <w:rFonts w:ascii="Traditional Arabic" w:hAnsi="Traditional Arabic" w:cs="Traditional Arabic"/>
          <w:sz w:val="28"/>
          <w:szCs w:val="28"/>
          <w:rtl/>
        </w:rPr>
      </w:pPr>
    </w:p>
    <w:p w14:paraId="6AD67240" w14:textId="647711F6" w:rsidR="00FA0E7C" w:rsidRPr="00FA0E7C" w:rsidRDefault="00FA0E7C" w:rsidP="00B52231">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يتضح من تحليل الأدبيات المحكّمة في مجال إدارة أصول البنية التحتية ما يلي</w:t>
      </w:r>
      <w:r>
        <w:rPr>
          <w:rFonts w:ascii="Traditional Arabic" w:hAnsi="Traditional Arabic" w:cs="Traditional Arabic"/>
          <w:sz w:val="28"/>
          <w:szCs w:val="28"/>
        </w:rPr>
        <w:t>:</w:t>
      </w:r>
    </w:p>
    <w:p w14:paraId="3FE9F6BD"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ركزت الدراسات المبكرة على البعد الفني وإدارة دورة الحياة وتقليل المخاطر</w:t>
      </w:r>
      <w:r>
        <w:rPr>
          <w:rFonts w:ascii="Traditional Arabic" w:hAnsi="Traditional Arabic" w:cs="Traditional Arabic"/>
          <w:sz w:val="28"/>
          <w:szCs w:val="28"/>
        </w:rPr>
        <w:t>.</w:t>
      </w:r>
    </w:p>
    <w:p w14:paraId="0DAB834F"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أضافت الدراسات الحديثة البعد الرقمي (مثل التوأم الرقمي)، مما عزز موثوقية الأصول</w:t>
      </w:r>
      <w:r>
        <w:rPr>
          <w:rFonts w:ascii="Traditional Arabic" w:hAnsi="Traditional Arabic" w:cs="Traditional Arabic"/>
          <w:sz w:val="28"/>
          <w:szCs w:val="28"/>
        </w:rPr>
        <w:t>.</w:t>
      </w:r>
    </w:p>
    <w:p w14:paraId="07D92E97"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ظل الربط بين إدارة الأصول والحوكمة الذكية محدودًا</w:t>
      </w:r>
      <w:r>
        <w:rPr>
          <w:rFonts w:ascii="Traditional Arabic" w:hAnsi="Traditional Arabic" w:cs="Traditional Arabic"/>
          <w:sz w:val="28"/>
          <w:szCs w:val="28"/>
        </w:rPr>
        <w:t>.</w:t>
      </w:r>
    </w:p>
    <w:p w14:paraId="31DD15DF"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لم يتم دمج الاستدامة المؤسسية والتحول الرقمي والحوكمة ضمن نموذج سببي موحد</w:t>
      </w:r>
      <w:r>
        <w:rPr>
          <w:rFonts w:ascii="Traditional Arabic" w:hAnsi="Traditional Arabic" w:cs="Traditional Arabic"/>
          <w:sz w:val="28"/>
          <w:szCs w:val="28"/>
        </w:rPr>
        <w:t>.</w:t>
      </w:r>
    </w:p>
    <w:p w14:paraId="099CDCA3"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لا تزال الدراسات التطبيقية المتكاملة في قطاع المياه محدودة، خصوصًا في السياقات الإقليمية</w:t>
      </w:r>
      <w:r>
        <w:rPr>
          <w:rFonts w:ascii="Traditional Arabic" w:hAnsi="Traditional Arabic" w:cs="Traditional Arabic"/>
          <w:sz w:val="28"/>
          <w:szCs w:val="28"/>
        </w:rPr>
        <w:t>.</w:t>
      </w:r>
    </w:p>
    <w:p w14:paraId="61C91DC6"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ومن ثم، تظهر فجوة بحثية تتمثل في الحاجة إلى نموذج تكاملي يربط بين</w:t>
      </w:r>
      <w:r>
        <w:rPr>
          <w:rFonts w:ascii="Traditional Arabic" w:hAnsi="Traditional Arabic" w:cs="Traditional Arabic"/>
          <w:sz w:val="28"/>
          <w:szCs w:val="28"/>
        </w:rPr>
        <w:t>:</w:t>
      </w:r>
    </w:p>
    <w:p w14:paraId="7B88167C"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التحول الرقمي</w:t>
      </w:r>
    </w:p>
    <w:p w14:paraId="2ED37FEB"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الحوكمة الذكية</w:t>
      </w:r>
    </w:p>
    <w:p w14:paraId="02DF315E"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الاستدامة المؤسسية</w:t>
      </w:r>
    </w:p>
    <w:p w14:paraId="47759234"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سلامة أصول البنية التحتية</w:t>
      </w:r>
    </w:p>
    <w:p w14:paraId="0476B16F"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الأداء المؤسسي</w:t>
      </w:r>
    </w:p>
    <w:p w14:paraId="58819FF4"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وذلك في قطاع المياه بوصفه قطاعًا عالي الحساسية التشغيلية والاستثمارية</w:t>
      </w:r>
      <w:r>
        <w:rPr>
          <w:rFonts w:ascii="Traditional Arabic" w:hAnsi="Traditional Arabic" w:cs="Traditional Arabic"/>
          <w:sz w:val="28"/>
          <w:szCs w:val="28"/>
        </w:rPr>
        <w:t>.</w:t>
      </w:r>
    </w:p>
    <w:p w14:paraId="717AE2C8"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tl/>
        </w:rPr>
      </w:pPr>
    </w:p>
    <w:p w14:paraId="03E7A5A4" w14:textId="4E9F6FE0" w:rsidR="00134549" w:rsidRPr="004502CF" w:rsidRDefault="00134549" w:rsidP="00FA0E7C">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ثالثًا: التحول الرقمي في قطاع المياه</w:t>
      </w:r>
    </w:p>
    <w:p w14:paraId="381C256B" w14:textId="5C6463D5"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(Vial</w:t>
      </w:r>
      <w:r>
        <w:rPr>
          <w:rFonts w:ascii="Traditional Arabic" w:hAnsi="Traditional Arabic" w:cs="Traditional Arabic"/>
          <w:sz w:val="28"/>
          <w:szCs w:val="28"/>
          <w:rtl/>
        </w:rPr>
        <w:t>، 2019</w:t>
      </w:r>
      <w:r>
        <w:rPr>
          <w:rFonts w:ascii="Traditional Arabic" w:hAnsi="Traditional Arabic" w:cs="Traditional Arabic"/>
          <w:sz w:val="28"/>
          <w:szCs w:val="28"/>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"Understanding Digital Transformation: A Review and a Research Agenda"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مفاهيمي شامل يفسر ظاهرة التحول الرقمي في المؤسسات وتحديد آليات خلق القيمة الناتجة عنه. واعتمدت الدراسة على مراجعة تحليلية منهجية للأدبيات في مجالي الإدارة ونظم المعلومات</w:t>
      </w:r>
      <w:r>
        <w:rPr>
          <w:rFonts w:ascii="Traditional Arabic" w:hAnsi="Traditional Arabic" w:cs="Traditional Arabic"/>
          <w:sz w:val="28"/>
          <w:szCs w:val="28"/>
        </w:rPr>
        <w:t>.</w:t>
      </w:r>
    </w:p>
    <w:p w14:paraId="2AD44F24"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وأظهرت النتائج أن التحول الرقمي يمثل عملية مؤسسية متعددة الأبعاد تشمل إعادة تشكيل نماذج الأعمال والعمليات التنظيمية والموارد والثقافة المؤسسية، كما أن القيمة المتحققة منه تتأثر بعوامل حاكمة مثل القيادة التنظيمية، والحوكمة المؤسسية، والقدرات الرقمية للمؤسسات</w:t>
      </w:r>
      <w:r>
        <w:rPr>
          <w:rFonts w:ascii="Traditional Arabic" w:hAnsi="Traditional Arabic" w:cs="Traditional Arabic"/>
          <w:sz w:val="28"/>
          <w:szCs w:val="28"/>
        </w:rPr>
        <w:t>.</w:t>
      </w:r>
    </w:p>
    <w:p w14:paraId="2DECE6AE"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قدمت إطارًا عامًا عابرًا للقطاعات، ولم تختبر التحول الرقمي في قطاعات بنية تحتية شبكية معقدة مثل قطاع المياه، كما لم تربطه بمؤشرات تشغيلية محددة مثل سلامة الأصول أو موثوقية الشبكات</w:t>
      </w:r>
      <w:r>
        <w:rPr>
          <w:rFonts w:ascii="Traditional Arabic" w:hAnsi="Traditional Arabic" w:cs="Traditional Arabic"/>
          <w:sz w:val="28"/>
          <w:szCs w:val="28"/>
        </w:rPr>
        <w:t>.</w:t>
      </w:r>
    </w:p>
    <w:p w14:paraId="745A6970"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الإطار في تأصيل التحول الرقمي بوصفه عملية مؤسسية استراتيجية، مع إعادة توظيفه داخل نموذج سببي يربط الرقمنة بسلامة الأصول والأداء المؤسسي عبر الحوكمة الذكية</w:t>
      </w:r>
      <w:r>
        <w:rPr>
          <w:rFonts w:ascii="Traditional Arabic" w:hAnsi="Traditional Arabic" w:cs="Traditional Arabic"/>
          <w:sz w:val="28"/>
          <w:szCs w:val="28"/>
        </w:rPr>
        <w:t>.</w:t>
      </w:r>
    </w:p>
    <w:p w14:paraId="6B249A6E" w14:textId="77777777" w:rsidR="00B52231" w:rsidRDefault="00B52231" w:rsidP="00B52231">
      <w:pPr>
        <w:bidi/>
        <w:jc w:val="both"/>
        <w:rPr>
          <w:rFonts w:ascii="Traditional Arabic" w:hAnsi="Traditional Arabic" w:cs="Traditional Arabic"/>
          <w:sz w:val="28"/>
          <w:szCs w:val="28"/>
          <w:rtl/>
        </w:rPr>
      </w:pPr>
    </w:p>
    <w:p w14:paraId="129875F8" w14:textId="65AE4F49"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دراسة (</w:t>
      </w:r>
      <w:r>
        <w:rPr>
          <w:rFonts w:ascii="Traditional Arabic" w:hAnsi="Traditional Arabic" w:cs="Traditional Arabic"/>
          <w:sz w:val="28"/>
          <w:szCs w:val="28"/>
        </w:rPr>
        <w:t>Kraus et al., 2021</w:t>
      </w:r>
      <w:r>
        <w:rPr>
          <w:rFonts w:ascii="Traditional Arabic" w:hAnsi="Traditional Arabic" w:cs="Traditional Arabic"/>
          <w:sz w:val="28"/>
          <w:szCs w:val="28"/>
          <w:rtl/>
        </w:rPr>
        <w:t>) بعنوان</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w:t>
      </w:r>
      <w:r>
        <w:rPr>
          <w:rFonts w:ascii="Traditional Arabic" w:hAnsi="Traditional Arabic" w:cs="Traditional Arabic"/>
          <w:sz w:val="28"/>
          <w:szCs w:val="28"/>
        </w:rPr>
        <w:t>Digital Transformation in Business and Management Research: An Overview of the Current Status and Future Research Directions</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تحليل أثر التحول الرقمي على الأداء المؤسسي وتحديد العوامل المفسرة لتفاوت نتائجه بين المؤسسات.</w:t>
      </w:r>
    </w:p>
    <w:p w14:paraId="574DCB43" w14:textId="0234E3E1"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أدبية منظمة واسعة النطاق في مجال الإدارة والابتكار الرقمي. وأظهرت النتائج وجود علاقة إيجابية بين التحول الرقمي والأداء المؤسسي، إلا أن هذه العلاقة تعتمد على مجموعة من العوامل التنظيمية مثل المواءمة الاستراتيجية، ووجود حوكمة تنظيمية داعمة، وجاهزية الموارد البشرية.</w:t>
      </w:r>
    </w:p>
    <w:p w14:paraId="47277948" w14:textId="0149AB15"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ورغم أهمية هذا الطرح، فإن الدراسة لم تختبر العلاقة ضمن سياق قطاع المياه، كما لم تتناول سلامة الأصول بوصفها متغيرًا تشغيليًا وسيطًا يفسر انتقال أثر التحول الرقمي إلى الأداء المؤسسي.</w:t>
      </w:r>
    </w:p>
    <w:p w14:paraId="77A8333D" w14:textId="77777777" w:rsidR="00B52231" w:rsidRDefault="00B52231" w:rsidP="00B52231">
      <w:pPr>
        <w:bidi/>
        <w:jc w:val="both"/>
        <w:rPr>
          <w:rFonts w:ascii="Traditional Arabic" w:hAnsi="Traditional Arabic" w:cs="Traditional Arabic"/>
          <w:sz w:val="28"/>
          <w:szCs w:val="28"/>
          <w:rtl/>
        </w:rPr>
      </w:pPr>
      <w:r>
        <w:rPr>
          <w:rFonts w:ascii="Traditional Arabic" w:hAnsi="Traditional Arabic" w:cs="Traditional Arabic"/>
          <w:sz w:val="28"/>
          <w:szCs w:val="28"/>
          <w:rtl/>
        </w:rPr>
        <w:t>وتدعم هذه النتائج منطق الدراسة الحالية في أن التحول الرقمي لا يحقق قيمة تلقائيًا، بل يتطلب إطار حوكمة ذكي يترجم الرقمنة إلى نتائج تشغيلية ومؤسسية ملموسة.</w:t>
      </w:r>
    </w:p>
    <w:p w14:paraId="69126215" w14:textId="77777777" w:rsidR="00B52231" w:rsidRDefault="00B52231" w:rsidP="00B52231">
      <w:pPr>
        <w:bidi/>
        <w:jc w:val="both"/>
        <w:rPr>
          <w:rFonts w:ascii="Traditional Arabic" w:hAnsi="Traditional Arabic" w:cs="Traditional Arabic"/>
          <w:sz w:val="28"/>
          <w:szCs w:val="28"/>
          <w:rtl/>
        </w:rPr>
      </w:pPr>
    </w:p>
    <w:p w14:paraId="4AF3B886" w14:textId="0AC2AA78"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 (Mergel et al., 2019)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"Defining Digital Transformation: Results from Expert Interviews"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تحديد مفهوم التحول الرقمي في القطاع العام وتحليل متطلبات نجاحه التنظيمي</w:t>
      </w:r>
      <w:r>
        <w:rPr>
          <w:rFonts w:ascii="Traditional Arabic" w:hAnsi="Traditional Arabic" w:cs="Traditional Arabic"/>
          <w:sz w:val="28"/>
          <w:szCs w:val="28"/>
        </w:rPr>
        <w:t>.</w:t>
      </w:r>
    </w:p>
    <w:p w14:paraId="02FAC4E0"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مقابلات معمقة مع خبراء في مجالات الحكومة الرقمية والإدارة العامة. وأظهرت النتائج أن التحول الرقمي يتطلب إعادة هيكلة الحوكمة التنظيمية وتحديد المسؤوليات بوضوح، إضافة إلى تطوير القدرات البشرية الرقمية داخل المؤسسات</w:t>
      </w:r>
      <w:r>
        <w:rPr>
          <w:rFonts w:ascii="Traditional Arabic" w:hAnsi="Traditional Arabic" w:cs="Traditional Arabic"/>
          <w:sz w:val="28"/>
          <w:szCs w:val="28"/>
        </w:rPr>
        <w:t>.</w:t>
      </w:r>
    </w:p>
    <w:p w14:paraId="695F70D5"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كما أكدت الدراسة أن غياب القيادة المؤسسية والحوكمة الفعالة يؤدي إلى تجزئة المبادرات الرقمية وضعف أثرها المؤسسي</w:t>
      </w:r>
      <w:r>
        <w:rPr>
          <w:rFonts w:ascii="Traditional Arabic" w:hAnsi="Traditional Arabic" w:cs="Traditional Arabic"/>
          <w:sz w:val="28"/>
          <w:szCs w:val="28"/>
        </w:rPr>
        <w:t>.</w:t>
      </w:r>
    </w:p>
    <w:p w14:paraId="0D7882B6"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وعلى الرغم من أن الدراسة لا تتناول قطاع المياه تحديدًا، فإنها تقدم تفسيرًا تنظيميًا مهمًا لكيفية انتقال التحول الرقمي من مجرد تبني تقني إلى خلق قيمة مؤسسية</w:t>
      </w:r>
      <w:r>
        <w:rPr>
          <w:rFonts w:ascii="Traditional Arabic" w:hAnsi="Traditional Arabic" w:cs="Traditional Arabic"/>
          <w:sz w:val="28"/>
          <w:szCs w:val="28"/>
        </w:rPr>
        <w:t>.</w:t>
      </w:r>
    </w:p>
    <w:p w14:paraId="633B36BD"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وتوظف الدراسة الحالية هذه الرؤية لتبرير إدراج الحوكمة الذكية كمتغير منظم يفسر نجاح أو تعثر مبادرات التحول الرقمي في المؤسسات الخدمية</w:t>
      </w:r>
      <w:r>
        <w:rPr>
          <w:rFonts w:ascii="Traditional Arabic" w:hAnsi="Traditional Arabic" w:cs="Traditional Arabic"/>
          <w:sz w:val="28"/>
          <w:szCs w:val="28"/>
        </w:rPr>
        <w:t>.</w:t>
      </w:r>
    </w:p>
    <w:p w14:paraId="76AC6937" w14:textId="77777777" w:rsidR="00B52231" w:rsidRPr="00B52231" w:rsidRDefault="00B52231" w:rsidP="00B52231">
      <w:pPr>
        <w:bidi/>
        <w:jc w:val="both"/>
        <w:rPr>
          <w:rFonts w:ascii="Traditional Arabic" w:hAnsi="Traditional Arabic" w:cs="Traditional Arabic"/>
          <w:sz w:val="28"/>
          <w:szCs w:val="28"/>
        </w:rPr>
      </w:pPr>
    </w:p>
    <w:p w14:paraId="5390CBE4" w14:textId="5AC75399"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(Quintana et al., 2025)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w:t>
      </w:r>
      <w:r>
        <w:t xml:space="preserve"> </w:t>
      </w:r>
      <w:r>
        <w:rPr>
          <w:rFonts w:ascii="Traditional Arabic" w:hAnsi="Traditional Arabic" w:cs="Traditional Arabic"/>
          <w:sz w:val="28"/>
          <w:szCs w:val="28"/>
        </w:rPr>
        <w:t xml:space="preserve">On Smart Water System Developments: A Systematic Review."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مراجعة منهجية لتطور أنظمة المياه الذكية عالميًا وتحليل التحديات التقنية والمؤسسية المصاحبة لتبني التحول الرقمي في قطاع المياه</w:t>
      </w:r>
      <w:r>
        <w:rPr>
          <w:rFonts w:ascii="Traditional Arabic" w:hAnsi="Traditional Arabic" w:cs="Traditional Arabic"/>
          <w:sz w:val="28"/>
          <w:szCs w:val="28"/>
        </w:rPr>
        <w:t>.</w:t>
      </w:r>
    </w:p>
    <w:p w14:paraId="74EAC516"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وأظهرت النتائج أن تقنيات الاستشعار الذكي والعدادات الرقمية والتحليلات التنبؤية تسهم في تحسين كفاءة التشغيل وتقليل الأعطال وإدارة الفاقد المائي</w:t>
      </w:r>
      <w:r>
        <w:rPr>
          <w:rFonts w:ascii="Traditional Arabic" w:hAnsi="Traditional Arabic" w:cs="Traditional Arabic"/>
          <w:sz w:val="28"/>
          <w:szCs w:val="28"/>
        </w:rPr>
        <w:t>.</w:t>
      </w:r>
    </w:p>
    <w:p w14:paraId="6D97E655"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أشارت إلى عدد من التحديات، من أبرزها تكامل البيانات، وحوكمة المعلومات، وضعف التنسيق المؤسسي بين الجهات المعنية</w:t>
      </w:r>
      <w:r>
        <w:rPr>
          <w:rFonts w:ascii="Traditional Arabic" w:hAnsi="Traditional Arabic" w:cs="Traditional Arabic"/>
          <w:sz w:val="28"/>
          <w:szCs w:val="28"/>
        </w:rPr>
        <w:t>.</w:t>
      </w:r>
    </w:p>
    <w:p w14:paraId="776C4921"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ورغم أهمية هذه النتائج، فإن الدراسة اتسمت بالطابع الوصفي التحليلي، ولم تقدم نموذجًا سببيًا كميًا يختبر العلاقة بين التحول الرقمي وسلامة الأصول والأداء المؤسسي</w:t>
      </w:r>
      <w:r>
        <w:rPr>
          <w:rFonts w:ascii="Traditional Arabic" w:hAnsi="Traditional Arabic" w:cs="Traditional Arabic"/>
          <w:sz w:val="28"/>
          <w:szCs w:val="28"/>
        </w:rPr>
        <w:t>.</w:t>
      </w:r>
    </w:p>
    <w:p w14:paraId="103E79BE"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وتدعم هذه النتائج أهمية إدراج الحوكمة الذكية بوصفها إطارًا تنظيميًا يحول التقنيات الرقمية إلى قيمة تشغيلية مستدامة</w:t>
      </w:r>
      <w:r>
        <w:rPr>
          <w:rFonts w:ascii="Traditional Arabic" w:hAnsi="Traditional Arabic" w:cs="Traditional Arabic"/>
          <w:sz w:val="28"/>
          <w:szCs w:val="28"/>
        </w:rPr>
        <w:t>.</w:t>
      </w:r>
    </w:p>
    <w:p w14:paraId="7C013907" w14:textId="77777777" w:rsidR="00B52231" w:rsidRPr="00B52231" w:rsidRDefault="00B52231" w:rsidP="00B52231">
      <w:pPr>
        <w:bidi/>
        <w:jc w:val="both"/>
        <w:rPr>
          <w:rFonts w:ascii="Traditional Arabic" w:hAnsi="Traditional Arabic" w:cs="Traditional Arabic"/>
          <w:sz w:val="28"/>
          <w:szCs w:val="28"/>
        </w:rPr>
      </w:pPr>
    </w:p>
    <w:p w14:paraId="4F921473" w14:textId="21D48B15" w:rsidR="00B52231" w:rsidRPr="00B52231" w:rsidRDefault="00B52231" w:rsidP="00B52231">
      <w:pPr>
        <w:pStyle w:val="NoSpacing"/>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 xml:space="preserve">دراسة </w:t>
      </w:r>
      <w:r>
        <w:rPr>
          <w:rFonts w:ascii="Traditional Arabic" w:hAnsi="Traditional Arabic" w:cs="Traditional Arabic"/>
          <w:sz w:val="28"/>
          <w:szCs w:val="28"/>
        </w:rPr>
        <w:t xml:space="preserve">(Zhang et al., 2023)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"Digital Twin Applications in Smart Water Networks"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قياس أثر تطبيق التوأم الرقمي في شبكات المياه على تحسين موثوقية القرار التشغيلي وتقليل الأعطال</w:t>
      </w:r>
      <w:r>
        <w:rPr>
          <w:rFonts w:ascii="Traditional Arabic" w:hAnsi="Traditional Arabic" w:cs="Traditional Arabic"/>
          <w:sz w:val="28"/>
          <w:szCs w:val="28"/>
        </w:rPr>
        <w:t>.</w:t>
      </w:r>
    </w:p>
    <w:p w14:paraId="32275246" w14:textId="77777777" w:rsidR="00B52231" w:rsidRPr="00B52231" w:rsidRDefault="00B52231" w:rsidP="00B52231">
      <w:pPr>
        <w:pStyle w:val="NoSpacing"/>
        <w:bidi/>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تحليل بيانات تشغيلية قبل وبعد تطبيق التقنية. وأظهرت النتائج تحسنًا في دقة التنبؤ بالأعطال وارتفاع جاهزية الأصول، كما أكدت أن تكامل الأنظمة يمثل شرطًا أساسيًا لفعالية التوأم الرقمي</w:t>
      </w:r>
      <w:r>
        <w:rPr>
          <w:rFonts w:ascii="Traditional Arabic" w:hAnsi="Traditional Arabic" w:cs="Traditional Arabic"/>
          <w:sz w:val="28"/>
          <w:szCs w:val="28"/>
        </w:rPr>
        <w:t>.</w:t>
      </w:r>
    </w:p>
    <w:p w14:paraId="298C20BF" w14:textId="77777777" w:rsidR="00B52231" w:rsidRPr="00B52231" w:rsidRDefault="00B52231" w:rsidP="00B52231">
      <w:pPr>
        <w:pStyle w:val="NoSpacing"/>
        <w:bidi/>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البعد التقني دون تحليل دور الحوكمة المؤسسية في إدارة جودة البيانات أو تحويل نتائج التحليل إلى قرارات استراتيجية</w:t>
      </w:r>
      <w:r>
        <w:rPr>
          <w:rFonts w:ascii="Traditional Arabic" w:hAnsi="Traditional Arabic" w:cs="Traditional Arabic"/>
          <w:sz w:val="28"/>
          <w:szCs w:val="28"/>
        </w:rPr>
        <w:t>.</w:t>
      </w:r>
    </w:p>
    <w:p w14:paraId="7FD106A4" w14:textId="77777777" w:rsidR="00B52231" w:rsidRDefault="00B52231" w:rsidP="00B52231">
      <w:pPr>
        <w:pStyle w:val="NoSpacing"/>
        <w:bidi/>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هذا الطرح في تدعيم العلاقة بين التحول الرقمي وسلامة الأصول، مع إدخال الحوكمة الذكية بوصفها متغيرًا تفسيريًا</w:t>
      </w:r>
      <w:r>
        <w:rPr>
          <w:rFonts w:ascii="Traditional Arabic" w:hAnsi="Traditional Arabic" w:cs="Traditional Arabic"/>
          <w:sz w:val="28"/>
          <w:szCs w:val="28"/>
        </w:rPr>
        <w:t>.</w:t>
      </w:r>
    </w:p>
    <w:p w14:paraId="7A9AB8DC" w14:textId="77777777" w:rsidR="00BC2F7E" w:rsidRDefault="00BC2F7E" w:rsidP="00F80A91">
      <w:pPr>
        <w:pStyle w:val="NoSpacing"/>
        <w:bidi/>
        <w:rPr>
          <w:rFonts w:ascii="Traditional Arabic" w:hAnsi="Traditional Arabic" w:cs="Traditional Arabic"/>
          <w:i/>
          <w:iCs/>
          <w:sz w:val="28"/>
          <w:szCs w:val="28"/>
          <w:rtl/>
        </w:rPr>
      </w:pPr>
    </w:p>
    <w:p w14:paraId="0C3FA843" w14:textId="77777777" w:rsidR="00581E36" w:rsidRDefault="00B52231" w:rsidP="00BC2F7E">
      <w:pPr>
        <w:pStyle w:val="NoSpacing"/>
        <w:bidi/>
        <w:jc w:val="both"/>
        <w:rPr>
          <w:rFonts w:ascii="Traditional Arabic" w:hAnsi="Traditional Arabic" w:cs="Traditional Arabic"/>
          <w:sz w:val="28"/>
          <w:szCs w:val="28"/>
          <w:rtl/>
        </w:rPr>
      </w:pPr>
      <w:r>
        <w:rPr>
          <w:rFonts w:ascii="Traditional Arabic" w:hAnsi="Traditional Arabic" w:cs="Traditional Arabic"/>
          <w:sz w:val="28"/>
          <w:szCs w:val="28"/>
          <w:rtl/>
        </w:rPr>
        <w:t>دراسة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Dai, Y., Huang, Z., Khan, N., &amp; Labbo, M. S. 2025</w:t>
      </w:r>
      <w:r>
        <w:rPr>
          <w:rFonts w:ascii="Traditional Arabic" w:hAnsi="Traditional Arabic" w:cs="Traditional Arabic" w:hint="cs"/>
          <w:sz w:val="28"/>
          <w:szCs w:val="28"/>
          <w:rtl/>
        </w:rPr>
        <w:t>)</w:t>
      </w:r>
      <w:r>
        <w:rPr>
          <w:rFonts w:ascii="Traditional Arabic" w:hAnsi="Traditional Arabic" w:cs="Traditional Arabic"/>
          <w:sz w:val="28"/>
          <w:szCs w:val="28"/>
          <w:rtl/>
        </w:rPr>
        <w:t xml:space="preserve"> بعنوان</w:t>
      </w:r>
    </w:p>
    <w:p w14:paraId="4D7056FE" w14:textId="0E0581CA" w:rsidR="00B52231" w:rsidRPr="00B52231" w:rsidRDefault="00581E36" w:rsidP="008B7F83">
      <w:pPr>
        <w:pStyle w:val="NoSpacing"/>
        <w:bidi/>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  </w:t>
      </w:r>
      <w:r>
        <w:rPr>
          <w:rFonts w:ascii="Traditional Arabic" w:hAnsi="Traditional Arabic" w:cs="Traditional Arabic"/>
          <w:sz w:val="28"/>
          <w:szCs w:val="28"/>
        </w:rPr>
        <w:t>" Smart water management: Governance innovation, technological integration, and policy pathways toward economic and ecological sustainability.</w:t>
      </w:r>
      <w:r>
        <w:rPr>
          <w:rFonts w:ascii="Traditional Arabic" w:hAnsi="Traditional Arabic" w:cs="Traditional Arabic"/>
          <w:sz w:val="28"/>
          <w:szCs w:val="28"/>
        </w:rPr>
        <w:br/>
        <w:t>Water, 17(13), 1932.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نموذج متعدد الطبقات لإدارة المياه الذكية يبدأ بالاستشعار وينتهي بدعم القرار التشغيلي</w:t>
      </w:r>
      <w:r>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وأظهرت النتائج أن التكامل بين طبقات الاستشعار والتحليل واتخاذ القرار يسهم في تحسين سرعة الاستجابة وتقليل الأعطال التشغيلية</w:t>
      </w:r>
      <w:r>
        <w:rPr>
          <w:rFonts w:ascii="Traditional Arabic" w:hAnsi="Traditional Arabic" w:cs="Traditional Arabic"/>
          <w:sz w:val="28"/>
          <w:szCs w:val="28"/>
        </w:rPr>
        <w:t>.</w:t>
      </w:r>
    </w:p>
    <w:p w14:paraId="69C62257"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التكامل التقني أكثر من التكامل المؤسسي، ولم تختبر الحوكمة الذكية كآلية تنظيمية تضبط المخاطر وتوجه الاستثمار الرقمي نحو أهداف سلامة الأصول والأداء المؤسسي</w:t>
      </w:r>
      <w:r>
        <w:rPr>
          <w:rFonts w:ascii="Traditional Arabic" w:hAnsi="Traditional Arabic" w:cs="Traditional Arabic"/>
          <w:sz w:val="28"/>
          <w:szCs w:val="28"/>
        </w:rPr>
        <w:t>.</w:t>
      </w:r>
    </w:p>
    <w:p w14:paraId="71205C2A" w14:textId="77777777" w:rsidR="00B52231" w:rsidRDefault="00B52231" w:rsidP="00B52231">
      <w:pPr>
        <w:bidi/>
        <w:jc w:val="both"/>
        <w:rPr>
          <w:rFonts w:ascii="Traditional Arabic" w:hAnsi="Traditional Arabic" w:cs="Traditional Arabic"/>
          <w:sz w:val="28"/>
          <w:szCs w:val="28"/>
          <w:rtl/>
        </w:rPr>
      </w:pPr>
      <w:r>
        <w:rPr>
          <w:rFonts w:ascii="Traditional Arabic" w:hAnsi="Traditional Arabic" w:cs="Traditional Arabic"/>
          <w:sz w:val="28"/>
          <w:szCs w:val="28"/>
          <w:rtl/>
        </w:rPr>
        <w:t>وتعزز هذه الدراسة الحاجة إلى الجمع بين النموذج التقني والإطار الحوكمي لتحقيق أثر مؤسسي مستدام</w:t>
      </w:r>
      <w:r>
        <w:rPr>
          <w:rFonts w:ascii="Traditional Arabic" w:hAnsi="Traditional Arabic" w:cs="Traditional Arabic"/>
          <w:sz w:val="28"/>
          <w:szCs w:val="28"/>
        </w:rPr>
        <w:t>.</w:t>
      </w:r>
    </w:p>
    <w:p w14:paraId="585AAB0F" w14:textId="3B874371" w:rsidR="00C43319" w:rsidRPr="00C43319" w:rsidRDefault="00C43319" w:rsidP="00C43319">
      <w:pPr>
        <w:bidi/>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فيما </w:t>
      </w:r>
      <w:r>
        <w:rPr>
          <w:rFonts w:ascii="Traditional Arabic" w:hAnsi="Traditional Arabic" w:cs="Traditional Arabic"/>
          <w:sz w:val="28"/>
          <w:szCs w:val="28"/>
          <w:rtl/>
        </w:rPr>
        <w:t>تناولت دراسة العابد</w:t>
      </w:r>
      <w:r>
        <w:rPr>
          <w:rFonts w:ascii="Traditional Arabic" w:hAnsi="Traditional Arabic" w:cs="Traditional Arabic"/>
          <w:sz w:val="28"/>
          <w:szCs w:val="28"/>
        </w:rPr>
        <w:t xml:space="preserve"> (2024) </w:t>
      </w:r>
      <w:r>
        <w:rPr>
          <w:rFonts w:ascii="Traditional Arabic" w:hAnsi="Traditional Arabic" w:cs="Traditional Arabic"/>
          <w:sz w:val="28"/>
          <w:szCs w:val="28"/>
          <w:rtl/>
        </w:rPr>
        <w:t>دور التحول الرقمي في تحقيق الاستدامة البيئية، حيث أوضحت أن التقنيات الرقمية تسهم في تحسين تحليل البيانات البيئية وتعزيز كفاءة استخدام الموارد الطبيعية وتقليل الهدر، مما يدعم تحقيق الاستدامة البيئية. كما أظهرت دراسة عبدالراضي</w:t>
      </w:r>
      <w:r>
        <w:rPr>
          <w:rFonts w:ascii="Traditional Arabic" w:hAnsi="Traditional Arabic" w:cs="Traditional Arabic"/>
          <w:sz w:val="28"/>
          <w:szCs w:val="28"/>
        </w:rPr>
        <w:t xml:space="preserve"> (2020) </w:t>
      </w:r>
      <w:r>
        <w:rPr>
          <w:rFonts w:ascii="Traditional Arabic" w:hAnsi="Traditional Arabic" w:cs="Traditional Arabic"/>
          <w:sz w:val="28"/>
          <w:szCs w:val="28"/>
          <w:rtl/>
        </w:rPr>
        <w:t>أن تبني التحول الرقمي داخل المؤسسات يسهم في تحسين كفاءة العمليات الإدارية والتشغيلية وتعزيز الأداء المؤسسي المستدام</w:t>
      </w:r>
      <w:r>
        <w:rPr>
          <w:rFonts w:ascii="Traditional Arabic" w:hAnsi="Traditional Arabic" w:cs="Traditional Arabic"/>
          <w:sz w:val="28"/>
          <w:szCs w:val="28"/>
        </w:rPr>
        <w:t>.</w:t>
      </w:r>
    </w:p>
    <w:p w14:paraId="587DCCD7" w14:textId="77777777" w:rsidR="00FA0E7C" w:rsidRPr="007F45E1" w:rsidRDefault="00FA0E7C" w:rsidP="00FA0E7C">
      <w:pPr>
        <w:bidi/>
        <w:jc w:val="both"/>
        <w:rPr>
          <w:rFonts w:ascii="Traditional Arabic" w:hAnsi="Traditional Arabic" w:cs="Traditional Arabic"/>
          <w:sz w:val="28"/>
          <w:szCs w:val="28"/>
        </w:rPr>
      </w:pPr>
      <w:r>
        <w:rPr>
          <w:rFonts w:ascii="Traditional Arabic" w:hAnsi="Traditional Arabic" w:cs="Traditional Arabic"/>
          <w:sz w:val="28"/>
          <w:szCs w:val="28"/>
          <w:rtl/>
        </w:rPr>
        <w:t>يتضح من الأدبيات المحكّمة في محور التحول الرقمي بقطاع المياه ما يلي:</w:t>
      </w:r>
    </w:p>
    <w:p w14:paraId="6D283356"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t>تؤكد الدراسات فاعلية التقنيات الرقمية في تحسين التشغيل وتقليل الأعطال والفاقد.</w:t>
      </w:r>
    </w:p>
    <w:p w14:paraId="3A466546"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t>تشير الأدبيات إلى أن العوامل التنظيمية (الحوكمة، تكامل البيانات، وضوح المسؤوليات) تمثل محددًا حاسمًا لنجاح الرقمنة.</w:t>
      </w:r>
    </w:p>
    <w:p w14:paraId="39A81229"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t>يغلب الطابع الوصفي أو المراجعات المنهجية، مع محدودية واضحة في النماذج الكمية السببية داخل قطاع المياه.</w:t>
      </w:r>
    </w:p>
    <w:p w14:paraId="7FCD7FAA"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t>لم تُختبر العلاقة بين التحول الرقمي وسلامة الأصول والأداء المؤسسي ضمن نموذج تكاملي يدمج البعد التنظيمي بصورة صريحة.</w:t>
      </w:r>
    </w:p>
    <w:p w14:paraId="09A7959F" w14:textId="77777777" w:rsidR="00FA0E7C" w:rsidRDefault="00FA0E7C" w:rsidP="00FA0E7C">
      <w:pPr>
        <w:bidi/>
        <w:jc w:val="both"/>
        <w:rPr>
          <w:rFonts w:ascii="Traditional Arabic" w:hAnsi="Traditional Arabic" w:cs="Traditional Arabic"/>
          <w:sz w:val="28"/>
          <w:szCs w:val="28"/>
          <w:rtl/>
        </w:rPr>
      </w:pPr>
      <w:r>
        <w:rPr>
          <w:rFonts w:ascii="Traditional Arabic" w:hAnsi="Traditional Arabic" w:cs="Traditional Arabic"/>
          <w:sz w:val="28"/>
          <w:szCs w:val="28"/>
          <w:rtl/>
        </w:rPr>
        <w:t>وعليه، يتأكد المسوغ العلمي لإدراج الحوكمة الذكية كمتغير منظم/وسيط تفسيري يفسر تباين أثر التحول الرقمي على سلامة الأصول ومن ثم على الأداء المؤسسي في قطاع المياه.</w:t>
      </w:r>
    </w:p>
    <w:p w14:paraId="3F411966" w14:textId="77777777" w:rsidR="00EF1184" w:rsidRPr="007F45E1" w:rsidRDefault="00EF1184" w:rsidP="00EF1184">
      <w:pPr>
        <w:bidi/>
        <w:jc w:val="both"/>
        <w:rPr>
          <w:rFonts w:ascii="Traditional Arabic" w:hAnsi="Traditional Arabic" w:cs="Traditional Arabic"/>
          <w:sz w:val="28"/>
          <w:szCs w:val="28"/>
        </w:rPr>
      </w:pPr>
    </w:p>
    <w:p w14:paraId="1BA23C02" w14:textId="77777777" w:rsidR="00134549" w:rsidRPr="004502CF" w:rsidRDefault="00134549" w:rsidP="00134549">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رابعًا: الاستدامة في إدارة الموارد المائية</w:t>
      </w:r>
    </w:p>
    <w:p w14:paraId="72D2084B" w14:textId="37D8F3C6"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(Geissdoerfer et al., 2017)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"The Circular Economy – A New Sustainability Paradigm?"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تحليل العلاقة بين الاستدامة والاقتصاد الدائري، وبيان كيفية إسهام النماذج الاقتصادية الدائرية في تحقيق الاستدامة المؤسسية في القطاعات المختلفة، بما في ذلك قطاعات الموارد الطبيعية</w:t>
      </w:r>
      <w:r>
        <w:rPr>
          <w:rFonts w:ascii="Traditional Arabic" w:hAnsi="Traditional Arabic" w:cs="Traditional Arabic"/>
          <w:sz w:val="28"/>
          <w:szCs w:val="28"/>
        </w:rPr>
        <w:t>.</w:t>
      </w:r>
    </w:p>
    <w:p w14:paraId="7E9519C2" w14:textId="77777777"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منهجية للأدبيات في مجالات الإدارة والاستدامة. وأظهرت النتائج أن تبني مبادئ الاقتصاد الدائري يسهم في تحسين كفاءة استخدام الموارد وتقليل النفايات وتعزيز الاستدامة طويلة الأجل</w:t>
      </w:r>
      <w:r>
        <w:rPr>
          <w:rFonts w:ascii="Traditional Arabic" w:hAnsi="Traditional Arabic" w:cs="Traditional Arabic"/>
          <w:sz w:val="28"/>
          <w:szCs w:val="28"/>
        </w:rPr>
        <w:t>.</w:t>
      </w:r>
    </w:p>
    <w:p w14:paraId="390A12B3" w14:textId="77777777"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تناولت الاستدامة في إطار اقتصادي عام، ولم تربطها بشكل مباشر بإدارة أصول البنية التحتية المائية أو بسلامة الأصول التشغيلية</w:t>
      </w:r>
      <w:r>
        <w:rPr>
          <w:rFonts w:ascii="Traditional Arabic" w:hAnsi="Traditional Arabic" w:cs="Traditional Arabic"/>
          <w:sz w:val="28"/>
          <w:szCs w:val="28"/>
        </w:rPr>
        <w:t>.</w:t>
      </w:r>
    </w:p>
    <w:p w14:paraId="527C342B" w14:textId="77777777"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التأصيل المفاهيمي للاستدامة، مع إعادة توظيفه في سياق إدارة أصول البنية التحتية المائية</w:t>
      </w:r>
      <w:r>
        <w:rPr>
          <w:rFonts w:ascii="Traditional Arabic" w:hAnsi="Traditional Arabic" w:cs="Traditional Arabic"/>
          <w:sz w:val="28"/>
          <w:szCs w:val="28"/>
        </w:rPr>
        <w:t>.</w:t>
      </w:r>
    </w:p>
    <w:p w14:paraId="4F59C7F1" w14:textId="77777777" w:rsidR="00EF1184" w:rsidRPr="0077181F" w:rsidRDefault="00EF1184" w:rsidP="00440B00">
      <w:pPr>
        <w:pStyle w:val="ListParagraph"/>
        <w:bidi/>
        <w:spacing w:line="278" w:lineRule="auto"/>
        <w:ind w:left="0"/>
        <w:jc w:val="both"/>
        <w:rPr>
          <w:rFonts w:ascii="Traditional Arabic" w:hAnsi="Traditional Arabic" w:cs="Traditional Arabic"/>
          <w:sz w:val="28"/>
          <w:szCs w:val="28"/>
        </w:rPr>
      </w:pPr>
    </w:p>
    <w:p w14:paraId="7E8773E0" w14:textId="6F0D7E1D"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دراسة</w:t>
      </w:r>
      <w:r>
        <w:rPr>
          <w:rFonts w:ascii="Traditional Arabic" w:hAnsi="Traditional Arabic" w:cs="Traditional Arabic"/>
          <w:sz w:val="28"/>
          <w:szCs w:val="28"/>
        </w:rPr>
        <w:t xml:space="preserve"> (Smol et al., 2020)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"Circular Economy Model Framework in the European Water and Wastewater Sector"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مفاهيمي لتطبيق مبادئ الاقتصاد الدائري في قطاع المياه ومياه الصرف، من خلال تحليل العلاقة بين إدارة الموارد المائية وإدارة النفايات ضمن منظور الاستدامة. واعتمدت الدراسة على مراجعة منهجية للأدبيات العلمية والتقارير الدولية المرتبطة بالاقتصاد الدائري وإدارة المياه، إضافة إلى تحليل السياسات الأوروبية المتعلقة بإدارة الموارد المائية وإعادة استخدام المياه</w:t>
      </w:r>
      <w:r>
        <w:rPr>
          <w:rFonts w:ascii="Traditional Arabic" w:hAnsi="Traditional Arabic" w:cs="Traditional Arabic"/>
          <w:sz w:val="28"/>
          <w:szCs w:val="28"/>
        </w:rPr>
        <w:t>.</w:t>
      </w:r>
    </w:p>
    <w:p w14:paraId="2D756518" w14:textId="77777777"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وأظهرت النتائج أن تطبيق مبادئ الاقتصاد الدائري في قطاع المياه يتطلب تبني نموذج متكامل لإدارة المياه ومياه الصرف يقوم على ستة محاور رئيسة تتمثل في: تقليل استهلاك المياه، وإزالة الملوثات من مياه الصرف، وإعادة استخدام المياه المعالجة، وإعادة تدوير المياه، واسترداد الموارد والطاقة من المخلفات المائية، إضافة إلى إعادة التفكير في نماذج إدارة الموارد. كما بينت الدراسة أن تكامل هذه الممارسات يمكن أن يسهم في تعزيز كفاءة استخدام الموارد المائية وتقليل الضغوط البيئية وتحقيق أهداف الاستدامة في قطاع المياه</w:t>
      </w:r>
      <w:r>
        <w:rPr>
          <w:rFonts w:ascii="Traditional Arabic" w:hAnsi="Traditional Arabic" w:cs="Traditional Arabic"/>
          <w:sz w:val="28"/>
          <w:szCs w:val="28"/>
        </w:rPr>
        <w:t xml:space="preserve">. </w:t>
      </w:r>
    </w:p>
    <w:p w14:paraId="13BD3090" w14:textId="77777777"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وعلى الرغم من أهمية الإطار المفاهيمي الذي قدمته الدراسة في توضيح آليات تطبيق الاقتصاد الدائري في قطاع المياه، فإنها ركزت بصورة أساسية على البعد البيئي وإدارة الموارد، ولم تتناول بشكل مباشر دور الحوكمة المؤسسية أو التحول الرقمي في إدارة الأصول والبنية التحتية المائية. كما لم تختبر العلاقات السببية بين هذه المتغيرات ضمن نموذج تحليلي كمي يفسر تأثيرها في الأداء المؤسسي أو سلامة الأصول</w:t>
      </w:r>
      <w:r>
        <w:rPr>
          <w:rFonts w:ascii="Traditional Arabic" w:hAnsi="Traditional Arabic" w:cs="Traditional Arabic"/>
          <w:sz w:val="28"/>
          <w:szCs w:val="28"/>
        </w:rPr>
        <w:t>.</w:t>
      </w:r>
    </w:p>
    <w:p w14:paraId="5BFCBC22" w14:textId="77777777"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الإطار المفاهيمي الذي قدمته هذه الدراسة في توضيح مبادئ الاقتصاد الدائري في إدارة المياه، إلا أنها تسعى إلى توسيع هذا الإطار من خلال دمج أبعاد التحول الرقمي والحوكمة الذكية والاستدامة المؤسسية ضمن نموذج تحليلي يفسر تأثيرها في سلامة أصول البنية التحتية المائية والأداء المؤسسي في قطاع المياه</w:t>
      </w:r>
      <w:r>
        <w:rPr>
          <w:rFonts w:ascii="Traditional Arabic" w:hAnsi="Traditional Arabic" w:cs="Traditional Arabic"/>
          <w:sz w:val="28"/>
          <w:szCs w:val="28"/>
        </w:rPr>
        <w:t>.</w:t>
      </w:r>
    </w:p>
    <w:p w14:paraId="12D493CF" w14:textId="77777777" w:rsidR="00C43319" w:rsidRPr="00440B00" w:rsidRDefault="00C43319" w:rsidP="00C43319">
      <w:pPr>
        <w:pStyle w:val="ListParagraph"/>
        <w:bidi/>
        <w:spacing w:line="278" w:lineRule="auto"/>
        <w:ind w:left="0"/>
        <w:jc w:val="both"/>
        <w:rPr>
          <w:rFonts w:ascii="Traditional Arabic" w:hAnsi="Traditional Arabic" w:cs="Traditional Arabic"/>
          <w:sz w:val="28"/>
          <w:szCs w:val="28"/>
        </w:rPr>
      </w:pPr>
    </w:p>
    <w:p w14:paraId="5D82E621" w14:textId="449BC518" w:rsidR="00440B00" w:rsidRPr="00440B00" w:rsidRDefault="00440B00" w:rsidP="00440B00">
      <w:pPr>
        <w:pStyle w:val="ListParagraph"/>
        <w:bidi/>
        <w:spacing w:line="278" w:lineRule="auto"/>
        <w:ind w:left="0"/>
        <w:rPr>
          <w:rFonts w:ascii="Traditional Arabic" w:hAnsi="Traditional Arabic" w:cs="Traditional Arabic"/>
          <w:sz w:val="28"/>
          <w:szCs w:val="28"/>
        </w:rPr>
      </w:pPr>
      <w:r>
        <w:rPr>
          <w:rFonts w:ascii="Traditional Arabic" w:hAnsi="Traditional Arabic" w:cs="Traditional Arabic"/>
          <w:sz w:val="28"/>
          <w:szCs w:val="28"/>
          <w:rtl/>
        </w:rPr>
        <w:lastRenderedPageBreak/>
        <w:t>دراسة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(Butler et al., 2017)</w:t>
      </w:r>
      <w:r>
        <w:rPr>
          <w:rFonts w:ascii="Traditional Arabic" w:hAnsi="Traditional Arabic" w:cs="Traditional Arabic" w:hint="cs"/>
          <w:sz w:val="28"/>
          <w:szCs w:val="28"/>
          <w:rtl/>
        </w:rPr>
        <w:t xml:space="preserve">  بعنوان </w:t>
      </w:r>
      <w:r>
        <w:rPr>
          <w:rFonts w:ascii="Traditional Arabic" w:hAnsi="Traditional Arabic" w:cs="Traditional Arabic"/>
          <w:sz w:val="28"/>
          <w:szCs w:val="28"/>
        </w:rPr>
        <w:t>"A new approach to urban water management: Safe and SuRe"</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متكامل لإدارة أنظمة المياه الحضرية يركز على تعزيز الاستدامة والمرونة في البنية التحتية المائية. واعتمدت الدراسة على تحليل نماذج إدارة الموارد المائية في المدن وتطوير إطار مفاهيمي يجمع بين إدارة المخاطر والتخطيط طويل الأجل للبنية التحتية</w:t>
      </w:r>
      <w:r>
        <w:rPr>
          <w:rFonts w:ascii="Traditional Arabic" w:hAnsi="Traditional Arabic" w:cs="Traditional Arabic"/>
          <w:sz w:val="28"/>
          <w:szCs w:val="28"/>
        </w:rPr>
        <w:t>.</w:t>
      </w:r>
    </w:p>
    <w:p w14:paraId="01C35B7B" w14:textId="77777777" w:rsidR="00440B00" w:rsidRPr="00440B00" w:rsidRDefault="00440B00" w:rsidP="00440B00">
      <w:pPr>
        <w:pStyle w:val="ListParagraph"/>
        <w:bidi/>
        <w:spacing w:line="278" w:lineRule="auto"/>
        <w:ind w:left="0"/>
        <w:rPr>
          <w:rFonts w:ascii="Traditional Arabic" w:hAnsi="Traditional Arabic" w:cs="Traditional Arabic"/>
          <w:sz w:val="28"/>
          <w:szCs w:val="28"/>
        </w:rPr>
      </w:pPr>
      <w:r>
        <w:rPr>
          <w:rFonts w:ascii="Traditional Arabic" w:hAnsi="Traditional Arabic" w:cs="Traditional Arabic"/>
          <w:sz w:val="28"/>
          <w:szCs w:val="28"/>
          <w:rtl/>
        </w:rPr>
        <w:t>وأظهرت النتائج أن تحقيق الإدارة المستدامة للمياه يتطلب تكاملًا بين التخطيط الاستراتيجي للبنية التحتية وإدارة المخاطر والحوكمة المؤسسية، إضافة إلى تبني حلول تقنية متقدمة لتعزيز كفاءة الأنظمة المائية. كما أكدت الدراسة أهمية تبني منهجيات تخطيطية متكاملة توازن بين الأبعاد البيئية والاقتصادية والاجتماعية لإدارة الموارد المائية</w:t>
      </w:r>
      <w:r>
        <w:rPr>
          <w:rFonts w:ascii="Traditional Arabic" w:hAnsi="Traditional Arabic" w:cs="Traditional Arabic"/>
          <w:sz w:val="28"/>
          <w:szCs w:val="28"/>
        </w:rPr>
        <w:t>.</w:t>
      </w:r>
    </w:p>
    <w:p w14:paraId="3E9928D8" w14:textId="77777777" w:rsidR="00440B00" w:rsidRPr="00440B00" w:rsidRDefault="00440B00" w:rsidP="00440B00">
      <w:pPr>
        <w:pStyle w:val="ListParagraph"/>
        <w:bidi/>
        <w:spacing w:line="278" w:lineRule="auto"/>
        <w:ind w:left="0"/>
        <w:rPr>
          <w:rFonts w:ascii="Traditional Arabic" w:hAnsi="Traditional Arabic" w:cs="Traditional Arabic"/>
          <w:sz w:val="28"/>
          <w:szCs w:val="28"/>
        </w:rPr>
      </w:pPr>
      <w:r>
        <w:rPr>
          <w:rFonts w:ascii="Traditional Arabic" w:hAnsi="Traditional Arabic" w:cs="Traditional Arabic"/>
          <w:sz w:val="28"/>
          <w:szCs w:val="28"/>
          <w:rtl/>
        </w:rPr>
        <w:t>ورغم أهمية الإطار المفاهيمي الذي قدمته الدراسة في تعزيز استدامة أنظمة المياه الحضرية، فإنها ركزت على التخطيط وإدارة الأنظمة المائية بصورة عامة، ولم تتناول بشكل مباشر إدارة الأصول التشغيلية أو سلامة البنية التحتية ضمن نموذج تحليلي يربط بين التحول الرقمي والحوكمة المؤسسية والأداء المؤسسي في قطاع المياه</w:t>
      </w:r>
      <w:r>
        <w:rPr>
          <w:rFonts w:ascii="Traditional Arabic" w:hAnsi="Traditional Arabic" w:cs="Traditional Arabic"/>
          <w:sz w:val="28"/>
          <w:szCs w:val="28"/>
        </w:rPr>
        <w:t>.</w:t>
      </w:r>
    </w:p>
    <w:p w14:paraId="1B9645FE" w14:textId="77777777" w:rsidR="0004167A" w:rsidRPr="00440B00" w:rsidRDefault="0004167A" w:rsidP="00EF1184">
      <w:pPr>
        <w:pStyle w:val="ListParagraph"/>
        <w:bidi/>
        <w:spacing w:line="278" w:lineRule="auto"/>
        <w:ind w:left="0"/>
        <w:rPr>
          <w:rFonts w:ascii="Traditional Arabic" w:hAnsi="Traditional Arabic" w:cs="Traditional Arabic"/>
          <w:b/>
          <w:bCs/>
          <w:sz w:val="28"/>
          <w:szCs w:val="28"/>
          <w:rtl/>
        </w:rPr>
      </w:pPr>
    </w:p>
    <w:p w14:paraId="0B776BA5" w14:textId="211E1EF4" w:rsidR="0004167A" w:rsidRPr="0004167A" w:rsidRDefault="0004167A" w:rsidP="0004167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يتضح من تحليل الدراسات في محور الاستدامة ما يلي</w:t>
      </w:r>
      <w:r>
        <w:rPr>
          <w:rFonts w:ascii="Traditional Arabic" w:hAnsi="Traditional Arabic" w:cs="Traditional Arabic"/>
          <w:sz w:val="28"/>
          <w:szCs w:val="28"/>
        </w:rPr>
        <w:t>:</w:t>
      </w:r>
    </w:p>
    <w:p w14:paraId="7F693E41"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تؤكد الأدبيات أهمية دمج الاستدامة في إدارة الموارد المائية لتحقيق استقرار طويل الأجل</w:t>
      </w:r>
      <w:r>
        <w:rPr>
          <w:rFonts w:ascii="Traditional Arabic" w:hAnsi="Traditional Arabic" w:cs="Traditional Arabic"/>
          <w:sz w:val="28"/>
          <w:szCs w:val="28"/>
        </w:rPr>
        <w:t>.</w:t>
      </w:r>
    </w:p>
    <w:p w14:paraId="03862EFD"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تركز الدراسات الحديثة على الاقتصاد الدائري وتحسين كفاءة الموارد</w:t>
      </w:r>
      <w:r>
        <w:rPr>
          <w:rFonts w:ascii="Traditional Arabic" w:hAnsi="Traditional Arabic" w:cs="Traditional Arabic"/>
          <w:sz w:val="28"/>
          <w:szCs w:val="28"/>
        </w:rPr>
        <w:t>.</w:t>
      </w:r>
    </w:p>
    <w:p w14:paraId="4DC55EA0"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بدأت بعض الدراسات بربط الاستدامة بالرقمنة، إلا أن هذا الربط ظل تقنيًا أكثر منه مؤسسيًا</w:t>
      </w:r>
      <w:r>
        <w:rPr>
          <w:rFonts w:ascii="Traditional Arabic" w:hAnsi="Traditional Arabic" w:cs="Traditional Arabic"/>
          <w:sz w:val="28"/>
          <w:szCs w:val="28"/>
        </w:rPr>
        <w:t>.</w:t>
      </w:r>
    </w:p>
    <w:p w14:paraId="27CBFB3D"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لم يتم اختبار الاستدامة ضمن نموذج سببي يجمعها مع الحوكمة الذكية وسلامة الأصول</w:t>
      </w:r>
      <w:r>
        <w:rPr>
          <w:rFonts w:ascii="Traditional Arabic" w:hAnsi="Traditional Arabic" w:cs="Traditional Arabic"/>
          <w:sz w:val="28"/>
          <w:szCs w:val="28"/>
        </w:rPr>
        <w:t>.</w:t>
      </w:r>
    </w:p>
    <w:p w14:paraId="57722834"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لا تزال العلاقة بين الاستدامة والأداء المؤسسي في قطاع المياه بحاجة إلى تحليل كمي تكاملي</w:t>
      </w:r>
      <w:r>
        <w:rPr>
          <w:rFonts w:ascii="Traditional Arabic" w:hAnsi="Traditional Arabic" w:cs="Traditional Arabic"/>
          <w:sz w:val="28"/>
          <w:szCs w:val="28"/>
        </w:rPr>
        <w:t>.</w:t>
      </w:r>
    </w:p>
    <w:p w14:paraId="517D32F3" w14:textId="77777777" w:rsidR="0004167A" w:rsidRDefault="0004167A" w:rsidP="0004167A">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ومن ثم، فإن إدراج الاستدامة في النموذج الحالي لا يتم بوصفها بعدًا بيئيًا فقط، بل كمتغير مؤسسي يؤثر في سلامة الأصول ويعزز الأداء المؤسسي عند توجيهه ضمن إطار حوكمة ذكي</w:t>
      </w:r>
      <w:r>
        <w:rPr>
          <w:rFonts w:ascii="Traditional Arabic" w:hAnsi="Traditional Arabic" w:cs="Traditional Arabic"/>
          <w:sz w:val="28"/>
          <w:szCs w:val="28"/>
        </w:rPr>
        <w:t>.</w:t>
      </w:r>
    </w:p>
    <w:p w14:paraId="09987B29" w14:textId="77777777" w:rsidR="00D335F9" w:rsidRDefault="00D335F9" w:rsidP="00D335F9">
      <w:pPr>
        <w:pStyle w:val="ListParagraph"/>
        <w:bidi/>
        <w:spacing w:line="278" w:lineRule="auto"/>
        <w:ind w:left="0"/>
        <w:jc w:val="both"/>
        <w:rPr>
          <w:rFonts w:ascii="Traditional Arabic" w:hAnsi="Traditional Arabic" w:cs="Traditional Arabic"/>
          <w:sz w:val="28"/>
          <w:szCs w:val="28"/>
          <w:rtl/>
        </w:rPr>
      </w:pPr>
    </w:p>
    <w:p w14:paraId="1B353416" w14:textId="77777777" w:rsidR="00D335F9" w:rsidRPr="0004167A" w:rsidRDefault="00D335F9" w:rsidP="00D335F9">
      <w:pPr>
        <w:pStyle w:val="ListParagraph"/>
        <w:bidi/>
        <w:spacing w:line="278" w:lineRule="auto"/>
        <w:ind w:left="0"/>
        <w:jc w:val="both"/>
        <w:rPr>
          <w:rFonts w:ascii="Traditional Arabic" w:hAnsi="Traditional Arabic" w:cs="Traditional Arabic"/>
          <w:sz w:val="28"/>
          <w:szCs w:val="28"/>
          <w:rtl/>
        </w:rPr>
      </w:pPr>
    </w:p>
    <w:p w14:paraId="3E9F5CA2" w14:textId="77777777" w:rsidR="00134549" w:rsidRPr="004502CF" w:rsidRDefault="00134549" w:rsidP="005F4901">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خامسًا: الأداء المؤسسي وقياس الأداء</w:t>
      </w:r>
    </w:p>
    <w:p w14:paraId="79501B84" w14:textId="132FA68D"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(Kaplan &amp; Norton</w:t>
      </w:r>
      <w:r>
        <w:rPr>
          <w:rFonts w:ascii="Traditional Arabic" w:hAnsi="Traditional Arabic" w:cs="Traditional Arabic"/>
          <w:sz w:val="28"/>
          <w:szCs w:val="28"/>
          <w:rtl/>
        </w:rPr>
        <w:t>، 1992</w:t>
      </w:r>
      <w:r>
        <w:rPr>
          <w:rFonts w:ascii="Traditional Arabic" w:hAnsi="Traditional Arabic" w:cs="Traditional Arabic"/>
          <w:sz w:val="28"/>
          <w:szCs w:val="28"/>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"The Balanced Scorecard – Measures That Drive Performance"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متكامل لقياس الأداء المؤسسي يعتمد على مجموعة من المؤشرات المتوازنة التي تجمع بين الأداء المالي وغير المالي</w:t>
      </w:r>
      <w:r>
        <w:rPr>
          <w:rFonts w:ascii="Traditional Arabic" w:hAnsi="Traditional Arabic" w:cs="Traditional Arabic"/>
          <w:sz w:val="28"/>
          <w:szCs w:val="28"/>
        </w:rPr>
        <w:t>.</w:t>
      </w:r>
    </w:p>
    <w:p w14:paraId="113C94E9"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تحليل تطبيقي لعدد من المؤسسات التي سعت إلى تطوير أنظمة قياس الأداء الاستراتيجي. وأظهرت النتائج أن الاعتماد على المؤشرات المالية فقط لا يعكس الأداء المؤسسي بصورة شاملة، وأن قياس الأداء يتطلب دمج مؤشرات متعددة تشمل الأداء المالي، وكفاءة العمليات الداخلية، ورضا العملاء، والتعلم التنظيمي</w:t>
      </w:r>
      <w:r>
        <w:rPr>
          <w:rFonts w:ascii="Traditional Arabic" w:hAnsi="Traditional Arabic" w:cs="Traditional Arabic"/>
          <w:sz w:val="28"/>
          <w:szCs w:val="28"/>
        </w:rPr>
        <w:t>.</w:t>
      </w:r>
    </w:p>
    <w:p w14:paraId="5C296F28"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إلا أن الدراسة قدمت إطارًا عامًا لقياس الأداء المؤسسي، ولم تربطه بإدارة أصول البنية التحتية أو بسلامة الأصول التشغيلية في القطاعات الخدمية مثل قطاع المياه</w:t>
      </w:r>
      <w:r>
        <w:rPr>
          <w:rFonts w:ascii="Traditional Arabic" w:hAnsi="Traditional Arabic" w:cs="Traditional Arabic"/>
          <w:sz w:val="28"/>
          <w:szCs w:val="28"/>
        </w:rPr>
        <w:t>.</w:t>
      </w:r>
    </w:p>
    <w:p w14:paraId="3C9A3A6E"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الإطار في تأصيل مفهوم الأداء المؤسسي متعدد الأبعاد، مع ربطه بمؤشرات تشغيلية مثل سلامة الأصول وكفاءة التشغيل</w:t>
      </w:r>
      <w:r>
        <w:rPr>
          <w:rFonts w:ascii="Traditional Arabic" w:hAnsi="Traditional Arabic" w:cs="Traditional Arabic"/>
          <w:sz w:val="28"/>
          <w:szCs w:val="28"/>
        </w:rPr>
        <w:t>.</w:t>
      </w:r>
    </w:p>
    <w:p w14:paraId="12BEABC4" w14:textId="77777777" w:rsidR="002D75FA" w:rsidRDefault="002D75FA" w:rsidP="00D335F9">
      <w:pPr>
        <w:pStyle w:val="ListParagraph"/>
        <w:bidi/>
        <w:spacing w:line="278" w:lineRule="auto"/>
        <w:ind w:left="0"/>
        <w:jc w:val="both"/>
        <w:rPr>
          <w:rFonts w:ascii="Traditional Arabic" w:hAnsi="Traditional Arabic" w:cs="Traditional Arabic"/>
          <w:sz w:val="28"/>
          <w:szCs w:val="28"/>
          <w:rtl/>
        </w:rPr>
      </w:pPr>
    </w:p>
    <w:p w14:paraId="1DE947BE" w14:textId="2EAE0B8A"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 (Melnyk et al., 2014) </w:t>
      </w:r>
      <w:r>
        <w:rPr>
          <w:rFonts w:ascii="Traditional Arabic" w:hAnsi="Traditional Arabic" w:cs="Traditional Arabic"/>
          <w:sz w:val="28"/>
          <w:szCs w:val="28"/>
          <w:rtl/>
        </w:rPr>
        <w:t>بعنوان</w:t>
      </w:r>
      <w:r>
        <w:rPr>
          <w:rFonts w:ascii="Traditional Arabic" w:hAnsi="Traditional Arabic" w:cs="Traditional Arabic"/>
          <w:sz w:val="28"/>
          <w:szCs w:val="28"/>
        </w:rPr>
        <w:t>"Is Performance Measurement and Management Fit  for the Future?"</w:t>
      </w:r>
      <w:r>
        <w:rPr>
          <w:rFonts w:ascii="Traditional Arabic" w:hAnsi="Traditional Arabic" w:cs="Traditional Arabic"/>
          <w:sz w:val="28"/>
          <w:szCs w:val="28"/>
          <w:rtl/>
        </w:rPr>
        <w:t xml:space="preserve"> هدفت إلى تحليل تطور نظم قياس وإدارة الأداء في المؤسسات الحديثة، مع التركيز على دور هذه النظم في دعم اتخاذ القرار الاستراتيجي وتعزيز القدرة التنافسية للمؤسسات</w:t>
      </w:r>
      <w:r>
        <w:rPr>
          <w:rFonts w:ascii="Traditional Arabic" w:hAnsi="Traditional Arabic" w:cs="Traditional Arabic"/>
          <w:sz w:val="28"/>
          <w:szCs w:val="28"/>
        </w:rPr>
        <w:t>.</w:t>
      </w:r>
    </w:p>
    <w:p w14:paraId="1971F5C8" w14:textId="77777777"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تحليلية للأدبيات في مجالي إدارة العمليات والإدارة الاستراتيجية، بهدف تتبع تطور نظم قياس الأداء المؤسسي وتحليل التحولات التي شهدتها هذه النظم عبر الزمن. وأظهرت النتائج أن نظم قياس الأداء المؤسسي تطورت من التركيز على المؤشرات المالية التقليدية إلى نماذج أكثر شمولية تأخذ في الاعتبار مؤشرات الكفاءة التشغيلية والجودة والابتكار والاستدامة</w:t>
      </w:r>
      <w:r>
        <w:rPr>
          <w:rFonts w:ascii="Traditional Arabic" w:hAnsi="Traditional Arabic" w:cs="Traditional Arabic"/>
          <w:sz w:val="28"/>
          <w:szCs w:val="28"/>
        </w:rPr>
        <w:t>.</w:t>
      </w:r>
    </w:p>
    <w:p w14:paraId="43EEA9A6" w14:textId="77777777"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نظم قياس الأداء في المؤسسات بصورة عامة، ولم تتناول بشكل مباشر إدارة أصول البنية التحتية أو دور التحول الرقمي والحوكمة المؤسسية في تحسين الأداء المؤسسي. كما لم تختبر العلاقة بين هذه المتغيرات ضمن نموذج تحليلي سببي يفسر تأثيرها في أداء المؤسسات في القطاعات الخدمية أو البنية التحتية</w:t>
      </w:r>
      <w:r>
        <w:rPr>
          <w:rFonts w:ascii="Traditional Arabic" w:hAnsi="Traditional Arabic" w:cs="Traditional Arabic"/>
          <w:sz w:val="28"/>
          <w:szCs w:val="28"/>
        </w:rPr>
        <w:t>.</w:t>
      </w:r>
    </w:p>
    <w:p w14:paraId="35EF190A" w14:textId="77777777"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الطرح في تأصيل مفهوم الأداء المؤسسي وأهمية نظم قياس الأداء في دعم الكفاءة التشغيلية للأصول وتعزيز فعالية الإدارة المؤسسية</w:t>
      </w:r>
      <w:r>
        <w:rPr>
          <w:rFonts w:ascii="Traditional Arabic" w:hAnsi="Traditional Arabic" w:cs="Traditional Arabic"/>
          <w:sz w:val="28"/>
          <w:szCs w:val="28"/>
        </w:rPr>
        <w:t>.</w:t>
      </w:r>
    </w:p>
    <w:p w14:paraId="773D0F7A" w14:textId="77777777" w:rsidR="0063303B" w:rsidRDefault="0063303B" w:rsidP="00D335F9">
      <w:pPr>
        <w:pStyle w:val="ListParagraph"/>
        <w:bidi/>
        <w:spacing w:line="278" w:lineRule="auto"/>
        <w:ind w:left="0"/>
        <w:jc w:val="both"/>
        <w:rPr>
          <w:rFonts w:ascii="Traditional Arabic" w:hAnsi="Traditional Arabic" w:cs="Traditional Arabic"/>
          <w:sz w:val="28"/>
          <w:szCs w:val="28"/>
          <w:rtl/>
        </w:rPr>
      </w:pPr>
    </w:p>
    <w:p w14:paraId="678B923E" w14:textId="5E0654AD" w:rsidR="00D335F9" w:rsidRPr="00D335F9" w:rsidRDefault="00D335F9"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دراسة (</w:t>
      </w:r>
      <w:r>
        <w:rPr>
          <w:rFonts w:ascii="Traditional Arabic" w:hAnsi="Traditional Arabic" w:cs="Traditional Arabic"/>
          <w:sz w:val="28"/>
          <w:szCs w:val="28"/>
        </w:rPr>
        <w:t>Menghwar &amp; Daood</w:t>
      </w:r>
      <w:r>
        <w:rPr>
          <w:rFonts w:ascii="Traditional Arabic" w:hAnsi="Traditional Arabic" w:cs="Traditional Arabic"/>
          <w:sz w:val="28"/>
          <w:szCs w:val="28"/>
          <w:rtl/>
        </w:rPr>
        <w:t>، 2021) بعنوان"</w:t>
      </w:r>
      <w:r>
        <w:rPr>
          <w:rFonts w:ascii="Traditional Arabic" w:hAnsi="Traditional Arabic" w:cs="Traditional Arabic"/>
          <w:sz w:val="28"/>
          <w:szCs w:val="28"/>
        </w:rPr>
        <w:t xml:space="preserve"> A systematic review, synthesis and integrative perspective</w:t>
      </w:r>
      <w:r>
        <w:rPr>
          <w:rFonts w:ascii="Traditional Arabic" w:hAnsi="Traditional Arabic" w:cs="Traditional Arabic"/>
          <w:sz w:val="28"/>
          <w:szCs w:val="28"/>
          <w:rtl/>
        </w:rPr>
        <w:t xml:space="preserve"> " هدفت إلى تحليل تطور مفهوم القيمة المشتركة وربطه بالأداء المؤسسي والاستدامة من منظور إداري.</w:t>
      </w:r>
    </w:p>
    <w:p w14:paraId="0216C95D" w14:textId="77777777" w:rsidR="00D335F9" w:rsidRPr="00D335F9" w:rsidRDefault="00D335F9" w:rsidP="00D335F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منهجية للأدبيات في مجلات الإدارة الاستراتيجية. وأظهرت النتائج أن دمج الاستدامة في الاستراتيجية المؤسسية يمكن أن يسهم في خلق قيمة طويلة الأجل وتعزيز الأداء المؤسسي، إلا أن تحقيق ذلك يتطلب وجود مواءمة تنظيمية واضحة وآليات حوكمة فعالة.</w:t>
      </w:r>
    </w:p>
    <w:p w14:paraId="56DCD164" w14:textId="77777777" w:rsidR="00D335F9" w:rsidRPr="00D335F9" w:rsidRDefault="00D335F9" w:rsidP="00D335F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ورغم قوة التأصيل النظري، فإن الدراسة لم تتناول إدارة أصول البنية التحتية أو سلامة الأصول بصورة مباشرة، كما لم تختبر نموذجًا سببيًا في قطاع خدمي عالي الكثافة الرأسمالية مثل قطاع المياه.</w:t>
      </w:r>
    </w:p>
    <w:p w14:paraId="28C6EBA3" w14:textId="77777777" w:rsidR="00D335F9" w:rsidRDefault="00D335F9" w:rsidP="00D335F9">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هذا التأصيل الاستراتيجي، مع إعادة توجيهه نحو سياق تشغيلي مرتبط بإدارة أصول البنية التحتية المائية.</w:t>
      </w:r>
    </w:p>
    <w:p w14:paraId="4CA72066" w14:textId="77777777" w:rsidR="00D335F9" w:rsidRDefault="00D335F9" w:rsidP="00D335F9">
      <w:pPr>
        <w:pStyle w:val="ListParagraph"/>
        <w:bidi/>
        <w:spacing w:line="278" w:lineRule="auto"/>
        <w:jc w:val="both"/>
        <w:rPr>
          <w:rFonts w:ascii="Traditional Arabic" w:hAnsi="Traditional Arabic" w:cs="Traditional Arabic"/>
          <w:sz w:val="28"/>
          <w:szCs w:val="28"/>
          <w:rtl/>
        </w:rPr>
      </w:pPr>
    </w:p>
    <w:p w14:paraId="2DC6C20C"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يتضح من تحليل الأدبيات المرتبطة بالأداء المؤسسي ما يلي</w:t>
      </w:r>
      <w:r>
        <w:rPr>
          <w:rFonts w:ascii="Traditional Arabic" w:hAnsi="Traditional Arabic" w:cs="Traditional Arabic"/>
          <w:sz w:val="28"/>
          <w:szCs w:val="28"/>
        </w:rPr>
        <w:t>:</w:t>
      </w:r>
    </w:p>
    <w:p w14:paraId="3D0F01A1"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تؤكد الأدبيات أن قياس الأداء المؤسسي يتطلب مؤشرات متعددة الأبعاد تجمع بين المؤشرات المالية والتشغيلية والتنظيمية</w:t>
      </w:r>
      <w:r>
        <w:rPr>
          <w:rFonts w:ascii="Traditional Arabic" w:hAnsi="Traditional Arabic" w:cs="Traditional Arabic"/>
          <w:sz w:val="28"/>
          <w:szCs w:val="28"/>
        </w:rPr>
        <w:t>.</w:t>
      </w:r>
    </w:p>
    <w:p w14:paraId="03BE4AF8"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تشير الدراسات الحديثة إلى أهمية ربط نظم قياس الأداء بالاستراتيجية المؤسسية لتحقيق قيمة طويلة الأجل</w:t>
      </w:r>
      <w:r>
        <w:rPr>
          <w:rFonts w:ascii="Traditional Arabic" w:hAnsi="Traditional Arabic" w:cs="Traditional Arabic"/>
          <w:sz w:val="28"/>
          <w:szCs w:val="28"/>
        </w:rPr>
        <w:t>.</w:t>
      </w:r>
    </w:p>
    <w:p w14:paraId="364EB887"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لا تزال العلاقة بين الأداء المؤسسي وكفاءة إدارة الأصول محدودة في الأدبيات</w:t>
      </w:r>
      <w:r>
        <w:rPr>
          <w:rFonts w:ascii="Traditional Arabic" w:hAnsi="Traditional Arabic" w:cs="Traditional Arabic"/>
          <w:sz w:val="28"/>
          <w:szCs w:val="28"/>
        </w:rPr>
        <w:t>.</w:t>
      </w:r>
    </w:p>
    <w:p w14:paraId="0509E1DF"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لم يتم دمج التحول الرقمي والحوكمة الذكية والاستدامة ضمن نموذج سببي يفسر تأثيرها في الأداء المؤسسي</w:t>
      </w:r>
      <w:r>
        <w:rPr>
          <w:rFonts w:ascii="Traditional Arabic" w:hAnsi="Traditional Arabic" w:cs="Traditional Arabic"/>
          <w:sz w:val="28"/>
          <w:szCs w:val="28"/>
        </w:rPr>
        <w:t>.</w:t>
      </w:r>
    </w:p>
    <w:p w14:paraId="672ADEC8" w14:textId="77777777" w:rsidR="002D75FA" w:rsidRPr="002D75FA" w:rsidRDefault="002D75FA" w:rsidP="002D75FA">
      <w:pPr>
        <w:pStyle w:val="ListParagraph"/>
        <w:bidi/>
        <w:spacing w:line="278" w:lineRule="auto"/>
        <w:ind w:left="360"/>
        <w:jc w:val="both"/>
        <w:rPr>
          <w:rFonts w:ascii="Traditional Arabic" w:hAnsi="Traditional Arabic" w:cs="Traditional Arabic"/>
          <w:sz w:val="28"/>
          <w:szCs w:val="28"/>
        </w:rPr>
      </w:pPr>
      <w:r>
        <w:rPr>
          <w:rFonts w:ascii="Traditional Arabic" w:hAnsi="Traditional Arabic" w:cs="Traditional Arabic"/>
          <w:sz w:val="28"/>
          <w:szCs w:val="28"/>
          <w:rtl/>
        </w:rPr>
        <w:t>وعليه، تسعى الدراسة الحالية إلى سد هذه الفجوة من خلال تطوير نموذج تكاملي يربط بين التحول الرقمي والحوكمة الذكية والاستدامة المؤسسية وسلامة الأصول بوصفها محددات رئيسة للأداء المؤسسي في قطاع المياه</w:t>
      </w:r>
      <w:r>
        <w:rPr>
          <w:rFonts w:ascii="Traditional Arabic" w:hAnsi="Traditional Arabic" w:cs="Traditional Arabic"/>
          <w:sz w:val="28"/>
          <w:szCs w:val="28"/>
        </w:rPr>
        <w:t>.</w:t>
      </w:r>
    </w:p>
    <w:p w14:paraId="4F0EDB8E" w14:textId="77777777" w:rsidR="00D335F9" w:rsidRPr="005F4901" w:rsidRDefault="00D335F9" w:rsidP="00D335F9">
      <w:pPr>
        <w:pStyle w:val="ListParagraph"/>
        <w:bidi/>
        <w:spacing w:line="278" w:lineRule="auto"/>
        <w:jc w:val="both"/>
        <w:rPr>
          <w:rFonts w:ascii="Traditional Arabic" w:hAnsi="Traditional Arabic" w:cs="Traditional Arabic"/>
          <w:sz w:val="28"/>
          <w:szCs w:val="28"/>
        </w:rPr>
      </w:pPr>
    </w:p>
    <w:p w14:paraId="400455E8" w14:textId="77777777" w:rsidR="00134549" w:rsidRPr="004502CF" w:rsidRDefault="00134549" w:rsidP="00134549">
      <w:pPr>
        <w:pStyle w:val="ListParagraph"/>
        <w:bidi/>
        <w:spacing w:line="278" w:lineRule="auto"/>
        <w:ind w:left="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سادسًا: الدراسات المرتبطة بالسياق المؤسسي في المملكة العربية السعودية</w:t>
      </w:r>
    </w:p>
    <w:p w14:paraId="3263A238" w14:textId="37B3D7E9" w:rsidR="006D248B" w:rsidRPr="006D248B" w:rsidRDefault="006D248B" w:rsidP="00A90202">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(Alajmi et al., 2023)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بعنوان</w:t>
      </w:r>
      <w:r>
        <w:rPr>
          <w:rFonts w:ascii="Traditional Arabic" w:hAnsi="Traditional Arabic" w:cs="Traditional Arabic"/>
          <w:i/>
          <w:iCs/>
          <w:sz w:val="28"/>
          <w:szCs w:val="28"/>
        </w:rPr>
        <w:t>"</w:t>
      </w:r>
      <w:r>
        <w:rPr>
          <w:rFonts w:ascii="Traditional Arabic" w:hAnsi="Traditional Arabic" w:cs="Traditional Arabic"/>
          <w:sz w:val="28"/>
          <w:szCs w:val="28"/>
        </w:rPr>
        <w:t xml:space="preserve">The Determinants of Smart Government Systems Adoption by Public Sector Organizations in Saudi Arabia"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تحليل العوامل المؤثرة في تبني أنظمة الحكومة الذكية في الجهات الحكومية في المملكة العربية السعودية، مع التركيز على دور العوامل التنظيمية والتقنية في دعم التحول الرقمي في القطاع العام</w:t>
      </w:r>
      <w:r>
        <w:rPr>
          <w:rFonts w:ascii="Traditional Arabic" w:hAnsi="Traditional Arabic" w:cs="Traditional Arabic"/>
          <w:sz w:val="28"/>
          <w:szCs w:val="28"/>
        </w:rPr>
        <w:t>.</w:t>
      </w:r>
    </w:p>
    <w:p w14:paraId="33530D52"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المنهج الكمي من خلال استبيانات وُزعت على عينة من الموظفين في عدد من الجهات الحكومية السعودية، بهدف قياس مستوى تبني أنظمة الحكومة الذكية وتحليل العوامل المؤثرة في ذلك. وأظهرت النتائج أن الدعم القيادي والاستراتيجية الرقمية والبنية التحتية التقنية والثقة في الأنظمة الرقمية تعد من أهم العوامل التي تؤثر في تبني مبادرات الحكومة الذكية في المؤسسات الحكومية، كما أكدت النتائج أن تبني التقنيات الرقمية يسهم في تحسين كفاءة الخدمات الحكومية وتعزيز فاعلية الأداء المؤسسي</w:t>
      </w:r>
      <w:r>
        <w:rPr>
          <w:rFonts w:ascii="Traditional Arabic" w:hAnsi="Traditional Arabic" w:cs="Traditional Arabic"/>
          <w:sz w:val="28"/>
          <w:szCs w:val="28"/>
        </w:rPr>
        <w:t>.</w:t>
      </w:r>
    </w:p>
    <w:p w14:paraId="1432C780"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تحليل العوامل المؤثرة في تبني أنظمة الحكومة الذكية في الجهات الحكومية بصورة عامة، ولم تتناول بشكل مباشر تطبيق الحوكمة الرقمية في القطاعات المعتمدة على الأصول والبنية التحتية مثل قطاع المياه، كما لم تربط بين التحول الرقمي وسلامة الأصول أو الاستدامة المؤسسية ضمن نموذج تحليلي يفسر تأثيرها في الأداء المؤسسي</w:t>
      </w:r>
      <w:r>
        <w:rPr>
          <w:rFonts w:ascii="Traditional Arabic" w:hAnsi="Traditional Arabic" w:cs="Traditional Arabic"/>
          <w:sz w:val="28"/>
          <w:szCs w:val="28"/>
        </w:rPr>
        <w:t>.</w:t>
      </w:r>
    </w:p>
    <w:p w14:paraId="7B1C42A0"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هذه النتائج في تأكيد أهمية التحول الرقمي والحوكمة الذكية في تطوير الأداء المؤسسي، مع توسيع نطاق التحليل ليشمل العلاقة بين التحول الرقمي والاستدامة المؤسسية وسلامة الأصول في قطاع المياه</w:t>
      </w:r>
      <w:r>
        <w:rPr>
          <w:rFonts w:ascii="Traditional Arabic" w:hAnsi="Traditional Arabic" w:cs="Traditional Arabic"/>
          <w:sz w:val="28"/>
          <w:szCs w:val="28"/>
        </w:rPr>
        <w:t>.</w:t>
      </w:r>
    </w:p>
    <w:p w14:paraId="279D8F72" w14:textId="77777777" w:rsidR="00B5427B" w:rsidRDefault="00B5427B" w:rsidP="00B5427B">
      <w:pPr>
        <w:bidi/>
        <w:rPr>
          <w:rFonts w:ascii="Traditional Arabic" w:hAnsi="Traditional Arabic" w:cs="Traditional Arabic"/>
          <w:sz w:val="28"/>
          <w:szCs w:val="28"/>
          <w:rtl/>
        </w:rPr>
      </w:pPr>
    </w:p>
    <w:p w14:paraId="3EE51AE5" w14:textId="1E76F814" w:rsidR="006D248B" w:rsidRPr="006D248B" w:rsidRDefault="006D248B" w:rsidP="00A90202">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b/>
          <w:bCs/>
          <w:sz w:val="28"/>
          <w:szCs w:val="28"/>
        </w:rPr>
        <w:t xml:space="preserve"> </w:t>
      </w:r>
      <w:r>
        <w:rPr>
          <w:rFonts w:ascii="Traditional Arabic" w:hAnsi="Traditional Arabic" w:cs="Traditional Arabic"/>
          <w:sz w:val="28"/>
          <w:szCs w:val="28"/>
        </w:rPr>
        <w:t xml:space="preserve">(Hujran et al., 2023)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 "Digitally Transforming Electronic Governments into Smart Governments" </w:t>
      </w:r>
      <w:r>
        <w:rPr>
          <w:rFonts w:ascii="Traditional Arabic" w:hAnsi="Traditional Arabic" w:cs="Traditional Arabic"/>
          <w:sz w:val="28"/>
          <w:szCs w:val="28"/>
          <w:rtl/>
        </w:rPr>
        <w:t>هدفت إلى تحليل التحول من الحكومة الإلكترونية إلى الحكومة الذكية، مع التركيز على دور التقنيات الرقمية والحوكمة الرقمية في تطوير الخدمات الحكومية وتحسين كفاءة الأداء المؤسسي في القطاع العام</w:t>
      </w:r>
      <w:r>
        <w:rPr>
          <w:rFonts w:ascii="Traditional Arabic" w:hAnsi="Traditional Arabic" w:cs="Traditional Arabic"/>
          <w:sz w:val="28"/>
          <w:szCs w:val="28"/>
        </w:rPr>
        <w:t>.</w:t>
      </w:r>
    </w:p>
    <w:p w14:paraId="76459EC0"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تحليل مفاهيمي وإطار نظري يستند إلى مراجعة الأدبيات المرتبطة بالتحول الرقمي والحكومة الذكية، بهدف تحديد العوامل الرئيسة التي تسهم في انتقال الحكومات من نماذج الحكومة الإلكترونية التقليدية إلى نماذج أكثر تكاملًا تعتمد على البيانات والتقنيات الذكية. وأظهرت النتائج أن نجاح التحول نحو الحكومة الذكية يعتمد على تكامل البنية التحتية الرقمية مع الأطر التنظيمية والحوكمية، إضافة إلى أهمية إدارة البيانات والابتكار المؤسسي في تحسين جودة الخدمات العامة</w:t>
      </w:r>
      <w:r>
        <w:rPr>
          <w:rFonts w:ascii="Traditional Arabic" w:hAnsi="Traditional Arabic" w:cs="Traditional Arabic"/>
          <w:sz w:val="28"/>
          <w:szCs w:val="28"/>
        </w:rPr>
        <w:t>.</w:t>
      </w:r>
    </w:p>
    <w:p w14:paraId="67E82A9A"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lastRenderedPageBreak/>
        <w:t>إلا أن الدراسة ركزت على التحول الرقمي في الحكومات بصورة عامة، ولم تتناول تطبيق هذه المفاهيم في القطاعات الخدمية المعتمدة على الأصول والبنية التحتية مثل قطاع المياه، كما لم تربط بين التحول نحو الحكومة الذكية وسلامة الأصول أو الاستدامة المؤسسية ضمن نموذج تحليلي يفسر تأثيرها في الأداء المؤسسي</w:t>
      </w:r>
      <w:r>
        <w:rPr>
          <w:rFonts w:ascii="Traditional Arabic" w:hAnsi="Traditional Arabic" w:cs="Traditional Arabic"/>
          <w:sz w:val="28"/>
          <w:szCs w:val="28"/>
        </w:rPr>
        <w:t>.</w:t>
      </w:r>
    </w:p>
    <w:p w14:paraId="50B743B7"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الطرح في إبراز دور الحوكمة الرقمية والتحول نحو النماذج الذكية في تطوير الأداء المؤسسي، مع توسيع نطاق التحليل ليشمل العلاقة بين التحول الرقمي والاستدامة المؤسسية وسلامة أصول البنية التحتية في قطاع المياه</w:t>
      </w:r>
      <w:r>
        <w:rPr>
          <w:rFonts w:ascii="Traditional Arabic" w:hAnsi="Traditional Arabic" w:cs="Traditional Arabic"/>
          <w:sz w:val="28"/>
          <w:szCs w:val="28"/>
        </w:rPr>
        <w:t>.</w:t>
      </w:r>
    </w:p>
    <w:p w14:paraId="21ADA14B" w14:textId="77777777" w:rsidR="006D248B" w:rsidRPr="006D248B" w:rsidRDefault="006D248B" w:rsidP="006D248B">
      <w:pPr>
        <w:bidi/>
        <w:rPr>
          <w:rFonts w:ascii="Traditional Arabic" w:hAnsi="Traditional Arabic" w:cs="Traditional Arabic"/>
          <w:vanish/>
          <w:sz w:val="28"/>
          <w:szCs w:val="28"/>
        </w:rPr>
      </w:pPr>
      <w:r>
        <w:rPr>
          <w:rFonts w:ascii="Traditional Arabic" w:hAnsi="Traditional Arabic" w:cs="Traditional Arabic"/>
          <w:vanish/>
          <w:sz w:val="28"/>
          <w:szCs w:val="28"/>
          <w:rtl/>
        </w:rPr>
        <w:t>أعلى النموذج</w:t>
      </w:r>
    </w:p>
    <w:p w14:paraId="1D117D9C" w14:textId="77777777" w:rsidR="006D248B" w:rsidRPr="006D248B" w:rsidRDefault="006D248B" w:rsidP="006D248B">
      <w:pPr>
        <w:bidi/>
        <w:rPr>
          <w:rFonts w:ascii="Traditional Arabic" w:hAnsi="Traditional Arabic" w:cs="Traditional Arabic"/>
          <w:vanish/>
          <w:sz w:val="28"/>
          <w:szCs w:val="28"/>
        </w:rPr>
      </w:pPr>
      <w:r>
        <w:rPr>
          <w:rFonts w:ascii="Traditional Arabic" w:hAnsi="Traditional Arabic" w:cs="Traditional Arabic"/>
          <w:vanish/>
          <w:sz w:val="28"/>
          <w:szCs w:val="28"/>
          <w:rtl/>
        </w:rPr>
        <w:t>أسفل النموذج</w:t>
      </w:r>
    </w:p>
    <w:p w14:paraId="2510257B" w14:textId="77777777" w:rsidR="002D75FA" w:rsidRDefault="002D75FA" w:rsidP="002D75FA">
      <w:pPr>
        <w:bidi/>
        <w:rPr>
          <w:rFonts w:ascii="Traditional Arabic" w:hAnsi="Traditional Arabic" w:cs="Traditional Arabic"/>
          <w:sz w:val="28"/>
          <w:szCs w:val="28"/>
          <w:rtl/>
        </w:rPr>
      </w:pPr>
    </w:p>
    <w:p w14:paraId="6CF3658B" w14:textId="58072480" w:rsidR="002D75FA" w:rsidRPr="002D75FA" w:rsidRDefault="002D75FA" w:rsidP="002D75FA">
      <w:pPr>
        <w:bidi/>
        <w:rPr>
          <w:rFonts w:ascii="Traditional Arabic" w:hAnsi="Traditional Arabic" w:cs="Traditional Arabic"/>
          <w:sz w:val="28"/>
          <w:szCs w:val="28"/>
        </w:rPr>
      </w:pPr>
      <w:r>
        <w:rPr>
          <w:rFonts w:ascii="Traditional Arabic" w:hAnsi="Traditional Arabic" w:cs="Traditional Arabic"/>
          <w:sz w:val="28"/>
          <w:szCs w:val="28"/>
          <w:rtl/>
        </w:rPr>
        <w:t>يتضح من تحليل الأدبيات المحكّمة إلى جانب السياق التنظيمي لقطاع المياه في المملكة العربية السعودية ما يلي</w:t>
      </w:r>
      <w:r>
        <w:rPr>
          <w:rFonts w:ascii="Traditional Arabic" w:hAnsi="Traditional Arabic" w:cs="Traditional Arabic"/>
          <w:sz w:val="28"/>
          <w:szCs w:val="28"/>
        </w:rPr>
        <w:t>:</w:t>
      </w:r>
    </w:p>
    <w:p w14:paraId="508B85EC"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تؤكد التوجهات الاستراتيجية الوطنية أهمية التحول الرقمي وتعزيز الحوكمة بوصفهما ركيزتين أساسيتين لتطوير قطاع المياه ورفع كفاءته التشغيلية والمالية</w:t>
      </w:r>
      <w:r>
        <w:rPr>
          <w:rFonts w:ascii="Traditional Arabic" w:hAnsi="Traditional Arabic" w:cs="Traditional Arabic"/>
          <w:sz w:val="28"/>
          <w:szCs w:val="28"/>
        </w:rPr>
        <w:t>.</w:t>
      </w:r>
    </w:p>
    <w:p w14:paraId="139D9577"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تشير الدراسات التطبيقية المحلية إلى وجود علاقة إيجابية بين مستوى الحوكمة الرقمية وجودة الخدمات المقدمة في الجهات الحكومية، بما يعكس أهمية الأطر التنظيمية في تعظيم أثر المبادرات الرقمية</w:t>
      </w:r>
      <w:r>
        <w:rPr>
          <w:rFonts w:ascii="Traditional Arabic" w:hAnsi="Traditional Arabic" w:cs="Traditional Arabic"/>
          <w:sz w:val="28"/>
          <w:szCs w:val="28"/>
        </w:rPr>
        <w:t>.</w:t>
      </w:r>
    </w:p>
    <w:p w14:paraId="1F7BAAD5"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تكشف المعطيات التنظيمية والتقارير القطاعية عن استمرار تحديات تشغيلية تتعلق بنسبة الفاقد المائي، وتكامل البيانات بين الجهات، وكفاءة إدارة الأصول، وهو ما يشير إلى وجود فجوة بين التبني التقني والنضج المؤسسي</w:t>
      </w:r>
      <w:r>
        <w:rPr>
          <w:rFonts w:ascii="Traditional Arabic" w:hAnsi="Traditional Arabic" w:cs="Traditional Arabic"/>
          <w:sz w:val="28"/>
          <w:szCs w:val="28"/>
        </w:rPr>
        <w:t>.</w:t>
      </w:r>
    </w:p>
    <w:p w14:paraId="6655747C"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لا توجد – في حدود علم الباحث – دراسة سعودية جمعت بين التحول الرقمي والحوكمة الذكية والاستدامة المؤسسية وسلامة الأصول والأداء المؤسسي ضمن نموذج سببي كمي متكامل</w:t>
      </w:r>
      <w:r>
        <w:rPr>
          <w:rFonts w:ascii="Traditional Arabic" w:hAnsi="Traditional Arabic" w:cs="Traditional Arabic"/>
          <w:sz w:val="28"/>
          <w:szCs w:val="28"/>
        </w:rPr>
        <w:t>.</w:t>
      </w:r>
    </w:p>
    <w:p w14:paraId="62324F09" w14:textId="731F8D33" w:rsidR="00B5427B"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كما يغيب توظيف نماذج المعادلات الهيكلية</w:t>
      </w:r>
      <w:r>
        <w:rPr>
          <w:rFonts w:ascii="Traditional Arabic" w:hAnsi="Traditional Arabic" w:cs="Traditional Arabic"/>
          <w:sz w:val="28"/>
          <w:szCs w:val="28"/>
        </w:rPr>
        <w:t xml:space="preserve"> (SEM / PLS) </w:t>
      </w:r>
      <w:r>
        <w:rPr>
          <w:rFonts w:ascii="Traditional Arabic" w:hAnsi="Traditional Arabic" w:cs="Traditional Arabic"/>
          <w:sz w:val="28"/>
          <w:szCs w:val="28"/>
          <w:rtl/>
        </w:rPr>
        <w:t>في قطاع المياه السعودي لقياس العلاقات المتداخلة بين هذه المتغيرات واختبار الأثر المباشر وغير المباشر بينها</w:t>
      </w:r>
      <w:r>
        <w:rPr>
          <w:rFonts w:ascii="Traditional Arabic" w:hAnsi="Traditional Arabic" w:cs="Traditional Arabic"/>
          <w:sz w:val="28"/>
          <w:szCs w:val="28"/>
        </w:rPr>
        <w:t>.</w:t>
      </w:r>
    </w:p>
    <w:p w14:paraId="1DD4A72E" w14:textId="77777777" w:rsidR="002D75FA" w:rsidRDefault="002D75FA" w:rsidP="002D75FA">
      <w:pPr>
        <w:bidi/>
        <w:jc w:val="both"/>
        <w:rPr>
          <w:rFonts w:ascii="Traditional Arabic" w:hAnsi="Traditional Arabic" w:cs="Traditional Arabic"/>
          <w:sz w:val="28"/>
          <w:szCs w:val="28"/>
          <w:rtl/>
        </w:rPr>
      </w:pPr>
      <w:r>
        <w:rPr>
          <w:rFonts w:ascii="Traditional Arabic" w:hAnsi="Traditional Arabic" w:cs="Traditional Arabic"/>
          <w:sz w:val="28"/>
          <w:szCs w:val="28"/>
          <w:rtl/>
        </w:rPr>
        <w:t>وعليه، تمثل الدراسة الحالية إضافة علمية وتطبيقية في السياق الوطني، إذ تقدم نموذجًا تكامليًا قابلًا للاختبار يفسر آليات التأثير المتبادل بين التحول الرقمي والحوكمة الذكية والاستدامة المؤسسية وسلامة الأصول والأداء المؤسسي، بما يدعم التوجه نحو إدارة ذكية ومستدامة لقطاع المياه في المملكة العربية السعودية</w:t>
      </w:r>
      <w:r>
        <w:rPr>
          <w:rFonts w:ascii="Traditional Arabic" w:hAnsi="Traditional Arabic" w:cs="Traditional Arabic"/>
          <w:sz w:val="28"/>
          <w:szCs w:val="28"/>
        </w:rPr>
        <w:t>.</w:t>
      </w:r>
    </w:p>
    <w:p w14:paraId="33676A47" w14:textId="77777777" w:rsidR="00631A3A" w:rsidRDefault="00631A3A" w:rsidP="00631A3A">
      <w:pPr>
        <w:bidi/>
        <w:rPr>
          <w:rFonts w:ascii="Traditional Arabic" w:hAnsi="Traditional Arabic" w:cs="Traditional Arabic"/>
          <w:sz w:val="28"/>
          <w:szCs w:val="28"/>
          <w:rtl/>
        </w:rPr>
      </w:pPr>
    </w:p>
    <w:p w14:paraId="05F9CC41" w14:textId="77777777" w:rsidR="00631A3A" w:rsidRPr="002D75FA" w:rsidRDefault="00631A3A" w:rsidP="00631A3A">
      <w:pPr>
        <w:bidi/>
        <w:rPr>
          <w:rFonts w:ascii="Traditional Arabic" w:hAnsi="Traditional Arabic" w:cs="Traditional Arabic"/>
          <w:sz w:val="28"/>
          <w:szCs w:val="28"/>
        </w:rPr>
      </w:pPr>
      <w:r>
        <w:rPr>
          <w:rFonts w:ascii="Traditional Arabic" w:hAnsi="Traditional Arabic" w:cs="Traditional Arabic"/>
          <w:b/>
          <w:bCs/>
          <w:sz w:val="28"/>
          <w:szCs w:val="28"/>
          <w:rtl/>
        </w:rPr>
        <w:t>جدول ملخص الدراسات السابقة</w:t>
      </w:r>
    </w:p>
    <w:p w14:paraId="6E0CCE87" w14:textId="294ABDFD" w:rsidR="002D75FA" w:rsidRPr="00631A3A" w:rsidRDefault="00631A3A" w:rsidP="00631A3A">
      <w:pPr>
        <w:bidi/>
        <w:rPr>
          <w:rFonts w:ascii="Traditional Arabic" w:hAnsi="Traditional Arabic" w:cs="Traditional Arabic"/>
          <w:sz w:val="28"/>
          <w:szCs w:val="28"/>
          <w:rtl/>
        </w:rPr>
      </w:pPr>
      <w:r>
        <w:rPr>
          <w:rFonts w:ascii="Traditional Arabic" w:hAnsi="Traditional Arabic" w:cs="Traditional Arabic"/>
          <w:sz w:val="28"/>
          <w:szCs w:val="28"/>
          <w:rtl/>
        </w:rPr>
        <w:t>ولتوضيح أبرز الدراسات السابقة المرتبطة بموضوع الدراسة، يعرض الجدول التالي ملخصًا لأهم هذه الدراسات من حيث أهدافها ومنهجياتها ونتائجها، إضافة إلى إبراز الفجوات البحثية التي تسعى الدراسة الحالية إلى معالجتها</w:t>
      </w:r>
      <w:r>
        <w:rPr>
          <w:rFonts w:ascii="Traditional Arabic" w:hAnsi="Traditional Arabic" w:cs="Traditional Arabic"/>
          <w:sz w:val="28"/>
          <w:szCs w:val="28"/>
        </w:rPr>
        <w:t>.</w:t>
      </w:r>
    </w:p>
    <w:tbl>
      <w:tblPr>
        <w:bidiVisual/>
        <w:tblW w:w="9352" w:type="dxa"/>
        <w:tblInd w:w="599" w:type="dxa"/>
        <w:tblLook w:val="04A0" w:firstRow="1" w:lastRow="0" w:firstColumn="1" w:lastColumn="0" w:noHBand="0" w:noVBand="1"/>
      </w:tblPr>
      <w:tblGrid>
        <w:gridCol w:w="1476"/>
        <w:gridCol w:w="1647"/>
        <w:gridCol w:w="1094"/>
        <w:gridCol w:w="1260"/>
        <w:gridCol w:w="1104"/>
        <w:gridCol w:w="1391"/>
        <w:gridCol w:w="1380"/>
      </w:tblGrid>
      <w:tr w:rsidR="004032F1" w:rsidRPr="004032F1" w14:paraId="25C195B2" w14:textId="77777777" w:rsidTr="00F170F1">
        <w:trPr>
          <w:trHeight w:val="417"/>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75239E1A" w14:textId="77777777" w:rsidR="004032F1" w:rsidRPr="004032F1" w:rsidRDefault="004032F1" w:rsidP="00F170F1">
            <w:pPr>
              <w:bidi/>
              <w:spacing w:after="0" w:line="240" w:lineRule="auto"/>
              <w:jc w:val="right"/>
              <w:rPr>
                <w:rFonts w:ascii="Arial" w:eastAsia="Times New Roman" w:hAnsi="Arial" w:cs="Arial"/>
                <w:b/>
                <w:bCs/>
                <w:color w:val="000000"/>
              </w:rPr>
            </w:pPr>
            <w:r>
              <w:rPr>
                <w:rFonts w:ascii="Arial" w:eastAsia="Times New Roman" w:hAnsi="Arial" w:cs="Arial"/>
                <w:b/>
                <w:bCs/>
                <w:color w:val="000000"/>
                <w:rtl/>
              </w:rPr>
              <w:t>الباحث والسنة</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727532FE"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عنوان الدراسة</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15323BAD"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المجال</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432829FF"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هدف الدراسة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76E006C8"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المنهج المستخدم</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0B711D1F"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أهم النتائج</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0D76E87C"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الفجوة البحثية</w:t>
            </w:r>
          </w:p>
        </w:tc>
      </w:tr>
      <w:tr w:rsidR="004032F1" w:rsidRPr="004032F1" w14:paraId="0A0F74F7"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E988D6E"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lastRenderedPageBreak/>
              <w:t>Meijer &amp; Bolívar (2016)</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D767E8B"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Governing the Smart City</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5E15C36"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19B4290"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مفهوم الحوكمة الذكية في المدن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C55319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B5CCFF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الحوكمة الذكية تعزز الشفافية والتنسيق المؤسسي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2A4098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تُختبر في إدارة أصول البنية التحتية</w:t>
            </w:r>
          </w:p>
        </w:tc>
      </w:tr>
      <w:tr w:rsidR="004032F1" w:rsidRPr="004032F1" w14:paraId="05714BC3"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E06DC2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Gil-Garcia et al. (2018)</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839B03F"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What makes a city smart?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82B2B12"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الرقمية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B1FFE4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تحديد مكونات المدن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56A87C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2E736D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تكامل البيانات والسياسات أساس نجاح المدن الذكية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B30426D"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الحوكمة بسلامة الأصول</w:t>
            </w:r>
          </w:p>
        </w:tc>
      </w:tr>
      <w:tr w:rsidR="004032F1" w:rsidRPr="004032F1" w14:paraId="671BD2BC" w14:textId="77777777" w:rsidTr="00F170F1">
        <w:trPr>
          <w:trHeight w:val="609"/>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741B21"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Almulhim &amp; Yigitcanlar (2025)</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F41B009"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Understanding Smart Governance of Sustainable Cities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0B0416"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FA8B06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أبعاد الحوكمة الذكية في المدن المستدامة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5838B20"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27D173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الحوكمة تعتمد على تكامل البيانات والمسؤوليات</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3EFF1C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تختبر أثرها على الأداء التشغيلي</w:t>
            </w:r>
          </w:p>
        </w:tc>
      </w:tr>
      <w:tr w:rsidR="004032F1" w:rsidRPr="004032F1" w14:paraId="5118905B"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7055E8"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Hujran et al. (2023)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9C766E"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Digitally transforming e-government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67828F0"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الحكومة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AC743E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التحول للحكومة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98497B0"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 + دراسة حالة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EBBF93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التحول الرقمي يعزز الأداء الحكومي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C54178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تتناول إدارة الأصول</w:t>
            </w:r>
          </w:p>
        </w:tc>
      </w:tr>
      <w:tr w:rsidR="004032F1" w:rsidRPr="004032F1" w14:paraId="5CD8C332"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666D0D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Alajmi et al. (2023)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167BE60"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Determinants of smart government adoption</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3FF27AB"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الحكومة الذكية (السعودية)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EA186D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عوامل تبني الأنظمة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5BEB70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كمي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08067F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القيادة الرقمية والبنية التقنية عوامل حاسمة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921B2E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بسلامة الأصول</w:t>
            </w:r>
          </w:p>
        </w:tc>
      </w:tr>
      <w:tr w:rsidR="004032F1" w:rsidRPr="004032F1" w14:paraId="1A7420DB" w14:textId="77777777" w:rsidTr="00F170F1">
        <w:trPr>
          <w:trHeight w:val="609"/>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2C5445D"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El-Akruti et al. (2013)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4DC462D"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Strategic role of engineering asset management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17D147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884F6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الدور الاستراتيجي لإدارة الأصول</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65B51F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دراسة حالة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864ADB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إدارة الأصول تعزز القيمة المؤسسية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968899D"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تدمج التحول الرقمي</w:t>
            </w:r>
          </w:p>
        </w:tc>
      </w:tr>
      <w:tr w:rsidR="004032F1" w:rsidRPr="004032F1" w14:paraId="13009811"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41D3CB5"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Hastings (2021)</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0AEF314"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Physical Asset Management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2AFFB89"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451BC9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منهجيات إدارة دورة حياة الأصول</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EBCD69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تطبيقي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D80D0E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إدارة دورة الحياة تحسن موثوقية الأصول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1DBA97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غياب البعد الرقمي</w:t>
            </w:r>
          </w:p>
        </w:tc>
      </w:tr>
      <w:tr w:rsidR="004032F1" w:rsidRPr="004032F1" w14:paraId="78F8CFB4"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8D67E3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Vial (2019)</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7B607F5"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Understanding digital transformation</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D5C3060"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4B89BC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إطار نظري للتحول الرقمي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93D176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7B6C84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التحول الرقمي يعيد تشكيل العمليات</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A2DC55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يُختبر في قطاع المياه</w:t>
            </w:r>
          </w:p>
        </w:tc>
      </w:tr>
      <w:tr w:rsidR="004032F1" w:rsidRPr="004032F1" w14:paraId="2091C8C9"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C452D90"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Kraus et al. (2021)</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4F1F337"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 transformation in business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10C28D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A88CD1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التحول الرقمي في الإدارة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D30387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DF393B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التحول الرقمي يحسن الأداء المؤسسي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4767C7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يعتمد على الحوكمة التنظيمية</w:t>
            </w:r>
          </w:p>
        </w:tc>
      </w:tr>
      <w:tr w:rsidR="004032F1" w:rsidRPr="004032F1" w14:paraId="0132F6C1"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3D07B8C"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Mergel et al. (2019)</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0206A00"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Defining digital transformation</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68F480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(القطاع العام)</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CC3AE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تحديد متطلبات التحول الرقمي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2FD308D"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مقابلات خبراء</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63C494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الحوكمة شرط لنجاح الرقمنة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1D3B0D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بالأصول</w:t>
            </w:r>
          </w:p>
        </w:tc>
      </w:tr>
      <w:tr w:rsidR="004032F1" w:rsidRPr="004032F1" w14:paraId="147DDD18"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B30FFC4"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Fuller et al. (2020)</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1D0B7C7"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 twin enabling technologies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F272DC2"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D13798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تقنيات التوأم الرقمي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F2A8BF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E48144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التنبؤ بالأعطال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E3E3B8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ركزت على الجانب التقني</w:t>
            </w:r>
          </w:p>
        </w:tc>
      </w:tr>
      <w:tr w:rsidR="004032F1" w:rsidRPr="004032F1" w14:paraId="70AE3B9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B97A6A7"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Zhang et al. (2023)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3E132B4"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 twin in water networks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62FBA8"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في المياه</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5D34D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التوأم الرقمي في المياه</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BC03F7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بيانات</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950B17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كفاءة الأصول والتنبؤ بالأعطال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7B61E1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غياب البعد الحوكمي</w:t>
            </w:r>
          </w:p>
        </w:tc>
      </w:tr>
      <w:tr w:rsidR="004032F1" w:rsidRPr="004032F1" w14:paraId="0406FDC8"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730EFC3"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Quintana et al. (2025)</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B6AF8DC"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Smart water systems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D9F4C7"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المياه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1903C8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أنظمة المياه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56DDBE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9A323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التقنيات تقلل الفاقد وتحسن التشغيل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085472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غياب النماذج السببية</w:t>
            </w:r>
          </w:p>
        </w:tc>
      </w:tr>
      <w:tr w:rsidR="004032F1" w:rsidRPr="004032F1" w14:paraId="63BFDDF8"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B42A2F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Dai et al. (2025)</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73D319"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Smart water management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4764459"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828AAC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نموذج متكامل للمياه</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B2C60B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دراسة تطبيقية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087572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التكامل يحسن القرار التشغيلي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328152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تدمج الحوكمة</w:t>
            </w:r>
          </w:p>
        </w:tc>
      </w:tr>
      <w:tr w:rsidR="004032F1" w:rsidRPr="004032F1" w14:paraId="2DF8356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2B34F7B"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Geissdoerfer et al. (2017)</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3FCFA19"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Circular economy paradigm</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B1377C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4E81B2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الاقتصاد الدائري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766E15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0E0951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كفاءة الموارد</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2C440D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تتناول الأصول</w:t>
            </w:r>
          </w:p>
        </w:tc>
      </w:tr>
      <w:tr w:rsidR="004032F1" w:rsidRPr="004032F1" w14:paraId="5DD66BAB"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62553DC"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lastRenderedPageBreak/>
              <w:t>Smol et al. (2020)</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10EF58B"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Circular economy in water</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5EE8813"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 في المياه</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AE70BA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إطار للاقتصاد الدائري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CB8022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A377A3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تعزيز استدامة الموارد المائية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D5981D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بالأداء المؤسسي</w:t>
            </w:r>
          </w:p>
        </w:tc>
      </w:tr>
      <w:tr w:rsidR="004032F1" w:rsidRPr="004032F1" w14:paraId="68D23B9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5ED6E2B"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Butler et al. (2014)</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0A82272"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Safe and SuRe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D3E1314"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المستدامة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16ED1C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إطار لإدارة المياه</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3730A6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F63BB7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الاستدامة وإدارة المخاطر</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01C4D6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التحول الرقمي بالأصول</w:t>
            </w:r>
          </w:p>
        </w:tc>
      </w:tr>
      <w:tr w:rsidR="004032F1" w:rsidRPr="004032F1" w14:paraId="50D43C00" w14:textId="77777777" w:rsidTr="00F170F1">
        <w:trPr>
          <w:trHeight w:val="202"/>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444DB28"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Elkington (1997)</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0987C6D"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Triple Bottom Line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4EA34D8"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7FA14B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مفهوم الاستدامة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FFA816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84452F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التكامل بين الأبعاد الثلاثة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02EDCA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يتناول إدارة الأصول</w:t>
            </w:r>
          </w:p>
        </w:tc>
      </w:tr>
      <w:tr w:rsidR="004032F1" w:rsidRPr="004032F1" w14:paraId="46D1F81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90EA889"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Porter &amp; Kramer (2011)</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64761F"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Creating shared value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31461E6"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FFC77D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ربط الأداء بالقيمة الاجتماعية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38E514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5D16A1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الأداء المؤسسي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DF9E8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بالتحول الرقمي</w:t>
            </w:r>
          </w:p>
        </w:tc>
      </w:tr>
      <w:tr w:rsidR="004032F1" w:rsidRPr="004032F1" w14:paraId="3038E6BA" w14:textId="77777777" w:rsidTr="00F170F1">
        <w:trPr>
          <w:trHeight w:val="609"/>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02749AD"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Richard et al. (2009)</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E42119D"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Measuring organizational performance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7AAB4D7"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الأداء المؤسسي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AE8674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مفهوم قياس الأداء</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0CE2FE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تحليلية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111BF7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الأداء متعدد الأبعاد</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0EAF15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بالأصول</w:t>
            </w:r>
          </w:p>
        </w:tc>
      </w:tr>
      <w:tr w:rsidR="004032F1" w:rsidRPr="004032F1" w14:paraId="328734B1"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1F844CA"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Melnyk et al. (2014)</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C73BD57"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Performance measurement future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F33A923"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الأداء المؤسسي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BECB1B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مستقبل قياس الأداء</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6A285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نقدي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D99BB3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أهمية تكامل القياس والإدارة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DAFF64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بالتحول الرقمي</w:t>
            </w:r>
          </w:p>
        </w:tc>
      </w:tr>
    </w:tbl>
    <w:p w14:paraId="60287CB6" w14:textId="57CAD29D" w:rsidR="00DD73BF" w:rsidRDefault="00DD73BF" w:rsidP="00DD73BF">
      <w:pPr>
        <w:pStyle w:val="ListParagraph"/>
        <w:bidi/>
        <w:spacing w:line="278" w:lineRule="auto"/>
        <w:ind w:left="0"/>
        <w:jc w:val="both"/>
        <w:rPr>
          <w:rFonts w:ascii="Traditional Arabic" w:hAnsi="Traditional Arabic" w:cs="Traditional Arabic"/>
          <w:b/>
          <w:bCs/>
          <w:sz w:val="28"/>
          <w:szCs w:val="28"/>
          <w:rtl/>
        </w:rPr>
      </w:pPr>
    </w:p>
    <w:p w14:paraId="31062DD4" w14:textId="77777777" w:rsidR="00DB2CB7" w:rsidRDefault="00DB2CB7" w:rsidP="00DB2CB7">
      <w:pPr>
        <w:pStyle w:val="ListParagraph"/>
        <w:bidi/>
        <w:spacing w:line="278" w:lineRule="auto"/>
        <w:ind w:left="0"/>
        <w:jc w:val="both"/>
        <w:rPr>
          <w:rFonts w:ascii="Traditional Arabic" w:hAnsi="Traditional Arabic" w:cs="Traditional Arabic"/>
          <w:b/>
          <w:bCs/>
          <w:sz w:val="28"/>
          <w:szCs w:val="28"/>
          <w:rtl/>
        </w:rPr>
      </w:pPr>
    </w:p>
    <w:p w14:paraId="2AAE12A1" w14:textId="77777777" w:rsidR="006D5E08" w:rsidRDefault="006D5E08" w:rsidP="006D5E08">
      <w:pPr>
        <w:pStyle w:val="ListParagraph"/>
        <w:bidi/>
        <w:spacing w:line="278" w:lineRule="auto"/>
        <w:ind w:left="0"/>
        <w:jc w:val="both"/>
        <w:rPr>
          <w:rFonts w:ascii="Traditional Arabic" w:hAnsi="Traditional Arabic" w:cs="Traditional Arabic"/>
          <w:b/>
          <w:bCs/>
          <w:sz w:val="28"/>
          <w:szCs w:val="28"/>
          <w:rtl/>
        </w:rPr>
      </w:pPr>
    </w:p>
    <w:p w14:paraId="63B4E835" w14:textId="77777777" w:rsidR="00540CDD" w:rsidRDefault="00540CDD" w:rsidP="00540CDD">
      <w:pPr>
        <w:pStyle w:val="ListParagraph"/>
        <w:bidi/>
        <w:spacing w:line="278"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مصفوفة الربط بين الدراسات السابقة ومتغيرات الدراسة</w:t>
      </w:r>
    </w:p>
    <w:tbl>
      <w:tblPr>
        <w:bidiVisual/>
        <w:tblW w:w="0" w:type="auto"/>
        <w:tblLayout w:type="fixed"/>
        <w:tblLook w:val="04A0" w:firstRow="1" w:lastRow="0" w:firstColumn="1" w:lastColumn="0" w:noHBand="0" w:noVBand="1"/>
      </w:tblPr>
      <w:tblGrid>
        <w:gridCol w:w="1476"/>
        <w:gridCol w:w="1247"/>
        <w:gridCol w:w="1247"/>
        <w:gridCol w:w="1247"/>
        <w:gridCol w:w="1247"/>
        <w:gridCol w:w="1247"/>
        <w:gridCol w:w="1493"/>
      </w:tblGrid>
      <w:tr w:rsidR="002B52AC" w:rsidRPr="002B52AC" w14:paraId="2170E222" w14:textId="77777777" w:rsidTr="007E0E57">
        <w:trPr>
          <w:trHeight w:val="567"/>
        </w:trPr>
        <w:tc>
          <w:tcPr>
            <w:tcW w:w="14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A6E220F" w14:textId="77777777" w:rsidR="002B52AC" w:rsidRPr="002B52AC" w:rsidRDefault="002B52AC" w:rsidP="002B52AC">
            <w:pPr>
              <w:bidi/>
              <w:spacing w:after="0" w:line="240" w:lineRule="auto"/>
              <w:jc w:val="center"/>
              <w:rPr>
                <w:rFonts w:ascii="Arial" w:eastAsia="Times New Roman" w:hAnsi="Arial" w:cs="Arial"/>
                <w:b/>
                <w:bCs/>
                <w:color w:val="000000"/>
              </w:rPr>
            </w:pPr>
            <w:r>
              <w:rPr>
                <w:rFonts w:ascii="Arial" w:eastAsia="Times New Roman" w:hAnsi="Arial" w:cs="Arial"/>
                <w:b/>
                <w:bCs/>
                <w:color w:val="000000"/>
                <w:rtl/>
              </w:rPr>
              <w:t>الدراسة</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E1D6F3E"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الحوكمة الذكية</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A417689"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التحول الرقمي</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C6D5DE2"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الاستدامة</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AB76119"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سلامة الأصول</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814C62F"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الأداء المؤسسي</w:t>
            </w:r>
          </w:p>
        </w:tc>
        <w:tc>
          <w:tcPr>
            <w:tcW w:w="14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003EB91"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مجال الدراسة</w:t>
            </w:r>
          </w:p>
        </w:tc>
      </w:tr>
      <w:tr w:rsidR="002B52AC" w:rsidRPr="002B52AC" w14:paraId="3567B984"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29FFEA2"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Meijer &amp; Bolívar (2016)</w:t>
            </w:r>
          </w:p>
        </w:tc>
        <w:tc>
          <w:tcPr>
            <w:tcW w:w="1247" w:type="dxa"/>
            <w:tcBorders>
              <w:top w:val="nil"/>
              <w:left w:val="single" w:sz="4" w:space="0" w:color="auto"/>
              <w:bottom w:val="single" w:sz="4" w:space="0" w:color="auto"/>
              <w:right w:val="single" w:sz="4" w:space="0" w:color="auto"/>
            </w:tcBorders>
            <w:vAlign w:val="center"/>
            <w:hideMark/>
          </w:tcPr>
          <w:p w14:paraId="4EF83CE1"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4446E2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04222D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4402C3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ECE8D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47AC3B32"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في المدن الذكية</w:t>
            </w:r>
          </w:p>
        </w:tc>
      </w:tr>
      <w:tr w:rsidR="002B52AC" w:rsidRPr="002B52AC" w14:paraId="413F3072"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744DA50"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Gil-Garcia et al. (2018)</w:t>
            </w:r>
          </w:p>
        </w:tc>
        <w:tc>
          <w:tcPr>
            <w:tcW w:w="1247" w:type="dxa"/>
            <w:tcBorders>
              <w:top w:val="nil"/>
              <w:left w:val="single" w:sz="4" w:space="0" w:color="auto"/>
              <w:bottom w:val="single" w:sz="4" w:space="0" w:color="auto"/>
              <w:right w:val="single" w:sz="4" w:space="0" w:color="auto"/>
            </w:tcBorders>
            <w:vAlign w:val="center"/>
            <w:hideMark/>
          </w:tcPr>
          <w:p w14:paraId="57781557"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4D7821F"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AA7BF18"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05AE1C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942B8A"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24573955"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الرقمية والمدن الذكية</w:t>
            </w:r>
          </w:p>
        </w:tc>
      </w:tr>
      <w:tr w:rsidR="002B52AC" w:rsidRPr="002B52AC" w14:paraId="59105D1B"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0325297"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Almulhim &amp; Yigitcanlar (2025)</w:t>
            </w:r>
          </w:p>
        </w:tc>
        <w:tc>
          <w:tcPr>
            <w:tcW w:w="1247" w:type="dxa"/>
            <w:tcBorders>
              <w:top w:val="nil"/>
              <w:left w:val="single" w:sz="4" w:space="0" w:color="auto"/>
              <w:bottom w:val="single" w:sz="4" w:space="0" w:color="auto"/>
              <w:right w:val="single" w:sz="4" w:space="0" w:color="auto"/>
            </w:tcBorders>
            <w:vAlign w:val="center"/>
            <w:hideMark/>
          </w:tcPr>
          <w:p w14:paraId="1597482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7B76C63"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2C5ED9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E390C67"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D9DB4F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635627E"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الذكية والتنمية المستدامة</w:t>
            </w:r>
          </w:p>
        </w:tc>
      </w:tr>
      <w:tr w:rsidR="002B52AC" w:rsidRPr="002B52AC" w14:paraId="046BD7F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3D0ACC6"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Hujran et al. (2023)</w:t>
            </w:r>
          </w:p>
        </w:tc>
        <w:tc>
          <w:tcPr>
            <w:tcW w:w="1247" w:type="dxa"/>
            <w:tcBorders>
              <w:top w:val="nil"/>
              <w:left w:val="single" w:sz="4" w:space="0" w:color="auto"/>
              <w:bottom w:val="single" w:sz="4" w:space="0" w:color="auto"/>
              <w:right w:val="single" w:sz="4" w:space="0" w:color="auto"/>
            </w:tcBorders>
            <w:vAlign w:val="center"/>
            <w:hideMark/>
          </w:tcPr>
          <w:p w14:paraId="57810B3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C97E3F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A107FC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602A60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EA70406"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8523298"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نحو الحكومة الذكية</w:t>
            </w:r>
          </w:p>
        </w:tc>
      </w:tr>
      <w:tr w:rsidR="002B52AC" w:rsidRPr="002B52AC" w14:paraId="3BDB3302"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84839F4"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Alajmi et al. (2023)</w:t>
            </w:r>
          </w:p>
        </w:tc>
        <w:tc>
          <w:tcPr>
            <w:tcW w:w="1247" w:type="dxa"/>
            <w:tcBorders>
              <w:top w:val="nil"/>
              <w:left w:val="single" w:sz="4" w:space="0" w:color="auto"/>
              <w:bottom w:val="single" w:sz="4" w:space="0" w:color="auto"/>
              <w:right w:val="single" w:sz="4" w:space="0" w:color="auto"/>
            </w:tcBorders>
            <w:vAlign w:val="center"/>
            <w:hideMark/>
          </w:tcPr>
          <w:p w14:paraId="45E413B7"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D537A9"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3C5229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CDC12C"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786A30"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28E6590"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الحكومة الذكية في السعودية</w:t>
            </w:r>
          </w:p>
        </w:tc>
      </w:tr>
      <w:tr w:rsidR="002B52AC" w:rsidRPr="002B52AC" w14:paraId="3ADB2460"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340AA91"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El-Akruti et al. (2013)</w:t>
            </w:r>
          </w:p>
        </w:tc>
        <w:tc>
          <w:tcPr>
            <w:tcW w:w="1247" w:type="dxa"/>
            <w:tcBorders>
              <w:top w:val="nil"/>
              <w:left w:val="single" w:sz="4" w:space="0" w:color="auto"/>
              <w:bottom w:val="single" w:sz="4" w:space="0" w:color="auto"/>
              <w:right w:val="single" w:sz="4" w:space="0" w:color="auto"/>
            </w:tcBorders>
            <w:vAlign w:val="center"/>
            <w:hideMark/>
          </w:tcPr>
          <w:p w14:paraId="42DC6A8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EF551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4A05F5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775B251"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946ABF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6740C53A"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 الاستراتيجية</w:t>
            </w:r>
          </w:p>
        </w:tc>
      </w:tr>
      <w:tr w:rsidR="002B52AC" w:rsidRPr="002B52AC" w14:paraId="7D665930"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40F5CB5"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Hastings (2021)</w:t>
            </w:r>
          </w:p>
        </w:tc>
        <w:tc>
          <w:tcPr>
            <w:tcW w:w="1247" w:type="dxa"/>
            <w:tcBorders>
              <w:top w:val="nil"/>
              <w:left w:val="single" w:sz="4" w:space="0" w:color="auto"/>
              <w:bottom w:val="single" w:sz="4" w:space="0" w:color="auto"/>
              <w:right w:val="single" w:sz="4" w:space="0" w:color="auto"/>
            </w:tcBorders>
            <w:vAlign w:val="center"/>
            <w:hideMark/>
          </w:tcPr>
          <w:p w14:paraId="5C64397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BFD3611"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C0FE79F"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357023"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21BE37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32F1B2D5"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 الفيزيائية</w:t>
            </w:r>
          </w:p>
        </w:tc>
      </w:tr>
      <w:tr w:rsidR="002B52AC" w:rsidRPr="002B52AC" w14:paraId="31160E15"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5A786F09"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Vial (2019)</w:t>
            </w:r>
          </w:p>
        </w:tc>
        <w:tc>
          <w:tcPr>
            <w:tcW w:w="1247" w:type="dxa"/>
            <w:tcBorders>
              <w:top w:val="nil"/>
              <w:left w:val="single" w:sz="4" w:space="0" w:color="auto"/>
              <w:bottom w:val="single" w:sz="4" w:space="0" w:color="auto"/>
              <w:right w:val="single" w:sz="4" w:space="0" w:color="auto"/>
            </w:tcBorders>
            <w:vAlign w:val="center"/>
            <w:hideMark/>
          </w:tcPr>
          <w:p w14:paraId="59489BF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1950C1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DFD4CE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7D355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374B74E"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FA8FD9C"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في المؤسسات</w:t>
            </w:r>
          </w:p>
        </w:tc>
      </w:tr>
      <w:tr w:rsidR="002B52AC" w:rsidRPr="002B52AC" w14:paraId="78AFE7A1"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6270F40"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Kraus et al. (2021)</w:t>
            </w:r>
          </w:p>
        </w:tc>
        <w:tc>
          <w:tcPr>
            <w:tcW w:w="1247" w:type="dxa"/>
            <w:tcBorders>
              <w:top w:val="nil"/>
              <w:left w:val="single" w:sz="4" w:space="0" w:color="auto"/>
              <w:bottom w:val="single" w:sz="4" w:space="0" w:color="auto"/>
              <w:right w:val="single" w:sz="4" w:space="0" w:color="auto"/>
            </w:tcBorders>
            <w:vAlign w:val="center"/>
            <w:hideMark/>
          </w:tcPr>
          <w:p w14:paraId="1380D901"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111AB2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DE0661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4BA4A0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9B743DD"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6B35426"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والأداء المؤسسي</w:t>
            </w:r>
          </w:p>
        </w:tc>
      </w:tr>
      <w:tr w:rsidR="002B52AC" w:rsidRPr="002B52AC" w14:paraId="0C1B7A19"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F5603AD"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Mergel et al. (2019)</w:t>
            </w:r>
          </w:p>
        </w:tc>
        <w:tc>
          <w:tcPr>
            <w:tcW w:w="1247" w:type="dxa"/>
            <w:tcBorders>
              <w:top w:val="nil"/>
              <w:left w:val="single" w:sz="4" w:space="0" w:color="auto"/>
              <w:bottom w:val="single" w:sz="4" w:space="0" w:color="auto"/>
              <w:right w:val="single" w:sz="4" w:space="0" w:color="auto"/>
            </w:tcBorders>
            <w:vAlign w:val="center"/>
            <w:hideMark/>
          </w:tcPr>
          <w:p w14:paraId="71D7C4CF"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DA6258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9FB388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5B3CC8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DBA8088"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36E1B64D"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في القطاع العام</w:t>
            </w:r>
          </w:p>
        </w:tc>
      </w:tr>
      <w:tr w:rsidR="002B52AC" w:rsidRPr="002B52AC" w14:paraId="44CE730F"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527C78F"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Fuller et al. (2020)</w:t>
            </w:r>
          </w:p>
        </w:tc>
        <w:tc>
          <w:tcPr>
            <w:tcW w:w="1247" w:type="dxa"/>
            <w:tcBorders>
              <w:top w:val="nil"/>
              <w:left w:val="single" w:sz="4" w:space="0" w:color="auto"/>
              <w:bottom w:val="single" w:sz="4" w:space="0" w:color="auto"/>
              <w:right w:val="single" w:sz="4" w:space="0" w:color="auto"/>
            </w:tcBorders>
            <w:vAlign w:val="center"/>
            <w:hideMark/>
          </w:tcPr>
          <w:p w14:paraId="321F6E7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ADCFFC6"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B4D528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062F73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FB265A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9F27063"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التوأم الرقمي</w:t>
            </w:r>
          </w:p>
        </w:tc>
      </w:tr>
      <w:tr w:rsidR="002B52AC" w:rsidRPr="002B52AC" w14:paraId="112C5E8B"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F20F245"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lastRenderedPageBreak/>
              <w:t>Zhang et al. (2023)</w:t>
            </w:r>
          </w:p>
        </w:tc>
        <w:tc>
          <w:tcPr>
            <w:tcW w:w="1247" w:type="dxa"/>
            <w:tcBorders>
              <w:top w:val="nil"/>
              <w:left w:val="single" w:sz="4" w:space="0" w:color="auto"/>
              <w:bottom w:val="single" w:sz="4" w:space="0" w:color="auto"/>
              <w:right w:val="single" w:sz="4" w:space="0" w:color="auto"/>
            </w:tcBorders>
            <w:vAlign w:val="center"/>
            <w:hideMark/>
          </w:tcPr>
          <w:p w14:paraId="6DFB2984"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7748EB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D949DC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975F98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DF314F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17784BE"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التوأم الرقمي في المياه</w:t>
            </w:r>
          </w:p>
        </w:tc>
      </w:tr>
      <w:tr w:rsidR="002B52AC" w:rsidRPr="002B52AC" w14:paraId="6B0AA856"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E33B52A"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Quintana et al. (2025)</w:t>
            </w:r>
          </w:p>
        </w:tc>
        <w:tc>
          <w:tcPr>
            <w:tcW w:w="1247" w:type="dxa"/>
            <w:tcBorders>
              <w:top w:val="nil"/>
              <w:left w:val="single" w:sz="4" w:space="0" w:color="auto"/>
              <w:bottom w:val="single" w:sz="4" w:space="0" w:color="auto"/>
              <w:right w:val="single" w:sz="4" w:space="0" w:color="auto"/>
            </w:tcBorders>
            <w:vAlign w:val="center"/>
            <w:hideMark/>
          </w:tcPr>
          <w:p w14:paraId="50B9EEB7"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807B009"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9F8FCAC"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0021D30"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C2697F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6FA01320"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أنظمة المياه الذكية</w:t>
            </w:r>
          </w:p>
        </w:tc>
      </w:tr>
      <w:tr w:rsidR="002B52AC" w:rsidRPr="002B52AC" w14:paraId="11B2DD2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2E8D2DF"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Dai et al. (2025)</w:t>
            </w:r>
          </w:p>
        </w:tc>
        <w:tc>
          <w:tcPr>
            <w:tcW w:w="1247" w:type="dxa"/>
            <w:tcBorders>
              <w:top w:val="nil"/>
              <w:left w:val="single" w:sz="4" w:space="0" w:color="auto"/>
              <w:bottom w:val="single" w:sz="4" w:space="0" w:color="auto"/>
              <w:right w:val="single" w:sz="4" w:space="0" w:color="auto"/>
            </w:tcBorders>
            <w:vAlign w:val="center"/>
            <w:hideMark/>
          </w:tcPr>
          <w:p w14:paraId="08EE709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E61C71D"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8208C36"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3AFC3F1"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8FCC39A"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03E8B6A0"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الذكية</w:t>
            </w:r>
          </w:p>
        </w:tc>
      </w:tr>
      <w:tr w:rsidR="002B52AC" w:rsidRPr="002B52AC" w14:paraId="2BFC7BB5"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5DA465C"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Geissdoerfer et al. (2017)</w:t>
            </w:r>
          </w:p>
        </w:tc>
        <w:tc>
          <w:tcPr>
            <w:tcW w:w="1247" w:type="dxa"/>
            <w:tcBorders>
              <w:top w:val="nil"/>
              <w:left w:val="single" w:sz="4" w:space="0" w:color="auto"/>
              <w:bottom w:val="single" w:sz="4" w:space="0" w:color="auto"/>
              <w:right w:val="single" w:sz="4" w:space="0" w:color="auto"/>
            </w:tcBorders>
            <w:vAlign w:val="center"/>
            <w:hideMark/>
          </w:tcPr>
          <w:p w14:paraId="71C9E53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96AD50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27C59E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792726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83C823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45C1774"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الاقتصاد الدائري</w:t>
            </w:r>
          </w:p>
        </w:tc>
      </w:tr>
      <w:tr w:rsidR="002B52AC" w:rsidRPr="002B52AC" w14:paraId="7578A1BD"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0229BEF"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Smol et al. (2020)</w:t>
            </w:r>
          </w:p>
        </w:tc>
        <w:tc>
          <w:tcPr>
            <w:tcW w:w="1247" w:type="dxa"/>
            <w:tcBorders>
              <w:top w:val="nil"/>
              <w:left w:val="single" w:sz="4" w:space="0" w:color="auto"/>
              <w:bottom w:val="single" w:sz="4" w:space="0" w:color="auto"/>
              <w:right w:val="single" w:sz="4" w:space="0" w:color="auto"/>
            </w:tcBorders>
            <w:vAlign w:val="center"/>
            <w:hideMark/>
          </w:tcPr>
          <w:p w14:paraId="1AC4D6C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C6F3CB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278544E"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D46ED6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50F7E8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E76250F"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 في المياه</w:t>
            </w:r>
          </w:p>
        </w:tc>
      </w:tr>
      <w:tr w:rsidR="002B52AC" w:rsidRPr="002B52AC" w14:paraId="34B95BED"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2FE1C214"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Butler et al. (2014)</w:t>
            </w:r>
          </w:p>
        </w:tc>
        <w:tc>
          <w:tcPr>
            <w:tcW w:w="1247" w:type="dxa"/>
            <w:tcBorders>
              <w:top w:val="nil"/>
              <w:left w:val="single" w:sz="4" w:space="0" w:color="auto"/>
              <w:bottom w:val="single" w:sz="4" w:space="0" w:color="auto"/>
              <w:right w:val="single" w:sz="4" w:space="0" w:color="auto"/>
            </w:tcBorders>
            <w:vAlign w:val="center"/>
            <w:hideMark/>
          </w:tcPr>
          <w:p w14:paraId="02DF3AD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8E0AE6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E8EB77F"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422886E"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BD8E98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B84E7B1"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المستدامة</w:t>
            </w:r>
          </w:p>
        </w:tc>
      </w:tr>
      <w:tr w:rsidR="002B52AC" w:rsidRPr="002B52AC" w14:paraId="05D625B5"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460858DB"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Elkington (1997)</w:t>
            </w:r>
          </w:p>
        </w:tc>
        <w:tc>
          <w:tcPr>
            <w:tcW w:w="1247" w:type="dxa"/>
            <w:tcBorders>
              <w:top w:val="nil"/>
              <w:left w:val="single" w:sz="4" w:space="0" w:color="auto"/>
              <w:bottom w:val="single" w:sz="4" w:space="0" w:color="auto"/>
              <w:right w:val="single" w:sz="4" w:space="0" w:color="auto"/>
            </w:tcBorders>
            <w:vAlign w:val="center"/>
            <w:hideMark/>
          </w:tcPr>
          <w:p w14:paraId="4945A78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0386A9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F5EE5F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6A857B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33B044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A1F824A"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r>
      <w:tr w:rsidR="002B52AC" w:rsidRPr="002B52AC" w14:paraId="2EC89652"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371358C"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Porter &amp; Kramer (2011)</w:t>
            </w:r>
          </w:p>
        </w:tc>
        <w:tc>
          <w:tcPr>
            <w:tcW w:w="1247" w:type="dxa"/>
            <w:tcBorders>
              <w:top w:val="nil"/>
              <w:left w:val="single" w:sz="4" w:space="0" w:color="auto"/>
              <w:bottom w:val="single" w:sz="4" w:space="0" w:color="auto"/>
              <w:right w:val="single" w:sz="4" w:space="0" w:color="auto"/>
            </w:tcBorders>
            <w:vAlign w:val="center"/>
            <w:hideMark/>
          </w:tcPr>
          <w:p w14:paraId="291FF674"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A3E9BA1"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EE5410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BFBDB8C"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82239F7"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441683BC"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القيمة المشتركة</w:t>
            </w:r>
          </w:p>
        </w:tc>
      </w:tr>
      <w:tr w:rsidR="002B52AC" w:rsidRPr="002B52AC" w14:paraId="53F62F9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03B8527"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Richard et al. (2009)</w:t>
            </w:r>
          </w:p>
        </w:tc>
        <w:tc>
          <w:tcPr>
            <w:tcW w:w="1247" w:type="dxa"/>
            <w:tcBorders>
              <w:top w:val="nil"/>
              <w:left w:val="single" w:sz="4" w:space="0" w:color="auto"/>
              <w:bottom w:val="single" w:sz="4" w:space="0" w:color="auto"/>
              <w:right w:val="single" w:sz="4" w:space="0" w:color="auto"/>
            </w:tcBorders>
            <w:vAlign w:val="center"/>
            <w:hideMark/>
          </w:tcPr>
          <w:p w14:paraId="6670204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69422D4"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C091EB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4EB59E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3E5829D"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6D0666D"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الأداء المؤسسي</w:t>
            </w:r>
          </w:p>
        </w:tc>
      </w:tr>
      <w:tr w:rsidR="002B52AC" w:rsidRPr="002B52AC" w14:paraId="508BD74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268BFB49"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Melnyk et al. (2014)</w:t>
            </w:r>
          </w:p>
        </w:tc>
        <w:tc>
          <w:tcPr>
            <w:tcW w:w="1247" w:type="dxa"/>
            <w:tcBorders>
              <w:top w:val="nil"/>
              <w:left w:val="single" w:sz="4" w:space="0" w:color="auto"/>
              <w:bottom w:val="single" w:sz="4" w:space="0" w:color="auto"/>
              <w:right w:val="single" w:sz="4" w:space="0" w:color="auto"/>
            </w:tcBorders>
            <w:vAlign w:val="center"/>
            <w:hideMark/>
          </w:tcPr>
          <w:p w14:paraId="6333F40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B25F94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AD8E3DF"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DAABC0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9FB2B9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23C4D0D2"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قياس الأداء المؤسسي</w:t>
            </w:r>
          </w:p>
        </w:tc>
      </w:tr>
      <w:tr w:rsidR="002B52AC" w:rsidRPr="002B52AC" w14:paraId="6CAAAA7E"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FCE106A" w14:textId="77777777" w:rsidR="002B52AC" w:rsidRPr="002B52AC" w:rsidRDefault="002B52AC" w:rsidP="002B52AC">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العابد (2024)</w:t>
            </w:r>
          </w:p>
        </w:tc>
        <w:tc>
          <w:tcPr>
            <w:tcW w:w="1247" w:type="dxa"/>
            <w:tcBorders>
              <w:top w:val="nil"/>
              <w:left w:val="single" w:sz="4" w:space="0" w:color="auto"/>
              <w:bottom w:val="single" w:sz="4" w:space="0" w:color="auto"/>
              <w:right w:val="single" w:sz="4" w:space="0" w:color="auto"/>
            </w:tcBorders>
            <w:vAlign w:val="center"/>
            <w:hideMark/>
          </w:tcPr>
          <w:p w14:paraId="3F587BA3"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08C00D8"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609362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A6EA41F"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19B171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5D0F743"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والاستدامة</w:t>
            </w:r>
          </w:p>
        </w:tc>
      </w:tr>
      <w:tr w:rsidR="002B52AC" w:rsidRPr="002B52AC" w14:paraId="17F1A61B"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A5B8601" w14:textId="77777777" w:rsidR="002B52AC" w:rsidRPr="002B52AC" w:rsidRDefault="002B52AC" w:rsidP="002B52AC">
            <w:pPr>
              <w:bidi/>
              <w:spacing w:after="0" w:line="240" w:lineRule="auto"/>
              <w:jc w:val="center"/>
              <w:rPr>
                <w:rFonts w:ascii="Arial" w:eastAsia="Times New Roman" w:hAnsi="Arial" w:cs="Arial"/>
                <w:color w:val="000000"/>
                <w:rtl/>
              </w:rPr>
            </w:pPr>
            <w:r>
              <w:rPr>
                <w:rFonts w:ascii="Arial" w:eastAsia="Times New Roman" w:hAnsi="Arial" w:cs="Arial"/>
                <w:color w:val="000000"/>
                <w:rtl/>
              </w:rPr>
              <w:t>عبدالراضي (2020)</w:t>
            </w:r>
          </w:p>
        </w:tc>
        <w:tc>
          <w:tcPr>
            <w:tcW w:w="1247" w:type="dxa"/>
            <w:tcBorders>
              <w:top w:val="nil"/>
              <w:left w:val="single" w:sz="4" w:space="0" w:color="auto"/>
              <w:bottom w:val="single" w:sz="4" w:space="0" w:color="auto"/>
              <w:right w:val="single" w:sz="4" w:space="0" w:color="auto"/>
            </w:tcBorders>
            <w:vAlign w:val="center"/>
            <w:hideMark/>
          </w:tcPr>
          <w:p w14:paraId="5430B34C"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B5B49C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829D84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85A907A"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565881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3239AAC"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والأداء المؤسسي</w:t>
            </w:r>
          </w:p>
        </w:tc>
      </w:tr>
    </w:tbl>
    <w:p w14:paraId="53E4F0E5" w14:textId="77777777" w:rsidR="00540CDD" w:rsidRDefault="00540CDD" w:rsidP="00540CDD">
      <w:pPr>
        <w:pStyle w:val="ListParagraph"/>
        <w:bidi/>
        <w:spacing w:line="278" w:lineRule="auto"/>
        <w:ind w:left="0"/>
        <w:jc w:val="both"/>
        <w:rPr>
          <w:rFonts w:ascii="Traditional Arabic" w:hAnsi="Traditional Arabic" w:cs="Traditional Arabic"/>
          <w:b/>
          <w:bCs/>
          <w:sz w:val="28"/>
          <w:szCs w:val="28"/>
          <w:rtl/>
        </w:rPr>
      </w:pPr>
    </w:p>
    <w:p w14:paraId="249890AF" w14:textId="77777777" w:rsidR="000C19EE" w:rsidRPr="00540CDD" w:rsidRDefault="000C19EE" w:rsidP="000C19EE">
      <w:pPr>
        <w:pStyle w:val="ListParagraph"/>
        <w:bidi/>
        <w:spacing w:line="278" w:lineRule="auto"/>
        <w:jc w:val="both"/>
        <w:rPr>
          <w:rFonts w:ascii="Traditional Arabic" w:hAnsi="Traditional Arabic" w:cs="Traditional Arabic"/>
          <w:b/>
          <w:bCs/>
          <w:sz w:val="28"/>
          <w:szCs w:val="28"/>
        </w:rPr>
      </w:pPr>
      <w:r>
        <w:rPr>
          <w:rFonts w:ascii="Segoe UI Symbol" w:hAnsi="Segoe UI Symbol" w:cs="Segoe UI Symbol"/>
          <w:b/>
          <w:bCs/>
          <w:sz w:val="28"/>
          <w:szCs w:val="28"/>
        </w:rPr>
        <w:t>✔</w:t>
      </w:r>
      <w:r>
        <w:rPr>
          <w:rFonts w:ascii="Traditional Arabic" w:hAnsi="Traditional Arabic" w:cs="Traditional Arabic"/>
          <w:b/>
          <w:bCs/>
          <w:sz w:val="28"/>
          <w:szCs w:val="28"/>
        </w:rPr>
        <w:t xml:space="preserve"> = </w:t>
      </w:r>
      <w:r>
        <w:rPr>
          <w:rFonts w:ascii="Traditional Arabic" w:hAnsi="Traditional Arabic" w:cs="Traditional Arabic"/>
          <w:b/>
          <w:bCs/>
          <w:sz w:val="28"/>
          <w:szCs w:val="28"/>
          <w:rtl/>
        </w:rPr>
        <w:t>تناولت الدراسة المتغير</w:t>
      </w:r>
    </w:p>
    <w:p w14:paraId="2C2891BD" w14:textId="77777777" w:rsidR="006D5E08" w:rsidRPr="00DD73BF" w:rsidRDefault="006D5E08" w:rsidP="006D5E08">
      <w:pPr>
        <w:pStyle w:val="ListParagraph"/>
        <w:bidi/>
        <w:spacing w:line="278" w:lineRule="auto"/>
        <w:ind w:left="0"/>
        <w:jc w:val="both"/>
        <w:rPr>
          <w:rFonts w:ascii="Traditional Arabic" w:hAnsi="Traditional Arabic" w:cs="Traditional Arabic"/>
          <w:b/>
          <w:bCs/>
          <w:sz w:val="28"/>
          <w:szCs w:val="28"/>
        </w:rPr>
      </w:pPr>
    </w:p>
    <w:p w14:paraId="4F4B70EF" w14:textId="6A640FF8" w:rsidR="006D40D0" w:rsidRPr="006D40D0" w:rsidRDefault="00B5427B" w:rsidP="00631A3A">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ا</w:t>
      </w:r>
      <w:r>
        <w:rPr>
          <w:rFonts w:ascii="Traditional Arabic" w:hAnsi="Traditional Arabic" w:cs="Traditional Arabic"/>
          <w:b/>
          <w:bCs/>
          <w:sz w:val="28"/>
          <w:szCs w:val="28"/>
          <w:rtl/>
        </w:rPr>
        <w:t>لتحليل النقدي التكاملـي للأدبيات وتحديد الفجوة البحثية في حوكمة أصول البنية التحتية المائية</w:t>
      </w:r>
    </w:p>
    <w:p w14:paraId="1C38714B" w14:textId="77777777" w:rsidR="006D40D0" w:rsidRPr="006D40D0" w:rsidRDefault="006D40D0" w:rsidP="006D40D0">
      <w:pPr>
        <w:bidi/>
        <w:rPr>
          <w:rFonts w:ascii="Traditional Arabic" w:hAnsi="Traditional Arabic" w:cs="Traditional Arabic"/>
          <w:b/>
          <w:bCs/>
          <w:sz w:val="28"/>
          <w:szCs w:val="28"/>
        </w:rPr>
      </w:pPr>
      <w:r>
        <w:rPr>
          <w:rFonts w:ascii="Traditional Arabic" w:hAnsi="Traditional Arabic" w:cs="Traditional Arabic"/>
          <w:b/>
          <w:bCs/>
          <w:sz w:val="28"/>
          <w:szCs w:val="28"/>
          <w:rtl/>
        </w:rPr>
        <w:t>أولًا: التحليل النقدي التكاملـي للأدبيات</w:t>
      </w:r>
    </w:p>
    <w:p w14:paraId="5EA43475"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تشير مراجعة الأدبيات العلمية المرتبطة بموضوع الدراسة إلى تنامي الاهتمام البحثي بقضايا التحول الرقمي والحوكمة المؤسسية والاستدامة وإدارة الأصول والأداء المؤسسي خلال السنوات الأخيرة، خاصة في القطاعات الخدمية والبنية التحتية. إلا أن هذا الاهتمام البحثي، على الرغم من اتساعه، اتسم في كثير من الأحيان بالطابع الجزئي أو القطاعي، حيث ركزت معظم الدراسات على تناول هذه المتغيرات بصورة منفصلة أو ضمن نماذج تحليلية محدودة لا تعكس طبيعة التفاعل المعقد بينها في البيئات التشغيلية المعاصرة</w:t>
      </w:r>
      <w:r>
        <w:rPr>
          <w:rFonts w:ascii="Traditional Arabic" w:hAnsi="Traditional Arabic" w:cs="Traditional Arabic"/>
          <w:sz w:val="28"/>
          <w:szCs w:val="28"/>
        </w:rPr>
        <w:t>.</w:t>
      </w:r>
    </w:p>
    <w:p w14:paraId="5C7D5E3F"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ففيما يتعلق بمحور الحوكمة الذكية، ركزت العديد من الدراسات على تحليل أبعاد الحوكمة الرقمية وأدوارها في تعزيز الشفافية وتحسين كفاءة الإدارة العامة، إلا أن معظم هذه الدراسات تناولت الحوكمة الذكية في سياقات حضرية أو إدارية عامة، دون اختبار دورها في إدارة أصول البنية التحتية أو تحليل أثرها في سلامة الأصول وكفاءة تشغيلها</w:t>
      </w:r>
      <w:r>
        <w:rPr>
          <w:rFonts w:ascii="Traditional Arabic" w:hAnsi="Traditional Arabic" w:cs="Traditional Arabic"/>
          <w:sz w:val="28"/>
          <w:szCs w:val="28"/>
        </w:rPr>
        <w:t>.</w:t>
      </w:r>
    </w:p>
    <w:p w14:paraId="50957D63"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أما في محور إدارة الأصول، فقد ركزت الأدبيات التقليدية على إدارة دورة حياة الأصول وتقليل المخاطر التشغيلية وتعظيم القيمة الاقتصادية للأصول، بينما بدأت الدراسات الحديثة في إدخال التقنيات الرقمية لتعزيز كفاءة إدارة الأصول وموثوقيتها. ومع ذلك، ظل الربط بين إدارة الأصول والحوكمة الذكية محدودًا، كما لم يتم تناول سلامة الأصول بوصفها متغيرًا وسيطًا يفسر العلاقة بين التحول الرقمي والأداء المؤسسي</w:t>
      </w:r>
      <w:r>
        <w:rPr>
          <w:rFonts w:ascii="Traditional Arabic" w:hAnsi="Traditional Arabic" w:cs="Traditional Arabic"/>
          <w:sz w:val="28"/>
          <w:szCs w:val="28"/>
        </w:rPr>
        <w:t>.</w:t>
      </w:r>
    </w:p>
    <w:p w14:paraId="11F82B64"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وفيما يتعلق بمحور التحول الرقمي في قطاع المياه، فقد أكدت العديد من الدراسات فاعلية التقنيات الرقمية مثل أنظمة الاستشعار الذكية والتوأم الرقمي والتحليلات التنبؤية في تحسين كفاءة التشغيل وتقليل الأعطال والفاقد المائي. غير أن هذه الدراسات ركزت في معظمها على البعد التقني للرقمنة، دون تحليل الأطر التنظيمية والحوكمية التي تنظم استخدام البيانات الرقمية وتحولها إلى قرارات تشغيلية واستراتيجية تعزز الأداء المؤسسي</w:t>
      </w:r>
      <w:r>
        <w:rPr>
          <w:rFonts w:ascii="Traditional Arabic" w:hAnsi="Traditional Arabic" w:cs="Traditional Arabic"/>
          <w:sz w:val="28"/>
          <w:szCs w:val="28"/>
        </w:rPr>
        <w:t>.</w:t>
      </w:r>
    </w:p>
    <w:p w14:paraId="78A5486F"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أما في محور الاستدامة المؤسسية، فقد أبرزت الأدبيات أهمية دمج الأبعاد البيئية والاقتصادية والاجتماعية في إدارة الموارد المائية لضمان استدامة الخدمات والبنية التحتية على المدى الطويل. ومع ذلك، فإن معظم هذه الدراسات تناولت الاستدامة بوصفها إطارًا معياريًا أو بيئيًا عامًا، دون اختبار علاقتها التشغيلية بسلامة الأصول أو بدورها في تحسين الأداء المؤسسي في المؤسسات كثيفة الأصول</w:t>
      </w:r>
      <w:r>
        <w:rPr>
          <w:rFonts w:ascii="Traditional Arabic" w:hAnsi="Traditional Arabic" w:cs="Traditional Arabic"/>
          <w:sz w:val="28"/>
          <w:szCs w:val="28"/>
        </w:rPr>
        <w:t>.</w:t>
      </w:r>
    </w:p>
    <w:p w14:paraId="77D8B17F"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وفيما يتعلق بمحور الأداء المؤسسي، فقد أكدت الأدبيات أهمية استخدام مؤشرات متعددة الأبعاد لقياس الأداء التنظيمي، تجمع بين المؤشرات المالية والتشغيلية والتنظيمية. إلا أن الربط بين الأداء المؤسسي وكفاءة إدارة الأصول أو التحول الرقمي لا يزال محدودًا في الدراسات التطبيقية، خصوصًا في قطاعات البنية التحتية</w:t>
      </w:r>
      <w:r>
        <w:rPr>
          <w:rFonts w:ascii="Traditional Arabic" w:hAnsi="Traditional Arabic" w:cs="Traditional Arabic"/>
          <w:sz w:val="28"/>
          <w:szCs w:val="28"/>
        </w:rPr>
        <w:t>.</w:t>
      </w:r>
    </w:p>
    <w:p w14:paraId="4F1E59FC"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أما على مستوى السياق المؤسسي في المملكة العربية السعودية، فقد ركزت الدراسات المحلية على تحليل الحوكمة الرقمية وجودة الخدمات الحكومية أو تطبيق التقنيات الذكية في إدارة الموارد المائية. إلا أن هذه الدراسات لم تقدم نموذجًا تحليليًا متكاملًا يفسر العلاقة بين التحول الرقمي والحوكمة الذكية والاستدامة المؤسسية وسلامة الأصول والأداء المؤسسي في قطاع المياه</w:t>
      </w:r>
      <w:r>
        <w:rPr>
          <w:rFonts w:ascii="Traditional Arabic" w:hAnsi="Traditional Arabic" w:cs="Traditional Arabic"/>
          <w:sz w:val="28"/>
          <w:szCs w:val="28"/>
        </w:rPr>
        <w:t>.</w:t>
      </w:r>
    </w:p>
    <w:p w14:paraId="5A6EF455"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وفي ضوء ما سبق، يمكن تحديد الفجوة البحثية في غياب نموذج تحليلي كمي متكامل يفسر العلاقات المتبادلة بين التحول الرقمي والحوكمة الذكية والاستدامة المؤسسية وسلامة أصول البنية التحتية والأداء المؤسسي في قطاع المياه، خاصة في السياق المؤسسي في المملكة العربية السعودية</w:t>
      </w:r>
      <w:r>
        <w:rPr>
          <w:rFonts w:ascii="Traditional Arabic" w:hAnsi="Traditional Arabic" w:cs="Traditional Arabic"/>
          <w:sz w:val="28"/>
          <w:szCs w:val="28"/>
        </w:rPr>
        <w:t>.</w:t>
      </w:r>
    </w:p>
    <w:p w14:paraId="6DA04E46"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ومن ثم، تسعى الدراسة الحالية إلى سد هذه الفجوة من خلال تطوير نموذج حوكمة ذكي لإدارة أصول البنية التحتية المائية يدمج بين التحول الرقمي والاستدامة المؤسسية، ويختبر أثرهما في سلامة الأصول والأداء المؤسسي باستخدام نمذجة المعادلات الهيكلية</w:t>
      </w:r>
      <w:r>
        <w:rPr>
          <w:rFonts w:ascii="Traditional Arabic" w:hAnsi="Traditional Arabic" w:cs="Traditional Arabic"/>
          <w:sz w:val="28"/>
          <w:szCs w:val="28"/>
        </w:rPr>
        <w:t xml:space="preserve"> (SEM/PLS)</w:t>
      </w:r>
      <w:r>
        <w:rPr>
          <w:rFonts w:ascii="Traditional Arabic" w:hAnsi="Traditional Arabic" w:cs="Traditional Arabic"/>
          <w:sz w:val="28"/>
          <w:szCs w:val="28"/>
          <w:rtl/>
        </w:rPr>
        <w:t>، بما يسهم في تقديم إطار تحليلي يدعم تطوير إدارة الأصول في قطاع المياه ويعزز التوجه نحو إدارة أكثر ذكاءً واستدامة للبنية التحتية المائية في المملكة</w:t>
      </w:r>
      <w:r>
        <w:rPr>
          <w:rFonts w:ascii="Traditional Arabic" w:hAnsi="Traditional Arabic" w:cs="Traditional Arabic"/>
          <w:sz w:val="28"/>
          <w:szCs w:val="28"/>
        </w:rPr>
        <w:t>.</w:t>
      </w:r>
    </w:p>
    <w:p w14:paraId="3C6282B0" w14:textId="77777777" w:rsidR="00B5427B" w:rsidRPr="00403982" w:rsidRDefault="00B5427B" w:rsidP="00B5427B">
      <w:pPr>
        <w:bidi/>
        <w:jc w:val="both"/>
        <w:rPr>
          <w:rFonts w:ascii="Traditional Arabic" w:hAnsi="Traditional Arabic" w:cs="Traditional Arabic"/>
          <w:sz w:val="28"/>
          <w:szCs w:val="28"/>
        </w:rPr>
      </w:pPr>
    </w:p>
    <w:p w14:paraId="70D2A7ED" w14:textId="77777777" w:rsidR="006D40D0" w:rsidRPr="006D40D0" w:rsidRDefault="006D40D0" w:rsidP="006D40D0">
      <w:pPr>
        <w:bidi/>
        <w:rPr>
          <w:rFonts w:ascii="Traditional Arabic" w:hAnsi="Traditional Arabic" w:cs="Traditional Arabic"/>
          <w:b/>
          <w:bCs/>
          <w:sz w:val="28"/>
          <w:szCs w:val="28"/>
        </w:rPr>
      </w:pPr>
      <w:r>
        <w:rPr>
          <w:rFonts w:ascii="Traditional Arabic" w:hAnsi="Traditional Arabic" w:cs="Traditional Arabic"/>
          <w:b/>
          <w:bCs/>
          <w:sz w:val="28"/>
          <w:szCs w:val="28"/>
          <w:rtl/>
        </w:rPr>
        <w:t>ثانيًا: أوجه القصور المنهجية في الأدبيات</w:t>
      </w:r>
    </w:p>
    <w:p w14:paraId="5C81330C" w14:textId="77777777" w:rsidR="006D40D0" w:rsidRPr="006D40D0" w:rsidRDefault="006D40D0" w:rsidP="006D40D0">
      <w:pPr>
        <w:bidi/>
        <w:rPr>
          <w:rFonts w:ascii="Traditional Arabic" w:hAnsi="Traditional Arabic" w:cs="Traditional Arabic"/>
          <w:b/>
          <w:bCs/>
          <w:sz w:val="28"/>
          <w:szCs w:val="28"/>
        </w:rPr>
      </w:pPr>
      <w:r>
        <w:rPr>
          <w:rFonts w:ascii="Traditional Arabic" w:hAnsi="Traditional Arabic" w:cs="Traditional Arabic"/>
          <w:b/>
          <w:bCs/>
          <w:sz w:val="28"/>
          <w:szCs w:val="28"/>
          <w:rtl/>
        </w:rPr>
        <w:t>استنادًا إلى التحليل السابق، يمكن تحديد عدد من الملاحظات المنهجية الجوهرية في الأدبيات الحالية:</w:t>
      </w:r>
    </w:p>
    <w:p w14:paraId="63902840"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غلبة الطابع المفاهيمي أو الوصفي، مقابل محدودية الدراسات الكمية السببية.</w:t>
      </w:r>
    </w:p>
    <w:p w14:paraId="2C6517BC"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ضعف توظيف نمذجة المعادلات الهيكلية (</w:t>
      </w:r>
      <w:r>
        <w:rPr>
          <w:rFonts w:ascii="Traditional Arabic" w:hAnsi="Traditional Arabic" w:cs="Traditional Arabic"/>
          <w:sz w:val="28"/>
          <w:szCs w:val="28"/>
        </w:rPr>
        <w:t>SEM/PLS</w:t>
      </w:r>
      <w:r>
        <w:rPr>
          <w:rFonts w:ascii="Traditional Arabic" w:hAnsi="Traditional Arabic" w:cs="Traditional Arabic"/>
          <w:sz w:val="28"/>
          <w:szCs w:val="28"/>
          <w:rtl/>
        </w:rPr>
        <w:t>) لاختبار العلاقات المباشرة وغير المباشرة بين المتغيرات المتداخلة.</w:t>
      </w:r>
    </w:p>
    <w:p w14:paraId="3D4C6422"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معالجة المتغيرات الرئيسة – التحول الرقمي، الحوكمة، الاستدامة، إدارة الأصول، الأداء – بصورة منفصلة دون بناء نموذج تكاملي يفسر تفاعلها البنيوي.</w:t>
      </w:r>
    </w:p>
    <w:p w14:paraId="36AA4837"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محدودية التركيز على قطاع المياه بوصفه قطاعًا عالي الكثافة الرأسمالية وحساسًا تشغيليًا، بما يتطلب مستويات متقدمة من الحوكمة وإدارة المخاطر.</w:t>
      </w:r>
    </w:p>
    <w:p w14:paraId="3DA133FB"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غياب اختبار الحوكمة الذكية كمتغير منظم أو وسيط تفسيري يوضح آلية انتقال أثر الرقمنة والاستدامة إلى النتائج التشغيلية والمؤسسية.</w:t>
      </w:r>
    </w:p>
    <w:p w14:paraId="6C540164" w14:textId="77777777" w:rsid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قلة الدراسات التطبيقية في السياق السعودي التي تجمع بين البعد المؤسسي والتقني ضمن إطار تحليلي قابل للاختبار.</w:t>
      </w:r>
    </w:p>
    <w:p w14:paraId="74E39155" w14:textId="77777777" w:rsidR="00B5427B" w:rsidRPr="006D40D0" w:rsidRDefault="00B5427B" w:rsidP="00B5427B">
      <w:pPr>
        <w:pStyle w:val="ListParagraph"/>
        <w:bidi/>
        <w:jc w:val="both"/>
        <w:rPr>
          <w:rFonts w:ascii="Traditional Arabic" w:hAnsi="Traditional Arabic" w:cs="Traditional Arabic"/>
          <w:sz w:val="28"/>
          <w:szCs w:val="28"/>
        </w:rPr>
      </w:pPr>
    </w:p>
    <w:p w14:paraId="51D84A9E" w14:textId="77777777" w:rsidR="00857EE7" w:rsidRPr="00857EE7" w:rsidRDefault="00857EE7" w:rsidP="00857EE7">
      <w:pPr>
        <w:bidi/>
        <w:rPr>
          <w:rFonts w:ascii="Traditional Arabic" w:hAnsi="Traditional Arabic" w:cs="Traditional Arabic"/>
          <w:b/>
          <w:bCs/>
          <w:sz w:val="28"/>
          <w:szCs w:val="28"/>
          <w:rtl/>
        </w:rPr>
      </w:pPr>
      <w:r>
        <w:rPr>
          <w:rFonts w:ascii="Traditional Arabic" w:hAnsi="Traditional Arabic" w:cs="Traditional Arabic"/>
          <w:b/>
          <w:bCs/>
          <w:sz w:val="28"/>
          <w:szCs w:val="28"/>
          <w:rtl/>
        </w:rPr>
        <w:t>ثالثًا: تحديد الفجوة البحثية</w:t>
      </w:r>
    </w:p>
    <w:p w14:paraId="1F2B68F3" w14:textId="2FEE1306" w:rsidR="004A560D" w:rsidRPr="004A560D" w:rsidRDefault="004A560D" w:rsidP="004A560D">
      <w:pPr>
        <w:bidi/>
        <w:jc w:val="both"/>
        <w:rPr>
          <w:rFonts w:ascii="Traditional Arabic" w:hAnsi="Traditional Arabic" w:cs="Traditional Arabic"/>
          <w:sz w:val="28"/>
          <w:szCs w:val="28"/>
        </w:rPr>
      </w:pPr>
      <w:r>
        <w:rPr>
          <w:rFonts w:ascii="Traditional Arabic" w:hAnsi="Traditional Arabic" w:cs="Traditional Arabic" w:hint="cs"/>
          <w:sz w:val="28"/>
          <w:szCs w:val="28"/>
          <w:rtl/>
        </w:rPr>
        <w:t>ع</w:t>
      </w:r>
      <w:r>
        <w:rPr>
          <w:rFonts w:ascii="Traditional Arabic" w:hAnsi="Traditional Arabic" w:cs="Traditional Arabic"/>
          <w:sz w:val="28"/>
          <w:szCs w:val="28"/>
          <w:rtl/>
        </w:rPr>
        <w:t>لى الرغم من التوسع الملحوظ في الأدبيات المتعلقة بالتحول الرقمي، والحوكمة الذكية، وإدارة الأصول، والاستدامة، والأداء المؤسسي، إلا أن التحليل النقدي يكشف عن فجوة بحثية جوهرية تتمثل في غياب نموذج تكاملي يفسر التفاعل البنيوي بين هذه المتغيرات ضمن إطار سببي موحد، خاصة في القطاعات كثيفة الأصول مثل قطاع المياه</w:t>
      </w:r>
      <w:r>
        <w:rPr>
          <w:rFonts w:ascii="Traditional Arabic" w:hAnsi="Traditional Arabic" w:cs="Traditional Arabic"/>
          <w:sz w:val="28"/>
          <w:szCs w:val="28"/>
        </w:rPr>
        <w:t>.</w:t>
      </w:r>
    </w:p>
    <w:p w14:paraId="5F66000D" w14:textId="77777777" w:rsidR="004A560D" w:rsidRPr="004A560D" w:rsidRDefault="004A560D" w:rsidP="004A560D">
      <w:pPr>
        <w:bidi/>
        <w:jc w:val="both"/>
        <w:rPr>
          <w:rFonts w:ascii="Traditional Arabic" w:hAnsi="Traditional Arabic" w:cs="Traditional Arabic"/>
          <w:sz w:val="28"/>
          <w:szCs w:val="28"/>
        </w:rPr>
      </w:pPr>
      <w:r>
        <w:rPr>
          <w:rFonts w:ascii="Traditional Arabic" w:hAnsi="Traditional Arabic" w:cs="Traditional Arabic"/>
          <w:sz w:val="28"/>
          <w:szCs w:val="28"/>
          <w:rtl/>
        </w:rPr>
        <w:t>فقد عالجت معظم الدراسات هذه المتغيرات بصورة منفصلة أو ثنائية العلاقات، دون اختبار آلية انتقال الأثر من المدخلات الاستراتيجية – كالتحول الرقمي والاستدامة المؤسسية – إلى النتائج المؤسسية النهائية، عبر متغيرات تنظيمية وتشغيلية وسيطة. كما أن الأدبيات لم تختبر بصورة منهجية دور الحوكمة الذكية كآلية تنظيمية تفسيرية تضبط توظيف الرقمنة وتوجهها نحو تعظيم سلامة الأصول وتحسين الأداء المؤسسي</w:t>
      </w:r>
      <w:r>
        <w:rPr>
          <w:rFonts w:ascii="Traditional Arabic" w:hAnsi="Traditional Arabic" w:cs="Traditional Arabic"/>
          <w:sz w:val="28"/>
          <w:szCs w:val="28"/>
        </w:rPr>
        <w:t>.</w:t>
      </w:r>
    </w:p>
    <w:p w14:paraId="671CE164" w14:textId="77777777" w:rsidR="004A560D" w:rsidRPr="004A560D" w:rsidRDefault="004A560D" w:rsidP="004A560D">
      <w:pPr>
        <w:bidi/>
        <w:jc w:val="both"/>
        <w:rPr>
          <w:rFonts w:ascii="Traditional Arabic" w:hAnsi="Traditional Arabic" w:cs="Traditional Arabic"/>
          <w:sz w:val="28"/>
          <w:szCs w:val="28"/>
        </w:rPr>
      </w:pPr>
      <w:r>
        <w:rPr>
          <w:rFonts w:ascii="Traditional Arabic" w:hAnsi="Traditional Arabic" w:cs="Traditional Arabic"/>
          <w:sz w:val="28"/>
          <w:szCs w:val="28"/>
          <w:rtl/>
        </w:rPr>
        <w:t>إضافة إلى ذلك، يلاحظ محدودية الدراسات التي وظفت نمذجة المعادلات الهيكلية</w:t>
      </w:r>
      <w:r>
        <w:rPr>
          <w:rFonts w:ascii="Traditional Arabic" w:hAnsi="Traditional Arabic" w:cs="Traditional Arabic"/>
          <w:sz w:val="28"/>
          <w:szCs w:val="28"/>
        </w:rPr>
        <w:t xml:space="preserve"> (SEM/PLS) </w:t>
      </w:r>
      <w:r>
        <w:rPr>
          <w:rFonts w:ascii="Traditional Arabic" w:hAnsi="Traditional Arabic" w:cs="Traditional Arabic"/>
          <w:sz w:val="28"/>
          <w:szCs w:val="28"/>
          <w:rtl/>
        </w:rPr>
        <w:t>لاختبار العلاقات المباشرة وغير المباشرة بين هذه المتغيرات في قطاع المياه، مع غياب واضح لنماذج تطبيقية في السياق السعودي تعكس خصوصية البيئة المؤسسية والتشغيلية لهذا القطاع الحيوي</w:t>
      </w:r>
      <w:r>
        <w:rPr>
          <w:rFonts w:ascii="Traditional Arabic" w:hAnsi="Traditional Arabic" w:cs="Traditional Arabic"/>
          <w:sz w:val="28"/>
          <w:szCs w:val="28"/>
        </w:rPr>
        <w:t>.</w:t>
      </w:r>
    </w:p>
    <w:p w14:paraId="59FF9E08" w14:textId="77777777" w:rsidR="004A560D" w:rsidRDefault="004A560D" w:rsidP="004A560D">
      <w:pPr>
        <w:bidi/>
        <w:jc w:val="both"/>
        <w:rPr>
          <w:rFonts w:ascii="Traditional Arabic" w:hAnsi="Traditional Arabic" w:cs="Traditional Arabic"/>
          <w:sz w:val="28"/>
          <w:szCs w:val="28"/>
          <w:rtl/>
        </w:rPr>
      </w:pPr>
      <w:r>
        <w:rPr>
          <w:rFonts w:ascii="Traditional Arabic" w:hAnsi="Traditional Arabic" w:cs="Traditional Arabic"/>
          <w:sz w:val="28"/>
          <w:szCs w:val="28"/>
          <w:rtl/>
        </w:rPr>
        <w:t>وعليه، تتمثل الفجوة البحثية في الحاجة إلى تطوير واختبار نموذج حوكمة ذكي متكامل يربط بين التحول الرقمي، والاستدامة المؤسسية، والحوكمة الذكية، وسلامة أصول البنية التحتية المائية، والأداء المؤسسي، ضمن إطار سببي كمي قابل للاختبار في قطاع المياه السعودي</w:t>
      </w:r>
      <w:r>
        <w:rPr>
          <w:rFonts w:ascii="Traditional Arabic" w:hAnsi="Traditional Arabic" w:cs="Traditional Arabic"/>
          <w:sz w:val="28"/>
          <w:szCs w:val="28"/>
        </w:rPr>
        <w:t>.</w:t>
      </w:r>
    </w:p>
    <w:p w14:paraId="6BA5914D" w14:textId="77777777" w:rsidR="00B5427B" w:rsidRPr="004A560D" w:rsidRDefault="00B5427B" w:rsidP="00B5427B">
      <w:pPr>
        <w:bidi/>
        <w:jc w:val="both"/>
        <w:rPr>
          <w:rFonts w:ascii="Traditional Arabic" w:hAnsi="Traditional Arabic" w:cs="Traditional Arabic"/>
          <w:sz w:val="28"/>
          <w:szCs w:val="28"/>
        </w:rPr>
      </w:pPr>
    </w:p>
    <w:p w14:paraId="0AF5B26B" w14:textId="77777777" w:rsidR="00857EE7" w:rsidRPr="00857EE7" w:rsidRDefault="00857EE7" w:rsidP="00857EE7">
      <w:pPr>
        <w:bidi/>
        <w:rPr>
          <w:rFonts w:ascii="Traditional Arabic" w:hAnsi="Traditional Arabic" w:cs="Traditional Arabic"/>
          <w:b/>
          <w:bCs/>
          <w:sz w:val="28"/>
          <w:szCs w:val="28"/>
        </w:rPr>
      </w:pPr>
      <w:r>
        <w:rPr>
          <w:rFonts w:ascii="Traditional Arabic" w:hAnsi="Traditional Arabic" w:cs="Traditional Arabic"/>
          <w:b/>
          <w:bCs/>
          <w:sz w:val="28"/>
          <w:szCs w:val="28"/>
          <w:rtl/>
        </w:rPr>
        <w:t>رابعًا: موقع الدراسة الحالية من الأدبيات</w:t>
      </w:r>
    </w:p>
    <w:p w14:paraId="0ECA787C" w14:textId="77777777" w:rsidR="00857EE7" w:rsidRPr="00857EE7" w:rsidRDefault="00857EE7" w:rsidP="00857EE7">
      <w:pPr>
        <w:bidi/>
        <w:rPr>
          <w:rFonts w:ascii="Traditional Arabic" w:hAnsi="Traditional Arabic" w:cs="Traditional Arabic"/>
          <w:sz w:val="28"/>
          <w:szCs w:val="28"/>
        </w:rPr>
      </w:pPr>
      <w:r>
        <w:rPr>
          <w:rFonts w:ascii="Traditional Arabic" w:hAnsi="Traditional Arabic" w:cs="Traditional Arabic"/>
          <w:sz w:val="28"/>
          <w:szCs w:val="28"/>
          <w:rtl/>
        </w:rPr>
        <w:t>تسعى الدراسة الحالية إلى سد هذه الفجوة من خلال</w:t>
      </w:r>
      <w:r>
        <w:rPr>
          <w:rFonts w:ascii="Traditional Arabic" w:hAnsi="Traditional Arabic" w:cs="Traditional Arabic"/>
          <w:sz w:val="28"/>
          <w:szCs w:val="28"/>
        </w:rPr>
        <w:t>:</w:t>
      </w:r>
    </w:p>
    <w:p w14:paraId="087CD6B6" w14:textId="77777777"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t>تطوير نموذج حوكمة ذكي لإدارة التفتيش الفني في أصول البنية التحتية المائية</w:t>
      </w:r>
      <w:r>
        <w:rPr>
          <w:rFonts w:ascii="Traditional Arabic" w:hAnsi="Traditional Arabic" w:cs="Traditional Arabic"/>
          <w:sz w:val="28"/>
          <w:szCs w:val="28"/>
        </w:rPr>
        <w:t>.</w:t>
      </w:r>
    </w:p>
    <w:p w14:paraId="3845B74B" w14:textId="77777777"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t>إدراج الحوكمة الذكية كآلية تنظيمية تفسيرية</w:t>
      </w:r>
      <w:r>
        <w:rPr>
          <w:rFonts w:ascii="Traditional Arabic" w:hAnsi="Traditional Arabic" w:cs="Traditional Arabic"/>
          <w:sz w:val="28"/>
          <w:szCs w:val="28"/>
        </w:rPr>
        <w:t>.</w:t>
      </w:r>
    </w:p>
    <w:p w14:paraId="65959468" w14:textId="6E527A1A"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lastRenderedPageBreak/>
        <w:t>اختبار العلاقات السببية باستخدام نمذجة المعادلات الهيكلية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(SEM/PLS)</w:t>
      </w:r>
      <w:r>
        <w:rPr>
          <w:rFonts w:ascii="Traditional Arabic" w:hAnsi="Traditional Arabic" w:cs="Traditional Arabic" w:hint="cs"/>
          <w:sz w:val="28"/>
          <w:szCs w:val="28"/>
          <w:rtl/>
        </w:rPr>
        <w:t xml:space="preserve"> .</w:t>
      </w:r>
    </w:p>
    <w:p w14:paraId="366B43A8" w14:textId="77777777"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t>تطبيق النموذج في قطاع المياه السعودي دعمًا لمستهدفات رؤية 2030</w:t>
      </w:r>
      <w:r>
        <w:rPr>
          <w:rFonts w:ascii="Traditional Arabic" w:hAnsi="Traditional Arabic" w:cs="Traditional Arabic"/>
          <w:sz w:val="28"/>
          <w:szCs w:val="28"/>
        </w:rPr>
        <w:t>.</w:t>
      </w:r>
    </w:p>
    <w:p w14:paraId="3DB58D08" w14:textId="77777777" w:rsidR="00D9031C" w:rsidRDefault="00D9031C" w:rsidP="00527ED7">
      <w:pPr>
        <w:bidi/>
        <w:jc w:val="both"/>
        <w:rPr>
          <w:rFonts w:ascii="Traditional Arabic" w:hAnsi="Traditional Arabic" w:cs="Traditional Arabic"/>
          <w:sz w:val="28"/>
          <w:szCs w:val="28"/>
          <w:rtl/>
        </w:rPr>
      </w:pPr>
    </w:p>
    <w:p w14:paraId="0299FC52" w14:textId="6A5443AF" w:rsidR="00857EE7" w:rsidRPr="00857EE7" w:rsidRDefault="00857EE7" w:rsidP="00D9031C">
      <w:pPr>
        <w:bidi/>
        <w:jc w:val="both"/>
        <w:rPr>
          <w:rFonts w:ascii="Traditional Arabic" w:hAnsi="Traditional Arabic" w:cs="Traditional Arabic"/>
          <w:sz w:val="28"/>
          <w:szCs w:val="28"/>
        </w:rPr>
      </w:pPr>
      <w:r>
        <w:rPr>
          <w:rFonts w:ascii="Traditional Arabic" w:hAnsi="Traditional Arabic" w:cs="Traditional Arabic"/>
          <w:sz w:val="28"/>
          <w:szCs w:val="28"/>
          <w:rtl/>
        </w:rPr>
        <w:t>وبذلك، لا تقتصر الدراسة على إضافة متغير جديد، بل تقدم إطارًا تكامليًا يربط بين البعدين التقني والمؤسسي والتشغيلي والاستراتيجي ضمن نموذج قابل للاختبار</w:t>
      </w:r>
      <w:r>
        <w:rPr>
          <w:rFonts w:ascii="Traditional Arabic" w:hAnsi="Traditional Arabic" w:cs="Traditional Arabic"/>
          <w:sz w:val="28"/>
          <w:szCs w:val="28"/>
        </w:rPr>
        <w:t>.</w:t>
      </w:r>
    </w:p>
    <w:p w14:paraId="44A02DCA" w14:textId="6411EDED" w:rsidR="00862207" w:rsidRDefault="004D47BA" w:rsidP="004D47BA">
      <w:pPr>
        <w:bidi/>
        <w:jc w:val="both"/>
        <w:rPr>
          <w:rtl/>
        </w:rPr>
      </w:pPr>
      <w:r>
        <w:rPr>
          <w:rFonts w:ascii="Traditional Arabic" w:hAnsi="Traditional Arabic" w:cs="Traditional Arabic"/>
          <w:sz w:val="28"/>
          <w:szCs w:val="28"/>
          <w:rtl/>
        </w:rPr>
        <w:t>يكشف التحليل النقدي المقارن للأدبيات عن وجود فجوة منهجية تتمثل في غياب نموذج سببي تكاملي يدمج بين التحول الرقمي والاستدامة المؤسسية والحوكمة الذكية وسلامة الأصول ضمن إطار موحد يفسر انتقال الأثر إلى الأداء المؤسسي في قطاع المياه</w:t>
      </w:r>
      <w:r>
        <w:rPr>
          <w:rFonts w:ascii="Traditional Arabic" w:hAnsi="Traditional Arabic" w:cs="Traditional Arabic"/>
          <w:sz w:val="28"/>
          <w:szCs w:val="28"/>
        </w:rPr>
        <w:t>.</w:t>
      </w:r>
      <w:r>
        <w:rPr>
          <w:rFonts w:ascii="Traditional Arabic" w:hAnsi="Traditional Arabic" w:cs="Traditional Arabic"/>
          <w:sz w:val="28"/>
          <w:szCs w:val="28"/>
        </w:rPr>
        <w:br/>
      </w:r>
      <w:r>
        <w:rPr>
          <w:rFonts w:ascii="Traditional Arabic" w:hAnsi="Traditional Arabic" w:cs="Traditional Arabic"/>
          <w:sz w:val="28"/>
          <w:szCs w:val="28"/>
          <w:rtl/>
        </w:rPr>
        <w:t>ولا تكمن الفجوة في نقص الدراسات حول كل متغير على حدة، بل في غياب الربط البنيوي المنظم بينها، خصوصًا في السياق المؤسسي السعودي</w:t>
      </w:r>
      <w:r>
        <w:rPr>
          <w:rFonts w:ascii="Traditional Arabic" w:hAnsi="Traditional Arabic" w:cs="Traditional Arabic"/>
          <w:sz w:val="28"/>
          <w:szCs w:val="28"/>
        </w:rPr>
        <w:t>.</w:t>
      </w:r>
    </w:p>
    <w:p w14:paraId="03389C8E" w14:textId="77777777" w:rsidR="00B5427B" w:rsidRDefault="00B5427B" w:rsidP="00B5427B">
      <w:pPr>
        <w:bidi/>
        <w:jc w:val="both"/>
        <w:rPr>
          <w:rtl/>
        </w:rPr>
      </w:pPr>
    </w:p>
    <w:p w14:paraId="55649526" w14:textId="77777777" w:rsidR="00122559" w:rsidRPr="00122559" w:rsidRDefault="00122559" w:rsidP="00122559">
      <w:pPr>
        <w:bidi/>
        <w:jc w:val="both"/>
        <w:rPr>
          <w:rFonts w:ascii="Traditional Arabic" w:hAnsi="Traditional Arabic" w:cs="Traditional Arabic"/>
          <w:b/>
          <w:bCs/>
          <w:sz w:val="28"/>
          <w:szCs w:val="28"/>
        </w:rPr>
      </w:pPr>
      <w:r>
        <w:rPr>
          <w:rFonts w:ascii="Traditional Arabic" w:hAnsi="Traditional Arabic" w:cs="Traditional Arabic"/>
          <w:b/>
          <w:bCs/>
          <w:sz w:val="28"/>
          <w:szCs w:val="28"/>
          <w:rtl/>
        </w:rPr>
        <w:t>بناء فروض الدراسة</w:t>
      </w:r>
    </w:p>
    <w:p w14:paraId="0090B29C"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t>استنادًا إلى التحليل النظري والنقدي الذي تم عرضه في هذا الفصل، يتضح أن متغيرات الدراسة لا تعمل بصورة مستقلة، بل تتكامل ضمن بنية مؤسسية مترابطة تتقاطع فيها الأبعاد التقنية والتنظيمية والاستراتيجية والتشغيلية. فقد بينت الأدبيات أن التحول الرقمي والاستدامة المؤسسية يمثلان مدخلين استراتيجيين لإعادة تشكيل إدارة أصول البنية التحتية، غير أن تأثيرهما لا يتحقق بصورة مباشرة، وإنما يتوقف على جودة الإطار الحوكمي الذي ينظم توظيفهما داخل المؤسسة</w:t>
      </w:r>
      <w:r>
        <w:rPr>
          <w:rFonts w:ascii="Traditional Arabic" w:hAnsi="Traditional Arabic" w:cs="Traditional Arabic"/>
          <w:sz w:val="28"/>
          <w:szCs w:val="28"/>
        </w:rPr>
        <w:t>.</w:t>
      </w:r>
    </w:p>
    <w:p w14:paraId="4A20B215"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t>كما أظهر التحليل أن الحوكمة الذكية تمثل آلية تنظيمية قادرة على تحويل المبادرات الرقمية وممارسات الاستدامة إلى قرارات تشغيلية منضبطة قائمة على البيانات، بما يسهم في تعزيز إدارة المخاطر وتحسين سلامة الأصول. ومن ثم، فإن سلامة الأصول لا تُعد متغيرًا تشغيليًا منفصلًا، بل تمثل حلقة انتقالية تنعكس من خلالها آثار الرقمنة والحوكمة والاستدامة على الأداء المؤسسي</w:t>
      </w:r>
      <w:r>
        <w:rPr>
          <w:rFonts w:ascii="Traditional Arabic" w:hAnsi="Traditional Arabic" w:cs="Traditional Arabic"/>
          <w:sz w:val="28"/>
          <w:szCs w:val="28"/>
        </w:rPr>
        <w:t>.</w:t>
      </w:r>
    </w:p>
    <w:p w14:paraId="635CBE4C"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t>وفي ضوء هذا الترابط البنيوي، يقوم النموذج المقترح على افتراض تسلسل سببي يبدأ بالمدخلات الاستراتيجية، ويمر عبر الحوكمة الذكية كمتغير وسيط تنظيمي، ثم ينعكس على سلامة أصول البنية التحتية باعتبارها وسيطًا تشغيليًا، وصولًا إلى الأداء المؤسسي بوصفه النتيجة النهائية للتكامل بين هذه الأبعاد</w:t>
      </w:r>
      <w:r>
        <w:rPr>
          <w:rFonts w:ascii="Traditional Arabic" w:hAnsi="Traditional Arabic" w:cs="Traditional Arabic"/>
          <w:sz w:val="28"/>
          <w:szCs w:val="28"/>
        </w:rPr>
        <w:t>.</w:t>
      </w:r>
    </w:p>
    <w:p w14:paraId="77FD59C6"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t>وبناءً على ذلك، تم تطوير فروض الدراسة استنادًا إلى هذا الأساس النظري المتكامل، وقد وردت تفصيلًا في الفصل الأول ضمن الإطار العام للدراسة، تمهيدًا لاختبارها باستخدام نمذجة المعادلات الهيكلية في الفصل الرابع</w:t>
      </w:r>
      <w:r>
        <w:rPr>
          <w:rFonts w:ascii="Traditional Arabic" w:hAnsi="Traditional Arabic" w:cs="Traditional Arabic"/>
          <w:sz w:val="28"/>
          <w:szCs w:val="28"/>
        </w:rPr>
        <w:t>.</w:t>
      </w:r>
    </w:p>
    <w:p w14:paraId="44E8399A" w14:textId="77777777" w:rsidR="00B57E78" w:rsidRDefault="00B57E78" w:rsidP="00B57E78">
      <w:pPr>
        <w:bidi/>
        <w:jc w:val="both"/>
        <w:rPr>
          <w:rFonts w:ascii="Traditional Arabic" w:hAnsi="Traditional Arabic" w:cs="Traditional Arabic"/>
          <w:sz w:val="28"/>
          <w:szCs w:val="28"/>
          <w:rtl/>
        </w:rPr>
      </w:pPr>
    </w:p>
    <w:p w14:paraId="4F3EDC87" w14:textId="77777777" w:rsidR="00540CDD" w:rsidRPr="00540CDD" w:rsidRDefault="00540CDD" w:rsidP="00540CDD">
      <w:pPr>
        <w:bidi/>
        <w:jc w:val="both"/>
        <w:rPr>
          <w:rFonts w:ascii="Traditional Arabic" w:hAnsi="Traditional Arabic" w:cs="Traditional Arabic"/>
          <w:sz w:val="28"/>
          <w:szCs w:val="28"/>
        </w:rPr>
      </w:pPr>
      <w:bookmarkStart w:id="13" w:name="_Toc218160626"/>
      <w:r>
        <w:rPr>
          <w:rFonts w:ascii="Traditional Arabic" w:hAnsi="Traditional Arabic" w:cs="Traditional Arabic"/>
          <w:sz w:val="28"/>
          <w:szCs w:val="28"/>
          <w:rtl/>
        </w:rPr>
        <w:t xml:space="preserve">خلص هذا الفصل إلى بناء إطار نظري متكامل استند إلى تحليل معمق للأدبيات العلمية المرتبطة بمتغيرات الدراسة، والتي شملت التحول الرقمي، والحوكمة الذكية، والاستدامة المؤسسية، وسلامة أصول البنية التحتية المائية، والأداء المؤسسي. وقد أظهر التحليل النقدي </w:t>
      </w:r>
      <w:r>
        <w:rPr>
          <w:rFonts w:ascii="Traditional Arabic" w:hAnsi="Traditional Arabic" w:cs="Traditional Arabic"/>
          <w:sz w:val="28"/>
          <w:szCs w:val="28"/>
          <w:rtl/>
        </w:rPr>
        <w:lastRenderedPageBreak/>
        <w:t>للأدبيات أن هذه المتغيرات تتداخل ضمن منظومة مؤسسية مترابطة، بحيث يتأثر الأداء المؤسسي بدرجة نضج التحول الرقمي وجودة الحوكمة ومستوى تبني ممارسات الاستدامة، وانعكاس ذلك على سلامة الأصول وكفاءة إدارتها</w:t>
      </w:r>
      <w:r>
        <w:rPr>
          <w:rFonts w:ascii="Traditional Arabic" w:hAnsi="Traditional Arabic" w:cs="Traditional Arabic"/>
          <w:sz w:val="28"/>
          <w:szCs w:val="28"/>
        </w:rPr>
        <w:t>.</w:t>
      </w:r>
    </w:p>
    <w:p w14:paraId="399F0681" w14:textId="77777777" w:rsidR="00540CDD" w:rsidRPr="00540CDD" w:rsidRDefault="00540CDD" w:rsidP="00540CDD">
      <w:pPr>
        <w:bidi/>
        <w:jc w:val="both"/>
        <w:rPr>
          <w:rFonts w:ascii="Traditional Arabic" w:hAnsi="Traditional Arabic" w:cs="Traditional Arabic"/>
          <w:sz w:val="28"/>
          <w:szCs w:val="28"/>
        </w:rPr>
      </w:pPr>
      <w:r>
        <w:rPr>
          <w:rFonts w:ascii="Traditional Arabic" w:hAnsi="Traditional Arabic" w:cs="Traditional Arabic"/>
          <w:sz w:val="28"/>
          <w:szCs w:val="28"/>
          <w:rtl/>
        </w:rPr>
        <w:t>كما كشف التحليل المقارن للدراسات السابقة عن وجود فجوة بحثية تتمثل في محدودية الدراسات التي تناولت هذه المتغيرات ضمن نموذج سببي تكاملي يفسر العلاقات المتبادلة بينها، خصوصًا في القطاعات كثيفة الأصول مثل قطاع المياه، وبشكل أكثر تحديدًا في السياق المؤسسي في المملكة العربية السعودية</w:t>
      </w:r>
      <w:r>
        <w:rPr>
          <w:rFonts w:ascii="Traditional Arabic" w:hAnsi="Traditional Arabic" w:cs="Traditional Arabic"/>
          <w:sz w:val="28"/>
          <w:szCs w:val="28"/>
        </w:rPr>
        <w:t>.</w:t>
      </w:r>
    </w:p>
    <w:p w14:paraId="24C94613" w14:textId="77777777" w:rsidR="00540CDD" w:rsidRPr="00540CDD" w:rsidRDefault="00540CDD" w:rsidP="00540CDD">
      <w:pPr>
        <w:bidi/>
        <w:jc w:val="both"/>
        <w:rPr>
          <w:rFonts w:ascii="Traditional Arabic" w:hAnsi="Traditional Arabic" w:cs="Traditional Arabic"/>
          <w:sz w:val="28"/>
          <w:szCs w:val="28"/>
        </w:rPr>
      </w:pPr>
      <w:r>
        <w:rPr>
          <w:rFonts w:ascii="Traditional Arabic" w:hAnsi="Traditional Arabic" w:cs="Traditional Arabic"/>
          <w:sz w:val="28"/>
          <w:szCs w:val="28"/>
          <w:rtl/>
        </w:rPr>
        <w:t>وانطلاقًا من هذه الفجوة البحثية، تم بناء النموذج المفاهيمي للدراسة الذي يربط بين التحول الرقمي والاستدامة المؤسسية وإطار الحوكمة الذكية وسلامة أصول البنية التحتية المائية والأداء المؤسسي. كما تم اشتقاق فروض الدراسة استنادًا إلى الأسس النظرية والنتائج المتكررة في الأدبيات، وذلك تمهيدًا لاختبارها باستخدام منهجية نمذجة المعادلات الهيكلية</w:t>
      </w:r>
      <w:r>
        <w:rPr>
          <w:rFonts w:ascii="Traditional Arabic" w:hAnsi="Traditional Arabic" w:cs="Traditional Arabic"/>
          <w:sz w:val="28"/>
          <w:szCs w:val="28"/>
        </w:rPr>
        <w:t xml:space="preserve"> (SEM / PLS)</w:t>
      </w:r>
      <w:r>
        <w:rPr>
          <w:rFonts w:ascii="Traditional Arabic" w:hAnsi="Traditional Arabic" w:cs="Traditional Arabic"/>
          <w:sz w:val="28"/>
          <w:szCs w:val="28"/>
          <w:rtl/>
        </w:rPr>
        <w:t>، والتي سيتم عرض إجراءاتها بالتفصيل في الفصل الثالث الخاص بمنهجية الدراسة</w:t>
      </w:r>
      <w:r>
        <w:rPr>
          <w:rFonts w:ascii="Traditional Arabic" w:hAnsi="Traditional Arabic" w:cs="Traditional Arabic"/>
          <w:sz w:val="28"/>
          <w:szCs w:val="28"/>
        </w:rPr>
        <w:t>.</w:t>
      </w:r>
    </w:p>
    <w:p w14:paraId="045E36E9" w14:textId="21ADC366" w:rsidR="00631A3A" w:rsidRPr="00540CDD" w:rsidRDefault="00540CDD" w:rsidP="00540CDD">
      <w:pPr>
        <w:bidi/>
        <w:jc w:val="both"/>
        <w:rPr>
          <w:rFonts w:ascii="Traditional Arabic" w:hAnsi="Traditional Arabic" w:cs="Traditional Arabic"/>
          <w:sz w:val="28"/>
          <w:szCs w:val="28"/>
          <w:rtl/>
        </w:rPr>
      </w:pPr>
      <w:r>
        <w:rPr>
          <w:rFonts w:ascii="Traditional Arabic" w:hAnsi="Traditional Arabic" w:cs="Traditional Arabic"/>
          <w:sz w:val="28"/>
          <w:szCs w:val="28"/>
          <w:rtl/>
        </w:rPr>
        <w:t>وبذلك يشكّل هذا الفصل الأساس النظري الذي تستند إليه الدراسة في اختبار نموذج الحوكمة الذكية المقترح لإدارة أصول البنية التحتية المائية في قطاع المياه</w:t>
      </w:r>
    </w:p>
    <w:p w14:paraId="0B8FEF59" w14:textId="77777777" w:rsidR="009536B2" w:rsidRDefault="00CD23D5" w:rsidP="00631A3A">
      <w:pPr>
        <w:pStyle w:val="Heading1"/>
        <w:bidi/>
        <w:rPr>
          <w:rFonts w:ascii="Traditional Arabic" w:eastAsia="Times New Roman" w:hAnsi="Traditional Arabic" w:cs="Traditional Arabic"/>
          <w:b/>
          <w:bCs/>
        </w:rPr>
      </w:pPr>
      <w:r>
        <w:rPr>
          <w:rFonts w:ascii="Traditional Arabic" w:eastAsia="Times New Roman" w:hAnsi="Traditional Arabic" w:cs="Traditional Arabic"/>
          <w:b/>
          <w:bCs/>
          <w:rtl/>
        </w:rPr>
        <w:t>الفصل الثالث</w:t>
      </w:r>
      <w:bookmarkEnd w:id="13"/>
    </w:p>
    <w:p w14:paraId="71E37D4D" w14:textId="37BC29FA" w:rsidR="009536B2" w:rsidRDefault="00FC4BE6" w:rsidP="009536B2">
      <w:pPr>
        <w:pStyle w:val="Heading1"/>
        <w:bidi/>
        <w:rPr>
          <w:rFonts w:ascii="Traditional Arabic" w:eastAsia="Times New Roman" w:hAnsi="Traditional Arabic" w:cs="Traditional Arabic"/>
          <w:b/>
          <w:bCs/>
        </w:rPr>
      </w:pPr>
      <w:r>
        <w:rPr>
          <w:rFonts w:ascii="Traditional Arabic" w:eastAsia="Times New Roman" w:hAnsi="Traditional Arabic" w:cs="Traditional Arabic"/>
          <w:b/>
          <w:bCs/>
          <w:rtl/>
        </w:rPr>
        <w:t>الطريقة والإجراءات (المنهجية)</w:t>
      </w:r>
    </w:p>
    <w:p w14:paraId="0C95E762" w14:textId="3F4AE83C" w:rsidR="00CD23D5" w:rsidRDefault="009536B2" w:rsidP="009A71C7">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أولاً: مقدمة الفصل</w:t>
      </w:r>
    </w:p>
    <w:p w14:paraId="69847790" w14:textId="77777777" w:rsidR="009536B2" w:rsidRPr="009536B2" w:rsidRDefault="009536B2" w:rsidP="009536B2">
      <w:pPr>
        <w:bidi/>
        <w:jc w:val="both"/>
        <w:rPr>
          <w:rFonts w:ascii="Traditional Arabic" w:hAnsi="Traditional Arabic" w:cs="Traditional Arabic"/>
          <w:sz w:val="28"/>
          <w:szCs w:val="28"/>
          <w:rtl/>
        </w:rPr>
      </w:pPr>
      <w:r>
        <w:rPr>
          <w:rFonts w:ascii="Traditional Arabic" w:hAnsi="Traditional Arabic" w:cs="Traditional Arabic"/>
          <w:sz w:val="28"/>
          <w:szCs w:val="28"/>
          <w:rtl/>
        </w:rPr>
        <w:t>يُعنى هذا الفصل بعرض الإجراءات المنهجية التي اتبعتها الدراسة في جمع البيانات وتحليلها، والتي تمثل الركيزة الأساسية لاختبار النموذج المفاهيمي المقترح واستخلاص النتائج العلمية. وقد جرى اختيار المنهج البحثي المناسب استناداً إلى طبيعة مشكلة الدراسة وأسئلتها وفروضها، وذلك بهدف التحقق من العلاقات السببية بين متغيرات الدراسة المتمثلة في التحول الرقمي، والاستدامة المؤسسية، والحوكمة الذكية، وسلامة أصول البنية التحتية المائية، والأداء المؤسسي في قطاع المياه السعودي</w:t>
      </w:r>
      <w:r>
        <w:rPr>
          <w:rFonts w:ascii="Traditional Arabic" w:hAnsi="Traditional Arabic" w:cs="Traditional Arabic"/>
          <w:sz w:val="28"/>
          <w:szCs w:val="28"/>
        </w:rPr>
        <w:t>.</w:t>
      </w:r>
    </w:p>
    <w:p w14:paraId="7927C5F9" w14:textId="4F75E8C1" w:rsidR="009536B2" w:rsidRPr="00375A8A" w:rsidRDefault="009536B2" w:rsidP="00375A8A">
      <w:pPr>
        <w:bidi/>
        <w:jc w:val="both"/>
        <w:rPr>
          <w:rFonts w:ascii="Traditional Arabic" w:hAnsi="Traditional Arabic" w:cs="Traditional Arabic"/>
          <w:sz w:val="28"/>
          <w:szCs w:val="28"/>
        </w:rPr>
      </w:pPr>
      <w:r>
        <w:rPr>
          <w:rFonts w:ascii="Traditional Arabic" w:hAnsi="Traditional Arabic" w:cs="Traditional Arabic"/>
          <w:sz w:val="28"/>
          <w:szCs w:val="28"/>
          <w:rtl/>
        </w:rPr>
        <w:t>وانطلاقاً من ذلك، يستعرض هذا الفصل منهج البحث المعتمد وطريقة الاستقصاء، ومجتمع الدراسة وأسلوب اختيار العينة، وأدوات جمع البيانات، والأساليب الإحصائية المستخدمة في التحليل، وإجراءات التحقق من الصدق والثبات، وذلك ضماناً لمصداقية الدراسة وموثوقية نتائجها</w:t>
      </w:r>
      <w:r>
        <w:rPr>
          <w:rFonts w:ascii="Traditional Arabic" w:hAnsi="Traditional Arabic" w:cs="Traditional Arabic" w:hint="cs"/>
          <w:sz w:val="28"/>
          <w:szCs w:val="28"/>
          <w:rtl/>
        </w:rPr>
        <w:t>.</w:t>
      </w:r>
    </w:p>
    <w:p w14:paraId="4388848A" w14:textId="77777777" w:rsidR="009A71C7" w:rsidRPr="00943C1C" w:rsidRDefault="009A71C7" w:rsidP="00943C1C">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ثانياً: منهج البحث</w:t>
      </w:r>
    </w:p>
    <w:p w14:paraId="67517F91" w14:textId="6B37F9C6"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اعتمدت هذه الدراسة تصميمًا بحثيًا مختلطًا (Mixed-Methods)، يتضمن شقًا كميًا مقطعيًا (Cross-Sectional) يُنفَّذ عبر الاستبانة، وشقًا نوعيًا يُنفَّذ عبر المقابلات شبه المنظمة، وذلك باعتبار هذا التصميم الأكثر ملاءمةً لطبيعة الدراسة، إذ يُتيح وصف </w:t>
      </w:r>
      <w:r>
        <w:rPr>
          <w:rFonts w:ascii="Traditional Arabic" w:hAnsi="Traditional Arabic" w:cs="Traditional Arabic"/>
          <w:sz w:val="28"/>
          <w:szCs w:val="28"/>
          <w:rtl/>
        </w:rPr>
        <w:lastRenderedPageBreak/>
        <w:t>الظاهرة موضع الدراسة وتشخيصها، ثم تحليل العلاقات بين متغيراتها واستخلاص الاستنتاجات المنهجية اللازمة</w:t>
      </w:r>
      <w:r>
        <w:rPr>
          <w:rFonts w:ascii="Traditional Arabic" w:hAnsi="Traditional Arabic" w:cs="Traditional Arabic"/>
          <w:sz w:val="28"/>
          <w:szCs w:val="28"/>
        </w:rPr>
        <w:t xml:space="preserve"> (Creswell &amp; Creswell,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2018)</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كما يُمكّن هذا المنهج من الجمع بين البعدين الكمي والكيفي في إطار بحثي تكاملي يُعرف في الأدبيات بمنهج التثليث</w:t>
      </w:r>
      <w:r>
        <w:rPr>
          <w:rFonts w:ascii="Traditional Arabic" w:hAnsi="Traditional Arabic" w:cs="Traditional Arabic"/>
          <w:sz w:val="28"/>
          <w:szCs w:val="28"/>
        </w:rPr>
        <w:t xml:space="preserve"> (Mixed-Methods Triangulation)</w:t>
      </w:r>
      <w:r>
        <w:rPr>
          <w:rFonts w:ascii="Traditional Arabic" w:hAnsi="Traditional Arabic" w:cs="Traditional Arabic" w:hint="cs"/>
          <w:sz w:val="28"/>
          <w:szCs w:val="28"/>
          <w:rtl/>
        </w:rPr>
        <w:t>.</w:t>
      </w:r>
    </w:p>
    <w:p w14:paraId="1A2B3C4D" w14:textId="1A2B3C4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واستنادًا إلى ما سبق، تتبنى الدراسة الحالية على وجه التحديد تصميم البحث المختلط المتزامن التقاربي </w:t>
      </w:r>
      <w:r>
        <w:rPr>
          <w:rFonts w:ascii="Traditional Arabic" w:hAnsi="Traditional Arabic" w:cs="Traditional Arabic"/>
          <w:sz w:val="28"/>
          <w:szCs w:val="28"/>
        </w:rPr>
        <w:t xml:space="preserve">(Convergent Parallel Mixed-Methods Design) </w:t>
      </w:r>
      <w:r>
        <w:rPr>
          <w:rFonts w:ascii="Traditional Arabic" w:hAnsi="Traditional Arabic" w:cs="Traditional Arabic"/>
          <w:sz w:val="28"/>
          <w:szCs w:val="28"/>
          <w:rtl/>
        </w:rPr>
        <w:t>وفق تصنيف</w:t>
      </w:r>
      <w:r>
        <w:rPr>
          <w:rFonts w:ascii="Traditional Arabic" w:hAnsi="Traditional Arabic" w:cs="Traditional Arabic"/>
          <w:sz w:val="28"/>
          <w:szCs w:val="28"/>
        </w:rPr>
        <w:t xml:space="preserve"> Creswell &amp; Plano Clark (2018)</w:t>
      </w:r>
      <w:r>
        <w:rPr>
          <w:rFonts w:ascii="Traditional Arabic" w:hAnsi="Traditional Arabic" w:cs="Traditional Arabic"/>
          <w:sz w:val="28"/>
          <w:szCs w:val="28"/>
          <w:rtl/>
        </w:rPr>
        <w:t xml:space="preserve">، إذ يتم جمع البيانات الكمية (عبر الاستبانة الإلكترونية) والبيانات النوعية (عبر المقابلات شبه المنظمة) بالتوازي وخلال الفترة الزمنية نفسها تقريبًا، دون أن يعتمد أحد الشقين على نتائج الآخر في مرحلة الجمع الميداني. ويتم تحليل كل نوع من البيانات بصورة مستقلة باستخدام الأساليب المناسبة له (PLS-SEM للبيانات الكمية، والتحليل الموضوعي للبيانات النوعية)، على أن يتم دمج نتائج الشقين عند مرحلة التفسير والمناقشة؛ حيث تُستخدم النتائج النوعية لتعميق فهم النتائج الكمية والتحقق من اتساقها عبر التثليث المنهجي </w:t>
      </w:r>
      <w:r>
        <w:rPr>
          <w:rFonts w:ascii="Traditional Arabic" w:hAnsi="Traditional Arabic" w:cs="Traditional Arabic"/>
          <w:sz w:val="28"/>
          <w:szCs w:val="28"/>
        </w:rPr>
        <w:t>(Triangulation)</w:t>
      </w:r>
      <w:r>
        <w:rPr>
          <w:rFonts w:ascii="Traditional Arabic" w:hAnsi="Traditional Arabic" w:cs="Traditional Arabic"/>
          <w:sz w:val="28"/>
          <w:szCs w:val="28"/>
          <w:rtl/>
        </w:rPr>
        <w:t>، لا لتوجيه بناء الأداة الكمية أو تعديلها.</w:t>
      </w:r>
    </w:p>
    <w:p w14:paraId="3C97CAEC" w14:textId="5D761CC9"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وتُشير الأدبيات إلى أن هذا التصميم يُوظَّف على نطاق واسع في الدراسات التي تهدف إلى فحص العلاقات الهيكلية والتفسيرية المفترضة بين المتغيرات المعقدة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(Hair et al., 2019)</w:t>
      </w:r>
      <w:r>
        <w:rPr>
          <w:rFonts w:ascii="Traditional Arabic" w:hAnsi="Traditional Arabic" w:cs="Traditional Arabic"/>
          <w:sz w:val="28"/>
          <w:szCs w:val="28"/>
          <w:rtl/>
        </w:rPr>
        <w:t>، وهو ما يتوافق مع طبيعة النموذج المقترح في هذه الدراسة الذي يختبر تأثيرات متشعبة ومتداخلة بين خمسة متغيرات رئيسة</w:t>
      </w:r>
      <w:r>
        <w:rPr>
          <w:rFonts w:ascii="Traditional Arabic" w:hAnsi="Traditional Arabic" w:cs="Traditional Arabic"/>
          <w:sz w:val="28"/>
          <w:szCs w:val="28"/>
        </w:rPr>
        <w:t>.</w:t>
      </w:r>
    </w:p>
    <w:p w14:paraId="26509322" w14:textId="2026F7BB" w:rsidR="009A71C7" w:rsidRPr="00943C1C" w:rsidRDefault="009A71C7" w:rsidP="00375A8A">
      <w:pPr>
        <w:pStyle w:val="Heading2"/>
        <w:bidi/>
        <w:rPr>
          <w:rtl/>
        </w:rPr>
      </w:pPr>
      <w:r>
        <w:rPr>
          <w:rtl/>
        </w:rPr>
        <w:t>التصميم الكمي</w:t>
      </w:r>
    </w:p>
    <w:p w14:paraId="7C293931" w14:textId="0960AF66"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يمثل التصميم الكمي الركيزة الأساسية لهذه الدراسة، وقد جرى تطبيقه من خلال استبانة مُقنَّنة وُزِّعت على عينة قصدية من الخبراء والممارسين في قطاع المياه السعودي. ويقوم هذا التصميم على قياس المتغيرات قياساً رقمياً ومعالجتها إحصائياً باستخدام تقنية نمذجة المعادلات الهيكلية بالمربعات الصغرى الجزئية</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من خلال برنامج</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SmartPLS 4.0</w:t>
      </w:r>
      <w:r>
        <w:rPr>
          <w:rFonts w:ascii="Traditional Arabic" w:hAnsi="Traditional Arabic" w:cs="Traditional Arabic"/>
          <w:sz w:val="28"/>
          <w:szCs w:val="28"/>
          <w:rtl/>
        </w:rPr>
        <w:t>، وذلك لاختبار الفروض وقياس الأثر المباشر وغير المباشر بين المتغيرات</w:t>
      </w:r>
      <w:r>
        <w:rPr>
          <w:rFonts w:ascii="Traditional Arabic" w:hAnsi="Traditional Arabic" w:cs="Traditional Arabic"/>
          <w:sz w:val="28"/>
          <w:szCs w:val="28"/>
        </w:rPr>
        <w:t>.</w:t>
      </w:r>
    </w:p>
    <w:p w14:paraId="548415B2" w14:textId="3C205FA0" w:rsidR="009A71C7" w:rsidRPr="00943C1C" w:rsidRDefault="009A71C7" w:rsidP="00375A8A">
      <w:pPr>
        <w:pStyle w:val="Heading2"/>
        <w:bidi/>
        <w:rPr>
          <w:rFonts w:ascii="Traditional Arabic" w:hAnsi="Traditional Arabic" w:cs="Traditional Arabic"/>
          <w:sz w:val="28"/>
          <w:szCs w:val="28"/>
          <w:rtl/>
        </w:rPr>
      </w:pPr>
      <w:r>
        <w:rPr>
          <w:rtl/>
        </w:rPr>
        <w:t>التصميم النوعي</w:t>
      </w:r>
    </w:p>
    <w:p w14:paraId="5FC65AD8" w14:textId="66712FDF" w:rsidR="009A71C7" w:rsidRPr="00943C1C" w:rsidRDefault="009A71C7" w:rsidP="00C64FE8">
      <w:pPr>
        <w:bidi/>
        <w:jc w:val="both"/>
        <w:rPr>
          <w:rFonts w:ascii="Traditional Arabic" w:hAnsi="Traditional Arabic" w:cs="Traditional Arabic"/>
          <w:sz w:val="28"/>
          <w:szCs w:val="28"/>
          <w:rtl/>
        </w:rPr>
      </w:pPr>
      <w:r>
        <w:rPr>
          <w:rFonts w:ascii="Traditional Arabic" w:hAnsi="Traditional Arabic" w:cs="Traditional Arabic"/>
          <w:sz w:val="28"/>
          <w:szCs w:val="28"/>
          <w:rtl/>
        </w:rPr>
        <w:t>دعماً للنتائج الكمية، وُظِّف التصميم النوعي من خلال إجراء مقابلات شبه منظمة مع عدد من قادة قطاع المياه وصانعي القرار، بهدف استيعاب السياق المؤسسي واستجلاء الأنماط التفسيرية التي لا تعكسها الأرقام وحدها. وقد خضعت هذه المقابلات لأسلوب تحليل المحتوى الموضوعي</w:t>
      </w:r>
      <w:r>
        <w:rPr>
          <w:rFonts w:ascii="Traditional Arabic" w:hAnsi="Traditional Arabic" w:cs="Traditional Arabic"/>
          <w:sz w:val="28"/>
          <w:szCs w:val="28"/>
        </w:rPr>
        <w:t xml:space="preserve"> (Thematic Content Analysis) </w:t>
      </w:r>
      <w:r>
        <w:rPr>
          <w:rFonts w:ascii="Traditional Arabic" w:hAnsi="Traditional Arabic" w:cs="Traditional Arabic"/>
          <w:sz w:val="28"/>
          <w:szCs w:val="28"/>
          <w:rtl/>
        </w:rPr>
        <w:t>للوقوف على المحاور الجوهرية الداعمة للنموذج المقترح</w:t>
      </w:r>
      <w:r>
        <w:rPr>
          <w:rFonts w:ascii="Traditional Arabic" w:hAnsi="Traditional Arabic" w:cs="Traditional Arabic"/>
          <w:sz w:val="28"/>
          <w:szCs w:val="28"/>
        </w:rPr>
        <w:t>.</w:t>
      </w:r>
    </w:p>
    <w:p w14:paraId="2A3B4C5D" w14:textId="2A3B4C5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وحدة التحليل: </w:t>
      </w:r>
      <w:r>
        <w:rPr>
          <w:rFonts w:ascii="Traditional Arabic" w:hAnsi="Traditional Arabic" w:cs="Traditional Arabic"/>
          <w:sz w:val="28"/>
          <w:szCs w:val="28"/>
          <w:rtl/>
        </w:rPr>
        <w:t xml:space="preserve">تتمثل وحدة التحليل في هذه الدراسة في </w:t>
      </w:r>
      <w:r>
        <w:rPr>
          <w:rFonts w:ascii="Traditional Arabic" w:hAnsi="Traditional Arabic" w:cs="Traditional Arabic"/>
          <w:b/>
          <w:bCs/>
          <w:sz w:val="28"/>
          <w:szCs w:val="28"/>
          <w:rtl/>
        </w:rPr>
        <w:t>المؤسسة/الجهة العاملة في قطاع المياه السعودي</w:t>
      </w:r>
      <w:r>
        <w:rPr>
          <w:rFonts w:ascii="Traditional Arabic" w:hAnsi="Traditional Arabic" w:cs="Traditional Arabic"/>
          <w:sz w:val="28"/>
          <w:szCs w:val="28"/>
          <w:rtl/>
        </w:rPr>
        <w:t xml:space="preserve">، لا في الفرد بذاته؛ ذلك أن متغيرات الدراسة (الحوكمة الذكية، التحول الرقمي، الاستدامة المؤسسية، سلامة الأصول، الأداء المؤسسي) تُعرَّف وتُقاس على المستوى المؤسسي. ونظراً لتعذّر قياس هذه المتغيرات مباشرةً من واقع المؤسسة، اعتمدت الدراسة أسلوب </w:t>
      </w:r>
      <w:r>
        <w:rPr>
          <w:rFonts w:ascii="Traditional Arabic" w:hAnsi="Traditional Arabic" w:cs="Traditional Arabic"/>
          <w:sz w:val="28"/>
          <w:szCs w:val="28"/>
        </w:rPr>
        <w:t>Key Informant Approach</w:t>
      </w:r>
      <w:r>
        <w:rPr>
          <w:rFonts w:ascii="Traditional Arabic" w:hAnsi="Traditional Arabic" w:cs="Traditional Arabic"/>
          <w:sz w:val="28"/>
          <w:szCs w:val="28"/>
          <w:rtl/>
        </w:rPr>
        <w:t xml:space="preserve">، إذ يُستجوَب أفراد يشغلون مواقع قيادية أو تخصصية داخل مؤسساتهم بوصفهم </w:t>
      </w:r>
      <w:r>
        <w:rPr>
          <w:rFonts w:ascii="Traditional Arabic" w:hAnsi="Traditional Arabic" w:cs="Traditional Arabic"/>
          <w:sz w:val="28"/>
          <w:szCs w:val="28"/>
        </w:rPr>
        <w:t xml:space="preserve">informants </w:t>
      </w:r>
      <w:r>
        <w:rPr>
          <w:rFonts w:ascii="Traditional Arabic" w:hAnsi="Traditional Arabic" w:cs="Traditional Arabic"/>
          <w:sz w:val="28"/>
          <w:szCs w:val="28"/>
          <w:rtl/>
        </w:rPr>
        <w:t xml:space="preserve">يُعبّرون عن إدراكهم لممارسات وأداء الجهة التي يعملون بها، وليس عن آرائهم أو خصائصهم الشخصية. وبما أن أفراد العينة ينتمون إلى جهات متعددة (شركة المياه الوطنية، والهيئة السعودية للمياه، وجهات استشارية ومتخصصة أخرى)، فإن الدراسة لا تشترط الحصول على استجابة واحدة فقط من كل جهة، إذ يُسمح بمشاركة أكثر من مستجيب واحد من الجهة نفسها (وبخاصة شركة المياه الوطنية، التي يُتوقَّع أن </w:t>
      </w:r>
      <w:r>
        <w:rPr>
          <w:rFonts w:ascii="Traditional Arabic" w:hAnsi="Traditional Arabic" w:cs="Traditional Arabic"/>
          <w:sz w:val="28"/>
          <w:szCs w:val="28"/>
          <w:rtl/>
        </w:rPr>
        <w:lastRenderedPageBreak/>
        <w:t>تسهم بالنصيب الأكبر من العينة نظراً لتعدد قطاعاتها التشغيلية الست وإداراتها). وفي هذه الحالة، فإن وحدة التحليل الإحصائي الفعلية في نموذج PLS-SEM هي الاستجابة الفردية (Individual-Level Analysis) لا الجهة، بحيث يُعامَل كل مستجيب بوصفه مصدر إدراك (Informant Perception) مستقلاً إحصائياً عن الفهم الإدراكي لممارسات مؤسسته، حتى مع وجود أكثر من مستجيب من الجهة نفسها؛ إذ يعكس تعدد المستجيبين من الجهة الواحدة تبايناً طبيعياً ومتوقعاً في الإدراك الفردي للممارسات المؤسسية بين الأقسام والمستويات الإدارية المختلفة داخل الجهة نفسها، لا تكراراً للمشاهدة ذاتها. وتُقر الدراسة بأن هذا الأسلوب لا يُعالج إحصائياً ظاهرة التجمّع (Clustering) الناتجة عن تعدد المستجيبين من الجهة نفسها بأساليب النمذجة متعددة المستويات (Multilevel/HLM)، نظراً لاعتماد الدراسة أسلوب PLS-SEM أحادي المستوى، وتُدرَج هذه النقطة ضمن محددات الدراسة في الفصل الخامس، مع إجراء فحص تحسسي (Sensitivity Check) لاحقاً يقارن نتائج النموذج عند استبعاد الجهة الأكثر تمثيلاً في العينة للتحقق من استقرار النتائج.</w:t>
      </w:r>
    </w:p>
    <w:p w14:paraId="57980608" w14:textId="77777777" w:rsidR="009A71C7" w:rsidRPr="003C682A" w:rsidRDefault="009A71C7" w:rsidP="003C682A">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ثالثاً: مجتمع الدراسة وعينة البحث</w:t>
      </w:r>
    </w:p>
    <w:p w14:paraId="7E2C3A84" w14:textId="525C2E20" w:rsidR="009A71C7" w:rsidRPr="00C309A2" w:rsidRDefault="009A71C7" w:rsidP="00B7711D">
      <w:pPr>
        <w:pStyle w:val="ListParagraph"/>
        <w:numPr>
          <w:ilvl w:val="0"/>
          <w:numId w:val="32"/>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مجتمع الدراسة</w:t>
      </w:r>
    </w:p>
    <w:p w14:paraId="01CDE373"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يتكوّن مجتمع الدراسة الأصلي من الخبراء والممارسين والقياديين العاملين في قطاع المياه والصرف الصحي بالمملكة العربية السعودية، ويشمل ذلك العاملين في الجهات الرقابية والتشغيلية والاستشارية المعنية بإدارة البنية التحتية المائية. وتتمحور صفات مجتمع الدراسة حول امتلاك الخبرة المباشرة أو المعرفة التخصصية في أحد محاور النموذج المقترح: التحول الرقمي، الحوكمة، إدارة الأصول، أو الاستدامة في قطاع المياه</w:t>
      </w:r>
      <w:r>
        <w:rPr>
          <w:rFonts w:ascii="Traditional Arabic" w:hAnsi="Traditional Arabic" w:cs="Traditional Arabic"/>
          <w:sz w:val="28"/>
          <w:szCs w:val="28"/>
        </w:rPr>
        <w:t>.</w:t>
      </w:r>
    </w:p>
    <w:p w14:paraId="529B723E"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ويتضمن مجتمع الدراسة العاملين في الجهات الحكومية والهيئات الرقابية ذات الصلة بقطاع المياه كهيئة المياه السعودية ووزارة البيئة والمياه والزراعة، إضافة إلى شركة المياه الوطنية</w:t>
      </w:r>
      <w:r>
        <w:rPr>
          <w:rFonts w:ascii="Traditional Arabic" w:hAnsi="Traditional Arabic" w:cs="Traditional Arabic"/>
          <w:sz w:val="28"/>
          <w:szCs w:val="28"/>
        </w:rPr>
        <w:t xml:space="preserve"> (NWC)</w:t>
      </w:r>
      <w:r>
        <w:rPr>
          <w:rFonts w:ascii="Traditional Arabic" w:hAnsi="Traditional Arabic" w:cs="Traditional Arabic"/>
          <w:sz w:val="28"/>
          <w:szCs w:val="28"/>
          <w:rtl/>
        </w:rPr>
        <w:t>، والشركات والمؤسسات العاملة في تشغيل وصيانة شبكات المياه والصرف الصحي، فضلاً عن المتخصصين والمستشارين في مجالات الحوكمة والتحول الرقمي وإدارة الأصول في البيئة السعودية، والأكاديميين والباحثين المتخصصين في إدارة الموارد المائية والحوكمة المؤسسية</w:t>
      </w:r>
      <w:r>
        <w:rPr>
          <w:rFonts w:ascii="Traditional Arabic" w:hAnsi="Traditional Arabic" w:cs="Traditional Arabic"/>
          <w:sz w:val="28"/>
          <w:szCs w:val="28"/>
        </w:rPr>
        <w:t>.</w:t>
      </w:r>
    </w:p>
    <w:p w14:paraId="4F5A6B7C" w14:textId="4F5A6B7D"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وتجدر الإشارة إلى أن إدراج الأكاديميين والباحثين ضمن مجتمع الدراسة يقتصر على أولئك الذين تتوافر لديهم خبرة تطبيقية مباشرة (استشارية أو تنفيذية سابقة) مع قطاع المياه السعودي، لا الأكاديميين ذوي الخبرة النظرية البحتة الذين لا يمتلكون اطلاعاً مباشراً على الممارسات المؤسسية الداخلية؛ ذلك أن فقرات الاستبانة تقيس ممارسات فعلية (التحول الرقمي، الحوكمة، سلامة الأصول، الأداء المؤسسي) تستلزم دراية ميدانية مباشرة بواقع التطبيق. وبناءً على ذلك، يُشترط في كل مستجيب أكاديمي أن يكون قد مارس دوراً استشارياً أو تنفيذياً فعلياً في قطاع المياه لا يقل عن خمس سنوات، بما يحقق شرط المعرفة المباشرة بالممارسات المؤسسية أسوةً بباقي فئات المجتمع.</w:t>
      </w:r>
    </w:p>
    <w:p w14:paraId="3B4C5D6E" w14:textId="3B4C5D6F"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ونظراً لتخصصية مجتمع الدراسة، وعدم توافر سجل موحّد يحصر عدد جميع العاملين في مجالات الحوكمة والتحول الرقمي وإدارة الأصول عبر الجهات المعنية بقطاع المياه، فقد جرى تقدير حجم مجتمع الدراسة تقديراً تقريبياً استناداً إلى مراجعة أولية للهياكل التنظيمية والأدلة الوظيفية للجهات ذات الصلة (تحديداً عدد شاغلي المواقع القيادية والتخصصية ضمن إدارات الحوكمة والتحول الرقمي وإدارة الأصول </w:t>
      </w:r>
      <w:r>
        <w:rPr>
          <w:rFonts w:ascii="Traditional Arabic" w:hAnsi="Traditional Arabic" w:cs="Traditional Arabic"/>
          <w:sz w:val="28"/>
          <w:szCs w:val="28"/>
          <w:rtl/>
        </w:rPr>
        <w:lastRenderedPageBreak/>
        <w:t>داخل القطاعات التشغيلية الست لشركة المياه الوطنية، مضافاً إليها عدد تقديري لموظفي الهيئة السعودية للمياه والجهات الاستشارية المعنية ذوي الصلة المباشرة بمحاور الدراسة)، وذلك دون الادعاء بدقة إحصائية مطلقة؛ إذ يُستخدم هذا التقدير التقريبي حصراً لأغراض تحديد كفاية حجم العينة إحصائياً، لا بوصفه رقماً رسمياً موثقاً، ليقع في حدود (150-250) فرداً من الخبراء والقياديين والمتخصصين، موزعين على الجهات الآتية: شركة المياه الوطنية</w:t>
      </w:r>
      <w:r>
        <w:rPr>
          <w:rFonts w:ascii="Traditional Arabic" w:hAnsi="Traditional Arabic" w:cs="Traditional Arabic"/>
          <w:sz w:val="28"/>
          <w:szCs w:val="28"/>
        </w:rPr>
        <w:t xml:space="preserve"> (NWC) </w:t>
      </w:r>
      <w:r>
        <w:rPr>
          <w:rFonts w:ascii="Traditional Arabic" w:hAnsi="Traditional Arabic" w:cs="Traditional Arabic"/>
          <w:sz w:val="28"/>
          <w:szCs w:val="28"/>
          <w:rtl/>
        </w:rPr>
        <w:t>بقطاعاتها التشغيلية الست، والهيئة السعودية للمياه، ووزارة البيئة والمياه والزراعة، إضافة إلى عدد من الشركات المشغِّلة لخدمات المياه والصرف الصحي، والمستشارين المتخصصين في الحوكمة والتحول الرقمي وإدارة الأصول، والأكاديميين المتخصصين في هذه المجالات.</w:t>
      </w:r>
    </w:p>
    <w:p w14:paraId="4C5D6E7F" w14:textId="4C5D6E7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النطاق الجغرافي: </w:t>
      </w:r>
      <w:r>
        <w:rPr>
          <w:rFonts w:ascii="Traditional Arabic" w:hAnsi="Traditional Arabic" w:cs="Traditional Arabic"/>
          <w:sz w:val="28"/>
          <w:szCs w:val="28"/>
          <w:rtl/>
        </w:rPr>
        <w:t>تغطي الدراسة النطاق الجغرافي للمملكة العربية السعودية كافةً، إذ تُجمع البيانات من المستجيبين في جميع القطاعات التشغيلية الست لشركة المياه الوطنية (النطاق الجغرافي الذي تغطيه الشركة على مستوى المملكة)، إضافة إلى مقرات الهيئة السعودية للمياه والجهات ذات العلاقة، بما يضمن تمثيلاً جغرافياً شاملاً لمختلف مناطق المملكة بدلاً من الاقتصار على منطقة أو مدينة بعينها.</w:t>
      </w:r>
    </w:p>
    <w:p w14:paraId="307A8899" w14:textId="6284D0CF" w:rsidR="009A71C7" w:rsidRPr="002131A7" w:rsidRDefault="009A71C7" w:rsidP="00B7711D">
      <w:pPr>
        <w:pStyle w:val="ListParagraph"/>
        <w:numPr>
          <w:ilvl w:val="0"/>
          <w:numId w:val="32"/>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أسلوب اختيار العينة</w:t>
      </w:r>
    </w:p>
    <w:p w14:paraId="67D7186A" w14:textId="7F6EA396"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نظراً لتخصصية مجتمع الدراسة وصعوبة الوصول الشامل إلى جميع أفراده، اعتُمد أسلوب العينة القصدية</w:t>
      </w:r>
      <w:r>
        <w:rPr>
          <w:rFonts w:ascii="Traditional Arabic" w:hAnsi="Traditional Arabic" w:cs="Traditional Arabic"/>
          <w:sz w:val="28"/>
          <w:szCs w:val="28"/>
        </w:rPr>
        <w:t xml:space="preserve"> (Purposive Sampling)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بوصفه الأسلوب الأكثر ملاءمةً للوفاء بمتطلبات الدراسة. ويُقصد بالعينة القصدية انتقاء المستجيبين وفق معايير دقيقة تضمن توافر الخبرة والتخصص اللازمين لتقديم استجابات موثوقة وذات دلالة علمية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(Sekaran &amp; Bougie, 2019)</w:t>
      </w:r>
      <w:r>
        <w:rPr>
          <w:rFonts w:ascii="Traditional Arabic" w:hAnsi="Traditional Arabic" w:cs="Traditional Arabic" w:hint="cs"/>
          <w:sz w:val="28"/>
          <w:szCs w:val="28"/>
          <w:rtl/>
        </w:rPr>
        <w:t>.</w:t>
      </w:r>
    </w:p>
    <w:p w14:paraId="41D09B9C"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وقد اشترطت الدراسة في أفراد العينة توافر المعايير الآتية</w:t>
      </w:r>
      <w:r>
        <w:rPr>
          <w:rFonts w:ascii="Traditional Arabic" w:hAnsi="Traditional Arabic" w:cs="Traditional Arabic"/>
          <w:sz w:val="28"/>
          <w:szCs w:val="28"/>
        </w:rPr>
        <w:t>:</w:t>
      </w:r>
    </w:p>
    <w:p w14:paraId="7AEE883C" w14:textId="4AA46D32" w:rsidR="009A71C7" w:rsidRPr="006A68CE"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الخبرة العملية في قطاع المياه أو الصرف الصحي بما لا يقل عن خمس سنوات</w:t>
      </w:r>
      <w:r>
        <w:rPr>
          <w:rFonts w:ascii="Traditional Arabic" w:hAnsi="Traditional Arabic" w:cs="Traditional Arabic"/>
          <w:sz w:val="28"/>
          <w:szCs w:val="28"/>
        </w:rPr>
        <w:t>.</w:t>
      </w:r>
    </w:p>
    <w:p w14:paraId="2BED5A76" w14:textId="665C23E9" w:rsidR="009A71C7" w:rsidRPr="006A68CE"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الاطلاع على ممارسات التحول الرقمي أو الحوكمة أو إدارة الأصول</w:t>
      </w:r>
      <w:r>
        <w:rPr>
          <w:rFonts w:ascii="Traditional Arabic" w:hAnsi="Traditional Arabic" w:cs="Traditional Arabic"/>
          <w:sz w:val="28"/>
          <w:szCs w:val="28"/>
        </w:rPr>
        <w:t>.</w:t>
      </w:r>
    </w:p>
    <w:p w14:paraId="4BB433AA" w14:textId="70B9A073" w:rsidR="009A71C7" w:rsidRPr="006A68CE"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العمل في موقع قيادي أو تخصصي يُمكّن من إبداء آراء وثيقة الصلة بمتغيرات الدراسة</w:t>
      </w:r>
      <w:r>
        <w:rPr>
          <w:rFonts w:ascii="Traditional Arabic" w:hAnsi="Traditional Arabic" w:cs="Traditional Arabic"/>
          <w:sz w:val="28"/>
          <w:szCs w:val="28"/>
        </w:rPr>
        <w:t>.</w:t>
      </w:r>
    </w:p>
    <w:p w14:paraId="2DDE6444" w14:textId="5F612A7C" w:rsidR="009A71C7" w:rsidRPr="005053B9"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الاستعداد للمشاركة طوعاً في الدراسة وإتمام الاستبانة بصورة كاملة</w:t>
      </w:r>
      <w:r>
        <w:rPr>
          <w:rFonts w:ascii="Traditional Arabic" w:hAnsi="Traditional Arabic" w:cs="Traditional Arabic"/>
          <w:sz w:val="28"/>
          <w:szCs w:val="28"/>
        </w:rPr>
        <w:t>.</w:t>
      </w:r>
    </w:p>
    <w:p w14:paraId="47B95614" w14:textId="2DA7C605"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وللتحقق الفعلي من توافر معايير الإدراج المذكورة قبل قبول أي استجابة ضمن العينة، تُدرَج في مستهل الاستبانة الإلكترونية أسئلة فرز (Screening Questions) تتحقق من سنوات الخبرة، والاطلاع على ممارسات القطاع، وطبيعة الموقع الوظيفي؛ بحيث يُصمَّم النظام الإلكتروني (Google Forms) لاستبعاد المستجيب تلقائياً وإنهاء الاستبانة إذا لم تنطبق عليه إحدى هذه المعايير، دون احتساب استجابته ضمن العينة النهائية.</w:t>
      </w:r>
    </w:p>
    <w:p w14:paraId="47B95613" w14:textId="2DA7C604"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وتعتمد الدراسة أساساً على تحليل القوة الإحصائية (Power Analysis) بوصفه الأساس العلمي المحدِّد لحجم العينة، إذ يرتبط الحجم المطلوب فعلياً بمستوى القوة الإحصائية المستهدفة، وعدد المتغيرات المتنبئة، وحجم الأثر المتوقع، وتعقيد النموذج البنائي؛ لا بحدٍّ عام ثابت يُفرَض على جميع نماذج</w:t>
      </w:r>
      <w:r>
        <w:rPr>
          <w:rFonts w:ascii="Traditional Arabic" w:hAnsi="Traditional Arabic" w:cs="Traditional Arabic"/>
          <w:sz w:val="28"/>
          <w:szCs w:val="28"/>
        </w:rPr>
        <w:t xml:space="preserve"> PLS-SEM</w:t>
      </w:r>
      <w:r>
        <w:rPr>
          <w:rFonts w:ascii="Traditional Arabic" w:hAnsi="Traditional Arabic" w:cs="Traditional Arabic"/>
          <w:sz w:val="28"/>
          <w:szCs w:val="28"/>
          <w:rtl/>
        </w:rPr>
        <w:t xml:space="preserve"> بصرف النظر عن خصائصها. وبناءً على ذلك، اعتمدت الدراسة برنامج</w:t>
      </w:r>
      <w:r>
        <w:rPr>
          <w:rFonts w:ascii="Traditional Arabic" w:hAnsi="Traditional Arabic" w:cs="Traditional Arabic"/>
          <w:sz w:val="28"/>
          <w:szCs w:val="28"/>
        </w:rPr>
        <w:t xml:space="preserve"> G*Power</w:t>
      </w:r>
      <w:r>
        <w:rPr>
          <w:rFonts w:ascii="Traditional Arabic" w:hAnsi="Traditional Arabic" w:cs="Traditional Arabic"/>
          <w:sz w:val="28"/>
          <w:szCs w:val="28"/>
          <w:rtl/>
        </w:rPr>
        <w:t xml:space="preserve"> لتحديد الحد الأدنى الفعلي للعينة بحجم أثر متوسط مسوَّغ (f²=0.15) وعدد متنبئات مطابق لأكبر عدد مسارات مباشرة داخلة على متغير كامن واحد في النموذج النهائي (انظر الملاحظة أدناه)، ثم اعتُمد المعيار العلمي الشائع في أدبيات </w:t>
      </w:r>
      <w:r>
        <w:rPr>
          <w:rFonts w:ascii="Traditional Arabic" w:hAnsi="Traditional Arabic" w:cs="Traditional Arabic"/>
          <w:sz w:val="28"/>
          <w:szCs w:val="28"/>
        </w:rPr>
        <w:t>PLS-SEM (Hair et al., 2019; Kline, 2016)</w:t>
      </w:r>
      <w:r>
        <w:rPr>
          <w:rFonts w:ascii="Traditional Arabic" w:hAnsi="Traditional Arabic" w:cs="Traditional Arabic"/>
          <w:sz w:val="28"/>
          <w:szCs w:val="28"/>
          <w:rtl/>
        </w:rPr>
        <w:t xml:space="preserve"> بحد أدنى (200) استجابة معياراً تحفظياً إضافياً يُراد به ضمان القدرة على </w:t>
      </w:r>
      <w:r>
        <w:rPr>
          <w:rFonts w:ascii="Traditional Arabic" w:hAnsi="Traditional Arabic" w:cs="Traditional Arabic"/>
          <w:sz w:val="28"/>
          <w:szCs w:val="28"/>
          <w:rtl/>
        </w:rPr>
        <w:lastRenderedPageBreak/>
        <w:t>التحليل الهيكلي وتحقيق متطلبات الصدق والثبات ودرجات الحرية بصرف النظر عن نتيجة تحليل القوة، على أن يُعتمَد الحجم الأكبر من بين نتائج المعيارين ضماناً لأعلى مستوى تحفظ إحصائي</w:t>
      </w:r>
      <w:r>
        <w:rPr>
          <w:rFonts w:ascii="Traditional Arabic" w:hAnsi="Traditional Arabic" w:cs="Traditional Arabic"/>
          <w:sz w:val="28"/>
          <w:szCs w:val="28"/>
        </w:rPr>
        <w:t>.</w:t>
      </w:r>
    </w:p>
    <w:p w14:paraId="768EE269" w14:textId="77777777" w:rsidR="00B33C3D" w:rsidRPr="00943C1C" w:rsidRDefault="00B33C3D" w:rsidP="00B33C3D">
      <w:pPr>
        <w:bidi/>
        <w:jc w:val="both"/>
        <w:rPr>
          <w:rFonts w:ascii="Traditional Arabic" w:hAnsi="Traditional Arabic" w:cs="Traditional Arabic"/>
          <w:sz w:val="28"/>
          <w:szCs w:val="28"/>
          <w:rtl/>
        </w:rPr>
      </w:pPr>
    </w:p>
    <w:p w14:paraId="2C27FAC9" w14:textId="4F7872B1" w:rsidR="009A71C7" w:rsidRPr="008B1E32" w:rsidRDefault="009A71C7" w:rsidP="00B7711D">
      <w:pPr>
        <w:pStyle w:val="ListParagraph"/>
        <w:numPr>
          <w:ilvl w:val="0"/>
          <w:numId w:val="32"/>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حجم العينة المستهدف</w:t>
      </w:r>
    </w:p>
    <w:tbl>
      <w:tblPr>
        <w:tblStyle w:val="GridTable4-Accent3"/>
        <w:bidiVisual/>
        <w:tblW w:w="9026" w:type="dxa"/>
        <w:tblLook w:val="04A0" w:firstRow="1" w:lastRow="0" w:firstColumn="1" w:lastColumn="0" w:noHBand="0" w:noVBand="1"/>
      </w:tblPr>
      <w:tblGrid>
        <w:gridCol w:w="5483"/>
        <w:gridCol w:w="3543"/>
      </w:tblGrid>
      <w:tr w:rsidR="009363AF" w14:paraId="01E0358C" w14:textId="77777777" w:rsidTr="00FE4BF8">
        <w:trPr>
          <w:cnfStyle w:val="100000000000" w:firstRow="1" w:lastRow="0" w:firstColumn="0" w:lastColumn="0" w:oddVBand="0" w:evenVBand="0" w:oddHBand="0"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218837EA" w14:textId="77777777" w:rsidR="009363AF" w:rsidRPr="0040691A" w:rsidRDefault="009363AF" w:rsidP="00EA448A">
            <w:pPr>
              <w:bidi/>
              <w:jc w:val="center"/>
              <w:rPr>
                <w:rFonts w:ascii="Traditional Arabic" w:hAnsi="Traditional Arabic" w:cs="Traditional Arabic"/>
                <w:sz w:val="32"/>
                <w:szCs w:val="32"/>
              </w:rPr>
            </w:pPr>
            <w:r>
              <w:rPr>
                <w:rFonts w:ascii="Traditional Arabic" w:hAnsi="Traditional Arabic" w:cs="Traditional Arabic"/>
                <w:color w:val="auto"/>
                <w:sz w:val="32"/>
                <w:szCs w:val="32"/>
                <w:rtl/>
              </w:rPr>
              <w:t>المعيار</w:t>
            </w:r>
          </w:p>
        </w:tc>
        <w:tc>
          <w:tcPr>
            <w:tcW w:w="3543" w:type="dxa"/>
          </w:tcPr>
          <w:p w14:paraId="01D5CB2D" w14:textId="77777777" w:rsidR="009363AF" w:rsidRPr="0040691A" w:rsidRDefault="009363AF" w:rsidP="00EA448A">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Pr>
                <w:rFonts w:ascii="Traditional Arabic" w:hAnsi="Traditional Arabic" w:cs="Traditional Arabic"/>
                <w:color w:val="auto"/>
                <w:sz w:val="32"/>
                <w:szCs w:val="32"/>
                <w:rtl/>
              </w:rPr>
              <w:t>الحجم الموصى به</w:t>
            </w:r>
          </w:p>
        </w:tc>
      </w:tr>
      <w:tr w:rsidR="009363AF" w14:paraId="7AD60ECD" w14:textId="77777777" w:rsidTr="00FE4B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1172F82F"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المعيار المستخدم</w:t>
            </w:r>
          </w:p>
        </w:tc>
        <w:tc>
          <w:tcPr>
            <w:tcW w:w="3543" w:type="dxa"/>
          </w:tcPr>
          <w:p w14:paraId="02A7CFA8" w14:textId="77777777" w:rsidR="009363AF" w:rsidRPr="009363AF" w:rsidRDefault="009363AF" w:rsidP="00EA448A">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الحجم المطلوب</w:t>
            </w:r>
          </w:p>
        </w:tc>
      </w:tr>
      <w:tr w:rsidR="009363AF" w14:paraId="7C42047C" w14:textId="77777777" w:rsidTr="00FE4BF8">
        <w:trPr>
          <w:trHeight w:val="676"/>
        </w:trPr>
        <w:tc>
          <w:tcPr>
            <w:cnfStyle w:val="001000000000" w:firstRow="0" w:lastRow="0" w:firstColumn="1" w:lastColumn="0" w:oddVBand="0" w:evenVBand="0" w:oddHBand="0" w:evenHBand="0" w:firstRowFirstColumn="0" w:firstRowLastColumn="0" w:lastRowFirstColumn="0" w:lastRowLastColumn="0"/>
            <w:tcW w:w="5483" w:type="dxa"/>
          </w:tcPr>
          <w:p w14:paraId="0102D405"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قاعدة عشرة أمثال (10× لكل مسار في النموذج)</w:t>
            </w:r>
          </w:p>
        </w:tc>
        <w:tc>
          <w:tcPr>
            <w:tcW w:w="3543" w:type="dxa"/>
          </w:tcPr>
          <w:p w14:paraId="648C7A70" w14:textId="77777777" w:rsidR="009363AF" w:rsidRPr="009363AF" w:rsidRDefault="009363AF" w:rsidP="00EA448A">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Cambria Math" w:hAnsi="Cambria Math" w:cs="Cambria Math" w:hint="cs"/>
                <w:sz w:val="28"/>
                <w:szCs w:val="28"/>
                <w:rtl/>
              </w:rPr>
              <w:t>≥</w:t>
            </w:r>
            <w:r>
              <w:rPr>
                <w:rFonts w:ascii="Traditional Arabic" w:hAnsi="Traditional Arabic" w:cs="Traditional Arabic"/>
                <w:sz w:val="28"/>
                <w:szCs w:val="28"/>
                <w:rtl/>
              </w:rPr>
              <w:t xml:space="preserve"> 150</w:t>
            </w:r>
          </w:p>
        </w:tc>
      </w:tr>
      <w:tr w:rsidR="009363AF" w14:paraId="50597EB2" w14:textId="77777777" w:rsidTr="00FE4B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0BB300A3"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 xml:space="preserve">تحليل القوة الإحصائية (G*Power, </w:t>
            </w:r>
            <w:r>
              <w:rPr>
                <w:rFonts w:ascii="Cambria" w:hAnsi="Cambria" w:cs="Cambria" w:hint="cs"/>
                <w:b w:val="0"/>
                <w:bCs w:val="0"/>
                <w:sz w:val="28"/>
                <w:szCs w:val="28"/>
                <w:rtl/>
              </w:rPr>
              <w:t>α</w:t>
            </w:r>
            <w:r>
              <w:rPr>
                <w:rFonts w:ascii="Traditional Arabic" w:hAnsi="Traditional Arabic" w:cs="Traditional Arabic"/>
                <w:b w:val="0"/>
                <w:bCs w:val="0"/>
                <w:sz w:val="28"/>
                <w:szCs w:val="28"/>
                <w:rtl/>
              </w:rPr>
              <w:t>=0.05, القوة الإحصائية (1-</w:t>
            </w:r>
            <w:r>
              <w:rPr>
                <w:rFonts w:ascii="Cambria" w:hAnsi="Cambria" w:cs="Cambria" w:hint="cs"/>
                <w:b w:val="0"/>
                <w:bCs w:val="0"/>
                <w:sz w:val="28"/>
                <w:szCs w:val="28"/>
                <w:rtl/>
              </w:rPr>
              <w:t>β</w:t>
            </w:r>
            <w:r>
              <w:rPr>
                <w:rFonts w:ascii="Traditional Arabic" w:hAnsi="Traditional Arabic" w:cs="Traditional Arabic"/>
                <w:b w:val="0"/>
                <w:bCs w:val="0"/>
                <w:sz w:val="28"/>
                <w:szCs w:val="28"/>
                <w:rtl/>
              </w:rPr>
              <w:t xml:space="preserve">)=0.80، اختبار الانحدار الخطي المتعدد الثابت </w:t>
            </w:r>
            <w:r>
              <w:rPr>
                <w:rFonts w:ascii="Traditional Arabic" w:hAnsi="Traditional Arabic" w:cs="Traditional Arabic"/>
                <w:b w:val="0"/>
                <w:bCs w:val="0"/>
                <w:sz w:val="28"/>
                <w:szCs w:val="28"/>
              </w:rPr>
              <w:t xml:space="preserve">(F-test: Linear Multiple Regression) </w:t>
            </w:r>
            <w:r>
              <w:rPr>
                <w:rFonts w:ascii="Traditional Arabic" w:hAnsi="Traditional Arabic" w:cs="Traditional Arabic"/>
                <w:b w:val="0"/>
                <w:bCs w:val="0"/>
                <w:sz w:val="28"/>
                <w:szCs w:val="28"/>
                <w:rtl/>
              </w:rPr>
              <w:t xml:space="preserve">بحجم أثر متوسط </w:t>
            </w:r>
            <w:r>
              <w:rPr>
                <w:rFonts w:ascii="Traditional Arabic" w:hAnsi="Traditional Arabic" w:cs="Traditional Arabic"/>
                <w:b w:val="0"/>
                <w:bCs w:val="0"/>
                <w:sz w:val="28"/>
                <w:szCs w:val="28"/>
              </w:rPr>
              <w:t xml:space="preserve">(f²=0.15) </w:t>
            </w:r>
            <w:r>
              <w:rPr>
                <w:rFonts w:ascii="Traditional Arabic" w:hAnsi="Traditional Arabic" w:cs="Traditional Arabic"/>
                <w:b w:val="0"/>
                <w:bCs w:val="0"/>
                <w:sz w:val="28"/>
                <w:szCs w:val="28"/>
                <w:rtl/>
              </w:rPr>
              <w:t>وعدد متغيرات متنبئة يساوي (3)، تحفظاً وفق أكبر عدد متوقع من المسارات المباشرة الداخلة على متغير كامن واحد في النموذج البنائي النهائي (الأداء المؤسسي، الذي قد يستقبل مساراً مباشراً من سلامة الأصول إضافة إلى مسارين مباشرين محتملين من الحوكمة الذكية والمتغيرات المستقلة في حال اختبار نموذج الوساطة الجزئية)؛ على أن يُعاد التحقق من هذا العدد وتحديثه عند حسم الفروض النهائية للنموذج، مع إعادة حساب القوة الإحصائية إذا تجاوز عدد المتنبئات الفعلي هذا التقدير)</w:t>
            </w:r>
          </w:p>
        </w:tc>
        <w:tc>
          <w:tcPr>
            <w:tcW w:w="3543" w:type="dxa"/>
          </w:tcPr>
          <w:p w14:paraId="6D2C1CCB" w14:textId="77777777" w:rsidR="009363AF" w:rsidRPr="009363AF" w:rsidRDefault="009363AF" w:rsidP="00EA448A">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Cambria Math" w:hAnsi="Cambria Math" w:cs="Cambria Math" w:hint="cs"/>
                <w:sz w:val="28"/>
                <w:szCs w:val="28"/>
                <w:rtl/>
              </w:rPr>
              <w:t>≥</w:t>
            </w:r>
            <w:r>
              <w:rPr>
                <w:rFonts w:ascii="Traditional Arabic" w:hAnsi="Traditional Arabic" w:cs="Traditional Arabic"/>
                <w:sz w:val="28"/>
                <w:szCs w:val="28"/>
                <w:rtl/>
              </w:rPr>
              <w:t xml:space="preserve"> 77</w:t>
            </w:r>
          </w:p>
        </w:tc>
      </w:tr>
      <w:tr w:rsidR="009363AF" w14:paraId="0D034ACC" w14:textId="77777777" w:rsidTr="00FE4BF8">
        <w:trPr>
          <w:trHeight w:val="676"/>
        </w:trPr>
        <w:tc>
          <w:tcPr>
            <w:cnfStyle w:val="001000000000" w:firstRow="0" w:lastRow="0" w:firstColumn="1" w:lastColumn="0" w:oddVBand="0" w:evenVBand="0" w:oddHBand="0" w:evenHBand="0" w:firstRowFirstColumn="0" w:firstRowLastColumn="0" w:lastRowFirstColumn="0" w:lastRowLastColumn="0"/>
            <w:tcW w:w="5483" w:type="dxa"/>
          </w:tcPr>
          <w:p w14:paraId="145E62AF"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المعيار العلمي المعتمد في PLS-SEM (Hair et al., 2019)</w:t>
            </w:r>
          </w:p>
        </w:tc>
        <w:tc>
          <w:tcPr>
            <w:tcW w:w="3543" w:type="dxa"/>
          </w:tcPr>
          <w:p w14:paraId="03FC9C42" w14:textId="77777777" w:rsidR="009363AF" w:rsidRPr="009363AF" w:rsidRDefault="009363AF" w:rsidP="00EA448A">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Cambria Math" w:hAnsi="Cambria Math" w:cs="Cambria Math" w:hint="cs"/>
                <w:sz w:val="28"/>
                <w:szCs w:val="28"/>
                <w:rtl/>
              </w:rPr>
              <w:t>≥</w:t>
            </w:r>
            <w:r>
              <w:rPr>
                <w:rFonts w:ascii="Traditional Arabic" w:hAnsi="Traditional Arabic" w:cs="Traditional Arabic"/>
                <w:sz w:val="28"/>
                <w:szCs w:val="28"/>
                <w:rtl/>
              </w:rPr>
              <w:t xml:space="preserve"> 200</w:t>
            </w:r>
          </w:p>
        </w:tc>
      </w:tr>
      <w:tr w:rsidR="009363AF" w14:paraId="6FC2E0BC" w14:textId="77777777" w:rsidTr="00FE4B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52593E23"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الحجم المستهدف مع مراعاة الاستبيانات غير المكتملة (15%)</w:t>
            </w:r>
          </w:p>
        </w:tc>
        <w:tc>
          <w:tcPr>
            <w:tcW w:w="3543" w:type="dxa"/>
          </w:tcPr>
          <w:p w14:paraId="44B1B03D" w14:textId="77777777" w:rsidR="009363AF" w:rsidRPr="009363AF" w:rsidRDefault="009363AF" w:rsidP="00EA448A">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235</w:t>
            </w:r>
          </w:p>
        </w:tc>
      </w:tr>
    </w:tbl>
    <w:p w14:paraId="794113DD" w14:textId="77777777" w:rsidR="009A71C7" w:rsidRPr="0035660B" w:rsidRDefault="009A71C7" w:rsidP="0035660B">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رابعاً: أداة جمع البيانات</w:t>
      </w:r>
    </w:p>
    <w:p w14:paraId="50A3EC76" w14:textId="5A7FD225" w:rsidR="009A71C7" w:rsidRPr="00026ED0" w:rsidRDefault="009A71C7" w:rsidP="00B7711D">
      <w:pPr>
        <w:pStyle w:val="ListParagraph"/>
        <w:numPr>
          <w:ilvl w:val="0"/>
          <w:numId w:val="34"/>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الاستبانة</w:t>
      </w:r>
    </w:p>
    <w:p w14:paraId="3BB3495A"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اعتمدت الدراسة الاستبانة أداةً رئيسية لجمع البيانات الكمية، وهي الأداة الأكثر شيوعاً في الدراسات ذات المنهج الوصفي التحليلي والمعتمدة على نماذج القياس الهيكلية</w:t>
      </w:r>
      <w:r>
        <w:rPr>
          <w:rFonts w:ascii="Traditional Arabic" w:hAnsi="Traditional Arabic" w:cs="Traditional Arabic"/>
          <w:sz w:val="28"/>
          <w:szCs w:val="28"/>
        </w:rPr>
        <w:t xml:space="preserve"> (Hair et al., 2019). </w:t>
      </w:r>
      <w:r>
        <w:rPr>
          <w:rFonts w:ascii="Traditional Arabic" w:hAnsi="Traditional Arabic" w:cs="Traditional Arabic"/>
          <w:sz w:val="28"/>
          <w:szCs w:val="28"/>
          <w:rtl/>
        </w:rPr>
        <w:t>وقد جرى تصميم الاستبانة بصورة دقيقة تستوفي متطلبات القياس النفسي، بما في ذلك الوضوح اللغوي والدقة المفاهيمية وتغطية أبعاد النموذج كافة</w:t>
      </w:r>
      <w:r>
        <w:rPr>
          <w:rFonts w:ascii="Traditional Arabic" w:hAnsi="Traditional Arabic" w:cs="Traditional Arabic"/>
          <w:sz w:val="28"/>
          <w:szCs w:val="28"/>
        </w:rPr>
        <w:t>.</w:t>
      </w:r>
    </w:p>
    <w:p w14:paraId="6811DD68"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lastRenderedPageBreak/>
        <w:t>وتضمنت الاستبانة في نسختها النهائية ستة محاور: المحور الأول يختص بالبيانات الشخصية والمهنية للمستجيبين ولا يندرج ضمن فقرات القياس الكامنة، بينما تقيس المحاور الخمسة التالية متغيرات النموذج المفاهيمي (المستقلة والوسيطة والتابعة) مجتمعةً عبر اثنتين وثمانين (82) فقرة</w:t>
      </w:r>
      <w:r>
        <w:rPr>
          <w:rFonts w:ascii="Traditional Arabic" w:hAnsi="Traditional Arabic" w:cs="Traditional Arabic"/>
          <w:sz w:val="28"/>
          <w:szCs w:val="28"/>
        </w:rPr>
        <w:t>.</w:t>
      </w:r>
    </w:p>
    <w:p w14:paraId="6811DD6A" w14:textId="6811DD6B"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ونظراً لأن هذا العدد من الفقرات يُعدّ كبيراً نسبياً لاستبانة موجَّهة أساساً لقياديين ومتخصصين ذوي وقت محدود، فإن الزمن المتوقع لإكمال الاستبانة يتراوح بين (15-20) دقيقة، وسيُعرَض تقدير هذا الزمن للمستجيب في مقدمة الاستبانة. كما سيُتحقق أثناء الدراسة الاستطلاعية تحديداً من عدم وجود فقرات متكررة أو متقاربة الدلالة يمكن دمجها أو حذفها دون مساس بالمحتوى النظري لكل بُعد، بما يسهم في تقليص طول الأداة إن أمكن قبل التطبيق النهائي.</w:t>
      </w:r>
    </w:p>
    <w:p w14:paraId="6811DD69" w14:textId="6811DD7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مصادر فقرات القياس وإجراءات الترجمة: </w:t>
      </w:r>
      <w:r>
        <w:rPr>
          <w:rFonts w:ascii="Traditional Arabic" w:hAnsi="Traditional Arabic" w:cs="Traditional Arabic"/>
          <w:sz w:val="28"/>
          <w:szCs w:val="28"/>
          <w:rtl/>
        </w:rPr>
        <w:t>استُمدَّت فقرات القياس الخاصة بكل متغير من مقاييس مؤسسة في الأدبيات الأجنبية ذات الصلة، وتحديداً: فقرات التحول الرقمي مستمدة من مقاييس مستوحاة من إطار</w:t>
      </w:r>
      <w:r>
        <w:rPr>
          <w:rFonts w:ascii="Traditional Arabic" w:hAnsi="Traditional Arabic" w:cs="Traditional Arabic"/>
          <w:sz w:val="28"/>
          <w:szCs w:val="28"/>
        </w:rPr>
        <w:t xml:space="preserve"> Vial (2019) </w:t>
      </w:r>
      <w:r>
        <w:rPr>
          <w:rFonts w:ascii="Traditional Arabic" w:hAnsi="Traditional Arabic" w:cs="Traditional Arabic"/>
          <w:sz w:val="28"/>
          <w:szCs w:val="28"/>
          <w:rtl/>
        </w:rPr>
        <w:t>و</w:t>
      </w:r>
      <w:r>
        <w:rPr>
          <w:rFonts w:ascii="Traditional Arabic" w:hAnsi="Traditional Arabic" w:cs="Traditional Arabic"/>
          <w:sz w:val="28"/>
          <w:szCs w:val="28"/>
        </w:rPr>
        <w:t>Verhoef et al. (2021)</w:t>
      </w:r>
      <w:r>
        <w:rPr>
          <w:rFonts w:ascii="Traditional Arabic" w:hAnsi="Traditional Arabic" w:cs="Traditional Arabic"/>
          <w:sz w:val="28"/>
          <w:szCs w:val="28"/>
          <w:rtl/>
        </w:rPr>
        <w:t xml:space="preserve">؛ وفقرات الحوكمة الذكية من </w:t>
      </w:r>
      <w:r>
        <w:rPr>
          <w:rFonts w:ascii="Traditional Arabic" w:hAnsi="Traditional Arabic" w:cs="Traditional Arabic"/>
          <w:sz w:val="28"/>
          <w:szCs w:val="28"/>
        </w:rPr>
        <w:t xml:space="preserve">Janssen et al. (2017) </w:t>
      </w:r>
      <w:r>
        <w:rPr>
          <w:rFonts w:ascii="Traditional Arabic" w:hAnsi="Traditional Arabic" w:cs="Traditional Arabic"/>
          <w:sz w:val="28"/>
          <w:szCs w:val="28"/>
          <w:rtl/>
        </w:rPr>
        <w:t>و</w:t>
      </w:r>
      <w:r>
        <w:rPr>
          <w:rFonts w:ascii="Traditional Arabic" w:hAnsi="Traditional Arabic" w:cs="Traditional Arabic"/>
          <w:sz w:val="28"/>
          <w:szCs w:val="28"/>
        </w:rPr>
        <w:t>OECD (2020)</w:t>
      </w:r>
      <w:r>
        <w:rPr>
          <w:rFonts w:ascii="Traditional Arabic" w:hAnsi="Traditional Arabic" w:cs="Traditional Arabic"/>
          <w:sz w:val="28"/>
          <w:szCs w:val="28"/>
          <w:rtl/>
        </w:rPr>
        <w:t xml:space="preserve">؛ وفقرات الاستدامة المؤسسية من </w:t>
      </w:r>
      <w:r>
        <w:rPr>
          <w:rFonts w:ascii="Traditional Arabic" w:hAnsi="Traditional Arabic" w:cs="Traditional Arabic"/>
          <w:sz w:val="28"/>
          <w:szCs w:val="28"/>
        </w:rPr>
        <w:t xml:space="preserve">Elkington (1997) </w:t>
      </w:r>
      <w:r>
        <w:rPr>
          <w:rFonts w:ascii="Traditional Arabic" w:hAnsi="Traditional Arabic" w:cs="Traditional Arabic"/>
          <w:sz w:val="28"/>
          <w:szCs w:val="28"/>
          <w:rtl/>
        </w:rPr>
        <w:t>و</w:t>
      </w:r>
      <w:r>
        <w:rPr>
          <w:rFonts w:ascii="Traditional Arabic" w:hAnsi="Traditional Arabic" w:cs="Traditional Arabic"/>
          <w:sz w:val="28"/>
          <w:szCs w:val="28"/>
        </w:rPr>
        <w:t>Porter &amp; Kramer (2011)</w:t>
      </w:r>
      <w:r>
        <w:rPr>
          <w:rFonts w:ascii="Traditional Arabic" w:hAnsi="Traditional Arabic" w:cs="Traditional Arabic"/>
          <w:sz w:val="28"/>
          <w:szCs w:val="28"/>
          <w:rtl/>
        </w:rPr>
        <w:t xml:space="preserve">؛ وفقرات سلامة الأصول من مواصفة </w:t>
      </w:r>
      <w:r>
        <w:rPr>
          <w:rFonts w:ascii="Traditional Arabic" w:hAnsi="Traditional Arabic" w:cs="Traditional Arabic"/>
          <w:sz w:val="28"/>
          <w:szCs w:val="28"/>
        </w:rPr>
        <w:t xml:space="preserve">ISO 55000 </w:t>
      </w:r>
      <w:r>
        <w:rPr>
          <w:rFonts w:ascii="Traditional Arabic" w:hAnsi="Traditional Arabic" w:cs="Traditional Arabic"/>
          <w:sz w:val="28"/>
          <w:szCs w:val="28"/>
          <w:rtl/>
        </w:rPr>
        <w:t xml:space="preserve">ودراسة </w:t>
      </w:r>
      <w:r>
        <w:rPr>
          <w:rFonts w:ascii="Traditional Arabic" w:hAnsi="Traditional Arabic" w:cs="Traditional Arabic"/>
          <w:sz w:val="28"/>
          <w:szCs w:val="28"/>
        </w:rPr>
        <w:t>Fuller et al. (2020)</w:t>
      </w:r>
      <w:r>
        <w:rPr>
          <w:rFonts w:ascii="Traditional Arabic" w:hAnsi="Traditional Arabic" w:cs="Traditional Arabic"/>
          <w:sz w:val="28"/>
          <w:szCs w:val="28"/>
          <w:rtl/>
        </w:rPr>
        <w:t xml:space="preserve">؛ وفقرات الأداء المؤسسي من نموذج بطاقة الأداء المتوازن </w:t>
      </w:r>
      <w:r>
        <w:rPr>
          <w:rFonts w:ascii="Traditional Arabic" w:hAnsi="Traditional Arabic" w:cs="Traditional Arabic"/>
          <w:sz w:val="28"/>
          <w:szCs w:val="28"/>
        </w:rPr>
        <w:t>(Kaplan &amp; Norton, 1996)</w:t>
      </w:r>
      <w:r>
        <w:rPr>
          <w:rFonts w:ascii="Traditional Arabic" w:hAnsi="Traditional Arabic" w:cs="Traditional Arabic"/>
          <w:sz w:val="28"/>
          <w:szCs w:val="28"/>
          <w:rtl/>
        </w:rPr>
        <w:t>. ولمّا كانت هذه المقاييس مصاغة أصلاً باللغة الإنجليزية، فقد اتُّبع أسلوب الترجمة والترجمة العكسية</w:t>
      </w:r>
      <w:r>
        <w:rPr>
          <w:rFonts w:ascii="Traditional Arabic" w:hAnsi="Traditional Arabic" w:cs="Traditional Arabic"/>
          <w:sz w:val="28"/>
          <w:szCs w:val="28"/>
        </w:rPr>
        <w:t xml:space="preserve"> (Translation-Back Translation) </w:t>
      </w:r>
      <w:r>
        <w:rPr>
          <w:rFonts w:ascii="Traditional Arabic" w:hAnsi="Traditional Arabic" w:cs="Traditional Arabic"/>
          <w:sz w:val="28"/>
          <w:szCs w:val="28"/>
          <w:rtl/>
        </w:rPr>
        <w:t>وفق</w:t>
      </w:r>
      <w:r>
        <w:rPr>
          <w:rFonts w:ascii="Traditional Arabic" w:hAnsi="Traditional Arabic" w:cs="Traditional Arabic"/>
          <w:sz w:val="28"/>
          <w:szCs w:val="28"/>
        </w:rPr>
        <w:t xml:space="preserve"> Brislin (1970)</w:t>
      </w:r>
      <w:r>
        <w:rPr>
          <w:rFonts w:ascii="Traditional Arabic" w:hAnsi="Traditional Arabic" w:cs="Traditional Arabic"/>
          <w:sz w:val="28"/>
          <w:szCs w:val="28"/>
          <w:rtl/>
        </w:rPr>
        <w:t>؛ إذ تُرجمت الفقرات من الإنجليزية إلى العربية بواسطة مترجم متخصص، ثم أُعيدت ترجمتها إلى الإنجليزية بواسطة مترجم مستقل آخر لم يطّلع على النسخة الأصلية، وقُورنت النسختان الإنجليزيتان (الأصلية والمعادة) للتحقق من التطابق الدلالي، وحُسمت أي فروق عبر التشاور مع المشرف الأكاديمي.</w:t>
      </w:r>
    </w:p>
    <w:p w14:paraId="780567B5" w14:textId="780567B6"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ولتوضيح دقيق لحالة كل فقرة من حيث مصدرها، سيُدرَج في ملحق الدراسة جدول تفصيلي لكل بُعد فرعي يبيّن: المصدر الأصلي المحدَّد (المرجع والصفحة إن وُجدت)، عدد البنود المقتبسة حرفياً (Adopted) من المقياس الأصلي دون تعديل جوهري، عدد البنود المقتبسة مع تعديل الصياغة لتلائم سياق قطاع المياه السعودي (Adapted)، وعدد البنود التي طوَّرها الباحث استناداً إلى الإطار النظري للمفهوم دون الاستناد إلى بند بعينه في المقياس الأصلي (Researcher-Developed)؛ وذلك تمييزاً واضحاً بين البنود التي اقتُبست حرفياً من أداة قياس منشورة وتلك التي استُلهمت من الإطار المفاهيمي العام لمصادرها المذكورة (مثل Vial؛ OECD؛ ISO 55000).</w:t>
      </w:r>
    </w:p>
    <w:p w14:paraId="780567B4" w14:textId="19C83507" w:rsidR="009A71C7" w:rsidRPr="00B33C3D" w:rsidRDefault="009A71C7" w:rsidP="00B7711D">
      <w:pPr>
        <w:pStyle w:val="ListParagraph"/>
        <w:numPr>
          <w:ilvl w:val="0"/>
          <w:numId w:val="34"/>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هيكل الاستبانة</w:t>
      </w:r>
    </w:p>
    <w:tbl>
      <w:tblPr>
        <w:tblStyle w:val="GridTable4-Accent3"/>
        <w:bidiVisual/>
        <w:tblW w:w="9026" w:type="dxa"/>
        <w:tblInd w:w="10" w:type="dxa"/>
        <w:tblLook w:val="04A0" w:firstRow="1" w:lastRow="0" w:firstColumn="1" w:lastColumn="0" w:noHBand="0" w:noVBand="1"/>
      </w:tblPr>
      <w:tblGrid>
        <w:gridCol w:w="4491"/>
        <w:gridCol w:w="2535"/>
        <w:gridCol w:w="2000"/>
      </w:tblGrid>
      <w:tr w:rsidR="00FE4BF8" w:rsidRPr="0078589F" w14:paraId="072DCC65" w14:textId="77777777" w:rsidTr="00B33C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tcPr>
          <w:p w14:paraId="4A0D0451" w14:textId="77777777" w:rsidR="00FE4BF8" w:rsidRPr="0078589F" w:rsidRDefault="00FE4BF8" w:rsidP="00FE4BF8">
            <w:pPr>
              <w:bidi/>
              <w:jc w:val="center"/>
              <w:rPr>
                <w:rFonts w:ascii="Traditional Arabic" w:hAnsi="Traditional Arabic" w:cs="Traditional Arabic"/>
                <w:color w:val="auto"/>
                <w:sz w:val="32"/>
                <w:szCs w:val="32"/>
              </w:rPr>
            </w:pPr>
            <w:r>
              <w:rPr>
                <w:rFonts w:ascii="Traditional Arabic" w:hAnsi="Traditional Arabic" w:cs="Traditional Arabic"/>
                <w:color w:val="auto"/>
                <w:sz w:val="32"/>
                <w:szCs w:val="32"/>
                <w:rtl/>
              </w:rPr>
              <w:t>المحور</w:t>
            </w:r>
          </w:p>
        </w:tc>
        <w:tc>
          <w:tcPr>
            <w:tcW w:w="2535" w:type="dxa"/>
          </w:tcPr>
          <w:p w14:paraId="706B7CE0" w14:textId="77777777" w:rsidR="00FE4BF8" w:rsidRPr="0078589F" w:rsidRDefault="00FE4BF8" w:rsidP="00FE4BF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Pr>
                <w:rFonts w:ascii="Traditional Arabic" w:hAnsi="Traditional Arabic" w:cs="Traditional Arabic"/>
                <w:color w:val="auto"/>
                <w:sz w:val="32"/>
                <w:szCs w:val="32"/>
                <w:rtl/>
              </w:rPr>
              <w:t>المحتوى</w:t>
            </w:r>
          </w:p>
        </w:tc>
        <w:tc>
          <w:tcPr>
            <w:tcW w:w="2000" w:type="dxa"/>
          </w:tcPr>
          <w:p w14:paraId="66A29B54" w14:textId="77777777" w:rsidR="00FE4BF8" w:rsidRPr="0078589F" w:rsidRDefault="00FE4BF8" w:rsidP="00FE4BF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Pr>
                <w:rFonts w:ascii="Traditional Arabic" w:hAnsi="Traditional Arabic" w:cs="Traditional Arabic"/>
                <w:color w:val="auto"/>
                <w:sz w:val="32"/>
                <w:szCs w:val="32"/>
                <w:rtl/>
              </w:rPr>
              <w:t>الترقيم</w:t>
            </w:r>
          </w:p>
        </w:tc>
      </w:tr>
      <w:tr w:rsidR="00FE4BF8" w:rsidRPr="0078589F" w14:paraId="06DD9E34" w14:textId="77777777" w:rsidTr="00B33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vAlign w:val="center"/>
          </w:tcPr>
          <w:p w14:paraId="0307013B"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البيانات الشخصية والمهنية</w:t>
            </w:r>
          </w:p>
        </w:tc>
        <w:tc>
          <w:tcPr>
            <w:tcW w:w="2535" w:type="dxa"/>
            <w:vAlign w:val="center"/>
          </w:tcPr>
          <w:p w14:paraId="3EC6F34D"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الجنس، المؤهل، الخبرة، الجهة، المسمى الوظيفي</w:t>
            </w:r>
          </w:p>
        </w:tc>
        <w:tc>
          <w:tcPr>
            <w:tcW w:w="2000" w:type="dxa"/>
            <w:vAlign w:val="center"/>
          </w:tcPr>
          <w:p w14:paraId="717093A9"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أولاً</w:t>
            </w:r>
          </w:p>
        </w:tc>
      </w:tr>
      <w:tr w:rsidR="00FE4BF8" w:rsidRPr="0078589F" w14:paraId="18F41B81" w14:textId="77777777" w:rsidTr="00B33C3D">
        <w:tc>
          <w:tcPr>
            <w:cnfStyle w:val="001000000000" w:firstRow="0" w:lastRow="0" w:firstColumn="1" w:lastColumn="0" w:oddVBand="0" w:evenVBand="0" w:oddHBand="0" w:evenHBand="0" w:firstRowFirstColumn="0" w:firstRowLastColumn="0" w:lastRowFirstColumn="0" w:lastRowLastColumn="0"/>
            <w:tcW w:w="4491" w:type="dxa"/>
            <w:vAlign w:val="center"/>
          </w:tcPr>
          <w:p w14:paraId="7F0AE244"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التحول الرقمي (Digital Transformation)</w:t>
            </w:r>
          </w:p>
        </w:tc>
        <w:tc>
          <w:tcPr>
            <w:tcW w:w="2535" w:type="dxa"/>
            <w:vAlign w:val="center"/>
          </w:tcPr>
          <w:p w14:paraId="5F973F71"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17 فقرة موزعة على 4 أبعاد فرعية</w:t>
            </w:r>
          </w:p>
        </w:tc>
        <w:tc>
          <w:tcPr>
            <w:tcW w:w="2000" w:type="dxa"/>
            <w:vAlign w:val="center"/>
          </w:tcPr>
          <w:p w14:paraId="4869ABE4"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ثانياً</w:t>
            </w:r>
          </w:p>
        </w:tc>
      </w:tr>
      <w:tr w:rsidR="00FE4BF8" w:rsidRPr="0078589F" w14:paraId="3A638715" w14:textId="77777777" w:rsidTr="00B33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vAlign w:val="center"/>
          </w:tcPr>
          <w:p w14:paraId="67CFD6E3"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lastRenderedPageBreak/>
              <w:t>الاستدامة المؤسسية (Institutional Sustainability)</w:t>
            </w:r>
          </w:p>
        </w:tc>
        <w:tc>
          <w:tcPr>
            <w:tcW w:w="2535" w:type="dxa"/>
            <w:vAlign w:val="center"/>
          </w:tcPr>
          <w:p w14:paraId="2B73B70E"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16 فقرة موزعة على 3 أبعاد فرعية</w:t>
            </w:r>
          </w:p>
        </w:tc>
        <w:tc>
          <w:tcPr>
            <w:tcW w:w="2000" w:type="dxa"/>
            <w:vAlign w:val="center"/>
          </w:tcPr>
          <w:p w14:paraId="11425FD7"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ثالثاً</w:t>
            </w:r>
          </w:p>
        </w:tc>
      </w:tr>
      <w:tr w:rsidR="00FE4BF8" w:rsidRPr="0078589F" w14:paraId="5992A301" w14:textId="77777777" w:rsidTr="00B33C3D">
        <w:tc>
          <w:tcPr>
            <w:cnfStyle w:val="001000000000" w:firstRow="0" w:lastRow="0" w:firstColumn="1" w:lastColumn="0" w:oddVBand="0" w:evenVBand="0" w:oddHBand="0" w:evenHBand="0" w:firstRowFirstColumn="0" w:firstRowLastColumn="0" w:lastRowFirstColumn="0" w:lastRowLastColumn="0"/>
            <w:tcW w:w="4491" w:type="dxa"/>
            <w:vAlign w:val="center"/>
          </w:tcPr>
          <w:p w14:paraId="17421184"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الحوكمة الذكية (Smart Governance) – المتغير الوسيط</w:t>
            </w:r>
          </w:p>
        </w:tc>
        <w:tc>
          <w:tcPr>
            <w:tcW w:w="2535" w:type="dxa"/>
            <w:vAlign w:val="center"/>
          </w:tcPr>
          <w:p w14:paraId="5CA6A31C"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18 فقرة موزعة على 4 أبعاد فرعية</w:t>
            </w:r>
          </w:p>
        </w:tc>
        <w:tc>
          <w:tcPr>
            <w:tcW w:w="2000" w:type="dxa"/>
            <w:vAlign w:val="center"/>
          </w:tcPr>
          <w:p w14:paraId="7FCC3ED0"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رابعاً</w:t>
            </w:r>
          </w:p>
        </w:tc>
      </w:tr>
      <w:tr w:rsidR="00FE4BF8" w:rsidRPr="0078589F" w14:paraId="2DF0306E" w14:textId="77777777" w:rsidTr="00B33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vAlign w:val="center"/>
          </w:tcPr>
          <w:p w14:paraId="69843780"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سلامة أصول البنية التحتية (Asset Integrity) – الوسيط الثاني</w:t>
            </w:r>
          </w:p>
        </w:tc>
        <w:tc>
          <w:tcPr>
            <w:tcW w:w="2535" w:type="dxa"/>
            <w:vAlign w:val="center"/>
          </w:tcPr>
          <w:p w14:paraId="1052170C"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15 فقرة موزعة على 3 أبعاد فرعية</w:t>
            </w:r>
          </w:p>
        </w:tc>
        <w:tc>
          <w:tcPr>
            <w:tcW w:w="2000" w:type="dxa"/>
            <w:vAlign w:val="center"/>
          </w:tcPr>
          <w:p w14:paraId="384AF044"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خامساً</w:t>
            </w:r>
          </w:p>
        </w:tc>
      </w:tr>
      <w:tr w:rsidR="00FE4BF8" w:rsidRPr="0078589F" w14:paraId="6916341B" w14:textId="77777777" w:rsidTr="00B33C3D">
        <w:tc>
          <w:tcPr>
            <w:cnfStyle w:val="001000000000" w:firstRow="0" w:lastRow="0" w:firstColumn="1" w:lastColumn="0" w:oddVBand="0" w:evenVBand="0" w:oddHBand="0" w:evenHBand="0" w:firstRowFirstColumn="0" w:firstRowLastColumn="0" w:lastRowFirstColumn="0" w:lastRowLastColumn="0"/>
            <w:tcW w:w="4491" w:type="dxa"/>
            <w:vAlign w:val="center"/>
          </w:tcPr>
          <w:p w14:paraId="727EA9A0" w14:textId="77777777" w:rsidR="00FE4BF8" w:rsidRPr="00B33C3D" w:rsidRDefault="00FE4BF8" w:rsidP="00B33C3D">
            <w:pPr>
              <w:bidi/>
              <w:jc w:val="center"/>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الأداء المؤسسي (Institutional Performance) – المتغير التابع</w:t>
            </w:r>
          </w:p>
        </w:tc>
        <w:tc>
          <w:tcPr>
            <w:tcW w:w="2535" w:type="dxa"/>
            <w:vAlign w:val="center"/>
          </w:tcPr>
          <w:p w14:paraId="003E4BC6"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16 فقرة موزعة على 4 أبعاد فرعية</w:t>
            </w:r>
          </w:p>
        </w:tc>
        <w:tc>
          <w:tcPr>
            <w:tcW w:w="2000" w:type="dxa"/>
            <w:vAlign w:val="center"/>
          </w:tcPr>
          <w:p w14:paraId="70EDAD17"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سادساً</w:t>
            </w:r>
          </w:p>
        </w:tc>
      </w:tr>
    </w:tbl>
    <w:p w14:paraId="104FCFEF" w14:textId="0B6544FF" w:rsidR="009A71C7" w:rsidRPr="00B33C3D" w:rsidRDefault="009A71C7" w:rsidP="00B33C3D">
      <w:pPr>
        <w:pStyle w:val="ListParagraph"/>
        <w:bidi/>
        <w:jc w:val="both"/>
        <w:rPr>
          <w:rFonts w:asciiTheme="majorHAnsi" w:eastAsiaTheme="majorEastAsia" w:hAnsiTheme="majorHAnsi" w:cstheme="majorBidi"/>
          <w:color w:val="2F5496" w:themeColor="accent1" w:themeShade="BF"/>
          <w:sz w:val="32"/>
          <w:szCs w:val="32"/>
          <w:rtl/>
        </w:rPr>
      </w:pPr>
    </w:p>
    <w:p w14:paraId="60E8D006" w14:textId="7C13FAF0" w:rsidR="009A71C7" w:rsidRPr="00B33C3D" w:rsidRDefault="009A71C7" w:rsidP="00B7711D">
      <w:pPr>
        <w:pStyle w:val="ListParagraph"/>
        <w:numPr>
          <w:ilvl w:val="0"/>
          <w:numId w:val="34"/>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مقياس الإجابة</w:t>
      </w:r>
    </w:p>
    <w:p w14:paraId="5E816BF6" w14:textId="5E816BF8"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ولأغراض التحليل الإحصائي، رُمِّزت فقرات كل متغير وفق نظام ترميز موحَّد يجمع بين اختصار المتغير ورقم البُعد الفرعي ورقم الفقرة داخله؛ فعلى سبيل المثال تُرمَّز فقرات التحول الرقمي بالصيغة</w:t>
      </w:r>
      <w:r>
        <w:rPr>
          <w:rFonts w:ascii="Traditional Arabic" w:hAnsi="Traditional Arabic" w:cs="Traditional Arabic"/>
          <w:sz w:val="28"/>
          <w:szCs w:val="28"/>
        </w:rPr>
        <w:t xml:space="preserve"> DT1.1–DT1.n </w:t>
      </w:r>
      <w:r>
        <w:rPr>
          <w:rFonts w:ascii="Traditional Arabic" w:hAnsi="Traditional Arabic" w:cs="Traditional Arabic"/>
          <w:sz w:val="28"/>
          <w:szCs w:val="28"/>
          <w:rtl/>
        </w:rPr>
        <w:t xml:space="preserve">للبُعد الفرعي الأول وهكذا؛ وتُرمَّز فقرات الاستدامة المؤسسية بالصيغة </w:t>
      </w:r>
      <w:r>
        <w:rPr>
          <w:rFonts w:ascii="Traditional Arabic" w:hAnsi="Traditional Arabic" w:cs="Traditional Arabic"/>
          <w:sz w:val="28"/>
          <w:szCs w:val="28"/>
        </w:rPr>
        <w:t>IS1.1–IS3.n</w:t>
      </w:r>
      <w:r>
        <w:rPr>
          <w:rFonts w:ascii="Traditional Arabic" w:hAnsi="Traditional Arabic" w:cs="Traditional Arabic"/>
          <w:sz w:val="28"/>
          <w:szCs w:val="28"/>
          <w:rtl/>
        </w:rPr>
        <w:t xml:space="preserve">؛ وفقرات الحوكمة الذكية بالصيغة </w:t>
      </w:r>
      <w:r>
        <w:rPr>
          <w:rFonts w:ascii="Traditional Arabic" w:hAnsi="Traditional Arabic" w:cs="Traditional Arabic"/>
          <w:sz w:val="28"/>
          <w:szCs w:val="28"/>
        </w:rPr>
        <w:t>SG1.1–SG4.n</w:t>
      </w:r>
      <w:r>
        <w:rPr>
          <w:rFonts w:ascii="Traditional Arabic" w:hAnsi="Traditional Arabic" w:cs="Traditional Arabic"/>
          <w:sz w:val="28"/>
          <w:szCs w:val="28"/>
          <w:rtl/>
        </w:rPr>
        <w:t xml:space="preserve">؛ وفقرات سلامة الأصول بالصيغة </w:t>
      </w:r>
      <w:r>
        <w:rPr>
          <w:rFonts w:ascii="Traditional Arabic" w:hAnsi="Traditional Arabic" w:cs="Traditional Arabic"/>
          <w:sz w:val="28"/>
          <w:szCs w:val="28"/>
        </w:rPr>
        <w:t>AI1.1–AI3.n</w:t>
      </w:r>
      <w:r>
        <w:rPr>
          <w:rFonts w:ascii="Traditional Arabic" w:hAnsi="Traditional Arabic" w:cs="Traditional Arabic"/>
          <w:sz w:val="28"/>
          <w:szCs w:val="28"/>
          <w:rtl/>
        </w:rPr>
        <w:t xml:space="preserve">؛ وفقرات الأداء المؤسسي بالصيغة </w:t>
      </w:r>
      <w:r>
        <w:rPr>
          <w:rFonts w:ascii="Traditional Arabic" w:hAnsi="Traditional Arabic" w:cs="Traditional Arabic"/>
          <w:sz w:val="28"/>
          <w:szCs w:val="28"/>
        </w:rPr>
        <w:t>IP1.1–IP4.n</w:t>
      </w:r>
      <w:r>
        <w:rPr>
          <w:rFonts w:ascii="Traditional Arabic" w:hAnsi="Traditional Arabic" w:cs="Traditional Arabic"/>
          <w:sz w:val="28"/>
          <w:szCs w:val="28"/>
          <w:rtl/>
        </w:rPr>
        <w:t>. وسيُعرَض الدليل الكامل لترميز الفقرات مع نصوصها الكاملة في ملحق الدراسة.</w:t>
      </w:r>
    </w:p>
    <w:p w14:paraId="5E816BF7"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استُخدم مقياس ليكرت الخماسي</w:t>
      </w:r>
      <w:r>
        <w:rPr>
          <w:rFonts w:ascii="Traditional Arabic" w:hAnsi="Traditional Arabic" w:cs="Traditional Arabic"/>
          <w:sz w:val="28"/>
          <w:szCs w:val="28"/>
        </w:rPr>
        <w:t xml:space="preserve"> (Likert Scale) </w:t>
      </w:r>
      <w:r>
        <w:rPr>
          <w:rFonts w:ascii="Traditional Arabic" w:hAnsi="Traditional Arabic" w:cs="Traditional Arabic"/>
          <w:sz w:val="28"/>
          <w:szCs w:val="28"/>
          <w:rtl/>
        </w:rPr>
        <w:t>لقياس استجابات أفراد العينة، وهو المقياس الأكثر شيوعاً وقبولاً في الدراسات الإدارية والاجتماعية التي تعتمد نماذج المعادلات الهيكلية</w:t>
      </w:r>
      <w:r>
        <w:rPr>
          <w:rFonts w:ascii="Traditional Arabic" w:hAnsi="Traditional Arabic" w:cs="Traditional Arabic"/>
          <w:sz w:val="28"/>
          <w:szCs w:val="28"/>
        </w:rPr>
        <w:t xml:space="preserve"> (Hair et al., 2019). </w:t>
      </w:r>
      <w:r>
        <w:rPr>
          <w:rFonts w:ascii="Traditional Arabic" w:hAnsi="Traditional Arabic" w:cs="Traditional Arabic"/>
          <w:sz w:val="28"/>
          <w:szCs w:val="28"/>
          <w:rtl/>
        </w:rPr>
        <w:t>وقد مُنح لكل بديل وزن عددي على النحو الآتي</w:t>
      </w:r>
      <w:r>
        <w:rPr>
          <w:rFonts w:ascii="Traditional Arabic" w:hAnsi="Traditional Arabic" w:cs="Traditional Arabic"/>
          <w:sz w:val="28"/>
          <w:szCs w:val="28"/>
        </w:rPr>
        <w:t>:</w:t>
      </w:r>
    </w:p>
    <w:tbl>
      <w:tblPr>
        <w:tblStyle w:val="GridTable4-Accent3"/>
        <w:tblpPr w:leftFromText="180" w:rightFromText="180" w:vertAnchor="text" w:tblpXSpec="center" w:tblpY="1"/>
        <w:tblOverlap w:val="never"/>
        <w:bidiVisual/>
        <w:tblW w:w="9026" w:type="dxa"/>
        <w:jc w:val="center"/>
        <w:tblLook w:val="04A0" w:firstRow="1" w:lastRow="0" w:firstColumn="1" w:lastColumn="0" w:noHBand="0" w:noVBand="1"/>
      </w:tblPr>
      <w:tblGrid>
        <w:gridCol w:w="4513"/>
        <w:gridCol w:w="4513"/>
      </w:tblGrid>
      <w:tr w:rsidR="00301FBE" w14:paraId="41716E93" w14:textId="77777777" w:rsidTr="00301FB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159E2931" w14:textId="77777777" w:rsidR="00301FBE" w:rsidRPr="008A0649" w:rsidRDefault="00301FBE" w:rsidP="00301FBE">
            <w:pPr>
              <w:bidi/>
              <w:jc w:val="center"/>
              <w:rPr>
                <w:sz w:val="32"/>
                <w:szCs w:val="32"/>
              </w:rPr>
            </w:pPr>
            <w:r>
              <w:rPr>
                <w:rFonts w:ascii="Traditional Arabic" w:eastAsia="Traditional Arabic" w:hAnsi="Traditional Arabic" w:cs="Traditional Arabic"/>
                <w:color w:val="FFFFFF"/>
                <w:sz w:val="32"/>
                <w:szCs w:val="32"/>
                <w:rtl/>
              </w:rPr>
              <w:t>التدريج</w:t>
            </w:r>
          </w:p>
        </w:tc>
        <w:tc>
          <w:tcPr>
            <w:tcW w:w="4513" w:type="dxa"/>
            <w:vAlign w:val="center"/>
          </w:tcPr>
          <w:p w14:paraId="6F9EFD89" w14:textId="77777777" w:rsidR="00301FBE" w:rsidRPr="008A0649" w:rsidRDefault="00301FBE" w:rsidP="00301FBE">
            <w:pPr>
              <w:bidi/>
              <w:jc w:val="center"/>
              <w:cnfStyle w:val="100000000000" w:firstRow="1" w:lastRow="0" w:firstColumn="0" w:lastColumn="0" w:oddVBand="0" w:evenVBand="0" w:oddHBand="0" w:evenHBand="0" w:firstRowFirstColumn="0" w:firstRowLastColumn="0" w:lastRowFirstColumn="0" w:lastRowLastColumn="0"/>
              <w:rPr>
                <w:sz w:val="32"/>
                <w:szCs w:val="32"/>
              </w:rPr>
            </w:pPr>
            <w:r>
              <w:rPr>
                <w:rFonts w:ascii="Traditional Arabic" w:eastAsia="Traditional Arabic" w:hAnsi="Traditional Arabic" w:cs="Traditional Arabic"/>
                <w:color w:val="FFFFFF"/>
                <w:sz w:val="32"/>
                <w:szCs w:val="32"/>
                <w:rtl/>
              </w:rPr>
              <w:t>الدلالة</w:t>
            </w:r>
          </w:p>
        </w:tc>
      </w:tr>
      <w:tr w:rsidR="00301FBE" w14:paraId="0B9E5BDE" w14:textId="77777777" w:rsidTr="00301F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37ABD658"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1 – لا أوافق بشدة</w:t>
            </w:r>
          </w:p>
        </w:tc>
        <w:tc>
          <w:tcPr>
            <w:tcW w:w="4513" w:type="dxa"/>
            <w:vAlign w:val="center"/>
          </w:tcPr>
          <w:p w14:paraId="564AB8BF" w14:textId="77777777" w:rsidR="00301FBE" w:rsidRPr="008A0649" w:rsidRDefault="00301FBE" w:rsidP="00301FBE">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منخفضة جداً</w:t>
            </w:r>
          </w:p>
        </w:tc>
      </w:tr>
      <w:tr w:rsidR="00301FBE" w14:paraId="3EDC9E87" w14:textId="77777777" w:rsidTr="00301FBE">
        <w:trPr>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55371D60"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2 – لا أوافق</w:t>
            </w:r>
          </w:p>
        </w:tc>
        <w:tc>
          <w:tcPr>
            <w:tcW w:w="4513" w:type="dxa"/>
            <w:vAlign w:val="center"/>
          </w:tcPr>
          <w:p w14:paraId="3E6EE1E3" w14:textId="77777777" w:rsidR="00301FBE" w:rsidRPr="008A0649" w:rsidRDefault="00301FBE" w:rsidP="00301FBE">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منخفضة</w:t>
            </w:r>
          </w:p>
        </w:tc>
      </w:tr>
      <w:tr w:rsidR="00301FBE" w14:paraId="20ECACD8" w14:textId="77777777" w:rsidTr="00301F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30BA6B73"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3 – محايد</w:t>
            </w:r>
          </w:p>
        </w:tc>
        <w:tc>
          <w:tcPr>
            <w:tcW w:w="4513" w:type="dxa"/>
            <w:vAlign w:val="center"/>
          </w:tcPr>
          <w:p w14:paraId="7AB8DC69" w14:textId="77777777" w:rsidR="00301FBE" w:rsidRPr="008A0649" w:rsidRDefault="00301FBE" w:rsidP="00301FBE">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متوسطة</w:t>
            </w:r>
          </w:p>
        </w:tc>
      </w:tr>
      <w:tr w:rsidR="00301FBE" w14:paraId="7FD64364" w14:textId="77777777" w:rsidTr="00301FBE">
        <w:trPr>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32AFA852"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4 – أوافق</w:t>
            </w:r>
          </w:p>
        </w:tc>
        <w:tc>
          <w:tcPr>
            <w:tcW w:w="4513" w:type="dxa"/>
            <w:vAlign w:val="center"/>
          </w:tcPr>
          <w:p w14:paraId="17D92111" w14:textId="77777777" w:rsidR="00301FBE" w:rsidRPr="008A0649" w:rsidRDefault="00301FBE" w:rsidP="00301FBE">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مرتفعة</w:t>
            </w:r>
          </w:p>
        </w:tc>
      </w:tr>
      <w:tr w:rsidR="00301FBE" w14:paraId="2F38151D" w14:textId="77777777" w:rsidTr="00301F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59E458B3"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5 – أوافق بشدة</w:t>
            </w:r>
          </w:p>
        </w:tc>
        <w:tc>
          <w:tcPr>
            <w:tcW w:w="4513" w:type="dxa"/>
            <w:vAlign w:val="center"/>
          </w:tcPr>
          <w:p w14:paraId="282BB128" w14:textId="77777777" w:rsidR="00301FBE" w:rsidRPr="008A0649" w:rsidRDefault="00301FBE" w:rsidP="00301FBE">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مرتفعة جداً</w:t>
            </w:r>
          </w:p>
        </w:tc>
      </w:tr>
    </w:tbl>
    <w:p w14:paraId="10CB9B9D" w14:textId="77777777" w:rsidR="009A71C7" w:rsidRPr="00695D4D" w:rsidRDefault="009A71C7" w:rsidP="00695D4D">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خامساً: تحديد متغيرات الدراسة</w:t>
      </w:r>
    </w:p>
    <w:p w14:paraId="6E1D9293"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تنطوي الدراسة على خمسة متغيرات رئيسة تتوزع على ثلاثة مستويات: متغيران مستقلان، ومتغيران وسيطان، ومتغير تابع واحد. وفيما يلي التعريف الإجرائي لكل متغير بما يحدد آليات قياسه في الاستبانة</w:t>
      </w:r>
      <w:r>
        <w:rPr>
          <w:rFonts w:ascii="Traditional Arabic" w:hAnsi="Traditional Arabic" w:cs="Traditional Arabic"/>
          <w:sz w:val="28"/>
          <w:szCs w:val="28"/>
        </w:rPr>
        <w:t>:</w:t>
      </w:r>
    </w:p>
    <w:p w14:paraId="7F8D089C" w14:textId="05B9E883" w:rsidR="009A71C7" w:rsidRPr="00262136" w:rsidRDefault="009A71C7" w:rsidP="00B7711D">
      <w:pPr>
        <w:pStyle w:val="ListParagraph"/>
        <w:numPr>
          <w:ilvl w:val="0"/>
          <w:numId w:val="35"/>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المتغيران المستقلان</w:t>
      </w:r>
    </w:p>
    <w:p w14:paraId="60904893"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lastRenderedPageBreak/>
        <w:t>التحول الرقمي:</w:t>
      </w:r>
      <w:r>
        <w:rPr>
          <w:rFonts w:ascii="Traditional Arabic" w:hAnsi="Traditional Arabic" w:cs="Traditional Arabic"/>
          <w:sz w:val="28"/>
          <w:szCs w:val="28"/>
          <w:rtl/>
        </w:rPr>
        <w:t xml:space="preserve"> يُقصد به مدى توظيف المؤسسات المائية للتقنيات الرقمية الحديثة – كأنظمة العدادات الذكية</w:t>
      </w:r>
      <w:r>
        <w:rPr>
          <w:rFonts w:ascii="Traditional Arabic" w:hAnsi="Traditional Arabic" w:cs="Traditional Arabic"/>
          <w:sz w:val="28"/>
          <w:szCs w:val="28"/>
        </w:rPr>
        <w:t xml:space="preserve"> (AMR/AMI) </w:t>
      </w:r>
      <w:r>
        <w:rPr>
          <w:rFonts w:ascii="Traditional Arabic" w:hAnsi="Traditional Arabic" w:cs="Traditional Arabic"/>
          <w:sz w:val="28"/>
          <w:szCs w:val="28"/>
          <w:rtl/>
        </w:rPr>
        <w:t>وأنظمة التحكم الإشرافي</w:t>
      </w:r>
      <w:r>
        <w:rPr>
          <w:rFonts w:ascii="Traditional Arabic" w:hAnsi="Traditional Arabic" w:cs="Traditional Arabic"/>
          <w:sz w:val="28"/>
          <w:szCs w:val="28"/>
        </w:rPr>
        <w:t xml:space="preserve"> (SCADA) </w:t>
      </w:r>
      <w:r>
        <w:rPr>
          <w:rFonts w:ascii="Traditional Arabic" w:hAnsi="Traditional Arabic" w:cs="Traditional Arabic"/>
          <w:sz w:val="28"/>
          <w:szCs w:val="28"/>
          <w:rtl/>
        </w:rPr>
        <w:t>والذكاء الاصطناعي وتحليلات البيانات الضخمة – في إدارة عمليات البنية التحتية المائية واتخاذ القرارات التشغيلية والاستراتيجية. ويُقاس بأربعة أبعاد فرعية: نضج البنية التقنية الرقمية، وجاهزية البيانات وتكاملها، والتكامل التقني بين الأنظمة، وتمكين اتخاذ القرار الرقمي</w:t>
      </w:r>
      <w:r>
        <w:rPr>
          <w:rFonts w:ascii="Traditional Arabic" w:hAnsi="Traditional Arabic" w:cs="Traditional Arabic"/>
          <w:sz w:val="28"/>
          <w:szCs w:val="28"/>
        </w:rPr>
        <w:t>.</w:t>
      </w:r>
    </w:p>
    <w:p w14:paraId="1A3D0BA4" w14:textId="77777777"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الاستدامة المؤسسية:</w:t>
      </w:r>
      <w:r>
        <w:rPr>
          <w:rFonts w:ascii="Traditional Arabic" w:hAnsi="Traditional Arabic" w:cs="Traditional Arabic"/>
          <w:sz w:val="28"/>
          <w:szCs w:val="28"/>
          <w:rtl/>
        </w:rPr>
        <w:t xml:space="preserve"> تُشير إلى منظومة السياسات والممارسات الإدارية التي تكفل استمرارية الخدمات المائية وإدارة دورة حياة الأصول بكفاءة، مع تعزيز الأبعاد البيئية والاقتصادية والمجتمعية في القرارات التشغيلية والمؤسسية. وتُقاس بثلاثة أبعاد: الاستدامة التشغيلية والبيئية، وكفاءة إدارة الموارد، والمرونة المؤسسية والإدارة الوقائية</w:t>
      </w:r>
      <w:r>
        <w:rPr>
          <w:rFonts w:ascii="Traditional Arabic" w:hAnsi="Traditional Arabic" w:cs="Traditional Arabic"/>
          <w:sz w:val="28"/>
          <w:szCs w:val="28"/>
        </w:rPr>
        <w:t>.</w:t>
      </w:r>
    </w:p>
    <w:p w14:paraId="5552FA9F" w14:textId="77777777" w:rsidR="00FB579D" w:rsidRPr="00943C1C" w:rsidRDefault="00FB579D" w:rsidP="00FB579D">
      <w:pPr>
        <w:bidi/>
        <w:jc w:val="both"/>
        <w:rPr>
          <w:rFonts w:ascii="Traditional Arabic" w:hAnsi="Traditional Arabic" w:cs="Traditional Arabic"/>
          <w:sz w:val="28"/>
          <w:szCs w:val="28"/>
          <w:rtl/>
        </w:rPr>
      </w:pPr>
    </w:p>
    <w:p w14:paraId="32F45D0F" w14:textId="60957393" w:rsidR="009A71C7" w:rsidRPr="00110146" w:rsidRDefault="009A71C7" w:rsidP="00B7711D">
      <w:pPr>
        <w:pStyle w:val="ListParagraph"/>
        <w:numPr>
          <w:ilvl w:val="0"/>
          <w:numId w:val="35"/>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المتغيران الوسيطان</w:t>
      </w:r>
    </w:p>
    <w:p w14:paraId="63A2D10E"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الحوكمة الذكية:</w:t>
      </w:r>
      <w:r>
        <w:rPr>
          <w:rFonts w:ascii="Traditional Arabic" w:hAnsi="Traditional Arabic" w:cs="Traditional Arabic"/>
          <w:sz w:val="28"/>
          <w:szCs w:val="28"/>
          <w:rtl/>
        </w:rPr>
        <w:t xml:space="preserve"> تُمثل منظومة متكاملة من السياسات والهياكل التنظيمية وآليات اتخاذ القرار القائمة على البيانات، التي تضمن توجيه المبادرات الرقمية وممارسات الاستدامة بصورة منهجية تخدم أهداف إدارة الأصول. وتُقاس بأربعة أبعاد: وضوح إطار الحوكمة والأدوار، وجودة حوكمة البيانات، والرقابة والمساءلة المؤسسية، وصنع القرار الاستراتيجي القائم على البيانات</w:t>
      </w:r>
      <w:r>
        <w:rPr>
          <w:rFonts w:ascii="Traditional Arabic" w:hAnsi="Traditional Arabic" w:cs="Traditional Arabic"/>
          <w:sz w:val="28"/>
          <w:szCs w:val="28"/>
        </w:rPr>
        <w:t>.</w:t>
      </w:r>
    </w:p>
    <w:p w14:paraId="783AE04C"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سلامة أصول البنية التحتية:</w:t>
      </w:r>
      <w:r>
        <w:rPr>
          <w:rFonts w:ascii="Traditional Arabic" w:hAnsi="Traditional Arabic" w:cs="Traditional Arabic"/>
          <w:sz w:val="28"/>
          <w:szCs w:val="28"/>
          <w:rtl/>
        </w:rPr>
        <w:t xml:space="preserve"> تعكس الحالة الفنية والتشغيلية للأصول المائية ومدى موثوقيتها وقدرتها على أداء وظائفها بكفاءة وأمان، بما يشمل جودة عمليات التفتيش والصيانة والرصد المستمر. وتُقاس بثلاثة أبعاد: موثوقية الأصول وجاهزيتها، وفاعلية التفتيش والصيانة الوقائية، وإدارة المخاطر التشغيلية للأصول</w:t>
      </w:r>
      <w:r>
        <w:rPr>
          <w:rFonts w:ascii="Traditional Arabic" w:hAnsi="Traditional Arabic" w:cs="Traditional Arabic"/>
          <w:sz w:val="28"/>
          <w:szCs w:val="28"/>
        </w:rPr>
        <w:t>.</w:t>
      </w:r>
    </w:p>
    <w:p w14:paraId="05BBB820" w14:textId="78856BB3" w:rsidR="009A71C7" w:rsidRPr="00110146" w:rsidRDefault="009A71C7" w:rsidP="00B7711D">
      <w:pPr>
        <w:pStyle w:val="ListParagraph"/>
        <w:numPr>
          <w:ilvl w:val="0"/>
          <w:numId w:val="35"/>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المتغير التابع</w:t>
      </w:r>
    </w:p>
    <w:p w14:paraId="0D93687D"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الأداء المؤسسي:</w:t>
      </w:r>
      <w:r>
        <w:rPr>
          <w:rFonts w:ascii="Traditional Arabic" w:hAnsi="Traditional Arabic" w:cs="Traditional Arabic"/>
          <w:sz w:val="28"/>
          <w:szCs w:val="28"/>
          <w:rtl/>
        </w:rPr>
        <w:t xml:space="preserve"> يعكس النتائج الشاملة لتكامل المتغيرات السابقة من حيث كفاءة التشغيل، وجودة الخدمة المقدمة، والاستدامة المالية، والقدرة على الابتكار المؤسسي. ويُقاس بأربعة أبعاد: الكفاءة التشغيلية والإنتاجية، وجودة الخدمة ورضا المستفيدين، والأداء المالي والكفاءة الاقتصادية، والتعلم المؤسسي والابتكار</w:t>
      </w:r>
      <w:r>
        <w:rPr>
          <w:rFonts w:ascii="Traditional Arabic" w:hAnsi="Traditional Arabic" w:cs="Traditional Arabic"/>
          <w:sz w:val="28"/>
          <w:szCs w:val="28"/>
        </w:rPr>
        <w:t>.</w:t>
      </w:r>
    </w:p>
    <w:p w14:paraId="340818EC" w14:textId="77777777" w:rsidR="009A71C7" w:rsidRPr="00BA30BC" w:rsidRDefault="009A71C7" w:rsidP="00BA30BC">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سادساً: تحديد إجراءات تنفيذ الدراسة</w:t>
      </w:r>
    </w:p>
    <w:p w14:paraId="700F742A" w14:textId="179B1799" w:rsidR="009D0DFF" w:rsidRPr="00FB579D" w:rsidRDefault="009A71C7" w:rsidP="00B7711D">
      <w:pPr>
        <w:pStyle w:val="ListParagraph"/>
        <w:numPr>
          <w:ilvl w:val="0"/>
          <w:numId w:val="36"/>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مراحل تطوير أداة القياس</w:t>
      </w:r>
    </w:p>
    <w:p w14:paraId="5FAFEE67"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اتبعت الدراسة منهجاً علمياً متسلسلاً في تطوير أداة القياس يمكن إجماله في المراحل الآتية</w:t>
      </w:r>
      <w:r>
        <w:rPr>
          <w:rFonts w:ascii="Traditional Arabic" w:hAnsi="Traditional Arabic" w:cs="Traditional Arabic"/>
          <w:sz w:val="28"/>
          <w:szCs w:val="28"/>
        </w:rPr>
        <w:t>:</w:t>
      </w:r>
    </w:p>
    <w:tbl>
      <w:tblPr>
        <w:tblStyle w:val="GridTable4-Accent3"/>
        <w:tblpPr w:leftFromText="180" w:rightFromText="180" w:vertAnchor="text" w:tblpXSpec="center" w:tblpY="1"/>
        <w:tblOverlap w:val="never"/>
        <w:bidiVisual/>
        <w:tblW w:w="9026" w:type="dxa"/>
        <w:jc w:val="center"/>
        <w:tblLook w:val="04A0" w:firstRow="1" w:lastRow="0" w:firstColumn="1" w:lastColumn="0" w:noHBand="0" w:noVBand="1"/>
      </w:tblPr>
      <w:tblGrid>
        <w:gridCol w:w="3000"/>
        <w:gridCol w:w="4609"/>
        <w:gridCol w:w="1417"/>
      </w:tblGrid>
      <w:tr w:rsidR="00907B87" w14:paraId="12734751" w14:textId="77777777" w:rsidTr="00FB579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3421015A" w14:textId="77777777" w:rsidR="00907B87" w:rsidRPr="00F64660" w:rsidRDefault="00907B87" w:rsidP="00907B87">
            <w:pPr>
              <w:bidi/>
              <w:jc w:val="center"/>
              <w:rPr>
                <w:sz w:val="32"/>
                <w:szCs w:val="32"/>
              </w:rPr>
            </w:pPr>
            <w:r>
              <w:rPr>
                <w:rFonts w:ascii="Traditional Arabic" w:eastAsia="Traditional Arabic" w:hAnsi="Traditional Arabic" w:cs="Traditional Arabic"/>
                <w:color w:val="FFFFFF"/>
                <w:sz w:val="32"/>
                <w:szCs w:val="32"/>
                <w:rtl/>
              </w:rPr>
              <w:t>الإجراء</w:t>
            </w:r>
          </w:p>
        </w:tc>
        <w:tc>
          <w:tcPr>
            <w:tcW w:w="4609" w:type="dxa"/>
            <w:vAlign w:val="center"/>
          </w:tcPr>
          <w:p w14:paraId="713DB3A5" w14:textId="77777777" w:rsidR="00907B87" w:rsidRPr="00F64660" w:rsidRDefault="00907B87" w:rsidP="00907B87">
            <w:pPr>
              <w:bidi/>
              <w:jc w:val="center"/>
              <w:cnfStyle w:val="100000000000" w:firstRow="1" w:lastRow="0" w:firstColumn="0" w:lastColumn="0" w:oddVBand="0" w:evenVBand="0" w:oddHBand="0" w:evenHBand="0" w:firstRowFirstColumn="0" w:firstRowLastColumn="0" w:lastRowFirstColumn="0" w:lastRowLastColumn="0"/>
              <w:rPr>
                <w:sz w:val="32"/>
                <w:szCs w:val="32"/>
              </w:rPr>
            </w:pPr>
            <w:r>
              <w:rPr>
                <w:rFonts w:ascii="Traditional Arabic" w:eastAsia="Traditional Arabic" w:hAnsi="Traditional Arabic" w:cs="Traditional Arabic"/>
                <w:color w:val="FFFFFF"/>
                <w:sz w:val="32"/>
                <w:szCs w:val="32"/>
                <w:rtl/>
              </w:rPr>
              <w:t>الوصف</w:t>
            </w:r>
          </w:p>
        </w:tc>
        <w:tc>
          <w:tcPr>
            <w:tcW w:w="1417" w:type="dxa"/>
            <w:vAlign w:val="center"/>
          </w:tcPr>
          <w:p w14:paraId="6721B03F" w14:textId="77777777" w:rsidR="00907B87" w:rsidRPr="00F64660" w:rsidRDefault="00907B87" w:rsidP="00907B87">
            <w:pPr>
              <w:bidi/>
              <w:jc w:val="center"/>
              <w:cnfStyle w:val="100000000000" w:firstRow="1" w:lastRow="0" w:firstColumn="0" w:lastColumn="0" w:oddVBand="0" w:evenVBand="0" w:oddHBand="0" w:evenHBand="0" w:firstRowFirstColumn="0" w:firstRowLastColumn="0" w:lastRowFirstColumn="0" w:lastRowLastColumn="0"/>
              <w:rPr>
                <w:sz w:val="32"/>
                <w:szCs w:val="32"/>
              </w:rPr>
            </w:pPr>
            <w:r>
              <w:rPr>
                <w:rFonts w:ascii="Traditional Arabic" w:eastAsia="Traditional Arabic" w:hAnsi="Traditional Arabic" w:cs="Traditional Arabic"/>
                <w:color w:val="FFFFFF"/>
                <w:sz w:val="32"/>
                <w:szCs w:val="32"/>
                <w:rtl/>
              </w:rPr>
              <w:t>المرحلة</w:t>
            </w:r>
          </w:p>
        </w:tc>
      </w:tr>
      <w:tr w:rsidR="00907B87" w14:paraId="0AD84C6A" w14:textId="77777777" w:rsidTr="00FB57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6B83AD83"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مراجعة الأدبيات والمقاييس المعتمدة في الدراسات السابقة</w:t>
            </w:r>
          </w:p>
        </w:tc>
        <w:tc>
          <w:tcPr>
            <w:tcW w:w="4609" w:type="dxa"/>
            <w:vAlign w:val="center"/>
          </w:tcPr>
          <w:p w14:paraId="35A4788C" w14:textId="77777777" w:rsidR="00907B87" w:rsidRPr="00907B87" w:rsidRDefault="00907B87" w:rsidP="00F64660">
            <w:pPr>
              <w:bidi/>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استخلاص بنود القياس الأولية من المقاييس المعرَّبة والمترجمة المعتمدة في الدراسات العالمية.</w:t>
            </w:r>
          </w:p>
        </w:tc>
        <w:tc>
          <w:tcPr>
            <w:tcW w:w="1417" w:type="dxa"/>
            <w:vAlign w:val="center"/>
          </w:tcPr>
          <w:p w14:paraId="01B15360" w14:textId="77777777" w:rsidR="00907B87" w:rsidRPr="00907B87" w:rsidRDefault="00907B87" w:rsidP="00907B87">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الأولى</w:t>
            </w:r>
          </w:p>
        </w:tc>
      </w:tr>
      <w:tr w:rsidR="00907B87" w14:paraId="28BF3F86" w14:textId="77777777" w:rsidTr="00FB579D">
        <w:trPr>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26F83D60"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lastRenderedPageBreak/>
              <w:t>بناء الاستبانة الأولية وتحكيمها</w:t>
            </w:r>
          </w:p>
        </w:tc>
        <w:tc>
          <w:tcPr>
            <w:tcW w:w="4609" w:type="dxa"/>
            <w:vAlign w:val="center"/>
          </w:tcPr>
          <w:p w14:paraId="1C57658F" w14:textId="77777777" w:rsidR="00907B87" w:rsidRPr="00907B87" w:rsidRDefault="00907B87" w:rsidP="00F64660">
            <w:pPr>
              <w:bidi/>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ستُعرَض الاستبانة على (12) محكماً من أكاديميين ومتخصصين في المجالات ذات الصلة، وستُجرى التعديلات اللازمة في ضوء ملاحظاتهم.</w:t>
            </w:r>
          </w:p>
        </w:tc>
        <w:tc>
          <w:tcPr>
            <w:tcW w:w="1417" w:type="dxa"/>
            <w:vAlign w:val="center"/>
          </w:tcPr>
          <w:p w14:paraId="5FDFD36F" w14:textId="77777777" w:rsidR="00907B87" w:rsidRPr="00907B87" w:rsidRDefault="00907B87" w:rsidP="00907B87">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الثانية</w:t>
            </w:r>
          </w:p>
        </w:tc>
      </w:tr>
      <w:tr w:rsidR="00907B87" w14:paraId="40EE2F0D" w14:textId="77777777" w:rsidTr="00FB57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6BA95F95" w14:textId="77777777" w:rsidR="00F64660" w:rsidRDefault="00907B87" w:rsidP="00F64660">
            <w:pPr>
              <w:bidi/>
              <w:rPr>
                <w:rFonts w:ascii="Traditional Arabic" w:eastAsia="Traditional Arabic" w:hAnsi="Traditional Arabic" w:cs="Traditional Arabic"/>
                <w:color w:val="1B2A4A"/>
                <w:sz w:val="28"/>
                <w:szCs w:val="28"/>
                <w:rtl/>
              </w:rPr>
            </w:pPr>
            <w:r>
              <w:rPr>
                <w:rFonts w:ascii="Traditional Arabic" w:eastAsia="Traditional Arabic" w:hAnsi="Traditional Arabic" w:cs="Traditional Arabic"/>
                <w:b w:val="0"/>
                <w:bCs w:val="0"/>
                <w:color w:val="1B2A4A"/>
                <w:sz w:val="28"/>
                <w:szCs w:val="28"/>
                <w:rtl/>
              </w:rPr>
              <w:t>الاختبار الاستطلاعي</w:t>
            </w:r>
          </w:p>
          <w:p w14:paraId="4BF4D2F1" w14:textId="2191A666"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 xml:space="preserve"> (Pilot Study)</w:t>
            </w:r>
          </w:p>
        </w:tc>
        <w:tc>
          <w:tcPr>
            <w:tcW w:w="4609" w:type="dxa"/>
            <w:vAlign w:val="center"/>
          </w:tcPr>
          <w:p w14:paraId="0A4D4A89" w14:textId="77777777" w:rsidR="00907B87" w:rsidRPr="00907B87" w:rsidRDefault="00907B87" w:rsidP="00F64660">
            <w:pPr>
              <w:bidi/>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تُطبَّق الاستبانة على عينة استطلاعية مؤلفة من (30) مستجيباً للتحقق من وضوح الفقرات وحساب معاملات الثبات الأولية. وستُوثَّق نتائج هذا الاختبار عند اكتماله في تقرير فرعي يتضمن قيم ثبات ألفا كرونباك لكل بُعد، والفقرات التي عُدِّلت أو حُذفت بناءً على تلك النتائج مع تبرير كل تعديل. ولضمان استقلالية العينة النهائية عن العينة الاستطلاعية، سيُستبعَد أفراد العينة الاستطلاعية من المشاركة في العينة النهائية للدراسة، تلافياً لأي تأثير تكراري على نتائج التحليل الرئيسي.</w:t>
            </w:r>
          </w:p>
        </w:tc>
        <w:tc>
          <w:tcPr>
            <w:tcW w:w="1417" w:type="dxa"/>
            <w:vAlign w:val="center"/>
          </w:tcPr>
          <w:p w14:paraId="52311B39" w14:textId="77777777" w:rsidR="00907B87" w:rsidRPr="00907B87" w:rsidRDefault="00907B87" w:rsidP="00907B87">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الثالثة</w:t>
            </w:r>
          </w:p>
        </w:tc>
      </w:tr>
      <w:tr w:rsidR="00907B87" w14:paraId="43573DDB" w14:textId="77777777" w:rsidTr="00FB579D">
        <w:trPr>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0C8FDB4B"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تعديل الاستبانة وإخراجها في صورتها النهائية</w:t>
            </w:r>
          </w:p>
        </w:tc>
        <w:tc>
          <w:tcPr>
            <w:tcW w:w="4609" w:type="dxa"/>
            <w:vAlign w:val="center"/>
          </w:tcPr>
          <w:p w14:paraId="05DC905C" w14:textId="77777777" w:rsidR="00907B87" w:rsidRPr="00907B87" w:rsidRDefault="00907B87" w:rsidP="00F64660">
            <w:pPr>
              <w:bidi/>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بناءً على نتائج الاختبار الاستطلاعي، ستُجرى التعديلات اللازمة وتُعَدّ النسخة النهائية من الاستبانة.</w:t>
            </w:r>
          </w:p>
        </w:tc>
        <w:tc>
          <w:tcPr>
            <w:tcW w:w="1417" w:type="dxa"/>
            <w:vAlign w:val="center"/>
          </w:tcPr>
          <w:p w14:paraId="799AD12A" w14:textId="77777777" w:rsidR="00907B87" w:rsidRPr="00907B87" w:rsidRDefault="00907B87" w:rsidP="00907B87">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الرابعة</w:t>
            </w:r>
          </w:p>
        </w:tc>
      </w:tr>
      <w:tr w:rsidR="00907B87" w14:paraId="6C89C3CD" w14:textId="77777777" w:rsidTr="00FB57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04ECCF4E"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توزيع الاستبانة وجمع البيانات</w:t>
            </w:r>
          </w:p>
        </w:tc>
        <w:tc>
          <w:tcPr>
            <w:tcW w:w="4609" w:type="dxa"/>
            <w:vAlign w:val="center"/>
          </w:tcPr>
          <w:p w14:paraId="0BD9A786" w14:textId="6506667C" w:rsidR="00907B87" w:rsidRPr="00907B87" w:rsidRDefault="00907B87" w:rsidP="00F64660">
            <w:pPr>
              <w:bidi/>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 xml:space="preserve">تُوزَّع الاستبانة إلكترونياً عبر رابط آمن باستخدام نظام </w:t>
            </w:r>
            <w:r>
              <w:rPr>
                <w:rFonts w:ascii="Traditional Arabic" w:eastAsia="Traditional Arabic" w:hAnsi="Traditional Arabic" w:cs="Traditional Arabic"/>
                <w:color w:val="1B2A4A"/>
                <w:sz w:val="28"/>
                <w:szCs w:val="28"/>
              </w:rPr>
              <w:t xml:space="preserve">  </w:t>
            </w:r>
            <w:r>
              <w:rPr>
                <w:rFonts w:ascii="Traditional Arabic" w:eastAsia="Traditional Arabic" w:hAnsi="Traditional Arabic" w:cs="Traditional Arabic"/>
                <w:color w:val="1B2A4A"/>
                <w:sz w:val="28"/>
                <w:szCs w:val="28"/>
                <w:rtl/>
              </w:rPr>
              <w:t xml:space="preserve">Forms </w:t>
            </w:r>
            <w:r>
              <w:rPr>
                <w:rFonts w:ascii="Traditional Arabic" w:eastAsia="Traditional Arabic" w:hAnsi="Traditional Arabic" w:cs="Traditional Arabic"/>
                <w:color w:val="1B2A4A"/>
                <w:sz w:val="28"/>
                <w:szCs w:val="28"/>
              </w:rPr>
              <w:t xml:space="preserve"> google </w:t>
            </w:r>
            <w:r>
              <w:rPr>
                <w:rFonts w:ascii="Traditional Arabic" w:eastAsia="Traditional Arabic" w:hAnsi="Traditional Arabic" w:cs="Traditional Arabic"/>
                <w:color w:val="1B2A4A"/>
                <w:sz w:val="28"/>
                <w:szCs w:val="28"/>
                <w:rtl/>
              </w:rPr>
              <w:t>، ويجري الوصول إلى المشاركين عبر قنوات رسمية تشمل: التواصل المباشر مع الإدارات المعنية في شركة المياه الوطنية عبر خطابات تعريفية موجَّهة من مشرف الدراسة، وقنوات التواصل الداخلية (البريد الإلكتروني المؤسسي) للجهات المشاركة، إضافة إلى التواصل مع جهات الاتصال في الهيئة السعودية للمياه والشركات الاستشارية. وسيُحسب معدل الاستجابة النهائي بقسمة عدد الاستبيانات الصالحة للتحليل على عدد الاستبيانات الموزَّعة، مع توثيق العدد الفعلي للاستبيانات الموزعة والمستلمة والصالحة عند اكتمال الجمع الميداني، وذلك خلال فترة زمنية مخططة تمتد من ست إلى ثماني أسابيع تبدأ عقب اعتماد النسخة النهائية للاستبانة.</w:t>
            </w:r>
          </w:p>
        </w:tc>
        <w:tc>
          <w:tcPr>
            <w:tcW w:w="1417" w:type="dxa"/>
            <w:vAlign w:val="center"/>
          </w:tcPr>
          <w:p w14:paraId="37FC7E65" w14:textId="77777777" w:rsidR="00907B87" w:rsidRPr="00907B87" w:rsidRDefault="00907B87" w:rsidP="00907B87">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الخامسة</w:t>
            </w:r>
          </w:p>
        </w:tc>
      </w:tr>
      <w:tr w:rsidR="00907B87" w14:paraId="5E086EC3" w14:textId="77777777" w:rsidTr="00FB579D">
        <w:trPr>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7C298AE0"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تنقية البيانات وإدخالها وتحليلها</w:t>
            </w:r>
          </w:p>
        </w:tc>
        <w:tc>
          <w:tcPr>
            <w:tcW w:w="4609" w:type="dxa"/>
            <w:vAlign w:val="center"/>
          </w:tcPr>
          <w:p w14:paraId="60C1B9DF" w14:textId="77777777" w:rsidR="00907B87" w:rsidRPr="00907B87" w:rsidRDefault="00907B87" w:rsidP="00F64660">
            <w:pPr>
              <w:bidi/>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فُلترت الاستبانات وأُبعدت الاستجابات غير المكتملة، ثم أُدخلت البيانات في برامج التحليل الإحصائي المعتمدة.</w:t>
            </w:r>
          </w:p>
        </w:tc>
        <w:tc>
          <w:tcPr>
            <w:tcW w:w="1417" w:type="dxa"/>
            <w:vAlign w:val="center"/>
          </w:tcPr>
          <w:p w14:paraId="03047BA7" w14:textId="77777777" w:rsidR="00907B87" w:rsidRPr="00907B87" w:rsidRDefault="00907B87" w:rsidP="00907B87">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السادسة</w:t>
            </w:r>
          </w:p>
        </w:tc>
      </w:tr>
    </w:tbl>
    <w:p w14:paraId="5E763532" w14:textId="77777777" w:rsidR="009A71C7" w:rsidRPr="00943C1C" w:rsidRDefault="009A71C7" w:rsidP="00943C1C">
      <w:pPr>
        <w:bidi/>
        <w:jc w:val="both"/>
        <w:rPr>
          <w:rFonts w:ascii="Traditional Arabic" w:hAnsi="Traditional Arabic" w:cs="Traditional Arabic"/>
          <w:sz w:val="28"/>
          <w:szCs w:val="28"/>
          <w:rtl/>
        </w:rPr>
      </w:pPr>
    </w:p>
    <w:p w14:paraId="77E3B89F" w14:textId="2ACBD3A2" w:rsidR="009A71C7" w:rsidRPr="00D92D3F" w:rsidRDefault="009A71C7" w:rsidP="00B7711D">
      <w:pPr>
        <w:pStyle w:val="ListParagraph"/>
        <w:numPr>
          <w:ilvl w:val="0"/>
          <w:numId w:val="36"/>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إجراءات التحقق من الصدق والثبات</w:t>
      </w:r>
    </w:p>
    <w:p w14:paraId="762E9675"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lastRenderedPageBreak/>
        <w:t>أولت الدراسة عناية بالغة بالتحقق من الخصائص السيكومترية لأداة القياس، وذلك على مستويين</w:t>
      </w:r>
      <w:r>
        <w:rPr>
          <w:rFonts w:ascii="Traditional Arabic" w:hAnsi="Traditional Arabic" w:cs="Traditional Arabic"/>
          <w:sz w:val="28"/>
          <w:szCs w:val="28"/>
        </w:rPr>
        <w:t>:</w:t>
      </w:r>
    </w:p>
    <w:p w14:paraId="744EF984" w14:textId="3FC7843F" w:rsidR="009A71C7" w:rsidRDefault="009A71C7" w:rsidP="00B7711D">
      <w:pPr>
        <w:pStyle w:val="ListParagraph"/>
        <w:numPr>
          <w:ilvl w:val="0"/>
          <w:numId w:val="37"/>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صدق المحتوى</w:t>
      </w:r>
      <w:r>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hint="cs"/>
          <w:color w:val="2F5496" w:themeColor="accent1" w:themeShade="BF"/>
          <w:sz w:val="32"/>
          <w:szCs w:val="32"/>
          <w:rtl/>
        </w:rPr>
        <w:t xml:space="preserve"> </w:t>
      </w:r>
      <w:r>
        <w:rPr>
          <w:rFonts w:asciiTheme="majorHAnsi" w:eastAsiaTheme="majorEastAsia" w:hAnsiTheme="majorHAnsi" w:cstheme="majorBidi"/>
          <w:color w:val="2F5496" w:themeColor="accent1" w:themeShade="BF"/>
          <w:sz w:val="32"/>
          <w:szCs w:val="32"/>
        </w:rPr>
        <w:t>(Content Validity)</w:t>
      </w:r>
    </w:p>
    <w:p w14:paraId="14C73644" w14:textId="77777777"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سيُتحقق من صدق المحتوى من خلال عرض الاستبانة على هيئة محكمين متخصصين، واحتساب معامل نسبة صدق المحتوى</w:t>
      </w:r>
      <w:r>
        <w:rPr>
          <w:rFonts w:ascii="Traditional Arabic" w:hAnsi="Traditional Arabic" w:cs="Traditional Arabic"/>
          <w:sz w:val="28"/>
          <w:szCs w:val="28"/>
        </w:rPr>
        <w:t xml:space="preserve"> (Content Validity Ratio - CVR) </w:t>
      </w:r>
      <w:r>
        <w:rPr>
          <w:rFonts w:ascii="Traditional Arabic" w:hAnsi="Traditional Arabic" w:cs="Traditional Arabic"/>
          <w:sz w:val="28"/>
          <w:szCs w:val="28"/>
          <w:rtl/>
        </w:rPr>
        <w:t xml:space="preserve">وفق معادلة </w:t>
      </w:r>
      <w:r>
        <w:rPr>
          <w:rFonts w:ascii="Traditional Arabic" w:hAnsi="Traditional Arabic" w:cs="Traditional Arabic"/>
          <w:sz w:val="28"/>
          <w:szCs w:val="28"/>
        </w:rPr>
        <w:t>Lawshe (1975): CVR = (ne − N/2) / (N/2)</w:t>
      </w:r>
      <w:r>
        <w:rPr>
          <w:rFonts w:ascii="Traditional Arabic" w:hAnsi="Traditional Arabic" w:cs="Traditional Arabic"/>
          <w:sz w:val="28"/>
          <w:szCs w:val="28"/>
          <w:rtl/>
        </w:rPr>
        <w:t xml:space="preserve">، حيث تمثل (ne) عدد المحكمين الذين قيّموا الفقرة بأنها "ضرورية"، و(N) العدد الإجمالي للمحكمين. وبالنظر إلى أن عدد المحكمين بلغ (12) محكماً، فإن القيمة الحرجة الدنيا المقبولة للفقرة وفق جداول </w:t>
      </w:r>
      <w:r>
        <w:rPr>
          <w:rFonts w:ascii="Traditional Arabic" w:hAnsi="Traditional Arabic" w:cs="Traditional Arabic"/>
          <w:sz w:val="28"/>
          <w:szCs w:val="28"/>
        </w:rPr>
        <w:t xml:space="preserve">Lawshe </w:t>
      </w:r>
      <w:r>
        <w:rPr>
          <w:rFonts w:ascii="Traditional Arabic" w:hAnsi="Traditional Arabic" w:cs="Traditional Arabic"/>
          <w:sz w:val="28"/>
          <w:szCs w:val="28"/>
          <w:rtl/>
        </w:rPr>
        <w:t>تبلغ (0.56) وفقاً لجدول Lawshe (1975) الأصلي؛ مع الإشارة إلى أن دراسات لاحقة (Ayre &amp; Scally, 2014) أعادت حساب القيم الحرجة لجدول Lawshe باستخدام الاختبار الثنائي الدقيق (Exact Binomial Test) بدلاً من تقريب Lawshe الأصلي، وقد ترتب على ذلك تعديل طفيف في بعض القيم الحرجة لأحجام لجان مختلفة؛ ولذلك سيُراجَع الباحث الجدولين معاً (الأصلي والمحدَّث) عند التطبيق الفعلي لاعتماد القيمة الحرجة الأدق والأحدث لعدد المحكمين (12) قبل اعتماد قرار قبول أو استبعاد أي فقرة. وبحيث تُستبعد أو تُعدَّل أي فقرة تقل قيمة معامل صدقها عن الحد الحرج المعتمد. ويُميَّز هذا المعيار الكمي عن نسبة اتفاق المحكمين الوصفية (80%) التي تُستخدم كمؤشر تكميلي منفصل يعكس مدى الإجماع العام على وضوح الفقرة وسلامة صياغتها اللغوية، دون أن يحل أحدهما محل الآخر. وستُجرى التعديلات اللازمة في ضوء الملاحظات التخصصية الواردة من المحكمين، وستُعرَض النتائج الفعلية لكل بند (قيمة CVR المحتسبة، وقرار القبول/التعديل/الحذف) في ملحق الدراسة، إلى جانب ملخص للبنود المحذوفة أو المعدَّلة نتيجة التحكيم، بما يسهم في رفع درجة الوضوح والشمولية</w:t>
      </w:r>
      <w:r>
        <w:rPr>
          <w:rFonts w:ascii="Traditional Arabic" w:hAnsi="Traditional Arabic" w:cs="Traditional Arabic"/>
          <w:sz w:val="28"/>
          <w:szCs w:val="28"/>
        </w:rPr>
        <w:t>.</w:t>
      </w:r>
    </w:p>
    <w:p w14:paraId="1C5464A3" w14:textId="1C5464A4" w:rsidR="005E719B" w:rsidRPr="005E719B" w:rsidRDefault="005E719B"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وتألفت هيئة التحكيم من (12) محكماً، توزَّعوا بين أكاديميين متخصصين في الإدارة وإدارة الأعمال ونظم المعلومات وموارد المياه من عدد من الجامعات السعودية، وممارسين وقياديين من ذوي الخبرة التنفيذية المباشرة في مجالات الحوكمة والتحول الرقمي وإدارة الأصول داخل قطاع المياه السعودي، بما لا يقل متوسط سنوات خبرتهم عن عشر سنوات، بما يضمن تغطية الجانبين الأكاديمي والتطبيقي عند تقييم الفقرات.</w:t>
      </w:r>
    </w:p>
    <w:p w14:paraId="1C5464A2" w14:textId="3990924D" w:rsidR="005E719B" w:rsidRPr="005E719B" w:rsidRDefault="005E719B" w:rsidP="00B7711D">
      <w:pPr>
        <w:pStyle w:val="ListParagraph"/>
        <w:numPr>
          <w:ilvl w:val="0"/>
          <w:numId w:val="37"/>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الصدق التقاربي والتمايزي  (</w:t>
      </w:r>
      <w:r>
        <w:rPr>
          <w:rFonts w:asciiTheme="majorHAnsi" w:eastAsiaTheme="majorEastAsia" w:hAnsiTheme="majorHAnsi" w:cstheme="majorBidi"/>
          <w:color w:val="2F5496" w:themeColor="accent1" w:themeShade="BF"/>
          <w:sz w:val="32"/>
          <w:szCs w:val="32"/>
        </w:rPr>
        <w:t>Convergent &amp; Discriminant Validity</w:t>
      </w:r>
      <w:r>
        <w:rPr>
          <w:rFonts w:asciiTheme="majorHAnsi" w:eastAsiaTheme="majorEastAsia" w:hAnsiTheme="majorHAnsi" w:cstheme="majorBidi"/>
          <w:color w:val="2F5496" w:themeColor="accent1" w:themeShade="BF"/>
          <w:sz w:val="32"/>
          <w:szCs w:val="32"/>
          <w:rtl/>
        </w:rPr>
        <w:t>)</w:t>
      </w:r>
    </w:p>
    <w:p w14:paraId="05F6EB37"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استُخدم برنامج</w:t>
      </w:r>
      <w:r>
        <w:rPr>
          <w:rFonts w:ascii="Traditional Arabic" w:hAnsi="Traditional Arabic" w:cs="Traditional Arabic"/>
          <w:sz w:val="28"/>
          <w:szCs w:val="28"/>
        </w:rPr>
        <w:t xml:space="preserve"> SmartPLS 4.0 </w:t>
      </w:r>
      <w:r>
        <w:rPr>
          <w:rFonts w:ascii="Traditional Arabic" w:hAnsi="Traditional Arabic" w:cs="Traditional Arabic"/>
          <w:sz w:val="28"/>
          <w:szCs w:val="28"/>
          <w:rtl/>
        </w:rPr>
        <w:t>للتحقق من الصدق البنائي للمقاييس، وذلك من خلال قياس متوسط التباين المستخلَص</w:t>
      </w:r>
      <w:r>
        <w:rPr>
          <w:rFonts w:ascii="Traditional Arabic" w:hAnsi="Traditional Arabic" w:cs="Traditional Arabic"/>
          <w:sz w:val="28"/>
          <w:szCs w:val="28"/>
        </w:rPr>
        <w:t xml:space="preserve"> (AVE)</w:t>
      </w:r>
      <w:r>
        <w:rPr>
          <w:rFonts w:ascii="Traditional Arabic" w:hAnsi="Traditional Arabic" w:cs="Traditional Arabic"/>
          <w:sz w:val="28"/>
          <w:szCs w:val="28"/>
          <w:rtl/>
        </w:rPr>
        <w:t>، واشتراط ألا تقل قيمته عن (0.50) لكل متغير كامن. ويُعتمَد معامل</w:t>
      </w:r>
      <w:r>
        <w:rPr>
          <w:rFonts w:ascii="Traditional Arabic" w:hAnsi="Traditional Arabic" w:cs="Traditional Arabic"/>
          <w:sz w:val="28"/>
          <w:szCs w:val="28"/>
        </w:rPr>
        <w:t xml:space="preserve"> HTMT </w:t>
      </w:r>
      <w:r>
        <w:rPr>
          <w:rFonts w:ascii="Traditional Arabic" w:hAnsi="Traditional Arabic" w:cs="Traditional Arabic"/>
          <w:sz w:val="28"/>
          <w:szCs w:val="28"/>
          <w:rtl/>
        </w:rPr>
        <w:t xml:space="preserve">معياراً رئيساً للتحقق من الصدق التمايزي بوصفه أكثر دقة وحساسية إحصائية من المعايير التقليدية </w:t>
      </w:r>
      <w:r>
        <w:rPr>
          <w:rFonts w:ascii="Traditional Arabic" w:hAnsi="Traditional Arabic" w:cs="Traditional Arabic"/>
          <w:sz w:val="28"/>
          <w:szCs w:val="28"/>
        </w:rPr>
        <w:t>(Henseler et al., 2015)</w:t>
      </w:r>
      <w:r>
        <w:rPr>
          <w:rFonts w:ascii="Traditional Arabic" w:hAnsi="Traditional Arabic" w:cs="Traditional Arabic"/>
          <w:sz w:val="28"/>
          <w:szCs w:val="28"/>
          <w:rtl/>
        </w:rPr>
        <w:t>، على أن يُستخدَم معيار فورنيل-لاركر</w:t>
      </w:r>
      <w:r>
        <w:rPr>
          <w:rFonts w:ascii="Traditional Arabic" w:hAnsi="Traditional Arabic" w:cs="Traditional Arabic"/>
          <w:sz w:val="28"/>
          <w:szCs w:val="28"/>
        </w:rPr>
        <w:t xml:space="preserve"> (Fornell-Larcker Criterion)</w:t>
      </w:r>
      <w:r>
        <w:rPr>
          <w:rFonts w:ascii="Traditional Arabic" w:hAnsi="Traditional Arabic" w:cs="Traditional Arabic"/>
          <w:sz w:val="28"/>
          <w:szCs w:val="28"/>
          <w:rtl/>
        </w:rPr>
        <w:t xml:space="preserve"> اختباراً داعماً ومكمِّلاً لنتيجة HTMT، لا بديلاً عنها</w:t>
      </w:r>
      <w:r>
        <w:rPr>
          <w:rFonts w:ascii="Traditional Arabic" w:hAnsi="Traditional Arabic" w:cs="Traditional Arabic"/>
          <w:sz w:val="28"/>
          <w:szCs w:val="28"/>
        </w:rPr>
        <w:t>.</w:t>
      </w:r>
    </w:p>
    <w:p w14:paraId="6CAA449D" w14:textId="30E365E8" w:rsidR="009A71C7" w:rsidRPr="006B5F0B" w:rsidRDefault="009A71C7" w:rsidP="00B7711D">
      <w:pPr>
        <w:pStyle w:val="ListParagraph"/>
        <w:numPr>
          <w:ilvl w:val="0"/>
          <w:numId w:val="37"/>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الثبات</w:t>
      </w:r>
      <w:r>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hint="cs"/>
          <w:color w:val="2F5496" w:themeColor="accent1" w:themeShade="BF"/>
          <w:sz w:val="32"/>
          <w:szCs w:val="32"/>
          <w:rtl/>
        </w:rPr>
        <w:t xml:space="preserve"> </w:t>
      </w:r>
      <w:r>
        <w:rPr>
          <w:rFonts w:asciiTheme="majorHAnsi" w:eastAsiaTheme="majorEastAsia" w:hAnsiTheme="majorHAnsi" w:cstheme="majorBidi"/>
          <w:color w:val="2F5496" w:themeColor="accent1" w:themeShade="BF"/>
          <w:sz w:val="32"/>
          <w:szCs w:val="32"/>
        </w:rPr>
        <w:t>(Reliability)</w:t>
      </w:r>
    </w:p>
    <w:p w14:paraId="25C9BF04" w14:textId="65CCA5DB" w:rsidR="009A71C7" w:rsidRPr="00943C1C" w:rsidRDefault="009A71C7" w:rsidP="00BF446A">
      <w:pPr>
        <w:bidi/>
        <w:jc w:val="both"/>
        <w:rPr>
          <w:rFonts w:ascii="Traditional Arabic" w:hAnsi="Traditional Arabic" w:cs="Traditional Arabic"/>
          <w:sz w:val="28"/>
          <w:szCs w:val="28"/>
          <w:rtl/>
        </w:rPr>
      </w:pPr>
      <w:r>
        <w:rPr>
          <w:rFonts w:ascii="Traditional Arabic" w:hAnsi="Traditional Arabic" w:cs="Traditional Arabic"/>
          <w:sz w:val="28"/>
          <w:szCs w:val="28"/>
          <w:rtl/>
        </w:rPr>
        <w:t>قُدِّر ثبات المقاييس من خلال معامل ألفا كرونباك</w:t>
      </w:r>
      <w:r>
        <w:rPr>
          <w:rFonts w:ascii="Traditional Arabic" w:hAnsi="Traditional Arabic" w:cs="Traditional Arabic"/>
          <w:sz w:val="28"/>
          <w:szCs w:val="28"/>
        </w:rPr>
        <w:t xml:space="preserve"> (</w:t>
      </w:r>
      <w:r>
        <w:rPr>
          <w:rFonts w:ascii="Cambria" w:hAnsi="Cambria" w:cs="Cambria"/>
          <w:sz w:val="28"/>
          <w:szCs w:val="28"/>
        </w:rPr>
        <w:t>α</w:t>
      </w:r>
      <w:r>
        <w:rPr>
          <w:rFonts w:ascii="Traditional Arabic" w:hAnsi="Traditional Arabic" w:cs="Traditional Arabic"/>
          <w:sz w:val="28"/>
          <w:szCs w:val="28"/>
        </w:rPr>
        <w:t xml:space="preserve"> </w:t>
      </w:r>
      <w:r>
        <w:rPr>
          <w:rFonts w:ascii="Cambria Math" w:hAnsi="Cambria Math" w:cs="Cambria Math"/>
          <w:sz w:val="28"/>
          <w:szCs w:val="28"/>
        </w:rPr>
        <w:t>≥</w:t>
      </w:r>
      <w:r>
        <w:rPr>
          <w:rFonts w:ascii="Traditional Arabic" w:hAnsi="Traditional Arabic" w:cs="Traditional Arabic"/>
          <w:sz w:val="28"/>
          <w:szCs w:val="28"/>
        </w:rPr>
        <w:t xml:space="preserve"> 0.70) </w:t>
      </w:r>
      <w:r>
        <w:rPr>
          <w:rFonts w:ascii="Traditional Arabic" w:hAnsi="Traditional Arabic" w:cs="Traditional Arabic"/>
          <w:sz w:val="28"/>
          <w:szCs w:val="28"/>
          <w:rtl/>
        </w:rPr>
        <w:t>ومعامل الموثوقية المركبة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(CR </w:t>
      </w:r>
      <w:r>
        <w:rPr>
          <w:rFonts w:ascii="Cambria Math" w:hAnsi="Cambria Math" w:cs="Cambria Math"/>
          <w:sz w:val="28"/>
          <w:szCs w:val="28"/>
        </w:rPr>
        <w:t>≥</w:t>
      </w:r>
      <w:r>
        <w:rPr>
          <w:rFonts w:ascii="Traditional Arabic" w:hAnsi="Traditional Arabic" w:cs="Traditional Arabic"/>
          <w:sz w:val="28"/>
          <w:szCs w:val="28"/>
        </w:rPr>
        <w:t xml:space="preserve"> 0.70)</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وهما المعياران الأكثر تداولاً في دراسات نمذجة المعادلات الهيكلية</w:t>
      </w:r>
      <w:r>
        <w:rPr>
          <w:rFonts w:ascii="Traditional Arabic" w:hAnsi="Traditional Arabic" w:cs="Traditional Arabic"/>
          <w:sz w:val="28"/>
          <w:szCs w:val="28"/>
        </w:rPr>
        <w:t xml:space="preserve"> (Hair et al., 2019)</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47B1B5D9" w14:textId="77777777" w:rsidR="009A71C7" w:rsidRPr="00BF446A" w:rsidRDefault="009A71C7" w:rsidP="00BF446A">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lastRenderedPageBreak/>
        <w:t>سابعاً: تصميم الدراسة والمعالجة الإحصائية</w:t>
      </w:r>
    </w:p>
    <w:p w14:paraId="079A24EB" w14:textId="749DBCF6" w:rsidR="009A71C7" w:rsidRPr="00A56651" w:rsidRDefault="009A71C7" w:rsidP="00B7711D">
      <w:pPr>
        <w:pStyle w:val="ListParagraph"/>
        <w:numPr>
          <w:ilvl w:val="0"/>
          <w:numId w:val="38"/>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الأساليب الإحصائية الوصفية</w:t>
      </w:r>
    </w:p>
    <w:p w14:paraId="3F87121B"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للإجابة عن تساؤلات الدراسة المتعلقة بوصف خصائص العينة والمتغيرات، استُخدمت الأساليب الإحصائية الوصفية الآتية: التكرارات والنسب المئوية لتصنيف البيانات الديموغرافية، والمتوسطات الحسابية والانحرافات المعيارية لقياس مستوى كل متغير من متغيرات الدراسة، ومعاملات الالتواء والتفرطح للتحقق من الاعتدالية الطبيعية للبيانات</w:t>
      </w:r>
      <w:r>
        <w:rPr>
          <w:rFonts w:ascii="Traditional Arabic" w:hAnsi="Traditional Arabic" w:cs="Traditional Arabic"/>
          <w:sz w:val="28"/>
          <w:szCs w:val="28"/>
        </w:rPr>
        <w:t>.</w:t>
      </w:r>
    </w:p>
    <w:p w14:paraId="6A7B8C9D" w14:textId="6A7B8C9E" w:rsidR="00EF4BBA" w:rsidRDefault="009A71C7" w:rsidP="00B7711D">
      <w:pPr>
        <w:pStyle w:val="ListParagraph"/>
        <w:numPr>
          <w:ilvl w:val="0"/>
          <w:numId w:val="38"/>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إجراءات تنقية البيانات قبل التحليل</w:t>
      </w:r>
    </w:p>
    <w:p w14:paraId="6A7B8C9F" w14:textId="6A7B8CA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القيم المفقودة: </w:t>
      </w:r>
      <w:r>
        <w:rPr>
          <w:rFonts w:ascii="Traditional Arabic" w:hAnsi="Traditional Arabic" w:cs="Traditional Arabic"/>
          <w:sz w:val="28"/>
          <w:szCs w:val="28"/>
          <w:rtl/>
        </w:rPr>
        <w:t xml:space="preserve">تُستبعد الاستجابات التي تتجاوز فيها نسبة القيم المفقودة (5%) من إجمالي فقرات الاستبانة، أما الاستجابات التي تقل فيها هذه النسبة عن الحد المذكور فتُعالَج بأسلوب استبدال المتوسط </w:t>
      </w:r>
      <w:r>
        <w:rPr>
          <w:rFonts w:ascii="Traditional Arabic" w:hAnsi="Traditional Arabic" w:cs="Traditional Arabic"/>
          <w:sz w:val="28"/>
          <w:szCs w:val="28"/>
        </w:rPr>
        <w:t xml:space="preserve">(Mean Replacement) </w:t>
      </w:r>
      <w:r>
        <w:rPr>
          <w:rFonts w:ascii="Traditional Arabic" w:hAnsi="Traditional Arabic" w:cs="Traditional Arabic"/>
          <w:sz w:val="28"/>
          <w:szCs w:val="28"/>
          <w:rtl/>
        </w:rPr>
        <w:t xml:space="preserve">المتاح ضمن برنامج </w:t>
      </w:r>
      <w:r>
        <w:rPr>
          <w:rFonts w:ascii="Traditional Arabic" w:hAnsi="Traditional Arabic" w:cs="Traditional Arabic"/>
          <w:sz w:val="28"/>
          <w:szCs w:val="28"/>
        </w:rPr>
        <w:t xml:space="preserve">SmartPLS 4.0 (Hair et al., 2019). </w:t>
      </w:r>
      <w:r>
        <w:rPr>
          <w:rFonts w:ascii="Traditional Arabic" w:hAnsi="Traditional Arabic" w:cs="Traditional Arabic"/>
          <w:sz w:val="28"/>
          <w:szCs w:val="28"/>
          <w:rtl/>
        </w:rPr>
        <w:t>ويُبرَّر اختيار استبدال المتوسط تحديداً (بدلاً من الحذف الاعتباطي Listwise Deletion، أو أساليب أكثر تعقيداً كـExpectation-Maximization) بكونه الأسلوب المعتمد افتراضياً ضمن SmartPLS، ولأن نسبة القيم المفقودة المسموح بها محصورة أصلاً بحد أقصى (5%) لكل حالة، وهو مستوى منخفض لا يُتوقَّع أن يُحدث تأثيراً جوهرياً على التباين أو العلاقات بين المتغيرات، خصوصاً في ظل صغر حجم التأثير المحتمل مقارنةً بحجم العينة المستهدف. ومع ذلك، تُفضِّل الدراسة عملياً تصميم الاستبانة الإلكترونية بحيث تكون جميع البنود إلزامية (Mandatory Fields) بما يمنع تقديم الاستبانة دون استكمالها، وهو ما يُنهي مشكلة القيم المفقودة من الأساس ويُغني عن اللجوء إلى الاستبدال الإحصائي أصلاً؛ ولا يُستثنى من هذا الإلزام إلا في حال وجود اعتبار أخلاقي يستوجب ترك أحد البنود اختيارياً (كسؤال حساس يحق للمشارك تجاوزه).</w:t>
      </w:r>
    </w:p>
    <w:p w14:paraId="6A7B8CA1" w14:textId="6A7B8CA2"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الاستجابات غير الجادة: </w:t>
      </w:r>
      <w:r>
        <w:rPr>
          <w:rFonts w:ascii="Traditional Arabic" w:hAnsi="Traditional Arabic" w:cs="Traditional Arabic"/>
          <w:sz w:val="28"/>
          <w:szCs w:val="28"/>
          <w:rtl/>
        </w:rPr>
        <w:t xml:space="preserve">تُستبعد الاستجابات النمطية التي يختار فيها المستجيب البديل نفسه لجميع الفقرات (Straight-Lining)، والاستجابات السريعة التي يقل زمن إكمالها عن الحد الأدنى المنطقي المقدَّر بنحو ثلث متوسط زمن الإكمال الفعلي. أما الاستجابات المكررة، فتُكتشف دون تخزين أي بيانات تعريفية دائمة كعنوان البريد الإلكتروني أو رقم بروتوكول الإنترنت (IP) الفعلي، اتساقاً مع التزام الدراسة بعدم جمع بيانات تعريفية (المُشار إليه في قسم الاعتبارات الأخلاقية)؛ ويتم ذلك عبر تفعيل خاصية "تحديد استجابة واحدة لكل مستخدم" (Limit to 1 Response) المتاحة في نظام Google Forms والمرتبطة بحساب الدخول المؤسسي دون الكشف عن هوية صاحبه للباحث أو ربطها بمحتوى الإجابات، أو عبر توليد معرّف جلسة عشوائي مجهَّل (Anonymous Session Token) لا يحمل أي دلالة تعريفية. </w:t>
      </w:r>
      <w:r>
        <w:rPr>
          <w:rFonts w:ascii="Traditional Arabic" w:hAnsi="Traditional Arabic" w:cs="Traditional Arabic"/>
          <w:b/>
          <w:bCs/>
          <w:sz w:val="28"/>
          <w:szCs w:val="28"/>
          <w:rtl/>
        </w:rPr>
        <w:t xml:space="preserve">القيم المتطرفة: </w:t>
      </w:r>
      <w:r>
        <w:rPr>
          <w:rFonts w:ascii="Traditional Arabic" w:hAnsi="Traditional Arabic" w:cs="Traditional Arabic"/>
          <w:sz w:val="28"/>
          <w:szCs w:val="28"/>
          <w:rtl/>
        </w:rPr>
        <w:t xml:space="preserve">تُكتشف القيم المتطرفة أحادية المتغير باستخدام درجات </w:t>
      </w:r>
      <w:r>
        <w:rPr>
          <w:rFonts w:ascii="Traditional Arabic" w:hAnsi="Traditional Arabic" w:cs="Traditional Arabic"/>
          <w:sz w:val="28"/>
          <w:szCs w:val="28"/>
        </w:rPr>
        <w:t>Z (Z-Scores &gt; ±3)</w:t>
      </w:r>
      <w:r>
        <w:rPr>
          <w:rFonts w:ascii="Traditional Arabic" w:hAnsi="Traditional Arabic" w:cs="Traditional Arabic"/>
          <w:sz w:val="28"/>
          <w:szCs w:val="28"/>
          <w:rtl/>
        </w:rPr>
        <w:t xml:space="preserve">، والقيم المتطرفة متعددة المتغيرات باستخدام مسافة </w:t>
      </w:r>
      <w:r>
        <w:rPr>
          <w:rFonts w:ascii="Traditional Arabic" w:hAnsi="Traditional Arabic" w:cs="Traditional Arabic"/>
          <w:sz w:val="28"/>
          <w:szCs w:val="28"/>
        </w:rPr>
        <w:t>Mahalanobis (p &lt; 0.001)</w:t>
      </w:r>
      <w:r>
        <w:rPr>
          <w:rFonts w:ascii="Traditional Arabic" w:hAnsi="Traditional Arabic" w:cs="Traditional Arabic"/>
          <w:sz w:val="28"/>
          <w:szCs w:val="28"/>
          <w:rtl/>
        </w:rPr>
        <w:t xml:space="preserve">. </w:t>
      </w:r>
      <w:r>
        <w:rPr>
          <w:rFonts w:ascii="Traditional Arabic" w:hAnsi="Traditional Arabic" w:cs="Traditional Arabic"/>
          <w:b/>
          <w:bCs/>
          <w:sz w:val="28"/>
          <w:szCs w:val="28"/>
          <w:rtl/>
        </w:rPr>
        <w:t xml:space="preserve">التعدد الخطي: </w:t>
      </w:r>
      <w:r>
        <w:rPr>
          <w:rFonts w:ascii="Traditional Arabic" w:hAnsi="Traditional Arabic" w:cs="Traditional Arabic"/>
          <w:sz w:val="28"/>
          <w:szCs w:val="28"/>
          <w:rtl/>
        </w:rPr>
        <w:t xml:space="preserve">يُتحقق من عدم وجود تعدد خطي بين المؤشرات والمتغيرات المكنونة باستخدام معامل تضخم التباين </w:t>
      </w:r>
      <w:r>
        <w:rPr>
          <w:rFonts w:ascii="Traditional Arabic" w:hAnsi="Traditional Arabic" w:cs="Traditional Arabic"/>
          <w:sz w:val="28"/>
          <w:szCs w:val="28"/>
        </w:rPr>
        <w:t>(VIF)</w:t>
      </w:r>
      <w:r>
        <w:rPr>
          <w:rFonts w:ascii="Traditional Arabic" w:hAnsi="Traditional Arabic" w:cs="Traditional Arabic"/>
          <w:sz w:val="28"/>
          <w:szCs w:val="28"/>
          <w:rtl/>
        </w:rPr>
        <w:t xml:space="preserve">، على أن تقل قيمته عن (5)، مع تفضيل القيم الأقل من (3.3) بوصفها المؤشر الأكثر تحفظاً وفق </w:t>
      </w:r>
      <w:r>
        <w:rPr>
          <w:rFonts w:ascii="Traditional Arabic" w:hAnsi="Traditional Arabic" w:cs="Traditional Arabic"/>
          <w:sz w:val="28"/>
          <w:szCs w:val="28"/>
        </w:rPr>
        <w:t xml:space="preserve">Hair et al. (2019). </w:t>
      </w:r>
      <w:r>
        <w:rPr>
          <w:rFonts w:ascii="Traditional Arabic" w:hAnsi="Traditional Arabic" w:cs="Traditional Arabic"/>
          <w:b/>
          <w:bCs/>
          <w:sz w:val="28"/>
          <w:szCs w:val="28"/>
          <w:rtl/>
        </w:rPr>
        <w:t xml:space="preserve">الاعتدالية: </w:t>
      </w:r>
      <w:r>
        <w:rPr>
          <w:rFonts w:ascii="Traditional Arabic" w:hAnsi="Traditional Arabic" w:cs="Traditional Arabic"/>
          <w:sz w:val="28"/>
          <w:szCs w:val="28"/>
          <w:rtl/>
        </w:rPr>
        <w:t xml:space="preserve">نظراً لاعتماد الدراسة أسلوب </w:t>
      </w:r>
      <w:r>
        <w:rPr>
          <w:rFonts w:ascii="Traditional Arabic" w:hAnsi="Traditional Arabic" w:cs="Traditional Arabic"/>
          <w:sz w:val="28"/>
          <w:szCs w:val="28"/>
        </w:rPr>
        <w:t xml:space="preserve">PLS-SEM </w:t>
      </w:r>
      <w:r>
        <w:rPr>
          <w:rFonts w:ascii="Traditional Arabic" w:hAnsi="Traditional Arabic" w:cs="Traditional Arabic"/>
          <w:sz w:val="28"/>
          <w:szCs w:val="28"/>
          <w:rtl/>
        </w:rPr>
        <w:t xml:space="preserve">الذي لا يفترض التوزيع الطبيعي للبيانات، فإن فحص معاملي الالتواء والتفرطح يأتي لأغراض وصفية واستكشافية فقط، مع اعتماد الحدود المرجعية (±2) للحكم على مدى قرب البيانات من الاعتدالية </w:t>
      </w:r>
      <w:r>
        <w:rPr>
          <w:rFonts w:ascii="Traditional Arabic" w:hAnsi="Traditional Arabic" w:cs="Traditional Arabic"/>
          <w:sz w:val="28"/>
          <w:szCs w:val="28"/>
        </w:rPr>
        <w:t>(George &amp; Mallery, 2019).</w:t>
      </w:r>
    </w:p>
    <w:p w14:paraId="76902827" w14:textId="76902828" w:rsidR="009A71C7" w:rsidRPr="00943C1C" w:rsidRDefault="009A71C7" w:rsidP="00B7711D">
      <w:pPr>
        <w:pStyle w:val="ListParagraph"/>
        <w:numPr>
          <w:ilvl w:val="0"/>
          <w:numId w:val="38"/>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lastRenderedPageBreak/>
        <w:t>نمذجة المعادلات الهيكلية بالمربعات الصغرى الجزئية</w:t>
      </w:r>
      <w:r>
        <w:rPr>
          <w:rFonts w:asciiTheme="majorHAnsi" w:eastAsiaTheme="majorEastAsia" w:hAnsiTheme="majorHAnsi" w:cstheme="majorBidi"/>
          <w:color w:val="2F5496" w:themeColor="accent1" w:themeShade="BF"/>
          <w:sz w:val="32"/>
          <w:szCs w:val="32"/>
        </w:rPr>
        <w:t xml:space="preserve"> (PLS-SEM)</w:t>
      </w:r>
    </w:p>
    <w:p w14:paraId="76902826"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يُعدّ أسلوب</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الأداةَ التحليلية المحورية في هذه الدراسة، وذلك للأسباب المنهجية الآتية</w:t>
      </w:r>
      <w:r>
        <w:rPr>
          <w:rFonts w:ascii="Traditional Arabic" w:hAnsi="Traditional Arabic" w:cs="Traditional Arabic"/>
          <w:sz w:val="28"/>
          <w:szCs w:val="28"/>
        </w:rPr>
        <w:t>:</w:t>
      </w:r>
    </w:p>
    <w:p w14:paraId="136141F4" w14:textId="5FE515C0" w:rsidR="009A71C7" w:rsidRPr="008436D4" w:rsidRDefault="009A71C7" w:rsidP="00A6475C">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ملاءمته للهدف التنبؤي والتفسيري (Predictive-Explanatory) لنموذج الدراسة، بما يتوافق مع طبيعة البحث الذي يسعى إلى تطوير نموذج تطبيقي قابل للتعميم لا إلى اختبار نظرية مؤكَّدة مسبقاً بدقة صارمة كما هو الحال في</w:t>
      </w:r>
      <w:r>
        <w:rPr>
          <w:rFonts w:ascii="Traditional Arabic" w:hAnsi="Traditional Arabic" w:cs="Traditional Arabic"/>
          <w:sz w:val="28"/>
          <w:szCs w:val="28"/>
        </w:rPr>
        <w:t xml:space="preserve"> CB-SEM</w:t>
      </w:r>
      <w:r>
        <w:rPr>
          <w:rFonts w:ascii="Traditional Arabic" w:hAnsi="Traditional Arabic" w:cs="Traditional Arabic"/>
          <w:sz w:val="28"/>
          <w:szCs w:val="28"/>
          <w:rtl/>
        </w:rPr>
        <w:t>، إلى جانب ملاءمته لتعقيد النموذج المقترح من حيث احتوائه على متغيرات متعددة الأبعاد من الرتبة العليا ووساطة متسلسلة، وهي خصائص بنائية تُعدّ عاملاً حاسماً في تفضيل PLS-SEM يفوق في أهميته اعتبار حجم العينة وحده</w:t>
      </w:r>
      <w:r>
        <w:rPr>
          <w:rFonts w:ascii="Traditional Arabic" w:hAnsi="Traditional Arabic" w:cs="Traditional Arabic"/>
          <w:sz w:val="28"/>
          <w:szCs w:val="28"/>
        </w:rPr>
        <w:t>.</w:t>
      </w:r>
    </w:p>
    <w:p w14:paraId="152BE2C5" w14:textId="22769797" w:rsidR="009A71C7" w:rsidRPr="008436D4" w:rsidRDefault="009A71C7" w:rsidP="00A6475C">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قدرته على اختبار النماذج التكوينية</w:t>
      </w:r>
      <w:r>
        <w:rPr>
          <w:rFonts w:ascii="Traditional Arabic" w:hAnsi="Traditional Arabic" w:cs="Traditional Arabic"/>
          <w:sz w:val="28"/>
          <w:szCs w:val="28"/>
        </w:rPr>
        <w:t xml:space="preserve"> (Formative) </w:t>
      </w:r>
      <w:r>
        <w:rPr>
          <w:rFonts w:ascii="Traditional Arabic" w:hAnsi="Traditional Arabic" w:cs="Traditional Arabic"/>
          <w:sz w:val="28"/>
          <w:szCs w:val="28"/>
          <w:rtl/>
        </w:rPr>
        <w:t>والانعكاسية</w:t>
      </w:r>
      <w:r>
        <w:rPr>
          <w:rFonts w:ascii="Traditional Arabic" w:hAnsi="Traditional Arabic" w:cs="Traditional Arabic"/>
          <w:sz w:val="28"/>
          <w:szCs w:val="28"/>
        </w:rPr>
        <w:t xml:space="preserve"> (Reflective) </w:t>
      </w:r>
      <w:r>
        <w:rPr>
          <w:rFonts w:ascii="Traditional Arabic" w:hAnsi="Traditional Arabic" w:cs="Traditional Arabic"/>
          <w:sz w:val="28"/>
          <w:szCs w:val="28"/>
          <w:rtl/>
        </w:rPr>
        <w:t>وفق منطق النموذج المقترح</w:t>
      </w:r>
      <w:r>
        <w:rPr>
          <w:rFonts w:ascii="Traditional Arabic" w:hAnsi="Traditional Arabic" w:cs="Traditional Arabic"/>
          <w:sz w:val="28"/>
          <w:szCs w:val="28"/>
        </w:rPr>
        <w:t>.</w:t>
      </w:r>
    </w:p>
    <w:p w14:paraId="4FA74AB9" w14:textId="5318F232" w:rsidR="009A71C7" w:rsidRPr="008436D4" w:rsidRDefault="009A71C7" w:rsidP="00A6475C">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تفوقه في اختبار النماذج المعقدة المتضمنة متغيرات وسيطة متعددة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(Composite Mediation Models)</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4430F5A6" w14:textId="2CFEEABB" w:rsidR="009A71C7" w:rsidRPr="00575738" w:rsidRDefault="009A71C7" w:rsidP="00A6475C">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شيوع توظيفه في دراسات قطاع المياه والبنية التحتية ضمن الأدبيات الحديثة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(Ringle et al., 2015)</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254CAC4F" w14:textId="39D66C9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وتبنّت الدراسة في تحليل نموذج</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نهجاً ثنائي المرحلة وفق التوصيات المنهجية لـ</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Hair et al. (2019)</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097B25B9" w14:textId="5489059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المرحلة الأولى –</w:t>
      </w:r>
      <w:r>
        <w:rPr>
          <w:rFonts w:ascii="Traditional Arabic" w:hAnsi="Traditional Arabic" w:cs="Traditional Arabic"/>
          <w:sz w:val="28"/>
          <w:szCs w:val="28"/>
          <w:rtl/>
        </w:rPr>
        <w:t xml:space="preserve"> تقييم نموذج القياس الخارج</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(Outer/Measurement Model)</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يختبر هذا النموذج مدى تمثيل المتغيرات الكامنة من خلال مؤشراتها المُلاحظة، ويشمل تقييم الثبات الفردي للفقرات</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(Indicator Reliability)</w:t>
      </w:r>
      <w:r>
        <w:rPr>
          <w:rFonts w:ascii="Traditional Arabic" w:hAnsi="Traditional Arabic" w:cs="Traditional Arabic"/>
          <w:sz w:val="28"/>
          <w:szCs w:val="28"/>
          <w:rtl/>
        </w:rPr>
        <w:t>، ومعاملات التشبع</w:t>
      </w:r>
      <w:r>
        <w:rPr>
          <w:rFonts w:ascii="Traditional Arabic" w:hAnsi="Traditional Arabic" w:cs="Traditional Arabic"/>
          <w:sz w:val="28"/>
          <w:szCs w:val="28"/>
        </w:rPr>
        <w:t xml:space="preserve"> (Loadings </w:t>
      </w:r>
      <w:r>
        <w:rPr>
          <w:rFonts w:ascii="Cambria Math" w:hAnsi="Cambria Math" w:cs="Cambria Math"/>
          <w:sz w:val="28"/>
          <w:szCs w:val="28"/>
        </w:rPr>
        <w:t>≥</w:t>
      </w:r>
      <w:r>
        <w:rPr>
          <w:rFonts w:ascii="Traditional Arabic" w:hAnsi="Traditional Arabic" w:cs="Traditional Arabic"/>
          <w:sz w:val="28"/>
          <w:szCs w:val="28"/>
        </w:rPr>
        <w:t xml:space="preserve"> 0.70)</w:t>
      </w:r>
      <w:r>
        <w:rPr>
          <w:rFonts w:ascii="Traditional Arabic" w:hAnsi="Traditional Arabic" w:cs="Traditional Arabic"/>
          <w:sz w:val="28"/>
          <w:szCs w:val="28"/>
          <w:rtl/>
        </w:rPr>
        <w:t>، والثبات الداخلي</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Cambria" w:hAnsi="Cambria" w:cs="Cambria"/>
          <w:sz w:val="28"/>
          <w:szCs w:val="28"/>
        </w:rPr>
        <w:t>α</w:t>
      </w:r>
      <w:r>
        <w:rPr>
          <w:rFonts w:ascii="Cambria" w:hAnsi="Cambria" w:cs="Cambria"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و</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CR</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 والصدق التقاربي</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(AVE)</w:t>
      </w:r>
      <w:r>
        <w:rPr>
          <w:rFonts w:ascii="Traditional Arabic" w:hAnsi="Traditional Arabic" w:cs="Traditional Arabic"/>
          <w:sz w:val="28"/>
          <w:szCs w:val="28"/>
          <w:rtl/>
        </w:rPr>
        <w:t>، والصدق التمايزي</w:t>
      </w:r>
      <w:r>
        <w:rPr>
          <w:rFonts w:ascii="Traditional Arabic" w:hAnsi="Traditional Arabic" w:cs="Traditional Arabic"/>
          <w:sz w:val="28"/>
          <w:szCs w:val="28"/>
        </w:rPr>
        <w:t xml:space="preserve"> (HTMT).</w:t>
      </w:r>
    </w:p>
    <w:p w14:paraId="5A6B7C8D" w14:textId="5A6B7C8E"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وتُعامَل جميع متغيرات النموذج وأبعادها الفرعية بوصفها نماذج قياس </w:t>
      </w:r>
      <w:r>
        <w:rPr>
          <w:rFonts w:ascii="Traditional Arabic" w:hAnsi="Traditional Arabic" w:cs="Traditional Arabic"/>
          <w:b/>
          <w:bCs/>
          <w:sz w:val="28"/>
          <w:szCs w:val="28"/>
          <w:rtl/>
        </w:rPr>
        <w:t>انعكاسية</w:t>
      </w:r>
      <w:r>
        <w:rPr>
          <w:rFonts w:ascii="Traditional Arabic" w:hAnsi="Traditional Arabic" w:cs="Traditional Arabic"/>
          <w:sz w:val="28"/>
          <w:szCs w:val="28"/>
        </w:rPr>
        <w:t xml:space="preserve"> (Reflective-Reflective, Type I) </w:t>
      </w:r>
      <w:r>
        <w:rPr>
          <w:rFonts w:ascii="Traditional Arabic" w:hAnsi="Traditional Arabic" w:cs="Traditional Arabic"/>
          <w:sz w:val="28"/>
          <w:szCs w:val="28"/>
          <w:rtl/>
        </w:rPr>
        <w:t xml:space="preserve">في مستوييها (الأبعاد الفرعية والمتغير الرئيسي)؛ ذلك أن فقرات القياس مقتبسة من مقاييس Likert مؤسسة في الأدبيات، وتُعدّ مؤشرات قابلة للتبادل تعكس المفهوم الكامن ذاته، بحيث لا يُفترض أن يُحدث حذف فقرة واحدة تغييراً جوهرياً في المعنى المفاهيمي للبُعد. وبالنظر إلى أن كل متغير رئيسي (التحول الرقمي، الاستدامة المؤسسية، الحوكمة الذكية، سلامة الأصول، الأداء المؤسسي) يُقاس عبر أبعاد فرعية متعددة، فإنه يُعامَل بوصفه </w:t>
      </w:r>
      <w:r>
        <w:rPr>
          <w:rFonts w:ascii="Traditional Arabic" w:hAnsi="Traditional Arabic" w:cs="Traditional Arabic"/>
          <w:sz w:val="28"/>
          <w:szCs w:val="28"/>
        </w:rPr>
        <w:t>متغيراً من الرتبة العليا (Higher-Order Construct - HOC)</w:t>
      </w:r>
      <w:r>
        <w:rPr>
          <w:rFonts w:ascii="Traditional Arabic" w:hAnsi="Traditional Arabic" w:cs="Traditional Arabic"/>
          <w:sz w:val="28"/>
          <w:szCs w:val="28"/>
          <w:rtl/>
        </w:rPr>
        <w:t xml:space="preserve">، ويُقدَّر باستخدام </w:t>
      </w:r>
      <w:r>
        <w:rPr>
          <w:rFonts w:ascii="Traditional Arabic" w:hAnsi="Traditional Arabic" w:cs="Traditional Arabic"/>
          <w:b/>
          <w:bCs/>
          <w:sz w:val="28"/>
          <w:szCs w:val="28"/>
          <w:rtl/>
        </w:rPr>
        <w:t>أسلوب المرحلتين</w:t>
      </w:r>
      <w:r>
        <w:rPr>
          <w:rFonts w:ascii="Traditional Arabic" w:hAnsi="Traditional Arabic" w:cs="Traditional Arabic"/>
          <w:sz w:val="28"/>
          <w:szCs w:val="28"/>
        </w:rPr>
        <w:t xml:space="preserve"> (Two-Stage Approach)</w:t>
      </w:r>
      <w:r>
        <w:rPr>
          <w:rFonts w:ascii="Traditional Arabic" w:hAnsi="Traditional Arabic" w:cs="Traditional Arabic"/>
          <w:sz w:val="28"/>
          <w:szCs w:val="28"/>
          <w:rtl/>
        </w:rPr>
        <w:t xml:space="preserve">؛ إذ تُستخرج في المرحلة الأولى درجات المتغيرات الكامنة الفرعية (Latent Variable Scores) لكل بُعد، ثم تُستخدم هذه الدرجات في المرحلة الثانية بوصفها مؤشرات للمتغير من الرتبة العليا </w:t>
      </w:r>
      <w:r>
        <w:rPr>
          <w:rFonts w:ascii="Traditional Arabic" w:hAnsi="Traditional Arabic" w:cs="Traditional Arabic"/>
          <w:sz w:val="28"/>
          <w:szCs w:val="28"/>
        </w:rPr>
        <w:t>(Hair et al., 2019)</w:t>
      </w:r>
      <w:r>
        <w:rPr>
          <w:rFonts w:ascii="Traditional Arabic" w:hAnsi="Traditional Arabic" w:cs="Traditional Arabic"/>
          <w:sz w:val="28"/>
          <w:szCs w:val="28"/>
          <w:rtl/>
        </w:rPr>
        <w:t xml:space="preserve">. أما بخصوص معايير قبول تشبعات الفقرات، فتُحذف الفقرة التي يقل معامل تشبعها عن (0.40)، وتُدرَس بعناية الفقرات التي يقع تشبعها بين (0.40-0.70) من حيث أثر حذفها على قيمتي </w:t>
      </w:r>
      <w:r>
        <w:rPr>
          <w:rFonts w:ascii="Traditional Arabic" w:hAnsi="Traditional Arabic" w:cs="Traditional Arabic"/>
          <w:sz w:val="28"/>
          <w:szCs w:val="28"/>
        </w:rPr>
        <w:t xml:space="preserve">AVE </w:t>
      </w:r>
      <w:r>
        <w:rPr>
          <w:rFonts w:ascii="Traditional Arabic" w:hAnsi="Traditional Arabic" w:cs="Traditional Arabic"/>
          <w:sz w:val="28"/>
          <w:szCs w:val="28"/>
          <w:rtl/>
        </w:rPr>
        <w:t xml:space="preserve">والثبات المركب، فلا تُحذف إلا إذا أسهم حذفها في تحسين هاتين القيمتين بما يتجاوز الحدود الدنيا المطلوبة، أما الفقرات ذات التشبع الأعلى من (0.70) فتُبقى دون مراجعة </w:t>
      </w:r>
      <w:r>
        <w:rPr>
          <w:rFonts w:ascii="Traditional Arabic" w:hAnsi="Traditional Arabic" w:cs="Traditional Arabic"/>
          <w:sz w:val="28"/>
          <w:szCs w:val="28"/>
        </w:rPr>
        <w:t>(Hair et al., 2019)</w:t>
      </w:r>
      <w:r>
        <w:rPr>
          <w:rFonts w:ascii="Traditional Arabic" w:hAnsi="Traditional Arabic" w:cs="Traditional Arabic"/>
          <w:sz w:val="28"/>
          <w:szCs w:val="28"/>
          <w:rtl/>
        </w:rPr>
        <w:t>. وتؤكد الدراسة أن قرار حذف أي فقرة لن يُتَّخذ بصورة آلية استناداً إلى التحسّن الإحصائي في AVE أو الثبات المركب وحده، بل سيخضع أيضاً لتقييم نظري مسبق لمدى إسهام الفقرة في التغطية المفاهيمية الشاملة (Content Validity) للبُعد الذي تنتمي إليه؛ فإذا كانت الفقرة تغطي جانباً جوهرياً من المفهوم لا تغطيه فقرات أخرى ضمن البُعد نفسه، يُفضَّل الإبقاء عليها ولو على حساب تحسن هامشي في المؤشرات الإحصائية، صوناً لاكتمال تمثيل المفهوم نظرياً</w:t>
      </w:r>
      <w:r>
        <w:rPr>
          <w:rFonts w:ascii="Traditional Arabic" w:hAnsi="Traditional Arabic" w:cs="Traditional Arabic"/>
          <w:sz w:val="28"/>
          <w:szCs w:val="28"/>
        </w:rPr>
        <w:t>.</w:t>
      </w:r>
    </w:p>
    <w:p w14:paraId="1A1B1C9A" w14:textId="1A1B1C9B"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كما يُستكمَل تقييم الثبات الداخلي بمعامل </w:t>
      </w:r>
      <w:r>
        <w:rPr>
          <w:rFonts w:ascii="Traditional Arabic" w:hAnsi="Traditional Arabic" w:cs="Traditional Arabic"/>
          <w:sz w:val="28"/>
          <w:szCs w:val="28"/>
        </w:rPr>
        <w:t xml:space="preserve">rho_A </w:t>
      </w:r>
      <w:r>
        <w:rPr>
          <w:rFonts w:ascii="Traditional Arabic" w:hAnsi="Traditional Arabic" w:cs="Traditional Arabic"/>
          <w:sz w:val="28"/>
          <w:szCs w:val="28"/>
          <w:rtl/>
        </w:rPr>
        <w:t xml:space="preserve">الذي ينبغي ألا تقل قيمته عن (0.70)، بوصفه مؤشراً أكثر دقة من ألفا كرونباك في نماذج </w:t>
      </w:r>
      <w:r>
        <w:rPr>
          <w:rFonts w:ascii="Traditional Arabic" w:hAnsi="Traditional Arabic" w:cs="Traditional Arabic"/>
          <w:sz w:val="28"/>
          <w:szCs w:val="28"/>
        </w:rPr>
        <w:t>PLS-SEM (Dijkstra &amp; Henseler, 2015).</w:t>
      </w:r>
    </w:p>
    <w:p w14:paraId="5462E794" w14:textId="5462E795"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lastRenderedPageBreak/>
        <w:t xml:space="preserve">التبرير النظري للانعكاسية على مستوى كل متغير: </w:t>
      </w:r>
      <w:r>
        <w:rPr>
          <w:rFonts w:ascii="Traditional Arabic" w:hAnsi="Traditional Arabic" w:cs="Traditional Arabic"/>
          <w:sz w:val="28"/>
          <w:szCs w:val="28"/>
          <w:rtl/>
        </w:rPr>
        <w:t>لا يستند اختيار البنية الانعكاسية إلى طبيعة مقياس ليكرت وحدها، بل إلى طبيعة كل مفهوم نظرياً؛ فالتحول الرقمي يُنظَر إليه هنا بوصفه سمة مؤسسية كامنة واحدة (درجة النضج الرقمي العام للمؤسسة) تتجلى بصورة متسقة عبر أبعاده الفرعية (البنية التحتية التقنية، الثقافة الرقمية، العمليات الرقمية)، بحيث يُتوقَّع أن ترتفع هذه الأبعاد أو تنخفض معاً مع تغيّر مستوى النضج الرقمي الكامن، وهو ما يتسق مع معالجة Vial (2019) للمفهوم بوصفه ظاهرة تحوّلية شاملة لا حزمة مكوّنات منفصلة. وبالمثل، تُعامَل الاستدامة المؤسسية بوصفها التزاماً مؤسسياً كامناً واحداً ينعكس عبر أبعادها الثلاثة (البيئي والاجتماعي والاقتصادي) وفق منطق "خط الأساس الثلاثي" (Triple Bottom Line) لـElkington (1997)، الذي يفترض أساساً أن هذه الأبعاد مظاهر لالتزام استدامة واحد لا مكونات مستقلة تُشكِّله جمعياً. أما الحوكمة الذكية فتُعامَل بوصفها قدرة مؤسسية كامنة تنعكس عبر ممارسات الشفافية والمساءلة والمشاركة الرقمية بوصفها تجليات لجودة الحوكمة الكامنة، تماشياً مع أدبيات الحوكمة الرقمية (Janssen et al., 2017) التي تُعامل هذه الممارسات كمؤشرات مترابطة لظاهرة حوكمية واحدة. ومع ذلك، تُقر الدراسة بأن هذا التصنيف الانعكاسي قرار نمذجة قابل للنقاش نظرياً، خصوصاً في حال وجود بُعد فرعي يُشكِّل المفهوم بدلاً من أن يعكسه (وهي حالة تستدعي بنية تكوينية)؛ ولذلك سيُعاد فحص هذا الافتراض تجريبياً في الفصل الرابع عبر مؤشرات الاتساق الداخلي والارتباطات بين الأبعاد الفرعية، تحوطاً من أي مفارقة بين الافتراض النظري والنتائج التجريبية.</w:t>
      </w:r>
    </w:p>
    <w:p w14:paraId="5462E793" w14:textId="67CF6092"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المرحلة الثانية –</w:t>
      </w:r>
      <w:r>
        <w:rPr>
          <w:rFonts w:ascii="Traditional Arabic" w:hAnsi="Traditional Arabic" w:cs="Traditional Arabic"/>
          <w:sz w:val="28"/>
          <w:szCs w:val="28"/>
          <w:rtl/>
        </w:rPr>
        <w:t xml:space="preserve"> تقييم نموذج البنية الداخلية</w:t>
      </w:r>
      <w:r>
        <w:rPr>
          <w:rFonts w:ascii="Traditional Arabic" w:hAnsi="Traditional Arabic" w:cs="Traditional Arabic"/>
          <w:sz w:val="28"/>
          <w:szCs w:val="28"/>
        </w:rPr>
        <w:t xml:space="preserve"> (Inner/Structural Model): </w:t>
      </w:r>
      <w:r>
        <w:rPr>
          <w:rFonts w:ascii="Traditional Arabic" w:hAnsi="Traditional Arabic" w:cs="Traditional Arabic"/>
          <w:sz w:val="28"/>
          <w:szCs w:val="28"/>
          <w:rtl/>
        </w:rPr>
        <w:t>يختبر هذا النموذج العلاقات السببية بين المتغيرات وفق الفروض المحددة، ويشمل حساب معاملات المسار</w:t>
      </w:r>
      <w:r>
        <w:rPr>
          <w:rFonts w:ascii="Traditional Arabic" w:hAnsi="Traditional Arabic" w:cs="Traditional Arabic"/>
          <w:sz w:val="28"/>
          <w:szCs w:val="28"/>
        </w:rPr>
        <w:t xml:space="preserve"> (Path Coefficients) </w:t>
      </w:r>
      <w:r>
        <w:rPr>
          <w:rFonts w:ascii="Traditional Arabic" w:hAnsi="Traditional Arabic" w:cs="Traditional Arabic"/>
          <w:sz w:val="28"/>
          <w:szCs w:val="28"/>
          <w:rtl/>
        </w:rPr>
        <w:t>وقيم</w:t>
      </w:r>
      <w:r>
        <w:rPr>
          <w:rFonts w:ascii="Traditional Arabic" w:hAnsi="Traditional Arabic" w:cs="Traditional Arabic"/>
          <w:sz w:val="28"/>
          <w:szCs w:val="28"/>
        </w:rPr>
        <w:t xml:space="preserve"> (t) </w:t>
      </w:r>
      <w:r>
        <w:rPr>
          <w:rFonts w:ascii="Traditional Arabic" w:hAnsi="Traditional Arabic" w:cs="Traditional Arabic"/>
          <w:sz w:val="28"/>
          <w:szCs w:val="28"/>
          <w:rtl/>
        </w:rPr>
        <w:t>المصاحبة لها عبر أسلوب</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Bootstrap</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(5000 عينة)، ومعامل التحديد</w:t>
      </w:r>
      <w:r>
        <w:rPr>
          <w:rFonts w:ascii="Traditional Arabic" w:hAnsi="Traditional Arabic" w:cs="Traditional Arabic"/>
          <w:sz w:val="28"/>
          <w:szCs w:val="28"/>
        </w:rPr>
        <w:t xml:space="preserve"> (R²) </w:t>
      </w:r>
      <w:r>
        <w:rPr>
          <w:rFonts w:ascii="Traditional Arabic" w:hAnsi="Traditional Arabic" w:cs="Traditional Arabic"/>
          <w:sz w:val="28"/>
          <w:szCs w:val="28"/>
          <w:rtl/>
        </w:rPr>
        <w:t>لكل متغير تابع/وسيط، وحجم الأثر</w:t>
      </w:r>
      <w:r>
        <w:rPr>
          <w:rFonts w:ascii="Traditional Arabic" w:hAnsi="Traditional Arabic" w:cs="Traditional Arabic"/>
          <w:sz w:val="28"/>
          <w:szCs w:val="28"/>
        </w:rPr>
        <w:t xml:space="preserve"> (f²)</w:t>
      </w:r>
      <w:r>
        <w:rPr>
          <w:rFonts w:ascii="Traditional Arabic" w:hAnsi="Traditional Arabic" w:cs="Traditional Arabic"/>
          <w:sz w:val="28"/>
          <w:szCs w:val="28"/>
          <w:rtl/>
        </w:rPr>
        <w:t>، والقدرة التنبؤية</w:t>
      </w:r>
      <w:r>
        <w:rPr>
          <w:rFonts w:ascii="Traditional Arabic" w:hAnsi="Traditional Arabic" w:cs="Traditional Arabic"/>
          <w:sz w:val="28"/>
          <w:szCs w:val="28"/>
        </w:rPr>
        <w:t xml:space="preserve"> (Q²) </w:t>
      </w:r>
      <w:r>
        <w:rPr>
          <w:rFonts w:ascii="Traditional Arabic" w:hAnsi="Traditional Arabic" w:cs="Traditional Arabic"/>
          <w:sz w:val="28"/>
          <w:szCs w:val="28"/>
          <w:rtl/>
        </w:rPr>
        <w:t>عبر إجراء</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Blindfolding</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77E82481" w14:textId="3FE450FD" w:rsidR="00EF4BBA" w:rsidRPr="00253EFE" w:rsidRDefault="00EF4BBA" w:rsidP="00B7711D">
      <w:pPr>
        <w:pStyle w:val="ListParagraph"/>
        <w:numPr>
          <w:ilvl w:val="0"/>
          <w:numId w:val="8"/>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اختبار الوساطة  (</w:t>
      </w:r>
      <w:r>
        <w:rPr>
          <w:rFonts w:asciiTheme="majorHAnsi" w:eastAsiaTheme="majorEastAsia" w:hAnsiTheme="majorHAnsi" w:cstheme="majorBidi"/>
          <w:color w:val="2F5496" w:themeColor="accent1" w:themeShade="BF"/>
          <w:sz w:val="32"/>
          <w:szCs w:val="32"/>
        </w:rPr>
        <w:t>Mediation Analysis</w:t>
      </w:r>
      <w:r>
        <w:rPr>
          <w:rFonts w:asciiTheme="majorHAnsi" w:eastAsiaTheme="majorEastAsia" w:hAnsiTheme="majorHAnsi" w:cstheme="majorBidi"/>
          <w:color w:val="2F5496" w:themeColor="accent1" w:themeShade="BF"/>
          <w:sz w:val="32"/>
          <w:szCs w:val="32"/>
          <w:rtl/>
        </w:rPr>
        <w:t>)</w:t>
      </w:r>
    </w:p>
    <w:p w14:paraId="3D4E5F60" w14:textId="3D4E5F61" w:rsidR="00EF4BBA" w:rsidRPr="00253EFE" w:rsidRDefault="00EF4BBA" w:rsidP="00231298">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يتبنى نموذج الدراسة نموذج وساطة </w:t>
      </w:r>
      <w:r>
        <w:rPr>
          <w:rFonts w:ascii="Traditional Arabic" w:hAnsi="Traditional Arabic" w:cs="Traditional Arabic"/>
          <w:b/>
          <w:bCs/>
          <w:sz w:val="28"/>
          <w:szCs w:val="28"/>
          <w:rtl/>
        </w:rPr>
        <w:t>متسلسلة</w:t>
      </w:r>
      <w:r>
        <w:rPr>
          <w:rFonts w:ascii="Traditional Arabic" w:hAnsi="Traditional Arabic" w:cs="Traditional Arabic"/>
          <w:sz w:val="28"/>
          <w:szCs w:val="28"/>
        </w:rPr>
        <w:t xml:space="preserve"> (Serial Mediation) </w:t>
      </w:r>
      <w:r>
        <w:rPr>
          <w:rFonts w:ascii="Traditional Arabic" w:hAnsi="Traditional Arabic" w:cs="Traditional Arabic"/>
          <w:sz w:val="28"/>
          <w:szCs w:val="28"/>
          <w:rtl/>
        </w:rPr>
        <w:t xml:space="preserve">لا نموذج وساطة متوازية؛ إذ تفترض الدراسة أن الحوكمة الذكية تؤثر أولاً في سلامة أصول البنية التحتية، ثم تنتقل هذه السلامة بدورها إلى تحسين الأداء المؤسسي، وفق التسلسل السببي الآتي: </w:t>
      </w:r>
      <w:r>
        <w:rPr>
          <w:rFonts w:ascii="Traditional Arabic" w:hAnsi="Traditional Arabic" w:cs="Traditional Arabic"/>
          <w:sz w:val="28"/>
          <w:szCs w:val="28"/>
        </w:rPr>
        <w:t>(التحول الرقمي / الاستدامة المؤسسية) → الحوكمة الذكية → سلامة الأصول → الأداء المؤسسي.</w:t>
      </w:r>
    </w:p>
    <w:p w14:paraId="3D4E5F62" w14:textId="3D4E5F63" w:rsidR="00EF4BBA" w:rsidRPr="00253EFE" w:rsidRDefault="00EF4BBA" w:rsidP="00231298">
      <w:pPr>
        <w:bidi/>
        <w:jc w:val="both"/>
        <w:rPr>
          <w:rFonts w:ascii="Traditional Arabic" w:hAnsi="Traditional Arabic" w:cs="Traditional Arabic"/>
          <w:sz w:val="28"/>
          <w:szCs w:val="28"/>
          <w:rtl/>
        </w:rPr>
      </w:pPr>
      <w:r>
        <w:rPr>
          <w:rFonts w:ascii="Traditional Arabic" w:hAnsi="Traditional Arabic" w:cs="Traditional Arabic"/>
          <w:sz w:val="28"/>
          <w:szCs w:val="28"/>
          <w:rtl/>
        </w:rPr>
        <w:t>وبناءً على هذا التسلسل، يتم اختبار المسارات غير المباشرة الآتية على وجه التحديد: (1) التحول الرقمي → الحوكمة الذكية → سلامة الأصول → الأداء المؤسسي؛ (2) الاستدامة المؤسسية → الحوكمة الذكية → سلامة الأصول → الأداء المؤسسي؛ إضافة إلى المسارين غير المباشرين الأحاديين: التحول الرقمي/الاستدامة المؤسسية → الحوكمة الذكية → الأداء المؤسسي (دون المرور بسلامة الأصول)، والحوكمة الذكية → سلامة الأصول → الأداء المؤسسي.</w:t>
      </w:r>
    </w:p>
    <w:p w14:paraId="20D7A352" w14:textId="77777777" w:rsidR="00EF4BBA" w:rsidRPr="00253EFE" w:rsidRDefault="00EF4BBA" w:rsidP="00B7711D">
      <w:pPr>
        <w:pStyle w:val="ListParagraph"/>
        <w:numPr>
          <w:ilvl w:val="0"/>
          <w:numId w:val="8"/>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معايير اختبار الوساطة  (</w:t>
      </w:r>
      <w:r>
        <w:rPr>
          <w:rFonts w:asciiTheme="majorHAnsi" w:eastAsiaTheme="majorEastAsia" w:hAnsiTheme="majorHAnsi" w:cstheme="majorBidi"/>
          <w:color w:val="2F5496" w:themeColor="accent1" w:themeShade="BF"/>
          <w:sz w:val="32"/>
          <w:szCs w:val="32"/>
        </w:rPr>
        <w:t>Mediation Analysis</w:t>
      </w:r>
      <w:r>
        <w:rPr>
          <w:rFonts w:asciiTheme="majorHAnsi" w:eastAsiaTheme="majorEastAsia" w:hAnsiTheme="majorHAnsi" w:cstheme="majorBidi"/>
          <w:color w:val="2F5496" w:themeColor="accent1" w:themeShade="BF"/>
          <w:sz w:val="32"/>
          <w:szCs w:val="32"/>
          <w:rtl/>
        </w:rPr>
        <w:t>)</w:t>
      </w:r>
    </w:p>
    <w:p w14:paraId="41FE67D8" w14:textId="54C320D2" w:rsidR="009A71C7" w:rsidRPr="00943C1C" w:rsidRDefault="009A71C7" w:rsidP="00231298">
      <w:pPr>
        <w:bidi/>
        <w:jc w:val="both"/>
        <w:rPr>
          <w:rFonts w:ascii="Traditional Arabic" w:hAnsi="Traditional Arabic" w:cs="Traditional Arabic"/>
          <w:sz w:val="28"/>
          <w:szCs w:val="28"/>
          <w:rtl/>
        </w:rPr>
      </w:pPr>
      <w:r>
        <w:rPr>
          <w:rFonts w:ascii="Traditional Arabic" w:hAnsi="Traditional Arabic" w:cs="Traditional Arabic"/>
          <w:sz w:val="28"/>
          <w:szCs w:val="28"/>
          <w:rtl/>
        </w:rPr>
        <w:t>لاختبار التأثير الوسيط لكل من الحوكمة الذكية وسلامة الأصول، اعتمدت الدراسة منهجية حساب التأثير غير المباشر</w:t>
      </w:r>
      <w:r>
        <w:rPr>
          <w:rFonts w:ascii="Traditional Arabic" w:hAnsi="Traditional Arabic" w:cs="Traditional Arabic"/>
          <w:sz w:val="28"/>
          <w:szCs w:val="28"/>
        </w:rPr>
        <w:t xml:space="preserve"> (Indirect Effects)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عبر</w:t>
      </w:r>
      <w:r>
        <w:rPr>
          <w:rFonts w:ascii="Traditional Arabic" w:hAnsi="Traditional Arabic" w:cs="Traditional Arabic"/>
          <w:sz w:val="28"/>
          <w:szCs w:val="28"/>
        </w:rPr>
        <w:t xml:space="preserve"> Bootstrap </w:t>
      </w:r>
      <w:r>
        <w:rPr>
          <w:rFonts w:ascii="Traditional Arabic" w:hAnsi="Traditional Arabic" w:cs="Traditional Arabic"/>
          <w:sz w:val="28"/>
          <w:szCs w:val="28"/>
          <w:rtl/>
        </w:rPr>
        <w:t>بـ (5000) تكرار، واستخراج فترات الثقة</w:t>
      </w:r>
      <w:r>
        <w:rPr>
          <w:rFonts w:ascii="Traditional Arabic" w:hAnsi="Traditional Arabic" w:cs="Traditional Arabic"/>
          <w:sz w:val="28"/>
          <w:szCs w:val="28"/>
        </w:rPr>
        <w:t xml:space="preserve"> (95% Confidence Intervals). </w:t>
      </w:r>
      <w:r>
        <w:rPr>
          <w:rFonts w:ascii="Traditional Arabic" w:hAnsi="Traditional Arabic" w:cs="Traditional Arabic"/>
          <w:sz w:val="28"/>
          <w:szCs w:val="28"/>
          <w:rtl/>
        </w:rPr>
        <w:t>وتُعدّ الوساطة ذات دلالة إحصائية عندما لا تتضمن فترة الثقة القيمة الصفر</w:t>
      </w:r>
      <w:r>
        <w:rPr>
          <w:rFonts w:ascii="Traditional Arabic" w:hAnsi="Traditional Arabic" w:cs="Traditional Arabic"/>
          <w:sz w:val="28"/>
          <w:szCs w:val="28"/>
        </w:rPr>
        <w:t xml:space="preserve"> (Zero)</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وتتوافق هذه المنهجية مع توصيات</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Preacher &amp; Hayes (2008)</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وبرنامج</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PROCESS</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 xml:space="preserve">من حيث المنطق الإحصائي لتقدير الأثر غير المباشر، مع العلم </w:t>
      </w:r>
      <w:r>
        <w:rPr>
          <w:rFonts w:ascii="Traditional Arabic" w:hAnsi="Traditional Arabic" w:cs="Traditional Arabic"/>
          <w:sz w:val="28"/>
          <w:szCs w:val="28"/>
          <w:rtl/>
        </w:rPr>
        <w:lastRenderedPageBreak/>
        <w:t>بأن جميع اختبارات الوساطة في هذه الدراسة تُنفَّذ حصرياً داخل بيئة</w:t>
      </w:r>
      <w:r>
        <w:rPr>
          <w:rFonts w:ascii="Traditional Arabic" w:hAnsi="Traditional Arabic" w:cs="Traditional Arabic"/>
          <w:sz w:val="28"/>
          <w:szCs w:val="28"/>
        </w:rPr>
        <w:t xml:space="preserve"> SmartPLS 4.0 </w:t>
      </w:r>
      <w:r>
        <w:rPr>
          <w:rFonts w:ascii="Traditional Arabic" w:hAnsi="Traditional Arabic" w:cs="Traditional Arabic"/>
          <w:sz w:val="28"/>
          <w:szCs w:val="28"/>
          <w:rtl/>
        </w:rPr>
        <w:t>دون استخدام برنامج</w:t>
      </w:r>
      <w:r>
        <w:rPr>
          <w:rFonts w:ascii="Traditional Arabic" w:hAnsi="Traditional Arabic" w:cs="Traditional Arabic"/>
          <w:sz w:val="28"/>
          <w:szCs w:val="28"/>
        </w:rPr>
        <w:t xml:space="preserve"> PROCESS </w:t>
      </w:r>
      <w:r>
        <w:rPr>
          <w:rFonts w:ascii="Traditional Arabic" w:hAnsi="Traditional Arabic" w:cs="Traditional Arabic"/>
          <w:sz w:val="28"/>
          <w:szCs w:val="28"/>
          <w:rtl/>
        </w:rPr>
        <w:t xml:space="preserve">فعلياً، إذ لا يُستخدم هذا الأخير إلا كمرجع نظري لتوصيف منهجية اختبار الوساطة عبر Bootstrap. وتُصنَّف الوساطة إلى: </w:t>
      </w:r>
      <w:r>
        <w:rPr>
          <w:rFonts w:ascii="Traditional Arabic" w:hAnsi="Traditional Arabic" w:cs="Traditional Arabic"/>
          <w:b/>
          <w:bCs/>
          <w:sz w:val="28"/>
          <w:szCs w:val="28"/>
          <w:rtl/>
        </w:rPr>
        <w:t>وساطة كلية</w:t>
      </w:r>
      <w:r>
        <w:rPr>
          <w:rFonts w:ascii="Traditional Arabic" w:hAnsi="Traditional Arabic" w:cs="Traditional Arabic"/>
          <w:sz w:val="28"/>
          <w:szCs w:val="28"/>
          <w:rtl/>
        </w:rPr>
        <w:t xml:space="preserve"> عندما يكون الأثر غير المباشر دالاً إحصائياً بينما يصبح الأثر المباشر غير دالٍ بعد إدخال الوسيط؛ </w:t>
      </w:r>
      <w:r>
        <w:rPr>
          <w:rFonts w:ascii="Traditional Arabic" w:hAnsi="Traditional Arabic" w:cs="Traditional Arabic"/>
          <w:b/>
          <w:bCs/>
          <w:sz w:val="28"/>
          <w:szCs w:val="28"/>
          <w:rtl/>
        </w:rPr>
        <w:t>وساطة جزئية</w:t>
      </w:r>
      <w:r>
        <w:rPr>
          <w:rFonts w:ascii="Traditional Arabic" w:hAnsi="Traditional Arabic" w:cs="Traditional Arabic"/>
          <w:sz w:val="28"/>
          <w:szCs w:val="28"/>
          <w:rtl/>
        </w:rPr>
        <w:t xml:space="preserve"> عندما يكون كلا الأثرين (المباشر وغير المباشر) دالَّين إحصائياً معاً؛ و</w:t>
      </w:r>
      <w:r>
        <w:rPr>
          <w:rFonts w:ascii="Traditional Arabic" w:hAnsi="Traditional Arabic" w:cs="Traditional Arabic"/>
          <w:b/>
          <w:bCs/>
          <w:sz w:val="28"/>
          <w:szCs w:val="28"/>
          <w:rtl/>
        </w:rPr>
        <w:t>عدم وجود وساطة</w:t>
      </w:r>
      <w:r>
        <w:rPr>
          <w:rFonts w:ascii="Traditional Arabic" w:hAnsi="Traditional Arabic" w:cs="Traditional Arabic"/>
          <w:sz w:val="28"/>
          <w:szCs w:val="28"/>
          <w:rtl/>
        </w:rPr>
        <w:t xml:space="preserve"> عندما يتضمن فترة ثقة الأثر غير المباشر القيمة صفر</w:t>
      </w:r>
      <w:r>
        <w:rPr>
          <w:rFonts w:ascii="Traditional Arabic" w:hAnsi="Traditional Arabic" w:cs="Traditional Arabic"/>
          <w:sz w:val="28"/>
          <w:szCs w:val="28"/>
        </w:rPr>
        <w:t xml:space="preserve"> (Nitzl et al., 2016; Hair et al., 2019).</w:t>
      </w:r>
    </w:p>
    <w:p w14:paraId="1A1B1CAA" w14:textId="1A1B1CAB" w:rsidR="009A71C7" w:rsidRPr="00253EFE" w:rsidRDefault="009A71C7" w:rsidP="00231298">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ولا تكتفي الدراسة بدلالة الأثرين المباشر وغير المباشر إحصائياً فحسب في الحكم على نوع الوساطة، بل تُفسِّر ذلك أيضاً وفق اتجاه الأثرين (نفس الإشارة أو إشارة معاكسة)، استناداً إلى تصنيف </w:t>
      </w:r>
      <w:r>
        <w:rPr>
          <w:rFonts w:ascii="Traditional Arabic" w:hAnsi="Traditional Arabic" w:cs="Traditional Arabic"/>
          <w:sz w:val="28"/>
          <w:szCs w:val="28"/>
        </w:rPr>
        <w:t>Zhao, Lynch &amp; Chang (2010)</w:t>
      </w:r>
      <w:r>
        <w:rPr>
          <w:rFonts w:ascii="Traditional Arabic" w:hAnsi="Traditional Arabic" w:cs="Traditional Arabic"/>
          <w:sz w:val="28"/>
          <w:szCs w:val="28"/>
          <w:rtl/>
        </w:rPr>
        <w:t xml:space="preserve">؛ فتُعدّ الوساطة الجزئية </w:t>
      </w:r>
      <w:r>
        <w:rPr>
          <w:rFonts w:ascii="Traditional Arabic" w:hAnsi="Traditional Arabic" w:cs="Traditional Arabic"/>
          <w:b/>
          <w:bCs/>
          <w:sz w:val="28"/>
          <w:szCs w:val="28"/>
          <w:rtl/>
        </w:rPr>
        <w:t>تكاملية</w:t>
      </w:r>
      <w:r>
        <w:rPr>
          <w:rFonts w:ascii="Traditional Arabic" w:hAnsi="Traditional Arabic" w:cs="Traditional Arabic"/>
          <w:sz w:val="28"/>
          <w:szCs w:val="28"/>
        </w:rPr>
        <w:t xml:space="preserve"> (Complementary) </w:t>
      </w:r>
      <w:r>
        <w:rPr>
          <w:rFonts w:ascii="Traditional Arabic" w:hAnsi="Traditional Arabic" w:cs="Traditional Arabic"/>
          <w:sz w:val="28"/>
          <w:szCs w:val="28"/>
          <w:rtl/>
        </w:rPr>
        <w:t xml:space="preserve">إذا كان الأثران المباشر وغير المباشر في الاتجاه نفسه (كلاهما موجب أو كلاهما سالب)، بينما تُعدّ </w:t>
      </w:r>
      <w:r>
        <w:rPr>
          <w:rFonts w:ascii="Traditional Arabic" w:hAnsi="Traditional Arabic" w:cs="Traditional Arabic"/>
          <w:b/>
          <w:bCs/>
          <w:sz w:val="28"/>
          <w:szCs w:val="28"/>
          <w:rtl/>
        </w:rPr>
        <w:t>تنافسية</w:t>
      </w:r>
      <w:r>
        <w:rPr>
          <w:rFonts w:ascii="Traditional Arabic" w:hAnsi="Traditional Arabic" w:cs="Traditional Arabic"/>
          <w:sz w:val="28"/>
          <w:szCs w:val="28"/>
        </w:rPr>
        <w:t xml:space="preserve"> (Competitive) </w:t>
      </w:r>
      <w:r>
        <w:rPr>
          <w:rFonts w:ascii="Traditional Arabic" w:hAnsi="Traditional Arabic" w:cs="Traditional Arabic"/>
          <w:sz w:val="28"/>
          <w:szCs w:val="28"/>
          <w:rtl/>
        </w:rPr>
        <w:t>إذا كانا في اتجاهين متعاكسين، وهو ما قد يشير إلى وجود متغير كابح (Suppressor) يستحق مزيداً من التفسير النظري بدلاً من الاكتفاء بوصف المسار المباشر بأنه "غير دال" بصورة آلية.</w:t>
      </w:r>
    </w:p>
    <w:p w14:paraId="1A1B1C1D" w14:textId="1A1B1C1E" w:rsidR="009A71C7" w:rsidRPr="00253EFE" w:rsidRDefault="009A71C7" w:rsidP="00B7711D">
      <w:pPr>
        <w:pStyle w:val="ListParagraph"/>
        <w:numPr>
          <w:ilvl w:val="0"/>
          <w:numId w:val="8"/>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معايير إضافية لتقييم جودة النموذج وقدرته التفسيرية والتنبؤية</w:t>
      </w:r>
    </w:p>
    <w:p w14:paraId="1A1B1C1E" w14:textId="1A1B1C1D"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تُنظَّم معايير تقييم جودة النموذج البنائي ضمن محورين متمايزين حتى لا تختلط القدرة التفسيرية بالقدرة التنبؤية: المحور الأول هو </w:t>
      </w:r>
      <w:r>
        <w:rPr>
          <w:rFonts w:ascii="Traditional Arabic" w:hAnsi="Traditional Arabic" w:cs="Traditional Arabic"/>
          <w:sz w:val="28"/>
          <w:szCs w:val="28"/>
        </w:rPr>
        <w:t>التقييم التفسيري داخل العينة (In-Sample Explanatory Assessment)</w:t>
      </w:r>
      <w:r>
        <w:rPr>
          <w:rFonts w:ascii="Traditional Arabic" w:hAnsi="Traditional Arabic" w:cs="Traditional Arabic"/>
          <w:sz w:val="28"/>
          <w:szCs w:val="28"/>
          <w:rtl/>
        </w:rPr>
        <w:t xml:space="preserve">، ويُستخدَم فيه معاملا R² وf² لبيان مدى قدرة النموذج على تفسير التباين ضمن بيانات العينة نفسها؛ والمحور الثاني هو </w:t>
      </w:r>
      <w:r>
        <w:rPr>
          <w:rFonts w:ascii="Traditional Arabic" w:hAnsi="Traditional Arabic" w:cs="Traditional Arabic"/>
          <w:sz w:val="28"/>
          <w:szCs w:val="28"/>
        </w:rPr>
        <w:t>التقييم التنبؤي خارج العينة (Out-of-Sample Predictive Assessment)</w:t>
      </w:r>
      <w:r>
        <w:rPr>
          <w:rFonts w:ascii="Traditional Arabic" w:hAnsi="Traditional Arabic" w:cs="Traditional Arabic"/>
          <w:sz w:val="28"/>
          <w:szCs w:val="28"/>
          <w:rtl/>
        </w:rPr>
        <w:t>، ويُستخدَم فيه إجراء PLSpredict للحكم على قدرة النموذج على التنبؤ ببيانات جديدة لم تُستخدم في تقدير النموذج. وفيما يلي تفصيل معايير كلا المحورين:</w:t>
      </w:r>
    </w:p>
    <w:p w14:paraId="1A1B1C1F" w14:textId="1A1B1C2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استكمالاً لمعيار </w:t>
      </w:r>
      <w:r>
        <w:rPr>
          <w:rFonts w:ascii="Traditional Arabic" w:hAnsi="Traditional Arabic" w:cs="Traditional Arabic"/>
          <w:sz w:val="28"/>
          <w:szCs w:val="28"/>
        </w:rPr>
        <w:t xml:space="preserve">HTMT </w:t>
      </w:r>
      <w:r>
        <w:rPr>
          <w:rFonts w:ascii="Traditional Arabic" w:hAnsi="Traditional Arabic" w:cs="Traditional Arabic"/>
          <w:sz w:val="28"/>
          <w:szCs w:val="28"/>
          <w:rtl/>
        </w:rPr>
        <w:t xml:space="preserve">للصدق التمايزي (بحد أقصى 0.85 أو 0.90 وفق سياق النموذج)، تُستخرج فترات الثقة الخاصة به عبر إجراء </w:t>
      </w:r>
      <w:r>
        <w:rPr>
          <w:rFonts w:ascii="Traditional Arabic" w:hAnsi="Traditional Arabic" w:cs="Traditional Arabic"/>
          <w:sz w:val="28"/>
          <w:szCs w:val="28"/>
        </w:rPr>
        <w:t xml:space="preserve">Bootstrap (5000 عينة) </w:t>
      </w:r>
      <w:r>
        <w:rPr>
          <w:rFonts w:ascii="Traditional Arabic" w:hAnsi="Traditional Arabic" w:cs="Traditional Arabic"/>
          <w:sz w:val="28"/>
          <w:szCs w:val="28"/>
          <w:rtl/>
        </w:rPr>
        <w:t xml:space="preserve">بحيث يُعدّ الصدق التمايزي متحققاً إذا لم تتضمن فترة الثقة (95%) القيمة (1). ولتقييم ملاءمة النموذج البنائي إجمالاً، يُحتسب مؤشر </w:t>
      </w:r>
      <w:r>
        <w:rPr>
          <w:rFonts w:ascii="Traditional Arabic" w:hAnsi="Traditional Arabic" w:cs="Traditional Arabic"/>
          <w:sz w:val="28"/>
          <w:szCs w:val="28"/>
        </w:rPr>
        <w:t>SRMR (Standardized Root Mean Square Residual)</w:t>
      </w:r>
      <w:r>
        <w:rPr>
          <w:rFonts w:ascii="Traditional Arabic" w:hAnsi="Traditional Arabic" w:cs="Traditional Arabic"/>
          <w:sz w:val="28"/>
          <w:szCs w:val="28"/>
          <w:rtl/>
        </w:rPr>
        <w:t xml:space="preserve">، على أن تقل قيمته عن (0.08) لاعتبار النموذج ملائماً </w:t>
      </w:r>
      <w:r>
        <w:rPr>
          <w:rFonts w:ascii="Traditional Arabic" w:hAnsi="Traditional Arabic" w:cs="Traditional Arabic"/>
          <w:sz w:val="28"/>
          <w:szCs w:val="28"/>
        </w:rPr>
        <w:t xml:space="preserve">(Henseler et al., 2016). </w:t>
      </w:r>
      <w:r>
        <w:rPr>
          <w:rFonts w:ascii="Traditional Arabic" w:hAnsi="Traditional Arabic" w:cs="Traditional Arabic"/>
          <w:sz w:val="28"/>
          <w:szCs w:val="28"/>
          <w:rtl/>
        </w:rPr>
        <w:t xml:space="preserve">أما القدرة التفسيرية للنموذج فتُقيَّم من خلال معامل التحديد </w:t>
      </w:r>
      <w:r>
        <w:rPr>
          <w:rFonts w:ascii="Traditional Arabic" w:hAnsi="Traditional Arabic" w:cs="Traditional Arabic"/>
          <w:sz w:val="28"/>
          <w:szCs w:val="28"/>
        </w:rPr>
        <w:t>(R²)</w:t>
      </w:r>
      <w:r>
        <w:rPr>
          <w:rFonts w:ascii="Traditional Arabic" w:hAnsi="Traditional Arabic" w:cs="Traditional Arabic"/>
          <w:sz w:val="28"/>
          <w:szCs w:val="28"/>
          <w:rtl/>
        </w:rPr>
        <w:t xml:space="preserve">، الذي تُفسَّر قيمه وفق (Hair et al., 2019) بأنها ضعيفة إذا قلّت عن (0.25)، ومتوسطة إذا تراوحت بين (0.25-0.50)، وقوية إذا تجاوزت (0.50)؛ وحجم الأثر </w:t>
      </w:r>
      <w:r>
        <w:rPr>
          <w:rFonts w:ascii="Traditional Arabic" w:hAnsi="Traditional Arabic" w:cs="Traditional Arabic"/>
          <w:sz w:val="28"/>
          <w:szCs w:val="28"/>
        </w:rPr>
        <w:t xml:space="preserve">(f²) </w:t>
      </w:r>
      <w:r>
        <w:rPr>
          <w:rFonts w:ascii="Traditional Arabic" w:hAnsi="Traditional Arabic" w:cs="Traditional Arabic"/>
          <w:sz w:val="28"/>
          <w:szCs w:val="28"/>
          <w:rtl/>
        </w:rPr>
        <w:t xml:space="preserve">الذي يُصنَّف إلى أثر صغير (0.02)، ومتوسط (0.15)، وكبير (0.35) وفق </w:t>
      </w:r>
      <w:r>
        <w:rPr>
          <w:rFonts w:ascii="Traditional Arabic" w:hAnsi="Traditional Arabic" w:cs="Traditional Arabic"/>
          <w:sz w:val="28"/>
          <w:szCs w:val="28"/>
        </w:rPr>
        <w:t xml:space="preserve">Cohen (1988). </w:t>
      </w:r>
      <w:r>
        <w:rPr>
          <w:rFonts w:ascii="Traditional Arabic" w:hAnsi="Traditional Arabic" w:cs="Traditional Arabic"/>
          <w:sz w:val="28"/>
          <w:szCs w:val="28"/>
          <w:rtl/>
        </w:rPr>
        <w:t xml:space="preserve">وتُختبَر القدرة التنبؤية للنموذج من خلال قيمة </w:t>
      </w:r>
      <w:r>
        <w:rPr>
          <w:rFonts w:ascii="Traditional Arabic" w:hAnsi="Traditional Arabic" w:cs="Traditional Arabic"/>
          <w:sz w:val="28"/>
          <w:szCs w:val="28"/>
        </w:rPr>
        <w:t xml:space="preserve">Q² </w:t>
      </w:r>
      <w:r>
        <w:rPr>
          <w:rFonts w:ascii="Traditional Arabic" w:hAnsi="Traditional Arabic" w:cs="Traditional Arabic"/>
          <w:sz w:val="28"/>
          <w:szCs w:val="28"/>
          <w:rtl/>
        </w:rPr>
        <w:t xml:space="preserve">التي تُحتسب باستخدام إجراء </w:t>
      </w:r>
      <w:r>
        <w:rPr>
          <w:rFonts w:ascii="Traditional Arabic" w:hAnsi="Traditional Arabic" w:cs="Traditional Arabic"/>
          <w:sz w:val="28"/>
          <w:szCs w:val="28"/>
        </w:rPr>
        <w:t xml:space="preserve">Blindfolding </w:t>
      </w:r>
      <w:r>
        <w:rPr>
          <w:rFonts w:ascii="Traditional Arabic" w:hAnsi="Traditional Arabic" w:cs="Traditional Arabic"/>
          <w:sz w:val="28"/>
          <w:szCs w:val="28"/>
          <w:rtl/>
        </w:rPr>
        <w:t xml:space="preserve">(بمسافة إزاحة D=7)، بحيث تشير القيم الأكبر من صفر إلى وجود قدرة تنبؤية، وتُصنَّف إلى ضعيفة (0.02)، ومتوسطة (0.15)، وقوية (0.35). ولتعزيز تقييم القدرة التنبؤية خارج العينة، تُستخدم إضافة إلى ذلك تقنية </w:t>
      </w:r>
      <w:r>
        <w:rPr>
          <w:rFonts w:ascii="Traditional Arabic" w:hAnsi="Traditional Arabic" w:cs="Traditional Arabic"/>
          <w:sz w:val="28"/>
          <w:szCs w:val="28"/>
        </w:rPr>
        <w:t>PLSpredict (Shmueli et al., 2019)</w:t>
      </w:r>
      <w:r>
        <w:rPr>
          <w:rFonts w:ascii="Traditional Arabic" w:hAnsi="Traditional Arabic" w:cs="Traditional Arabic"/>
          <w:sz w:val="28"/>
          <w:szCs w:val="28"/>
          <w:rtl/>
        </w:rPr>
        <w:t xml:space="preserve">، من خلال مقارنة قيم خطأ التنبؤ </w:t>
      </w:r>
      <w:r>
        <w:rPr>
          <w:rFonts w:ascii="Traditional Arabic" w:hAnsi="Traditional Arabic" w:cs="Traditional Arabic"/>
          <w:sz w:val="28"/>
          <w:szCs w:val="28"/>
        </w:rPr>
        <w:t xml:space="preserve">(RMSE) </w:t>
      </w:r>
      <w:r>
        <w:rPr>
          <w:rFonts w:ascii="Traditional Arabic" w:hAnsi="Traditional Arabic" w:cs="Traditional Arabic"/>
          <w:sz w:val="28"/>
          <w:szCs w:val="28"/>
          <w:rtl/>
        </w:rPr>
        <w:t xml:space="preserve">لنموذج </w:t>
      </w:r>
      <w:r>
        <w:rPr>
          <w:rFonts w:ascii="Traditional Arabic" w:hAnsi="Traditional Arabic" w:cs="Traditional Arabic"/>
          <w:sz w:val="28"/>
          <w:szCs w:val="28"/>
        </w:rPr>
        <w:t xml:space="preserve">PLS </w:t>
      </w:r>
      <w:r>
        <w:rPr>
          <w:rFonts w:ascii="Traditional Arabic" w:hAnsi="Traditional Arabic" w:cs="Traditional Arabic"/>
          <w:sz w:val="28"/>
          <w:szCs w:val="28"/>
          <w:rtl/>
        </w:rPr>
        <w:t>بنظيرتها للنموذج المرجعي الخطي</w:t>
      </w:r>
      <w:r>
        <w:rPr>
          <w:rFonts w:ascii="Traditional Arabic" w:hAnsi="Traditional Arabic" w:cs="Traditional Arabic"/>
          <w:sz w:val="28"/>
          <w:szCs w:val="28"/>
        </w:rPr>
        <w:t xml:space="preserve"> (Linear Model Benchmark - LM)</w:t>
      </w:r>
      <w:r>
        <w:rPr>
          <w:rFonts w:ascii="Traditional Arabic" w:hAnsi="Traditional Arabic" w:cs="Traditional Arabic"/>
          <w:sz w:val="28"/>
          <w:szCs w:val="28"/>
          <w:rtl/>
        </w:rPr>
        <w:t xml:space="preserve"> الذي يُخرِجه برنامج </w:t>
      </w:r>
      <w:r>
        <w:rPr>
          <w:rFonts w:ascii="Traditional Arabic" w:hAnsi="Traditional Arabic" w:cs="Traditional Arabic"/>
          <w:sz w:val="28"/>
          <w:szCs w:val="28"/>
        </w:rPr>
        <w:t xml:space="preserve">SmartPLS </w:t>
      </w:r>
      <w:r>
        <w:rPr>
          <w:rFonts w:ascii="Traditional Arabic" w:hAnsi="Traditional Arabic" w:cs="Traditional Arabic"/>
          <w:sz w:val="28"/>
          <w:szCs w:val="28"/>
          <w:rtl/>
        </w:rPr>
        <w:t xml:space="preserve">تلقائياً على مستوى كل مؤشر ضمن إجراء PLSpredict نفسه (لا نموذج انحدار خطي بسيط منفصل بالمعنى التقليدي)، بحيث تشير الأفضلية المتكررة لنموذج </w:t>
      </w:r>
      <w:r>
        <w:rPr>
          <w:rFonts w:ascii="Traditional Arabic" w:hAnsi="Traditional Arabic" w:cs="Traditional Arabic"/>
          <w:sz w:val="28"/>
          <w:szCs w:val="28"/>
        </w:rPr>
        <w:t xml:space="preserve">PLS </w:t>
      </w:r>
      <w:r>
        <w:rPr>
          <w:rFonts w:ascii="Traditional Arabic" w:hAnsi="Traditional Arabic" w:cs="Traditional Arabic"/>
          <w:sz w:val="28"/>
          <w:szCs w:val="28"/>
          <w:rtl/>
        </w:rPr>
        <w:t xml:space="preserve">إلى قدرة تنبؤية مرتفعة. وفي ختام هذا المبحث، سيُعرَض في الفصل الرابع جدول يربط كل فرض من فروض الدراسة </w:t>
      </w:r>
      <w:r>
        <w:rPr>
          <w:rFonts w:ascii="Traditional Arabic" w:hAnsi="Traditional Arabic" w:cs="Traditional Arabic"/>
          <w:sz w:val="28"/>
          <w:szCs w:val="28"/>
          <w:rtl/>
        </w:rPr>
        <w:lastRenderedPageBreak/>
        <w:t>بمساره الإحصائي المقابل في النموذج البنائي وأسلوب اختباره (تأثير مباشر عبر معامل المسار وقيمة t، أو تأثير غير مباشر عبر Bootstrap)، بما يضمن تتبعاً واضحاً ومباشراً بين الفروض النظرية ونتائجها الإحصائية.</w:t>
      </w:r>
    </w:p>
    <w:p w14:paraId="57E2A2DB" w14:textId="2F38FF18" w:rsidR="009A71C7" w:rsidRPr="00253EFE" w:rsidRDefault="009A71C7" w:rsidP="00B7711D">
      <w:pPr>
        <w:pStyle w:val="ListParagraph"/>
        <w:numPr>
          <w:ilvl w:val="0"/>
          <w:numId w:val="8"/>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اختبار الانحياز الشائع للمصدر الواحد</w:t>
      </w:r>
      <w:r>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hint="cs"/>
          <w:color w:val="2F5496" w:themeColor="accent1" w:themeShade="BF"/>
          <w:sz w:val="32"/>
          <w:szCs w:val="32"/>
          <w:rtl/>
        </w:rPr>
        <w:t xml:space="preserve"> </w:t>
      </w:r>
      <w:r>
        <w:rPr>
          <w:rFonts w:asciiTheme="majorHAnsi" w:eastAsiaTheme="majorEastAsia" w:hAnsiTheme="majorHAnsi" w:cstheme="majorBidi"/>
          <w:color w:val="2F5496" w:themeColor="accent1" w:themeShade="BF"/>
          <w:sz w:val="32"/>
          <w:szCs w:val="32"/>
        </w:rPr>
        <w:t>(Common Method Bias)</w:t>
      </w:r>
      <w:r>
        <w:rPr>
          <w:rFonts w:ascii="Traditional Arabic" w:hAnsi="Traditional Arabic" w:cs="Traditional Arabic" w:hint="cs"/>
          <w:sz w:val="28"/>
          <w:szCs w:val="28"/>
          <w:rtl/>
        </w:rPr>
        <w:t xml:space="preserve"> </w:t>
      </w:r>
    </w:p>
    <w:p w14:paraId="76A29D8E" w14:textId="57B3CB97" w:rsidR="009A71C7" w:rsidRPr="00943C1C" w:rsidRDefault="009A71C7" w:rsidP="004D466C">
      <w:pPr>
        <w:bidi/>
        <w:jc w:val="both"/>
        <w:rPr>
          <w:rFonts w:ascii="Traditional Arabic" w:hAnsi="Traditional Arabic" w:cs="Traditional Arabic"/>
          <w:sz w:val="28"/>
          <w:szCs w:val="28"/>
          <w:rtl/>
        </w:rPr>
      </w:pPr>
      <w:r>
        <w:rPr>
          <w:rFonts w:ascii="Traditional Arabic" w:hAnsi="Traditional Arabic" w:cs="Traditional Arabic"/>
          <w:sz w:val="28"/>
          <w:szCs w:val="28"/>
          <w:rtl/>
        </w:rPr>
        <w:t>للحدّ من تأثير انحياز المصدر الواحد – وهو مخاطرة منهجية شائعة في الدراسات الاستبانية – اتخذت الدراسة جملةً من الإجراءات الوقائية، أبرزها: التحقق من نتائج اختبار</w:t>
      </w:r>
      <w:r>
        <w:rPr>
          <w:rFonts w:ascii="Traditional Arabic" w:hAnsi="Traditional Arabic" w:cs="Traditional Arabic"/>
          <w:sz w:val="28"/>
          <w:szCs w:val="28"/>
        </w:rPr>
        <w:t xml:space="preserve"> Harman's Single Factor Test</w:t>
      </w:r>
      <w:r>
        <w:rPr>
          <w:rFonts w:ascii="Traditional Arabic" w:hAnsi="Traditional Arabic" w:cs="Traditional Arabic"/>
          <w:sz w:val="28"/>
          <w:szCs w:val="28"/>
          <w:rtl/>
        </w:rPr>
        <w:t>، وإجراء اختبار تضخم التباين</w:t>
      </w:r>
      <w:r>
        <w:rPr>
          <w:rFonts w:ascii="Traditional Arabic" w:hAnsi="Traditional Arabic" w:cs="Traditional Arabic"/>
          <w:sz w:val="28"/>
          <w:szCs w:val="28"/>
        </w:rPr>
        <w:t xml:space="preserve"> (VIF) </w:t>
      </w:r>
      <w:r>
        <w:rPr>
          <w:rFonts w:ascii="Traditional Arabic" w:hAnsi="Traditional Arabic" w:cs="Traditional Arabic"/>
          <w:sz w:val="28"/>
          <w:szCs w:val="28"/>
          <w:rtl/>
        </w:rPr>
        <w:t>للكشف عن حالات التعددية الخطية، واستخدام صيغة ضمان الحياد في صياغة الفقرات، إضافة إلى التمييز الواضح بين الأغراض البحثية والمعلومات التعريفية للمستجيب</w:t>
      </w:r>
      <w:r>
        <w:rPr>
          <w:rFonts w:ascii="Traditional Arabic" w:hAnsi="Traditional Arabic" w:cs="Traditional Arabic"/>
          <w:sz w:val="28"/>
          <w:szCs w:val="28"/>
        </w:rPr>
        <w:t>.</w:t>
      </w:r>
    </w:p>
    <w:p w14:paraId="2E3F4A5B" w14:textId="2E3F4A5C"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ونظراً لما وُجِّه لاختبار </w:t>
      </w:r>
      <w:r>
        <w:rPr>
          <w:rFonts w:ascii="Traditional Arabic" w:hAnsi="Traditional Arabic" w:cs="Traditional Arabic"/>
          <w:sz w:val="28"/>
          <w:szCs w:val="28"/>
        </w:rPr>
        <w:t xml:space="preserve">Harman's Single Factor Test </w:t>
      </w:r>
      <w:r>
        <w:rPr>
          <w:rFonts w:ascii="Traditional Arabic" w:hAnsi="Traditional Arabic" w:cs="Traditional Arabic"/>
          <w:sz w:val="28"/>
          <w:szCs w:val="28"/>
          <w:rtl/>
        </w:rPr>
        <w:t xml:space="preserve">من انتقادات منهجية بوصفه اختباراً تشخيصياً أولياً غير كافٍ بمفرده، لا تكتفي الدراسة به، بل تستكمله بإجراء اختبار التعددية الخطية الشامل </w:t>
      </w:r>
      <w:r>
        <w:rPr>
          <w:rFonts w:ascii="Traditional Arabic" w:hAnsi="Traditional Arabic" w:cs="Traditional Arabic"/>
          <w:sz w:val="28"/>
          <w:szCs w:val="28"/>
        </w:rPr>
        <w:t xml:space="preserve">(Full Collinearity VIF Test) </w:t>
      </w:r>
      <w:r>
        <w:rPr>
          <w:rFonts w:ascii="Traditional Arabic" w:hAnsi="Traditional Arabic" w:cs="Traditional Arabic"/>
          <w:sz w:val="28"/>
          <w:szCs w:val="28"/>
          <w:rtl/>
        </w:rPr>
        <w:t xml:space="preserve">الذي يتم فيه احتساب معامل تضخم التباين لكل متغير كامن في مواجهة متغير وهمي مشترك، بحيث تشير القيم الأقل من (3.3) إلى مؤشر تشخيصي داعم يقلل احتمالية وجود انحياز جوهري ناتج عن المصدر الواحد أو أي عامل مشترك آخر، لا دليلاً قاطعاً على غيابه بصورة كاملة </w:t>
      </w:r>
      <w:r>
        <w:rPr>
          <w:rFonts w:ascii="Traditional Arabic" w:hAnsi="Traditional Arabic" w:cs="Traditional Arabic"/>
          <w:sz w:val="28"/>
          <w:szCs w:val="28"/>
        </w:rPr>
        <w:t>(Kock, 2015)</w:t>
      </w:r>
      <w:r>
        <w:rPr>
          <w:rFonts w:ascii="Traditional Arabic" w:hAnsi="Traditional Arabic" w:cs="Traditional Arabic"/>
          <w:sz w:val="28"/>
          <w:szCs w:val="28"/>
          <w:rtl/>
        </w:rPr>
        <w:t>؛ وتبقى الإجراءات الوقائية (التصميمية) المتخذة مسبقاً في بناء الأداة - كضمان الحياد في صياغة الفقرات، والتباعد الزمني والمكاني النسبي بين قياس المتغيرات المستقلة والتابعة، والتمييز الواضح بين الأغراض البحثية والمعلومات التعريفية - هي خط الدفاع الأساسي والأكثر فاعلية ضد انحياز الطريقة المشتركة، فيما تبقى الاختبارات الإحصائية اللاحقة (Harman وVIF الشامل) وسيلة تشخيصية مكمِّلة لا بديلاً عنها. وبذلك تجمع الدراسة بين إجراءات وقائية (تصميمية) وإجراءات تشخيصية إحصائية متعددة لمعالجة انحياز الطريقة المشتركة معالجةً متكاملة، بدلاً من الاكتفاء باختبار واحد.</w:t>
      </w:r>
    </w:p>
    <w:p w14:paraId="578342ED" w14:textId="77777777" w:rsidR="009A71C7" w:rsidRPr="00F012EB" w:rsidRDefault="009A71C7" w:rsidP="00F012EB">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ثامناً: الاعتبارات الأخلاقية للبحث</w:t>
      </w:r>
    </w:p>
    <w:p w14:paraId="61AB5F21" w14:textId="77777777" w:rsidR="009A71C7" w:rsidRPr="005C793B" w:rsidRDefault="009A71C7" w:rsidP="005C793B">
      <w:pPr>
        <w:tabs>
          <w:tab w:val="num" w:pos="360"/>
        </w:tabs>
        <w:bidi/>
        <w:jc w:val="both"/>
        <w:rPr>
          <w:rFonts w:ascii="Traditional Arabic" w:hAnsi="Traditional Arabic" w:cs="Traditional Arabic"/>
          <w:sz w:val="28"/>
          <w:szCs w:val="28"/>
          <w:rtl/>
        </w:rPr>
      </w:pPr>
      <w:r>
        <w:rPr>
          <w:rFonts w:ascii="Traditional Arabic" w:hAnsi="Traditional Arabic" w:cs="Traditional Arabic"/>
          <w:sz w:val="28"/>
          <w:szCs w:val="28"/>
          <w:rtl/>
        </w:rPr>
        <w:t>التزمت الدراسة بمنظومة الاعتبارات الأخلاقية التي تحكم البحث العلمي، ومن أبرزها</w:t>
      </w:r>
      <w:r>
        <w:rPr>
          <w:rFonts w:ascii="Traditional Arabic" w:hAnsi="Traditional Arabic" w:cs="Traditional Arabic"/>
          <w:sz w:val="28"/>
          <w:szCs w:val="28"/>
        </w:rPr>
        <w:t>:</w:t>
      </w:r>
    </w:p>
    <w:p w14:paraId="066D5773" w14:textId="57152306"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الحصول على الموافقة الطوعية المستنيرة</w:t>
      </w:r>
      <w:r>
        <w:rPr>
          <w:rFonts w:ascii="Traditional Arabic" w:hAnsi="Traditional Arabic" w:cs="Traditional Arabic"/>
          <w:sz w:val="28"/>
          <w:szCs w:val="28"/>
        </w:rPr>
        <w:t xml:space="preserve"> (Informed Consent) </w:t>
      </w:r>
      <w:r>
        <w:rPr>
          <w:rFonts w:ascii="Traditional Arabic" w:hAnsi="Traditional Arabic" w:cs="Traditional Arabic"/>
          <w:sz w:val="28"/>
          <w:szCs w:val="28"/>
          <w:rtl/>
        </w:rPr>
        <w:t>من جميع المشاركين في الدراسة قبل توزيع الاستبانة، وإبلاغهم بأهداف البحث وأحقيتهم في الانسحاب في أي وقت</w:t>
      </w:r>
      <w:r>
        <w:rPr>
          <w:rFonts w:ascii="Traditional Arabic" w:hAnsi="Traditional Arabic" w:cs="Traditional Arabic"/>
          <w:sz w:val="28"/>
          <w:szCs w:val="28"/>
        </w:rPr>
        <w:t>.</w:t>
      </w:r>
    </w:p>
    <w:p w14:paraId="2BC07DD1" w14:textId="6994359F"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صون سرية المعلومات الشخصية للمستجيبين وعدم الإفصاح عن هوياتهم، والاكتفاء بالبيانات المجمّعة في التحليل والتقرير</w:t>
      </w:r>
      <w:r>
        <w:rPr>
          <w:rFonts w:ascii="Traditional Arabic" w:hAnsi="Traditional Arabic" w:cs="Traditional Arabic"/>
          <w:sz w:val="28"/>
          <w:szCs w:val="28"/>
        </w:rPr>
        <w:t>.</w:t>
      </w:r>
    </w:p>
    <w:p w14:paraId="12A786C2" w14:textId="55F790C5"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التأكد من توظيف البيانات لأغراض بحثية بحتة، بما يتوافق مع معايير النزاهة الأكاديمية المعتمدة في جامعة ميدأوشن</w:t>
      </w:r>
      <w:r>
        <w:rPr>
          <w:rFonts w:ascii="Traditional Arabic" w:hAnsi="Traditional Arabic" w:cs="Traditional Arabic"/>
          <w:sz w:val="28"/>
          <w:szCs w:val="28"/>
        </w:rPr>
        <w:t>.</w:t>
      </w:r>
    </w:p>
    <w:p w14:paraId="3FE96D0F" w14:textId="656C845E"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الإفصاح الأمين عن منهجية البحث وإجراءاته ونتائجه دون تحريف أو تزوير</w:t>
      </w:r>
      <w:r>
        <w:rPr>
          <w:rFonts w:ascii="Traditional Arabic" w:hAnsi="Traditional Arabic" w:cs="Traditional Arabic"/>
          <w:sz w:val="28"/>
          <w:szCs w:val="28"/>
        </w:rPr>
        <w:t>.</w:t>
      </w:r>
    </w:p>
    <w:p w14:paraId="4B024CC9" w14:textId="6B8BEAF3"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التوثيق الكامل للمصادر والمراجع واستخدام أسلوب الإسناد العلمي المتعارف عليه</w:t>
      </w:r>
      <w:r>
        <w:rPr>
          <w:rFonts w:ascii="Traditional Arabic" w:hAnsi="Traditional Arabic" w:cs="Traditional Arabic"/>
          <w:sz w:val="28"/>
          <w:szCs w:val="28"/>
        </w:rPr>
        <w:t>.</w:t>
      </w:r>
    </w:p>
    <w:p w14:paraId="4B024CCA" w14:textId="4B024CCB"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الحصول على الموافقة الأخلاقية اللازمة من لجنة أخلاقيات البحث العلمي بجامعة ميدأوشن قبل الشروع في جمع البيانات الميدانية، على أن يُدرَج رقم الموافقة وتاريخها في هذا الموضع فور صدورها؛ ولا يجوز بأي حال البدء بتوزيع الاستبانة أو إجراء أي مقابلة قبل الحصول على هذه الموافقة الفعلية موقَّعة من اللجنة، إذ يُعدّ ذلك شرطاً مسبقاً وملزماً (Prerequisite) للشروع في أي إجراء ميداني، لا مجرد إجراء موازٍ أو لاحق له.</w:t>
      </w:r>
    </w:p>
    <w:p w14:paraId="4B024CCC" w14:textId="4B024CCD"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lastRenderedPageBreak/>
        <w:t>تُؤخذ الموافقة المستنيرة إلكترونياً من مستجيبي الاستبانة (كخطوة أولى ضمن نموذج الاستبانة الإلكتروني لا تُتاح المشاركة دونها) ومن المشاركين في المقابلات (شفهياً وإلكترونياً قبل بدء كل مقابلة)، بحيث يُفصح للمشارك عن أهداف الدراسة وطوعية المشاركة وحقه في الانسحاب دون أي التزام.</w:t>
      </w:r>
    </w:p>
    <w:p w14:paraId="4B024CCE" w14:textId="4B024CCF"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تُحفَظ استجابات الاستبانة والملاحظات الميدانية المدوَّنة من المقابلات في ملفات إلكترونية مشفَّرة يقتصر الوصول إليها على الباحث ومشرف الدراسة، وذلك لمدة لا تقل عن خمس سنوات من تاريخ إتمام الدراسة تماشياً مع سياسة جامعة ميدأوشن للنزاهة البحثية، على أن تُحذف بعد ذلك أو تُجرَّد من أي بيانات تعريفية.</w:t>
      </w:r>
    </w:p>
    <w:p w14:paraId="4B024CD0" w14:textId="4B024CD1"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حماية البيانات التعريفية للمشاركين في المقابلات، إذ تُدوَّن الملاحظات الميدانية برموز مجهَّلة (مثل: مشارك 1، مشارك 2) دون ربطها بأسماء المشاركين أو مسمياتهم الوظيفية الدقيقة في أي مرحلة من مراحل التحليل أو التقرير النهائي.</w:t>
      </w:r>
    </w:p>
    <w:p w14:paraId="32489ED3" w14:textId="77777777" w:rsidR="009A71C7" w:rsidRPr="005C793B" w:rsidRDefault="009A71C7" w:rsidP="005C793B">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تاسعاً: خلاصة الفصل</w:t>
      </w:r>
    </w:p>
    <w:p w14:paraId="2701DC65"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استعرض هذا الفصل المنهجية البحثية التي اعتمدتها الدراسة في السعي نحو اختبار نموذج الحوكمة الذكية المقترح لأصول البنية التحتية المائية. وقد كشف هذا العرض عن تصميم بحثي متكامل يُوازن بين الريادة الكمية عبر</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والغنى النوعي عبر المقابلات التخصصية، مما يُعزز موثوقية النتائج وقدرتها التفسيرية</w:t>
      </w:r>
      <w:r>
        <w:rPr>
          <w:rFonts w:ascii="Traditional Arabic" w:hAnsi="Traditional Arabic" w:cs="Traditional Arabic"/>
          <w:sz w:val="28"/>
          <w:szCs w:val="28"/>
        </w:rPr>
        <w:t>.</w:t>
      </w:r>
    </w:p>
    <w:p w14:paraId="228B87F4" w14:textId="0D70DD12" w:rsidR="00BC7588"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كما تضمنت إجراءات الدراسة معايير صارمة في اختيار العينة وتطوير أداة القياس والتحقق من خصائصها السيكومترية، فضلاً عن الالتزام بالاعتبارات الأخلاقية الحاكمة للبحث العلمي، وهو ما يُرسي قاعدة منهجية متينة للانتقال نحو مرحلة جمع البيانات الميدانية وتحليلها، التي يتناولها الفصل الرابع بالتفصيل.</w:t>
      </w:r>
    </w:p>
    <w:p w14:paraId="2D029801" w14:textId="2D029802" w:rsidR="00CD23D5" w:rsidRPr="00DB0AFE" w:rsidRDefault="00CD23D5" w:rsidP="00D9499A">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تنويه منهجي بشأن طبيعة العلاقات المختبرة: </w:t>
      </w:r>
      <w:r>
        <w:rPr>
          <w:rFonts w:ascii="Traditional Arabic" w:hAnsi="Traditional Arabic" w:cs="Traditional Arabic"/>
          <w:sz w:val="28"/>
          <w:szCs w:val="28"/>
          <w:rtl/>
        </w:rPr>
        <w:t>تجدر الإشارة إلى أن التصميم الكمي المعتمد في هذه الدراسة تصميمٌ مقطعي</w:t>
      </w:r>
      <w:r>
        <w:rPr>
          <w:rFonts w:ascii="Traditional Arabic" w:hAnsi="Traditional Arabic" w:cs="Traditional Arabic"/>
          <w:sz w:val="28"/>
          <w:szCs w:val="28"/>
        </w:rPr>
        <w:t xml:space="preserve"> (Cross-Sectional) </w:t>
      </w:r>
      <w:r>
        <w:rPr>
          <w:rFonts w:ascii="Traditional Arabic" w:hAnsi="Traditional Arabic" w:cs="Traditional Arabic"/>
          <w:sz w:val="28"/>
          <w:szCs w:val="28"/>
          <w:rtl/>
        </w:rPr>
        <w:t>يعتمد على استجابات ذاتية تُجمَع في نقطة زمنية واحدة، وليس تصميماً تجريبياً أو طولياً يسمح بالتحكم في المتغيرات أو تتبع التغير عبر الزمن. وبناءً على ذلك، فإن مصطلحات "الأثر" و"التأثير" و"العلاقة السببية" الواردة في نموذج الدراسة وفروضها تُستخدم بمعناها الإحصائي ضمن منهجية</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(أي دلالة معامل المسار واتجاهه استناداً إلى نموذج نظري مُفترَض مسبقاً)، لا بمعناها التجريبي الصارم الذي يستلزم التحكم الزمني والعشوائية في التعيين. وعليه، ينبغي تفسير نتائج اختبار الفروض في الفصل الرابع بوصفها دعماً إحصائياً للعلاقات النظرية المفترضة ضمن حدود التصميم المقطعي، لا إثباتاً قاطعاً للسببية بين المتغيرات.</w:t>
      </w:r>
    </w:p>
    <w:p w14:paraId="2D029800" w14:textId="188D65DE" w:rsidR="00CD23D5" w:rsidRPr="00DB0AFE" w:rsidRDefault="00CD23D5" w:rsidP="00D9499A">
      <w:pPr>
        <w:pStyle w:val="Heading1"/>
        <w:bidi/>
        <w:rPr>
          <w:rFonts w:ascii="Traditional Arabic" w:eastAsia="Times New Roman" w:hAnsi="Traditional Arabic" w:cs="Traditional Arabic"/>
          <w:b/>
          <w:bCs/>
          <w:rtl/>
        </w:rPr>
      </w:pPr>
      <w:bookmarkStart w:id="14" w:name="_Toc218160627"/>
      <w:r>
        <w:rPr>
          <w:rFonts w:ascii="Traditional Arabic" w:eastAsia="Times New Roman" w:hAnsi="Traditional Arabic" w:cs="Traditional Arabic"/>
          <w:b/>
          <w:bCs/>
          <w:rtl/>
        </w:rPr>
        <w:lastRenderedPageBreak/>
        <w:t>الفصل الرابع</w:t>
      </w:r>
      <w:bookmarkEnd w:id="14"/>
    </w:p>
    <w:p w14:paraId="19E51437" w14:textId="518D18DE" w:rsidR="00CD23D5" w:rsidRPr="00DB0AFE" w:rsidRDefault="00CD23D5" w:rsidP="00D9499A">
      <w:pPr>
        <w:pStyle w:val="Heading1"/>
        <w:bidi/>
        <w:rPr>
          <w:rFonts w:ascii="Traditional Arabic" w:eastAsia="Times New Roman" w:hAnsi="Traditional Arabic" w:cs="Traditional Arabic"/>
          <w:b/>
          <w:bCs/>
          <w:rtl/>
        </w:rPr>
      </w:pPr>
      <w:bookmarkStart w:id="15" w:name="_Toc218160628"/>
      <w:r>
        <w:rPr>
          <w:rFonts w:ascii="Traditional Arabic" w:eastAsia="Times New Roman" w:hAnsi="Traditional Arabic" w:cs="Traditional Arabic"/>
          <w:b/>
          <w:bCs/>
          <w:rtl/>
        </w:rPr>
        <w:t>الفصل الخامس</w:t>
      </w:r>
      <w:bookmarkEnd w:id="15"/>
      <w:r>
        <w:rPr>
          <w:rFonts w:ascii="Traditional Arabic" w:eastAsia="Times New Roman" w:hAnsi="Traditional Arabic" w:cs="Traditional Arabic"/>
          <w:b/>
          <w:bCs/>
          <w:rtl/>
        </w:rPr>
        <w:t xml:space="preserve"> </w:t>
      </w:r>
    </w:p>
    <w:p w14:paraId="12ECF9AE" w14:textId="7F10D28E" w:rsidR="00D9499A" w:rsidRPr="00DB0AFE" w:rsidRDefault="00D9499A" w:rsidP="00D9499A">
      <w:pPr>
        <w:pStyle w:val="Heading1"/>
        <w:bidi/>
        <w:rPr>
          <w:rFonts w:ascii="Traditional Arabic" w:eastAsia="Times New Roman" w:hAnsi="Traditional Arabic" w:cs="Traditional Arabic"/>
          <w:b/>
          <w:bCs/>
          <w:rtl/>
        </w:rPr>
      </w:pPr>
      <w:bookmarkStart w:id="16" w:name="_Toc218160629"/>
      <w:r>
        <w:rPr>
          <w:rFonts w:ascii="Traditional Arabic" w:eastAsia="Times New Roman" w:hAnsi="Traditional Arabic" w:cs="Traditional Arabic"/>
          <w:b/>
          <w:bCs/>
          <w:rtl/>
        </w:rPr>
        <w:t>المستخلص والتوصيات</w:t>
      </w:r>
      <w:bookmarkEnd w:id="16"/>
    </w:p>
    <w:p w14:paraId="5CDFFEA5" w14:textId="22E91782" w:rsidR="00D9499A" w:rsidRPr="00DB0AFE" w:rsidRDefault="00D9499A" w:rsidP="00D9499A">
      <w:pPr>
        <w:pStyle w:val="Heading1"/>
        <w:bidi/>
        <w:rPr>
          <w:rFonts w:ascii="Traditional Arabic" w:eastAsia="Times New Roman" w:hAnsi="Traditional Arabic" w:cs="Traditional Arabic"/>
          <w:b/>
          <w:bCs/>
          <w:rtl/>
        </w:rPr>
      </w:pPr>
      <w:bookmarkStart w:id="17" w:name="_Toc218160630"/>
      <w:r>
        <w:rPr>
          <w:rFonts w:ascii="Traditional Arabic" w:eastAsia="Times New Roman" w:hAnsi="Traditional Arabic" w:cs="Traditional Arabic"/>
          <w:b/>
          <w:bCs/>
          <w:rtl/>
        </w:rPr>
        <w:t>قائمة المراجع</w:t>
      </w:r>
      <w:bookmarkEnd w:id="17"/>
    </w:p>
    <w:p w14:paraId="4E1CE682" w14:textId="22F1CFB3" w:rsidR="00D9499A" w:rsidRDefault="00D9499A" w:rsidP="00D9499A">
      <w:pPr>
        <w:pStyle w:val="Heading1"/>
        <w:bidi/>
        <w:rPr>
          <w:rFonts w:ascii="Traditional Arabic" w:eastAsia="Times New Roman" w:hAnsi="Traditional Arabic" w:cs="Traditional Arabic"/>
          <w:b/>
          <w:bCs/>
          <w:rtl/>
        </w:rPr>
      </w:pPr>
      <w:bookmarkStart w:id="18" w:name="_Toc218160631"/>
      <w:r>
        <w:rPr>
          <w:rFonts w:ascii="Traditional Arabic" w:eastAsia="Times New Roman" w:hAnsi="Traditional Arabic" w:cs="Traditional Arabic"/>
          <w:b/>
          <w:bCs/>
          <w:rtl/>
        </w:rPr>
        <w:t>قائمة الملاحق</w:t>
      </w:r>
      <w:bookmarkEnd w:id="18"/>
      <w:r>
        <w:rPr>
          <w:rFonts w:ascii="Traditional Arabic" w:eastAsia="Times New Roman" w:hAnsi="Traditional Arabic" w:cs="Traditional Arabic"/>
          <w:b/>
          <w:bCs/>
          <w:rtl/>
        </w:rPr>
        <w:t xml:space="preserve"> </w:t>
      </w:r>
    </w:p>
    <w:sectPr w:rsidR="00D9499A" w:rsidSect="00DD73BF">
      <w:headerReference w:type="even" r:id="rId12"/>
      <w:footerReference w:type="default" r:id="rId13"/>
      <w:headerReference w:type="first" r:id="rId14"/>
      <w:pgSz w:w="11906" w:h="16838"/>
      <w:pgMar w:top="1134" w:right="1274" w:bottom="1440" w:left="1418"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7E7C3" w14:textId="77777777" w:rsidR="00B40111" w:rsidRDefault="00B40111" w:rsidP="00EF73E8">
      <w:pPr>
        <w:spacing w:after="0" w:line="240" w:lineRule="auto"/>
      </w:pPr>
      <w:r>
        <w:separator/>
      </w:r>
    </w:p>
  </w:endnote>
  <w:endnote w:type="continuationSeparator" w:id="0">
    <w:p w14:paraId="71D1803A" w14:textId="77777777" w:rsidR="00B40111" w:rsidRDefault="00B40111" w:rsidP="00EF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602542"/>
      <w:docPartObj>
        <w:docPartGallery w:val="Page Numbers (Bottom of Page)"/>
        <w:docPartUnique/>
      </w:docPartObj>
    </w:sdtPr>
    <w:sdtEndPr/>
    <w:sdtContent>
      <w:p w14:paraId="15FC674C" w14:textId="455E3644" w:rsidR="00957446" w:rsidRDefault="00957446">
        <w:pPr>
          <w:pStyle w:val="Footer"/>
          <w:jc w:val="center"/>
        </w:pPr>
        <w:r>
          <w:fldChar w:fldCharType="begin"/>
        </w:r>
        <w:r>
          <w:instrText>PAGE   \* MERGEFORMAT</w:instrText>
        </w:r>
        <w:r>
          <w:fldChar w:fldCharType="separate"/>
        </w:r>
        <w:r>
          <w:rPr>
            <w:rtl/>
            <w:lang w:val="ar-SA"/>
          </w:rPr>
          <w:t>2</w:t>
        </w:r>
        <w:r>
          <w:fldChar w:fldCharType="end"/>
        </w:r>
      </w:p>
    </w:sdtContent>
  </w:sdt>
  <w:p w14:paraId="657A6BF4" w14:textId="3628F9FD" w:rsidR="00957446" w:rsidRDefault="009574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1D0A5" w14:textId="77777777" w:rsidR="00B40111" w:rsidRDefault="00B40111" w:rsidP="00EF73E8">
      <w:pPr>
        <w:spacing w:after="0" w:line="240" w:lineRule="auto"/>
      </w:pPr>
      <w:r>
        <w:separator/>
      </w:r>
    </w:p>
  </w:footnote>
  <w:footnote w:type="continuationSeparator" w:id="0">
    <w:p w14:paraId="7F14F772" w14:textId="77777777" w:rsidR="00B40111" w:rsidRDefault="00B40111" w:rsidP="00EF7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04BE2" w14:textId="6E568697" w:rsidR="00F76D05" w:rsidRDefault="00F76D05" w:rsidP="00F76D05">
    <w:pPr>
      <w:pStyle w:val="Header"/>
      <w:jc w:val="center"/>
    </w:pPr>
    <w:fldSimple w:instr=" DOCPROPERTY SecloreClassificationHeaderTextValue \* MERGEFORMAT ">
      <w:r w:rsidRPr="00F76D05">
        <w:rPr>
          <w:color w:val="91C47D"/>
          <w:sz w:val="24"/>
        </w:rPr>
        <w:t xml:space="preserve">Public / </w:t>
      </w:r>
      <w:r w:rsidRPr="00F76D05">
        <w:rPr>
          <w:color w:val="91C47D"/>
          <w:sz w:val="24"/>
          <w:rtl/>
        </w:rPr>
        <w:t>عام</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C1178" w14:textId="5987B16D" w:rsidR="00F76D05" w:rsidRDefault="00F76D05" w:rsidP="00F76D05">
    <w:pPr>
      <w:pStyle w:val="Header"/>
      <w:jc w:val="center"/>
    </w:pPr>
    <w:fldSimple w:instr=" DOCPROPERTY SecloreClassificationHeaderTextValue \* MERGEFORMAT ">
      <w:r w:rsidRPr="00F76D05">
        <w:rPr>
          <w:color w:val="91C47D"/>
          <w:sz w:val="24"/>
        </w:rPr>
        <w:t xml:space="preserve">Public / </w:t>
      </w:r>
      <w:r w:rsidRPr="00F76D05">
        <w:rPr>
          <w:color w:val="91C47D"/>
          <w:sz w:val="24"/>
          <w:rtl/>
        </w:rPr>
        <w:t>عام</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60E14"/>
    <w:multiLevelType w:val="hybridMultilevel"/>
    <w:tmpl w:val="B192A08A"/>
    <w:lvl w:ilvl="0" w:tplc="B7805DE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A50C0"/>
    <w:multiLevelType w:val="multilevel"/>
    <w:tmpl w:val="3CDA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F2767"/>
    <w:multiLevelType w:val="hybridMultilevel"/>
    <w:tmpl w:val="32460BA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931F1"/>
    <w:multiLevelType w:val="multilevel"/>
    <w:tmpl w:val="37145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A034EC"/>
    <w:multiLevelType w:val="multilevel"/>
    <w:tmpl w:val="E2CA0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8E2712"/>
    <w:multiLevelType w:val="multilevel"/>
    <w:tmpl w:val="73AAB9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E57EEF"/>
    <w:multiLevelType w:val="hybridMultilevel"/>
    <w:tmpl w:val="E4E0EE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E25EBA"/>
    <w:multiLevelType w:val="multilevel"/>
    <w:tmpl w:val="B2004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3425C4"/>
    <w:multiLevelType w:val="hybridMultilevel"/>
    <w:tmpl w:val="DC1007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A57384D"/>
    <w:multiLevelType w:val="hybridMultilevel"/>
    <w:tmpl w:val="AC665A6A"/>
    <w:lvl w:ilvl="0" w:tplc="A8126B84">
      <w:start w:val="1"/>
      <w:numFmt w:val="arabicAlpha"/>
      <w:lvlText w:val="%1-"/>
      <w:lvlJc w:val="center"/>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EA3F73"/>
    <w:multiLevelType w:val="multilevel"/>
    <w:tmpl w:val="CA024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6D18F8"/>
    <w:multiLevelType w:val="hybridMultilevel"/>
    <w:tmpl w:val="557A9AC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162A3A"/>
    <w:multiLevelType w:val="multilevel"/>
    <w:tmpl w:val="6728FC2E"/>
    <w:lvl w:ilvl="0">
      <w:start w:val="1"/>
      <w:numFmt w:val="decimal"/>
      <w:pStyle w:val="Heading1"/>
      <w:lvlText w:val="%1"/>
      <w:lvlJc w:val="left"/>
      <w:pPr>
        <w:ind w:left="432" w:hanging="432"/>
      </w:pPr>
      <w:rPr>
        <w:rFonts w:hint="default"/>
      </w:rPr>
    </w:lvl>
    <w:lvl w:ilvl="1">
      <w:start w:val="1"/>
      <w:numFmt w:val="decimal"/>
      <w:pStyle w:val="Heading2"/>
      <w:lvlText w:val="%2."/>
      <w:lvlJc w:val="left"/>
      <w:pPr>
        <w:ind w:left="360" w:hanging="360"/>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15:restartNumberingAfterBreak="0">
    <w:nsid w:val="2436687D"/>
    <w:multiLevelType w:val="multilevel"/>
    <w:tmpl w:val="21B68C4C"/>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raditional Arabic" w:eastAsiaTheme="minorHAnsi" w:hAnsi="Traditional Arabic" w:cs="Traditional Arabic" w:hint="default"/>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513AE8"/>
    <w:multiLevelType w:val="hybridMultilevel"/>
    <w:tmpl w:val="F31E4A28"/>
    <w:lvl w:ilvl="0" w:tplc="04090013">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707CDB"/>
    <w:multiLevelType w:val="multilevel"/>
    <w:tmpl w:val="7618D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D86D58"/>
    <w:multiLevelType w:val="multilevel"/>
    <w:tmpl w:val="0409001D"/>
    <w:styleLink w:val="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E215BAF"/>
    <w:multiLevelType w:val="multilevel"/>
    <w:tmpl w:val="1BEE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B02E8C"/>
    <w:multiLevelType w:val="multilevel"/>
    <w:tmpl w:val="B42C6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200E29"/>
    <w:multiLevelType w:val="multilevel"/>
    <w:tmpl w:val="E2F21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6753BE"/>
    <w:multiLevelType w:val="multilevel"/>
    <w:tmpl w:val="D394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452E37"/>
    <w:multiLevelType w:val="multilevel"/>
    <w:tmpl w:val="CD16585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8C34B9"/>
    <w:multiLevelType w:val="multilevel"/>
    <w:tmpl w:val="D496408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3" w15:restartNumberingAfterBreak="0">
    <w:nsid w:val="4CF8148D"/>
    <w:multiLevelType w:val="multilevel"/>
    <w:tmpl w:val="2FFACF12"/>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 w15:restartNumberingAfterBreak="0">
    <w:nsid w:val="4DE3479C"/>
    <w:multiLevelType w:val="multilevel"/>
    <w:tmpl w:val="FEA2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E500E2"/>
    <w:multiLevelType w:val="hybridMultilevel"/>
    <w:tmpl w:val="F920C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AE0E29"/>
    <w:multiLevelType w:val="hybridMultilevel"/>
    <w:tmpl w:val="CD502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102D7C"/>
    <w:multiLevelType w:val="hybridMultilevel"/>
    <w:tmpl w:val="499A3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6D4496"/>
    <w:multiLevelType w:val="hybridMultilevel"/>
    <w:tmpl w:val="D7AC804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8A7C66"/>
    <w:multiLevelType w:val="hybridMultilevel"/>
    <w:tmpl w:val="66402C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0240132"/>
    <w:multiLevelType w:val="hybridMultilevel"/>
    <w:tmpl w:val="5A085F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2C72ED8"/>
    <w:multiLevelType w:val="hybridMultilevel"/>
    <w:tmpl w:val="87BA5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52126B"/>
    <w:multiLevelType w:val="multilevel"/>
    <w:tmpl w:val="B306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555E12"/>
    <w:multiLevelType w:val="multilevel"/>
    <w:tmpl w:val="BEEE52B0"/>
    <w:lvl w:ilvl="0">
      <w:numFmt w:val="bullet"/>
      <w:lvlText w:val="–"/>
      <w:lvlJc w:val="left"/>
      <w:pPr>
        <w:tabs>
          <w:tab w:val="num" w:pos="720"/>
        </w:tabs>
        <w:ind w:left="720" w:hanging="360"/>
      </w:pPr>
      <w:rPr>
        <w:rFonts w:ascii="Sylfaen" w:eastAsiaTheme="minorHAnsi" w:hAnsi="Sylfaen" w:cs="Sakkal Majalla"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B22842"/>
    <w:multiLevelType w:val="multilevel"/>
    <w:tmpl w:val="272E9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57108E"/>
    <w:multiLevelType w:val="hybridMultilevel"/>
    <w:tmpl w:val="9B1C22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6C275E"/>
    <w:multiLevelType w:val="hybridMultilevel"/>
    <w:tmpl w:val="C77C5AE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885E77"/>
    <w:multiLevelType w:val="multilevel"/>
    <w:tmpl w:val="BEEE52B0"/>
    <w:lvl w:ilvl="0">
      <w:numFmt w:val="bullet"/>
      <w:lvlText w:val="–"/>
      <w:lvlJc w:val="left"/>
      <w:pPr>
        <w:tabs>
          <w:tab w:val="num" w:pos="720"/>
        </w:tabs>
        <w:ind w:left="720" w:hanging="360"/>
      </w:pPr>
      <w:rPr>
        <w:rFonts w:ascii="Sylfaen" w:eastAsiaTheme="minorHAnsi" w:hAnsi="Sylfaen" w:cs="Sakkal Majalla"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2661BA"/>
    <w:multiLevelType w:val="hybridMultilevel"/>
    <w:tmpl w:val="8F067D1A"/>
    <w:lvl w:ilvl="0" w:tplc="FFFFFFFF">
      <w:numFmt w:val="bullet"/>
      <w:lvlText w:val="–"/>
      <w:lvlJc w:val="left"/>
      <w:pPr>
        <w:ind w:left="720" w:hanging="360"/>
      </w:pPr>
      <w:rPr>
        <w:rFonts w:ascii="Sylfaen" w:eastAsiaTheme="minorHAnsi" w:hAnsi="Sylfaen" w:cs="Sakkal Majalla" w:hint="default"/>
      </w:rPr>
    </w:lvl>
    <w:lvl w:ilvl="1" w:tplc="4B30FAEA">
      <w:numFmt w:val="bullet"/>
      <w:lvlText w:val="–"/>
      <w:lvlJc w:val="left"/>
      <w:pPr>
        <w:ind w:left="1440" w:hanging="360"/>
      </w:pPr>
      <w:rPr>
        <w:rFonts w:ascii="Sylfaen" w:eastAsiaTheme="minorHAnsi" w:hAnsi="Sylfaen"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47108820">
    <w:abstractNumId w:val="24"/>
  </w:num>
  <w:num w:numId="2" w16cid:durableId="126900951">
    <w:abstractNumId w:val="1"/>
  </w:num>
  <w:num w:numId="3" w16cid:durableId="2114592938">
    <w:abstractNumId w:val="19"/>
  </w:num>
  <w:num w:numId="4" w16cid:durableId="1529828546">
    <w:abstractNumId w:val="25"/>
  </w:num>
  <w:num w:numId="5" w16cid:durableId="1652633963">
    <w:abstractNumId w:val="35"/>
  </w:num>
  <w:num w:numId="6" w16cid:durableId="1699355716">
    <w:abstractNumId w:val="26"/>
  </w:num>
  <w:num w:numId="7" w16cid:durableId="2113938119">
    <w:abstractNumId w:val="31"/>
  </w:num>
  <w:num w:numId="8" w16cid:durableId="811363593">
    <w:abstractNumId w:val="27"/>
  </w:num>
  <w:num w:numId="9" w16cid:durableId="1863007180">
    <w:abstractNumId w:val="18"/>
  </w:num>
  <w:num w:numId="10" w16cid:durableId="507643064">
    <w:abstractNumId w:val="29"/>
  </w:num>
  <w:num w:numId="11" w16cid:durableId="191647878">
    <w:abstractNumId w:val="10"/>
  </w:num>
  <w:num w:numId="12" w16cid:durableId="702901853">
    <w:abstractNumId w:val="34"/>
  </w:num>
  <w:num w:numId="13" w16cid:durableId="1599367279">
    <w:abstractNumId w:val="15"/>
  </w:num>
  <w:num w:numId="14" w16cid:durableId="823356172">
    <w:abstractNumId w:val="20"/>
  </w:num>
  <w:num w:numId="15" w16cid:durableId="125658519">
    <w:abstractNumId w:val="7"/>
  </w:num>
  <w:num w:numId="16" w16cid:durableId="1908370989">
    <w:abstractNumId w:val="4"/>
  </w:num>
  <w:num w:numId="17" w16cid:durableId="2081367228">
    <w:abstractNumId w:val="5"/>
  </w:num>
  <w:num w:numId="18" w16cid:durableId="451244796">
    <w:abstractNumId w:val="36"/>
  </w:num>
  <w:num w:numId="19" w16cid:durableId="958754070">
    <w:abstractNumId w:val="23"/>
  </w:num>
  <w:num w:numId="20" w16cid:durableId="365526145">
    <w:abstractNumId w:val="32"/>
  </w:num>
  <w:num w:numId="21" w16cid:durableId="28459838">
    <w:abstractNumId w:val="30"/>
  </w:num>
  <w:num w:numId="22" w16cid:durableId="1463038075">
    <w:abstractNumId w:val="13"/>
  </w:num>
  <w:num w:numId="23" w16cid:durableId="975835289">
    <w:abstractNumId w:val="17"/>
  </w:num>
  <w:num w:numId="24" w16cid:durableId="733551609">
    <w:abstractNumId w:val="28"/>
  </w:num>
  <w:num w:numId="25" w16cid:durableId="77674536">
    <w:abstractNumId w:val="11"/>
  </w:num>
  <w:num w:numId="26" w16cid:durableId="507135936">
    <w:abstractNumId w:val="22"/>
  </w:num>
  <w:num w:numId="27" w16cid:durableId="1410421017">
    <w:abstractNumId w:val="3"/>
  </w:num>
  <w:num w:numId="28" w16cid:durableId="534343534">
    <w:abstractNumId w:val="16"/>
  </w:num>
  <w:num w:numId="29" w16cid:durableId="1429277186">
    <w:abstractNumId w:val="12"/>
  </w:num>
  <w:num w:numId="30" w16cid:durableId="1418744259">
    <w:abstractNumId w:val="1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12222291">
    <w:abstractNumId w:val="0"/>
  </w:num>
  <w:num w:numId="32" w16cid:durableId="1425220586">
    <w:abstractNumId w:val="2"/>
  </w:num>
  <w:num w:numId="33" w16cid:durableId="1800994977">
    <w:abstractNumId w:val="38"/>
  </w:num>
  <w:num w:numId="34" w16cid:durableId="1569878640">
    <w:abstractNumId w:val="6"/>
  </w:num>
  <w:num w:numId="35" w16cid:durableId="670372076">
    <w:abstractNumId w:val="14"/>
  </w:num>
  <w:num w:numId="36" w16cid:durableId="460271349">
    <w:abstractNumId w:val="8"/>
  </w:num>
  <w:num w:numId="37" w16cid:durableId="1460955593">
    <w:abstractNumId w:val="9"/>
  </w:num>
  <w:num w:numId="38" w16cid:durableId="1020397263">
    <w:abstractNumId w:val="21"/>
  </w:num>
  <w:num w:numId="39" w16cid:durableId="1018852628">
    <w:abstractNumId w:val="37"/>
  </w:num>
  <w:num w:numId="40" w16cid:durableId="458960300">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3E8"/>
    <w:rsid w:val="00000989"/>
    <w:rsid w:val="00005560"/>
    <w:rsid w:val="000126FC"/>
    <w:rsid w:val="00015D0D"/>
    <w:rsid w:val="00016ACC"/>
    <w:rsid w:val="00026ED0"/>
    <w:rsid w:val="00027E2A"/>
    <w:rsid w:val="0003047E"/>
    <w:rsid w:val="000328B8"/>
    <w:rsid w:val="00035E5B"/>
    <w:rsid w:val="0003624C"/>
    <w:rsid w:val="00036805"/>
    <w:rsid w:val="00037D3C"/>
    <w:rsid w:val="0004167A"/>
    <w:rsid w:val="00044D93"/>
    <w:rsid w:val="00051D74"/>
    <w:rsid w:val="000522C0"/>
    <w:rsid w:val="00052915"/>
    <w:rsid w:val="00055954"/>
    <w:rsid w:val="00056C52"/>
    <w:rsid w:val="00061628"/>
    <w:rsid w:val="000801CF"/>
    <w:rsid w:val="000812A1"/>
    <w:rsid w:val="00082BF2"/>
    <w:rsid w:val="00084EB7"/>
    <w:rsid w:val="00086E9B"/>
    <w:rsid w:val="000916B0"/>
    <w:rsid w:val="00092BEE"/>
    <w:rsid w:val="000A2386"/>
    <w:rsid w:val="000B4BB8"/>
    <w:rsid w:val="000C19EE"/>
    <w:rsid w:val="000C69AA"/>
    <w:rsid w:val="000C7B64"/>
    <w:rsid w:val="000D327A"/>
    <w:rsid w:val="000D59F9"/>
    <w:rsid w:val="000E07B7"/>
    <w:rsid w:val="000E60AF"/>
    <w:rsid w:val="000E723C"/>
    <w:rsid w:val="001009FB"/>
    <w:rsid w:val="00100C7F"/>
    <w:rsid w:val="00104969"/>
    <w:rsid w:val="00110146"/>
    <w:rsid w:val="00113560"/>
    <w:rsid w:val="001142D3"/>
    <w:rsid w:val="00115DA5"/>
    <w:rsid w:val="0011627E"/>
    <w:rsid w:val="00122395"/>
    <w:rsid w:val="00122559"/>
    <w:rsid w:val="00125BA7"/>
    <w:rsid w:val="00132504"/>
    <w:rsid w:val="001334B2"/>
    <w:rsid w:val="00134549"/>
    <w:rsid w:val="00135343"/>
    <w:rsid w:val="00136BB7"/>
    <w:rsid w:val="001444C5"/>
    <w:rsid w:val="00152648"/>
    <w:rsid w:val="0016669C"/>
    <w:rsid w:val="001701AC"/>
    <w:rsid w:val="00181424"/>
    <w:rsid w:val="00184E6C"/>
    <w:rsid w:val="00185576"/>
    <w:rsid w:val="001858F4"/>
    <w:rsid w:val="0018654C"/>
    <w:rsid w:val="00190DCA"/>
    <w:rsid w:val="001A533E"/>
    <w:rsid w:val="001A5D3B"/>
    <w:rsid w:val="001C0636"/>
    <w:rsid w:val="001C1505"/>
    <w:rsid w:val="001D3C9C"/>
    <w:rsid w:val="001D4365"/>
    <w:rsid w:val="001D6F1F"/>
    <w:rsid w:val="001F0E67"/>
    <w:rsid w:val="001F16AB"/>
    <w:rsid w:val="001F60F6"/>
    <w:rsid w:val="0020169F"/>
    <w:rsid w:val="00212302"/>
    <w:rsid w:val="00212752"/>
    <w:rsid w:val="002131A7"/>
    <w:rsid w:val="00222585"/>
    <w:rsid w:val="00224153"/>
    <w:rsid w:val="00227FF9"/>
    <w:rsid w:val="0023028C"/>
    <w:rsid w:val="00231298"/>
    <w:rsid w:val="00234102"/>
    <w:rsid w:val="002372BE"/>
    <w:rsid w:val="0024230D"/>
    <w:rsid w:val="00253EFE"/>
    <w:rsid w:val="00254612"/>
    <w:rsid w:val="002571A9"/>
    <w:rsid w:val="00262136"/>
    <w:rsid w:val="002631F0"/>
    <w:rsid w:val="002632AC"/>
    <w:rsid w:val="00263629"/>
    <w:rsid w:val="002660A5"/>
    <w:rsid w:val="00275261"/>
    <w:rsid w:val="00275777"/>
    <w:rsid w:val="00282B19"/>
    <w:rsid w:val="00292014"/>
    <w:rsid w:val="00297EE6"/>
    <w:rsid w:val="002A3636"/>
    <w:rsid w:val="002A50DB"/>
    <w:rsid w:val="002A65EE"/>
    <w:rsid w:val="002B1505"/>
    <w:rsid w:val="002B1D5C"/>
    <w:rsid w:val="002B52AC"/>
    <w:rsid w:val="002B6D88"/>
    <w:rsid w:val="002C01EA"/>
    <w:rsid w:val="002C64F5"/>
    <w:rsid w:val="002C76FA"/>
    <w:rsid w:val="002D227D"/>
    <w:rsid w:val="002D46EB"/>
    <w:rsid w:val="002D68B0"/>
    <w:rsid w:val="002D75FA"/>
    <w:rsid w:val="002E16C1"/>
    <w:rsid w:val="002E2B29"/>
    <w:rsid w:val="002E5806"/>
    <w:rsid w:val="002E6F1E"/>
    <w:rsid w:val="002F56A4"/>
    <w:rsid w:val="002F5E16"/>
    <w:rsid w:val="00301E61"/>
    <w:rsid w:val="00301FBE"/>
    <w:rsid w:val="0030528A"/>
    <w:rsid w:val="003076A6"/>
    <w:rsid w:val="00307F25"/>
    <w:rsid w:val="0031602B"/>
    <w:rsid w:val="00323275"/>
    <w:rsid w:val="00332C9C"/>
    <w:rsid w:val="003347EB"/>
    <w:rsid w:val="00336846"/>
    <w:rsid w:val="00344896"/>
    <w:rsid w:val="003522B4"/>
    <w:rsid w:val="0035660B"/>
    <w:rsid w:val="0035694D"/>
    <w:rsid w:val="00362B79"/>
    <w:rsid w:val="00367AE5"/>
    <w:rsid w:val="00370642"/>
    <w:rsid w:val="00373669"/>
    <w:rsid w:val="00375A8A"/>
    <w:rsid w:val="00377089"/>
    <w:rsid w:val="003819F3"/>
    <w:rsid w:val="003915EA"/>
    <w:rsid w:val="00391CE1"/>
    <w:rsid w:val="003957AC"/>
    <w:rsid w:val="003A12BC"/>
    <w:rsid w:val="003A27DC"/>
    <w:rsid w:val="003A4369"/>
    <w:rsid w:val="003A69C7"/>
    <w:rsid w:val="003A72FB"/>
    <w:rsid w:val="003B182E"/>
    <w:rsid w:val="003C682A"/>
    <w:rsid w:val="003D0407"/>
    <w:rsid w:val="003D13A5"/>
    <w:rsid w:val="003D3191"/>
    <w:rsid w:val="003D4320"/>
    <w:rsid w:val="003D75CD"/>
    <w:rsid w:val="003E662B"/>
    <w:rsid w:val="003F2C26"/>
    <w:rsid w:val="003F3C0F"/>
    <w:rsid w:val="004024BF"/>
    <w:rsid w:val="00402BDA"/>
    <w:rsid w:val="004032F1"/>
    <w:rsid w:val="00403982"/>
    <w:rsid w:val="00405DF3"/>
    <w:rsid w:val="004065A4"/>
    <w:rsid w:val="0040691A"/>
    <w:rsid w:val="00410DBD"/>
    <w:rsid w:val="00423B77"/>
    <w:rsid w:val="00423F99"/>
    <w:rsid w:val="00424547"/>
    <w:rsid w:val="004369B6"/>
    <w:rsid w:val="00436AC6"/>
    <w:rsid w:val="00440B00"/>
    <w:rsid w:val="0044146F"/>
    <w:rsid w:val="00451E1C"/>
    <w:rsid w:val="0045639B"/>
    <w:rsid w:val="00461A4C"/>
    <w:rsid w:val="0046351E"/>
    <w:rsid w:val="00465637"/>
    <w:rsid w:val="00480692"/>
    <w:rsid w:val="0049314B"/>
    <w:rsid w:val="00496360"/>
    <w:rsid w:val="004A0B64"/>
    <w:rsid w:val="004A20AA"/>
    <w:rsid w:val="004A560D"/>
    <w:rsid w:val="004A6747"/>
    <w:rsid w:val="004C0229"/>
    <w:rsid w:val="004D466C"/>
    <w:rsid w:val="004D47BA"/>
    <w:rsid w:val="004D57BD"/>
    <w:rsid w:val="004F072C"/>
    <w:rsid w:val="004F591B"/>
    <w:rsid w:val="00502782"/>
    <w:rsid w:val="005053B9"/>
    <w:rsid w:val="00505758"/>
    <w:rsid w:val="005066DC"/>
    <w:rsid w:val="005076B2"/>
    <w:rsid w:val="005077C6"/>
    <w:rsid w:val="005118E5"/>
    <w:rsid w:val="00512E63"/>
    <w:rsid w:val="00513408"/>
    <w:rsid w:val="00520F03"/>
    <w:rsid w:val="00527ED7"/>
    <w:rsid w:val="00530788"/>
    <w:rsid w:val="00536951"/>
    <w:rsid w:val="00537466"/>
    <w:rsid w:val="00537F4D"/>
    <w:rsid w:val="00540CDD"/>
    <w:rsid w:val="00542366"/>
    <w:rsid w:val="00542C8C"/>
    <w:rsid w:val="00544C98"/>
    <w:rsid w:val="005503DE"/>
    <w:rsid w:val="005506F9"/>
    <w:rsid w:val="005518CA"/>
    <w:rsid w:val="00555593"/>
    <w:rsid w:val="00557CFB"/>
    <w:rsid w:val="00564AAF"/>
    <w:rsid w:val="00566E72"/>
    <w:rsid w:val="00571520"/>
    <w:rsid w:val="0057361B"/>
    <w:rsid w:val="005751CE"/>
    <w:rsid w:val="00575738"/>
    <w:rsid w:val="005803B1"/>
    <w:rsid w:val="00581E36"/>
    <w:rsid w:val="00585840"/>
    <w:rsid w:val="00585FAC"/>
    <w:rsid w:val="00591B4C"/>
    <w:rsid w:val="00592810"/>
    <w:rsid w:val="00592A30"/>
    <w:rsid w:val="005A0643"/>
    <w:rsid w:val="005A1C25"/>
    <w:rsid w:val="005A4F05"/>
    <w:rsid w:val="005B62C3"/>
    <w:rsid w:val="005C793B"/>
    <w:rsid w:val="005D62DF"/>
    <w:rsid w:val="005E719B"/>
    <w:rsid w:val="005E771F"/>
    <w:rsid w:val="005F4901"/>
    <w:rsid w:val="005F5D84"/>
    <w:rsid w:val="005F63F8"/>
    <w:rsid w:val="006049B7"/>
    <w:rsid w:val="006053B6"/>
    <w:rsid w:val="00607073"/>
    <w:rsid w:val="006125C5"/>
    <w:rsid w:val="00615194"/>
    <w:rsid w:val="00615351"/>
    <w:rsid w:val="00617052"/>
    <w:rsid w:val="00621286"/>
    <w:rsid w:val="00631A3A"/>
    <w:rsid w:val="0063303B"/>
    <w:rsid w:val="0063343A"/>
    <w:rsid w:val="006368A1"/>
    <w:rsid w:val="00650C8F"/>
    <w:rsid w:val="0065423A"/>
    <w:rsid w:val="00656F4C"/>
    <w:rsid w:val="00662631"/>
    <w:rsid w:val="00663A7E"/>
    <w:rsid w:val="00665FBA"/>
    <w:rsid w:val="00695D4D"/>
    <w:rsid w:val="006A3219"/>
    <w:rsid w:val="006A68CE"/>
    <w:rsid w:val="006A7286"/>
    <w:rsid w:val="006A7BEC"/>
    <w:rsid w:val="006B126E"/>
    <w:rsid w:val="006B5F0B"/>
    <w:rsid w:val="006B7903"/>
    <w:rsid w:val="006D0A9E"/>
    <w:rsid w:val="006D248B"/>
    <w:rsid w:val="006D40D0"/>
    <w:rsid w:val="006D5E08"/>
    <w:rsid w:val="006D6AD0"/>
    <w:rsid w:val="006E28E3"/>
    <w:rsid w:val="006E3F93"/>
    <w:rsid w:val="006E62F4"/>
    <w:rsid w:val="006E72FA"/>
    <w:rsid w:val="006F0770"/>
    <w:rsid w:val="006F2EF6"/>
    <w:rsid w:val="00701F8E"/>
    <w:rsid w:val="00703104"/>
    <w:rsid w:val="00707F16"/>
    <w:rsid w:val="0071100C"/>
    <w:rsid w:val="007234ED"/>
    <w:rsid w:val="0072496D"/>
    <w:rsid w:val="00732E2D"/>
    <w:rsid w:val="00733581"/>
    <w:rsid w:val="00736AE0"/>
    <w:rsid w:val="00750FF7"/>
    <w:rsid w:val="0076029F"/>
    <w:rsid w:val="00763AA6"/>
    <w:rsid w:val="00766D67"/>
    <w:rsid w:val="0077181F"/>
    <w:rsid w:val="00772D35"/>
    <w:rsid w:val="00772D4B"/>
    <w:rsid w:val="00775202"/>
    <w:rsid w:val="00776611"/>
    <w:rsid w:val="007768AC"/>
    <w:rsid w:val="00777BCB"/>
    <w:rsid w:val="007847A8"/>
    <w:rsid w:val="0078589F"/>
    <w:rsid w:val="00793489"/>
    <w:rsid w:val="007B1873"/>
    <w:rsid w:val="007B5969"/>
    <w:rsid w:val="007B684F"/>
    <w:rsid w:val="007B6D22"/>
    <w:rsid w:val="007C08A5"/>
    <w:rsid w:val="007C43D1"/>
    <w:rsid w:val="007C63F8"/>
    <w:rsid w:val="007E0E57"/>
    <w:rsid w:val="007E17FC"/>
    <w:rsid w:val="007E3D13"/>
    <w:rsid w:val="007E62E7"/>
    <w:rsid w:val="007E6F2B"/>
    <w:rsid w:val="007F1EFC"/>
    <w:rsid w:val="007F2B50"/>
    <w:rsid w:val="007F2C3C"/>
    <w:rsid w:val="007F5CE5"/>
    <w:rsid w:val="007F662A"/>
    <w:rsid w:val="007F6C80"/>
    <w:rsid w:val="00800E05"/>
    <w:rsid w:val="00810C30"/>
    <w:rsid w:val="008120ED"/>
    <w:rsid w:val="00812B2C"/>
    <w:rsid w:val="0081362E"/>
    <w:rsid w:val="00825F9B"/>
    <w:rsid w:val="00832627"/>
    <w:rsid w:val="0083463A"/>
    <w:rsid w:val="008436D4"/>
    <w:rsid w:val="00845959"/>
    <w:rsid w:val="00857EE7"/>
    <w:rsid w:val="00861030"/>
    <w:rsid w:val="00862207"/>
    <w:rsid w:val="008629C3"/>
    <w:rsid w:val="0086791C"/>
    <w:rsid w:val="0088680E"/>
    <w:rsid w:val="0089262F"/>
    <w:rsid w:val="00892E48"/>
    <w:rsid w:val="008A0649"/>
    <w:rsid w:val="008A0930"/>
    <w:rsid w:val="008A2DDF"/>
    <w:rsid w:val="008A30BC"/>
    <w:rsid w:val="008A656A"/>
    <w:rsid w:val="008B06A9"/>
    <w:rsid w:val="008B1E32"/>
    <w:rsid w:val="008B7F83"/>
    <w:rsid w:val="008C3BC4"/>
    <w:rsid w:val="008C3C6D"/>
    <w:rsid w:val="008C638A"/>
    <w:rsid w:val="008C6A58"/>
    <w:rsid w:val="008D14D9"/>
    <w:rsid w:val="008D16F8"/>
    <w:rsid w:val="008D3F34"/>
    <w:rsid w:val="008D42EB"/>
    <w:rsid w:val="008D7BB9"/>
    <w:rsid w:val="008E1285"/>
    <w:rsid w:val="008E25EB"/>
    <w:rsid w:val="008E2FD1"/>
    <w:rsid w:val="008E35A9"/>
    <w:rsid w:val="008F09A6"/>
    <w:rsid w:val="008F3BF7"/>
    <w:rsid w:val="00906D56"/>
    <w:rsid w:val="00907B87"/>
    <w:rsid w:val="0091491C"/>
    <w:rsid w:val="00923BEC"/>
    <w:rsid w:val="00931B85"/>
    <w:rsid w:val="009363AF"/>
    <w:rsid w:val="00937F3C"/>
    <w:rsid w:val="00943C1C"/>
    <w:rsid w:val="00946977"/>
    <w:rsid w:val="009536B2"/>
    <w:rsid w:val="00953DC2"/>
    <w:rsid w:val="00954DA1"/>
    <w:rsid w:val="00957446"/>
    <w:rsid w:val="009633D5"/>
    <w:rsid w:val="00971831"/>
    <w:rsid w:val="00974EEC"/>
    <w:rsid w:val="00983D21"/>
    <w:rsid w:val="00984B1D"/>
    <w:rsid w:val="00993C30"/>
    <w:rsid w:val="00995143"/>
    <w:rsid w:val="00995A70"/>
    <w:rsid w:val="00997171"/>
    <w:rsid w:val="009A00A3"/>
    <w:rsid w:val="009A4EC4"/>
    <w:rsid w:val="009A6C58"/>
    <w:rsid w:val="009A71C7"/>
    <w:rsid w:val="009B16D8"/>
    <w:rsid w:val="009B2799"/>
    <w:rsid w:val="009B3E68"/>
    <w:rsid w:val="009D0DFF"/>
    <w:rsid w:val="009D2494"/>
    <w:rsid w:val="009D2C37"/>
    <w:rsid w:val="009E5F19"/>
    <w:rsid w:val="009F6631"/>
    <w:rsid w:val="00A00986"/>
    <w:rsid w:val="00A018C5"/>
    <w:rsid w:val="00A06CDC"/>
    <w:rsid w:val="00A14B18"/>
    <w:rsid w:val="00A16743"/>
    <w:rsid w:val="00A31AF3"/>
    <w:rsid w:val="00A33B26"/>
    <w:rsid w:val="00A44299"/>
    <w:rsid w:val="00A474D1"/>
    <w:rsid w:val="00A52F2C"/>
    <w:rsid w:val="00A54FCB"/>
    <w:rsid w:val="00A56651"/>
    <w:rsid w:val="00A60779"/>
    <w:rsid w:val="00A608AB"/>
    <w:rsid w:val="00A6475C"/>
    <w:rsid w:val="00A6709E"/>
    <w:rsid w:val="00A67433"/>
    <w:rsid w:val="00A70842"/>
    <w:rsid w:val="00A710A7"/>
    <w:rsid w:val="00A710CF"/>
    <w:rsid w:val="00A74B5B"/>
    <w:rsid w:val="00A90202"/>
    <w:rsid w:val="00A92274"/>
    <w:rsid w:val="00A92551"/>
    <w:rsid w:val="00A93633"/>
    <w:rsid w:val="00A96871"/>
    <w:rsid w:val="00AA4B37"/>
    <w:rsid w:val="00AB32EA"/>
    <w:rsid w:val="00AC7DC8"/>
    <w:rsid w:val="00AD5436"/>
    <w:rsid w:val="00AE77C1"/>
    <w:rsid w:val="00AF7D89"/>
    <w:rsid w:val="00B003EE"/>
    <w:rsid w:val="00B03973"/>
    <w:rsid w:val="00B1170F"/>
    <w:rsid w:val="00B15BC1"/>
    <w:rsid w:val="00B16C38"/>
    <w:rsid w:val="00B21B9F"/>
    <w:rsid w:val="00B23D4A"/>
    <w:rsid w:val="00B242CC"/>
    <w:rsid w:val="00B266F4"/>
    <w:rsid w:val="00B2746E"/>
    <w:rsid w:val="00B30BBD"/>
    <w:rsid w:val="00B33A23"/>
    <w:rsid w:val="00B33C3D"/>
    <w:rsid w:val="00B40111"/>
    <w:rsid w:val="00B427D5"/>
    <w:rsid w:val="00B52231"/>
    <w:rsid w:val="00B5427B"/>
    <w:rsid w:val="00B550C9"/>
    <w:rsid w:val="00B57E78"/>
    <w:rsid w:val="00B643A0"/>
    <w:rsid w:val="00B66E70"/>
    <w:rsid w:val="00B7074C"/>
    <w:rsid w:val="00B70862"/>
    <w:rsid w:val="00B7711D"/>
    <w:rsid w:val="00B8172A"/>
    <w:rsid w:val="00B84459"/>
    <w:rsid w:val="00B87FC5"/>
    <w:rsid w:val="00B91292"/>
    <w:rsid w:val="00BA30BC"/>
    <w:rsid w:val="00BA6649"/>
    <w:rsid w:val="00BB170B"/>
    <w:rsid w:val="00BC2F7E"/>
    <w:rsid w:val="00BC7588"/>
    <w:rsid w:val="00BD0159"/>
    <w:rsid w:val="00BD6E01"/>
    <w:rsid w:val="00BE29E9"/>
    <w:rsid w:val="00BE66EA"/>
    <w:rsid w:val="00BF446A"/>
    <w:rsid w:val="00C032AC"/>
    <w:rsid w:val="00C04D40"/>
    <w:rsid w:val="00C051FB"/>
    <w:rsid w:val="00C20469"/>
    <w:rsid w:val="00C309A2"/>
    <w:rsid w:val="00C371FE"/>
    <w:rsid w:val="00C4146C"/>
    <w:rsid w:val="00C43319"/>
    <w:rsid w:val="00C4783E"/>
    <w:rsid w:val="00C519C5"/>
    <w:rsid w:val="00C52A77"/>
    <w:rsid w:val="00C616F2"/>
    <w:rsid w:val="00C61B83"/>
    <w:rsid w:val="00C64FE8"/>
    <w:rsid w:val="00C74A59"/>
    <w:rsid w:val="00C77D3D"/>
    <w:rsid w:val="00C77FD7"/>
    <w:rsid w:val="00C85DB8"/>
    <w:rsid w:val="00C91B56"/>
    <w:rsid w:val="00C91FFD"/>
    <w:rsid w:val="00C92A71"/>
    <w:rsid w:val="00C96023"/>
    <w:rsid w:val="00C969B5"/>
    <w:rsid w:val="00CA369B"/>
    <w:rsid w:val="00CB01E1"/>
    <w:rsid w:val="00CB4143"/>
    <w:rsid w:val="00CB478E"/>
    <w:rsid w:val="00CB4F86"/>
    <w:rsid w:val="00CC033C"/>
    <w:rsid w:val="00CC1672"/>
    <w:rsid w:val="00CC191F"/>
    <w:rsid w:val="00CC496D"/>
    <w:rsid w:val="00CD06EC"/>
    <w:rsid w:val="00CD23D5"/>
    <w:rsid w:val="00CE2E9F"/>
    <w:rsid w:val="00CF277B"/>
    <w:rsid w:val="00D01C15"/>
    <w:rsid w:val="00D027C3"/>
    <w:rsid w:val="00D03D8F"/>
    <w:rsid w:val="00D13C14"/>
    <w:rsid w:val="00D156E7"/>
    <w:rsid w:val="00D25CFE"/>
    <w:rsid w:val="00D27B1C"/>
    <w:rsid w:val="00D32493"/>
    <w:rsid w:val="00D335F9"/>
    <w:rsid w:val="00D33E0C"/>
    <w:rsid w:val="00D379F7"/>
    <w:rsid w:val="00D428A0"/>
    <w:rsid w:val="00D46654"/>
    <w:rsid w:val="00D468BB"/>
    <w:rsid w:val="00D55B89"/>
    <w:rsid w:val="00D624D0"/>
    <w:rsid w:val="00D62744"/>
    <w:rsid w:val="00D636D6"/>
    <w:rsid w:val="00D73E7F"/>
    <w:rsid w:val="00D7774B"/>
    <w:rsid w:val="00D82061"/>
    <w:rsid w:val="00D851F3"/>
    <w:rsid w:val="00D854CD"/>
    <w:rsid w:val="00D85987"/>
    <w:rsid w:val="00D867DB"/>
    <w:rsid w:val="00D9031C"/>
    <w:rsid w:val="00D92373"/>
    <w:rsid w:val="00D92D3F"/>
    <w:rsid w:val="00D9499A"/>
    <w:rsid w:val="00D96D9E"/>
    <w:rsid w:val="00D971D0"/>
    <w:rsid w:val="00DB0AFE"/>
    <w:rsid w:val="00DB268D"/>
    <w:rsid w:val="00DB2CB7"/>
    <w:rsid w:val="00DB545C"/>
    <w:rsid w:val="00DC22F6"/>
    <w:rsid w:val="00DD4365"/>
    <w:rsid w:val="00DD45AE"/>
    <w:rsid w:val="00DD46C0"/>
    <w:rsid w:val="00DD583E"/>
    <w:rsid w:val="00DD73BF"/>
    <w:rsid w:val="00DE5729"/>
    <w:rsid w:val="00DE6E24"/>
    <w:rsid w:val="00DF1BC3"/>
    <w:rsid w:val="00E07731"/>
    <w:rsid w:val="00E109DE"/>
    <w:rsid w:val="00E12E59"/>
    <w:rsid w:val="00E37040"/>
    <w:rsid w:val="00E63B00"/>
    <w:rsid w:val="00E72D63"/>
    <w:rsid w:val="00E73146"/>
    <w:rsid w:val="00E75829"/>
    <w:rsid w:val="00E97F92"/>
    <w:rsid w:val="00EA2C91"/>
    <w:rsid w:val="00EA448A"/>
    <w:rsid w:val="00EA641D"/>
    <w:rsid w:val="00EA6995"/>
    <w:rsid w:val="00EC449C"/>
    <w:rsid w:val="00EC6AA2"/>
    <w:rsid w:val="00ED2595"/>
    <w:rsid w:val="00ED3AE7"/>
    <w:rsid w:val="00ED4D67"/>
    <w:rsid w:val="00EF1184"/>
    <w:rsid w:val="00EF4BBA"/>
    <w:rsid w:val="00EF512C"/>
    <w:rsid w:val="00EF73E8"/>
    <w:rsid w:val="00EF7CD9"/>
    <w:rsid w:val="00EF7E49"/>
    <w:rsid w:val="00F0024A"/>
    <w:rsid w:val="00F012EB"/>
    <w:rsid w:val="00F03AFB"/>
    <w:rsid w:val="00F03CDB"/>
    <w:rsid w:val="00F170F1"/>
    <w:rsid w:val="00F37A72"/>
    <w:rsid w:val="00F45F21"/>
    <w:rsid w:val="00F53103"/>
    <w:rsid w:val="00F61CE6"/>
    <w:rsid w:val="00F64660"/>
    <w:rsid w:val="00F65659"/>
    <w:rsid w:val="00F66946"/>
    <w:rsid w:val="00F672E5"/>
    <w:rsid w:val="00F72111"/>
    <w:rsid w:val="00F76D05"/>
    <w:rsid w:val="00F80A91"/>
    <w:rsid w:val="00F80FB9"/>
    <w:rsid w:val="00F9026C"/>
    <w:rsid w:val="00FA0722"/>
    <w:rsid w:val="00FA0E7C"/>
    <w:rsid w:val="00FA1C9B"/>
    <w:rsid w:val="00FA29AE"/>
    <w:rsid w:val="00FA3D30"/>
    <w:rsid w:val="00FB579D"/>
    <w:rsid w:val="00FC2A64"/>
    <w:rsid w:val="00FC4BE6"/>
    <w:rsid w:val="00FD21D6"/>
    <w:rsid w:val="00FD34FA"/>
    <w:rsid w:val="00FD4017"/>
    <w:rsid w:val="00FE11CA"/>
    <w:rsid w:val="00FE1F42"/>
    <w:rsid w:val="00FE4BF8"/>
    <w:rsid w:val="00FE594F"/>
    <w:rsid w:val="00FE5CFE"/>
    <w:rsid w:val="00FE662A"/>
    <w:rsid w:val="00FE6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C3DDC"/>
  <w15:chartTrackingRefBased/>
  <w15:docId w15:val="{899D001E-BDE7-4956-A913-29945CB0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3E8"/>
    <w:pPr>
      <w:spacing w:line="259" w:lineRule="auto"/>
    </w:pPr>
    <w:rPr>
      <w:kern w:val="0"/>
      <w:sz w:val="22"/>
      <w:szCs w:val="22"/>
      <w14:ligatures w14:val="none"/>
    </w:rPr>
  </w:style>
  <w:style w:type="paragraph" w:styleId="Heading1">
    <w:name w:val="heading 1"/>
    <w:basedOn w:val="Normal"/>
    <w:next w:val="Normal"/>
    <w:link w:val="Heading1Char"/>
    <w:uiPriority w:val="9"/>
    <w:qFormat/>
    <w:rsid w:val="00EF73E8"/>
    <w:pPr>
      <w:keepNext/>
      <w:keepLines/>
      <w:numPr>
        <w:numId w:val="29"/>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F73E8"/>
    <w:pPr>
      <w:keepNext/>
      <w:keepLines/>
      <w:numPr>
        <w:ilvl w:val="1"/>
        <w:numId w:val="29"/>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F73E8"/>
    <w:pPr>
      <w:keepNext/>
      <w:keepLines/>
      <w:numPr>
        <w:ilvl w:val="2"/>
        <w:numId w:val="29"/>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73E8"/>
    <w:pPr>
      <w:keepNext/>
      <w:keepLines/>
      <w:numPr>
        <w:ilvl w:val="3"/>
        <w:numId w:val="29"/>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73E8"/>
    <w:pPr>
      <w:keepNext/>
      <w:keepLines/>
      <w:numPr>
        <w:ilvl w:val="4"/>
        <w:numId w:val="29"/>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73E8"/>
    <w:pPr>
      <w:keepNext/>
      <w:keepLines/>
      <w:numPr>
        <w:ilvl w:val="5"/>
        <w:numId w:val="29"/>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3E8"/>
    <w:pPr>
      <w:keepNext/>
      <w:keepLines/>
      <w:numPr>
        <w:ilvl w:val="6"/>
        <w:numId w:val="29"/>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3E8"/>
    <w:pPr>
      <w:keepNext/>
      <w:keepLines/>
      <w:numPr>
        <w:ilvl w:val="7"/>
        <w:numId w:val="29"/>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3E8"/>
    <w:pPr>
      <w:keepNext/>
      <w:keepLines/>
      <w:numPr>
        <w:ilvl w:val="8"/>
        <w:numId w:val="29"/>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3E8"/>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rsid w:val="00EF73E8"/>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rsid w:val="00EF73E8"/>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EF73E8"/>
    <w:rPr>
      <w:rFonts w:eastAsiaTheme="majorEastAsia" w:cstheme="majorBidi"/>
      <w:i/>
      <w:iCs/>
      <w:color w:val="2F5496" w:themeColor="accent1" w:themeShade="BF"/>
      <w:kern w:val="0"/>
      <w:sz w:val="22"/>
      <w:szCs w:val="22"/>
      <w14:ligatures w14:val="none"/>
    </w:rPr>
  </w:style>
  <w:style w:type="character" w:customStyle="1" w:styleId="Heading5Char">
    <w:name w:val="Heading 5 Char"/>
    <w:basedOn w:val="DefaultParagraphFont"/>
    <w:link w:val="Heading5"/>
    <w:uiPriority w:val="9"/>
    <w:semiHidden/>
    <w:rsid w:val="00EF73E8"/>
    <w:rPr>
      <w:rFonts w:eastAsiaTheme="majorEastAsia" w:cstheme="majorBidi"/>
      <w:color w:val="2F5496"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EF73E8"/>
    <w:rPr>
      <w:rFonts w:eastAsiaTheme="majorEastAsia" w:cstheme="majorBidi"/>
      <w:i/>
      <w:iCs/>
      <w:color w:val="595959" w:themeColor="text1" w:themeTint="A6"/>
      <w:kern w:val="0"/>
      <w:sz w:val="22"/>
      <w:szCs w:val="22"/>
      <w14:ligatures w14:val="none"/>
    </w:rPr>
  </w:style>
  <w:style w:type="character" w:customStyle="1" w:styleId="Heading7Char">
    <w:name w:val="Heading 7 Char"/>
    <w:basedOn w:val="DefaultParagraphFont"/>
    <w:link w:val="Heading7"/>
    <w:uiPriority w:val="9"/>
    <w:semiHidden/>
    <w:rsid w:val="00EF73E8"/>
    <w:rPr>
      <w:rFonts w:eastAsiaTheme="majorEastAsia" w:cstheme="majorBidi"/>
      <w:color w:val="595959" w:themeColor="text1" w:themeTint="A6"/>
      <w:kern w:val="0"/>
      <w:sz w:val="22"/>
      <w:szCs w:val="22"/>
      <w14:ligatures w14:val="none"/>
    </w:rPr>
  </w:style>
  <w:style w:type="character" w:customStyle="1" w:styleId="Heading8Char">
    <w:name w:val="Heading 8 Char"/>
    <w:basedOn w:val="DefaultParagraphFont"/>
    <w:link w:val="Heading8"/>
    <w:uiPriority w:val="9"/>
    <w:semiHidden/>
    <w:rsid w:val="00EF73E8"/>
    <w:rPr>
      <w:rFonts w:eastAsiaTheme="majorEastAsia" w:cstheme="majorBidi"/>
      <w:i/>
      <w:iCs/>
      <w:color w:val="272727" w:themeColor="text1" w:themeTint="D8"/>
      <w:kern w:val="0"/>
      <w:sz w:val="22"/>
      <w:szCs w:val="22"/>
      <w14:ligatures w14:val="none"/>
    </w:rPr>
  </w:style>
  <w:style w:type="character" w:customStyle="1" w:styleId="Heading9Char">
    <w:name w:val="Heading 9 Char"/>
    <w:basedOn w:val="DefaultParagraphFont"/>
    <w:link w:val="Heading9"/>
    <w:uiPriority w:val="9"/>
    <w:semiHidden/>
    <w:rsid w:val="00EF73E8"/>
    <w:rPr>
      <w:rFonts w:eastAsiaTheme="majorEastAsia" w:cstheme="majorBidi"/>
      <w:color w:val="272727" w:themeColor="text1" w:themeTint="D8"/>
      <w:kern w:val="0"/>
      <w:sz w:val="22"/>
      <w:szCs w:val="22"/>
      <w14:ligatures w14:val="none"/>
    </w:rPr>
  </w:style>
  <w:style w:type="paragraph" w:styleId="Title">
    <w:name w:val="Title"/>
    <w:basedOn w:val="Normal"/>
    <w:next w:val="Normal"/>
    <w:link w:val="TitleChar"/>
    <w:uiPriority w:val="10"/>
    <w:qFormat/>
    <w:rsid w:val="00EF7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3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3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3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3E8"/>
    <w:pPr>
      <w:spacing w:before="160"/>
      <w:jc w:val="center"/>
    </w:pPr>
    <w:rPr>
      <w:i/>
      <w:iCs/>
      <w:color w:val="404040" w:themeColor="text1" w:themeTint="BF"/>
    </w:rPr>
  </w:style>
  <w:style w:type="character" w:customStyle="1" w:styleId="QuoteChar">
    <w:name w:val="Quote Char"/>
    <w:basedOn w:val="DefaultParagraphFont"/>
    <w:link w:val="Quote"/>
    <w:uiPriority w:val="29"/>
    <w:rsid w:val="00EF73E8"/>
    <w:rPr>
      <w:i/>
      <w:iCs/>
      <w:color w:val="404040" w:themeColor="text1" w:themeTint="BF"/>
    </w:rPr>
  </w:style>
  <w:style w:type="paragraph" w:styleId="ListParagraph">
    <w:name w:val="List Paragraph"/>
    <w:basedOn w:val="Normal"/>
    <w:uiPriority w:val="34"/>
    <w:qFormat/>
    <w:rsid w:val="00EF73E8"/>
    <w:pPr>
      <w:ind w:left="720"/>
      <w:contextualSpacing/>
    </w:pPr>
  </w:style>
  <w:style w:type="character" w:styleId="IntenseEmphasis">
    <w:name w:val="Intense Emphasis"/>
    <w:basedOn w:val="DefaultParagraphFont"/>
    <w:uiPriority w:val="21"/>
    <w:qFormat/>
    <w:rsid w:val="00EF73E8"/>
    <w:rPr>
      <w:i/>
      <w:iCs/>
      <w:color w:val="2F5496" w:themeColor="accent1" w:themeShade="BF"/>
    </w:rPr>
  </w:style>
  <w:style w:type="paragraph" w:styleId="IntenseQuote">
    <w:name w:val="Intense Quote"/>
    <w:basedOn w:val="Normal"/>
    <w:next w:val="Normal"/>
    <w:link w:val="IntenseQuoteChar"/>
    <w:uiPriority w:val="30"/>
    <w:qFormat/>
    <w:rsid w:val="00EF7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73E8"/>
    <w:rPr>
      <w:i/>
      <w:iCs/>
      <w:color w:val="2F5496" w:themeColor="accent1" w:themeShade="BF"/>
    </w:rPr>
  </w:style>
  <w:style w:type="character" w:styleId="IntenseReference">
    <w:name w:val="Intense Reference"/>
    <w:basedOn w:val="DefaultParagraphFont"/>
    <w:uiPriority w:val="32"/>
    <w:qFormat/>
    <w:rsid w:val="00EF73E8"/>
    <w:rPr>
      <w:b/>
      <w:bCs/>
      <w:smallCaps/>
      <w:color w:val="2F5496" w:themeColor="accent1" w:themeShade="BF"/>
      <w:spacing w:val="5"/>
    </w:rPr>
  </w:style>
  <w:style w:type="table" w:styleId="TableGrid">
    <w:name w:val="Table Grid"/>
    <w:basedOn w:val="TableNormal"/>
    <w:uiPriority w:val="39"/>
    <w:rsid w:val="00EF73E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73E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F73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EF73E8"/>
    <w:rPr>
      <w:kern w:val="0"/>
      <w:sz w:val="22"/>
      <w:szCs w:val="22"/>
      <w14:ligatures w14:val="none"/>
    </w:rPr>
  </w:style>
  <w:style w:type="paragraph" w:styleId="Footer">
    <w:name w:val="footer"/>
    <w:basedOn w:val="Normal"/>
    <w:link w:val="FooterChar"/>
    <w:uiPriority w:val="99"/>
    <w:unhideWhenUsed/>
    <w:rsid w:val="00EF73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EF73E8"/>
    <w:rPr>
      <w:kern w:val="0"/>
      <w:sz w:val="22"/>
      <w:szCs w:val="22"/>
      <w14:ligatures w14:val="none"/>
    </w:rPr>
  </w:style>
  <w:style w:type="character" w:styleId="Emphasis">
    <w:name w:val="Emphasis"/>
    <w:basedOn w:val="DefaultParagraphFont"/>
    <w:uiPriority w:val="20"/>
    <w:qFormat/>
    <w:rsid w:val="001F60F6"/>
    <w:rPr>
      <w:i/>
      <w:iCs/>
    </w:rPr>
  </w:style>
  <w:style w:type="character" w:styleId="Hyperlink">
    <w:name w:val="Hyperlink"/>
    <w:basedOn w:val="DefaultParagraphFont"/>
    <w:uiPriority w:val="99"/>
    <w:unhideWhenUsed/>
    <w:rsid w:val="001009FB"/>
    <w:rPr>
      <w:color w:val="0563C1" w:themeColor="hyperlink"/>
      <w:u w:val="single"/>
    </w:rPr>
  </w:style>
  <w:style w:type="character" w:styleId="UnresolvedMention">
    <w:name w:val="Unresolved Mention"/>
    <w:basedOn w:val="DefaultParagraphFont"/>
    <w:uiPriority w:val="99"/>
    <w:semiHidden/>
    <w:unhideWhenUsed/>
    <w:rsid w:val="001009FB"/>
    <w:rPr>
      <w:color w:val="605E5C"/>
      <w:shd w:val="clear" w:color="auto" w:fill="E1DFDD"/>
    </w:rPr>
  </w:style>
  <w:style w:type="character" w:styleId="FollowedHyperlink">
    <w:name w:val="FollowedHyperlink"/>
    <w:basedOn w:val="DefaultParagraphFont"/>
    <w:uiPriority w:val="99"/>
    <w:semiHidden/>
    <w:unhideWhenUsed/>
    <w:rsid w:val="00E97F92"/>
    <w:rPr>
      <w:color w:val="954F72" w:themeColor="followedHyperlink"/>
      <w:u w:val="single"/>
    </w:rPr>
  </w:style>
  <w:style w:type="character" w:customStyle="1" w:styleId="relative">
    <w:name w:val="relative"/>
    <w:basedOn w:val="DefaultParagraphFont"/>
    <w:rsid w:val="003B182E"/>
  </w:style>
  <w:style w:type="character" w:customStyle="1" w:styleId="ms-1">
    <w:name w:val="ms-1"/>
    <w:basedOn w:val="DefaultParagraphFont"/>
    <w:rsid w:val="003B182E"/>
  </w:style>
  <w:style w:type="character" w:customStyle="1" w:styleId="max-w-full">
    <w:name w:val="max-w-full"/>
    <w:basedOn w:val="DefaultParagraphFont"/>
    <w:rsid w:val="003B182E"/>
  </w:style>
  <w:style w:type="character" w:customStyle="1" w:styleId="-me-1">
    <w:name w:val="-me-1"/>
    <w:basedOn w:val="DefaultParagraphFont"/>
    <w:rsid w:val="003B182E"/>
  </w:style>
  <w:style w:type="character" w:styleId="Strong">
    <w:name w:val="Strong"/>
    <w:basedOn w:val="DefaultParagraphFont"/>
    <w:uiPriority w:val="22"/>
    <w:qFormat/>
    <w:rsid w:val="00B70862"/>
    <w:rPr>
      <w:b/>
      <w:bCs/>
    </w:rPr>
  </w:style>
  <w:style w:type="paragraph" w:styleId="TOCHeading">
    <w:name w:val="TOC Heading"/>
    <w:basedOn w:val="Heading1"/>
    <w:next w:val="Normal"/>
    <w:uiPriority w:val="39"/>
    <w:unhideWhenUsed/>
    <w:qFormat/>
    <w:rsid w:val="00104969"/>
    <w:pPr>
      <w:bidi/>
      <w:spacing w:before="240" w:after="0"/>
      <w:outlineLvl w:val="9"/>
    </w:pPr>
    <w:rPr>
      <w:sz w:val="32"/>
      <w:szCs w:val="32"/>
      <w:rtl/>
    </w:rPr>
  </w:style>
  <w:style w:type="paragraph" w:styleId="TOC1">
    <w:name w:val="toc 1"/>
    <w:basedOn w:val="Normal"/>
    <w:next w:val="Normal"/>
    <w:autoRedefine/>
    <w:uiPriority w:val="39"/>
    <w:unhideWhenUsed/>
    <w:rsid w:val="00104969"/>
    <w:pPr>
      <w:spacing w:after="100"/>
    </w:pPr>
  </w:style>
  <w:style w:type="paragraph" w:styleId="TOC2">
    <w:name w:val="toc 2"/>
    <w:basedOn w:val="Normal"/>
    <w:next w:val="Normal"/>
    <w:autoRedefine/>
    <w:uiPriority w:val="39"/>
    <w:unhideWhenUsed/>
    <w:rsid w:val="00DB0AFE"/>
    <w:pPr>
      <w:spacing w:after="100"/>
      <w:ind w:left="220"/>
    </w:pPr>
  </w:style>
  <w:style w:type="paragraph" w:styleId="BalloonText">
    <w:name w:val="Balloon Text"/>
    <w:basedOn w:val="Normal"/>
    <w:link w:val="BalloonTextChar"/>
    <w:uiPriority w:val="99"/>
    <w:semiHidden/>
    <w:unhideWhenUsed/>
    <w:rsid w:val="00F76D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D05"/>
    <w:rPr>
      <w:rFonts w:ascii="Segoe UI" w:hAnsi="Segoe UI" w:cs="Segoe UI"/>
      <w:kern w:val="0"/>
      <w:sz w:val="18"/>
      <w:szCs w:val="18"/>
      <w14:ligatures w14:val="none"/>
    </w:rPr>
  </w:style>
  <w:style w:type="paragraph" w:styleId="NoSpacing">
    <w:name w:val="No Spacing"/>
    <w:uiPriority w:val="1"/>
    <w:qFormat/>
    <w:rsid w:val="00C92A71"/>
    <w:pPr>
      <w:spacing w:after="0" w:line="240" w:lineRule="auto"/>
    </w:pPr>
    <w:rPr>
      <w:kern w:val="0"/>
      <w:sz w:val="22"/>
      <w:szCs w:val="22"/>
      <w14:ligatures w14:val="none"/>
    </w:rPr>
  </w:style>
  <w:style w:type="numbering" w:customStyle="1" w:styleId="1">
    <w:name w:val="نمط1"/>
    <w:uiPriority w:val="99"/>
    <w:rsid w:val="00FE662A"/>
    <w:pPr>
      <w:numPr>
        <w:numId w:val="28"/>
      </w:numPr>
    </w:pPr>
  </w:style>
  <w:style w:type="table" w:styleId="GridTable4-Accent3">
    <w:name w:val="Grid Table 4 Accent 3"/>
    <w:basedOn w:val="TableNormal"/>
    <w:uiPriority w:val="49"/>
    <w:rsid w:val="00FE4BF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C969B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1188">
      <w:bodyDiv w:val="1"/>
      <w:marLeft w:val="0"/>
      <w:marRight w:val="0"/>
      <w:marTop w:val="0"/>
      <w:marBottom w:val="0"/>
      <w:divBdr>
        <w:top w:val="none" w:sz="0" w:space="0" w:color="auto"/>
        <w:left w:val="none" w:sz="0" w:space="0" w:color="auto"/>
        <w:bottom w:val="none" w:sz="0" w:space="0" w:color="auto"/>
        <w:right w:val="none" w:sz="0" w:space="0" w:color="auto"/>
      </w:divBdr>
    </w:div>
    <w:div w:id="45029477">
      <w:bodyDiv w:val="1"/>
      <w:marLeft w:val="0"/>
      <w:marRight w:val="0"/>
      <w:marTop w:val="0"/>
      <w:marBottom w:val="0"/>
      <w:divBdr>
        <w:top w:val="none" w:sz="0" w:space="0" w:color="auto"/>
        <w:left w:val="none" w:sz="0" w:space="0" w:color="auto"/>
        <w:bottom w:val="none" w:sz="0" w:space="0" w:color="auto"/>
        <w:right w:val="none" w:sz="0" w:space="0" w:color="auto"/>
      </w:divBdr>
    </w:div>
    <w:div w:id="63378558">
      <w:bodyDiv w:val="1"/>
      <w:marLeft w:val="0"/>
      <w:marRight w:val="0"/>
      <w:marTop w:val="0"/>
      <w:marBottom w:val="0"/>
      <w:divBdr>
        <w:top w:val="none" w:sz="0" w:space="0" w:color="auto"/>
        <w:left w:val="none" w:sz="0" w:space="0" w:color="auto"/>
        <w:bottom w:val="none" w:sz="0" w:space="0" w:color="auto"/>
        <w:right w:val="none" w:sz="0" w:space="0" w:color="auto"/>
      </w:divBdr>
      <w:divsChild>
        <w:div w:id="712001141">
          <w:marLeft w:val="0"/>
          <w:marRight w:val="0"/>
          <w:marTop w:val="0"/>
          <w:marBottom w:val="0"/>
          <w:divBdr>
            <w:top w:val="none" w:sz="0" w:space="0" w:color="auto"/>
            <w:left w:val="none" w:sz="0" w:space="0" w:color="auto"/>
            <w:bottom w:val="none" w:sz="0" w:space="0" w:color="auto"/>
            <w:right w:val="none" w:sz="0" w:space="0" w:color="auto"/>
          </w:divBdr>
        </w:div>
      </w:divsChild>
    </w:div>
    <w:div w:id="122622239">
      <w:bodyDiv w:val="1"/>
      <w:marLeft w:val="0"/>
      <w:marRight w:val="0"/>
      <w:marTop w:val="0"/>
      <w:marBottom w:val="0"/>
      <w:divBdr>
        <w:top w:val="none" w:sz="0" w:space="0" w:color="auto"/>
        <w:left w:val="none" w:sz="0" w:space="0" w:color="auto"/>
        <w:bottom w:val="none" w:sz="0" w:space="0" w:color="auto"/>
        <w:right w:val="none" w:sz="0" w:space="0" w:color="auto"/>
      </w:divBdr>
    </w:div>
    <w:div w:id="124011653">
      <w:bodyDiv w:val="1"/>
      <w:marLeft w:val="0"/>
      <w:marRight w:val="0"/>
      <w:marTop w:val="0"/>
      <w:marBottom w:val="0"/>
      <w:divBdr>
        <w:top w:val="none" w:sz="0" w:space="0" w:color="auto"/>
        <w:left w:val="none" w:sz="0" w:space="0" w:color="auto"/>
        <w:bottom w:val="none" w:sz="0" w:space="0" w:color="auto"/>
        <w:right w:val="none" w:sz="0" w:space="0" w:color="auto"/>
      </w:divBdr>
    </w:div>
    <w:div w:id="130291641">
      <w:bodyDiv w:val="1"/>
      <w:marLeft w:val="0"/>
      <w:marRight w:val="0"/>
      <w:marTop w:val="0"/>
      <w:marBottom w:val="0"/>
      <w:divBdr>
        <w:top w:val="none" w:sz="0" w:space="0" w:color="auto"/>
        <w:left w:val="none" w:sz="0" w:space="0" w:color="auto"/>
        <w:bottom w:val="none" w:sz="0" w:space="0" w:color="auto"/>
        <w:right w:val="none" w:sz="0" w:space="0" w:color="auto"/>
      </w:divBdr>
    </w:div>
    <w:div w:id="182403223">
      <w:bodyDiv w:val="1"/>
      <w:marLeft w:val="0"/>
      <w:marRight w:val="0"/>
      <w:marTop w:val="0"/>
      <w:marBottom w:val="0"/>
      <w:divBdr>
        <w:top w:val="none" w:sz="0" w:space="0" w:color="auto"/>
        <w:left w:val="none" w:sz="0" w:space="0" w:color="auto"/>
        <w:bottom w:val="none" w:sz="0" w:space="0" w:color="auto"/>
        <w:right w:val="none" w:sz="0" w:space="0" w:color="auto"/>
      </w:divBdr>
    </w:div>
    <w:div w:id="190581342">
      <w:bodyDiv w:val="1"/>
      <w:marLeft w:val="0"/>
      <w:marRight w:val="0"/>
      <w:marTop w:val="0"/>
      <w:marBottom w:val="0"/>
      <w:divBdr>
        <w:top w:val="none" w:sz="0" w:space="0" w:color="auto"/>
        <w:left w:val="none" w:sz="0" w:space="0" w:color="auto"/>
        <w:bottom w:val="none" w:sz="0" w:space="0" w:color="auto"/>
        <w:right w:val="none" w:sz="0" w:space="0" w:color="auto"/>
      </w:divBdr>
    </w:div>
    <w:div w:id="361369773">
      <w:bodyDiv w:val="1"/>
      <w:marLeft w:val="0"/>
      <w:marRight w:val="0"/>
      <w:marTop w:val="0"/>
      <w:marBottom w:val="0"/>
      <w:divBdr>
        <w:top w:val="none" w:sz="0" w:space="0" w:color="auto"/>
        <w:left w:val="none" w:sz="0" w:space="0" w:color="auto"/>
        <w:bottom w:val="none" w:sz="0" w:space="0" w:color="auto"/>
        <w:right w:val="none" w:sz="0" w:space="0" w:color="auto"/>
      </w:divBdr>
      <w:divsChild>
        <w:div w:id="846990953">
          <w:marLeft w:val="0"/>
          <w:marRight w:val="0"/>
          <w:marTop w:val="0"/>
          <w:marBottom w:val="0"/>
          <w:divBdr>
            <w:top w:val="none" w:sz="0" w:space="0" w:color="auto"/>
            <w:left w:val="none" w:sz="0" w:space="0" w:color="auto"/>
            <w:bottom w:val="none" w:sz="0" w:space="0" w:color="auto"/>
            <w:right w:val="none" w:sz="0" w:space="0" w:color="auto"/>
          </w:divBdr>
        </w:div>
        <w:div w:id="1288975955">
          <w:marLeft w:val="0"/>
          <w:marRight w:val="0"/>
          <w:marTop w:val="0"/>
          <w:marBottom w:val="0"/>
          <w:divBdr>
            <w:top w:val="none" w:sz="0" w:space="0" w:color="auto"/>
            <w:left w:val="none" w:sz="0" w:space="0" w:color="auto"/>
            <w:bottom w:val="none" w:sz="0" w:space="0" w:color="auto"/>
            <w:right w:val="none" w:sz="0" w:space="0" w:color="auto"/>
          </w:divBdr>
        </w:div>
        <w:div w:id="1917090549">
          <w:marLeft w:val="0"/>
          <w:marRight w:val="0"/>
          <w:marTop w:val="0"/>
          <w:marBottom w:val="0"/>
          <w:divBdr>
            <w:top w:val="none" w:sz="0" w:space="0" w:color="auto"/>
            <w:left w:val="none" w:sz="0" w:space="0" w:color="auto"/>
            <w:bottom w:val="none" w:sz="0" w:space="0" w:color="auto"/>
            <w:right w:val="none" w:sz="0" w:space="0" w:color="auto"/>
          </w:divBdr>
        </w:div>
      </w:divsChild>
    </w:div>
    <w:div w:id="366416684">
      <w:bodyDiv w:val="1"/>
      <w:marLeft w:val="0"/>
      <w:marRight w:val="0"/>
      <w:marTop w:val="0"/>
      <w:marBottom w:val="0"/>
      <w:divBdr>
        <w:top w:val="none" w:sz="0" w:space="0" w:color="auto"/>
        <w:left w:val="none" w:sz="0" w:space="0" w:color="auto"/>
        <w:bottom w:val="none" w:sz="0" w:space="0" w:color="auto"/>
        <w:right w:val="none" w:sz="0" w:space="0" w:color="auto"/>
      </w:divBdr>
    </w:div>
    <w:div w:id="422336164">
      <w:bodyDiv w:val="1"/>
      <w:marLeft w:val="0"/>
      <w:marRight w:val="0"/>
      <w:marTop w:val="0"/>
      <w:marBottom w:val="0"/>
      <w:divBdr>
        <w:top w:val="none" w:sz="0" w:space="0" w:color="auto"/>
        <w:left w:val="none" w:sz="0" w:space="0" w:color="auto"/>
        <w:bottom w:val="none" w:sz="0" w:space="0" w:color="auto"/>
        <w:right w:val="none" w:sz="0" w:space="0" w:color="auto"/>
      </w:divBdr>
    </w:div>
    <w:div w:id="458374496">
      <w:bodyDiv w:val="1"/>
      <w:marLeft w:val="0"/>
      <w:marRight w:val="0"/>
      <w:marTop w:val="0"/>
      <w:marBottom w:val="0"/>
      <w:divBdr>
        <w:top w:val="none" w:sz="0" w:space="0" w:color="auto"/>
        <w:left w:val="none" w:sz="0" w:space="0" w:color="auto"/>
        <w:bottom w:val="none" w:sz="0" w:space="0" w:color="auto"/>
        <w:right w:val="none" w:sz="0" w:space="0" w:color="auto"/>
      </w:divBdr>
    </w:div>
    <w:div w:id="592859264">
      <w:bodyDiv w:val="1"/>
      <w:marLeft w:val="0"/>
      <w:marRight w:val="0"/>
      <w:marTop w:val="0"/>
      <w:marBottom w:val="0"/>
      <w:divBdr>
        <w:top w:val="none" w:sz="0" w:space="0" w:color="auto"/>
        <w:left w:val="none" w:sz="0" w:space="0" w:color="auto"/>
        <w:bottom w:val="none" w:sz="0" w:space="0" w:color="auto"/>
        <w:right w:val="none" w:sz="0" w:space="0" w:color="auto"/>
      </w:divBdr>
    </w:div>
    <w:div w:id="813137360">
      <w:bodyDiv w:val="1"/>
      <w:marLeft w:val="0"/>
      <w:marRight w:val="0"/>
      <w:marTop w:val="0"/>
      <w:marBottom w:val="0"/>
      <w:divBdr>
        <w:top w:val="none" w:sz="0" w:space="0" w:color="auto"/>
        <w:left w:val="none" w:sz="0" w:space="0" w:color="auto"/>
        <w:bottom w:val="none" w:sz="0" w:space="0" w:color="auto"/>
        <w:right w:val="none" w:sz="0" w:space="0" w:color="auto"/>
      </w:divBdr>
    </w:div>
    <w:div w:id="858665171">
      <w:bodyDiv w:val="1"/>
      <w:marLeft w:val="0"/>
      <w:marRight w:val="0"/>
      <w:marTop w:val="0"/>
      <w:marBottom w:val="0"/>
      <w:divBdr>
        <w:top w:val="none" w:sz="0" w:space="0" w:color="auto"/>
        <w:left w:val="none" w:sz="0" w:space="0" w:color="auto"/>
        <w:bottom w:val="none" w:sz="0" w:space="0" w:color="auto"/>
        <w:right w:val="none" w:sz="0" w:space="0" w:color="auto"/>
      </w:divBdr>
    </w:div>
    <w:div w:id="882712616">
      <w:bodyDiv w:val="1"/>
      <w:marLeft w:val="0"/>
      <w:marRight w:val="0"/>
      <w:marTop w:val="0"/>
      <w:marBottom w:val="0"/>
      <w:divBdr>
        <w:top w:val="none" w:sz="0" w:space="0" w:color="auto"/>
        <w:left w:val="none" w:sz="0" w:space="0" w:color="auto"/>
        <w:bottom w:val="none" w:sz="0" w:space="0" w:color="auto"/>
        <w:right w:val="none" w:sz="0" w:space="0" w:color="auto"/>
      </w:divBdr>
    </w:div>
    <w:div w:id="884873786">
      <w:bodyDiv w:val="1"/>
      <w:marLeft w:val="0"/>
      <w:marRight w:val="0"/>
      <w:marTop w:val="0"/>
      <w:marBottom w:val="0"/>
      <w:divBdr>
        <w:top w:val="none" w:sz="0" w:space="0" w:color="auto"/>
        <w:left w:val="none" w:sz="0" w:space="0" w:color="auto"/>
        <w:bottom w:val="none" w:sz="0" w:space="0" w:color="auto"/>
        <w:right w:val="none" w:sz="0" w:space="0" w:color="auto"/>
      </w:divBdr>
    </w:div>
    <w:div w:id="886448998">
      <w:bodyDiv w:val="1"/>
      <w:marLeft w:val="0"/>
      <w:marRight w:val="0"/>
      <w:marTop w:val="0"/>
      <w:marBottom w:val="0"/>
      <w:divBdr>
        <w:top w:val="none" w:sz="0" w:space="0" w:color="auto"/>
        <w:left w:val="none" w:sz="0" w:space="0" w:color="auto"/>
        <w:bottom w:val="none" w:sz="0" w:space="0" w:color="auto"/>
        <w:right w:val="none" w:sz="0" w:space="0" w:color="auto"/>
      </w:divBdr>
    </w:div>
    <w:div w:id="1009212549">
      <w:bodyDiv w:val="1"/>
      <w:marLeft w:val="0"/>
      <w:marRight w:val="0"/>
      <w:marTop w:val="0"/>
      <w:marBottom w:val="0"/>
      <w:divBdr>
        <w:top w:val="none" w:sz="0" w:space="0" w:color="auto"/>
        <w:left w:val="none" w:sz="0" w:space="0" w:color="auto"/>
        <w:bottom w:val="none" w:sz="0" w:space="0" w:color="auto"/>
        <w:right w:val="none" w:sz="0" w:space="0" w:color="auto"/>
      </w:divBdr>
    </w:div>
    <w:div w:id="1012487750">
      <w:bodyDiv w:val="1"/>
      <w:marLeft w:val="0"/>
      <w:marRight w:val="0"/>
      <w:marTop w:val="0"/>
      <w:marBottom w:val="0"/>
      <w:divBdr>
        <w:top w:val="none" w:sz="0" w:space="0" w:color="auto"/>
        <w:left w:val="none" w:sz="0" w:space="0" w:color="auto"/>
        <w:bottom w:val="none" w:sz="0" w:space="0" w:color="auto"/>
        <w:right w:val="none" w:sz="0" w:space="0" w:color="auto"/>
      </w:divBdr>
    </w:div>
    <w:div w:id="1028020440">
      <w:bodyDiv w:val="1"/>
      <w:marLeft w:val="0"/>
      <w:marRight w:val="0"/>
      <w:marTop w:val="0"/>
      <w:marBottom w:val="0"/>
      <w:divBdr>
        <w:top w:val="none" w:sz="0" w:space="0" w:color="auto"/>
        <w:left w:val="none" w:sz="0" w:space="0" w:color="auto"/>
        <w:bottom w:val="none" w:sz="0" w:space="0" w:color="auto"/>
        <w:right w:val="none" w:sz="0" w:space="0" w:color="auto"/>
      </w:divBdr>
    </w:div>
    <w:div w:id="1043407048">
      <w:bodyDiv w:val="1"/>
      <w:marLeft w:val="0"/>
      <w:marRight w:val="0"/>
      <w:marTop w:val="0"/>
      <w:marBottom w:val="0"/>
      <w:divBdr>
        <w:top w:val="none" w:sz="0" w:space="0" w:color="auto"/>
        <w:left w:val="none" w:sz="0" w:space="0" w:color="auto"/>
        <w:bottom w:val="none" w:sz="0" w:space="0" w:color="auto"/>
        <w:right w:val="none" w:sz="0" w:space="0" w:color="auto"/>
      </w:divBdr>
    </w:div>
    <w:div w:id="1065763427">
      <w:bodyDiv w:val="1"/>
      <w:marLeft w:val="0"/>
      <w:marRight w:val="0"/>
      <w:marTop w:val="0"/>
      <w:marBottom w:val="0"/>
      <w:divBdr>
        <w:top w:val="none" w:sz="0" w:space="0" w:color="auto"/>
        <w:left w:val="none" w:sz="0" w:space="0" w:color="auto"/>
        <w:bottom w:val="none" w:sz="0" w:space="0" w:color="auto"/>
        <w:right w:val="none" w:sz="0" w:space="0" w:color="auto"/>
      </w:divBdr>
    </w:div>
    <w:div w:id="1142817670">
      <w:bodyDiv w:val="1"/>
      <w:marLeft w:val="0"/>
      <w:marRight w:val="0"/>
      <w:marTop w:val="0"/>
      <w:marBottom w:val="0"/>
      <w:divBdr>
        <w:top w:val="none" w:sz="0" w:space="0" w:color="auto"/>
        <w:left w:val="none" w:sz="0" w:space="0" w:color="auto"/>
        <w:bottom w:val="none" w:sz="0" w:space="0" w:color="auto"/>
        <w:right w:val="none" w:sz="0" w:space="0" w:color="auto"/>
      </w:divBdr>
    </w:div>
    <w:div w:id="1145507552">
      <w:bodyDiv w:val="1"/>
      <w:marLeft w:val="0"/>
      <w:marRight w:val="0"/>
      <w:marTop w:val="0"/>
      <w:marBottom w:val="0"/>
      <w:divBdr>
        <w:top w:val="none" w:sz="0" w:space="0" w:color="auto"/>
        <w:left w:val="none" w:sz="0" w:space="0" w:color="auto"/>
        <w:bottom w:val="none" w:sz="0" w:space="0" w:color="auto"/>
        <w:right w:val="none" w:sz="0" w:space="0" w:color="auto"/>
      </w:divBdr>
    </w:div>
    <w:div w:id="1280649118">
      <w:bodyDiv w:val="1"/>
      <w:marLeft w:val="0"/>
      <w:marRight w:val="0"/>
      <w:marTop w:val="0"/>
      <w:marBottom w:val="0"/>
      <w:divBdr>
        <w:top w:val="none" w:sz="0" w:space="0" w:color="auto"/>
        <w:left w:val="none" w:sz="0" w:space="0" w:color="auto"/>
        <w:bottom w:val="none" w:sz="0" w:space="0" w:color="auto"/>
        <w:right w:val="none" w:sz="0" w:space="0" w:color="auto"/>
      </w:divBdr>
    </w:div>
    <w:div w:id="1296136951">
      <w:bodyDiv w:val="1"/>
      <w:marLeft w:val="0"/>
      <w:marRight w:val="0"/>
      <w:marTop w:val="0"/>
      <w:marBottom w:val="0"/>
      <w:divBdr>
        <w:top w:val="none" w:sz="0" w:space="0" w:color="auto"/>
        <w:left w:val="none" w:sz="0" w:space="0" w:color="auto"/>
        <w:bottom w:val="none" w:sz="0" w:space="0" w:color="auto"/>
        <w:right w:val="none" w:sz="0" w:space="0" w:color="auto"/>
      </w:divBdr>
    </w:div>
    <w:div w:id="1471433337">
      <w:bodyDiv w:val="1"/>
      <w:marLeft w:val="0"/>
      <w:marRight w:val="0"/>
      <w:marTop w:val="0"/>
      <w:marBottom w:val="0"/>
      <w:divBdr>
        <w:top w:val="none" w:sz="0" w:space="0" w:color="auto"/>
        <w:left w:val="none" w:sz="0" w:space="0" w:color="auto"/>
        <w:bottom w:val="none" w:sz="0" w:space="0" w:color="auto"/>
        <w:right w:val="none" w:sz="0" w:space="0" w:color="auto"/>
      </w:divBdr>
    </w:div>
    <w:div w:id="1492714785">
      <w:bodyDiv w:val="1"/>
      <w:marLeft w:val="0"/>
      <w:marRight w:val="0"/>
      <w:marTop w:val="0"/>
      <w:marBottom w:val="0"/>
      <w:divBdr>
        <w:top w:val="none" w:sz="0" w:space="0" w:color="auto"/>
        <w:left w:val="none" w:sz="0" w:space="0" w:color="auto"/>
        <w:bottom w:val="none" w:sz="0" w:space="0" w:color="auto"/>
        <w:right w:val="none" w:sz="0" w:space="0" w:color="auto"/>
      </w:divBdr>
    </w:div>
    <w:div w:id="1510178651">
      <w:bodyDiv w:val="1"/>
      <w:marLeft w:val="0"/>
      <w:marRight w:val="0"/>
      <w:marTop w:val="0"/>
      <w:marBottom w:val="0"/>
      <w:divBdr>
        <w:top w:val="none" w:sz="0" w:space="0" w:color="auto"/>
        <w:left w:val="none" w:sz="0" w:space="0" w:color="auto"/>
        <w:bottom w:val="none" w:sz="0" w:space="0" w:color="auto"/>
        <w:right w:val="none" w:sz="0" w:space="0" w:color="auto"/>
      </w:divBdr>
    </w:div>
    <w:div w:id="1530293746">
      <w:bodyDiv w:val="1"/>
      <w:marLeft w:val="0"/>
      <w:marRight w:val="0"/>
      <w:marTop w:val="0"/>
      <w:marBottom w:val="0"/>
      <w:divBdr>
        <w:top w:val="none" w:sz="0" w:space="0" w:color="auto"/>
        <w:left w:val="none" w:sz="0" w:space="0" w:color="auto"/>
        <w:bottom w:val="none" w:sz="0" w:space="0" w:color="auto"/>
        <w:right w:val="none" w:sz="0" w:space="0" w:color="auto"/>
      </w:divBdr>
    </w:div>
    <w:div w:id="1544749848">
      <w:bodyDiv w:val="1"/>
      <w:marLeft w:val="0"/>
      <w:marRight w:val="0"/>
      <w:marTop w:val="0"/>
      <w:marBottom w:val="0"/>
      <w:divBdr>
        <w:top w:val="none" w:sz="0" w:space="0" w:color="auto"/>
        <w:left w:val="none" w:sz="0" w:space="0" w:color="auto"/>
        <w:bottom w:val="none" w:sz="0" w:space="0" w:color="auto"/>
        <w:right w:val="none" w:sz="0" w:space="0" w:color="auto"/>
      </w:divBdr>
      <w:divsChild>
        <w:div w:id="1064529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613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127152">
      <w:bodyDiv w:val="1"/>
      <w:marLeft w:val="0"/>
      <w:marRight w:val="0"/>
      <w:marTop w:val="0"/>
      <w:marBottom w:val="0"/>
      <w:divBdr>
        <w:top w:val="none" w:sz="0" w:space="0" w:color="auto"/>
        <w:left w:val="none" w:sz="0" w:space="0" w:color="auto"/>
        <w:bottom w:val="none" w:sz="0" w:space="0" w:color="auto"/>
        <w:right w:val="none" w:sz="0" w:space="0" w:color="auto"/>
      </w:divBdr>
    </w:div>
    <w:div w:id="1568110833">
      <w:bodyDiv w:val="1"/>
      <w:marLeft w:val="0"/>
      <w:marRight w:val="0"/>
      <w:marTop w:val="0"/>
      <w:marBottom w:val="0"/>
      <w:divBdr>
        <w:top w:val="none" w:sz="0" w:space="0" w:color="auto"/>
        <w:left w:val="none" w:sz="0" w:space="0" w:color="auto"/>
        <w:bottom w:val="none" w:sz="0" w:space="0" w:color="auto"/>
        <w:right w:val="none" w:sz="0" w:space="0" w:color="auto"/>
      </w:divBdr>
    </w:div>
    <w:div w:id="1651593764">
      <w:bodyDiv w:val="1"/>
      <w:marLeft w:val="0"/>
      <w:marRight w:val="0"/>
      <w:marTop w:val="0"/>
      <w:marBottom w:val="0"/>
      <w:divBdr>
        <w:top w:val="none" w:sz="0" w:space="0" w:color="auto"/>
        <w:left w:val="none" w:sz="0" w:space="0" w:color="auto"/>
        <w:bottom w:val="none" w:sz="0" w:space="0" w:color="auto"/>
        <w:right w:val="none" w:sz="0" w:space="0" w:color="auto"/>
      </w:divBdr>
      <w:divsChild>
        <w:div w:id="286085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229531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807785">
      <w:bodyDiv w:val="1"/>
      <w:marLeft w:val="0"/>
      <w:marRight w:val="0"/>
      <w:marTop w:val="0"/>
      <w:marBottom w:val="0"/>
      <w:divBdr>
        <w:top w:val="none" w:sz="0" w:space="0" w:color="auto"/>
        <w:left w:val="none" w:sz="0" w:space="0" w:color="auto"/>
        <w:bottom w:val="none" w:sz="0" w:space="0" w:color="auto"/>
        <w:right w:val="none" w:sz="0" w:space="0" w:color="auto"/>
      </w:divBdr>
    </w:div>
    <w:div w:id="1678920305">
      <w:bodyDiv w:val="1"/>
      <w:marLeft w:val="0"/>
      <w:marRight w:val="0"/>
      <w:marTop w:val="0"/>
      <w:marBottom w:val="0"/>
      <w:divBdr>
        <w:top w:val="none" w:sz="0" w:space="0" w:color="auto"/>
        <w:left w:val="none" w:sz="0" w:space="0" w:color="auto"/>
        <w:bottom w:val="none" w:sz="0" w:space="0" w:color="auto"/>
        <w:right w:val="none" w:sz="0" w:space="0" w:color="auto"/>
      </w:divBdr>
    </w:div>
    <w:div w:id="1702780759">
      <w:bodyDiv w:val="1"/>
      <w:marLeft w:val="0"/>
      <w:marRight w:val="0"/>
      <w:marTop w:val="0"/>
      <w:marBottom w:val="0"/>
      <w:divBdr>
        <w:top w:val="none" w:sz="0" w:space="0" w:color="auto"/>
        <w:left w:val="none" w:sz="0" w:space="0" w:color="auto"/>
        <w:bottom w:val="none" w:sz="0" w:space="0" w:color="auto"/>
        <w:right w:val="none" w:sz="0" w:space="0" w:color="auto"/>
      </w:divBdr>
    </w:div>
    <w:div w:id="1712614592">
      <w:bodyDiv w:val="1"/>
      <w:marLeft w:val="0"/>
      <w:marRight w:val="0"/>
      <w:marTop w:val="0"/>
      <w:marBottom w:val="0"/>
      <w:divBdr>
        <w:top w:val="none" w:sz="0" w:space="0" w:color="auto"/>
        <w:left w:val="none" w:sz="0" w:space="0" w:color="auto"/>
        <w:bottom w:val="none" w:sz="0" w:space="0" w:color="auto"/>
        <w:right w:val="none" w:sz="0" w:space="0" w:color="auto"/>
      </w:divBdr>
    </w:div>
    <w:div w:id="1766152785">
      <w:bodyDiv w:val="1"/>
      <w:marLeft w:val="0"/>
      <w:marRight w:val="0"/>
      <w:marTop w:val="0"/>
      <w:marBottom w:val="0"/>
      <w:divBdr>
        <w:top w:val="none" w:sz="0" w:space="0" w:color="auto"/>
        <w:left w:val="none" w:sz="0" w:space="0" w:color="auto"/>
        <w:bottom w:val="none" w:sz="0" w:space="0" w:color="auto"/>
        <w:right w:val="none" w:sz="0" w:space="0" w:color="auto"/>
      </w:divBdr>
    </w:div>
    <w:div w:id="1802572500">
      <w:bodyDiv w:val="1"/>
      <w:marLeft w:val="0"/>
      <w:marRight w:val="0"/>
      <w:marTop w:val="0"/>
      <w:marBottom w:val="0"/>
      <w:divBdr>
        <w:top w:val="none" w:sz="0" w:space="0" w:color="auto"/>
        <w:left w:val="none" w:sz="0" w:space="0" w:color="auto"/>
        <w:bottom w:val="none" w:sz="0" w:space="0" w:color="auto"/>
        <w:right w:val="none" w:sz="0" w:space="0" w:color="auto"/>
      </w:divBdr>
    </w:div>
    <w:div w:id="1828935975">
      <w:bodyDiv w:val="1"/>
      <w:marLeft w:val="0"/>
      <w:marRight w:val="0"/>
      <w:marTop w:val="0"/>
      <w:marBottom w:val="0"/>
      <w:divBdr>
        <w:top w:val="none" w:sz="0" w:space="0" w:color="auto"/>
        <w:left w:val="none" w:sz="0" w:space="0" w:color="auto"/>
        <w:bottom w:val="none" w:sz="0" w:space="0" w:color="auto"/>
        <w:right w:val="none" w:sz="0" w:space="0" w:color="auto"/>
      </w:divBdr>
    </w:div>
    <w:div w:id="1834569946">
      <w:bodyDiv w:val="1"/>
      <w:marLeft w:val="0"/>
      <w:marRight w:val="0"/>
      <w:marTop w:val="0"/>
      <w:marBottom w:val="0"/>
      <w:divBdr>
        <w:top w:val="none" w:sz="0" w:space="0" w:color="auto"/>
        <w:left w:val="none" w:sz="0" w:space="0" w:color="auto"/>
        <w:bottom w:val="none" w:sz="0" w:space="0" w:color="auto"/>
        <w:right w:val="none" w:sz="0" w:space="0" w:color="auto"/>
      </w:divBdr>
    </w:div>
    <w:div w:id="2045902988">
      <w:bodyDiv w:val="1"/>
      <w:marLeft w:val="0"/>
      <w:marRight w:val="0"/>
      <w:marTop w:val="0"/>
      <w:marBottom w:val="0"/>
      <w:divBdr>
        <w:top w:val="none" w:sz="0" w:space="0" w:color="auto"/>
        <w:left w:val="none" w:sz="0" w:space="0" w:color="auto"/>
        <w:bottom w:val="none" w:sz="0" w:space="0" w:color="auto"/>
        <w:right w:val="none" w:sz="0" w:space="0" w:color="auto"/>
      </w:divBdr>
    </w:div>
    <w:div w:id="2047295142">
      <w:bodyDiv w:val="1"/>
      <w:marLeft w:val="0"/>
      <w:marRight w:val="0"/>
      <w:marTop w:val="0"/>
      <w:marBottom w:val="0"/>
      <w:divBdr>
        <w:top w:val="none" w:sz="0" w:space="0" w:color="auto"/>
        <w:left w:val="none" w:sz="0" w:space="0" w:color="auto"/>
        <w:bottom w:val="none" w:sz="0" w:space="0" w:color="auto"/>
        <w:right w:val="none" w:sz="0" w:space="0" w:color="auto"/>
      </w:divBdr>
    </w:div>
    <w:div w:id="2047754843">
      <w:bodyDiv w:val="1"/>
      <w:marLeft w:val="0"/>
      <w:marRight w:val="0"/>
      <w:marTop w:val="0"/>
      <w:marBottom w:val="0"/>
      <w:divBdr>
        <w:top w:val="none" w:sz="0" w:space="0" w:color="auto"/>
        <w:left w:val="none" w:sz="0" w:space="0" w:color="auto"/>
        <w:bottom w:val="none" w:sz="0" w:space="0" w:color="auto"/>
        <w:right w:val="none" w:sz="0" w:space="0" w:color="auto"/>
      </w:divBdr>
    </w:div>
    <w:div w:id="2058822289">
      <w:bodyDiv w:val="1"/>
      <w:marLeft w:val="0"/>
      <w:marRight w:val="0"/>
      <w:marTop w:val="0"/>
      <w:marBottom w:val="0"/>
      <w:divBdr>
        <w:top w:val="none" w:sz="0" w:space="0" w:color="auto"/>
        <w:left w:val="none" w:sz="0" w:space="0" w:color="auto"/>
        <w:bottom w:val="none" w:sz="0" w:space="0" w:color="auto"/>
        <w:right w:val="none" w:sz="0" w:space="0" w:color="auto"/>
      </w:divBdr>
    </w:div>
    <w:div w:id="2085175664">
      <w:bodyDiv w:val="1"/>
      <w:marLeft w:val="0"/>
      <w:marRight w:val="0"/>
      <w:marTop w:val="0"/>
      <w:marBottom w:val="0"/>
      <w:divBdr>
        <w:top w:val="none" w:sz="0" w:space="0" w:color="auto"/>
        <w:left w:val="none" w:sz="0" w:space="0" w:color="auto"/>
        <w:bottom w:val="none" w:sz="0" w:space="0" w:color="auto"/>
        <w:right w:val="none" w:sz="0" w:space="0" w:color="auto"/>
      </w:divBdr>
    </w:div>
    <w:div w:id="2116779898">
      <w:bodyDiv w:val="1"/>
      <w:marLeft w:val="0"/>
      <w:marRight w:val="0"/>
      <w:marTop w:val="0"/>
      <w:marBottom w:val="0"/>
      <w:divBdr>
        <w:top w:val="none" w:sz="0" w:space="0" w:color="auto"/>
        <w:left w:val="none" w:sz="0" w:space="0" w:color="auto"/>
        <w:bottom w:val="none" w:sz="0" w:space="0" w:color="auto"/>
        <w:right w:val="none" w:sz="0" w:space="0" w:color="auto"/>
      </w:divBdr>
      <w:divsChild>
        <w:div w:id="26873232">
          <w:marLeft w:val="0"/>
          <w:marRight w:val="0"/>
          <w:marTop w:val="0"/>
          <w:marBottom w:val="0"/>
          <w:divBdr>
            <w:top w:val="none" w:sz="0" w:space="0" w:color="auto"/>
            <w:left w:val="none" w:sz="0" w:space="0" w:color="auto"/>
            <w:bottom w:val="none" w:sz="0" w:space="0" w:color="auto"/>
            <w:right w:val="none" w:sz="0" w:space="0" w:color="auto"/>
          </w:divBdr>
        </w:div>
        <w:div w:id="366756465">
          <w:marLeft w:val="0"/>
          <w:marRight w:val="0"/>
          <w:marTop w:val="0"/>
          <w:marBottom w:val="0"/>
          <w:divBdr>
            <w:top w:val="none" w:sz="0" w:space="0" w:color="auto"/>
            <w:left w:val="none" w:sz="0" w:space="0" w:color="auto"/>
            <w:bottom w:val="none" w:sz="0" w:space="0" w:color="auto"/>
            <w:right w:val="none" w:sz="0" w:space="0" w:color="auto"/>
          </w:divBdr>
        </w:div>
        <w:div w:id="724262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9:59:18.873"/>
    </inkml:context>
    <inkml:brush xml:id="br0">
      <inkml:brushProperty name="width" value="0.1" units="cm"/>
      <inkml:brushProperty name="height" value="0.1" units="cm"/>
      <inkml:brushProperty name="color" value="#008C3A"/>
    </inkml:brush>
  </inkml:definitions>
  <inkml:trace contextRef="#ctx0" brushRef="#br0">0 0 6553,'0'0'0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E5DF0-A693-4F28-B4E1-577134578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17959</Words>
  <Characters>102372</Characters>
  <Application>Microsoft Office Word</Application>
  <DocSecurity>0</DocSecurity>
  <Lines>853</Lines>
  <Paragraphs>240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maged hilal</dc:creator>
  <cp:keywords/>
  <dc:description/>
  <cp:lastModifiedBy>maged hilal</cp:lastModifiedBy>
  <cp:revision>2</cp:revision>
  <dcterms:created xsi:type="dcterms:W3CDTF">2026-08-15T07:31:00Z</dcterms:created>
  <dcterms:modified xsi:type="dcterms:W3CDTF">2026-08-15T07:31:00Z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