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ACD34" w14:textId="77777777" w:rsidR="007A7885" w:rsidRDefault="007A7885" w:rsidP="00B52AF6">
      <w:pPr>
        <w:spacing w:after="0"/>
        <w:jc w:val="center"/>
        <w:rPr>
          <w:rFonts w:hint="eastAsia"/>
        </w:rPr>
      </w:pPr>
      <w:r>
        <w:rPr>
          <w:noProof/>
        </w:rPr>
        <w:drawing>
          <wp:inline distT="0" distB="0" distL="0" distR="0" wp14:anchorId="726924D1" wp14:editId="46B64C94">
            <wp:extent cx="1872000" cy="17357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6"/>
                    <a:stretch>
                      <a:fillRect/>
                    </a:stretch>
                  </pic:blipFill>
                  <pic:spPr>
                    <a:xfrm>
                      <a:off x="0" y="0"/>
                      <a:ext cx="1872000" cy="1735791"/>
                    </a:xfrm>
                    <a:prstGeom prst="rect">
                      <a:avLst/>
                    </a:prstGeom>
                  </pic:spPr>
                </pic:pic>
              </a:graphicData>
            </a:graphic>
          </wp:inline>
        </w:drawing>
      </w:r>
    </w:p>
    <w:p w14:paraId="3BCF188F" w14:textId="77777777" w:rsidR="007A7885" w:rsidRPr="004A1593" w:rsidRDefault="007A7885" w:rsidP="004A1593">
      <w:pPr>
        <w:jc w:val="center"/>
        <w:rPr>
          <w:rFonts w:hint="eastAsia"/>
          <w:b/>
        </w:rPr>
      </w:pPr>
      <w:proofErr w:type="spellStart"/>
      <w:r w:rsidRPr="004A1593">
        <w:rPr>
          <w:rFonts w:ascii="Simplified Arabic" w:hAnsi="Simplified Arabic" w:cs="Simplified Arabic"/>
          <w:b/>
          <w:color w:val="000000"/>
          <w:sz w:val="40"/>
        </w:rPr>
        <w:t>جامعة</w:t>
      </w:r>
      <w:proofErr w:type="spellEnd"/>
      <w:r w:rsidRPr="004A1593">
        <w:rPr>
          <w:rFonts w:ascii="Simplified Arabic" w:hAnsi="Simplified Arabic" w:cs="Simplified Arabic"/>
          <w:b/>
          <w:color w:val="000000"/>
          <w:sz w:val="40"/>
        </w:rPr>
        <w:t xml:space="preserve"> </w:t>
      </w:r>
      <w:proofErr w:type="spellStart"/>
      <w:r w:rsidRPr="004A1593">
        <w:rPr>
          <w:rFonts w:ascii="Simplified Arabic" w:hAnsi="Simplified Arabic" w:cs="Simplified Arabic"/>
          <w:b/>
          <w:color w:val="000000"/>
          <w:sz w:val="40"/>
        </w:rPr>
        <w:t>ميدأوشن</w:t>
      </w:r>
      <w:proofErr w:type="spellEnd"/>
    </w:p>
    <w:p w14:paraId="12EE0988" w14:textId="77777777" w:rsidR="007A7885" w:rsidRPr="004A1593" w:rsidRDefault="007A7885" w:rsidP="004A1593">
      <w:pPr>
        <w:jc w:val="center"/>
        <w:rPr>
          <w:rFonts w:hint="eastAsia"/>
          <w:b/>
        </w:rPr>
      </w:pPr>
      <w:proofErr w:type="spellStart"/>
      <w:r w:rsidRPr="004A1593">
        <w:rPr>
          <w:rFonts w:ascii="Simplified Arabic" w:hAnsi="Simplified Arabic" w:cs="Simplified Arabic"/>
          <w:b/>
          <w:color w:val="000000"/>
          <w:sz w:val="36"/>
        </w:rPr>
        <w:t>كلية</w:t>
      </w:r>
      <w:proofErr w:type="spellEnd"/>
      <w:r w:rsidRPr="004A1593">
        <w:rPr>
          <w:rFonts w:ascii="Simplified Arabic" w:hAnsi="Simplified Arabic" w:cs="Simplified Arabic"/>
          <w:b/>
          <w:color w:val="000000"/>
          <w:sz w:val="36"/>
        </w:rPr>
        <w:t xml:space="preserve"> </w:t>
      </w:r>
      <w:proofErr w:type="spellStart"/>
      <w:r w:rsidRPr="004A1593">
        <w:rPr>
          <w:rFonts w:ascii="Simplified Arabic" w:hAnsi="Simplified Arabic" w:cs="Simplified Arabic"/>
          <w:b/>
          <w:color w:val="000000"/>
          <w:sz w:val="36"/>
        </w:rPr>
        <w:t>الإدارة</w:t>
      </w:r>
      <w:proofErr w:type="spellEnd"/>
    </w:p>
    <w:p w14:paraId="50F0693E" w14:textId="77777777" w:rsidR="007A7885" w:rsidRPr="004A1593" w:rsidRDefault="007A7885" w:rsidP="004A1593">
      <w:pPr>
        <w:jc w:val="center"/>
        <w:rPr>
          <w:rFonts w:hint="eastAsia"/>
          <w:b/>
        </w:rPr>
      </w:pPr>
      <w:proofErr w:type="spellStart"/>
      <w:r w:rsidRPr="004A1593">
        <w:rPr>
          <w:rFonts w:ascii="Simplified Arabic" w:hAnsi="Simplified Arabic" w:cs="Simplified Arabic"/>
          <w:b/>
          <w:color w:val="000000"/>
          <w:sz w:val="32"/>
        </w:rPr>
        <w:t>قسم</w:t>
      </w:r>
      <w:proofErr w:type="spellEnd"/>
      <w:r w:rsidRPr="004A1593">
        <w:rPr>
          <w:rFonts w:ascii="Simplified Arabic" w:hAnsi="Simplified Arabic" w:cs="Simplified Arabic"/>
          <w:b/>
          <w:color w:val="000000"/>
          <w:sz w:val="32"/>
        </w:rPr>
        <w:t xml:space="preserve"> / </w:t>
      </w:r>
      <w:proofErr w:type="spellStart"/>
      <w:r w:rsidRPr="004A1593">
        <w:rPr>
          <w:rFonts w:ascii="Simplified Arabic" w:hAnsi="Simplified Arabic" w:cs="Simplified Arabic"/>
          <w:b/>
          <w:color w:val="000000"/>
          <w:sz w:val="32"/>
        </w:rPr>
        <w:t>تخصص</w:t>
      </w:r>
      <w:proofErr w:type="spellEnd"/>
      <w:r w:rsidRPr="004A1593">
        <w:rPr>
          <w:rFonts w:ascii="Simplified Arabic" w:hAnsi="Simplified Arabic" w:cs="Simplified Arabic"/>
          <w:b/>
          <w:color w:val="000000"/>
          <w:sz w:val="32"/>
        </w:rPr>
        <w:t xml:space="preserve">: </w:t>
      </w:r>
      <w:proofErr w:type="spellStart"/>
      <w:r w:rsidRPr="004A1593">
        <w:rPr>
          <w:rFonts w:ascii="Simplified Arabic" w:hAnsi="Simplified Arabic" w:cs="Simplified Arabic"/>
          <w:b/>
          <w:color w:val="000000"/>
          <w:sz w:val="32"/>
        </w:rPr>
        <w:t>ماجستير</w:t>
      </w:r>
      <w:proofErr w:type="spellEnd"/>
      <w:r w:rsidRPr="004A1593">
        <w:rPr>
          <w:rFonts w:ascii="Simplified Arabic" w:hAnsi="Simplified Arabic" w:cs="Simplified Arabic"/>
          <w:b/>
          <w:color w:val="000000"/>
          <w:sz w:val="32"/>
        </w:rPr>
        <w:t xml:space="preserve"> </w:t>
      </w:r>
      <w:proofErr w:type="spellStart"/>
      <w:r w:rsidRPr="004A1593">
        <w:rPr>
          <w:rFonts w:ascii="Simplified Arabic" w:hAnsi="Simplified Arabic" w:cs="Simplified Arabic"/>
          <w:b/>
          <w:color w:val="000000"/>
          <w:sz w:val="32"/>
        </w:rPr>
        <w:t>إدارة</w:t>
      </w:r>
      <w:proofErr w:type="spellEnd"/>
      <w:r w:rsidRPr="004A1593">
        <w:rPr>
          <w:rFonts w:ascii="Simplified Arabic" w:hAnsi="Simplified Arabic" w:cs="Simplified Arabic"/>
          <w:b/>
          <w:color w:val="000000"/>
          <w:sz w:val="32"/>
        </w:rPr>
        <w:t xml:space="preserve"> </w:t>
      </w:r>
      <w:proofErr w:type="spellStart"/>
      <w:r w:rsidRPr="004A1593">
        <w:rPr>
          <w:rFonts w:ascii="Simplified Arabic" w:hAnsi="Simplified Arabic" w:cs="Simplified Arabic"/>
          <w:b/>
          <w:color w:val="000000"/>
          <w:sz w:val="32"/>
        </w:rPr>
        <w:t>الموارد</w:t>
      </w:r>
      <w:proofErr w:type="spellEnd"/>
      <w:r w:rsidRPr="004A1593">
        <w:rPr>
          <w:rFonts w:ascii="Simplified Arabic" w:hAnsi="Simplified Arabic" w:cs="Simplified Arabic"/>
          <w:b/>
          <w:color w:val="000000"/>
          <w:sz w:val="32"/>
        </w:rPr>
        <w:t xml:space="preserve"> </w:t>
      </w:r>
      <w:proofErr w:type="spellStart"/>
      <w:r w:rsidRPr="004A1593">
        <w:rPr>
          <w:rFonts w:ascii="Simplified Arabic" w:hAnsi="Simplified Arabic" w:cs="Simplified Arabic"/>
          <w:b/>
          <w:color w:val="000000"/>
          <w:sz w:val="32"/>
        </w:rPr>
        <w:t>البشرية</w:t>
      </w:r>
      <w:proofErr w:type="spellEnd"/>
    </w:p>
    <w:p w14:paraId="32024A43" w14:textId="77777777" w:rsidR="007A7885" w:rsidRPr="004A1593" w:rsidRDefault="007A7885" w:rsidP="004A1593">
      <w:pPr>
        <w:spacing w:after="200"/>
        <w:jc w:val="center"/>
        <w:rPr>
          <w:rFonts w:hint="eastAsia"/>
          <w:b/>
        </w:rPr>
      </w:pPr>
      <w:proofErr w:type="spellStart"/>
      <w:r w:rsidRPr="004A1593">
        <w:rPr>
          <w:rFonts w:ascii="Simplified Arabic" w:hAnsi="Simplified Arabic" w:cs="Simplified Arabic"/>
          <w:b/>
          <w:color w:val="000000"/>
          <w:sz w:val="36"/>
        </w:rPr>
        <w:t>بحث</w:t>
      </w:r>
      <w:proofErr w:type="spellEnd"/>
      <w:r w:rsidRPr="004A1593">
        <w:rPr>
          <w:rFonts w:ascii="Simplified Arabic" w:hAnsi="Simplified Arabic" w:cs="Simplified Arabic"/>
          <w:b/>
          <w:color w:val="000000"/>
          <w:sz w:val="36"/>
        </w:rPr>
        <w:t xml:space="preserve"> </w:t>
      </w:r>
      <w:proofErr w:type="spellStart"/>
      <w:r w:rsidRPr="004A1593">
        <w:rPr>
          <w:rFonts w:ascii="Simplified Arabic" w:hAnsi="Simplified Arabic" w:cs="Simplified Arabic"/>
          <w:b/>
          <w:color w:val="000000"/>
          <w:sz w:val="36"/>
        </w:rPr>
        <w:t>ماجستير</w:t>
      </w:r>
      <w:proofErr w:type="spellEnd"/>
    </w:p>
    <w:p w14:paraId="1CE7C4E8" w14:textId="77777777" w:rsidR="007A7885" w:rsidRPr="004A1593" w:rsidRDefault="007A7885" w:rsidP="004A1593">
      <w:pPr>
        <w:jc w:val="center"/>
        <w:rPr>
          <w:rFonts w:hint="eastAsia"/>
          <w:b/>
        </w:rPr>
      </w:pPr>
      <w:proofErr w:type="spellStart"/>
      <w:r w:rsidRPr="004A1593">
        <w:rPr>
          <w:rFonts w:ascii="Simplified Arabic" w:hAnsi="Simplified Arabic" w:cs="Simplified Arabic"/>
          <w:b/>
          <w:color w:val="000000"/>
          <w:sz w:val="40"/>
        </w:rPr>
        <w:t>دور</w:t>
      </w:r>
      <w:proofErr w:type="spellEnd"/>
      <w:r w:rsidRPr="004A1593">
        <w:rPr>
          <w:rFonts w:ascii="Simplified Arabic" w:hAnsi="Simplified Arabic" w:cs="Simplified Arabic"/>
          <w:b/>
          <w:color w:val="000000"/>
          <w:sz w:val="40"/>
        </w:rPr>
        <w:t xml:space="preserve"> </w:t>
      </w:r>
      <w:proofErr w:type="spellStart"/>
      <w:r w:rsidRPr="004A1593">
        <w:rPr>
          <w:rFonts w:ascii="Simplified Arabic" w:hAnsi="Simplified Arabic" w:cs="Simplified Arabic"/>
          <w:b/>
          <w:color w:val="000000"/>
          <w:sz w:val="40"/>
        </w:rPr>
        <w:t>أنظمة</w:t>
      </w:r>
      <w:proofErr w:type="spellEnd"/>
      <w:r w:rsidRPr="004A1593">
        <w:rPr>
          <w:rFonts w:ascii="Simplified Arabic" w:hAnsi="Simplified Arabic" w:cs="Simplified Arabic"/>
          <w:b/>
          <w:color w:val="000000"/>
          <w:sz w:val="40"/>
        </w:rPr>
        <w:t xml:space="preserve"> </w:t>
      </w:r>
      <w:proofErr w:type="spellStart"/>
      <w:r w:rsidRPr="004A1593">
        <w:rPr>
          <w:rFonts w:ascii="Simplified Arabic" w:hAnsi="Simplified Arabic" w:cs="Simplified Arabic"/>
          <w:b/>
          <w:color w:val="000000"/>
          <w:sz w:val="40"/>
        </w:rPr>
        <w:t>الموارد</w:t>
      </w:r>
      <w:proofErr w:type="spellEnd"/>
      <w:r w:rsidRPr="004A1593">
        <w:rPr>
          <w:rFonts w:ascii="Simplified Arabic" w:hAnsi="Simplified Arabic" w:cs="Simplified Arabic"/>
          <w:b/>
          <w:color w:val="000000"/>
          <w:sz w:val="40"/>
        </w:rPr>
        <w:t xml:space="preserve"> </w:t>
      </w:r>
      <w:proofErr w:type="spellStart"/>
      <w:r w:rsidRPr="004A1593">
        <w:rPr>
          <w:rFonts w:ascii="Simplified Arabic" w:hAnsi="Simplified Arabic" w:cs="Simplified Arabic"/>
          <w:b/>
          <w:color w:val="000000"/>
          <w:sz w:val="40"/>
        </w:rPr>
        <w:t>البشرية</w:t>
      </w:r>
      <w:proofErr w:type="spellEnd"/>
      <w:r w:rsidRPr="004A1593">
        <w:rPr>
          <w:rFonts w:ascii="Simplified Arabic" w:hAnsi="Simplified Arabic" w:cs="Simplified Arabic"/>
          <w:b/>
          <w:color w:val="000000"/>
          <w:sz w:val="40"/>
        </w:rPr>
        <w:t xml:space="preserve"> </w:t>
      </w:r>
      <w:proofErr w:type="spellStart"/>
      <w:r w:rsidRPr="004A1593">
        <w:rPr>
          <w:rFonts w:ascii="Simplified Arabic" w:hAnsi="Simplified Arabic" w:cs="Simplified Arabic"/>
          <w:b/>
          <w:color w:val="000000"/>
          <w:sz w:val="40"/>
        </w:rPr>
        <w:t>الرقمية</w:t>
      </w:r>
      <w:proofErr w:type="spellEnd"/>
      <w:r w:rsidRPr="004A1593">
        <w:rPr>
          <w:rFonts w:ascii="Simplified Arabic" w:hAnsi="Simplified Arabic" w:cs="Simplified Arabic"/>
          <w:b/>
          <w:color w:val="000000"/>
          <w:sz w:val="40"/>
        </w:rPr>
        <w:t xml:space="preserve"> </w:t>
      </w:r>
      <w:proofErr w:type="spellStart"/>
      <w:r w:rsidRPr="004A1593">
        <w:rPr>
          <w:rFonts w:ascii="Simplified Arabic" w:hAnsi="Simplified Arabic" w:cs="Simplified Arabic"/>
          <w:b/>
          <w:color w:val="000000"/>
          <w:sz w:val="40"/>
        </w:rPr>
        <w:t>في</w:t>
      </w:r>
      <w:proofErr w:type="spellEnd"/>
      <w:r w:rsidRPr="004A1593">
        <w:rPr>
          <w:rFonts w:ascii="Simplified Arabic" w:hAnsi="Simplified Arabic" w:cs="Simplified Arabic"/>
          <w:b/>
          <w:color w:val="000000"/>
          <w:sz w:val="40"/>
        </w:rPr>
        <w:t xml:space="preserve"> </w:t>
      </w:r>
      <w:proofErr w:type="spellStart"/>
      <w:r w:rsidRPr="004A1593">
        <w:rPr>
          <w:rFonts w:ascii="Simplified Arabic" w:hAnsi="Simplified Arabic" w:cs="Simplified Arabic"/>
          <w:b/>
          <w:color w:val="000000"/>
          <w:sz w:val="40"/>
        </w:rPr>
        <w:t>تحسين</w:t>
      </w:r>
      <w:proofErr w:type="spellEnd"/>
      <w:r w:rsidRPr="004A1593">
        <w:rPr>
          <w:rFonts w:ascii="Simplified Arabic" w:hAnsi="Simplified Arabic" w:cs="Simplified Arabic"/>
          <w:b/>
          <w:color w:val="000000"/>
          <w:sz w:val="40"/>
        </w:rPr>
        <w:t xml:space="preserve"> </w:t>
      </w:r>
      <w:proofErr w:type="spellStart"/>
      <w:r w:rsidRPr="004A1593">
        <w:rPr>
          <w:rFonts w:ascii="Simplified Arabic" w:hAnsi="Simplified Arabic" w:cs="Simplified Arabic"/>
          <w:b/>
          <w:color w:val="000000"/>
          <w:sz w:val="40"/>
        </w:rPr>
        <w:t>دقة</w:t>
      </w:r>
      <w:proofErr w:type="spellEnd"/>
      <w:r w:rsidRPr="004A1593">
        <w:rPr>
          <w:rFonts w:ascii="Simplified Arabic" w:hAnsi="Simplified Arabic" w:cs="Simplified Arabic"/>
          <w:b/>
          <w:color w:val="000000"/>
          <w:sz w:val="40"/>
        </w:rPr>
        <w:t xml:space="preserve"> </w:t>
      </w:r>
      <w:proofErr w:type="spellStart"/>
      <w:r w:rsidRPr="004A1593">
        <w:rPr>
          <w:rFonts w:ascii="Simplified Arabic" w:hAnsi="Simplified Arabic" w:cs="Simplified Arabic"/>
          <w:b/>
          <w:color w:val="000000"/>
          <w:sz w:val="40"/>
        </w:rPr>
        <w:t>مسير</w:t>
      </w:r>
      <w:proofErr w:type="spellEnd"/>
      <w:r w:rsidRPr="004A1593">
        <w:rPr>
          <w:rFonts w:ascii="Simplified Arabic" w:hAnsi="Simplified Arabic" w:cs="Simplified Arabic"/>
          <w:b/>
          <w:color w:val="000000"/>
          <w:sz w:val="40"/>
        </w:rPr>
        <w:t xml:space="preserve"> </w:t>
      </w:r>
      <w:proofErr w:type="spellStart"/>
      <w:r w:rsidRPr="004A1593">
        <w:rPr>
          <w:rFonts w:ascii="Simplified Arabic" w:hAnsi="Simplified Arabic" w:cs="Simplified Arabic"/>
          <w:b/>
          <w:color w:val="000000"/>
          <w:sz w:val="40"/>
        </w:rPr>
        <w:t>الرواتب</w:t>
      </w:r>
      <w:proofErr w:type="spellEnd"/>
    </w:p>
    <w:p w14:paraId="0279C696" w14:textId="77777777" w:rsidR="007A7885" w:rsidRPr="004A1593" w:rsidRDefault="007A7885" w:rsidP="004A1593">
      <w:pPr>
        <w:jc w:val="center"/>
        <w:rPr>
          <w:rFonts w:hint="eastAsia"/>
          <w:b/>
        </w:rPr>
      </w:pPr>
      <w:proofErr w:type="spellStart"/>
      <w:r w:rsidRPr="004A1593">
        <w:rPr>
          <w:rFonts w:ascii="Simplified Arabic" w:hAnsi="Simplified Arabic" w:cs="Simplified Arabic"/>
          <w:b/>
          <w:color w:val="000000"/>
          <w:sz w:val="32"/>
        </w:rPr>
        <w:t>إعداد</w:t>
      </w:r>
      <w:proofErr w:type="spellEnd"/>
      <w:r w:rsidRPr="004A1593">
        <w:rPr>
          <w:rFonts w:ascii="Simplified Arabic" w:hAnsi="Simplified Arabic" w:cs="Simplified Arabic"/>
          <w:b/>
          <w:color w:val="000000"/>
          <w:sz w:val="32"/>
        </w:rPr>
        <w:t xml:space="preserve"> </w:t>
      </w:r>
      <w:proofErr w:type="spellStart"/>
      <w:r w:rsidRPr="004A1593">
        <w:rPr>
          <w:rFonts w:ascii="Simplified Arabic" w:hAnsi="Simplified Arabic" w:cs="Simplified Arabic"/>
          <w:b/>
          <w:color w:val="000000"/>
          <w:sz w:val="32"/>
        </w:rPr>
        <w:t>الطالب</w:t>
      </w:r>
      <w:proofErr w:type="spellEnd"/>
    </w:p>
    <w:p w14:paraId="14C414DA" w14:textId="77777777" w:rsidR="007A7885" w:rsidRPr="004A1593" w:rsidRDefault="007A7885" w:rsidP="004A1593">
      <w:pPr>
        <w:jc w:val="center"/>
        <w:rPr>
          <w:rFonts w:hint="eastAsia"/>
          <w:b/>
        </w:rPr>
      </w:pPr>
      <w:proofErr w:type="spellStart"/>
      <w:r w:rsidRPr="004A1593">
        <w:rPr>
          <w:rFonts w:ascii="Simplified Arabic" w:hAnsi="Simplified Arabic" w:cs="Simplified Arabic"/>
          <w:b/>
          <w:color w:val="000000"/>
          <w:sz w:val="36"/>
        </w:rPr>
        <w:t>مشعل</w:t>
      </w:r>
      <w:proofErr w:type="spellEnd"/>
      <w:r w:rsidRPr="004A1593">
        <w:rPr>
          <w:rFonts w:ascii="Simplified Arabic" w:hAnsi="Simplified Arabic" w:cs="Simplified Arabic"/>
          <w:b/>
          <w:color w:val="000000"/>
          <w:sz w:val="36"/>
        </w:rPr>
        <w:t xml:space="preserve"> </w:t>
      </w:r>
      <w:proofErr w:type="spellStart"/>
      <w:r w:rsidRPr="004A1593">
        <w:rPr>
          <w:rFonts w:ascii="Simplified Arabic" w:hAnsi="Simplified Arabic" w:cs="Simplified Arabic"/>
          <w:b/>
          <w:color w:val="000000"/>
          <w:sz w:val="36"/>
        </w:rPr>
        <w:t>عبدالله</w:t>
      </w:r>
      <w:proofErr w:type="spellEnd"/>
      <w:r w:rsidRPr="004A1593">
        <w:rPr>
          <w:rFonts w:ascii="Simplified Arabic" w:hAnsi="Simplified Arabic" w:cs="Simplified Arabic"/>
          <w:b/>
          <w:color w:val="000000"/>
          <w:sz w:val="36"/>
        </w:rPr>
        <w:t xml:space="preserve"> </w:t>
      </w:r>
      <w:proofErr w:type="spellStart"/>
      <w:r w:rsidRPr="004A1593">
        <w:rPr>
          <w:rFonts w:ascii="Simplified Arabic" w:hAnsi="Simplified Arabic" w:cs="Simplified Arabic"/>
          <w:b/>
          <w:color w:val="000000"/>
          <w:sz w:val="36"/>
        </w:rPr>
        <w:t>الزويد</w:t>
      </w:r>
      <w:proofErr w:type="spellEnd"/>
    </w:p>
    <w:p w14:paraId="4160B70E" w14:textId="77777777" w:rsidR="007A7885" w:rsidRPr="004A1593" w:rsidRDefault="007A7885" w:rsidP="004A1593">
      <w:pPr>
        <w:jc w:val="center"/>
        <w:rPr>
          <w:rFonts w:hint="cs"/>
          <w:b/>
        </w:rPr>
      </w:pPr>
      <w:proofErr w:type="spellStart"/>
      <w:r w:rsidRPr="004A1593">
        <w:rPr>
          <w:rFonts w:ascii="Simplified Arabic" w:hAnsi="Simplified Arabic" w:cs="Simplified Arabic"/>
          <w:b/>
          <w:color w:val="000000"/>
          <w:sz w:val="28"/>
        </w:rPr>
        <w:t>الرقم</w:t>
      </w:r>
      <w:proofErr w:type="spellEnd"/>
      <w:r w:rsidRPr="004A1593">
        <w:rPr>
          <w:rFonts w:ascii="Simplified Arabic" w:hAnsi="Simplified Arabic" w:cs="Simplified Arabic"/>
          <w:b/>
          <w:color w:val="000000"/>
          <w:sz w:val="28"/>
        </w:rPr>
        <w:t xml:space="preserve"> </w:t>
      </w:r>
      <w:proofErr w:type="spellStart"/>
      <w:r w:rsidRPr="004A1593">
        <w:rPr>
          <w:rFonts w:ascii="Simplified Arabic" w:hAnsi="Simplified Arabic" w:cs="Simplified Arabic"/>
          <w:b/>
          <w:color w:val="000000"/>
          <w:sz w:val="28"/>
        </w:rPr>
        <w:t>الأكاديمي</w:t>
      </w:r>
      <w:proofErr w:type="spellEnd"/>
      <w:r w:rsidRPr="004A1593">
        <w:rPr>
          <w:rFonts w:ascii="Simplified Arabic" w:hAnsi="Simplified Arabic" w:cs="Simplified Arabic"/>
          <w:b/>
          <w:color w:val="000000"/>
          <w:sz w:val="28"/>
        </w:rPr>
        <w:t xml:space="preserve">: </w:t>
      </w:r>
      <w:r w:rsidRPr="004A1593">
        <w:rPr>
          <w:b/>
          <w:color w:val="000000"/>
          <w:sz w:val="28"/>
        </w:rPr>
        <w:t>252000081</w:t>
      </w:r>
    </w:p>
    <w:p w14:paraId="365B65FC" w14:textId="3619827C" w:rsidR="007A7885" w:rsidRPr="00411F83" w:rsidRDefault="00411F83" w:rsidP="004A1593">
      <w:pPr>
        <w:jc w:val="center"/>
        <w:rPr>
          <w:rFonts w:hint="cs"/>
          <w:bCs/>
          <w:sz w:val="36"/>
          <w:szCs w:val="36"/>
          <w:rtl/>
        </w:rPr>
      </w:pPr>
      <w:r w:rsidRPr="00411F83">
        <w:rPr>
          <w:rFonts w:ascii="Simplified Arabic" w:hAnsi="Simplified Arabic" w:cs="Simplified Arabic" w:hint="cs"/>
          <w:bCs/>
          <w:color w:val="000000"/>
          <w:sz w:val="36"/>
          <w:szCs w:val="36"/>
          <w:rtl/>
        </w:rPr>
        <w:t xml:space="preserve">إشراف </w:t>
      </w:r>
      <w:r>
        <w:rPr>
          <w:rFonts w:ascii="Simplified Arabic" w:hAnsi="Simplified Arabic" w:cs="Simplified Arabic" w:hint="cs"/>
          <w:bCs/>
          <w:color w:val="000000"/>
          <w:sz w:val="36"/>
          <w:szCs w:val="36"/>
          <w:rtl/>
        </w:rPr>
        <w:t>:</w:t>
      </w:r>
    </w:p>
    <w:p w14:paraId="6B643C7A" w14:textId="77777777" w:rsidR="007A7885" w:rsidRPr="00411F83" w:rsidRDefault="007A7885" w:rsidP="004A1593">
      <w:pPr>
        <w:jc w:val="center"/>
        <w:rPr>
          <w:rFonts w:hint="eastAsia"/>
          <w:b/>
          <w:sz w:val="36"/>
          <w:szCs w:val="36"/>
        </w:rPr>
      </w:pPr>
      <w:proofErr w:type="spellStart"/>
      <w:r w:rsidRPr="00411F83">
        <w:rPr>
          <w:rFonts w:ascii="Simplified Arabic" w:hAnsi="Simplified Arabic" w:cs="Simplified Arabic"/>
          <w:b/>
          <w:color w:val="000000"/>
          <w:sz w:val="36"/>
          <w:szCs w:val="36"/>
        </w:rPr>
        <w:t>د.الفيصل</w:t>
      </w:r>
      <w:proofErr w:type="spellEnd"/>
      <w:r w:rsidRPr="00411F83">
        <w:rPr>
          <w:rFonts w:ascii="Simplified Arabic" w:hAnsi="Simplified Arabic" w:cs="Simplified Arabic"/>
          <w:b/>
          <w:color w:val="000000"/>
          <w:sz w:val="36"/>
          <w:szCs w:val="36"/>
        </w:rPr>
        <w:t xml:space="preserve"> </w:t>
      </w:r>
      <w:proofErr w:type="spellStart"/>
      <w:r w:rsidRPr="00411F83">
        <w:rPr>
          <w:rFonts w:ascii="Simplified Arabic" w:hAnsi="Simplified Arabic" w:cs="Simplified Arabic"/>
          <w:b/>
          <w:color w:val="000000"/>
          <w:sz w:val="36"/>
          <w:szCs w:val="36"/>
        </w:rPr>
        <w:t>عبد</w:t>
      </w:r>
      <w:proofErr w:type="spellEnd"/>
      <w:r w:rsidRPr="00411F83">
        <w:rPr>
          <w:rFonts w:ascii="Simplified Arabic" w:hAnsi="Simplified Arabic" w:cs="Simplified Arabic"/>
          <w:b/>
          <w:color w:val="000000"/>
          <w:sz w:val="36"/>
          <w:szCs w:val="36"/>
        </w:rPr>
        <w:t xml:space="preserve"> </w:t>
      </w:r>
      <w:proofErr w:type="spellStart"/>
      <w:r w:rsidRPr="00411F83">
        <w:rPr>
          <w:rFonts w:ascii="Simplified Arabic" w:hAnsi="Simplified Arabic" w:cs="Simplified Arabic"/>
          <w:b/>
          <w:color w:val="000000"/>
          <w:sz w:val="36"/>
          <w:szCs w:val="36"/>
        </w:rPr>
        <w:t>الحميد</w:t>
      </w:r>
      <w:proofErr w:type="spellEnd"/>
    </w:p>
    <w:p w14:paraId="7F70FC8B" w14:textId="77777777" w:rsidR="007A7885" w:rsidRPr="00411F83" w:rsidRDefault="007A7885" w:rsidP="004A1593">
      <w:pPr>
        <w:jc w:val="center"/>
        <w:rPr>
          <w:rFonts w:hint="cs"/>
          <w:b/>
          <w:sz w:val="32"/>
          <w:szCs w:val="32"/>
          <w:rtl/>
        </w:rPr>
      </w:pPr>
      <w:proofErr w:type="spellStart"/>
      <w:r w:rsidRPr="00411F83">
        <w:rPr>
          <w:rFonts w:ascii="Simplified Arabic" w:hAnsi="Simplified Arabic" w:cs="Simplified Arabic"/>
          <w:b/>
          <w:color w:val="000000"/>
          <w:sz w:val="36"/>
          <w:szCs w:val="36"/>
        </w:rPr>
        <w:t>د.فايز</w:t>
      </w:r>
      <w:proofErr w:type="spellEnd"/>
      <w:r w:rsidRPr="00411F83">
        <w:rPr>
          <w:rFonts w:ascii="Simplified Arabic" w:hAnsi="Simplified Arabic" w:cs="Simplified Arabic"/>
          <w:b/>
          <w:color w:val="000000"/>
          <w:sz w:val="36"/>
          <w:szCs w:val="36"/>
        </w:rPr>
        <w:t xml:space="preserve"> </w:t>
      </w:r>
      <w:proofErr w:type="spellStart"/>
      <w:r w:rsidRPr="00411F83">
        <w:rPr>
          <w:rFonts w:ascii="Simplified Arabic" w:hAnsi="Simplified Arabic" w:cs="Simplified Arabic"/>
          <w:b/>
          <w:color w:val="000000"/>
          <w:sz w:val="36"/>
          <w:szCs w:val="36"/>
        </w:rPr>
        <w:t>جراد</w:t>
      </w:r>
      <w:proofErr w:type="spellEnd"/>
    </w:p>
    <w:p w14:paraId="2C9553D0" w14:textId="77777777" w:rsidR="007A7885" w:rsidRPr="004A1593" w:rsidRDefault="007A7885" w:rsidP="004A1593">
      <w:pPr>
        <w:jc w:val="center"/>
        <w:rPr>
          <w:rFonts w:hint="eastAsia"/>
          <w:b/>
        </w:rPr>
      </w:pPr>
      <w:r w:rsidRPr="004A1593">
        <w:rPr>
          <w:rFonts w:ascii="Times New Roman" w:hAnsi="Times New Roman" w:cs="Times New Roman"/>
          <w:b/>
          <w:color w:val="000000"/>
        </w:rPr>
        <w:br/>
      </w:r>
    </w:p>
    <w:p w14:paraId="77BD1B04" w14:textId="77777777" w:rsidR="007A7885" w:rsidRPr="004A1593" w:rsidRDefault="007A7885" w:rsidP="004A1593">
      <w:pPr>
        <w:jc w:val="center"/>
        <w:rPr>
          <w:rFonts w:hint="eastAsia"/>
          <w:b/>
        </w:rPr>
      </w:pPr>
      <w:proofErr w:type="spellStart"/>
      <w:r w:rsidRPr="004A1593">
        <w:rPr>
          <w:rFonts w:ascii="Simplified Arabic" w:hAnsi="Simplified Arabic" w:cs="Simplified Arabic"/>
          <w:b/>
          <w:color w:val="000000"/>
          <w:sz w:val="28"/>
        </w:rPr>
        <w:t>العام</w:t>
      </w:r>
      <w:proofErr w:type="spellEnd"/>
      <w:r w:rsidRPr="004A1593">
        <w:rPr>
          <w:rFonts w:ascii="Simplified Arabic" w:hAnsi="Simplified Arabic" w:cs="Simplified Arabic"/>
          <w:b/>
          <w:color w:val="000000"/>
          <w:sz w:val="28"/>
        </w:rPr>
        <w:t xml:space="preserve"> </w:t>
      </w:r>
      <w:proofErr w:type="spellStart"/>
      <w:r w:rsidRPr="004A1593">
        <w:rPr>
          <w:rFonts w:ascii="Simplified Arabic" w:hAnsi="Simplified Arabic" w:cs="Simplified Arabic"/>
          <w:b/>
          <w:color w:val="000000"/>
          <w:sz w:val="28"/>
        </w:rPr>
        <w:t>الجامعي</w:t>
      </w:r>
      <w:proofErr w:type="spellEnd"/>
      <w:r w:rsidRPr="004A1593">
        <w:rPr>
          <w:rFonts w:ascii="Simplified Arabic" w:hAnsi="Simplified Arabic" w:cs="Simplified Arabic"/>
          <w:b/>
          <w:color w:val="000000"/>
          <w:sz w:val="28"/>
        </w:rPr>
        <w:t>: 2026</w:t>
      </w:r>
    </w:p>
    <w:p w14:paraId="2CC25B18" w14:textId="77777777" w:rsidR="007A7885" w:rsidRDefault="007A7885" w:rsidP="004A1593">
      <w:pPr>
        <w:rPr>
          <w:rFonts w:hint="eastAsia"/>
        </w:rPr>
      </w:pPr>
      <w:r>
        <w:br w:type="page"/>
      </w:r>
    </w:p>
    <w:p>
      <w:pPr>
        <w:spacing w:before="160" w:after="120"/>
        <w:jc w:val="right"/>
        <w:bidi w:val="1"/>
      </w:pPr>
      <w:r>
        <w:rPr>
          <w:rFonts w:ascii="Simplified Arabic" w:hAnsi="Simplified Arabic" w:eastAsia="Simplified Arabic"/>
          <w:b/>
          <w:sz w:val="40"/>
          <w:rtl w:val="1"/>
        </w:rPr>
        <w:t>الفصل الأول: المقدمة والإطار النظري للدراسة</w:t>
      </w:r>
    </w:p>
    <w:p>
      <w:pPr>
        <w:spacing w:before="160" w:after="120"/>
        <w:jc w:val="right"/>
        <w:bidi w:val="1"/>
      </w:pPr>
      <w:r>
        <w:rPr>
          <w:rFonts w:ascii="Simplified Arabic" w:hAnsi="Simplified Arabic" w:eastAsia="Simplified Arabic"/>
          <w:b/>
          <w:sz w:val="32"/>
          <w:rtl w:val="1"/>
        </w:rPr>
        <w:t>1.1 المقدمة</w:t>
      </w:r>
    </w:p>
    <w:p>
      <w:pPr>
        <w:spacing w:after="120" w:line="276" w:lineRule="auto"/>
        <w:jc w:val="both"/>
        <w:bidi w:val="1"/>
      </w:pPr>
      <w:r>
        <w:rPr>
          <w:rFonts w:ascii="Simplified Arabic" w:hAnsi="Simplified Arabic" w:eastAsia="Simplified Arabic"/>
          <w:sz w:val="28"/>
          <w:rtl w:val="1"/>
        </w:rPr>
        <w:t>شهدت إدارة الموارد البشرية خلال السنوات الأخيرة تحولاً متسارعاً من الأساليب الورقية والملفات المنفصلة إلى أنظمة رقمية مترابطة تساعد على جمع بيانات العاملين وتخزينها ومعالجتها وإتاحتها عند الحاجة. ولم يعد الاستخدام الرقمي مقتصراً على حفظ بيانات الموظفين، بل امتد إلى الحضور والانصراف، والإجازات، والتوظيف، والتدريب، وتقييم الأداء، والرواتب، والتقارير الإدارية. ويشير مفهوم نظم معلومات الموارد البشرية إلى الدمج بين وظائف إدارة الموارد البشرية وتقنية المعلومات بهدف دعم العمليات والقرارات الإدارية من خلال بيانات أكثر تنظيماً وسهولة في الاسترجاع والمعالجة (Syed Navaz et al., 2013).</w:t>
      </w:r>
    </w:p>
    <w:p>
      <w:pPr>
        <w:spacing w:after="120" w:line="276" w:lineRule="auto"/>
        <w:jc w:val="both"/>
        <w:bidi w:val="1"/>
      </w:pPr>
      <w:r>
        <w:rPr>
          <w:rFonts w:ascii="Simplified Arabic" w:hAnsi="Simplified Arabic" w:eastAsia="Simplified Arabic"/>
          <w:sz w:val="28"/>
          <w:rtl w:val="1"/>
        </w:rPr>
        <w:t>ويعد مسير الرواتب من أكثر العمليات حساسية داخل المنظمة؛ لأنه يترجم عدداً كبيراً من البيانات الوظيفية والزمنية والمالية إلى مستحقات فعلية للموظفين. وتعتمد دقة المسير على صحة بيانات الراتب الأساسي والبدلات والاستقطاعات والحضور والغياب والإجازات والعمل الإضافي والتأمينات وتواريخ المباشرة وإنهاء الخدمة. لذلك فإن أي خلل في مصدر البيانات أو في آلية نقلها أو في قواعد الاحتساب قد ينعكس مباشرة على صافي راتب الموظف، وقد يمتد أثر الخطأ إلى عدد كبير من العاملين إذا كان ناتجاً عن قاعدة نظامية أو ملف مشترك.</w:t>
      </w:r>
    </w:p>
    <w:p>
      <w:pPr>
        <w:spacing w:after="120" w:line="276" w:lineRule="auto"/>
        <w:jc w:val="both"/>
        <w:bidi w:val="1"/>
      </w:pPr>
      <w:r>
        <w:rPr>
          <w:rFonts w:ascii="Simplified Arabic" w:hAnsi="Simplified Arabic" w:eastAsia="Simplified Arabic"/>
          <w:sz w:val="28"/>
          <w:rtl w:val="1"/>
        </w:rPr>
        <w:t>ومن هذا المنطلق يركز الإطار النظري للدراسة على توضيح المفاهيم والأفكار المرتبطة بأنظمة الموارد البشرية الرقمية ومسير الرواتب ودقته، ثم شرح أهم العوامل الرقمية التي يمكن أن تؤثر في دقة المسير، وهي جودة بيانات الموظفين، وتقليل الإدخال اليدوي، والتكامل مع الحضور والانصراف، وأتمتة البدلات والاستقطاعات، والتقارير والرقابة الإلكترونية. ويهدف هذا العرض إلى توفير خلفية متكاملة تساعد القارئ على فهم موضوع الدراسة قبل الانتقال إلى مراجعة الدراسات السابقة.</w:t>
      </w:r>
    </w:p>
    <w:p>
      <w:pPr>
        <w:spacing w:before="160" w:after="120"/>
        <w:jc w:val="right"/>
        <w:bidi w:val="1"/>
      </w:pPr>
      <w:r>
        <w:rPr>
          <w:rFonts w:ascii="Simplified Arabic" w:hAnsi="Simplified Arabic" w:eastAsia="Simplified Arabic"/>
          <w:b/>
          <w:sz w:val="32"/>
          <w:rtl w:val="1"/>
        </w:rPr>
        <w:t>1.2 التحول الرقمي في إدارة الموارد البشرية</w:t>
      </w:r>
    </w:p>
    <w:p>
      <w:pPr>
        <w:spacing w:after="120" w:line="276" w:lineRule="auto"/>
        <w:jc w:val="both"/>
        <w:bidi w:val="1"/>
      </w:pPr>
      <w:r>
        <w:rPr>
          <w:rFonts w:ascii="Simplified Arabic" w:hAnsi="Simplified Arabic" w:eastAsia="Simplified Arabic"/>
          <w:sz w:val="28"/>
          <w:rtl w:val="1"/>
        </w:rPr>
        <w:t>يقصد بالتحول الرقمي في إدارة الموارد البشرية الانتقال من تنفيذ الأعمال الإدارية بصورة ورقية أو يدوية ومتفرقة إلى بيئة تعتمد على التطبيقات وقواعد البيانات والتكاملات الإلكترونية في تنفيذ الإجراءات وتبادل المعلومات. ولا يقتصر التحول الرقمي على تحويل المستند الورقي إلى ملف إلكتروني، بل يشمل إعادة تصميم مسار العمل بحيث تنتقل البيانات من مصدرها إلى الأنظمة الأخرى بصورة منظمة، وتقل نقاط التكرار وإعادة الإدخال، وتصبح المسؤوليات ومسارات الاعتماد أكثر وضوحاً.</w:t>
      </w:r>
    </w:p>
    <w:p>
      <w:pPr>
        <w:spacing w:after="120" w:line="276" w:lineRule="auto"/>
        <w:jc w:val="both"/>
        <w:bidi w:val="1"/>
      </w:pPr>
      <w:r>
        <w:rPr>
          <w:rFonts w:ascii="Simplified Arabic" w:hAnsi="Simplified Arabic" w:eastAsia="Simplified Arabic"/>
          <w:sz w:val="28"/>
          <w:rtl w:val="1"/>
        </w:rPr>
        <w:t>وقد تطورت تطبيقات الموارد البشرية من أنظمة تستخدم أساساً لأغراض حفظ السجلات وتنفيذ المعاملات الإدارية إلى أدوات تدعم الخدمة الذاتية والتحليلات والتقارير وإدارة المواهب واتخاذ القرار. وأظهرت الأدبيات المبكرة أن استخدام نظم معلومات الموارد البشرية كان يتركز بدرجة كبيرة في الأغراض الإدارية وتخزين المعلومات (Ball, 2001)، ثم اتجهت الدراسات اللاحقة إلى بحث أثر هذه النظم في كفاءة وظائف الموارد البشرية ودورها التنظيمي والاستراتيجي (Hussain et al., 2007).</w:t>
      </w:r>
    </w:p>
    <w:p>
      <w:pPr>
        <w:spacing w:after="120" w:line="276" w:lineRule="auto"/>
        <w:jc w:val="both"/>
        <w:bidi w:val="1"/>
      </w:pPr>
      <w:r>
        <w:rPr>
          <w:rFonts w:ascii="Simplified Arabic" w:hAnsi="Simplified Arabic" w:eastAsia="Simplified Arabic"/>
          <w:sz w:val="28"/>
          <w:rtl w:val="1"/>
        </w:rPr>
        <w:t>وتتوقف قيمة التحول الرقمي على جودة التطبيق وليس على وجود التقنية فقط؛ فالنظام قد يكون متقدماً من الناحية التقنية، إلا أن مخرجاته تظل ضعيفة إذا كانت البيانات غير محدثة أو السياسات غير واضحة أو المستخدمون غير مدربين. ولهذا ترتبط فعالية التحول الرقمي بعناصر تنظيمية مثل حوكمة البيانات، وإدارة الصلاحيات، وتوحيد الإجراءات، والتكامل بين الأنظمة، والتدريب، والرقابة.</w:t>
      </w:r>
    </w:p>
    <w:p>
      <w:pPr>
        <w:spacing w:before="160" w:after="120"/>
        <w:jc w:val="right"/>
        <w:bidi w:val="1"/>
      </w:pPr>
      <w:r>
        <w:rPr>
          <w:rFonts w:ascii="Simplified Arabic" w:hAnsi="Simplified Arabic" w:eastAsia="Simplified Arabic"/>
          <w:b/>
          <w:sz w:val="32"/>
          <w:rtl w:val="1"/>
        </w:rPr>
        <w:t>1.3 مفهوم أنظمة الموارد البشرية الرقمية</w:t>
      </w:r>
    </w:p>
    <w:p>
      <w:pPr>
        <w:spacing w:after="120" w:line="276" w:lineRule="auto"/>
        <w:jc w:val="both"/>
        <w:bidi w:val="1"/>
      </w:pPr>
      <w:r>
        <w:rPr>
          <w:rFonts w:ascii="Simplified Arabic" w:hAnsi="Simplified Arabic" w:eastAsia="Simplified Arabic"/>
          <w:sz w:val="28"/>
          <w:rtl w:val="1"/>
        </w:rPr>
        <w:t>تشير أنظمة الموارد البشرية الرقمية إلى مجموعة الأنظمة والبرمجيات والمنصات الإلكترونية التي تستخدمها المنظمة لإدارة بيانات ووظائف الموارد البشرية. وقد تكون هذه الأنظمة على شكل نظام معلومات موارد بشرية HRIS، أو نظام تخطيط موارد مؤسسة ERP يتضمن وحدة للموارد البشرية والرواتب، أو حلول سحابية متخصصة، أو تطبيقات مترابطة تغطي وظائف محددة مثل الحضور والانصراف أو الرواتب.</w:t>
      </w:r>
    </w:p>
    <w:p>
      <w:pPr>
        <w:spacing w:after="120" w:line="276" w:lineRule="auto"/>
        <w:jc w:val="both"/>
        <w:bidi w:val="1"/>
      </w:pPr>
      <w:r>
        <w:rPr>
          <w:rFonts w:ascii="Simplified Arabic" w:hAnsi="Simplified Arabic" w:eastAsia="Simplified Arabic"/>
          <w:sz w:val="28"/>
          <w:rtl w:val="1"/>
        </w:rPr>
        <w:t>وتجمع الإدارة الإلكترونية للموارد البشرية بين ممارسات الموارد البشرية وتقنية المعلومات بهدف خلق قيمة للموظفين والمديرين والمنظمة، وتحسين الوصول إلى المعلومات وتقديم الخدمات وتوحيد الإجراءات (Bondarouk &amp; Ruël, 2009). وفي الجانب التشغيلي تساعد هذه الأنظمة على إنشاء سجل موحد للموظف، وربط التغييرات الوظيفية بالعمليات الأخرى، وتخفيض الحاجة إلى إدخال البيانات نفسها في أكثر من مكان، وإتاحة تقارير تسهل المتابعة والمراجعة.</w:t>
      </w:r>
    </w:p>
    <w:p>
      <w:pPr>
        <w:spacing w:after="120" w:line="276" w:lineRule="auto"/>
        <w:jc w:val="both"/>
        <w:bidi w:val="1"/>
      </w:pPr>
      <w:r>
        <w:rPr>
          <w:rFonts w:ascii="Simplified Arabic" w:hAnsi="Simplified Arabic" w:eastAsia="Simplified Arabic"/>
          <w:sz w:val="28"/>
          <w:rtl w:val="1"/>
        </w:rPr>
        <w:t>ومن أهم خصائص الأنظمة الرقمية القدرة على تخزين كميات كبيرة من البيانات، وتحديثها بصورة منظمة، وتطبيق قواعد آلية، وتحديد صلاحيات المستخدمين، وحفظ سجلات للتغييرات، وإصدار تقارير دورية واستثنائية. وهذه الخصائص تجعلها وثيقة الصلة بعملية الرواتب التي تحتاج إلى دقة عالية وقابلية لتتبع مصدر كل تغيير وأثره.</w:t>
      </w:r>
    </w:p>
    <w:p>
      <w:pPr>
        <w:spacing w:before="160" w:after="120"/>
        <w:jc w:val="right"/>
        <w:bidi w:val="1"/>
      </w:pPr>
      <w:r>
        <w:rPr>
          <w:rFonts w:ascii="Simplified Arabic" w:hAnsi="Simplified Arabic" w:eastAsia="Simplified Arabic"/>
          <w:b/>
          <w:sz w:val="32"/>
          <w:rtl w:val="1"/>
        </w:rPr>
        <w:t>1.4 تطور نظم معلومات الموارد البشرية</w:t>
      </w:r>
    </w:p>
    <w:p>
      <w:pPr>
        <w:spacing w:after="120" w:line="276" w:lineRule="auto"/>
        <w:jc w:val="both"/>
        <w:bidi w:val="1"/>
      </w:pPr>
      <w:r>
        <w:rPr>
          <w:rFonts w:ascii="Simplified Arabic" w:hAnsi="Simplified Arabic" w:eastAsia="Simplified Arabic"/>
          <w:sz w:val="28"/>
          <w:rtl w:val="1"/>
        </w:rPr>
        <w:t>بدأت نظم معلومات الموارد البشرية بوظائف أساسية مثل تسجيل بيانات العاملين والوظائف والأجور، ثم توسعت لتشمل الحضور والإجازات والتوظيف والتدريب وتقييم الأداء والتعويضات والمزايا. ومع تطور قواعد البيانات والحلول السحابية أصبحت المنظمة قادرة على ربط عدد أكبر من العمليات داخل منصة واحدة أو من خلال تكاملات بين أنظمة متخصصة.</w:t>
      </w:r>
    </w:p>
    <w:p>
      <w:pPr>
        <w:spacing w:after="120" w:line="276" w:lineRule="auto"/>
        <w:jc w:val="both"/>
        <w:bidi w:val="1"/>
      </w:pPr>
      <w:r>
        <w:rPr>
          <w:rFonts w:ascii="Simplified Arabic" w:hAnsi="Simplified Arabic" w:eastAsia="Simplified Arabic"/>
          <w:sz w:val="28"/>
          <w:rtl w:val="1"/>
        </w:rPr>
        <w:t>وقد أسهم هذا التطور في الانتقال من التركيز على تنفيذ المعاملة إلى التركيز على تدفق البيانات وجودة الخدمة والتحليل. فبدلاً من إعداد تقرير يدوي لكل عملية، تستطيع الأنظمة الحديثة توفير لوحات متابعة وتنبيهات وتقارير فروقات وسجلات اعتماد. ومع ذلك، تؤكد المراجعات العلمية أن المنافع المتحققة تختلف باختلاف السياق التنظيمي وطريقة التنفيذ، وأن التقنية لا تؤدي تلقائياً إلى تحسين الأداء دون توافر عوامل بشرية وتنظيمية مساندة (Marler &amp; Fisher, 2013).</w:t>
      </w:r>
    </w:p>
    <w:p>
      <w:pPr>
        <w:spacing w:before="160" w:after="120"/>
        <w:jc w:val="right"/>
        <w:bidi w:val="1"/>
      </w:pPr>
      <w:r>
        <w:rPr>
          <w:rFonts w:ascii="Simplified Arabic" w:hAnsi="Simplified Arabic" w:eastAsia="Simplified Arabic"/>
          <w:b/>
          <w:sz w:val="32"/>
          <w:rtl w:val="1"/>
        </w:rPr>
        <w:t>1.5 أهداف وخصائص أنظمة الموارد البشرية الرقمية</w:t>
      </w:r>
    </w:p>
    <w:p>
      <w:pPr>
        <w:spacing w:after="120" w:line="276" w:lineRule="auto"/>
        <w:jc w:val="both"/>
        <w:bidi w:val="1"/>
      </w:pPr>
      <w:r>
        <w:rPr>
          <w:rFonts w:ascii="Simplified Arabic" w:hAnsi="Simplified Arabic" w:eastAsia="Simplified Arabic"/>
          <w:sz w:val="28"/>
          <w:rtl w:val="1"/>
        </w:rPr>
        <w:t>تسعى المنظمات من خلال أنظمة الموارد البشرية الرقمية إلى تحقيق مجموعة من الأهداف التشغيلية والإدارية، من أبرزها رفع كفاءة تنفيذ الإجراءات، وتقليل الوقت المستغرق في المعاملات، وتحسين جودة البيانات، وتوحيد السياسات، وتسهيل الوصول إلى المعلومات، وتعزيز الرقابة وإمكانية التتبع. كما تسمح هذه الأنظمة بإتاحة بعض الخدمات للموظف والمدير من خلال الخدمة الذاتية، وهو ما يقلل الاعتماد على المعالجة المركزية للطلبات الروتينية.</w:t>
      </w:r>
    </w:p>
    <w:p>
      <w:pPr>
        <w:spacing w:after="120" w:line="276" w:lineRule="auto"/>
        <w:jc w:val="both"/>
        <w:bidi w:val="1"/>
      </w:pPr>
      <w:r>
        <w:rPr>
          <w:rFonts w:ascii="Simplified Arabic" w:hAnsi="Simplified Arabic" w:eastAsia="Simplified Arabic"/>
          <w:sz w:val="28"/>
          <w:rtl w:val="1"/>
        </w:rPr>
        <w:t>وتتميز الأنظمة الرقمية بإمكانية تطبيق القواعد بصورة متسقة على عدد كبير من الموظفين، وربط البيانات بتاريخ النفاذ، وإدارة الصلاحيات بحسب الدور الوظيفي، والاحتفاظ بسجل يوضح من قام بالتعديل ووقت التعديل. وتكتسب هذه الخصائص أهمية خاصة في الرواتب لأن أي تعديل في بيانات الراتب أو الحالة الوظيفية أو الحضور قد ينتج عنه أثر مالي مباشر.</w:t>
      </w:r>
    </w:p>
    <w:p>
      <w:pPr>
        <w:spacing w:before="160" w:after="120"/>
        <w:jc w:val="right"/>
        <w:bidi w:val="1"/>
      </w:pPr>
      <w:r>
        <w:rPr>
          <w:rFonts w:ascii="Simplified Arabic" w:hAnsi="Simplified Arabic" w:eastAsia="Simplified Arabic"/>
          <w:b/>
          <w:sz w:val="32"/>
          <w:rtl w:val="1"/>
        </w:rPr>
        <w:t>1.6 وظائف أنظمة الموارد البشرية الرقمية</w:t>
      </w:r>
    </w:p>
    <w:p>
      <w:pPr>
        <w:spacing w:after="120" w:line="276" w:lineRule="auto"/>
        <w:jc w:val="both"/>
        <w:bidi w:val="1"/>
      </w:pPr>
      <w:r>
        <w:rPr>
          <w:rFonts w:ascii="Simplified Arabic" w:hAnsi="Simplified Arabic" w:eastAsia="Simplified Arabic"/>
          <w:sz w:val="28"/>
          <w:rtl w:val="1"/>
        </w:rPr>
        <w:t>تغطي أنظمة الموارد البشرية الرقمية عادةً مجموعة مترابطة من الوظائف، ويمكن أن تختلف درجة شمولها من منظمة إلى أخرى. ومن أبرز هذه الوظائف إدارة بيانات الموظفين، والهياكل والمسميات الوظيفية، والعقود، والحضور والانصراف، والإجازات، والتوظيف، والتدريب، وتقييم الأداء، والتعويضات والمزايا، والرواتب، والتقارير والمؤشرات.</w:t>
      </w:r>
    </w:p>
    <w:p>
      <w:pPr>
        <w:spacing w:after="120" w:line="276" w:lineRule="auto"/>
        <w:jc w:val="both"/>
        <w:bidi w:val="1"/>
      </w:pPr>
      <w:r>
        <w:rPr>
          <w:rFonts w:ascii="Simplified Arabic" w:hAnsi="Simplified Arabic" w:eastAsia="Simplified Arabic"/>
          <w:sz w:val="28"/>
          <w:rtl w:val="1"/>
        </w:rPr>
        <w:t>وفي سياق الدراسة الحالية تبرز الوظائف التي تنتج بيانات تؤثر مباشرة في مسير الرواتب. فإدارة بيانات الموظف توفر الراتب الأساسي والبدلات والحالة الوظيفية والحساب البنكي، ونظام الحضور ينتج الغياب والتأخير والعمل الإضافي، ونظام الإجازات يحدد الفترات التي قد تؤثر في الاستحقاق، بينما يطبق نظام الرواتب قواعد الاستحقاق والخصم والتأمينات ويصدر صافي الراتب والتقارير النهائية.</w:t>
      </w:r>
    </w:p>
    <w:p>
      <w:pPr>
        <w:spacing w:before="160" w:after="120"/>
        <w:jc w:val="right"/>
        <w:bidi w:val="1"/>
      </w:pPr>
      <w:r>
        <w:rPr>
          <w:rFonts w:ascii="Simplified Arabic" w:hAnsi="Simplified Arabic" w:eastAsia="Simplified Arabic"/>
          <w:b/>
          <w:sz w:val="32"/>
          <w:rtl w:val="1"/>
        </w:rPr>
        <w:t>1.7 مفهوم مسير الرواتب</w:t>
      </w:r>
    </w:p>
    <w:p>
      <w:pPr>
        <w:spacing w:after="120" w:line="276" w:lineRule="auto"/>
        <w:jc w:val="both"/>
        <w:bidi w:val="1"/>
      </w:pPr>
      <w:r>
        <w:rPr>
          <w:rFonts w:ascii="Simplified Arabic" w:hAnsi="Simplified Arabic" w:eastAsia="Simplified Arabic"/>
          <w:sz w:val="28"/>
          <w:rtl w:val="1"/>
        </w:rPr>
        <w:t>مسير الرواتب هو العملية الدورية التي يتم من خلالها تجميع بيانات الموظفين والمتغيرات المالية والزمنية، ثم تطبيق قواعد الاستحقاق والاستقطاع للوصول إلى صافي المبلغ المستحق لكل موظف خلال فترة محددة، وغالباً ما تكون شهراً. وتشمل العملية الراتب الأساسي والبدلات والحوافز والمكافآت والعمل الإضافي والغياب والتأخير والاستقطاعات والتأمينات والخصومات وأي تسويات أو فروقات سابقة.</w:t>
      </w:r>
    </w:p>
    <w:p>
      <w:pPr>
        <w:spacing w:after="120" w:line="276" w:lineRule="auto"/>
        <w:jc w:val="both"/>
        <w:bidi w:val="1"/>
      </w:pPr>
      <w:r>
        <w:rPr>
          <w:rFonts w:ascii="Simplified Arabic" w:hAnsi="Simplified Arabic" w:eastAsia="Simplified Arabic"/>
          <w:sz w:val="28"/>
          <w:rtl w:val="1"/>
        </w:rPr>
        <w:t>ولا يعد مسير الرواتب عملية مالية منفصلة عن الموارد البشرية؛ بل هو عملية مشتركة بين عدة أطراف. فإدارة الموارد البشرية تكون مسؤولة عن كثير من بيانات الموظف والتغييرات الوظيفية، وقد تنتج إدارة الحضور أو المديرون بيانات الوقت والعمل الإضافي، بينما تقوم المالية بالمراجعة والصرف والقيود. لذلك فإن جودة المسير تعتمد على سلامة تدفق البيانات بين هذه الأطراف وعلى وضوح مسؤولية كل جهة عن إدخال البيانات واعتمادها.</w:t>
      </w:r>
    </w:p>
    <w:p>
      <w:pPr>
        <w:spacing w:before="160" w:after="120"/>
        <w:jc w:val="right"/>
        <w:bidi w:val="1"/>
      </w:pPr>
      <w:r>
        <w:rPr>
          <w:rFonts w:ascii="Simplified Arabic" w:hAnsi="Simplified Arabic" w:eastAsia="Simplified Arabic"/>
          <w:b/>
          <w:sz w:val="32"/>
          <w:rtl w:val="1"/>
        </w:rPr>
        <w:t>1.8 عناصر ومكونات مسير الرواتب</w:t>
      </w:r>
    </w:p>
    <w:p>
      <w:pPr>
        <w:spacing w:after="120" w:line="276" w:lineRule="auto"/>
        <w:jc w:val="both"/>
        <w:bidi w:val="1"/>
      </w:pPr>
      <w:r>
        <w:rPr>
          <w:rFonts w:ascii="Simplified Arabic" w:hAnsi="Simplified Arabic" w:eastAsia="Simplified Arabic"/>
          <w:sz w:val="28"/>
          <w:rtl w:val="1"/>
        </w:rPr>
        <w:t>يمكن تقسيم مكونات مسير الرواتب إلى عناصر ثابتة وعناصر متغيرة. تشمل العناصر الثابتة عادةً الراتب الأساسي وبعض البدلات الدورية والاستقطاعات الثابتة، بينما تشمل العناصر المتغيرة العمل الإضافي والمكافآت والعمولات والغياب والتأخير والإجازات غير المدفوعة والخصومات والتسويات. كما تدخل بعض البيانات غير المالية في عملية الاحتساب، مثل تاريخ المباشرة ونهاية الخدمة وحالة العقد وموقع العمل ونوع الجدول الزمني.</w:t>
      </w:r>
    </w:p>
    <w:p>
      <w:pPr>
        <w:spacing w:after="120" w:line="276" w:lineRule="auto"/>
        <w:jc w:val="both"/>
        <w:bidi w:val="1"/>
      </w:pPr>
      <w:r>
        <w:rPr>
          <w:rFonts w:ascii="Simplified Arabic" w:hAnsi="Simplified Arabic" w:eastAsia="Simplified Arabic"/>
          <w:sz w:val="28"/>
          <w:rtl w:val="1"/>
        </w:rPr>
        <w:t>وتتطلب دقة المسير أن تكون جميع هذه العناصر مرتبطة بفترة استحقاق واضحة وتاريخ نفاذ معتمد. فقد يكون الرقم صحيحاً من حيث القيمة ولكنه يطبق في شهر غير صحيح، أو قد تكون قاعدة البدل صحيحة ولكنها لا تتوقف عند تغير حالة الموظف. لذلك فإن دقة الرواتب لا تعتمد على قيمة البيانات فقط، بل على توقيتها وحالتها ومسار اعتمادها.</w:t>
      </w:r>
    </w:p>
    <w:p>
      <w:pPr>
        <w:spacing w:before="160" w:after="120"/>
        <w:jc w:val="right"/>
        <w:bidi w:val="1"/>
      </w:pPr>
      <w:r>
        <w:rPr>
          <w:rFonts w:ascii="Simplified Arabic" w:hAnsi="Simplified Arabic" w:eastAsia="Simplified Arabic"/>
          <w:b/>
          <w:sz w:val="32"/>
          <w:rtl w:val="1"/>
        </w:rPr>
        <w:t>1.9 مراحل إعداد مسير الرواتب</w:t>
      </w:r>
    </w:p>
    <w:p>
      <w:pPr>
        <w:spacing w:after="120" w:line="276" w:lineRule="auto"/>
        <w:jc w:val="both"/>
        <w:bidi w:val="1"/>
      </w:pPr>
      <w:r>
        <w:rPr>
          <w:rFonts w:ascii="Simplified Arabic" w:hAnsi="Simplified Arabic" w:eastAsia="Simplified Arabic"/>
          <w:sz w:val="28"/>
          <w:rtl w:val="1"/>
        </w:rPr>
        <w:t>تمر عملية إعداد مسير الرواتب بعدة مراحل مترابطة. تبدأ بتهيئة البيانات الأساسية للموظفين والتأكد من التغييرات الجديدة مثل التعيين والترقية والنقل وإنهاء الخدمة. ثم تجمع المتغيرات الشهرية المتعلقة بالحضور والإجازات والعمل الإضافي والبدلات والخصومات، وتراجع قبل إدخالها أو تحميلها إلى النظام.</w:t>
      </w:r>
    </w:p>
    <w:p>
      <w:pPr>
        <w:spacing w:after="120" w:line="276" w:lineRule="auto"/>
        <w:jc w:val="both"/>
        <w:bidi w:val="1"/>
      </w:pPr>
      <w:r>
        <w:rPr>
          <w:rFonts w:ascii="Simplified Arabic" w:hAnsi="Simplified Arabic" w:eastAsia="Simplified Arabic"/>
          <w:sz w:val="28"/>
          <w:rtl w:val="1"/>
        </w:rPr>
        <w:t>بعد ذلك تطبق قواعد الاحتساب لإنتاج مسير أولي، ثم تبدأ مرحلة المراجعة التي تشمل مقارنة المسير بالشهر السابق، ومراجعة الموظفين الجدد والمنتهية خدماتهم، والتغيرات الكبيرة في صافي الراتب، والبدلات والاستقطاعات غير المعتادة، والحسابات البنكية المعدلة. وبعد معالجة الاستثناءات واعتماد المسير يتم إنشاء ملف الصرف والتقارير والقيود، ثم يمكن إجراء مراجعة لاحقة لتحديد الأخطاء والتسويات وأسبابها.</w:t>
      </w:r>
    </w:p>
    <w:p>
      <w:pPr>
        <w:spacing w:after="120" w:line="276" w:lineRule="auto"/>
        <w:jc w:val="both"/>
        <w:bidi w:val="1"/>
      </w:pPr>
      <w:r>
        <w:rPr>
          <w:rFonts w:ascii="Simplified Arabic" w:hAnsi="Simplified Arabic" w:eastAsia="Simplified Arabic"/>
          <w:sz w:val="28"/>
          <w:rtl w:val="1"/>
        </w:rPr>
        <w:t>وتوضح هذه المراحل أن تحسين دقة الرواتب لا يتحقق في خطوة الاحتساب فقط؛ بل يحتاج إلى رقابة على سلسلة البيانات من لحظة نشوء التغيير وحتى اعتماده وصرفه.</w:t>
      </w:r>
    </w:p>
    <w:p>
      <w:pPr>
        <w:spacing w:before="160" w:after="120"/>
        <w:jc w:val="right"/>
        <w:bidi w:val="1"/>
      </w:pPr>
      <w:r>
        <w:rPr>
          <w:rFonts w:ascii="Simplified Arabic" w:hAnsi="Simplified Arabic" w:eastAsia="Simplified Arabic"/>
          <w:b/>
          <w:sz w:val="32"/>
          <w:rtl w:val="1"/>
        </w:rPr>
        <w:t>1.10 مفهوم دقة مسير الرواتب</w:t>
      </w:r>
    </w:p>
    <w:p>
      <w:pPr>
        <w:spacing w:after="120" w:line="276" w:lineRule="auto"/>
        <w:jc w:val="both"/>
        <w:bidi w:val="1"/>
      </w:pPr>
      <w:r>
        <w:rPr>
          <w:rFonts w:ascii="Simplified Arabic" w:hAnsi="Simplified Arabic" w:eastAsia="Simplified Arabic"/>
          <w:sz w:val="28"/>
          <w:rtl w:val="1"/>
        </w:rPr>
        <w:t>تعني دقة مسير الرواتب أن يتم احتساب مستحقات الموظف واستقطاعاته وصافي راتبه بصورة صحيحة وكاملة ومتوافقة مع البيانات والسياسات والأنظمة المعتمدة، وأن يعالج الأثر المالي في الفترة الصحيحة. وتشمل الدقة صحة بيانات الموظف، وصحة قواعد الاحتساب، وصحة المتغيرات الشهرية، وصحة المخرجات النهائية.</w:t>
      </w:r>
    </w:p>
    <w:p>
      <w:pPr>
        <w:spacing w:after="120" w:line="276" w:lineRule="auto"/>
        <w:jc w:val="both"/>
        <w:bidi w:val="1"/>
      </w:pPr>
      <w:r>
        <w:rPr>
          <w:rFonts w:ascii="Simplified Arabic" w:hAnsi="Simplified Arabic" w:eastAsia="Simplified Arabic"/>
          <w:sz w:val="28"/>
          <w:rtl w:val="1"/>
        </w:rPr>
        <w:t>ويمكن النظر إلى دقة المسير من ثلاثة مستويات مترابطة: دقة المدخلات، ودقة المعالجة، ودقة المخرجات. فإذا كانت المدخلات غير صحيحة فلن ينتج النظام نتيجة صحيحة حتى لو كانت قاعدة الاحتساب سليمة، وإذا كانت القاعدة غير محدثة فلن تفيد البيانات الصحيحة، وإذا كانت المخرجات لا تخضع لمراجعة واستثناءات فقد يمر الخطأ إلى مرحلة الصرف.</w:t>
      </w:r>
    </w:p>
    <w:p>
      <w:pPr>
        <w:spacing w:after="120" w:line="276" w:lineRule="auto"/>
        <w:jc w:val="both"/>
        <w:bidi w:val="1"/>
      </w:pPr>
      <w:r>
        <w:rPr>
          <w:rFonts w:ascii="Simplified Arabic" w:hAnsi="Simplified Arabic" w:eastAsia="Simplified Arabic"/>
          <w:sz w:val="28"/>
          <w:rtl w:val="1"/>
        </w:rPr>
        <w:t>كما ترتبط الدقة بقابلية التتبع؛ أي القدرة على معرفة مصدر التغيير ومن أدخله ومن اعتمده ومتى أصبح نافذاً. وتساعد الأنظمة الرقمية في دعم هذه الخاصية من خلال سجلات التدقيق والصلاحيات ومسارات الموافقة.</w:t>
      </w:r>
    </w:p>
    <w:p>
      <w:pPr>
        <w:spacing w:before="160" w:after="120"/>
        <w:jc w:val="right"/>
        <w:bidi w:val="1"/>
      </w:pPr>
      <w:r>
        <w:rPr>
          <w:rFonts w:ascii="Simplified Arabic" w:hAnsi="Simplified Arabic" w:eastAsia="Simplified Arabic"/>
          <w:b/>
          <w:sz w:val="32"/>
          <w:rtl w:val="1"/>
        </w:rPr>
        <w:t>1.11 أخطاء مسير الرواتب ومصادرها</w:t>
      </w:r>
    </w:p>
    <w:p>
      <w:pPr>
        <w:spacing w:after="120" w:line="276" w:lineRule="auto"/>
        <w:jc w:val="both"/>
        <w:bidi w:val="1"/>
      </w:pPr>
      <w:r>
        <w:rPr>
          <w:rFonts w:ascii="Simplified Arabic" w:hAnsi="Simplified Arabic" w:eastAsia="Simplified Arabic"/>
          <w:sz w:val="28"/>
          <w:rtl w:val="1"/>
        </w:rPr>
        <w:t>تحدث أخطاء مسير الرواتب لأسباب متعددة يمكن تصنيفها إلى أخطاء بيانات، وأخطاء إجراءات، وأخطاء قواعد نظامية، وأخطاء ناتجة عن ضعف التكامل أو الاستخدام. ومن أمثلة أخطاء البيانات عدم تحديث الراتب الأساسي أو البدل أو الحساب البنكي أو تاريخ المباشرة أو نهاية الخدمة، أو وجود بيانات مختلفة للموظف في أكثر من ملف أو نظام.</w:t>
      </w:r>
    </w:p>
    <w:p>
      <w:pPr>
        <w:spacing w:after="120" w:line="276" w:lineRule="auto"/>
        <w:jc w:val="both"/>
        <w:bidi w:val="1"/>
      </w:pPr>
      <w:r>
        <w:rPr>
          <w:rFonts w:ascii="Simplified Arabic" w:hAnsi="Simplified Arabic" w:eastAsia="Simplified Arabic"/>
          <w:sz w:val="28"/>
          <w:rtl w:val="1"/>
        </w:rPr>
        <w:t>أما أخطاء الإجراءات فتظهر عند عدم وضوح المسؤوليات أو تأخر إرسال المتغيرات أو غياب مرحلة مراجعة مستقلة. وقد تنتج أخطاء القواعد عن تطبيق نسبة أو شرط أو تاريخ نفاذ غير صحيح، بينما تظهر أخطاء التكامل عندما لا تتطابق بيانات الحضور أو الإجازات مع نظام الرواتب أو تحتاج إلى نقل يدوي متكرر. كما قد يسهم ضعف تدريب المستخدمين أو منح صلاحيات واسعة دون رقابة في زيادة احتمالات الخطأ.</w:t>
      </w:r>
    </w:p>
    <w:p>
      <w:pPr>
        <w:spacing w:after="120" w:line="276" w:lineRule="auto"/>
        <w:jc w:val="both"/>
        <w:bidi w:val="1"/>
      </w:pPr>
      <w:r>
        <w:rPr>
          <w:rFonts w:ascii="Simplified Arabic" w:hAnsi="Simplified Arabic" w:eastAsia="Simplified Arabic"/>
          <w:sz w:val="28"/>
          <w:rtl w:val="1"/>
        </w:rPr>
        <w:t>وتشير هذه التصنيفات إلى أن الخطأ في الرواتب لا ينبغي التعامل معه بوصفه خطأ حسابياً فقط، بل كحدث قد يكون سببه جودة البيانات أو تصميم العملية أو التقنية أو الرقابة.</w:t>
      </w:r>
    </w:p>
    <w:p>
      <w:pPr>
        <w:spacing w:before="160" w:after="120"/>
        <w:jc w:val="right"/>
        <w:bidi w:val="1"/>
      </w:pPr>
      <w:r>
        <w:rPr>
          <w:rFonts w:ascii="Simplified Arabic" w:hAnsi="Simplified Arabic" w:eastAsia="Simplified Arabic"/>
          <w:b/>
          <w:sz w:val="32"/>
          <w:rtl w:val="1"/>
        </w:rPr>
        <w:t>1.12 دقة بيانات الموظفين</w:t>
      </w:r>
    </w:p>
    <w:p>
      <w:pPr>
        <w:spacing w:after="120" w:line="276" w:lineRule="auto"/>
        <w:jc w:val="both"/>
        <w:bidi w:val="1"/>
      </w:pPr>
      <w:r>
        <w:rPr>
          <w:rFonts w:ascii="Simplified Arabic" w:hAnsi="Simplified Arabic" w:eastAsia="Simplified Arabic"/>
          <w:sz w:val="28"/>
          <w:rtl w:val="1"/>
        </w:rPr>
        <w:t>تمثل بيانات الموظف نقطة البداية في عملية الرواتب. وتشمل هذه البيانات الهوية الوظيفية، والراتب الأساسي، والبدلات، والحساب البنكي، والموقع، وتاريخ المباشرة، وحالة العقد، والمسمى والدرجة، والاستقطاعات الثابتة. وكلما كانت هذه البيانات صحيحة وكاملة ومحدثة ومتسقة بين الأنظمة زادت موثوقية المخرجات.</w:t>
      </w:r>
    </w:p>
    <w:p>
      <w:pPr>
        <w:spacing w:after="120" w:line="276" w:lineRule="auto"/>
        <w:jc w:val="both"/>
        <w:bidi w:val="1"/>
      </w:pPr>
      <w:r>
        <w:rPr>
          <w:rFonts w:ascii="Simplified Arabic" w:hAnsi="Simplified Arabic" w:eastAsia="Simplified Arabic"/>
          <w:sz w:val="28"/>
          <w:rtl w:val="1"/>
        </w:rPr>
        <w:t>وتساعد قاعدة البيانات الموحدة على تقليل التكرار وتحديد مصدر رسمي للبيانات، إلا أن فائدتها تعتمد على إدارة دورة حياة البيانات. فعند حدوث ترقية أو زيادة أو نقل أو إنهاء خدمة يجب أن يحدد من يطلب التغيير ومن يراجعه ومن يعتمده ومتى يصبح نافذاً. وإذا كانت هذه العملية غير منضبطة فقد ينفذ النظام الخطأ بصورة آلية وعلى نطاق واسع.</w:t>
      </w:r>
    </w:p>
    <w:p>
      <w:pPr>
        <w:spacing w:after="120" w:line="276" w:lineRule="auto"/>
        <w:jc w:val="both"/>
        <w:bidi w:val="1"/>
      </w:pPr>
      <w:r>
        <w:rPr>
          <w:rFonts w:ascii="Simplified Arabic" w:hAnsi="Simplified Arabic" w:eastAsia="Simplified Arabic"/>
          <w:sz w:val="28"/>
          <w:rtl w:val="1"/>
        </w:rPr>
        <w:t>وترتبط أهمية جودة البيانات بما يطرحه نموذج نجاح نظم المعلومات؛ إذ يوضح ديلون وماكلين (2003) أن جودة المعلومات تمثل أحد العوامل الأساسية المرتبطة بالاستخدام والرضا والمنافع المتحققة من النظام.</w:t>
      </w:r>
    </w:p>
    <w:p>
      <w:pPr>
        <w:spacing w:before="160" w:after="120"/>
        <w:jc w:val="right"/>
        <w:bidi w:val="1"/>
      </w:pPr>
      <w:r>
        <w:rPr>
          <w:rFonts w:ascii="Simplified Arabic" w:hAnsi="Simplified Arabic" w:eastAsia="Simplified Arabic"/>
          <w:b/>
          <w:sz w:val="32"/>
          <w:rtl w:val="1"/>
        </w:rPr>
        <w:t>1.13 الإدخال اليدوي والأتمتة</w:t>
      </w:r>
    </w:p>
    <w:p>
      <w:pPr>
        <w:spacing w:after="120" w:line="276" w:lineRule="auto"/>
        <w:jc w:val="both"/>
        <w:bidi w:val="1"/>
      </w:pPr>
      <w:r>
        <w:rPr>
          <w:rFonts w:ascii="Simplified Arabic" w:hAnsi="Simplified Arabic" w:eastAsia="Simplified Arabic"/>
          <w:sz w:val="28"/>
          <w:rtl w:val="1"/>
        </w:rPr>
        <w:t>يزيد الإدخال اليدوي المتكرر من احتمالات السهو والنسخ الخاطئ واختيار الموظف أو الشهر أو الخانة غير الصحيحة، كما يرفع احتمال استخدام نسخة قديمة من الملف أو اختلاف تنسيق البيانات بين مصدر وآخر. وتزداد هذه المخاطر عندما يمر المتغير نفسه بعدة ملفات قبل وصوله إلى نظام الرواتب.</w:t>
      </w:r>
    </w:p>
    <w:p>
      <w:pPr>
        <w:spacing w:after="120" w:line="276" w:lineRule="auto"/>
        <w:jc w:val="both"/>
        <w:bidi w:val="1"/>
      </w:pPr>
      <w:r>
        <w:rPr>
          <w:rFonts w:ascii="Simplified Arabic" w:hAnsi="Simplified Arabic" w:eastAsia="Simplified Arabic"/>
          <w:sz w:val="28"/>
          <w:rtl w:val="1"/>
        </w:rPr>
        <w:t>تعمل الأتمتة على تقليل نقاط إعادة الإدخال من خلال نقل البيانات مباشرة من مصدرها المعتمد أو تطبيق قواعد محسوبة مسبقاً داخل النظام. ومع ذلك، لا تعني الأتمتة إلغاء الحاجة إلى المراجعة البشرية؛ بل تحول دور المراجع من إدخال كل تفصيل إلى فحص الاستثناءات والفروقات والنتائج غير المعتادة.</w:t>
      </w:r>
    </w:p>
    <w:p>
      <w:pPr>
        <w:spacing w:after="120" w:line="276" w:lineRule="auto"/>
        <w:jc w:val="both"/>
        <w:bidi w:val="1"/>
      </w:pPr>
      <w:r>
        <w:rPr>
          <w:rFonts w:ascii="Simplified Arabic" w:hAnsi="Simplified Arabic" w:eastAsia="Simplified Arabic"/>
          <w:sz w:val="28"/>
          <w:rtl w:val="1"/>
        </w:rPr>
        <w:t>وتكون الأتمتة أكثر فاعلية عندما تسبقها سياسات واضحة وبيانات صحيحة؛ لأن أتمتة قاعدة غير صحيحة قد تؤدي إلى تكرار الخطأ بسرعة أكبر. ولذلك ينبغي أن ترتبط الأتمتة بعمليات اختبار ومراجعة واعتماد للتغييرات.</w:t>
      </w:r>
    </w:p>
    <w:p>
      <w:pPr>
        <w:spacing w:before="160" w:after="120"/>
        <w:jc w:val="right"/>
        <w:bidi w:val="1"/>
      </w:pPr>
      <w:r>
        <w:rPr>
          <w:rFonts w:ascii="Simplified Arabic" w:hAnsi="Simplified Arabic" w:eastAsia="Simplified Arabic"/>
          <w:b/>
          <w:sz w:val="32"/>
          <w:rtl w:val="1"/>
        </w:rPr>
        <w:t>1.14 التكامل مع الحضور والانصراف</w:t>
      </w:r>
    </w:p>
    <w:p>
      <w:pPr>
        <w:spacing w:after="120" w:line="276" w:lineRule="auto"/>
        <w:jc w:val="both"/>
        <w:bidi w:val="1"/>
      </w:pPr>
      <w:r>
        <w:rPr>
          <w:rFonts w:ascii="Simplified Arabic" w:hAnsi="Simplified Arabic" w:eastAsia="Simplified Arabic"/>
          <w:sz w:val="28"/>
          <w:rtl w:val="1"/>
        </w:rPr>
        <w:t>يمثل الحضور والانصراف مصدراً مهماً للبيانات التي تؤثر في الرواتب، وخاصة الغياب والتأخير والعمل الإضافي وأيام العمل الفعلية. وعندما يكون نظام الحضور منفصلاً عن نظام الرواتب قد يحتاج فريق العمل إلى استخراج التقارير وتنظيفها وإعادة إدخالها، وهو ما يزيد الوقت وعدد نقاط الخطأ.</w:t>
      </w:r>
    </w:p>
    <w:p>
      <w:pPr>
        <w:spacing w:after="120" w:line="276" w:lineRule="auto"/>
        <w:jc w:val="both"/>
        <w:bidi w:val="1"/>
      </w:pPr>
      <w:r>
        <w:rPr>
          <w:rFonts w:ascii="Simplified Arabic" w:hAnsi="Simplified Arabic" w:eastAsia="Simplified Arabic"/>
          <w:sz w:val="28"/>
          <w:rtl w:val="1"/>
        </w:rPr>
        <w:t>يسمح التكامل الإلكتروني بتدفق بيانات الوقت وفق قواعد محددة، لكنه يتطلب توحيد المناوبات والجداول وسياسات السماح والتقريب وفترات الإقفال وآلية معالجة البصمات الناقصة والتعديلات اللاحقة. ولهذا فإن الربط التقني وحده لا يكفي، بل يجب أن يصاحبه ضبط للإجراءات والسياسات حتى تنعكس البيانات بصورة صحيحة على الرواتب.</w:t>
      </w:r>
    </w:p>
    <w:p>
      <w:pPr>
        <w:spacing w:before="160" w:after="120"/>
        <w:jc w:val="right"/>
        <w:bidi w:val="1"/>
      </w:pPr>
      <w:r>
        <w:rPr>
          <w:rFonts w:ascii="Simplified Arabic" w:hAnsi="Simplified Arabic" w:eastAsia="Simplified Arabic"/>
          <w:b/>
          <w:sz w:val="32"/>
          <w:rtl w:val="1"/>
        </w:rPr>
        <w:t>1.15 أتمتة البدلات والاستقطاعات</w:t>
      </w:r>
    </w:p>
    <w:p>
      <w:pPr>
        <w:spacing w:after="120" w:line="276" w:lineRule="auto"/>
        <w:jc w:val="both"/>
        <w:bidi w:val="1"/>
      </w:pPr>
      <w:r>
        <w:rPr>
          <w:rFonts w:ascii="Simplified Arabic" w:hAnsi="Simplified Arabic" w:eastAsia="Simplified Arabic"/>
          <w:sz w:val="28"/>
          <w:rtl w:val="1"/>
        </w:rPr>
        <w:t>تختلف البدلات والاستقطاعات من حيث طبيعتها وشروط استحقاقها؛ فمنها ما هو ثابت، ومنها ما يرتبط بنسبة أو فترة أو موقع أو حضور أو قرار إداري. وتتيح الأنظمة الرقمية بناء قواعد واضحة للاحتساب، والاستحقاق النسبي، والتوقف، والحدود، بما يقلل الاجتهاد الشخصي ويحسن الاتساق في تطبيق السياسة.</w:t>
      </w:r>
    </w:p>
    <w:p>
      <w:pPr>
        <w:spacing w:after="120" w:line="276" w:lineRule="auto"/>
        <w:jc w:val="both"/>
        <w:bidi w:val="1"/>
      </w:pPr>
      <w:r>
        <w:rPr>
          <w:rFonts w:ascii="Simplified Arabic" w:hAnsi="Simplified Arabic" w:eastAsia="Simplified Arabic"/>
          <w:sz w:val="28"/>
          <w:rtl w:val="1"/>
        </w:rPr>
        <w:t>وتحتاج قواعد الرواتب إلى توثيق وربط بتاريخ النفاذ ومراجعة دورية بعد أي تغيير في السياسة. كما يفضل الفصل بين من ينشئ القاعدة ومن يراجعها أو يعتمدها، واختبار التعديلات قبل تطبيقها على المسير الفعلي، لأن أي خطأ في قاعدة آلية قد يؤثر في عدد كبير من الموظفين.</w:t>
      </w:r>
    </w:p>
    <w:p>
      <w:pPr>
        <w:spacing w:before="160" w:after="120"/>
        <w:jc w:val="right"/>
        <w:bidi w:val="1"/>
      </w:pPr>
      <w:r>
        <w:rPr>
          <w:rFonts w:ascii="Simplified Arabic" w:hAnsi="Simplified Arabic" w:eastAsia="Simplified Arabic"/>
          <w:b/>
          <w:sz w:val="32"/>
          <w:rtl w:val="1"/>
        </w:rPr>
        <w:t>1.16 التقارير والرقابة الإلكترونية</w:t>
      </w:r>
    </w:p>
    <w:p>
      <w:pPr>
        <w:spacing w:after="120" w:line="276" w:lineRule="auto"/>
        <w:jc w:val="both"/>
        <w:bidi w:val="1"/>
      </w:pPr>
      <w:r>
        <w:rPr>
          <w:rFonts w:ascii="Simplified Arabic" w:hAnsi="Simplified Arabic" w:eastAsia="Simplified Arabic"/>
          <w:sz w:val="28"/>
          <w:rtl w:val="1"/>
        </w:rPr>
        <w:t>تساعد التقارير الرقابية على اكتشاف الأخطاء أو التغيرات غير المعتادة قبل انتقال المسير إلى مرحلة الصرف. ومن أمثلتها تقرير مقارنة الشهر الحالي بالسابق، والموظفين الجدد والمنتهية خدماتهم، والتغيرات في صافي الراتب، والقيم الصفرية أو السالبة، والبدلات الجديدة، والاستقطاعات المرتفعة، والحسابات البنكية المعدلة، والموظفين الذين لا تظهر لهم حركة حضور.</w:t>
      </w:r>
    </w:p>
    <w:p>
      <w:pPr>
        <w:spacing w:after="120" w:line="276" w:lineRule="auto"/>
        <w:jc w:val="both"/>
        <w:bidi w:val="1"/>
      </w:pPr>
      <w:r>
        <w:rPr>
          <w:rFonts w:ascii="Simplified Arabic" w:hAnsi="Simplified Arabic" w:eastAsia="Simplified Arabic"/>
          <w:sz w:val="28"/>
          <w:rtl w:val="1"/>
        </w:rPr>
        <w:t>وتزداد فاعلية التقارير عندما تركز على الاستثناءات التي تحتاج قراراً بدلاً من عرض جميع البيانات دون تمييز. كما يمكن دعم الرقابة بالمطابقة بين إجمالي المسير وملف البنك والقيود المالية والبيانات النظامية، وباستخدام سجلات الموافقة التي توضح من راجع الاستثناء وما الإجراء الذي اتخذ بشأنه.</w:t>
      </w:r>
    </w:p>
    <w:p>
      <w:pPr>
        <w:spacing w:before="160" w:after="120"/>
        <w:jc w:val="right"/>
        <w:bidi w:val="1"/>
      </w:pPr>
      <w:r>
        <w:rPr>
          <w:rFonts w:ascii="Simplified Arabic" w:hAnsi="Simplified Arabic" w:eastAsia="Simplified Arabic"/>
          <w:b/>
          <w:sz w:val="32"/>
          <w:rtl w:val="1"/>
        </w:rPr>
        <w:t>1.17 دور أنظمة الموارد البشرية الرقمية في تحسين دقة مسير الرواتب</w:t>
      </w:r>
    </w:p>
    <w:p>
      <w:pPr>
        <w:spacing w:after="120" w:line="276" w:lineRule="auto"/>
        <w:jc w:val="both"/>
        <w:bidi w:val="1"/>
      </w:pPr>
      <w:r>
        <w:rPr>
          <w:rFonts w:ascii="Simplified Arabic" w:hAnsi="Simplified Arabic" w:eastAsia="Simplified Arabic"/>
          <w:sz w:val="28"/>
          <w:rtl w:val="1"/>
        </w:rPr>
        <w:t>يتضح من العرض النظري أن أثر الأنظمة الرقمية في دقة الرواتب ينتج من مجموعة مترابطة من الوظائف وليس من وظيفة واحدة. تبدأ السلسلة من جودة بيانات الموظف، ثم نقل المتغيرات بصورة موثوقة، وتطبيق قواعد الاحتساب بصورة متسقة، وربط الحضور والإجازات، ثم استخدام التقارير والرقابة لاكتشاف الاستثناءات قبل الاعتماد.</w:t>
      </w:r>
    </w:p>
    <w:p>
      <w:pPr>
        <w:spacing w:after="120" w:line="276" w:lineRule="auto"/>
        <w:jc w:val="both"/>
        <w:bidi w:val="1"/>
      </w:pPr>
      <w:r>
        <w:rPr>
          <w:rFonts w:ascii="Simplified Arabic" w:hAnsi="Simplified Arabic" w:eastAsia="Simplified Arabic"/>
          <w:sz w:val="28"/>
          <w:rtl w:val="1"/>
        </w:rPr>
        <w:t>وعندما تعمل هذه العناصر بصورة مترابطة تقل الحاجة إلى النقل اليدوي وتتضح مصادر البيانات ومسؤوليات التحديث، وتصبح عملية المراجعة أكثر اعتماداً على الاستثناءات والفروقات. وفي المقابل، قد يستمر الخطأ حتى مع وجود نظام رقمي إذا كانت البيانات غير صحيحة أو التكاملات غير مكتملة أو السياسات غير موحدة أو الصلاحيات والرقابة غير مناسبة.</w:t>
      </w:r>
    </w:p>
    <w:p>
      <w:pPr>
        <w:spacing w:after="120" w:line="276" w:lineRule="auto"/>
        <w:jc w:val="both"/>
        <w:bidi w:val="1"/>
      </w:pPr>
      <w:r>
        <w:rPr>
          <w:rFonts w:ascii="Simplified Arabic" w:hAnsi="Simplified Arabic" w:eastAsia="Simplified Arabic"/>
          <w:sz w:val="28"/>
          <w:rtl w:val="1"/>
        </w:rPr>
        <w:t>ومن ثم فإن الدور المتوقع للأنظمة الرقمية في تحسين الدقة يجب فهمه ضمن إطار يجمع التقنية والبيانات والإجراءات والعامل البشري والرقابة. وينسجم ذلك مع ما توصل إليه باري وتايسون (2011)، ومارلر وفيشر (2013)، من أن منافع الإدارة الإلكترونية للموارد البشرية تتأثر بطريقة التنفيذ والسياق التنظيمي.</w:t>
      </w:r>
    </w:p>
    <w:p>
      <w:pPr>
        <w:spacing w:before="160" w:after="120"/>
        <w:jc w:val="right"/>
        <w:bidi w:val="1"/>
      </w:pPr>
      <w:r>
        <w:rPr>
          <w:rFonts w:ascii="Simplified Arabic" w:hAnsi="Simplified Arabic" w:eastAsia="Simplified Arabic"/>
          <w:b/>
          <w:sz w:val="32"/>
          <w:rtl w:val="1"/>
        </w:rPr>
        <w:t>1.18 أنظمة الموارد البشرية الرقمية في البيئة السعودية</w:t>
      </w:r>
    </w:p>
    <w:p>
      <w:pPr>
        <w:spacing w:after="120" w:line="276" w:lineRule="auto"/>
        <w:jc w:val="both"/>
        <w:bidi w:val="1"/>
      </w:pPr>
      <w:r>
        <w:rPr>
          <w:rFonts w:ascii="Simplified Arabic" w:hAnsi="Simplified Arabic" w:eastAsia="Simplified Arabic"/>
          <w:sz w:val="28"/>
          <w:rtl w:val="1"/>
        </w:rPr>
        <w:t>تشهد المملكة العربية السعودية توسعاً في الخدمات والمنصات الرقمية المرتبطة بسوق العمل، وهو ما يزيد أهمية دقة بيانات العاملين والرواتب. ومن أبرز الأمثلة برنامج حماية الأجور الذي يهدف إلى متابعة صرف أجور العاملين في منشآت القطاع الخاص والتحقق من الالتزام بالدفع وفق البيانات المتفق عليها، بما يعزز الشفافية ويساعد في تقليل الخلافات المرتبطة بالأجور (وزارة الموارد البشرية والتنمية الاجتماعية، دون تاريخ).</w:t>
      </w:r>
    </w:p>
    <w:p>
      <w:pPr>
        <w:spacing w:after="120" w:line="276" w:lineRule="auto"/>
        <w:jc w:val="both"/>
        <w:bidi w:val="1"/>
      </w:pPr>
      <w:r>
        <w:rPr>
          <w:rFonts w:ascii="Simplified Arabic" w:hAnsi="Simplified Arabic" w:eastAsia="Simplified Arabic"/>
          <w:sz w:val="28"/>
          <w:rtl w:val="1"/>
        </w:rPr>
        <w:t>ويجعل هذا السياق جودة ملف الرواتب واتساقه مع البيانات النظامية جزءاً من متطلبات الامتثال وليس مجرد شأن داخلي. ولذلك تستفيد المنشآت من تطوير إجراءات داخلية لمراجعة البيانات قبل اعتماد المسير ورفع الملفات، وربط الأنظمة قدر الإمكان، وتوثيق أسباب الفروقات والتعديلات.</w:t>
      </w:r>
    </w:p>
    <w:p>
      <w:pPr>
        <w:spacing w:before="160" w:after="120"/>
        <w:jc w:val="right"/>
        <w:bidi w:val="1"/>
      </w:pPr>
      <w:r>
        <w:rPr>
          <w:rFonts w:ascii="Simplified Arabic" w:hAnsi="Simplified Arabic" w:eastAsia="Simplified Arabic"/>
          <w:b/>
          <w:sz w:val="32"/>
          <w:rtl w:val="1"/>
        </w:rPr>
        <w:t>1.19 مصطلحات الدراسة</w:t>
      </w:r>
    </w:p>
    <w:p>
      <w:pPr>
        <w:spacing w:after="80"/>
        <w:ind w:right="360" w:hanging="200"/>
        <w:jc w:val="right"/>
        <w:bidi w:val="1"/>
      </w:pPr>
      <w:r>
        <w:rPr>
          <w:rFonts w:ascii="Simplified Arabic" w:hAnsi="Simplified Arabic" w:eastAsia="Simplified Arabic"/>
          <w:sz w:val="28"/>
          <w:rtl w:val="1"/>
        </w:rPr>
        <w:t>• أنظمة الموارد البشرية الرقمية: الأنظمة والتطبيقات الإلكترونية المستخدمة لإدارة بيانات ووظائف الموارد البشرية مثل بيانات الموظفين والحضور والإجازات والرواتب والتقارير.</w:t>
      </w:r>
    </w:p>
    <w:p>
      <w:pPr>
        <w:spacing w:after="80"/>
        <w:ind w:right="360" w:hanging="200"/>
        <w:jc w:val="right"/>
        <w:bidi w:val="1"/>
      </w:pPr>
      <w:r>
        <w:rPr>
          <w:rFonts w:ascii="Simplified Arabic" w:hAnsi="Simplified Arabic" w:eastAsia="Simplified Arabic"/>
          <w:sz w:val="28"/>
          <w:rtl w:val="1"/>
        </w:rPr>
        <w:t>• نظم معلومات الموارد البشرية (HRIS): نظام يجمع بين إدارة الموارد البشرية وتقنية المعلومات لجمع بيانات العاملين وتخزينها ومعالجتها وإنتاج المعلومات والتقارير.</w:t>
      </w:r>
    </w:p>
    <w:p>
      <w:pPr>
        <w:spacing w:after="80"/>
        <w:ind w:right="360" w:hanging="200"/>
        <w:jc w:val="right"/>
        <w:bidi w:val="1"/>
      </w:pPr>
      <w:r>
        <w:rPr>
          <w:rFonts w:ascii="Simplified Arabic" w:hAnsi="Simplified Arabic" w:eastAsia="Simplified Arabic"/>
          <w:sz w:val="28"/>
          <w:rtl w:val="1"/>
        </w:rPr>
        <w:t>• مسير الرواتب: العملية الدورية لاحتساب مستحقات الموظفين وبدلاتهم واستقطاعاتهم وخصوماتهم والتأمينات وصولاً إلى صافي الراتب المستحق.</w:t>
      </w:r>
    </w:p>
    <w:p>
      <w:pPr>
        <w:spacing w:after="80"/>
        <w:ind w:right="360" w:hanging="200"/>
        <w:jc w:val="right"/>
        <w:bidi w:val="1"/>
      </w:pPr>
      <w:r>
        <w:rPr>
          <w:rFonts w:ascii="Simplified Arabic" w:hAnsi="Simplified Arabic" w:eastAsia="Simplified Arabic"/>
          <w:sz w:val="28"/>
          <w:rtl w:val="1"/>
        </w:rPr>
        <w:t>• دقة مسير الرواتب: مدى صحة واكتمال احتساب المستحقات والاستقطاعات وصافي الراتب استناداً إلى بيانات وقواعد معتمدة وفي الفترة الصحيحة.</w:t>
      </w:r>
    </w:p>
    <w:p>
      <w:pPr>
        <w:spacing w:after="80"/>
        <w:ind w:right="360" w:hanging="200"/>
        <w:jc w:val="right"/>
        <w:bidi w:val="1"/>
      </w:pPr>
      <w:r>
        <w:rPr>
          <w:rFonts w:ascii="Simplified Arabic" w:hAnsi="Simplified Arabic" w:eastAsia="Simplified Arabic"/>
          <w:sz w:val="28"/>
          <w:rtl w:val="1"/>
        </w:rPr>
        <w:t>• الإدخال اليدوي: إدخال أو تعديل البيانات بواسطة المستخدم بصورة مباشرة دون انتقال آلي من مصدر معتمد.</w:t>
      </w:r>
    </w:p>
    <w:p>
      <w:pPr>
        <w:spacing w:after="80"/>
        <w:ind w:right="360" w:hanging="200"/>
        <w:jc w:val="right"/>
        <w:bidi w:val="1"/>
      </w:pPr>
      <w:r>
        <w:rPr>
          <w:rFonts w:ascii="Simplified Arabic" w:hAnsi="Simplified Arabic" w:eastAsia="Simplified Arabic"/>
          <w:sz w:val="28"/>
          <w:rtl w:val="1"/>
        </w:rPr>
        <w:t>• الأتمتة: تنفيذ العمليات أو قواعد الاحتساب بصورة آلية وفق شروط محددة مسبقاً داخل النظام.</w:t>
      </w:r>
    </w:p>
    <w:p>
      <w:pPr>
        <w:spacing w:after="80"/>
        <w:ind w:right="360" w:hanging="200"/>
        <w:jc w:val="right"/>
        <w:bidi w:val="1"/>
      </w:pPr>
      <w:r>
        <w:rPr>
          <w:rFonts w:ascii="Simplified Arabic" w:hAnsi="Simplified Arabic" w:eastAsia="Simplified Arabic"/>
          <w:sz w:val="28"/>
          <w:rtl w:val="1"/>
        </w:rPr>
        <w:t>• التكامل بين الأنظمة: انتقال البيانات بين نظامين أو أكثر بطريقة إلكترونية منظمة تقلل الحاجة إلى إعادة الإدخال.</w:t>
      </w:r>
    </w:p>
    <w:p>
      <w:pPr>
        <w:spacing w:after="80"/>
        <w:ind w:right="360" w:hanging="200"/>
        <w:jc w:val="right"/>
        <w:bidi w:val="1"/>
      </w:pPr>
      <w:r>
        <w:rPr>
          <w:rFonts w:ascii="Simplified Arabic" w:hAnsi="Simplified Arabic" w:eastAsia="Simplified Arabic"/>
          <w:sz w:val="28"/>
          <w:rtl w:val="1"/>
        </w:rPr>
        <w:t>• التقارير الرقابية: تقارير أو تنبيهات تستخدم لمراجعة التغيرات والاستثناءات واكتشاف الأخطاء المحتملة قبل اعتماد المسير.</w:t>
      </w:r>
    </w:p>
    <w:p>
      <w:pPr>
        <w:spacing w:before="160" w:after="120"/>
        <w:jc w:val="right"/>
        <w:bidi w:val="1"/>
      </w:pPr>
      <w:r>
        <w:rPr>
          <w:rFonts w:ascii="Simplified Arabic" w:hAnsi="Simplified Arabic" w:eastAsia="Simplified Arabic"/>
          <w:b/>
          <w:sz w:val="32"/>
          <w:rtl w:val="1"/>
        </w:rPr>
        <w:t>1.20 خلاصة الفصل الأول</w:t>
      </w:r>
    </w:p>
    <w:p>
      <w:pPr>
        <w:spacing w:after="120" w:line="276" w:lineRule="auto"/>
        <w:jc w:val="both"/>
        <w:bidi w:val="1"/>
      </w:pPr>
      <w:r>
        <w:rPr>
          <w:rFonts w:ascii="Simplified Arabic" w:hAnsi="Simplified Arabic" w:eastAsia="Simplified Arabic"/>
          <w:sz w:val="28"/>
          <w:rtl w:val="1"/>
        </w:rPr>
        <w:t>عرض هذا الفصل الخلفية النظرية لموضوع الدراسة من خلال توضيح التحول الرقمي في إدارة الموارد البشرية ومفهوم أنظمة الموارد البشرية الرقمية وتطورها ووظائفها، ثم تناول مفهوم مسير الرواتب ومكوناته ومراحله ودقته ومصادر الأخطاء المحتملة. كما شرح بصورة تفصيلية الأبعاد المرتبطة بموضوع الدراسة، وهي دقة بيانات الموظفين، وتقليل الإدخال اليدوي، والتكامل مع الحضور والانصراف، وأتمتة البدلات والاستقطاعات، والتقارير والرقابة الإلكترونية. ويبين هذا الإطار أن دقة المسير تمثل نتيجة لسلسلة مترابطة من البيانات والإجراءات والقواعد والرقابة، وأن دور النظام الرقمي يعتمد على جودة هذه العناصر وتكاملها.</w:t>
      </w:r>
    </w:p>
    <w:p>
      <w:pPr>
        <w:spacing w:before="160" w:after="120"/>
        <w:jc w:val="right"/>
        <w:pageBreakBefore/>
        <w:bidi w:val="1"/>
      </w:pPr>
      <w:r>
        <w:rPr>
          <w:rFonts w:ascii="Simplified Arabic" w:hAnsi="Simplified Arabic" w:eastAsia="Simplified Arabic"/>
          <w:b/>
          <w:sz w:val="40"/>
          <w:rtl w:val="1"/>
        </w:rPr>
        <w:t>الفصل الثاني: مراجعة الدراسات السابقة</w:t>
      </w:r>
    </w:p>
    <w:p>
      <w:pPr>
        <w:spacing w:before="160" w:after="120"/>
        <w:jc w:val="right"/>
        <w:bidi w:val="1"/>
      </w:pPr>
      <w:r>
        <w:rPr>
          <w:rFonts w:ascii="Simplified Arabic" w:hAnsi="Simplified Arabic" w:eastAsia="Simplified Arabic"/>
          <w:b/>
          <w:sz w:val="32"/>
          <w:rtl w:val="1"/>
        </w:rPr>
        <w:t>2.1 مقدمة الفصل</w:t>
      </w:r>
    </w:p>
    <w:p>
      <w:pPr>
        <w:spacing w:after="120" w:line="276" w:lineRule="auto"/>
        <w:jc w:val="both"/>
        <w:bidi w:val="1"/>
      </w:pPr>
      <w:r>
        <w:rPr>
          <w:rFonts w:ascii="Simplified Arabic" w:hAnsi="Simplified Arabic" w:eastAsia="Simplified Arabic"/>
          <w:sz w:val="28"/>
          <w:rtl w:val="1"/>
        </w:rPr>
        <w:t>يتناول هذا الفصل عدداً من الدراسات السابقة العربية والأجنبية المرتبطة بنظم معلومات الموارد البشرية والإدارة الإلكترونية والرقمية للموارد البشرية وإدارة الأجور والرواتب. وتم اختيار الدراسات بما يساعد على توضيح تطور المعرفة في الموضوع، وبيان النتائج التي توصلت إليها البحوث السابقة، ثم تحديد أوجه الاتفاق والاختلاف والفجوة التي تركز عليها الدراسة الحالية.</w:t>
      </w:r>
    </w:p>
    <w:p>
      <w:pPr>
        <w:spacing w:before="160" w:after="120"/>
        <w:jc w:val="right"/>
        <w:bidi w:val="1"/>
      </w:pPr>
      <w:r>
        <w:rPr>
          <w:rFonts w:ascii="Simplified Arabic" w:hAnsi="Simplified Arabic" w:eastAsia="Simplified Arabic"/>
          <w:b/>
          <w:sz w:val="32"/>
          <w:rtl w:val="1"/>
        </w:rPr>
        <w:t>2.2 الدراسات العربية</w:t>
      </w:r>
    </w:p>
    <w:p>
      <w:pPr>
        <w:spacing w:before="160" w:after="120"/>
        <w:jc w:val="right"/>
        <w:bidi w:val="1"/>
      </w:pPr>
      <w:r>
        <w:rPr>
          <w:rFonts w:ascii="Simplified Arabic" w:hAnsi="Simplified Arabic" w:eastAsia="Simplified Arabic"/>
          <w:b/>
          <w:sz w:val="32"/>
          <w:rtl w:val="1"/>
        </w:rPr>
        <w:t>2.2.1 دراسة بوهنيبة (2015)</w:t>
      </w:r>
    </w:p>
    <w:p>
      <w:pPr>
        <w:spacing w:after="120" w:line="276" w:lineRule="auto"/>
        <w:jc w:val="both"/>
        <w:bidi w:val="1"/>
      </w:pPr>
      <w:r>
        <w:rPr>
          <w:rFonts w:ascii="Simplified Arabic" w:hAnsi="Simplified Arabic" w:eastAsia="Simplified Arabic"/>
          <w:sz w:val="28"/>
          <w:rtl w:val="1"/>
        </w:rPr>
        <w:t>تناولت دراسة بوهنيبة دور نظام معلومات الموارد البشرية في تسيير أجور مؤسسة سوناطراك، وركزت على كيفية استخدام النظام في معالجة بيانات الأجور ودعم العملية الإدارية. وخلصت الدراسة إلى أن نظام معلومات الموارد البشرية يسهم بصورة فعالة في تسيير أجور العاملين وتحسين معالجة المعلومات المرتبطة بها. وتفيد هذه الدراسة في دعم الفكرة الأساسية التي تربط جودة نظم المعلومات بكفاءة إدارة الأجور، إلا أنها أجريت في مؤسسة محددة خارج البيئة السعودية.</w:t>
      </w:r>
    </w:p>
    <w:p>
      <w:pPr>
        <w:spacing w:before="160" w:after="120"/>
        <w:jc w:val="right"/>
        <w:bidi w:val="1"/>
      </w:pPr>
      <w:r>
        <w:rPr>
          <w:rFonts w:ascii="Simplified Arabic" w:hAnsi="Simplified Arabic" w:eastAsia="Simplified Arabic"/>
          <w:b/>
          <w:sz w:val="32"/>
          <w:rtl w:val="1"/>
        </w:rPr>
        <w:t>2.2.2 دراسة العتوم (2021)</w:t>
      </w:r>
    </w:p>
    <w:p>
      <w:pPr>
        <w:spacing w:after="120" w:line="276" w:lineRule="auto"/>
        <w:jc w:val="both"/>
        <w:bidi w:val="1"/>
      </w:pPr>
      <w:r>
        <w:rPr>
          <w:rFonts w:ascii="Simplified Arabic" w:hAnsi="Simplified Arabic" w:eastAsia="Simplified Arabic"/>
          <w:sz w:val="28"/>
          <w:rtl w:val="1"/>
        </w:rPr>
        <w:t>هدفت دراسة العتوم إلى معرفة أثر نظم معلومات الموارد البشرية على أداء الموظفين في المصارف التجارية الأردنية. وأظهرت النتائج وجود أثر ذي دلالة إحصائية لأبعاد نظم معلومات الموارد البشرية في أداء الموظفين، وأوصت الدراسة بتطوير هذه النظم وتوفير التدريب المستمر للعاملين على استخدامها. وعلى الرغم من أن المتغير التابع في هذه الدراسة هو أداء الموظفين وليس دقة الرواتب، فإنها تؤكد أهمية جودة النظام والتكامل وكفاءة الاستخدام في تحقيق نتائج تنظيمية أفضل.</w:t>
      </w:r>
    </w:p>
    <w:p>
      <w:pPr>
        <w:spacing w:before="160" w:after="120"/>
        <w:jc w:val="right"/>
        <w:bidi w:val="1"/>
      </w:pPr>
      <w:r>
        <w:rPr>
          <w:rFonts w:ascii="Simplified Arabic" w:hAnsi="Simplified Arabic" w:eastAsia="Simplified Arabic"/>
          <w:b/>
          <w:sz w:val="32"/>
          <w:rtl w:val="1"/>
        </w:rPr>
        <w:t>2.2.3 دراسة قبسي بن والي (2024)</w:t>
      </w:r>
    </w:p>
    <w:p>
      <w:pPr>
        <w:spacing w:after="120" w:line="276" w:lineRule="auto"/>
        <w:jc w:val="both"/>
        <w:bidi w:val="1"/>
      </w:pPr>
      <w:r>
        <w:rPr>
          <w:rFonts w:ascii="Simplified Arabic" w:hAnsi="Simplified Arabic" w:eastAsia="Simplified Arabic"/>
          <w:sz w:val="28"/>
          <w:rtl w:val="1"/>
        </w:rPr>
        <w:t>بحثت دراسة قبسي بن والي أثر نظام معلومات الموارد البشرية في تسيير الأجور والرواتب في المؤسسة الوطنية للمنتجات الكهروكيميائية. واعتمدت على الاستبيان، وتوصلت إلى أن تطبيق أنظمة المعلومات في مجال الأجور يساعد على الاحتفاظ بالمعلومات واختصار الوقت وتحسين النشاط الإداري، مع استمرار بعض المعوقات المرتبطة بوضوح التقارير ودقة البيانات. وتتقاطع هذه الدراسة بصورة مباشرة مع الدراسة الحالية في موضوع الأجور والرواتب، وخاصة في بعدي جودة البيانات والتقارير الرقابية.</w:t>
      </w:r>
    </w:p>
    <w:p>
      <w:pPr>
        <w:spacing w:before="160" w:after="120"/>
        <w:jc w:val="right"/>
        <w:bidi w:val="1"/>
      </w:pPr>
      <w:r>
        <w:rPr>
          <w:rFonts w:ascii="Simplified Arabic" w:hAnsi="Simplified Arabic" w:eastAsia="Simplified Arabic"/>
          <w:b/>
          <w:sz w:val="32"/>
          <w:rtl w:val="1"/>
        </w:rPr>
        <w:t>2.3 الدراسات الأجنبية</w:t>
      </w:r>
    </w:p>
    <w:p>
      <w:pPr>
        <w:spacing w:before="160" w:after="120"/>
        <w:jc w:val="right"/>
        <w:bidi w:val="1"/>
      </w:pPr>
      <w:r>
        <w:rPr>
          <w:rFonts w:ascii="Simplified Arabic" w:hAnsi="Simplified Arabic" w:eastAsia="Simplified Arabic"/>
          <w:b/>
          <w:sz w:val="32"/>
          <w:rtl w:val="1"/>
        </w:rPr>
        <w:t>2.3.1 دراسة Ball (2001)</w:t>
      </w:r>
    </w:p>
    <w:p>
      <w:pPr>
        <w:spacing w:after="120" w:line="276" w:lineRule="auto"/>
        <w:jc w:val="both"/>
        <w:bidi w:val="1"/>
      </w:pPr>
      <w:r>
        <w:rPr>
          <w:rFonts w:ascii="Simplified Arabic" w:hAnsi="Simplified Arabic" w:eastAsia="Simplified Arabic"/>
          <w:sz w:val="28"/>
          <w:rtl w:val="1"/>
        </w:rPr>
        <w:t>أجرت Ball مسحاً لاستخدام نظم معلومات الموارد البشرية، وأظهرت أن الاستخدام في تلك المرحلة كان يتركز بدرجة كبيرة في تخزين المعلومات والأغراض الإدارية أكثر من الاستخدامات التحليلية المتقدمة. وتبرز أهمية هذه النتيجة في توضيح أن توافر النظام لا يعني بالضرورة استثمار جميع إمكاناته، وأن القيمة المتحققة تعتمد على نوع الاستخدام.</w:t>
      </w:r>
    </w:p>
    <w:p>
      <w:pPr>
        <w:spacing w:before="160" w:after="120"/>
        <w:jc w:val="right"/>
        <w:bidi w:val="1"/>
      </w:pPr>
      <w:r>
        <w:rPr>
          <w:rFonts w:ascii="Simplified Arabic" w:hAnsi="Simplified Arabic" w:eastAsia="Simplified Arabic"/>
          <w:b/>
          <w:sz w:val="32"/>
          <w:rtl w:val="1"/>
        </w:rPr>
        <w:t>2.3.2 دراسة Tansley et al. (2001)</w:t>
      </w:r>
    </w:p>
    <w:p>
      <w:pPr>
        <w:spacing w:after="120" w:line="276" w:lineRule="auto"/>
        <w:jc w:val="both"/>
        <w:bidi w:val="1"/>
      </w:pPr>
      <w:r>
        <w:rPr>
          <w:rFonts w:ascii="Simplified Arabic" w:hAnsi="Simplified Arabic" w:eastAsia="Simplified Arabic"/>
          <w:sz w:val="28"/>
          <w:rtl w:val="1"/>
        </w:rPr>
        <w:t>تناولت دراسة Tansley وزملائه تطبيق نظام متكامل لمعلومات الموارد البشرية، وناقشت قدرة النظام المتكامل على دعم ممارسات أكثر تطوراً للموارد البشرية وإعادة تصميم بعض العمليات. وأشارت الدراسة إلى أن التكامل قد يساعد على تحسين الممارسات، لكنه يرتبط بالسياق التنظيمي وإدارة التغيير. وتفيد هذه النتيجة في فهم أن التكامل بين الأنظمة يحتاج إلى تنظيم الإجراءات وليس إلى الربط التقني فقط.</w:t>
      </w:r>
    </w:p>
    <w:p>
      <w:pPr>
        <w:spacing w:before="160" w:after="120"/>
        <w:jc w:val="right"/>
        <w:bidi w:val="1"/>
      </w:pPr>
      <w:r>
        <w:rPr>
          <w:rFonts w:ascii="Simplified Arabic" w:hAnsi="Simplified Arabic" w:eastAsia="Simplified Arabic"/>
          <w:b/>
          <w:sz w:val="32"/>
          <w:rtl w:val="1"/>
        </w:rPr>
        <w:t>2.3.3 دراسة Hussain et al. (2007)</w:t>
      </w:r>
    </w:p>
    <w:p>
      <w:pPr>
        <w:spacing w:after="120" w:line="276" w:lineRule="auto"/>
        <w:jc w:val="both"/>
        <w:bidi w:val="1"/>
      </w:pPr>
      <w:r>
        <w:rPr>
          <w:rFonts w:ascii="Simplified Arabic" w:hAnsi="Simplified Arabic" w:eastAsia="Simplified Arabic"/>
          <w:sz w:val="28"/>
          <w:rtl w:val="1"/>
        </w:rPr>
        <w:t>بحثت دراسة Hussain وزملائه استخدام نظم معلومات الموارد البشرية وأثرها على ممارسي الموارد البشرية. وأظهرت أن استخدام هذه النظم يمكن أن يعزز القيمة المتصورة للموارد البشرية، خصوصاً عندما تتجاوز الاستخدامات حفظ البيانات إلى دعم العمليات والقرارات. وتدعم هذه الدراسة فكرة أن فعالية النظام ترتبط بمدى توظيف وظائفه وليس بمجرد وجوده.</w:t>
      </w:r>
    </w:p>
    <w:p>
      <w:pPr>
        <w:spacing w:before="160" w:after="120"/>
        <w:jc w:val="right"/>
        <w:bidi w:val="1"/>
      </w:pPr>
      <w:r>
        <w:rPr>
          <w:rFonts w:ascii="Simplified Arabic" w:hAnsi="Simplified Arabic" w:eastAsia="Simplified Arabic"/>
          <w:b/>
          <w:sz w:val="32"/>
          <w:rtl w:val="1"/>
        </w:rPr>
        <w:t>2.3.4 دراسة Strohmeier (2007)</w:t>
      </w:r>
    </w:p>
    <w:p>
      <w:pPr>
        <w:spacing w:after="120" w:line="276" w:lineRule="auto"/>
        <w:jc w:val="both"/>
        <w:bidi w:val="1"/>
      </w:pPr>
      <w:r>
        <w:rPr>
          <w:rFonts w:ascii="Simplified Arabic" w:hAnsi="Simplified Arabic" w:eastAsia="Simplified Arabic"/>
          <w:sz w:val="28"/>
          <w:rtl w:val="1"/>
        </w:rPr>
        <w:t>قدم Strohmeier مراجعة للبحوث التجريبية في الإدارة الإلكترونية للموارد البشرية، وخلص إلى أن المجال كان متنوعاً ومجزأً ويحتاج إلى مزيد من التأصيل والاختبارات المنهجية. وتفيد هذه الدراسة في إظهار الحاجة إلى تحديد مخرجات تشغيلية واضحة عند تقييم أثر الأنظمة الرقمية، وهو ما تحاول الدراسة الحالية تطبيقه من خلال التركيز على دقة مسير الرواتب.</w:t>
      </w:r>
    </w:p>
    <w:p>
      <w:pPr>
        <w:spacing w:before="160" w:after="120"/>
        <w:jc w:val="right"/>
        <w:bidi w:val="1"/>
      </w:pPr>
      <w:r>
        <w:rPr>
          <w:rFonts w:ascii="Simplified Arabic" w:hAnsi="Simplified Arabic" w:eastAsia="Simplified Arabic"/>
          <w:b/>
          <w:sz w:val="32"/>
          <w:rtl w:val="1"/>
        </w:rPr>
        <w:t>2.3.5 دراسة Bondarouk &amp; Ruël (2009)</w:t>
      </w:r>
    </w:p>
    <w:p>
      <w:pPr>
        <w:spacing w:after="120" w:line="276" w:lineRule="auto"/>
        <w:jc w:val="both"/>
        <w:bidi w:val="1"/>
      </w:pPr>
      <w:r>
        <w:rPr>
          <w:rFonts w:ascii="Simplified Arabic" w:hAnsi="Simplified Arabic" w:eastAsia="Simplified Arabic"/>
          <w:sz w:val="28"/>
          <w:rtl w:val="1"/>
        </w:rPr>
        <w:t>ناقشت دراسة Bondarouk وRuël مفهوم الإدارة الإلكترونية للموارد البشرية والتحديات المرتبطة بها في العصر الرقمي. وأكدت أن الإدارة الإلكترونية تمثل تكاملاً بين الموارد البشرية وتقنية المعلومات يهدف إلى خلق قيمة للمستخدمين وأصحاب المصلحة، وأن نتائج التطبيق تتأثر بعوامل تقنية وتنظيمية وبشرية. وتوفر الدراسة أساساً نظرياً لفهم الأنظمة الرقمية بوصفها نظام عمل متكاملاً لا مجرد أداة تقنية.</w:t>
      </w:r>
    </w:p>
    <w:p>
      <w:pPr>
        <w:spacing w:before="160" w:after="120"/>
        <w:jc w:val="right"/>
        <w:bidi w:val="1"/>
      </w:pPr>
      <w:r>
        <w:rPr>
          <w:rFonts w:ascii="Simplified Arabic" w:hAnsi="Simplified Arabic" w:eastAsia="Simplified Arabic"/>
          <w:b/>
          <w:sz w:val="32"/>
          <w:rtl w:val="1"/>
        </w:rPr>
        <w:t>2.3.6 دراسة Bondarouk et al. (2009)</w:t>
      </w:r>
    </w:p>
    <w:p>
      <w:pPr>
        <w:spacing w:after="120" w:line="276" w:lineRule="auto"/>
        <w:jc w:val="both"/>
        <w:bidi w:val="1"/>
      </w:pPr>
      <w:r>
        <w:rPr>
          <w:rFonts w:ascii="Simplified Arabic" w:hAnsi="Simplified Arabic" w:eastAsia="Simplified Arabic"/>
          <w:sz w:val="28"/>
          <w:rtl w:val="1"/>
        </w:rPr>
        <w:t>درست Bondarouk وزملاؤها فعالية الإدارة الإلكترونية للموارد البشرية داخل منظمة عامة من منظور عدة أطراف. وأظهرت النتائج أن تقييم الفعالية يختلف بين أصحاب المصلحة بحسب توقعاتهم وطريقة استخدامهم للنظام. وتفيد هذه النتيجة في دعم أهمية دراسة تصورات العاملين ذوي العلاقة بالعملية، وهو المنظور الذي تتبناه الدراسة الحالية.</w:t>
      </w:r>
    </w:p>
    <w:p>
      <w:pPr>
        <w:spacing w:before="160" w:after="120"/>
        <w:jc w:val="right"/>
        <w:bidi w:val="1"/>
      </w:pPr>
      <w:r>
        <w:rPr>
          <w:rFonts w:ascii="Simplified Arabic" w:hAnsi="Simplified Arabic" w:eastAsia="Simplified Arabic"/>
          <w:b/>
          <w:sz w:val="32"/>
          <w:rtl w:val="1"/>
        </w:rPr>
        <w:t>2.3.7 دراسة Parry &amp; Tyson (2011)</w:t>
      </w:r>
    </w:p>
    <w:p>
      <w:pPr>
        <w:spacing w:after="120" w:line="276" w:lineRule="auto"/>
        <w:jc w:val="both"/>
        <w:bidi w:val="1"/>
      </w:pPr>
      <w:r>
        <w:rPr>
          <w:rFonts w:ascii="Simplified Arabic" w:hAnsi="Simplified Arabic" w:eastAsia="Simplified Arabic"/>
          <w:sz w:val="28"/>
          <w:rtl w:val="1"/>
        </w:rPr>
        <w:t>فحصت دراسة Parry وTyson الأهداف المتوقعة والنتائج الفعلية لتطبيق الإدارة الإلكترونية للموارد البشرية في عدد من الحالات التنظيمية. وأظهرت أن أهداف الكفاءة وتقديم الخدمة والتوحيد تحققت بصورة أكثر وضوحاً من بعض النتائج الاستراتيجية بعيدة المدى. وترتبط هذه النتيجة بالدراسة الحالية لأن دقة الرواتب تعد من النتائج التشغيلية المباشرة التي يمكن أن تتأثر بتوحيد الإجراءات وتقليل المعالجة اليدوية.</w:t>
      </w:r>
    </w:p>
    <w:p>
      <w:pPr>
        <w:spacing w:before="160" w:after="120"/>
        <w:jc w:val="right"/>
        <w:bidi w:val="1"/>
      </w:pPr>
      <w:r>
        <w:rPr>
          <w:rFonts w:ascii="Simplified Arabic" w:hAnsi="Simplified Arabic" w:eastAsia="Simplified Arabic"/>
          <w:b/>
          <w:sz w:val="32"/>
          <w:rtl w:val="1"/>
        </w:rPr>
        <w:t>2.3.8 دراسة Marler &amp; Fisher (2013)</w:t>
      </w:r>
    </w:p>
    <w:p>
      <w:pPr>
        <w:spacing w:after="120" w:line="276" w:lineRule="auto"/>
        <w:jc w:val="both"/>
        <w:bidi w:val="1"/>
      </w:pPr>
      <w:r>
        <w:rPr>
          <w:rFonts w:ascii="Simplified Arabic" w:hAnsi="Simplified Arabic" w:eastAsia="Simplified Arabic"/>
          <w:sz w:val="28"/>
          <w:rtl w:val="1"/>
        </w:rPr>
        <w:t>راجعت Marler وFisher الأدلة المتعلقة بالإدارة الإلكترونية للموارد البشرية ودورها الاستراتيجي، وأشارتا إلى محدودية الأدلة السببية وإلى أهمية العوامل السياقية في تفسير النتائج. وتؤكد هذه الدراسة ضرورة التمييز بين الارتباط والسببية وعدم افتراض أن استخدام النظام يؤدي تلقائياً إلى نتيجة أفضل دون النظر إلى جودة التطبيق والبيانات والحوكمة.</w:t>
      </w:r>
    </w:p>
    <w:p>
      <w:pPr>
        <w:spacing w:before="160" w:after="120"/>
        <w:jc w:val="right"/>
        <w:bidi w:val="1"/>
      </w:pPr>
      <w:r>
        <w:rPr>
          <w:rFonts w:ascii="Simplified Arabic" w:hAnsi="Simplified Arabic" w:eastAsia="Simplified Arabic"/>
          <w:b/>
          <w:sz w:val="32"/>
          <w:rtl w:val="1"/>
        </w:rPr>
        <w:t>2.3.9 دراسة Stone et al. (2015)</w:t>
      </w:r>
    </w:p>
    <w:p>
      <w:pPr>
        <w:spacing w:after="120" w:line="276" w:lineRule="auto"/>
        <w:jc w:val="both"/>
        <w:bidi w:val="1"/>
      </w:pPr>
      <w:r>
        <w:rPr>
          <w:rFonts w:ascii="Simplified Arabic" w:hAnsi="Simplified Arabic" w:eastAsia="Simplified Arabic"/>
          <w:sz w:val="28"/>
          <w:rtl w:val="1"/>
        </w:rPr>
        <w:t>ناقشت دراسة Stone وزملائه تأثير التقنية في مستقبل إدارة الموارد البشرية، وأشارت إلى المزايا المحتملة للتقنيات الرقمية إلى جانب القيود المتعلقة بتجربة المستخدم والتفاعل وملاءمة النظام للمهمة. وتفيد الدراسة في تأكيد أهمية تصميم النظام وسهولة استخدامه وتوافقه مع طبيعة العمل حتى تتحقق المنافع المتوقعة.</w:t>
      </w:r>
    </w:p>
    <w:p>
      <w:pPr>
        <w:spacing w:before="160" w:after="120"/>
        <w:jc w:val="right"/>
        <w:bidi w:val="1"/>
      </w:pPr>
      <w:r>
        <w:rPr>
          <w:rFonts w:ascii="Simplified Arabic" w:hAnsi="Simplified Arabic" w:eastAsia="Simplified Arabic"/>
          <w:b/>
          <w:sz w:val="32"/>
          <w:rtl w:val="1"/>
        </w:rPr>
        <w:t>2.3.10 دراسة Ali et al. (2023)</w:t>
      </w:r>
    </w:p>
    <w:p>
      <w:pPr>
        <w:spacing w:after="120" w:line="276" w:lineRule="auto"/>
        <w:jc w:val="both"/>
        <w:bidi w:val="1"/>
      </w:pPr>
      <w:r>
        <w:rPr>
          <w:rFonts w:ascii="Simplified Arabic" w:hAnsi="Simplified Arabic" w:eastAsia="Simplified Arabic"/>
          <w:sz w:val="28"/>
          <w:rtl w:val="1"/>
        </w:rPr>
        <w:t>قدمت دراسة Ali وزملائه مراجعة منهجية للوظائف التي تدعمها التقنيات المتقدمة في الموارد البشرية، وبينت تنوع المنافع مثل الأتمتة والتحليل وتحسين الوصول إلى المعلومات، إلى جانب تحديات مرتبطة بالتطبيق والخصوصية والمهارات. وتوضح الدراسة أن توسع التقنية لا يلغي الحاجة إلى الضوابط والقدرات البشرية.</w:t>
      </w:r>
    </w:p>
    <w:p>
      <w:pPr>
        <w:spacing w:before="160" w:after="120"/>
        <w:jc w:val="right"/>
        <w:bidi w:val="1"/>
      </w:pPr>
      <w:r>
        <w:rPr>
          <w:rFonts w:ascii="Simplified Arabic" w:hAnsi="Simplified Arabic" w:eastAsia="Simplified Arabic"/>
          <w:b/>
          <w:sz w:val="32"/>
          <w:rtl w:val="1"/>
        </w:rPr>
        <w:t>2.3.11 دراسة Theres &amp; Strohmeier (2023)</w:t>
      </w:r>
    </w:p>
    <w:p>
      <w:pPr>
        <w:spacing w:after="120" w:line="276" w:lineRule="auto"/>
        <w:jc w:val="both"/>
        <w:bidi w:val="1"/>
      </w:pPr>
      <w:r>
        <w:rPr>
          <w:rFonts w:ascii="Simplified Arabic" w:hAnsi="Simplified Arabic" w:eastAsia="Simplified Arabic"/>
          <w:sz w:val="28"/>
          <w:rtl w:val="1"/>
        </w:rPr>
        <w:t>قدم Theres وStrohmeier تحليلاً تجميعياً لنتائج الأداء المرتبطة بالإدارة الرقمية للموارد البشرية، ووجدت الدراسة أن الإدارة الرقمية ترتبط إجمالاً بنتائج أداء إيجابية مع اختلاف قوة العلاقة باختلاف نوع النتيجة وسياق التطبيق. وتدعم هذه النتيجة الاتجاه العام الذي يفترض وجود منافع تشغيلية للأنظمة الرقمية مع ضرورة دراسة المخرج المحدد بصورة مستقلة.</w:t>
      </w:r>
    </w:p>
    <w:p>
      <w:pPr>
        <w:spacing w:before="160" w:after="120"/>
        <w:jc w:val="right"/>
        <w:bidi w:val="1"/>
      </w:pPr>
      <w:r>
        <w:rPr>
          <w:rFonts w:ascii="Simplified Arabic" w:hAnsi="Simplified Arabic" w:eastAsia="Simplified Arabic"/>
          <w:b/>
          <w:sz w:val="32"/>
          <w:rtl w:val="1"/>
        </w:rPr>
        <w:t>2.3.12 دراسة Fiaz &amp; Qureshi (2024)</w:t>
      </w:r>
    </w:p>
    <w:p>
      <w:pPr>
        <w:spacing w:after="120" w:line="276" w:lineRule="auto"/>
        <w:jc w:val="both"/>
        <w:bidi w:val="1"/>
      </w:pPr>
      <w:r>
        <w:rPr>
          <w:rFonts w:ascii="Simplified Arabic" w:hAnsi="Simplified Arabic" w:eastAsia="Simplified Arabic"/>
          <w:sz w:val="28"/>
          <w:rtl w:val="1"/>
        </w:rPr>
        <w:t>تناولت دراسة Fiaz وQureshi الغموض المفاهيمي في مجال إدارة الموارد البشرية الرقمية من خلال مراجعة حديثة للأدبيات. وأشارت إلى استمرار التداخل بين مصطلحات الإدارة الرقمية والإلكترونية للموارد البشرية، والحاجة إلى تحديد المفاهيم والأبعاد بصورة تشغيلية واضحة. وتفيد هذه الدراسة في تبرير تحديد الدراسة الحالية لأبعاد رقمية محددة ترتبط مباشرة بدورة الرواتب.</w:t>
      </w:r>
    </w:p>
    <w:p>
      <w:pPr>
        <w:spacing w:before="160" w:after="120"/>
        <w:jc w:val="right"/>
        <w:bidi w:val="1"/>
      </w:pPr>
      <w:r>
        <w:rPr>
          <w:rFonts w:ascii="Simplified Arabic" w:hAnsi="Simplified Arabic" w:eastAsia="Simplified Arabic"/>
          <w:b/>
          <w:sz w:val="32"/>
          <w:rtl w:val="1"/>
        </w:rPr>
        <w:t>2.3.13 دراسة García-Fernández et al. (2024)</w:t>
      </w:r>
    </w:p>
    <w:p>
      <w:pPr>
        <w:spacing w:after="120" w:line="276" w:lineRule="auto"/>
        <w:jc w:val="both"/>
        <w:bidi w:val="1"/>
      </w:pPr>
      <w:r>
        <w:rPr>
          <w:rFonts w:ascii="Simplified Arabic" w:hAnsi="Simplified Arabic" w:eastAsia="Simplified Arabic"/>
          <w:sz w:val="28"/>
          <w:rtl w:val="1"/>
        </w:rPr>
        <w:t>حللت دراسة García-Fernández وزملائه الموضوعات الرئيسة في بحوث الموارد البشرية الرقمية، وأظهرت اتساع مجالات البحث وارتباطها بالتقنية والتحول التنظيمي والبيانات والخدمات. وتدعم هذه الدراسة أهمية تناول موضوع تطبيقي محدد داخل هذا المجال الواسع، مثل دقة مسير الرواتب.</w:t>
      </w:r>
    </w:p>
    <w:p>
      <w:pPr>
        <w:spacing w:before="160" w:after="120"/>
        <w:jc w:val="right"/>
        <w:bidi w:val="1"/>
      </w:pPr>
      <w:r>
        <w:rPr>
          <w:rFonts w:ascii="Simplified Arabic" w:hAnsi="Simplified Arabic" w:eastAsia="Simplified Arabic"/>
          <w:b/>
          <w:sz w:val="32"/>
          <w:rtl w:val="1"/>
        </w:rPr>
        <w:t>2.4 التعقيب على الدراسات السابقة</w:t>
      </w:r>
    </w:p>
    <w:p>
      <w:pPr>
        <w:spacing w:after="120" w:line="276" w:lineRule="auto"/>
        <w:jc w:val="both"/>
        <w:bidi w:val="1"/>
      </w:pPr>
      <w:r>
        <w:rPr>
          <w:rFonts w:ascii="Simplified Arabic" w:hAnsi="Simplified Arabic" w:eastAsia="Simplified Arabic"/>
          <w:sz w:val="28"/>
          <w:rtl w:val="1"/>
        </w:rPr>
        <w:t>يتضح من مراجعة الدراسات السابقة وجود اتفاق عام على أن نظم معلومات الموارد البشرية والإدارة الرقمية يمكن أن تسهم في رفع الكفاءة وتنظيم البيانات وتوحيد الإجراءات وتحسين الوصول إلى المعلومات والخدمات. كما تتفق الدراسات على أن الأثر لا ينتج بصورة آلية من توافر النظام، بل يتأثر بجودة البيانات والتكامل وإدارة التغيير وكفاءة المستخدمين والحوكمة.</w:t>
      </w:r>
    </w:p>
    <w:p>
      <w:pPr>
        <w:spacing w:after="120" w:line="276" w:lineRule="auto"/>
        <w:jc w:val="both"/>
        <w:bidi w:val="1"/>
      </w:pPr>
      <w:r>
        <w:rPr>
          <w:rFonts w:ascii="Simplified Arabic" w:hAnsi="Simplified Arabic" w:eastAsia="Simplified Arabic"/>
          <w:sz w:val="28"/>
          <w:rtl w:val="1"/>
        </w:rPr>
        <w:t>وفي المقابل، تختلف الدراسات من حيث المخرجات التي ركزت عليها. فقد تناولت بعض الدراسات الأداء العام للموارد البشرية أو مكانتها ودورها الاستراتيجي، بينما ركزت دراسات أخرى على التبني والاستخدام والكفاءة. أما الدراسات العربية الأقرب لموضوع الأجور فقد تناولت تسيير الأجور والرواتب داخل مؤسسات أو قطاعات محددة، ولم تركز بصورة تفصيلية على دقة المسير بوصفها نتيجة تشغيلية مرتبطة بمجموعة من الأبعاد الرقمية المحددة.</w:t>
      </w:r>
    </w:p>
    <w:p>
      <w:pPr>
        <w:spacing w:after="120" w:line="276" w:lineRule="auto"/>
        <w:jc w:val="both"/>
        <w:bidi w:val="1"/>
      </w:pPr>
      <w:r>
        <w:rPr>
          <w:rFonts w:ascii="Simplified Arabic" w:hAnsi="Simplified Arabic" w:eastAsia="Simplified Arabic"/>
          <w:sz w:val="28"/>
          <w:rtl w:val="1"/>
        </w:rPr>
        <w:t>كما يلاحظ اختلاف البيئات التنظيمية والجغرافية للدراسات السابقة، إذ أجريت نسبة كبيرة منها خارج المملكة العربية السعودية. وهذا الاختلاف مهم لأن إدارة الرواتب تتأثر بالأنظمة المحلية وممارسات سوق العمل والمنصات الحكومية ومتطلبات الامتثال.</w:t>
      </w:r>
    </w:p>
    <w:p>
      <w:pPr>
        <w:spacing w:before="160" w:after="120"/>
        <w:jc w:val="right"/>
        <w:bidi w:val="1"/>
      </w:pPr>
      <w:r>
        <w:rPr>
          <w:rFonts w:ascii="Simplified Arabic" w:hAnsi="Simplified Arabic" w:eastAsia="Simplified Arabic"/>
          <w:b/>
          <w:sz w:val="32"/>
          <w:rtl w:val="1"/>
        </w:rPr>
        <w:t>2.5 ما يميز الدراسة الحالية عن الدراسات السابقة</w:t>
      </w:r>
    </w:p>
    <w:p>
      <w:pPr>
        <w:spacing w:after="120" w:line="276" w:lineRule="auto"/>
        <w:jc w:val="both"/>
        <w:bidi w:val="1"/>
      </w:pPr>
      <w:r>
        <w:rPr>
          <w:rFonts w:ascii="Simplified Arabic" w:hAnsi="Simplified Arabic" w:eastAsia="Simplified Arabic"/>
          <w:sz w:val="28"/>
          <w:rtl w:val="1"/>
        </w:rPr>
        <w:t>تتميز الدراسة الحالية عن الدراسات السابقة في تركيزها المباشر على دقة مسير الرواتب بدلاً من تناول التحول الرقمي أو أداء الموارد البشرية بصورة عامة. كما تقسم الدور الرقمي إلى أبعاد تشغيلية مرتبطة فعلياً بدورة الرواتب، تتمثل في دقة بيانات الموظفين، وتقليل الإدخال اليدوي، والتكامل مع الحضور والانصراف، وأتمتة البدلات والاستقطاعات، والتقارير الرقابية الإلكترونية.</w:t>
      </w:r>
    </w:p>
    <w:p>
      <w:pPr>
        <w:spacing w:after="120" w:line="276" w:lineRule="auto"/>
        <w:jc w:val="both"/>
        <w:bidi w:val="1"/>
      </w:pPr>
      <w:r>
        <w:rPr>
          <w:rFonts w:ascii="Simplified Arabic" w:hAnsi="Simplified Arabic" w:eastAsia="Simplified Arabic"/>
          <w:sz w:val="28"/>
          <w:rtl w:val="1"/>
        </w:rPr>
        <w:t>وتتميز كذلك بتطبيقها في المملكة العربية السعودية ومن وجهة نظر العاملين في الموارد البشرية والرواتب وشؤون الموظفين والمجالات المرتبطة بإعداد أو مراجعة البيانات المؤثرة في المسير. ويعطي هذا التركيز بعداً تطبيقياً يسمح بفهم الجوانب التي يرى الممارسون أنها الأكثر ارتباطاً بدقة الرواتب ضمن البيئة المحلية.</w:t>
      </w:r>
    </w:p>
    <w:p>
      <w:pPr>
        <w:spacing w:after="120" w:line="276" w:lineRule="auto"/>
        <w:jc w:val="both"/>
        <w:bidi w:val="1"/>
      </w:pPr>
      <w:r>
        <w:rPr>
          <w:rFonts w:ascii="Simplified Arabic" w:hAnsi="Simplified Arabic" w:eastAsia="Simplified Arabic"/>
          <w:sz w:val="28"/>
          <w:rtl w:val="1"/>
        </w:rPr>
        <w:t>وبذلك تسعى الدراسة إلى سد فجوة تتمثل في محدودية الدراسات التي تجمع بين مفهوم أنظمة الموارد البشرية الرقمية ودقة مسير الرواتب بصورة مباشرة، وتفحص مجموعة من العوامل التشغيلية التي يمكن للمنظمات استخدامها عند تحسين عملية الرواتب.</w:t>
      </w:r>
    </w:p>
    <w:p>
      <w:pPr>
        <w:spacing w:before="160" w:after="120"/>
        <w:jc w:val="right"/>
        <w:bidi w:val="1"/>
      </w:pPr>
      <w:r>
        <w:rPr>
          <w:rFonts w:ascii="Simplified Arabic" w:hAnsi="Simplified Arabic" w:eastAsia="Simplified Arabic"/>
          <w:b/>
          <w:sz w:val="32"/>
          <w:rtl w:val="1"/>
        </w:rPr>
        <w:t>2.6 خلاصة الفصل الثاني</w:t>
      </w:r>
    </w:p>
    <w:p>
      <w:pPr>
        <w:spacing w:after="120" w:line="276" w:lineRule="auto"/>
        <w:jc w:val="both"/>
        <w:bidi w:val="1"/>
      </w:pPr>
      <w:r>
        <w:rPr>
          <w:rFonts w:ascii="Simplified Arabic" w:hAnsi="Simplified Arabic" w:eastAsia="Simplified Arabic"/>
          <w:sz w:val="28"/>
          <w:rtl w:val="1"/>
        </w:rPr>
        <w:t>عرض هذا الفصل مجموعة من الدراسات العربية والأجنبية المتعلقة بنظم معلومات الموارد البشرية والإدارة الإلكترونية والرقمية للموارد البشرية والأجور. وأظهرت المراجعة أن الأنظمة الرقمية ترتبط غالباً بمنافع في الكفاءة وتنظيم البيانات وتوحيد الإجراءات، إلا أن هذه المنافع تتأثر بجودة البيانات والتكامل وطريقة الاستخدام والسياق التنظيمي. كما تبين أن دقة مسير الرواتب لم تحظ بالتركيز نفسه الذي حظيت به موضوعات الأداء والكفاءة والتبني، وهو ما يوضح موقع الدراسة الحالية وما يميزها عن الدراسات السابقة.</w:t>
      </w:r>
    </w:p>
    <w:sectPr w:rsidR="007A7885" w:rsidSect="007A7885">
      <w:footerReference w:type="default" r:id="rId7"/>
      <w:pgSz w:w="12240" w:h="15840"/>
      <w:pgMar w:top="1247" w:right="1701" w:bottom="1247" w:left="1134" w:header="720" w:footer="720" w:gutter="0"/>
      <w:pgBorders w:offsetFrom="page">
        <w:top w:val="single" w:sz="18" w:space="24" w:color="000000"/>
        <w:left w:val="single" w:sz="18" w:space="24" w:color="000000"/>
        <w:bottom w:val="single" w:sz="18" w:space="24" w:color="000000"/>
        <w:right w:val="single" w:sz="18" w:space="24"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6BAC7" w14:textId="77777777" w:rsidR="00F912F0" w:rsidRDefault="00F912F0" w:rsidP="009125CE">
      <w:pPr>
        <w:spacing w:after="0" w:line="240" w:lineRule="auto"/>
      </w:pPr>
      <w:r>
        <w:separator/>
      </w:r>
    </w:p>
  </w:endnote>
  <w:endnote w:type="continuationSeparator" w:id="0">
    <w:p w14:paraId="0A6A299E" w14:textId="77777777" w:rsidR="00F912F0" w:rsidRDefault="00F912F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000E1" w14:textId="77777777" w:rsidR="007A7885" w:rsidRDefault="007A7885">
    <w:pPr>
      <w:pStyle w:val="a4"/>
      <w:jc w:val="center"/>
      <w:rPr>
        <w:rFonts w:hint="eastAsia"/>
      </w:rPr>
    </w:pPr>
    <w:r>
      <w:rPr>
        <w:sz w:val="24"/>
      </w:rPr>
      <w:fldChar w:fldCharType="begin"/>
    </w:r>
    <w:r>
      <w:rPr>
        <w:rFonts w:ascii="Simplified Arabic" w:hAnsi="Simplified Arabic" w:cs="Simplified Arabic"/>
        <w:sz w:val="24"/>
      </w:rPr>
      <w:instrText xml:space="preserve"> PAGE </w:instrText>
    </w:r>
    <w:r>
      <w:rPr>
        <w:sz w:val="24"/>
      </w:rPr>
      <w:fldChar w:fldCharType="separate"/>
    </w:r>
    <w:r>
      <w:rPr>
        <w:noProof/>
        <w:sz w:val="24"/>
      </w:rPr>
      <w:t>1</w:t>
    </w:r>
    <w:r>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92343" w14:textId="77777777" w:rsidR="00F912F0" w:rsidRDefault="00F912F0" w:rsidP="009125CE">
      <w:pPr>
        <w:spacing w:after="0" w:line="240" w:lineRule="auto"/>
      </w:pPr>
      <w:r>
        <w:separator/>
      </w:r>
    </w:p>
  </w:footnote>
  <w:footnote w:type="continuationSeparator" w:id="0">
    <w:p w14:paraId="55A46AF1" w14:textId="77777777" w:rsidR="00F912F0" w:rsidRDefault="00F912F0"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CAD"/>
    <w:rsid w:val="00090F21"/>
    <w:rsid w:val="000F44B4"/>
    <w:rsid w:val="00142B27"/>
    <w:rsid w:val="001902DB"/>
    <w:rsid w:val="001B3745"/>
    <w:rsid w:val="001C2162"/>
    <w:rsid w:val="00411F83"/>
    <w:rsid w:val="004163C7"/>
    <w:rsid w:val="004A1593"/>
    <w:rsid w:val="006878B6"/>
    <w:rsid w:val="006948DE"/>
    <w:rsid w:val="007639E5"/>
    <w:rsid w:val="007A7885"/>
    <w:rsid w:val="007B0E54"/>
    <w:rsid w:val="007E3A20"/>
    <w:rsid w:val="00877AAC"/>
    <w:rsid w:val="008828F3"/>
    <w:rsid w:val="00896FE4"/>
    <w:rsid w:val="008F1EAE"/>
    <w:rsid w:val="009125CE"/>
    <w:rsid w:val="00946F5F"/>
    <w:rsid w:val="009B6888"/>
    <w:rsid w:val="009C0161"/>
    <w:rsid w:val="009D108D"/>
    <w:rsid w:val="009E1436"/>
    <w:rsid w:val="009E5668"/>
    <w:rsid w:val="00A15E99"/>
    <w:rsid w:val="00AA79E9"/>
    <w:rsid w:val="00AB0A70"/>
    <w:rsid w:val="00B52AF6"/>
    <w:rsid w:val="00B63B0F"/>
    <w:rsid w:val="00B7678A"/>
    <w:rsid w:val="00BC094B"/>
    <w:rsid w:val="00C72744"/>
    <w:rsid w:val="00CB2A44"/>
    <w:rsid w:val="00D04F62"/>
    <w:rsid w:val="00D22171"/>
    <w:rsid w:val="00D52480"/>
    <w:rsid w:val="00E253CF"/>
    <w:rsid w:val="00E80FD9"/>
    <w:rsid w:val="00F0714B"/>
    <w:rsid w:val="00F546CE"/>
    <w:rsid w:val="00F912F0"/>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A7885"/>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7A7885"/>
    <w:rPr>
      <w:rFonts w:asciiTheme="majorHAnsi" w:eastAsiaTheme="majorEastAsia" w:hAnsiTheme="majorHAnsi" w:cstheme="majorBidi"/>
      <w:b/>
      <w:bCs/>
      <w:color w:val="2F5496" w:themeColor="accent1" w:themeShade="BF"/>
      <w:kern w:val="0"/>
      <w:sz w:val="28"/>
      <w:szCs w:val="28"/>
      <w14:ligatures w14:val="none"/>
    </w:rPr>
  </w:style>
  <w:style w:type="table" w:styleId="a5">
    <w:name w:val="Table Grid"/>
    <w:basedOn w:val="a1"/>
    <w:uiPriority w:val="59"/>
    <w:rsid w:val="007A7885"/>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7639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2612</Words>
  <Characters>14895</Characters>
  <Application>Microsoft Office Word</Application>
  <DocSecurity>0</DocSecurity>
  <Lines>124</Lines>
  <Paragraphs>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3</cp:revision>
  <cp:lastPrinted>2026-07-15T18:34:00Z</cp:lastPrinted>
  <dcterms:created xsi:type="dcterms:W3CDTF">2026-07-15T18:37:00Z</dcterms:created>
  <dcterms:modified xsi:type="dcterms:W3CDTF">2026-07-15T18:40:00Z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