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D4AC7" w14:textId="77777777" w:rsidR="00273BD1" w:rsidRPr="0044021E" w:rsidRDefault="00273BD1" w:rsidP="00730BE0">
      <w:pPr>
        <w:rPr>
          <w:rFonts w:ascii="Sakkal Majalla" w:hAnsi="Sakkal Majalla" w:cs="Sakkal Majalla"/>
          <w:b/>
          <w:bCs/>
          <w:sz w:val="28"/>
          <w:szCs w:val="28"/>
          <w:lang w:bidi="ar-EG"/>
        </w:rPr>
      </w:pPr>
      <w:r w:rsidRPr="0044021E">
        <w:rPr>
          <w:rFonts w:ascii="Sakkal Majalla" w:hAnsi="Sakkal Majalla" w:cs="Sakkal Majalla"/>
          <w:b/>
          <w:bCs/>
          <w:sz w:val="28"/>
          <w:szCs w:val="28"/>
          <w:rtl/>
          <w:lang w:bidi="ar-EG"/>
        </w:rPr>
        <w:t xml:space="preserve">جامعة ميدأوشن </w:t>
      </w:r>
    </w:p>
    <w:p w14:paraId="5ACA74BB" w14:textId="77777777" w:rsidR="00273BD1" w:rsidRPr="0044021E" w:rsidRDefault="00273BD1" w:rsidP="00730BE0">
      <w:pPr>
        <w:rPr>
          <w:rFonts w:ascii="Sakkal Majalla" w:hAnsi="Sakkal Majalla" w:cs="Sakkal Majalla"/>
          <w:b/>
          <w:bCs/>
          <w:sz w:val="28"/>
          <w:szCs w:val="28"/>
          <w:rtl/>
          <w:lang w:bidi="ar-EG"/>
        </w:rPr>
      </w:pPr>
      <w:r w:rsidRPr="0044021E">
        <w:rPr>
          <w:rFonts w:ascii="Sakkal Majalla" w:hAnsi="Sakkal Majalla" w:cs="Sakkal Majalla"/>
          <w:b/>
          <w:bCs/>
          <w:noProof/>
          <w:sz w:val="28"/>
          <w:szCs w:val="28"/>
        </w:rPr>
        <w:drawing>
          <wp:anchor distT="0" distB="0" distL="114300" distR="114300" simplePos="0" relativeHeight="251659264" behindDoc="0" locked="0" layoutInCell="1" allowOverlap="1" wp14:anchorId="4F27251E" wp14:editId="2BC7D62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4021E">
        <w:rPr>
          <w:rFonts w:ascii="Sakkal Majalla" w:hAnsi="Sakkal Majalla" w:cs="Sakkal Majalla"/>
          <w:b/>
          <w:bCs/>
          <w:sz w:val="28"/>
          <w:szCs w:val="28"/>
          <w:lang w:bidi="ar-EG"/>
        </w:rPr>
        <w:t xml:space="preserve">    </w:t>
      </w:r>
      <w:r w:rsidRPr="0044021E">
        <w:rPr>
          <w:rFonts w:ascii="Sakkal Majalla" w:hAnsi="Sakkal Majalla" w:cs="Sakkal Majalla"/>
          <w:b/>
          <w:bCs/>
          <w:sz w:val="28"/>
          <w:szCs w:val="28"/>
          <w:rtl/>
          <w:lang w:bidi="ar-EG"/>
        </w:rPr>
        <w:t xml:space="preserve">كلية الإدارة </w:t>
      </w:r>
    </w:p>
    <w:p w14:paraId="23ED0BDE" w14:textId="77777777" w:rsidR="00273BD1" w:rsidRPr="0044021E" w:rsidRDefault="00273BD1" w:rsidP="00730BE0">
      <w:pPr>
        <w:rPr>
          <w:rFonts w:ascii="Sakkal Majalla" w:hAnsi="Sakkal Majalla" w:cs="Sakkal Majalla"/>
          <w:b/>
          <w:bCs/>
          <w:sz w:val="28"/>
          <w:szCs w:val="28"/>
          <w:rtl/>
          <w:lang w:bidi="ar-EG"/>
        </w:rPr>
      </w:pPr>
      <w:r w:rsidRPr="00861600">
        <w:rPr>
          <w:rFonts w:ascii="Sakkal Majalla" w:hAnsi="Sakkal Majalla" w:cs="Sakkal Majalla"/>
          <w:b/>
          <w:bCs/>
          <w:sz w:val="28"/>
          <w:szCs w:val="28"/>
          <w:rtl/>
          <w:lang w:bidi="ar-EG"/>
        </w:rPr>
        <w:t>قسم إدارة الأعمال</w:t>
      </w:r>
    </w:p>
    <w:p w14:paraId="57ED06A2" w14:textId="77777777" w:rsidR="00273BD1" w:rsidRPr="0044021E" w:rsidRDefault="00273BD1" w:rsidP="00730BE0">
      <w:pPr>
        <w:rPr>
          <w:rFonts w:ascii="Sakkal Majalla" w:hAnsi="Sakkal Majalla" w:cs="Sakkal Majalla"/>
          <w:b/>
          <w:bCs/>
          <w:sz w:val="28"/>
          <w:szCs w:val="28"/>
          <w:rtl/>
          <w:lang w:bidi="ar-EG"/>
        </w:rPr>
      </w:pPr>
    </w:p>
    <w:p w14:paraId="3B245D87" w14:textId="77777777" w:rsidR="00273BD1" w:rsidRPr="009125CE" w:rsidRDefault="00273BD1" w:rsidP="00730BE0">
      <w:pPr>
        <w:rPr>
          <w:rFonts w:ascii="Sakkal Majalla" w:hAnsi="Sakkal Majalla" w:cs="Sakkal Majalla"/>
          <w:sz w:val="28"/>
          <w:szCs w:val="28"/>
          <w:rtl/>
          <w:lang w:bidi="ar-EG"/>
        </w:rPr>
      </w:pPr>
    </w:p>
    <w:p w14:paraId="7D24D45D" w14:textId="77777777" w:rsidR="00273BD1" w:rsidRDefault="00273BD1" w:rsidP="00730BE0">
      <w:pPr>
        <w:rPr>
          <w:rFonts w:ascii="Sakkal Majalla" w:hAnsi="Sakkal Majalla" w:cs="Sakkal Majalla"/>
          <w:sz w:val="28"/>
          <w:szCs w:val="28"/>
          <w:rtl/>
          <w:lang w:bidi="ar-EG"/>
        </w:rPr>
      </w:pPr>
    </w:p>
    <w:p w14:paraId="08F3E934" w14:textId="77777777" w:rsidR="00273BD1" w:rsidRDefault="00273BD1" w:rsidP="00730BE0">
      <w:pPr>
        <w:rPr>
          <w:rFonts w:ascii="Sakkal Majalla" w:hAnsi="Sakkal Majalla" w:cs="Sakkal Majalla"/>
          <w:sz w:val="28"/>
          <w:szCs w:val="28"/>
          <w:rtl/>
          <w:lang w:bidi="ar-EG"/>
        </w:rPr>
      </w:pPr>
    </w:p>
    <w:p w14:paraId="10461548" w14:textId="77777777" w:rsidR="00273BD1" w:rsidRPr="009125CE" w:rsidRDefault="00273BD1" w:rsidP="00730BE0">
      <w:pPr>
        <w:rPr>
          <w:rFonts w:ascii="Sakkal Majalla" w:hAnsi="Sakkal Majalla" w:cs="Sakkal Majalla"/>
          <w:sz w:val="28"/>
          <w:szCs w:val="28"/>
          <w:rtl/>
          <w:lang w:bidi="ar-EG"/>
        </w:rPr>
      </w:pPr>
    </w:p>
    <w:p w14:paraId="6BAB3722" w14:textId="77777777" w:rsidR="00273BD1" w:rsidRPr="00D37B66" w:rsidRDefault="00273BD1" w:rsidP="00730BE0">
      <w:pPr>
        <w:spacing w:before="100" w:beforeAutospacing="1" w:after="100" w:afterAutospacing="1" w:line="240" w:lineRule="auto"/>
        <w:jc w:val="center"/>
        <w:rPr>
          <w:rFonts w:ascii="Sakkal Majalla" w:eastAsia="Times New Roman" w:hAnsi="Sakkal Majalla" w:cs="Sakkal Majalla"/>
          <w:b/>
          <w:bCs/>
          <w:color w:val="0F1115"/>
          <w:sz w:val="48"/>
          <w:szCs w:val="48"/>
          <w:rtl/>
        </w:rPr>
      </w:pPr>
      <w:r w:rsidRPr="00BD5AA0">
        <w:rPr>
          <w:rFonts w:ascii="Sakkal Majalla" w:eastAsia="Times New Roman" w:hAnsi="Sakkal Majalla" w:cs="Sakkal Majalla"/>
          <w:b/>
          <w:bCs/>
          <w:color w:val="0F1115"/>
          <w:sz w:val="48"/>
          <w:szCs w:val="48"/>
          <w:rtl/>
        </w:rPr>
        <w:t>أثر استراتيجيات إدارة المخاطر على استدامة شركات الطاقة</w:t>
      </w:r>
      <w:r w:rsidRPr="00BD5AA0">
        <w:rPr>
          <w:rFonts w:ascii="Sakkal Majalla" w:eastAsia="Times New Roman" w:hAnsi="Sakkal Majalla" w:cs="Sakkal Majalla"/>
          <w:b/>
          <w:bCs/>
          <w:color w:val="0F1115"/>
          <w:sz w:val="48"/>
          <w:szCs w:val="48"/>
          <w:rtl/>
        </w:rPr>
        <w:br/>
        <w:t>دراسة حالة: الشركة السعودية للكهرباء</w:t>
      </w:r>
    </w:p>
    <w:p w14:paraId="226EF43C" w14:textId="77777777" w:rsidR="00273BD1" w:rsidRPr="009125CE" w:rsidRDefault="00273BD1" w:rsidP="00730BE0">
      <w:pPr>
        <w:jc w:val="center"/>
        <w:rPr>
          <w:rFonts w:ascii="Sakkal Majalla" w:hAnsi="Sakkal Majalla" w:cs="Sakkal Majalla"/>
          <w:sz w:val="28"/>
          <w:szCs w:val="28"/>
          <w:rtl/>
          <w:lang w:bidi="ar-EG"/>
        </w:rPr>
      </w:pPr>
    </w:p>
    <w:p w14:paraId="159C7665" w14:textId="77777777" w:rsidR="00273BD1" w:rsidRPr="001902DB" w:rsidRDefault="00273BD1" w:rsidP="00730BE0">
      <w:pPr>
        <w:jc w:val="center"/>
        <w:rPr>
          <w:rFonts w:ascii="Sakkal Majalla" w:hAnsi="Sakkal Majalla" w:cs="Sakkal Majalla"/>
          <w:b/>
          <w:bCs/>
          <w:sz w:val="28"/>
          <w:szCs w:val="28"/>
          <w:rtl/>
          <w:lang w:bidi="ar-EG"/>
        </w:rPr>
      </w:pPr>
    </w:p>
    <w:p w14:paraId="2E76B6F1" w14:textId="77777777" w:rsidR="00273BD1" w:rsidRPr="001902DB" w:rsidRDefault="00273BD1" w:rsidP="00730B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B550283" w14:textId="77777777" w:rsidR="00273BD1" w:rsidRPr="00B10C3B" w:rsidRDefault="00273BD1" w:rsidP="00730BE0">
      <w:pPr>
        <w:spacing w:before="100" w:beforeAutospacing="1" w:after="100" w:afterAutospacing="1" w:line="240" w:lineRule="auto"/>
        <w:jc w:val="center"/>
        <w:rPr>
          <w:rFonts w:ascii="Sakkal Majalla" w:hAnsi="Sakkal Majalla" w:cs="Sakkal Majalla"/>
          <w:b/>
          <w:bCs/>
          <w:sz w:val="28"/>
          <w:szCs w:val="28"/>
          <w:rtl/>
          <w:lang w:bidi="ar-EG"/>
        </w:rPr>
      </w:pPr>
      <w:r w:rsidRPr="00B10C3B">
        <w:rPr>
          <w:rFonts w:ascii="Sakkal Majalla" w:hAnsi="Sakkal Majalla" w:cs="Sakkal Majalla"/>
          <w:b/>
          <w:bCs/>
          <w:sz w:val="28"/>
          <w:szCs w:val="28"/>
          <w:rtl/>
          <w:lang w:bidi="ar-EG"/>
        </w:rPr>
        <w:t>م. محمد طاهر علي السالم</w:t>
      </w:r>
    </w:p>
    <w:p w14:paraId="274E0F98" w14:textId="77777777" w:rsidR="00273BD1" w:rsidRPr="001902DB" w:rsidRDefault="00273BD1" w:rsidP="00730BE0">
      <w:pPr>
        <w:rPr>
          <w:rFonts w:ascii="Sakkal Majalla" w:hAnsi="Sakkal Majalla" w:cs="Sakkal Majalla"/>
          <w:b/>
          <w:bCs/>
          <w:sz w:val="28"/>
          <w:szCs w:val="28"/>
          <w:rtl/>
          <w:lang w:bidi="ar-EG"/>
        </w:rPr>
      </w:pPr>
    </w:p>
    <w:p w14:paraId="78B8EFF0" w14:textId="77777777" w:rsidR="00273BD1" w:rsidRPr="001902DB" w:rsidRDefault="00273BD1" w:rsidP="00730B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9D9D374" w14:textId="77777777" w:rsidR="00273BD1" w:rsidRPr="001902DB" w:rsidRDefault="00273BD1" w:rsidP="00730B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6492005A" w14:textId="77777777" w:rsidR="00273BD1" w:rsidRPr="001902DB" w:rsidRDefault="00273BD1" w:rsidP="00730BE0">
      <w:pPr>
        <w:jc w:val="center"/>
        <w:rPr>
          <w:rFonts w:ascii="Sakkal Majalla" w:hAnsi="Sakkal Majalla" w:cs="Sakkal Majalla"/>
          <w:b/>
          <w:bCs/>
          <w:sz w:val="28"/>
          <w:szCs w:val="28"/>
          <w:rtl/>
          <w:lang w:bidi="ar-EG"/>
        </w:rPr>
      </w:pPr>
    </w:p>
    <w:p w14:paraId="50245629" w14:textId="77777777" w:rsidR="00273BD1" w:rsidRPr="001902DB" w:rsidRDefault="00273BD1" w:rsidP="00730BE0">
      <w:pPr>
        <w:jc w:val="center"/>
        <w:rPr>
          <w:rFonts w:ascii="Sakkal Majalla" w:hAnsi="Sakkal Majalla" w:cs="Sakkal Majalla"/>
          <w:b/>
          <w:bCs/>
          <w:sz w:val="28"/>
          <w:szCs w:val="28"/>
          <w:rtl/>
          <w:lang w:bidi="ar-EG"/>
        </w:rPr>
      </w:pPr>
    </w:p>
    <w:p w14:paraId="1D0A3817" w14:textId="77777777" w:rsidR="00273BD1" w:rsidRPr="001902DB" w:rsidRDefault="00273BD1" w:rsidP="00730B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C1691FD" w14:textId="77777777" w:rsidR="00273BD1" w:rsidRPr="001902DB" w:rsidRDefault="00273BD1" w:rsidP="00730BE0">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2026</w:t>
      </w:r>
    </w:p>
    <w:p w14:paraId="78EB6342" w14:textId="77777777" w:rsidR="00273BD1" w:rsidRDefault="00273BD1" w:rsidP="00730BE0">
      <w:pPr>
        <w:pStyle w:val="p1"/>
        <w:bidi/>
        <w:rPr>
          <w:rtl/>
        </w:rPr>
      </w:pPr>
    </w:p>
    <w:p w14:paraId="794BDEB3" w14:textId="77777777" w:rsidR="00273BD1" w:rsidRDefault="00273BD1" w:rsidP="00730BE0">
      <w:pPr>
        <w:pStyle w:val="p1"/>
        <w:bidi/>
        <w:rPr>
          <w:rtl/>
        </w:rPr>
      </w:pPr>
    </w:p>
    <w:p w14:paraId="6EAB5F4D" w14:textId="77777777" w:rsidR="00273BD1" w:rsidRDefault="00273BD1" w:rsidP="00730BE0">
      <w:pPr>
        <w:rPr>
          <w:rFonts w:ascii="Sakkal Majalla" w:hAnsi="Sakkal Majalla" w:cs="Sakkal Majalla"/>
          <w:sz w:val="28"/>
          <w:szCs w:val="28"/>
          <w:u w:val="single"/>
        </w:rPr>
      </w:pPr>
    </w:p>
    <w:p w14:paraId="3F740AED" w14:textId="77777777" w:rsidR="00273BD1" w:rsidRDefault="00273BD1" w:rsidP="00730BE0">
      <w:pPr>
        <w:rPr>
          <w:rFonts w:ascii="Sakkal Majalla" w:hAnsi="Sakkal Majalla" w:cs="Sakkal Majalla"/>
          <w:sz w:val="28"/>
          <w:szCs w:val="28"/>
          <w:u w:val="single"/>
        </w:rPr>
      </w:pPr>
    </w:p>
    <w:p w14:paraId="61D40CF9" w14:textId="77777777" w:rsidR="00273BD1" w:rsidRDefault="00273BD1" w:rsidP="00730BE0">
      <w:pPr>
        <w:rPr>
          <w:rFonts w:ascii="Sakkal Majalla" w:hAnsi="Sakkal Majalla" w:cs="Sakkal Majalla"/>
          <w:sz w:val="28"/>
          <w:szCs w:val="28"/>
          <w:u w:val="single"/>
          <w:rtl/>
        </w:rPr>
      </w:pPr>
    </w:p>
    <w:p w14:paraId="1F02955C" w14:textId="77777777" w:rsidR="00273BD1" w:rsidRDefault="00273BD1" w:rsidP="00730BE0">
      <w:pPr>
        <w:rPr>
          <w:rFonts w:ascii="Sakkal Majalla" w:hAnsi="Sakkal Majalla" w:cs="Sakkal Majalla"/>
          <w:sz w:val="28"/>
          <w:szCs w:val="28"/>
          <w:u w:val="single"/>
        </w:rPr>
      </w:pPr>
    </w:p>
    <w:p w14:paraId="4128A949" w14:textId="77777777" w:rsidR="00273BD1" w:rsidRDefault="00273BD1" w:rsidP="00730BE0">
      <w:pPr>
        <w:rPr>
          <w:rFonts w:ascii="Sakkal Majalla" w:hAnsi="Sakkal Majalla" w:cs="Sakkal Majalla"/>
          <w:sz w:val="28"/>
          <w:szCs w:val="28"/>
          <w:u w:val="single"/>
        </w:rPr>
      </w:pPr>
    </w:p>
    <w:p w14:paraId="4FF33E91" w14:textId="77777777" w:rsidR="00273BD1" w:rsidRDefault="00273BD1" w:rsidP="00730BE0">
      <w:pPr>
        <w:rPr>
          <w:rFonts w:ascii="Sakkal Majalla" w:hAnsi="Sakkal Majalla" w:cs="Sakkal Majalla"/>
          <w:sz w:val="28"/>
          <w:szCs w:val="28"/>
          <w:u w:val="single"/>
          <w:rtl/>
        </w:rPr>
      </w:pPr>
    </w:p>
    <w:p w14:paraId="41B433D7" w14:textId="77777777" w:rsidR="00273BD1" w:rsidRDefault="00273BD1" w:rsidP="00730BE0">
      <w:pPr>
        <w:rPr>
          <w:rFonts w:ascii="Sakkal Majalla" w:hAnsi="Sakkal Majalla" w:cs="Sakkal Majalla"/>
          <w:sz w:val="28"/>
          <w:szCs w:val="28"/>
          <w:u w:val="single"/>
          <w:rtl/>
        </w:rPr>
      </w:pPr>
    </w:p>
    <w:p w14:paraId="39359FEA" w14:textId="77777777" w:rsidR="00273BD1" w:rsidRDefault="00273BD1" w:rsidP="00730BE0">
      <w:pPr>
        <w:rPr>
          <w:rFonts w:ascii="Sakkal Majalla" w:hAnsi="Sakkal Majalla" w:cs="Sakkal Majalla"/>
          <w:sz w:val="28"/>
          <w:szCs w:val="28"/>
          <w:u w:val="single"/>
          <w:rtl/>
        </w:rPr>
      </w:pPr>
    </w:p>
    <w:p w14:paraId="5944A18F" w14:textId="77777777" w:rsidR="00273BD1" w:rsidRDefault="00273BD1" w:rsidP="00730BE0">
      <w:pPr>
        <w:rPr>
          <w:rFonts w:ascii="Sakkal Majalla" w:hAnsi="Sakkal Majalla" w:cs="Sakkal Majalla"/>
          <w:sz w:val="28"/>
          <w:szCs w:val="28"/>
          <w:u w:val="single"/>
          <w:rtl/>
        </w:rPr>
      </w:pPr>
    </w:p>
    <w:p w14:paraId="38F6C4B7" w14:textId="77777777" w:rsidR="00273BD1" w:rsidRDefault="00273BD1" w:rsidP="00730BE0">
      <w:pPr>
        <w:rPr>
          <w:rFonts w:ascii="Sakkal Majalla" w:hAnsi="Sakkal Majalla" w:cs="Sakkal Majalla"/>
          <w:sz w:val="28"/>
          <w:szCs w:val="28"/>
          <w:u w:val="single"/>
          <w:rtl/>
        </w:rPr>
      </w:pPr>
    </w:p>
    <w:p w14:paraId="6DE56B2E" w14:textId="77777777" w:rsidR="00273BD1" w:rsidRPr="009125CE" w:rsidRDefault="00273BD1" w:rsidP="00730BE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54DC796" w14:textId="77777777" w:rsidR="00273BD1" w:rsidRDefault="00273BD1" w:rsidP="00730BE0">
      <w:pPr>
        <w:rPr>
          <w:rFonts w:ascii="Sakkal Majalla" w:hAnsi="Sakkal Majalla" w:cs="Sakkal Majalla"/>
          <w:sz w:val="28"/>
          <w:szCs w:val="28"/>
          <w:u w:val="single"/>
          <w:rtl/>
        </w:rPr>
      </w:pPr>
    </w:p>
    <w:p w14:paraId="63EE9357" w14:textId="77777777" w:rsidR="00273BD1" w:rsidRDefault="00273BD1" w:rsidP="00730BE0">
      <w:pPr>
        <w:rPr>
          <w:rFonts w:ascii="Sakkal Majalla" w:hAnsi="Sakkal Majalla" w:cs="Sakkal Majalla"/>
          <w:sz w:val="28"/>
          <w:szCs w:val="28"/>
          <w:u w:val="single"/>
          <w:rtl/>
        </w:rPr>
      </w:pPr>
    </w:p>
    <w:p w14:paraId="5297663E" w14:textId="77777777" w:rsidR="00273BD1" w:rsidRDefault="00273BD1" w:rsidP="00730BE0">
      <w:pPr>
        <w:rPr>
          <w:rFonts w:ascii="Sakkal Majalla" w:hAnsi="Sakkal Majalla" w:cs="Sakkal Majalla"/>
          <w:sz w:val="28"/>
          <w:szCs w:val="28"/>
          <w:u w:val="single"/>
          <w:rtl/>
        </w:rPr>
      </w:pPr>
    </w:p>
    <w:p w14:paraId="153A391C" w14:textId="77777777" w:rsidR="00273BD1" w:rsidRDefault="00273BD1" w:rsidP="00730BE0">
      <w:pPr>
        <w:rPr>
          <w:rFonts w:ascii="Sakkal Majalla" w:hAnsi="Sakkal Majalla" w:cs="Sakkal Majalla"/>
          <w:sz w:val="28"/>
          <w:szCs w:val="28"/>
          <w:u w:val="single"/>
          <w:rtl/>
        </w:rPr>
      </w:pPr>
    </w:p>
    <w:p w14:paraId="75AD9FD1" w14:textId="77777777" w:rsidR="00273BD1" w:rsidRDefault="00273BD1" w:rsidP="00730BE0">
      <w:pPr>
        <w:rPr>
          <w:rFonts w:ascii="Sakkal Majalla" w:hAnsi="Sakkal Majalla" w:cs="Sakkal Majalla"/>
          <w:sz w:val="28"/>
          <w:szCs w:val="28"/>
          <w:u w:val="single"/>
          <w:rtl/>
        </w:rPr>
      </w:pPr>
    </w:p>
    <w:p w14:paraId="20D8FB0E" w14:textId="77777777" w:rsidR="00273BD1" w:rsidRDefault="00273BD1" w:rsidP="00730BE0">
      <w:pPr>
        <w:rPr>
          <w:rFonts w:ascii="Sakkal Majalla" w:hAnsi="Sakkal Majalla" w:cs="Sakkal Majalla"/>
          <w:sz w:val="28"/>
          <w:szCs w:val="28"/>
          <w:u w:val="single"/>
          <w:rtl/>
        </w:rPr>
      </w:pPr>
    </w:p>
    <w:p w14:paraId="3F2411BE" w14:textId="77777777" w:rsidR="00273BD1" w:rsidRDefault="00273BD1" w:rsidP="00730BE0">
      <w:pPr>
        <w:rPr>
          <w:rFonts w:ascii="Sakkal Majalla" w:hAnsi="Sakkal Majalla" w:cs="Sakkal Majalla"/>
          <w:sz w:val="28"/>
          <w:szCs w:val="28"/>
          <w:u w:val="single"/>
          <w:rtl/>
        </w:rPr>
      </w:pPr>
    </w:p>
    <w:p w14:paraId="65C96EB4" w14:textId="77777777" w:rsidR="00273BD1" w:rsidRDefault="00273BD1" w:rsidP="00730BE0">
      <w:pPr>
        <w:rPr>
          <w:rFonts w:ascii="Sakkal Majalla" w:hAnsi="Sakkal Majalla" w:cs="Sakkal Majalla"/>
          <w:sz w:val="28"/>
          <w:szCs w:val="28"/>
          <w:u w:val="single"/>
          <w:rtl/>
        </w:rPr>
      </w:pPr>
    </w:p>
    <w:p w14:paraId="7BA8D092" w14:textId="77777777" w:rsidR="00273BD1" w:rsidRDefault="00273BD1" w:rsidP="00730BE0">
      <w:pPr>
        <w:rPr>
          <w:rFonts w:ascii="Sakkal Majalla" w:hAnsi="Sakkal Majalla" w:cs="Sakkal Majalla"/>
          <w:sz w:val="28"/>
          <w:szCs w:val="28"/>
          <w:u w:val="single"/>
          <w:rtl/>
        </w:rPr>
      </w:pPr>
    </w:p>
    <w:p w14:paraId="1656616F" w14:textId="77777777" w:rsidR="00273BD1" w:rsidRDefault="00273BD1" w:rsidP="00730BE0">
      <w:pPr>
        <w:rPr>
          <w:rFonts w:ascii="Sakkal Majalla" w:hAnsi="Sakkal Majalla" w:cs="Sakkal Majalla"/>
          <w:sz w:val="28"/>
          <w:szCs w:val="28"/>
          <w:u w:val="single"/>
          <w:rtl/>
        </w:rPr>
      </w:pPr>
    </w:p>
    <w:p w14:paraId="0AE4A47D" w14:textId="77777777" w:rsidR="00273BD1" w:rsidRDefault="00273BD1" w:rsidP="00730BE0">
      <w:pPr>
        <w:rPr>
          <w:rFonts w:ascii="Sakkal Majalla" w:hAnsi="Sakkal Majalla" w:cs="Sakkal Majalla"/>
          <w:sz w:val="28"/>
          <w:szCs w:val="28"/>
          <w:u w:val="single"/>
          <w:rtl/>
        </w:rPr>
      </w:pPr>
    </w:p>
    <w:p w14:paraId="0086F5A1" w14:textId="77777777" w:rsidR="00273BD1" w:rsidRDefault="00273BD1" w:rsidP="00730BE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5489C707" w14:textId="77777777" w:rsidR="00273BD1" w:rsidRDefault="00273BD1" w:rsidP="00730BE0">
      <w:pPr>
        <w:rPr>
          <w:rFonts w:ascii="Sakkal Majalla" w:hAnsi="Sakkal Majalla" w:cs="Sakkal Majalla"/>
          <w:sz w:val="28"/>
          <w:szCs w:val="28"/>
          <w:u w:val="single"/>
          <w:rtl/>
        </w:rPr>
      </w:pPr>
    </w:p>
    <w:p w14:paraId="44A53175" w14:textId="77777777" w:rsidR="00273BD1"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r>
        <w:rPr>
          <w:rFonts w:ascii="Sakkal Majalla" w:eastAsia="Times New Roman" w:hAnsi="Sakkal Majalla" w:cs="Sakkal Majalla" w:hint="cs"/>
          <w:color w:val="0F1115"/>
          <w:kern w:val="2"/>
          <w:sz w:val="28"/>
          <w:szCs w:val="28"/>
          <w:rtl/>
          <w14:ligatures w14:val="standardContextual"/>
        </w:rPr>
        <w:t>يعتبر</w:t>
      </w:r>
      <w:r w:rsidRPr="00892ECB">
        <w:rPr>
          <w:rFonts w:ascii="Sakkal Majalla" w:eastAsia="Times New Roman" w:hAnsi="Sakkal Majalla" w:cs="Sakkal Majalla"/>
          <w:color w:val="0F1115"/>
          <w:kern w:val="2"/>
          <w:sz w:val="28"/>
          <w:szCs w:val="28"/>
          <w:rtl/>
          <w14:ligatures w14:val="standardContextual"/>
        </w:rPr>
        <w:t xml:space="preserve"> قطاع الطاقة من القطاعات الاستراتيجية الداعمة للتنمية الاقتصادية والاجتماعية، لارتباطه باستمرار الأنشطة الإنتاجية والخدمية وتشغيل المنشآت وتحسين جودة الحياة. وتزداد أهميته في المملكة العربية السعودية مع النمو السكاني والاقتصادي والتوسع الصناعي والعمراني وارتفاع الطلب على الكهرباء، بالتزامن مع التحولات التي تشهدها منظومة الطاقة ضمن رؤية المملكة 2030، وما تتطلبه من تطوير البنية التحتية ورفع كفاءة التشغيل وموثوقية الخدمات (مجلس الشؤون الاقتصادية والتنمية، 2016).</w:t>
      </w:r>
    </w:p>
    <w:p w14:paraId="1067399D" w14:textId="77777777" w:rsidR="00273BD1" w:rsidRPr="00892ECB" w:rsidRDefault="00273BD1" w:rsidP="00730BE0">
      <w:pPr>
        <w:pStyle w:val="p1"/>
        <w:bidi/>
        <w:ind w:firstLine="720"/>
        <w:jc w:val="both"/>
        <w:rPr>
          <w:rFonts w:ascii="Sakkal Majalla" w:eastAsia="Times New Roman" w:hAnsi="Sakkal Majalla" w:cs="Sakkal Majalla"/>
          <w:color w:val="0F1115"/>
          <w:kern w:val="2"/>
          <w:sz w:val="28"/>
          <w:szCs w:val="28"/>
          <w14:ligatures w14:val="standardContextual"/>
        </w:rPr>
      </w:pPr>
    </w:p>
    <w:p w14:paraId="6319E2EC" w14:textId="77777777" w:rsidR="00273BD1"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r w:rsidRPr="00892ECB">
        <w:rPr>
          <w:rFonts w:ascii="Sakkal Majalla" w:eastAsia="Times New Roman" w:hAnsi="Sakkal Majalla" w:cs="Sakkal Majalla"/>
          <w:color w:val="0F1115"/>
          <w:kern w:val="2"/>
          <w:sz w:val="28"/>
          <w:szCs w:val="28"/>
          <w:rtl/>
          <w14:ligatures w14:val="standardContextual"/>
        </w:rPr>
        <w:t>ويواجه قطاع الطاقة مخاطر متعددة تشمل الأعطال والانقطاعات وفشل المعدات، وارتفاع تكاليف المشروعات وتقلب أسعار الموارد، وتغير الأنظمة والتشريعات، إضافة إلى مخاطر التحول الرقمي والأمن السيبراني والانبعاثات والتغير المناخي والتوسع في الطاقة المتجددة. ولذلك يتطلب تطوير القطاع رفع كفاءة المنظومة وتعزيز موثوقيتها ودعم الابتكار، مع تحقيق التوازن بين أمن الإمدادات والكفاءة الاقتصادية والاستدامة البيئية (وزارة الطاقة، 2023).</w:t>
      </w:r>
    </w:p>
    <w:p w14:paraId="73235BFC" w14:textId="77777777" w:rsidR="00273BD1" w:rsidRPr="00892ECB"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p>
    <w:p w14:paraId="2E8CD419" w14:textId="77777777" w:rsidR="00273BD1"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r w:rsidRPr="00892ECB">
        <w:rPr>
          <w:rFonts w:ascii="Sakkal Majalla" w:eastAsia="Times New Roman" w:hAnsi="Sakkal Majalla" w:cs="Sakkal Majalla"/>
          <w:color w:val="0F1115"/>
          <w:kern w:val="2"/>
          <w:sz w:val="28"/>
          <w:szCs w:val="28"/>
          <w:rtl/>
          <w14:ligatures w14:val="standardContextual"/>
        </w:rPr>
        <w:t>وتكتسب إدارة المخاطر أهمية خاصة في شركات الطاقة بسبب اعتمادها على مشروعات ضخمة وأصول مرتفعة التكلفة وحاجتها إلى مستويات عالية من الاستمرارية والسلامة. وقد أصبحت إدارة المخاطر وظيفة استراتيجية تهدف إلى حماية الأصول وضمان استمرارية الأعمال وتقليل آثار الأحداث غير المتوقعة، ولم تعد تقتصر على معالجة المشكلات بعد وقوعها، بل أصبحت جزءًا من التخطيط وصنع القرار وتخصيص الموارد ومراقبة الأداء.</w:t>
      </w:r>
    </w:p>
    <w:p w14:paraId="6BB19F2B" w14:textId="77777777" w:rsidR="00273BD1" w:rsidRPr="00892ECB"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p>
    <w:p w14:paraId="18341787" w14:textId="77777777" w:rsidR="00273BD1"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r w:rsidRPr="00892ECB">
        <w:rPr>
          <w:rFonts w:ascii="Sakkal Majalla" w:eastAsia="Times New Roman" w:hAnsi="Sakkal Majalla" w:cs="Sakkal Majalla"/>
          <w:color w:val="0F1115"/>
          <w:kern w:val="2"/>
          <w:sz w:val="28"/>
          <w:szCs w:val="28"/>
          <w:rtl/>
          <w14:ligatures w14:val="standardContextual"/>
        </w:rPr>
        <w:t>ويؤكد المعيار الدولي لإدارة المخاطر ضرورة دمج إدارة المخاطر في الحوكمة والاستراتيجية والثقافة المؤسسية، من خلال تحديد المخاطر وتحليلها وتقييمها واختيار الاستجابة الملائمة لها ومتابعتها باستمرار (المنظمة الدولية للتقييس [</w:t>
      </w:r>
      <w:r w:rsidRPr="00892ECB">
        <w:rPr>
          <w:rFonts w:ascii="Sakkal Majalla" w:eastAsia="Times New Roman" w:hAnsi="Sakkal Majalla" w:cs="Sakkal Majalla"/>
          <w:color w:val="0F1115"/>
          <w:kern w:val="2"/>
          <w:sz w:val="28"/>
          <w:szCs w:val="28"/>
          <w14:ligatures w14:val="standardContextual"/>
        </w:rPr>
        <w:t>ISO]، 2018</w:t>
      </w:r>
      <w:r w:rsidRPr="00892ECB">
        <w:rPr>
          <w:rFonts w:ascii="Sakkal Majalla" w:eastAsia="Times New Roman" w:hAnsi="Sakkal Majalla" w:cs="Sakkal Majalla"/>
          <w:color w:val="0F1115"/>
          <w:kern w:val="2"/>
          <w:sz w:val="28"/>
          <w:szCs w:val="28"/>
          <w:rtl/>
          <w14:ligatures w14:val="standardContextual"/>
        </w:rPr>
        <w:t>). وبناءً على ذلك، تتبنى الدراسة أربعة أبعاد مترابطة لاستراتيجيات إدارة المخاطر، هي: تحديد المخاطر، وتقييمها، والاستجابة لها، ومراقبتها.</w:t>
      </w:r>
    </w:p>
    <w:p w14:paraId="217766E5" w14:textId="77777777" w:rsidR="00273BD1" w:rsidRPr="00892ECB"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p>
    <w:p w14:paraId="7CB3124A" w14:textId="77777777" w:rsidR="00273BD1"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r w:rsidRPr="00892ECB">
        <w:rPr>
          <w:rFonts w:ascii="Sakkal Majalla" w:eastAsia="Times New Roman" w:hAnsi="Sakkal Majalla" w:cs="Sakkal Majalla"/>
          <w:color w:val="0F1115"/>
          <w:kern w:val="2"/>
          <w:sz w:val="28"/>
          <w:szCs w:val="28"/>
          <w:rtl/>
          <w14:ligatures w14:val="standardContextual"/>
        </w:rPr>
        <w:t>وترتبط فاعلية إدارة المخاطر بقدرة شركات الطاقة على تحقيق الاستدامة، التي تشمل المحافظة على الأداء والقيمة، والاستخدام الكفء للموارد، والتكيف مع المتغيرات، والوفاء بالالتزامات الحالية والمستقبلية. كما تؤكد مبادرة السعودية الخضراء أهمية رفع كفاءة الطاقة، وتقليل الانبعاثات، وتطوير مشروعات الطاقة النظيفة، وتبني ممارسات اقتصادية أكثر استدامة (مبادرة السعودية الخضراء، 2026).</w:t>
      </w:r>
    </w:p>
    <w:p w14:paraId="7CD19C70" w14:textId="77777777" w:rsidR="00273BD1" w:rsidRPr="00892ECB"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p>
    <w:p w14:paraId="106B62C3" w14:textId="77777777" w:rsidR="00273BD1"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r w:rsidRPr="00892ECB">
        <w:rPr>
          <w:rFonts w:ascii="Sakkal Majalla" w:eastAsia="Times New Roman" w:hAnsi="Sakkal Majalla" w:cs="Sakkal Majalla"/>
          <w:color w:val="0F1115"/>
          <w:kern w:val="2"/>
          <w:sz w:val="28"/>
          <w:szCs w:val="28"/>
          <w:rtl/>
          <w14:ligatures w14:val="standardContextual"/>
        </w:rPr>
        <w:t>وتشمل استدامة شركات الطاقة ثلاثة أبعاد رئيسة: الاستدامة الاقتصادية المرتبطة بالكفاءة المالية وإدارة التكاليف والاستثمارات؛ والاستدامة التشغيلية المتمثلة في استمرارية الخدمات وموثوقية العمليات وكفاءة استخدام الأصول والاستجابة للأعطال؛ والاستدامة البيئية المتعلقة بترشيد الموارد وتقليل الانبعاثات والالتزام بالمتطلبات البيئية. وتؤكد التقارير التنظيمية ضرورة الجمع بين موثوقية الخدمة وكفاءة الأداء وجودة العمليات وحماية المستفيدين لضمان استدامة منظومة الكهرباء (هيئة تنظيم المياه والكهرباء، 2023).</w:t>
      </w:r>
    </w:p>
    <w:p w14:paraId="02B87FE0" w14:textId="77777777" w:rsidR="00273BD1" w:rsidRPr="00892ECB"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p>
    <w:p w14:paraId="7B0E6E37" w14:textId="77777777" w:rsidR="00273BD1"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r w:rsidRPr="00892ECB">
        <w:rPr>
          <w:rFonts w:ascii="Sakkal Majalla" w:eastAsia="Times New Roman" w:hAnsi="Sakkal Majalla" w:cs="Sakkal Majalla"/>
          <w:color w:val="0F1115"/>
          <w:kern w:val="2"/>
          <w:sz w:val="28"/>
          <w:szCs w:val="28"/>
          <w:rtl/>
          <w14:ligatures w14:val="standardContextual"/>
        </w:rPr>
        <w:t>وتتضح العلاقة بين إدارة المخاطر والاستدامة في أن الاستدامة الاقتصادية تتطلب إدارة المخاطر المالية والاستثمارية وضبط التكاليف، بينما تتطلب الاستدامة التشغيلية معالجة مخاطر الأعطال والانقطاعات وسلاسل الإمداد والأمن السيبراني والسلامة المهنية. أما الاستدامة البيئية فتحتاج إلى تحديد مخاطر الانبعاثات واستهلاك الموارد وتقييمها ومعالجتها ومراقبتها. ومن ثم، تمثل إدارة المخاطر أحد الممكنات الأساسية لتحقيق الاستدامة.</w:t>
      </w:r>
    </w:p>
    <w:p w14:paraId="73A73CE0" w14:textId="77777777" w:rsidR="00273BD1" w:rsidRPr="00892ECB"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p>
    <w:p w14:paraId="71D748BF" w14:textId="77777777" w:rsidR="00273BD1"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r w:rsidRPr="00892ECB">
        <w:rPr>
          <w:rFonts w:ascii="Sakkal Majalla" w:eastAsia="Times New Roman" w:hAnsi="Sakkal Majalla" w:cs="Sakkal Majalla"/>
          <w:color w:val="0F1115"/>
          <w:kern w:val="2"/>
          <w:sz w:val="28"/>
          <w:szCs w:val="28"/>
          <w:rtl/>
          <w14:ligatures w14:val="standardContextual"/>
        </w:rPr>
        <w:t>وتوضح تقارير الشركة السعودية للكهرباء اهتمامها باستمرارية الأعمال ورفع كفاءة التشغيل وتطوير الشبكات وتحسين الخدمات والاستثمار في التقنيات الحديثة والتحول الرقمي، إلى جانب تعزيز الحوكمة وإدارة المخاطر (الشركة السعودية للكهرباء، 2023أ). كما تكتسب الشركة أهمية خاصة بوصفها إحدى الجهات الرئيسة في منظومة الكهرباء السعودية، وبسبب تعرضها لمخاطر تشغيلية ومالية وتقنية وتنظيمية وبيئية متنوعة. وتشير توجهاتها إلى الاهتمام بالكفاءة التشغيلية وإدارة الموارد والمسؤولية البيئية ودعم التحول نحو منظومة طاقة أكثر استدامة (الشركة السعودية للكهرباء، 2023ب).</w:t>
      </w:r>
    </w:p>
    <w:p w14:paraId="6B0EAC76" w14:textId="77777777" w:rsidR="00273BD1" w:rsidRPr="00892ECB"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p>
    <w:p w14:paraId="2CFB2C6B" w14:textId="77777777" w:rsidR="00273BD1"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r w:rsidRPr="00892ECB">
        <w:rPr>
          <w:rFonts w:ascii="Sakkal Majalla" w:eastAsia="Times New Roman" w:hAnsi="Sakkal Majalla" w:cs="Sakkal Majalla"/>
          <w:color w:val="0F1115"/>
          <w:kern w:val="2"/>
          <w:sz w:val="28"/>
          <w:szCs w:val="28"/>
          <w:rtl/>
          <w14:ligatures w14:val="standardContextual"/>
        </w:rPr>
        <w:t>وعلى الرغم من تزايد الاهتمام بإدارة المخاطر والاستدامة، ركزت بعض الدراسات السابقة على المخاطر من منظور الأداء المالي أو الحوكمة وإدارة الأزمات، بينما تناولت دراسات أخرى الاستدامة من منظور المسؤولية الاجتماعية أو الأداء البيئي، وغالبًا في قطاعات تختلف عن قطاع الطاقة. لذلك تظهر الحاجة إلى دراسة تطبيقية تقيس أثر أبعاد استراتيجيات إدارة المخاطر مجتمعة في الاستدامة الاقتصادية والتشغيلية والبيئية داخل البيئة السعودية.</w:t>
      </w:r>
    </w:p>
    <w:p w14:paraId="3AE3E0F5" w14:textId="77777777" w:rsidR="00273BD1" w:rsidRPr="00892ECB" w:rsidRDefault="00273BD1" w:rsidP="00730BE0">
      <w:pPr>
        <w:pStyle w:val="p1"/>
        <w:bidi/>
        <w:ind w:firstLine="720"/>
        <w:jc w:val="both"/>
        <w:rPr>
          <w:rFonts w:ascii="Sakkal Majalla" w:eastAsia="Times New Roman" w:hAnsi="Sakkal Majalla" w:cs="Sakkal Majalla"/>
          <w:color w:val="0F1115"/>
          <w:kern w:val="2"/>
          <w:sz w:val="28"/>
          <w:szCs w:val="28"/>
          <w:rtl/>
          <w14:ligatures w14:val="standardContextual"/>
        </w:rPr>
      </w:pPr>
    </w:p>
    <w:p w14:paraId="5339F9E9" w14:textId="77777777" w:rsidR="00273BD1" w:rsidRDefault="00273BD1" w:rsidP="00730BE0">
      <w:pPr>
        <w:pStyle w:val="p2"/>
        <w:bidi/>
        <w:ind w:firstLine="720"/>
        <w:jc w:val="both"/>
        <w:rPr>
          <w:rtl/>
        </w:rPr>
      </w:pPr>
      <w:r w:rsidRPr="00892ECB">
        <w:rPr>
          <w:rFonts w:ascii="Sakkal Majalla" w:eastAsia="Times New Roman" w:hAnsi="Sakkal Majalla" w:cs="Sakkal Majalla"/>
          <w:color w:val="0F1115"/>
          <w:kern w:val="2"/>
          <w:sz w:val="28"/>
          <w:szCs w:val="28"/>
          <w:rtl/>
          <w14:ligatures w14:val="standardContextual"/>
        </w:rPr>
        <w:t>وانطلاقًا من ذلك، تهدف الدراسة إلى تحليل أثر استراتيجيات إدارة المخاطر على استدامة شركات الطاقة بالتطبيق على الشركة السعودية للكهرباء، من خلال قياس مستوى تطبيق تحديد المخاطر وتقييمها والاستجابة لها ومراقبتها، وقياس مستوى الاستدامة بأبعادها الثلاثة، ثم اختبار العلاقة والأثر بين متغيرات الدراسة. ويُتوقع أن تقدم النتائج مؤشرات عملية لتطوير إدارة المخاطر وتعزيز استمرارية الأعمال والكفاءة التشغيلية واستدامة أداء الشركة وقطاع الطاقة السعودي</w:t>
      </w:r>
      <w:r>
        <w:rPr>
          <w:rtl/>
        </w:rPr>
        <w:t>.</w:t>
      </w:r>
    </w:p>
    <w:p w14:paraId="7235307D" w14:textId="77777777" w:rsidR="00273BD1" w:rsidRDefault="00273BD1" w:rsidP="00730BE0">
      <w:pPr>
        <w:rPr>
          <w:rFonts w:ascii="Sakkal Majalla" w:hAnsi="Sakkal Majalla" w:cs="Sakkal Majalla"/>
          <w:sz w:val="28"/>
          <w:szCs w:val="28"/>
          <w:rtl/>
        </w:rPr>
      </w:pPr>
    </w:p>
    <w:p w14:paraId="7D922B3C" w14:textId="77777777" w:rsidR="00273BD1" w:rsidRPr="00D22171" w:rsidRDefault="00273BD1" w:rsidP="00730BE0">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6B91985A"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24538D">
        <w:rPr>
          <w:rFonts w:ascii="Sakkal Majalla" w:eastAsia="Times New Roman" w:hAnsi="Sakkal Majalla" w:cs="Sakkal Majalla"/>
          <w:color w:val="0F1115"/>
          <w:sz w:val="28"/>
          <w:szCs w:val="28"/>
          <w:rtl/>
        </w:rPr>
        <w:t>تواجه شركات الطاقة في الوقت الحاضر بيئة عمل تتسم بالتغير المستمر وارتفاع مستوى المخاطر الناتجة عن التطورات التقنية، والتغيرات الاقتصادية، والمتطلبات التنظيمية، والتحديات البيئية، الأمر الذي يجعل إدارة المخاطر عنصرًا أساسيًا في تحقيق استمرارية الأعمال والمحافظة على القدرة التنافسية. وقد أصبح نجاح المؤسسات في هذا القطاع يعتمد بصورة متزايدة على قدرتها على تحديد المخاطر وتقييمها والاستجابة لها ومتابعتها بطريقة منهجية تدعم تحقيق أهدافها الاستراتيجية.</w:t>
      </w:r>
    </w:p>
    <w:p w14:paraId="4B8EA2C4"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p>
    <w:p w14:paraId="3A070C99"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24538D">
        <w:rPr>
          <w:rFonts w:ascii="Sakkal Majalla" w:eastAsia="Times New Roman" w:hAnsi="Sakkal Majalla" w:cs="Sakkal Majalla"/>
          <w:color w:val="0F1115"/>
          <w:sz w:val="28"/>
          <w:szCs w:val="28"/>
          <w:rtl/>
        </w:rPr>
        <w:t>وتُعد الشركة السعودية للكهرباء من المؤسسات الرائدة في قطاع الطاقة بالمملكة العربية السعودية، إذ تدير مشاريع وبنية تحتية واسعة النطاق، وتقدم خدمات حيوية تتطلب مستويات عالية من الاعتمادية والكفاءة التشغيلية. ورغم تطبيق الشركة لممارسات متعددة في مجال إدارة المخاطر، فإن مدى إسهام هذه الاستراتيجيات في تحقيق استدامة شركات الطاقة لا يزال بحاجة إلى دراسة علمية تطبيقية تعتمد على القياس والتحليل الإحصائي.</w:t>
      </w:r>
    </w:p>
    <w:p w14:paraId="3B7B29CA"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p>
    <w:p w14:paraId="7EFF0CE9"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24538D">
        <w:rPr>
          <w:rFonts w:ascii="Sakkal Majalla" w:eastAsia="Times New Roman" w:hAnsi="Sakkal Majalla" w:cs="Sakkal Majalla"/>
          <w:color w:val="0F1115"/>
          <w:sz w:val="28"/>
          <w:szCs w:val="28"/>
          <w:rtl/>
        </w:rPr>
        <w:t>وتتمثل مشكلة الدراسة في محدودية الأدلة التطبيقية التي توضح أثر استراتيجيات إدارة المخاطر على استدامة شركات الطاقة في البيئة السعودية، إضافة إلى عدم وجود تصور واضح لطبيعة العلاقة بين أبعاد إدارة المخاطر المختلفة وأبعاد الاستدامة، الأمر الذي يحد من قدرة متخذي القرار على توظيف نتائج إدارة المخاطر في دعم الاستدامة وتحسين الأداء المؤسسي.</w:t>
      </w:r>
    </w:p>
    <w:p w14:paraId="199F4161"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p>
    <w:p w14:paraId="0D9BEDF3"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24538D">
        <w:rPr>
          <w:rFonts w:ascii="Sakkal Majalla" w:eastAsia="Times New Roman" w:hAnsi="Sakkal Majalla" w:cs="Sakkal Majalla"/>
          <w:color w:val="0F1115"/>
          <w:sz w:val="28"/>
          <w:szCs w:val="28"/>
          <w:rtl/>
        </w:rPr>
        <w:t>كما تشير مراجعة الأدبيات إلى أن معظم الدراسات السابقة ركزت على الجوانب النظرية أو تناولت قطاعات مختلفة عن قطاع الطاقة في المملكة العربية السعودية، بينما لم تحظ العلاقة بين استراتيجيات إدارة المخاطر واستدامة شركات الطاقة، من خلال دراسة تطبيقية على الشركة السعودية للكهرباء، بالاهتمام الكافي، وهو ما يمثل الفجوة البحثية التي تسعى الدراسة الحالية إلى معالجتها.</w:t>
      </w:r>
    </w:p>
    <w:p w14:paraId="3204303C"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p>
    <w:p w14:paraId="65BB4709" w14:textId="77777777" w:rsidR="00273BD1" w:rsidRPr="0024538D"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tl/>
        </w:rPr>
      </w:pPr>
      <w:r w:rsidRPr="0024538D">
        <w:rPr>
          <w:rFonts w:ascii="Sakkal Majalla" w:eastAsia="Times New Roman" w:hAnsi="Sakkal Majalla" w:cs="Sakkal Majalla"/>
          <w:color w:val="0F1115"/>
          <w:sz w:val="28"/>
          <w:szCs w:val="28"/>
          <w:rtl/>
        </w:rPr>
        <w:t>وبناءً على ذلك، تتمثل المشكلة الرئيسة للدراسة في التعرف على أثر استراتيجيات إدارة المخاطر على استدامة شركات الطاقة، من خلال دراسة حالة الشركة السعودية للكهرباء، بما يسهم في تقديم نتائج علمية تدعم تطوير ممارسات إدارة المخاطر وتعزز استدامة الأداء في قطاع الطاقة</w:t>
      </w:r>
      <w:r w:rsidRPr="0024538D">
        <w:rPr>
          <w:rFonts w:ascii="Sakkal Majalla" w:eastAsia="Times New Roman" w:hAnsi="Sakkal Majalla" w:cs="Sakkal Majalla" w:hint="cs"/>
          <w:color w:val="0F1115"/>
          <w:sz w:val="28"/>
          <w:szCs w:val="28"/>
          <w:rtl/>
        </w:rPr>
        <w:t>.</w:t>
      </w:r>
    </w:p>
    <w:p w14:paraId="5CA10AEB" w14:textId="77777777" w:rsidR="00273BD1" w:rsidRDefault="00273BD1" w:rsidP="00730BE0">
      <w:pPr>
        <w:rPr>
          <w:rFonts w:ascii="Sakkal Majalla" w:hAnsi="Sakkal Majalla" w:cs="Sakkal Majalla"/>
          <w:sz w:val="28"/>
          <w:szCs w:val="28"/>
          <w:u w:val="single"/>
          <w:rtl/>
        </w:rPr>
      </w:pPr>
    </w:p>
    <w:p w14:paraId="292CD3BB" w14:textId="77777777" w:rsidR="00273BD1" w:rsidRDefault="00273BD1" w:rsidP="00730BE0">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-أهمية الدراسة. </w:t>
      </w:r>
    </w:p>
    <w:p w14:paraId="37C3782A" w14:textId="77777777" w:rsidR="00273BD1" w:rsidRPr="00D22171" w:rsidRDefault="00273BD1" w:rsidP="00730BE0">
      <w:pPr>
        <w:rPr>
          <w:rFonts w:ascii="Sakkal Majalla" w:hAnsi="Sakkal Majalla" w:cs="Sakkal Majalla"/>
          <w:sz w:val="28"/>
          <w:szCs w:val="28"/>
          <w:u w:val="single"/>
          <w:rtl/>
        </w:rPr>
      </w:pPr>
    </w:p>
    <w:p w14:paraId="60E5A4D2" w14:textId="77777777" w:rsidR="00273BD1" w:rsidRPr="003963AB" w:rsidRDefault="00273BD1" w:rsidP="00730BE0">
      <w:pPr>
        <w:spacing w:line="240" w:lineRule="auto"/>
        <w:ind w:firstLine="720"/>
        <w:jc w:val="both"/>
        <w:rPr>
          <w:rFonts w:ascii="Sakkal Majalla" w:eastAsia="Calibri" w:hAnsi="Sakkal Majalla" w:cs="Sakkal Majalla"/>
          <w:sz w:val="28"/>
          <w:szCs w:val="28"/>
        </w:rPr>
      </w:pPr>
      <w:r w:rsidRPr="003963AB">
        <w:rPr>
          <w:rFonts w:ascii="Sakkal Majalla" w:eastAsia="Calibri" w:hAnsi="Sakkal Majalla" w:cs="Sakkal Majalla"/>
          <w:sz w:val="28"/>
          <w:szCs w:val="28"/>
          <w:rtl/>
        </w:rPr>
        <w:t>تستمد هذه الدراسة أهميتها من أهمية قطاع الطاقة ودوره الحيوي في دعم التنمية الاقتصادية والاجتماعية، ومن تزايد الاهتمام بإدارة المخاطر كأحد العناصر الأساسية التي تسهم في تحقيق الاستدامة وتعزيز القدرة التنافسية للمؤسسات. كما تنبع أهميتها من الحاجة إلى فهم طبيعة العلاقة بين استراتيجيات إدارة المخاطر واستدامة شركات الطاقة، خاصة في ظل المتغيرات الاقتصادية والتقنية والبيئية التي يشهدها القطاع.</w:t>
      </w:r>
    </w:p>
    <w:p w14:paraId="64F0E3A7" w14:textId="77777777" w:rsidR="00273BD1" w:rsidRPr="003963AB" w:rsidRDefault="00273BD1" w:rsidP="00730BE0">
      <w:pPr>
        <w:spacing w:line="240" w:lineRule="auto"/>
        <w:rPr>
          <w:rFonts w:ascii="Sakkal Majalla" w:eastAsia="Calibri" w:hAnsi="Sakkal Majalla" w:cs="Sakkal Majalla"/>
          <w:b/>
          <w:bCs/>
          <w:sz w:val="28"/>
          <w:szCs w:val="28"/>
        </w:rPr>
      </w:pPr>
    </w:p>
    <w:p w14:paraId="085A75EE" w14:textId="77777777" w:rsidR="00273BD1" w:rsidRPr="003963AB" w:rsidRDefault="00273BD1" w:rsidP="00730BE0">
      <w:pPr>
        <w:spacing w:line="240" w:lineRule="auto"/>
        <w:rPr>
          <w:rFonts w:ascii="Sakkal Majalla" w:eastAsia="Calibri" w:hAnsi="Sakkal Majalla" w:cs="Sakkal Majalla"/>
          <w:b/>
          <w:bCs/>
          <w:sz w:val="28"/>
          <w:szCs w:val="28"/>
        </w:rPr>
      </w:pPr>
      <w:r w:rsidRPr="003963AB">
        <w:rPr>
          <w:rFonts w:ascii="Sakkal Majalla" w:eastAsia="Calibri" w:hAnsi="Sakkal Majalla" w:cs="Sakkal Majalla"/>
          <w:b/>
          <w:bCs/>
          <w:sz w:val="28"/>
          <w:szCs w:val="28"/>
          <w:rtl/>
        </w:rPr>
        <w:t>أولاً: الأهمية العلمية</w:t>
      </w:r>
    </w:p>
    <w:p w14:paraId="116AF365" w14:textId="77777777" w:rsidR="00273BD1" w:rsidRPr="003963AB" w:rsidRDefault="00273BD1" w:rsidP="00730BE0">
      <w:pPr>
        <w:spacing w:line="24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       </w:t>
      </w:r>
      <w:r w:rsidRPr="003963AB">
        <w:rPr>
          <w:rFonts w:ascii="Sakkal Majalla" w:eastAsia="Calibri" w:hAnsi="Sakkal Majalla" w:cs="Sakkal Majalla"/>
          <w:sz w:val="28"/>
          <w:szCs w:val="28"/>
          <w:rtl/>
        </w:rPr>
        <w:t>تكمن الأهمية العلمية للدراسة في إثراء الأدبيات المتعلقة بإدارة المخاطر والاستدامة، من خلال دراسة العلاقة بين استراتيجيات إدارة المخاطر واستدامة شركات الطاقة في البيئة السعودية، وهي من الموضوعات التي ما زالت بحاجة إلى مزيد من الدراسات التطبيقية.</w:t>
      </w:r>
    </w:p>
    <w:p w14:paraId="4F082B8E" w14:textId="77777777" w:rsidR="00273BD1" w:rsidRPr="003963AB" w:rsidRDefault="00273BD1" w:rsidP="00730BE0">
      <w:pPr>
        <w:spacing w:line="24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       </w:t>
      </w:r>
      <w:r w:rsidRPr="003963AB">
        <w:rPr>
          <w:rFonts w:ascii="Sakkal Majalla" w:eastAsia="Calibri" w:hAnsi="Sakkal Majalla" w:cs="Sakkal Majalla"/>
          <w:sz w:val="28"/>
          <w:szCs w:val="28"/>
          <w:rtl/>
        </w:rPr>
        <w:t>كما تسهم الدراسة في بناء إطار نظري يوضح العلاقة بين المتغير المستقل (استراتيجيات إدارة المخاطر) والمتغير التابع (استدامة شركات الطاقة)، والاستفادة من النظريات الإدارية الحديثة في تفسير هذه العلاقة، بما يفتح المجال أمام الباحثين لإجراء دراسات مستقبلية في هذا المجال.</w:t>
      </w:r>
    </w:p>
    <w:p w14:paraId="077BB377" w14:textId="77777777" w:rsidR="00273BD1" w:rsidRPr="003963AB" w:rsidRDefault="00273BD1" w:rsidP="00730BE0">
      <w:pPr>
        <w:spacing w:line="240" w:lineRule="auto"/>
        <w:rPr>
          <w:rFonts w:ascii="Sakkal Majalla" w:eastAsia="Calibri" w:hAnsi="Sakkal Majalla" w:cs="Sakkal Majalla"/>
          <w:b/>
          <w:bCs/>
          <w:sz w:val="28"/>
          <w:szCs w:val="28"/>
        </w:rPr>
      </w:pPr>
    </w:p>
    <w:p w14:paraId="2FA09DA5" w14:textId="77777777" w:rsidR="00273BD1" w:rsidRPr="003963AB" w:rsidRDefault="00273BD1" w:rsidP="00730BE0">
      <w:pPr>
        <w:bidi w:val="0"/>
        <w:spacing w:line="240" w:lineRule="auto"/>
        <w:jc w:val="right"/>
        <w:rPr>
          <w:rFonts w:ascii="Sakkal Majalla" w:eastAsia="Calibri" w:hAnsi="Sakkal Majalla" w:cs="Sakkal Majalla"/>
          <w:b/>
          <w:bCs/>
          <w:sz w:val="28"/>
          <w:szCs w:val="28"/>
        </w:rPr>
      </w:pPr>
      <w:r w:rsidRPr="003963AB">
        <w:rPr>
          <w:rFonts w:ascii="Sakkal Majalla" w:eastAsia="Calibri" w:hAnsi="Sakkal Majalla" w:cs="Sakkal Majalla"/>
          <w:b/>
          <w:bCs/>
          <w:sz w:val="28"/>
          <w:szCs w:val="28"/>
          <w:rtl/>
        </w:rPr>
        <w:t>ثانياً: الأهمية التطبيقية</w:t>
      </w:r>
    </w:p>
    <w:p w14:paraId="3FCC8C5F" w14:textId="77777777" w:rsidR="00273BD1" w:rsidRPr="003963AB" w:rsidRDefault="00273BD1" w:rsidP="00730BE0">
      <w:pPr>
        <w:spacing w:line="240" w:lineRule="auto"/>
        <w:rPr>
          <w:rFonts w:ascii="Sakkal Majalla" w:eastAsia="Calibri" w:hAnsi="Sakkal Majalla" w:cs="Sakkal Majalla"/>
          <w:sz w:val="28"/>
          <w:szCs w:val="28"/>
        </w:rPr>
      </w:pPr>
      <w:r w:rsidRPr="003963AB">
        <w:rPr>
          <w:rFonts w:ascii="Sakkal Majalla" w:eastAsia="Calibri" w:hAnsi="Sakkal Majalla" w:cs="Sakkal Majalla"/>
          <w:sz w:val="28"/>
          <w:szCs w:val="28"/>
          <w:rtl/>
        </w:rPr>
        <w:t>تتمثل الأهمية التطبيقية للدراسة في إمكانية الاستفادة من نتائجها في دعم متخذي القرار داخل الشركة السعودية للكهرباء وشركات الطاقة الأخرى، من خلال توفير مؤشرات علمية تساعد على تطوير ممارسات إدارة المخاطر وتعزيز استدامة الأداء.</w:t>
      </w:r>
    </w:p>
    <w:p w14:paraId="2531F2A7" w14:textId="77777777" w:rsidR="00273BD1" w:rsidRPr="003963AB" w:rsidRDefault="00273BD1" w:rsidP="00730BE0">
      <w:pPr>
        <w:spacing w:line="240" w:lineRule="auto"/>
        <w:rPr>
          <w:rFonts w:ascii="Sakkal Majalla" w:eastAsia="Calibri" w:hAnsi="Sakkal Majalla" w:cs="Sakkal Majalla"/>
          <w:sz w:val="28"/>
          <w:szCs w:val="28"/>
        </w:rPr>
      </w:pPr>
      <w:r w:rsidRPr="003963AB">
        <w:rPr>
          <w:rFonts w:ascii="Sakkal Majalla" w:eastAsia="Calibri" w:hAnsi="Sakkal Majalla" w:cs="Sakkal Majalla"/>
          <w:sz w:val="28"/>
          <w:szCs w:val="28"/>
          <w:rtl/>
        </w:rPr>
        <w:t>كما يمكن أن تسهم نتائج الدراسة في:</w:t>
      </w:r>
    </w:p>
    <w:p w14:paraId="0836B7DB" w14:textId="77777777" w:rsidR="00273BD1" w:rsidRPr="003963AB" w:rsidRDefault="00273BD1" w:rsidP="00730BE0">
      <w:pPr>
        <w:spacing w:line="240" w:lineRule="auto"/>
        <w:rPr>
          <w:rFonts w:ascii="Sakkal Majalla" w:eastAsia="Calibri" w:hAnsi="Sakkal Majalla" w:cs="Sakkal Majalla"/>
          <w:sz w:val="28"/>
          <w:szCs w:val="28"/>
        </w:rPr>
      </w:pPr>
      <w:r w:rsidRPr="003963AB">
        <w:rPr>
          <w:rFonts w:ascii="Sakkal Majalla" w:eastAsia="Calibri" w:hAnsi="Sakkal Majalla" w:cs="Sakkal Majalla"/>
          <w:sz w:val="28"/>
          <w:szCs w:val="28"/>
          <w:rtl/>
        </w:rPr>
        <w:t>* تحسين جودة القرارات الإدارية المتعلقة بإدارة المخاطر.</w:t>
      </w:r>
    </w:p>
    <w:p w14:paraId="3637EF1A" w14:textId="77777777" w:rsidR="00273BD1" w:rsidRPr="003963AB" w:rsidRDefault="00273BD1" w:rsidP="00730BE0">
      <w:pPr>
        <w:spacing w:line="240" w:lineRule="auto"/>
        <w:rPr>
          <w:rFonts w:ascii="Sakkal Majalla" w:eastAsia="Calibri" w:hAnsi="Sakkal Majalla" w:cs="Sakkal Majalla"/>
          <w:sz w:val="28"/>
          <w:szCs w:val="28"/>
        </w:rPr>
      </w:pPr>
      <w:r w:rsidRPr="003963AB">
        <w:rPr>
          <w:rFonts w:ascii="Sakkal Majalla" w:eastAsia="Calibri" w:hAnsi="Sakkal Majalla" w:cs="Sakkal Majalla"/>
          <w:sz w:val="28"/>
          <w:szCs w:val="28"/>
          <w:rtl/>
        </w:rPr>
        <w:t>* دعم التخطيط الاستراتيجي من خلال دمج إدارة المخاطر في عمليات اتخاذ القرار.</w:t>
      </w:r>
    </w:p>
    <w:p w14:paraId="1ADC882C" w14:textId="77777777" w:rsidR="00273BD1" w:rsidRPr="003963AB" w:rsidRDefault="00273BD1" w:rsidP="00730BE0">
      <w:pPr>
        <w:spacing w:line="240" w:lineRule="auto"/>
        <w:rPr>
          <w:rFonts w:ascii="Sakkal Majalla" w:eastAsia="Calibri" w:hAnsi="Sakkal Majalla" w:cs="Sakkal Majalla"/>
          <w:sz w:val="28"/>
          <w:szCs w:val="28"/>
        </w:rPr>
      </w:pPr>
      <w:r w:rsidRPr="003963AB">
        <w:rPr>
          <w:rFonts w:ascii="Sakkal Majalla" w:eastAsia="Calibri" w:hAnsi="Sakkal Majalla" w:cs="Sakkal Majalla"/>
          <w:sz w:val="28"/>
          <w:szCs w:val="28"/>
          <w:rtl/>
        </w:rPr>
        <w:t>* تعزيز الكفاءة التشغيلية وتقليل الخسائر الناتجة عن المخاطر.</w:t>
      </w:r>
    </w:p>
    <w:p w14:paraId="1960BDA7" w14:textId="77777777" w:rsidR="00273BD1" w:rsidRPr="003963AB" w:rsidRDefault="00273BD1" w:rsidP="00730BE0">
      <w:pPr>
        <w:spacing w:line="240" w:lineRule="auto"/>
        <w:rPr>
          <w:rFonts w:ascii="Sakkal Majalla" w:eastAsia="Calibri" w:hAnsi="Sakkal Majalla" w:cs="Sakkal Majalla"/>
          <w:sz w:val="28"/>
          <w:szCs w:val="28"/>
        </w:rPr>
      </w:pPr>
      <w:r w:rsidRPr="003963AB">
        <w:rPr>
          <w:rFonts w:ascii="Sakkal Majalla" w:eastAsia="Calibri" w:hAnsi="Sakkal Majalla" w:cs="Sakkal Majalla"/>
          <w:sz w:val="28"/>
          <w:szCs w:val="28"/>
          <w:rtl/>
        </w:rPr>
        <w:t>* رفع مستوى استدامة الأداء الاقتصادي والتشغيلي والبيئي.</w:t>
      </w:r>
    </w:p>
    <w:p w14:paraId="2F5875F4" w14:textId="77777777" w:rsidR="00273BD1" w:rsidRPr="003963AB" w:rsidRDefault="00273BD1" w:rsidP="00730BE0">
      <w:pPr>
        <w:spacing w:line="240" w:lineRule="auto"/>
        <w:rPr>
          <w:rFonts w:ascii="Sakkal Majalla" w:eastAsia="Calibri" w:hAnsi="Sakkal Majalla" w:cs="Sakkal Majalla"/>
          <w:sz w:val="28"/>
          <w:szCs w:val="28"/>
        </w:rPr>
      </w:pPr>
      <w:r w:rsidRPr="003963AB">
        <w:rPr>
          <w:rFonts w:ascii="Sakkal Majalla" w:eastAsia="Calibri" w:hAnsi="Sakkal Majalla" w:cs="Sakkal Majalla"/>
          <w:sz w:val="28"/>
          <w:szCs w:val="28"/>
          <w:rtl/>
        </w:rPr>
        <w:t>* تقديم توصيات عملية يمكن الاستفادة منها في تطوير سياسات إدارة المخاطر في قطاع الطاقة بالمملكة العربية السعودية.</w:t>
      </w:r>
    </w:p>
    <w:p w14:paraId="6FB1D3A6" w14:textId="77777777" w:rsidR="00273BD1" w:rsidRPr="003963AB" w:rsidRDefault="00273BD1" w:rsidP="00730BE0">
      <w:pPr>
        <w:spacing w:line="240" w:lineRule="auto"/>
        <w:rPr>
          <w:rFonts w:ascii="Sakkal Majalla" w:eastAsia="Calibri" w:hAnsi="Sakkal Majalla" w:cs="Sakkal Majalla"/>
          <w:sz w:val="28"/>
          <w:szCs w:val="28"/>
        </w:rPr>
      </w:pPr>
    </w:p>
    <w:p w14:paraId="1411887C" w14:textId="77777777" w:rsidR="00273BD1" w:rsidRPr="003963AB" w:rsidRDefault="00273BD1" w:rsidP="00730BE0">
      <w:pPr>
        <w:bidi w:val="0"/>
        <w:spacing w:line="240" w:lineRule="auto"/>
        <w:jc w:val="right"/>
        <w:rPr>
          <w:rFonts w:ascii="Sakkal Majalla" w:eastAsia="Calibri" w:hAnsi="Sakkal Majalla" w:cs="Sakkal Majalla"/>
          <w:b/>
          <w:bCs/>
          <w:sz w:val="28"/>
          <w:szCs w:val="28"/>
        </w:rPr>
      </w:pPr>
      <w:r w:rsidRPr="003963AB">
        <w:rPr>
          <w:rFonts w:ascii="Sakkal Majalla" w:eastAsia="Calibri" w:hAnsi="Sakkal Majalla" w:cs="Sakkal Majalla"/>
          <w:b/>
          <w:bCs/>
          <w:sz w:val="28"/>
          <w:szCs w:val="28"/>
          <w:rtl/>
        </w:rPr>
        <w:t>ثالثاً: الأهمية المجتمعية</w:t>
      </w:r>
    </w:p>
    <w:p w14:paraId="7FADB637" w14:textId="77777777" w:rsidR="00273BD1" w:rsidRPr="007920A9" w:rsidRDefault="00273BD1" w:rsidP="00730BE0">
      <w:pPr>
        <w:spacing w:line="240" w:lineRule="auto"/>
        <w:ind w:firstLine="720"/>
        <w:jc w:val="both"/>
        <w:rPr>
          <w:rFonts w:ascii="Sakkal Majalla" w:eastAsia="Calibri" w:hAnsi="Sakkal Majalla" w:cs="Sakkal Majalla"/>
          <w:sz w:val="28"/>
          <w:szCs w:val="28"/>
        </w:rPr>
      </w:pPr>
      <w:r w:rsidRPr="003963AB">
        <w:rPr>
          <w:rFonts w:ascii="Sakkal Majalla" w:eastAsia="Calibri" w:hAnsi="Sakkal Majalla" w:cs="Sakkal Majalla"/>
          <w:sz w:val="28"/>
          <w:szCs w:val="28"/>
          <w:rtl/>
        </w:rPr>
        <w:lastRenderedPageBreak/>
        <w:t>تنبع الأهمية المجتمعية للدراسة من ارتباط قطاع الطاقة بالخدمات الأساسية التي تؤثر بصورة مباشرة في مختلف القطاعات الاقتصادية والاجتماعية، حيث إن تعزيز استدامة شركات الطاقة يسهم في رفع جودة الخدمات، وتحقيق الاستخدام الأمثل للموارد، ودعم مستهدفات رؤية المملكة العربية السعودية 2030 في مجالات الاستدامة والطاقة</w:t>
      </w:r>
    </w:p>
    <w:p w14:paraId="46344C86" w14:textId="77777777" w:rsidR="00273BD1" w:rsidRDefault="00273BD1" w:rsidP="00730BE0">
      <w:pPr>
        <w:rPr>
          <w:rFonts w:ascii="Sakkal Majalla" w:hAnsi="Sakkal Majalla" w:cs="Sakkal Majalla"/>
          <w:sz w:val="28"/>
          <w:szCs w:val="28"/>
          <w:u w:val="single"/>
          <w:rtl/>
        </w:rPr>
      </w:pPr>
    </w:p>
    <w:p w14:paraId="5F6883C6" w14:textId="77777777" w:rsidR="00273BD1" w:rsidRPr="001374E4" w:rsidRDefault="00273BD1" w:rsidP="00730BE0">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-أهداف الدراسة. </w:t>
      </w:r>
      <w:r w:rsidRPr="001374E4">
        <w:rPr>
          <w:rFonts w:ascii="Sakkal Majalla" w:eastAsia="Times New Roman" w:hAnsi="Sakkal Majalla" w:cs="Sakkal Majalla"/>
          <w:color w:val="0F1115"/>
          <w:sz w:val="28"/>
          <w:szCs w:val="28"/>
        </w:rPr>
        <w:br/>
      </w:r>
      <w:r w:rsidRPr="001374E4">
        <w:rPr>
          <w:rFonts w:ascii="Sakkal Majalla" w:eastAsia="Times New Roman" w:hAnsi="Sakkal Majalla" w:cs="Sakkal Majalla"/>
          <w:b/>
          <w:bCs/>
          <w:color w:val="0F1115"/>
          <w:sz w:val="28"/>
          <w:szCs w:val="28"/>
          <w:rtl/>
        </w:rPr>
        <w:t>الهدف الرئيس</w:t>
      </w:r>
      <w:r w:rsidRPr="001374E4">
        <w:rPr>
          <w:rFonts w:ascii="Sakkal Majalla" w:eastAsia="Times New Roman" w:hAnsi="Sakkal Majalla" w:cs="Sakkal Majalla" w:hint="cs"/>
          <w:b/>
          <w:bCs/>
          <w:color w:val="0F1115"/>
          <w:sz w:val="28"/>
          <w:szCs w:val="28"/>
          <w:rtl/>
        </w:rPr>
        <w:t>ي</w:t>
      </w:r>
    </w:p>
    <w:p w14:paraId="47942DA1" w14:textId="77777777" w:rsidR="00273BD1" w:rsidRDefault="00273BD1" w:rsidP="00730BE0">
      <w:pPr>
        <w:shd w:val="clear" w:color="auto" w:fill="FFFFFF"/>
        <w:spacing w:before="240" w:after="240" w:line="240" w:lineRule="auto"/>
        <w:ind w:firstLine="720"/>
        <w:jc w:val="both"/>
        <w:rPr>
          <w:rFonts w:ascii="Sakkal Majalla" w:eastAsia="Times New Roman" w:hAnsi="Sakkal Majalla" w:cs="Sakkal Majalla"/>
          <w:color w:val="0F1115"/>
          <w:sz w:val="28"/>
          <w:szCs w:val="28"/>
          <w:rtl/>
        </w:rPr>
      </w:pPr>
      <w:r w:rsidRPr="001374E4">
        <w:rPr>
          <w:rFonts w:ascii="Sakkal Majalla" w:eastAsia="Times New Roman" w:hAnsi="Sakkal Majalla" w:cs="Sakkal Majalla"/>
          <w:color w:val="0F1115"/>
          <w:sz w:val="28"/>
          <w:szCs w:val="28"/>
          <w:rtl/>
        </w:rPr>
        <w:t>التعرف إلى أثر استراتيجيات إدارة المخاطر على استدامة شركات الطاقة، من خلال دراسة حالة الشركة السعودية للكهرباء.</w:t>
      </w:r>
    </w:p>
    <w:p w14:paraId="1AA74624" w14:textId="77777777" w:rsidR="00273BD1" w:rsidRPr="001374E4" w:rsidRDefault="00273BD1" w:rsidP="00730BE0">
      <w:pPr>
        <w:shd w:val="clear" w:color="auto" w:fill="FFFFFF"/>
        <w:spacing w:before="240" w:after="240" w:line="240" w:lineRule="auto"/>
        <w:ind w:firstLine="720"/>
        <w:jc w:val="both"/>
        <w:rPr>
          <w:rFonts w:ascii="Sakkal Majalla" w:eastAsia="Times New Roman" w:hAnsi="Sakkal Majalla" w:cs="Sakkal Majalla"/>
          <w:color w:val="0F1115"/>
          <w:sz w:val="28"/>
          <w:szCs w:val="28"/>
        </w:rPr>
      </w:pPr>
    </w:p>
    <w:p w14:paraId="1E3AA5F4" w14:textId="77777777" w:rsidR="00273BD1" w:rsidRPr="001374E4" w:rsidRDefault="00273BD1" w:rsidP="00730BE0">
      <w:pPr>
        <w:shd w:val="clear" w:color="auto" w:fill="FFFFFF"/>
        <w:spacing w:before="240" w:after="240" w:line="240" w:lineRule="auto"/>
        <w:jc w:val="both"/>
        <w:rPr>
          <w:rFonts w:ascii="Sakkal Majalla" w:eastAsia="Times New Roman" w:hAnsi="Sakkal Majalla" w:cs="Sakkal Majalla"/>
          <w:b/>
          <w:bCs/>
          <w:color w:val="0F1115"/>
          <w:sz w:val="28"/>
          <w:szCs w:val="28"/>
        </w:rPr>
      </w:pPr>
      <w:r w:rsidRPr="001374E4">
        <w:rPr>
          <w:rFonts w:ascii="Sakkal Majalla" w:eastAsia="Times New Roman" w:hAnsi="Sakkal Majalla" w:cs="Sakkal Majalla"/>
          <w:b/>
          <w:bCs/>
          <w:color w:val="0F1115"/>
          <w:sz w:val="28"/>
          <w:szCs w:val="28"/>
          <w:rtl/>
        </w:rPr>
        <w:t>الأهداف الفرعية</w:t>
      </w:r>
    </w:p>
    <w:p w14:paraId="4AFD3112" w14:textId="77777777" w:rsidR="00273BD1" w:rsidRPr="001374E4" w:rsidRDefault="00273BD1" w:rsidP="00730BE0">
      <w:pPr>
        <w:shd w:val="clear" w:color="auto" w:fill="FFFFFF"/>
        <w:spacing w:before="240" w:after="240" w:line="240" w:lineRule="auto"/>
        <w:jc w:val="both"/>
        <w:rPr>
          <w:rFonts w:ascii="Sakkal Majalla" w:eastAsia="Times New Roman" w:hAnsi="Sakkal Majalla" w:cs="Sakkal Majalla"/>
          <w:color w:val="0F1115"/>
          <w:sz w:val="28"/>
          <w:szCs w:val="28"/>
        </w:rPr>
      </w:pPr>
      <w:r w:rsidRPr="001374E4">
        <w:rPr>
          <w:rFonts w:ascii="Sakkal Majalla" w:eastAsia="Times New Roman" w:hAnsi="Sakkal Majalla" w:cs="Sakkal Majalla"/>
          <w:color w:val="0F1115"/>
          <w:sz w:val="28"/>
          <w:szCs w:val="28"/>
          <w:rtl/>
        </w:rPr>
        <w:t>1. توضيح الإطار المفاهيمي لاستراتيجيات إدارة المخاطر واستدامة شركات الطاقة.</w:t>
      </w:r>
    </w:p>
    <w:p w14:paraId="6E50588D" w14:textId="77777777" w:rsidR="00273BD1" w:rsidRPr="001374E4" w:rsidRDefault="00273BD1" w:rsidP="00730BE0">
      <w:pPr>
        <w:shd w:val="clear" w:color="auto" w:fill="FFFFFF"/>
        <w:spacing w:before="240" w:after="240" w:line="240" w:lineRule="auto"/>
        <w:jc w:val="both"/>
        <w:rPr>
          <w:rFonts w:ascii="Sakkal Majalla" w:eastAsia="Times New Roman" w:hAnsi="Sakkal Majalla" w:cs="Sakkal Majalla"/>
          <w:color w:val="0F1115"/>
          <w:sz w:val="28"/>
          <w:szCs w:val="28"/>
        </w:rPr>
      </w:pPr>
      <w:r w:rsidRPr="001374E4">
        <w:rPr>
          <w:rFonts w:ascii="Sakkal Majalla" w:eastAsia="Times New Roman" w:hAnsi="Sakkal Majalla" w:cs="Sakkal Majalla"/>
          <w:color w:val="0F1115"/>
          <w:sz w:val="28"/>
          <w:szCs w:val="28"/>
          <w:rtl/>
        </w:rPr>
        <w:t>2. التعرف على مستوى تطبيق استراتيجيات إدارة المخاطر في الشركة السعودية للكهرباء.</w:t>
      </w:r>
    </w:p>
    <w:p w14:paraId="1B621156" w14:textId="77777777" w:rsidR="00273BD1" w:rsidRPr="001374E4" w:rsidRDefault="00273BD1" w:rsidP="00730BE0">
      <w:pPr>
        <w:shd w:val="clear" w:color="auto" w:fill="FFFFFF"/>
        <w:spacing w:before="240" w:after="240" w:line="240" w:lineRule="auto"/>
        <w:jc w:val="both"/>
        <w:rPr>
          <w:rFonts w:ascii="Sakkal Majalla" w:eastAsia="Times New Roman" w:hAnsi="Sakkal Majalla" w:cs="Sakkal Majalla"/>
          <w:color w:val="0F1115"/>
          <w:sz w:val="28"/>
          <w:szCs w:val="28"/>
        </w:rPr>
      </w:pPr>
      <w:r w:rsidRPr="001374E4">
        <w:rPr>
          <w:rFonts w:ascii="Sakkal Majalla" w:eastAsia="Times New Roman" w:hAnsi="Sakkal Majalla" w:cs="Sakkal Majalla"/>
          <w:color w:val="0F1115"/>
          <w:sz w:val="28"/>
          <w:szCs w:val="28"/>
          <w:rtl/>
        </w:rPr>
        <w:t>3. قياس مستوى استدامة الشركة في أبعادها الاقتصادية والتشغيلية والبيئية.</w:t>
      </w:r>
    </w:p>
    <w:p w14:paraId="1C3FCA50" w14:textId="77777777" w:rsidR="00273BD1" w:rsidRPr="001374E4" w:rsidRDefault="00273BD1" w:rsidP="00730BE0">
      <w:pPr>
        <w:shd w:val="clear" w:color="auto" w:fill="FFFFFF"/>
        <w:spacing w:before="240" w:after="240" w:line="240" w:lineRule="auto"/>
        <w:jc w:val="both"/>
        <w:rPr>
          <w:rFonts w:ascii="Sakkal Majalla" w:eastAsia="Times New Roman" w:hAnsi="Sakkal Majalla" w:cs="Sakkal Majalla"/>
          <w:color w:val="0F1115"/>
          <w:sz w:val="28"/>
          <w:szCs w:val="28"/>
        </w:rPr>
      </w:pPr>
      <w:r w:rsidRPr="001374E4">
        <w:rPr>
          <w:rFonts w:ascii="Sakkal Majalla" w:eastAsia="Times New Roman" w:hAnsi="Sakkal Majalla" w:cs="Sakkal Majalla"/>
          <w:color w:val="0F1115"/>
          <w:sz w:val="28"/>
          <w:szCs w:val="28"/>
          <w:rtl/>
        </w:rPr>
        <w:t>4. تحليل العلاقة بين استراتيجيات إدارة المخاطر واستدامة شركات الطاقة.</w:t>
      </w:r>
    </w:p>
    <w:p w14:paraId="56413022" w14:textId="77777777" w:rsidR="00273BD1" w:rsidRPr="001374E4" w:rsidRDefault="00273BD1" w:rsidP="00730BE0">
      <w:pPr>
        <w:shd w:val="clear" w:color="auto" w:fill="FFFFFF"/>
        <w:spacing w:before="240" w:after="240" w:line="240" w:lineRule="auto"/>
        <w:jc w:val="both"/>
        <w:rPr>
          <w:rFonts w:ascii="Sakkal Majalla" w:eastAsia="Times New Roman" w:hAnsi="Sakkal Majalla" w:cs="Sakkal Majalla"/>
          <w:color w:val="0F1115"/>
          <w:sz w:val="28"/>
          <w:szCs w:val="28"/>
        </w:rPr>
      </w:pPr>
      <w:r w:rsidRPr="001374E4">
        <w:rPr>
          <w:rFonts w:ascii="Sakkal Majalla" w:eastAsia="Times New Roman" w:hAnsi="Sakkal Majalla" w:cs="Sakkal Majalla"/>
          <w:color w:val="0F1115"/>
          <w:sz w:val="28"/>
          <w:szCs w:val="28"/>
          <w:rtl/>
        </w:rPr>
        <w:t>5. قياس أثر استراتيجيات إدارة المخاطر في تحقيق استدامة شركات الطاقة.</w:t>
      </w:r>
    </w:p>
    <w:p w14:paraId="1DE076B9" w14:textId="77777777" w:rsidR="00273BD1" w:rsidRPr="001374E4" w:rsidRDefault="00273BD1" w:rsidP="00730BE0">
      <w:pPr>
        <w:shd w:val="clear" w:color="auto" w:fill="FFFFFF"/>
        <w:spacing w:before="240" w:after="240" w:line="240" w:lineRule="auto"/>
        <w:jc w:val="both"/>
        <w:rPr>
          <w:rFonts w:ascii="Sakkal Majalla" w:eastAsia="Times New Roman" w:hAnsi="Sakkal Majalla" w:cs="Sakkal Majalla"/>
          <w:color w:val="0F1115"/>
          <w:sz w:val="28"/>
          <w:szCs w:val="28"/>
          <w:rtl/>
        </w:rPr>
      </w:pPr>
      <w:r w:rsidRPr="001374E4">
        <w:rPr>
          <w:rFonts w:ascii="Sakkal Majalla" w:eastAsia="Times New Roman" w:hAnsi="Sakkal Majalla" w:cs="Sakkal Majalla"/>
          <w:color w:val="0F1115"/>
          <w:sz w:val="28"/>
          <w:szCs w:val="28"/>
          <w:rtl/>
        </w:rPr>
        <w:t>6. تقديم مجموعة من التوصيات التي تسهم في تطوير ممارسات إدارة المخاطر بما يدعم استدامة شركات الطاقة</w:t>
      </w:r>
      <w:r w:rsidRPr="001374E4">
        <w:rPr>
          <w:rFonts w:ascii="Sakkal Majalla" w:eastAsia="Times New Roman" w:hAnsi="Sakkal Majalla" w:cs="Sakkal Majalla" w:hint="cs"/>
          <w:color w:val="0F1115"/>
          <w:sz w:val="28"/>
          <w:szCs w:val="28"/>
          <w:rtl/>
        </w:rPr>
        <w:t>.</w:t>
      </w:r>
    </w:p>
    <w:p w14:paraId="4737600A" w14:textId="77777777" w:rsidR="00273BD1" w:rsidRDefault="00273BD1" w:rsidP="00730BE0">
      <w:pPr>
        <w:jc w:val="both"/>
        <w:rPr>
          <w:rFonts w:ascii="Sakkal Majalla" w:hAnsi="Sakkal Majalla" w:cs="Sakkal Majalla"/>
          <w:sz w:val="28"/>
          <w:szCs w:val="28"/>
          <w:u w:val="single"/>
          <w:rtl/>
        </w:rPr>
      </w:pPr>
    </w:p>
    <w:p w14:paraId="326C2864" w14:textId="77777777" w:rsidR="00273BD1" w:rsidRDefault="00273BD1" w:rsidP="00730BE0">
      <w:pPr>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7A56461D" w14:textId="77777777" w:rsidR="00273BD1" w:rsidRPr="00E1674D" w:rsidRDefault="00273BD1" w:rsidP="00730BE0">
      <w:pPr>
        <w:spacing w:line="240" w:lineRule="auto"/>
        <w:jc w:val="both"/>
        <w:rPr>
          <w:rFonts w:ascii="Sakkal Majalla" w:eastAsia="Calibri" w:hAnsi="Sakkal Majalla" w:cs="Sakkal Majalla"/>
          <w:sz w:val="28"/>
          <w:szCs w:val="28"/>
        </w:rPr>
      </w:pPr>
      <w:r w:rsidRPr="00E1674D">
        <w:rPr>
          <w:rFonts w:ascii="Sakkal Majalla" w:eastAsia="Calibri" w:hAnsi="Sakkal Majalla" w:cs="Sakkal Majalla"/>
          <w:sz w:val="28"/>
          <w:szCs w:val="28"/>
          <w:rtl/>
        </w:rPr>
        <w:t>تسعى هذه الدراسة إلى الإجابة عن التساؤل الرئيس الآتي:</w:t>
      </w:r>
    </w:p>
    <w:p w14:paraId="5ACCB2CE" w14:textId="77777777" w:rsidR="00273BD1" w:rsidRPr="00640FC6" w:rsidRDefault="00273BD1" w:rsidP="00730BE0">
      <w:pPr>
        <w:pStyle w:val="a5"/>
        <w:numPr>
          <w:ilvl w:val="0"/>
          <w:numId w:val="1"/>
        </w:numPr>
        <w:spacing w:line="240" w:lineRule="auto"/>
        <w:jc w:val="both"/>
        <w:rPr>
          <w:rFonts w:ascii="Sakkal Majalla" w:eastAsia="Calibri" w:hAnsi="Sakkal Majalla" w:cs="Sakkal Majalla"/>
          <w:sz w:val="28"/>
          <w:szCs w:val="28"/>
        </w:rPr>
      </w:pPr>
      <w:r w:rsidRPr="00640FC6">
        <w:rPr>
          <w:rFonts w:ascii="Sakkal Majalla" w:eastAsia="Calibri" w:hAnsi="Sakkal Majalla" w:cs="Sakkal Majalla"/>
          <w:sz w:val="28"/>
          <w:szCs w:val="28"/>
          <w:rtl/>
        </w:rPr>
        <w:t>ما أثر استراتيجيات إدارة المخاطر على استدامة شركات الطاقة؟ دراسة حالة الشركة السعودية للكهرباء.</w:t>
      </w:r>
    </w:p>
    <w:p w14:paraId="79F474CE" w14:textId="77777777" w:rsidR="00273BD1" w:rsidRPr="00E1674D" w:rsidRDefault="00273BD1" w:rsidP="00730BE0">
      <w:pPr>
        <w:spacing w:line="240" w:lineRule="auto"/>
        <w:jc w:val="both"/>
        <w:rPr>
          <w:rFonts w:ascii="Sakkal Majalla" w:eastAsia="Calibri" w:hAnsi="Sakkal Majalla" w:cs="Sakkal Majalla"/>
          <w:sz w:val="28"/>
          <w:szCs w:val="28"/>
        </w:rPr>
      </w:pPr>
      <w:r w:rsidRPr="00E1674D">
        <w:rPr>
          <w:rFonts w:ascii="Sakkal Majalla" w:eastAsia="Calibri" w:hAnsi="Sakkal Majalla" w:cs="Sakkal Majalla"/>
          <w:sz w:val="28"/>
          <w:szCs w:val="28"/>
          <w:rtl/>
        </w:rPr>
        <w:t>وينبثق عن هذا التساؤل الرئيس عدد من التساؤلات الفرعية، هي:</w:t>
      </w:r>
    </w:p>
    <w:p w14:paraId="3231F939" w14:textId="77777777" w:rsidR="00273BD1" w:rsidRPr="00E1674D" w:rsidRDefault="00273BD1" w:rsidP="00730BE0">
      <w:pPr>
        <w:spacing w:line="240" w:lineRule="auto"/>
        <w:jc w:val="both"/>
        <w:rPr>
          <w:rFonts w:ascii="Sakkal Majalla" w:eastAsia="Calibri" w:hAnsi="Sakkal Majalla" w:cs="Sakkal Majalla"/>
          <w:sz w:val="28"/>
          <w:szCs w:val="28"/>
        </w:rPr>
      </w:pPr>
    </w:p>
    <w:p w14:paraId="4232D93F" w14:textId="77777777" w:rsidR="00273BD1" w:rsidRPr="00E1674D" w:rsidRDefault="00273BD1" w:rsidP="00730BE0">
      <w:pPr>
        <w:spacing w:line="240" w:lineRule="auto"/>
        <w:jc w:val="both"/>
        <w:rPr>
          <w:rFonts w:ascii="Sakkal Majalla" w:eastAsia="Calibri" w:hAnsi="Sakkal Majalla" w:cs="Sakkal Majalla"/>
          <w:sz w:val="28"/>
          <w:szCs w:val="28"/>
        </w:rPr>
      </w:pPr>
      <w:r w:rsidRPr="00E1674D">
        <w:rPr>
          <w:rFonts w:ascii="Sakkal Majalla" w:eastAsia="Calibri" w:hAnsi="Sakkal Majalla" w:cs="Sakkal Majalla"/>
          <w:sz w:val="28"/>
          <w:szCs w:val="28"/>
          <w:rtl/>
        </w:rPr>
        <w:t>1. ما مستوى تطبيق استراتيجيات إدارة المخاطر في الشركة السعودية للكهرباء؟</w:t>
      </w:r>
    </w:p>
    <w:p w14:paraId="33C5220D" w14:textId="77777777" w:rsidR="00273BD1" w:rsidRPr="00E1674D" w:rsidRDefault="00273BD1" w:rsidP="00730BE0">
      <w:pPr>
        <w:spacing w:line="240" w:lineRule="auto"/>
        <w:jc w:val="both"/>
        <w:rPr>
          <w:rFonts w:ascii="Sakkal Majalla" w:eastAsia="Calibri" w:hAnsi="Sakkal Majalla" w:cs="Sakkal Majalla"/>
          <w:sz w:val="28"/>
          <w:szCs w:val="28"/>
        </w:rPr>
      </w:pPr>
      <w:r w:rsidRPr="00E1674D">
        <w:rPr>
          <w:rFonts w:ascii="Sakkal Majalla" w:eastAsia="Calibri" w:hAnsi="Sakkal Majalla" w:cs="Sakkal Majalla"/>
          <w:sz w:val="28"/>
          <w:szCs w:val="28"/>
          <w:rtl/>
        </w:rPr>
        <w:t>2. ما مستوى استدامة الشركة السعودية للكهرباء في أبعادها الاقتصادية والتشغيلية والبيئية؟</w:t>
      </w:r>
    </w:p>
    <w:p w14:paraId="2CB8103C" w14:textId="77777777" w:rsidR="00273BD1" w:rsidRPr="00E1674D" w:rsidRDefault="00273BD1" w:rsidP="00730BE0">
      <w:pPr>
        <w:spacing w:line="240" w:lineRule="auto"/>
        <w:jc w:val="both"/>
        <w:rPr>
          <w:rFonts w:ascii="Sakkal Majalla" w:eastAsia="Calibri" w:hAnsi="Sakkal Majalla" w:cs="Sakkal Majalla"/>
          <w:sz w:val="28"/>
          <w:szCs w:val="28"/>
        </w:rPr>
      </w:pPr>
      <w:r w:rsidRPr="00E1674D">
        <w:rPr>
          <w:rFonts w:ascii="Sakkal Majalla" w:eastAsia="Calibri" w:hAnsi="Sakkal Majalla" w:cs="Sakkal Majalla"/>
          <w:sz w:val="28"/>
          <w:szCs w:val="28"/>
          <w:rtl/>
        </w:rPr>
        <w:lastRenderedPageBreak/>
        <w:t>3. هل توجد علاقة ذات دلالة إحصائية بين استراتيجيات إدارة المخاطر واستدامة شركات الطاقة؟</w:t>
      </w:r>
    </w:p>
    <w:p w14:paraId="2C539A86" w14:textId="77777777" w:rsidR="00273BD1" w:rsidRPr="00E1674D" w:rsidRDefault="00273BD1" w:rsidP="00730BE0">
      <w:pPr>
        <w:spacing w:line="240" w:lineRule="auto"/>
        <w:jc w:val="both"/>
        <w:rPr>
          <w:rFonts w:ascii="Sakkal Majalla" w:eastAsia="Calibri" w:hAnsi="Sakkal Majalla" w:cs="Sakkal Majalla"/>
          <w:sz w:val="28"/>
          <w:szCs w:val="28"/>
        </w:rPr>
      </w:pPr>
      <w:r w:rsidRPr="00E1674D">
        <w:rPr>
          <w:rFonts w:ascii="Sakkal Majalla" w:eastAsia="Calibri" w:hAnsi="Sakkal Majalla" w:cs="Sakkal Majalla"/>
          <w:sz w:val="28"/>
          <w:szCs w:val="28"/>
          <w:rtl/>
        </w:rPr>
        <w:t>4. ما أثر استراتيجيات إدارة المخاطر على الاستدامة الاقتصادية في الشركة السعودية للكهرباء؟</w:t>
      </w:r>
    </w:p>
    <w:p w14:paraId="1E5BE085" w14:textId="77777777" w:rsidR="00273BD1" w:rsidRPr="00E1674D" w:rsidRDefault="00273BD1" w:rsidP="00730BE0">
      <w:pPr>
        <w:spacing w:line="240" w:lineRule="auto"/>
        <w:jc w:val="both"/>
        <w:rPr>
          <w:rFonts w:ascii="Sakkal Majalla" w:eastAsia="Calibri" w:hAnsi="Sakkal Majalla" w:cs="Sakkal Majalla"/>
          <w:sz w:val="28"/>
          <w:szCs w:val="28"/>
        </w:rPr>
      </w:pPr>
      <w:r w:rsidRPr="00E1674D">
        <w:rPr>
          <w:rFonts w:ascii="Sakkal Majalla" w:eastAsia="Calibri" w:hAnsi="Sakkal Majalla" w:cs="Sakkal Majalla"/>
          <w:sz w:val="28"/>
          <w:szCs w:val="28"/>
          <w:rtl/>
        </w:rPr>
        <w:t>5. ما أثر استراتيجيات إدارة المخاطر على الاستدامة التشغيلية في الشركة السعودية للكهرباء؟</w:t>
      </w:r>
    </w:p>
    <w:p w14:paraId="45C11FFD" w14:textId="77777777" w:rsidR="00273BD1" w:rsidRPr="00E1674D" w:rsidRDefault="00273BD1" w:rsidP="00730BE0">
      <w:pPr>
        <w:spacing w:line="240" w:lineRule="auto"/>
        <w:jc w:val="both"/>
        <w:rPr>
          <w:rFonts w:ascii="Sakkal Majalla" w:eastAsia="Calibri" w:hAnsi="Sakkal Majalla" w:cs="Sakkal Majalla"/>
          <w:b/>
          <w:bCs/>
          <w:sz w:val="28"/>
          <w:szCs w:val="28"/>
          <w:rtl/>
        </w:rPr>
      </w:pPr>
      <w:r w:rsidRPr="00E1674D">
        <w:rPr>
          <w:rFonts w:ascii="Sakkal Majalla" w:eastAsia="Calibri" w:hAnsi="Sakkal Majalla" w:cs="Sakkal Majalla"/>
          <w:sz w:val="28"/>
          <w:szCs w:val="28"/>
          <w:rtl/>
        </w:rPr>
        <w:t>6. ما أثر استراتيجيات إدارة المخاطر على الاستدامة البيئية في الشركة السعودية للكهرباء؟</w:t>
      </w:r>
    </w:p>
    <w:p w14:paraId="1CF5064D" w14:textId="77777777" w:rsidR="00273BD1" w:rsidRDefault="00273BD1" w:rsidP="00730BE0">
      <w:pPr>
        <w:jc w:val="both"/>
        <w:rPr>
          <w:rFonts w:ascii="Sakkal Majalla" w:hAnsi="Sakkal Majalla" w:cs="Sakkal Majalla"/>
          <w:sz w:val="28"/>
          <w:szCs w:val="28"/>
          <w:u w:val="single"/>
          <w:rtl/>
        </w:rPr>
      </w:pPr>
    </w:p>
    <w:p w14:paraId="7EFF8632" w14:textId="77777777" w:rsidR="00273BD1" w:rsidRPr="00640FC6" w:rsidRDefault="00273BD1" w:rsidP="00730BE0">
      <w:pPr>
        <w:jc w:val="both"/>
        <w:rPr>
          <w:rFonts w:ascii="Sakkal Majalla" w:hAnsi="Sakkal Majalla" w:cs="Sakkal Majalla"/>
          <w:b/>
          <w:bCs/>
          <w:sz w:val="28"/>
          <w:szCs w:val="28"/>
          <w:u w:val="single"/>
          <w:rtl/>
        </w:rPr>
      </w:pPr>
      <w:r w:rsidRPr="00640FC6">
        <w:rPr>
          <w:rFonts w:ascii="Sakkal Majalla" w:hAnsi="Sakkal Majalla" w:cs="Sakkal Majalla" w:hint="cs"/>
          <w:b/>
          <w:bCs/>
          <w:sz w:val="28"/>
          <w:szCs w:val="28"/>
          <w:u w:val="single"/>
          <w:rtl/>
        </w:rPr>
        <w:t>- فروض الدراسة</w:t>
      </w:r>
    </w:p>
    <w:p w14:paraId="2BCC1E48" w14:textId="77777777" w:rsidR="00273BD1" w:rsidRPr="00E1674D" w:rsidRDefault="00273BD1" w:rsidP="00730BE0">
      <w:pPr>
        <w:spacing w:line="240" w:lineRule="auto"/>
        <w:jc w:val="both"/>
        <w:rPr>
          <w:rFonts w:ascii="Sakkal Majalla" w:eastAsia="Times New Roman" w:hAnsi="Sakkal Majalla" w:cs="Sakkal Majalla"/>
          <w:color w:val="0F1115"/>
          <w:sz w:val="28"/>
          <w:szCs w:val="28"/>
        </w:rPr>
      </w:pPr>
      <w:r w:rsidRPr="00E1674D">
        <w:rPr>
          <w:rFonts w:ascii="Sakkal Majalla" w:eastAsia="Times New Roman" w:hAnsi="Sakkal Majalla" w:cs="Sakkal Majalla"/>
          <w:color w:val="0F1115"/>
          <w:sz w:val="28"/>
          <w:szCs w:val="28"/>
          <w:rtl/>
        </w:rPr>
        <w:t>استنادًا إلى أهداف الدراسة وتساؤلاتها، تتم صياغة فروض الدراسة على النحو الآتي:</w:t>
      </w:r>
    </w:p>
    <w:p w14:paraId="50B27C35" w14:textId="77777777" w:rsidR="00273BD1" w:rsidRPr="00E1674D" w:rsidRDefault="00273BD1" w:rsidP="00730BE0">
      <w:pPr>
        <w:spacing w:line="240" w:lineRule="auto"/>
        <w:jc w:val="both"/>
        <w:rPr>
          <w:rFonts w:ascii="Sakkal Majalla" w:eastAsia="Times New Roman" w:hAnsi="Sakkal Majalla" w:cs="Sakkal Majalla"/>
          <w:b/>
          <w:bCs/>
          <w:color w:val="0F1115"/>
          <w:sz w:val="28"/>
          <w:szCs w:val="28"/>
        </w:rPr>
      </w:pPr>
      <w:r w:rsidRPr="00E1674D">
        <w:rPr>
          <w:rFonts w:ascii="Sakkal Majalla" w:eastAsia="Times New Roman" w:hAnsi="Sakkal Majalla" w:cs="Sakkal Majalla"/>
          <w:b/>
          <w:bCs/>
          <w:color w:val="0F1115"/>
          <w:sz w:val="28"/>
          <w:szCs w:val="28"/>
          <w:rtl/>
        </w:rPr>
        <w:t>الفرض الرئيس</w:t>
      </w:r>
      <w:r w:rsidRPr="00E1674D">
        <w:rPr>
          <w:rFonts w:ascii="Sakkal Majalla" w:eastAsia="Times New Roman" w:hAnsi="Sakkal Majalla" w:cs="Sakkal Majalla" w:hint="cs"/>
          <w:b/>
          <w:bCs/>
          <w:color w:val="0F1115"/>
          <w:sz w:val="28"/>
          <w:szCs w:val="28"/>
          <w:rtl/>
        </w:rPr>
        <w:t>ي</w:t>
      </w:r>
    </w:p>
    <w:p w14:paraId="6A53E51A" w14:textId="77777777" w:rsidR="00273BD1" w:rsidRPr="00E1674D" w:rsidRDefault="00273BD1" w:rsidP="00730BE0">
      <w:pPr>
        <w:spacing w:line="240" w:lineRule="auto"/>
        <w:jc w:val="both"/>
        <w:rPr>
          <w:rFonts w:ascii="Sakkal Majalla" w:eastAsia="Times New Roman" w:hAnsi="Sakkal Majalla" w:cs="Sakkal Majalla"/>
          <w:b/>
          <w:bCs/>
          <w:color w:val="0F1115"/>
          <w:sz w:val="28"/>
          <w:szCs w:val="28"/>
        </w:rPr>
      </w:pPr>
      <w:r w:rsidRPr="00E1674D">
        <w:rPr>
          <w:rFonts w:ascii="Sakkal Majalla" w:eastAsia="Times New Roman" w:hAnsi="Sakkal Majalla" w:cs="Sakkal Majalla"/>
          <w:b/>
          <w:bCs/>
          <w:color w:val="0F1115"/>
          <w:sz w:val="28"/>
          <w:szCs w:val="28"/>
        </w:rPr>
        <w:t>H</w:t>
      </w:r>
      <w:r w:rsidRPr="00E1674D">
        <w:rPr>
          <w:rFonts w:ascii="Cambria Math" w:eastAsia="Times New Roman" w:hAnsi="Cambria Math" w:cs="Cambria Math"/>
          <w:b/>
          <w:bCs/>
          <w:color w:val="0F1115"/>
          <w:sz w:val="28"/>
          <w:szCs w:val="28"/>
        </w:rPr>
        <w:t>₀</w:t>
      </w:r>
      <w:r w:rsidRPr="00E1674D">
        <w:rPr>
          <w:rFonts w:ascii="Sakkal Majalla" w:eastAsia="Times New Roman" w:hAnsi="Sakkal Majalla" w:cs="Sakkal Majalla"/>
          <w:b/>
          <w:bCs/>
          <w:color w:val="0F1115"/>
          <w:sz w:val="28"/>
          <w:szCs w:val="28"/>
          <w:rtl/>
        </w:rPr>
        <w:t>: لا توجد علاقة ذات دلالة إحصائية بين استراتيجيات إدارة المخاطر واستدامة شركات الطاقة في الشركة السعودية للكهرباء.</w:t>
      </w:r>
    </w:p>
    <w:p w14:paraId="2F890D35" w14:textId="77777777" w:rsidR="00273BD1" w:rsidRPr="00E1674D" w:rsidRDefault="00273BD1" w:rsidP="00730BE0">
      <w:pPr>
        <w:spacing w:line="240" w:lineRule="auto"/>
        <w:jc w:val="both"/>
        <w:rPr>
          <w:rFonts w:ascii="Sakkal Majalla" w:eastAsia="Times New Roman" w:hAnsi="Sakkal Majalla" w:cs="Sakkal Majalla"/>
          <w:b/>
          <w:bCs/>
          <w:color w:val="0F1115"/>
          <w:sz w:val="28"/>
          <w:szCs w:val="28"/>
        </w:rPr>
      </w:pPr>
    </w:p>
    <w:p w14:paraId="37CC8046" w14:textId="77777777" w:rsidR="00273BD1" w:rsidRPr="00E1674D" w:rsidRDefault="00273BD1" w:rsidP="00730BE0">
      <w:pPr>
        <w:spacing w:line="240" w:lineRule="auto"/>
        <w:jc w:val="both"/>
        <w:rPr>
          <w:rFonts w:ascii="Sakkal Majalla" w:eastAsia="Times New Roman" w:hAnsi="Sakkal Majalla" w:cs="Sakkal Majalla"/>
          <w:b/>
          <w:bCs/>
          <w:color w:val="0F1115"/>
          <w:sz w:val="28"/>
          <w:szCs w:val="28"/>
        </w:rPr>
      </w:pPr>
      <w:r w:rsidRPr="00E1674D">
        <w:rPr>
          <w:rFonts w:ascii="Sakkal Majalla" w:eastAsia="Times New Roman" w:hAnsi="Sakkal Majalla" w:cs="Sakkal Majalla"/>
          <w:b/>
          <w:bCs/>
          <w:color w:val="0F1115"/>
          <w:sz w:val="28"/>
          <w:szCs w:val="28"/>
          <w:rtl/>
        </w:rPr>
        <w:t>الفروض الفرعية</w:t>
      </w:r>
    </w:p>
    <w:p w14:paraId="3B61C4FD" w14:textId="77777777" w:rsidR="00273BD1" w:rsidRPr="00E1674D" w:rsidRDefault="00273BD1" w:rsidP="00730BE0">
      <w:pPr>
        <w:spacing w:line="240" w:lineRule="auto"/>
        <w:jc w:val="both"/>
        <w:rPr>
          <w:rFonts w:ascii="Sakkal Majalla" w:eastAsia="Times New Roman" w:hAnsi="Sakkal Majalla" w:cs="Sakkal Majalla"/>
          <w:color w:val="0F1115"/>
          <w:sz w:val="28"/>
          <w:szCs w:val="28"/>
        </w:rPr>
      </w:pPr>
      <w:r w:rsidRPr="00E1674D">
        <w:rPr>
          <w:rFonts w:ascii="Sakkal Majalla" w:eastAsia="Times New Roman" w:hAnsi="Sakkal Majalla" w:cs="Sakkal Majalla"/>
          <w:b/>
          <w:bCs/>
          <w:color w:val="0F1115"/>
          <w:sz w:val="28"/>
          <w:szCs w:val="28"/>
          <w:rtl/>
        </w:rPr>
        <w:t>1</w:t>
      </w:r>
      <w:r w:rsidRPr="00E1674D">
        <w:rPr>
          <w:rFonts w:ascii="Sakkal Majalla" w:eastAsia="Times New Roman" w:hAnsi="Sakkal Majalla" w:cs="Sakkal Majalla"/>
          <w:color w:val="0F1115"/>
          <w:sz w:val="28"/>
          <w:szCs w:val="28"/>
          <w:rtl/>
        </w:rPr>
        <w:t>. لا توجد علاقة ذات دلالة إحصائية بين استراتيجيات إدارة المخاطر والاستدامة الاقتصادية في الشركة السعودية للكهرباء.</w:t>
      </w:r>
    </w:p>
    <w:p w14:paraId="30CEE34C" w14:textId="77777777" w:rsidR="00273BD1" w:rsidRPr="00E1674D" w:rsidRDefault="00273BD1" w:rsidP="00730BE0">
      <w:pPr>
        <w:spacing w:line="240" w:lineRule="auto"/>
        <w:jc w:val="both"/>
        <w:rPr>
          <w:rFonts w:ascii="Sakkal Majalla" w:eastAsia="Times New Roman" w:hAnsi="Sakkal Majalla" w:cs="Sakkal Majalla"/>
          <w:color w:val="0F1115"/>
          <w:sz w:val="28"/>
          <w:szCs w:val="28"/>
        </w:rPr>
      </w:pPr>
      <w:r w:rsidRPr="00E1674D">
        <w:rPr>
          <w:rFonts w:ascii="Sakkal Majalla" w:eastAsia="Times New Roman" w:hAnsi="Sakkal Majalla" w:cs="Sakkal Majalla"/>
          <w:color w:val="0F1115"/>
          <w:sz w:val="28"/>
          <w:szCs w:val="28"/>
          <w:rtl/>
        </w:rPr>
        <w:t>2. لا توجد علاقة ذات دلالة إحصائية بين استراتيجيات إدارة المخاطر والاستدامة التشغيلية في الشركة السعودية للكهرباء.</w:t>
      </w:r>
    </w:p>
    <w:p w14:paraId="0BF295BB" w14:textId="77777777" w:rsidR="00273BD1" w:rsidRPr="00E1674D" w:rsidRDefault="00273BD1" w:rsidP="00730BE0">
      <w:pPr>
        <w:spacing w:line="240" w:lineRule="auto"/>
        <w:jc w:val="both"/>
        <w:rPr>
          <w:rFonts w:ascii="Sakkal Majalla" w:eastAsia="Times New Roman" w:hAnsi="Sakkal Majalla" w:cs="Sakkal Majalla"/>
          <w:color w:val="0F1115"/>
          <w:sz w:val="28"/>
          <w:szCs w:val="28"/>
        </w:rPr>
      </w:pPr>
      <w:r w:rsidRPr="00E1674D">
        <w:rPr>
          <w:rFonts w:ascii="Sakkal Majalla" w:eastAsia="Times New Roman" w:hAnsi="Sakkal Majalla" w:cs="Sakkal Majalla"/>
          <w:color w:val="0F1115"/>
          <w:sz w:val="28"/>
          <w:szCs w:val="28"/>
          <w:rtl/>
        </w:rPr>
        <w:t>3. لا توجد علاقة ذات دلالة إحصائية بين استراتيجيات إدارة المخاطر والاستدامة البيئية في الشركة السعودية للكهرباء.</w:t>
      </w:r>
    </w:p>
    <w:p w14:paraId="7466E678" w14:textId="77777777" w:rsidR="00273BD1" w:rsidRPr="00E1674D" w:rsidRDefault="00273BD1" w:rsidP="00730BE0">
      <w:pPr>
        <w:spacing w:line="240" w:lineRule="auto"/>
        <w:jc w:val="both"/>
        <w:rPr>
          <w:rFonts w:ascii="Sakkal Majalla" w:eastAsia="Times New Roman" w:hAnsi="Sakkal Majalla" w:cs="Sakkal Majalla"/>
          <w:color w:val="0F1115"/>
          <w:sz w:val="28"/>
          <w:szCs w:val="28"/>
        </w:rPr>
      </w:pPr>
      <w:r w:rsidRPr="00E1674D">
        <w:rPr>
          <w:rFonts w:ascii="Sakkal Majalla" w:eastAsia="Times New Roman" w:hAnsi="Sakkal Majalla" w:cs="Sakkal Majalla"/>
          <w:color w:val="0F1115"/>
          <w:sz w:val="28"/>
          <w:szCs w:val="28"/>
          <w:rtl/>
        </w:rPr>
        <w:t>4. لا يوجد أثر ذو دلالة إحصائية لاستراتيجيات إدارة المخاطر على استدامة شركات الطاقة في الشركة السعودية للكهرباء.</w:t>
      </w:r>
    </w:p>
    <w:p w14:paraId="2AA48AFF" w14:textId="77777777" w:rsidR="00273BD1" w:rsidRPr="00E1674D" w:rsidRDefault="00273BD1" w:rsidP="00730BE0">
      <w:pPr>
        <w:spacing w:line="240" w:lineRule="auto"/>
        <w:jc w:val="both"/>
        <w:rPr>
          <w:rFonts w:ascii="Sakkal Majalla" w:eastAsia="Calibri" w:hAnsi="Sakkal Majalla" w:cs="Sakkal Majalla"/>
          <w:sz w:val="32"/>
          <w:szCs w:val="32"/>
          <w:rtl/>
        </w:rPr>
      </w:pPr>
      <w:r w:rsidRPr="00E1674D">
        <w:rPr>
          <w:rFonts w:ascii="Sakkal Majalla" w:eastAsia="Times New Roman" w:hAnsi="Sakkal Majalla" w:cs="Sakkal Majalla"/>
          <w:color w:val="0F1115"/>
          <w:sz w:val="28"/>
          <w:szCs w:val="28"/>
          <w:rtl/>
        </w:rPr>
        <w:t>5. لا تختلف استجابات أفراد عينة الدراسة حول أثر استراتيجيات إدارة المخاطر على استدامة شركات الطاقة باختلاف الخصائص الديموغرافية للمبحوثين (إذا تضمنت الدراسة متغيرات ديموغ</w:t>
      </w:r>
      <w:r w:rsidRPr="00E1674D">
        <w:rPr>
          <w:rFonts w:ascii="Sakkal Majalla" w:eastAsia="Times New Roman" w:hAnsi="Sakkal Majalla" w:cs="Sakkal Majalla" w:hint="cs"/>
          <w:color w:val="0F1115"/>
          <w:sz w:val="28"/>
          <w:szCs w:val="28"/>
          <w:rtl/>
        </w:rPr>
        <w:t>ر</w:t>
      </w:r>
      <w:r w:rsidRPr="00E1674D">
        <w:rPr>
          <w:rFonts w:ascii="Sakkal Majalla" w:eastAsia="Times New Roman" w:hAnsi="Sakkal Majalla" w:cs="Sakkal Majalla"/>
          <w:color w:val="0F1115"/>
          <w:sz w:val="28"/>
          <w:szCs w:val="28"/>
          <w:rtl/>
        </w:rPr>
        <w:t>افية)</w:t>
      </w:r>
    </w:p>
    <w:p w14:paraId="057526CA" w14:textId="77777777" w:rsidR="00273BD1" w:rsidRDefault="00273BD1" w:rsidP="00730BE0">
      <w:pPr>
        <w:jc w:val="both"/>
        <w:rPr>
          <w:rFonts w:ascii="Sakkal Majalla" w:hAnsi="Sakkal Majalla" w:cs="Sakkal Majalla"/>
          <w:sz w:val="28"/>
          <w:szCs w:val="28"/>
          <w:u w:val="single"/>
          <w:rtl/>
        </w:rPr>
      </w:pPr>
    </w:p>
    <w:p w14:paraId="7A5DD82A" w14:textId="77777777" w:rsidR="00273BD1" w:rsidRDefault="00273BD1" w:rsidP="00730BE0">
      <w:pPr>
        <w:jc w:val="both"/>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7D3AB9B7" w14:textId="77777777" w:rsidR="00273BD1" w:rsidRDefault="00273BD1" w:rsidP="00730BE0">
      <w:pPr>
        <w:jc w:val="both"/>
        <w:rPr>
          <w:rFonts w:ascii="Sakkal Majalla" w:hAnsi="Sakkal Majalla" w:cs="Sakkal Majalla"/>
          <w:sz w:val="28"/>
          <w:szCs w:val="28"/>
          <w:u w:val="single"/>
          <w:rtl/>
        </w:rPr>
      </w:pPr>
    </w:p>
    <w:p w14:paraId="50F3A86D" w14:textId="77777777" w:rsidR="00273BD1" w:rsidRPr="00D911E8" w:rsidRDefault="00273BD1" w:rsidP="00730BE0">
      <w:pPr>
        <w:spacing w:line="240" w:lineRule="auto"/>
        <w:jc w:val="both"/>
        <w:rPr>
          <w:rFonts w:ascii="Sakkal Majalla" w:eastAsia="Times New Roman" w:hAnsi="Sakkal Majalla" w:cs="Sakkal Majalla"/>
          <w:b/>
          <w:bCs/>
          <w:color w:val="0F1115"/>
          <w:sz w:val="28"/>
          <w:szCs w:val="28"/>
        </w:rPr>
      </w:pPr>
      <w:r w:rsidRPr="00D911E8">
        <w:rPr>
          <w:rFonts w:ascii="Sakkal Majalla" w:eastAsia="Times New Roman" w:hAnsi="Sakkal Majalla" w:cs="Sakkal Majalla"/>
          <w:b/>
          <w:bCs/>
          <w:color w:val="0F1115"/>
          <w:sz w:val="28"/>
          <w:szCs w:val="28"/>
          <w:rtl/>
        </w:rPr>
        <w:t>أولاً: الإطار النظري للدراسة</w:t>
      </w:r>
    </w:p>
    <w:p w14:paraId="2E913CAF" w14:textId="77777777" w:rsidR="00273BD1" w:rsidRPr="00D911E8" w:rsidRDefault="00273BD1" w:rsidP="00730BE0">
      <w:pPr>
        <w:spacing w:line="240" w:lineRule="auto"/>
        <w:ind w:firstLine="720"/>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lastRenderedPageBreak/>
        <w:t>ترتكز هذه الدراسة على مجموعة من النظريات الإدارية التي تفسر العلاقة بين استراتيجيات إدارة المخاطر واستدامة شركات الطاقة، حيث تنظر إلى إدارة المخاطر بوصفها أحد العناصر الاستراتيجية التي تسهم في تحسين الأداء المؤسسي وتعزيز القدرة على مواجهة التحديات وتحقيق الاستدامة. ويستند الإطار النظري إلى ثلاث نظريات رئيسة، هي: نظرية الموارد، ونظرية أصحاب المصلحة، ونظرية الابتكار التنظيمي.</w:t>
      </w:r>
    </w:p>
    <w:p w14:paraId="14D1CC4F"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p>
    <w:p w14:paraId="4F97B828" w14:textId="77777777" w:rsidR="00273BD1" w:rsidRPr="00D911E8" w:rsidRDefault="00273BD1" w:rsidP="00730BE0">
      <w:pPr>
        <w:spacing w:line="240" w:lineRule="auto"/>
        <w:jc w:val="both"/>
        <w:rPr>
          <w:rFonts w:ascii="Sakkal Majalla" w:eastAsia="Times New Roman" w:hAnsi="Sakkal Majalla" w:cs="Sakkal Majalla"/>
          <w:b/>
          <w:bCs/>
          <w:color w:val="0F1115"/>
          <w:sz w:val="28"/>
          <w:szCs w:val="28"/>
        </w:rPr>
      </w:pPr>
      <w:r w:rsidRPr="00D911E8">
        <w:rPr>
          <w:rFonts w:ascii="Sakkal Majalla" w:eastAsia="Times New Roman" w:hAnsi="Sakkal Majalla" w:cs="Sakkal Majalla"/>
          <w:b/>
          <w:bCs/>
          <w:color w:val="0F1115"/>
          <w:sz w:val="28"/>
          <w:szCs w:val="28"/>
          <w:rtl/>
        </w:rPr>
        <w:t>ثانياً: نظرية الموارد (</w:t>
      </w:r>
      <w:r w:rsidRPr="00D911E8">
        <w:rPr>
          <w:rFonts w:ascii="Sakkal Majalla" w:eastAsia="Times New Roman" w:hAnsi="Sakkal Majalla" w:cs="Sakkal Majalla"/>
          <w:b/>
          <w:bCs/>
          <w:color w:val="0F1115"/>
          <w:sz w:val="28"/>
          <w:szCs w:val="28"/>
        </w:rPr>
        <w:t>Resource-Based View Theory</w:t>
      </w:r>
      <w:r w:rsidRPr="00D911E8">
        <w:rPr>
          <w:rFonts w:ascii="Sakkal Majalla" w:eastAsia="Times New Roman" w:hAnsi="Sakkal Majalla" w:cs="Sakkal Majalla"/>
          <w:b/>
          <w:bCs/>
          <w:color w:val="0F1115"/>
          <w:sz w:val="28"/>
          <w:szCs w:val="28"/>
          <w:rtl/>
        </w:rPr>
        <w:t>)</w:t>
      </w:r>
    </w:p>
    <w:p w14:paraId="0A80BEFC" w14:textId="77777777" w:rsidR="00273BD1" w:rsidRDefault="00273BD1" w:rsidP="00730BE0">
      <w:pPr>
        <w:spacing w:line="240" w:lineRule="auto"/>
        <w:ind w:firstLine="720"/>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تُعد نظرية الموارد من أكثر النظريات استخدامًا في تفسير الميزة التنافسية المستدامة، حيث ترى أن قدرة المؤسسة على تحقيق أداء متميز تعتمد على امتلاكها موارد داخلية ذات قيمة، يصعب تقليدها أو استبدالها.</w:t>
      </w:r>
    </w:p>
    <w:p w14:paraId="082B84F8" w14:textId="77777777" w:rsidR="00273BD1" w:rsidRPr="00D911E8" w:rsidRDefault="00273BD1" w:rsidP="00730BE0">
      <w:pPr>
        <w:spacing w:line="240" w:lineRule="auto"/>
        <w:ind w:firstLine="720"/>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وفي ضوء هذه النظرية، يمكن النظر إلى استراتيجيات إدارة المخاطر باعتبارها موردًا استراتيجيًا يسهم في تحسين جودة القرارات، ورفع كفاءة العمليات، وتقليل الخسائر، وتعزيز قدرة المؤسسة على مواجهة التغيرات. ومن ثم، فإن المؤسسات التي تطبق استراتيجيات فعالة لإدارة المخاطر تكون أكثر قدرة على تحقيق الاستدامة مقارنة بالمؤسسات التي تفتقر إلى تلك الاستراتيجيات.</w:t>
      </w:r>
    </w:p>
    <w:p w14:paraId="0898D326"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p>
    <w:p w14:paraId="69E8FCFE" w14:textId="77777777" w:rsidR="00273BD1" w:rsidRPr="00D911E8" w:rsidRDefault="00273BD1" w:rsidP="00730BE0">
      <w:pPr>
        <w:spacing w:line="240" w:lineRule="auto"/>
        <w:jc w:val="both"/>
        <w:rPr>
          <w:rFonts w:ascii="Sakkal Majalla" w:eastAsia="Times New Roman" w:hAnsi="Sakkal Majalla" w:cs="Sakkal Majalla"/>
          <w:b/>
          <w:bCs/>
          <w:color w:val="0F1115"/>
          <w:sz w:val="28"/>
          <w:szCs w:val="28"/>
        </w:rPr>
      </w:pPr>
      <w:r w:rsidRPr="00D911E8">
        <w:rPr>
          <w:rFonts w:ascii="Sakkal Majalla" w:eastAsia="Times New Roman" w:hAnsi="Sakkal Majalla" w:cs="Sakkal Majalla"/>
          <w:b/>
          <w:bCs/>
          <w:color w:val="0F1115"/>
          <w:sz w:val="28"/>
          <w:szCs w:val="28"/>
          <w:rtl/>
        </w:rPr>
        <w:t>ثالثاً: نظرية أصحاب المصلحة (</w:t>
      </w:r>
      <w:r w:rsidRPr="00D911E8">
        <w:rPr>
          <w:rFonts w:ascii="Sakkal Majalla" w:eastAsia="Times New Roman" w:hAnsi="Sakkal Majalla" w:cs="Sakkal Majalla"/>
          <w:b/>
          <w:bCs/>
          <w:color w:val="0F1115"/>
          <w:sz w:val="28"/>
          <w:szCs w:val="28"/>
        </w:rPr>
        <w:t>Stakeholder Theory</w:t>
      </w:r>
      <w:r w:rsidRPr="00D911E8">
        <w:rPr>
          <w:rFonts w:ascii="Sakkal Majalla" w:eastAsia="Times New Roman" w:hAnsi="Sakkal Majalla" w:cs="Sakkal Majalla"/>
          <w:b/>
          <w:bCs/>
          <w:color w:val="0F1115"/>
          <w:sz w:val="28"/>
          <w:szCs w:val="28"/>
          <w:rtl/>
        </w:rPr>
        <w:t>)</w:t>
      </w:r>
    </w:p>
    <w:p w14:paraId="2A3E9236"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تفترض هذه النظرية أن نجاح المؤسسة لا يقاس بتحقيق الأرباح فقط، وإنما بقدرتها على تحقيق التوازن بين مصالح جميع الأطراف ذات العلاقة، مثل العملاء، والموظفين، والموردين، والجهات التنظيمية، والمجتمع.</w:t>
      </w:r>
    </w:p>
    <w:p w14:paraId="3D7BF7B6"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وفي قطاع الطاقة، تكتسب هذه النظرية أهمية خاصة؛ إذ إن أي قصور في إدارة المخاطر قد ينعكس بصورة مباشرة على جودة الخدمة، واستمرارية الإمداد، وثقة أصحاب المصلحة. ومن هذا المنطلق، فإن تطبيق استراتيجيات إدارة المخاطر يسهم في تعزيز الثقة المؤسسية، وتحسين جودة الخدمات، ودعم استدامة شركات الطاقة.</w:t>
      </w:r>
    </w:p>
    <w:p w14:paraId="57DACFA4"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p>
    <w:p w14:paraId="005CAE35" w14:textId="77777777" w:rsidR="00273BD1" w:rsidRPr="00D911E8" w:rsidRDefault="00273BD1" w:rsidP="00730BE0">
      <w:pPr>
        <w:spacing w:line="240" w:lineRule="auto"/>
        <w:jc w:val="both"/>
        <w:rPr>
          <w:rFonts w:ascii="Sakkal Majalla" w:eastAsia="Times New Roman" w:hAnsi="Sakkal Majalla" w:cs="Sakkal Majalla"/>
          <w:b/>
          <w:bCs/>
          <w:color w:val="0F1115"/>
          <w:sz w:val="28"/>
          <w:szCs w:val="28"/>
        </w:rPr>
      </w:pPr>
      <w:r w:rsidRPr="00D911E8">
        <w:rPr>
          <w:rFonts w:ascii="Sakkal Majalla" w:eastAsia="Times New Roman" w:hAnsi="Sakkal Majalla" w:cs="Sakkal Majalla"/>
          <w:b/>
          <w:bCs/>
          <w:color w:val="0F1115"/>
          <w:sz w:val="28"/>
          <w:szCs w:val="28"/>
          <w:rtl/>
        </w:rPr>
        <w:t>رابعاً: نظرية الابتكار التنظيمي (</w:t>
      </w:r>
      <w:r w:rsidRPr="00D911E8">
        <w:rPr>
          <w:rFonts w:ascii="Sakkal Majalla" w:eastAsia="Times New Roman" w:hAnsi="Sakkal Majalla" w:cs="Sakkal Majalla"/>
          <w:b/>
          <w:bCs/>
          <w:color w:val="0F1115"/>
          <w:sz w:val="28"/>
          <w:szCs w:val="28"/>
        </w:rPr>
        <w:t>Organizational Innovation Theory</w:t>
      </w:r>
      <w:r w:rsidRPr="00D911E8">
        <w:rPr>
          <w:rFonts w:ascii="Sakkal Majalla" w:eastAsia="Times New Roman" w:hAnsi="Sakkal Majalla" w:cs="Sakkal Majalla"/>
          <w:b/>
          <w:bCs/>
          <w:color w:val="0F1115"/>
          <w:sz w:val="28"/>
          <w:szCs w:val="28"/>
          <w:rtl/>
        </w:rPr>
        <w:t>)</w:t>
      </w:r>
    </w:p>
    <w:p w14:paraId="7E93E2BE"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ترى هذه النظرية أن المؤسسات التي تتبنى الابتكار في عملياتها الإدارية والتقنية تكون أكثر قدرة على التكيف مع المتغيرات ومواجهة التحديات.</w:t>
      </w:r>
    </w:p>
    <w:p w14:paraId="0A6E9BC6"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وفي مجال إدارة المخاطر، يتمثل الابتكار في استخدام الأنظمة الذكية، والتحول الرقمي، وتحليل البيانات، وتقنيات التنبؤ بالمخاطر، بما يساعد على تحسين كفاءة العمليات التشغيلية وتقليل احتمالية وقوع الأزمات. ويعد هذا التوجه من العوامل التي تدعم استدامة شركات الطاقة وتعزز قدرتها على تحقيق أهدافها الاستراتيجية.</w:t>
      </w:r>
    </w:p>
    <w:p w14:paraId="505AA94F"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خامساً: النموذج المفاهيمي للدراسة</w:t>
      </w:r>
    </w:p>
    <w:p w14:paraId="411E263F"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استنادًا إلى الأدبيات والدراسات السابقة، تقوم الدراسة على نموذج مفاهيمي يربط بين متغيراتها على النحو الآتي:</w:t>
      </w:r>
    </w:p>
    <w:p w14:paraId="3CAE23F7"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المتغير المستقل: استراتيجيات إدارة المخاطر، وتشمل:</w:t>
      </w:r>
    </w:p>
    <w:p w14:paraId="7FA695D7"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lastRenderedPageBreak/>
        <w:t xml:space="preserve">    </w:t>
      </w:r>
      <w:r>
        <w:rPr>
          <w:rFonts w:ascii="Sakkal Majalla" w:eastAsia="Times New Roman" w:hAnsi="Sakkal Majalla" w:cs="Sakkal Majalla" w:hint="cs"/>
          <w:color w:val="0F1115"/>
          <w:sz w:val="28"/>
          <w:szCs w:val="28"/>
          <w:rtl/>
        </w:rPr>
        <w:t xml:space="preserve">- </w:t>
      </w:r>
      <w:r w:rsidRPr="00D911E8">
        <w:rPr>
          <w:rFonts w:ascii="Sakkal Majalla" w:eastAsia="Times New Roman" w:hAnsi="Sakkal Majalla" w:cs="Sakkal Majalla"/>
          <w:color w:val="0F1115"/>
          <w:sz w:val="28"/>
          <w:szCs w:val="28"/>
          <w:rtl/>
        </w:rPr>
        <w:t xml:space="preserve"> تحديد المخاطر.</w:t>
      </w:r>
    </w:p>
    <w:p w14:paraId="34CF5483"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D911E8">
        <w:rPr>
          <w:rFonts w:ascii="Sakkal Majalla" w:eastAsia="Times New Roman" w:hAnsi="Sakkal Majalla" w:cs="Sakkal Majalla"/>
          <w:color w:val="0F1115"/>
          <w:sz w:val="28"/>
          <w:szCs w:val="28"/>
          <w:rtl/>
        </w:rPr>
        <w:t>تقييم المخاطر.</w:t>
      </w:r>
    </w:p>
    <w:p w14:paraId="10EA05BA"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D911E8">
        <w:rPr>
          <w:rFonts w:ascii="Sakkal Majalla" w:eastAsia="Times New Roman" w:hAnsi="Sakkal Majalla" w:cs="Sakkal Majalla"/>
          <w:color w:val="0F1115"/>
          <w:sz w:val="28"/>
          <w:szCs w:val="28"/>
          <w:rtl/>
        </w:rPr>
        <w:t>الاستجابة للمخاطر.</w:t>
      </w:r>
    </w:p>
    <w:p w14:paraId="7CEA65C4"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tl/>
        </w:rPr>
      </w:pPr>
      <w:r w:rsidRPr="00D911E8">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w:t>
      </w:r>
      <w:r w:rsidRPr="00D911E8">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D911E8">
        <w:rPr>
          <w:rFonts w:ascii="Sakkal Majalla" w:eastAsia="Times New Roman" w:hAnsi="Sakkal Majalla" w:cs="Sakkal Majalla"/>
          <w:color w:val="0F1115"/>
          <w:sz w:val="28"/>
          <w:szCs w:val="28"/>
          <w:rtl/>
        </w:rPr>
        <w:t>مراقبة المخاطر.</w:t>
      </w:r>
    </w:p>
    <w:p w14:paraId="474F0F0E"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p>
    <w:p w14:paraId="3F0179DB"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 xml:space="preserve"> المتغير التابع: استدامة شركات الطاقة، وتشمل:</w:t>
      </w:r>
    </w:p>
    <w:p w14:paraId="36ACA45F"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D911E8">
        <w:rPr>
          <w:rFonts w:ascii="Sakkal Majalla" w:eastAsia="Times New Roman" w:hAnsi="Sakkal Majalla" w:cs="Sakkal Majalla"/>
          <w:color w:val="0F1115"/>
          <w:sz w:val="28"/>
          <w:szCs w:val="28"/>
          <w:rtl/>
        </w:rPr>
        <w:t>الاستدامة الاقتصادية.</w:t>
      </w:r>
    </w:p>
    <w:p w14:paraId="182A93E0"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D911E8">
        <w:rPr>
          <w:rFonts w:ascii="Sakkal Majalla" w:eastAsia="Times New Roman" w:hAnsi="Sakkal Majalla" w:cs="Sakkal Majalla"/>
          <w:color w:val="0F1115"/>
          <w:sz w:val="28"/>
          <w:szCs w:val="28"/>
          <w:rtl/>
        </w:rPr>
        <w:t>الاستدامة التشغيلية.</w:t>
      </w:r>
    </w:p>
    <w:p w14:paraId="3477B72A"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r w:rsidRPr="00D911E8">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D911E8">
        <w:rPr>
          <w:rFonts w:ascii="Sakkal Majalla" w:eastAsia="Times New Roman" w:hAnsi="Sakkal Majalla" w:cs="Sakkal Majalla"/>
          <w:color w:val="0F1115"/>
          <w:sz w:val="28"/>
          <w:szCs w:val="28"/>
          <w:rtl/>
        </w:rPr>
        <w:t>الاستدامة البيئية.</w:t>
      </w:r>
    </w:p>
    <w:p w14:paraId="6FBAA856"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p>
    <w:p w14:paraId="66D8E287" w14:textId="77777777" w:rsidR="00273BD1" w:rsidRPr="00D911E8" w:rsidRDefault="00273BD1" w:rsidP="00730BE0">
      <w:pPr>
        <w:spacing w:line="240" w:lineRule="auto"/>
        <w:ind w:firstLine="720"/>
        <w:jc w:val="both"/>
        <w:rPr>
          <w:rFonts w:ascii="Sakkal Majalla" w:eastAsia="Times New Roman" w:hAnsi="Sakkal Majalla" w:cs="Sakkal Majalla"/>
          <w:color w:val="0F1115"/>
          <w:sz w:val="28"/>
          <w:szCs w:val="28"/>
          <w:rtl/>
        </w:rPr>
      </w:pPr>
      <w:r w:rsidRPr="00D911E8">
        <w:rPr>
          <w:rFonts w:ascii="Sakkal Majalla" w:eastAsia="Times New Roman" w:hAnsi="Sakkal Majalla" w:cs="Sakkal Majalla"/>
          <w:color w:val="0F1115"/>
          <w:sz w:val="28"/>
          <w:szCs w:val="28"/>
          <w:rtl/>
        </w:rPr>
        <w:t>ويفترض النموذج أن تطبيق استراتيجيات إدارة المخاطر بصورة فعالة يؤدي إلى تحسين أبعاد الاستدامة المختلفة داخل الشركة السعودية للكهرباء.</w:t>
      </w:r>
    </w:p>
    <w:p w14:paraId="2977357A" w14:textId="77777777" w:rsidR="00273BD1" w:rsidRPr="00D911E8" w:rsidRDefault="00273BD1" w:rsidP="00730BE0">
      <w:pPr>
        <w:spacing w:line="240" w:lineRule="auto"/>
        <w:jc w:val="both"/>
        <w:rPr>
          <w:rFonts w:ascii="Sakkal Majalla" w:eastAsia="Times New Roman" w:hAnsi="Sakkal Majalla" w:cs="Sakkal Majalla"/>
          <w:b/>
          <w:bCs/>
          <w:color w:val="0F1115"/>
          <w:sz w:val="28"/>
          <w:szCs w:val="28"/>
        </w:rPr>
      </w:pPr>
    </w:p>
    <w:p w14:paraId="5D4B5A64" w14:textId="77777777" w:rsidR="00273BD1" w:rsidRDefault="00273BD1" w:rsidP="00730BE0">
      <w:pPr>
        <w:spacing w:line="240" w:lineRule="auto"/>
        <w:jc w:val="both"/>
        <w:rPr>
          <w:rFonts w:ascii="Sakkal Majalla" w:eastAsia="Times New Roman" w:hAnsi="Sakkal Majalla" w:cs="Sakkal Majalla"/>
          <w:color w:val="0F1115"/>
          <w:sz w:val="28"/>
          <w:szCs w:val="28"/>
          <w:rtl/>
        </w:rPr>
      </w:pPr>
      <w:r w:rsidRPr="00D911E8">
        <w:rPr>
          <w:rFonts w:ascii="Sakkal Majalla" w:eastAsia="Times New Roman" w:hAnsi="Sakkal Majalla" w:cs="Sakkal Majalla"/>
          <w:color w:val="0F1115"/>
          <w:sz w:val="28"/>
          <w:szCs w:val="28"/>
          <w:rtl/>
        </w:rPr>
        <w:t>سادساً: علاقة المنطلقات النظرية بالدراسة</w:t>
      </w:r>
      <w:r>
        <w:rPr>
          <w:rFonts w:ascii="Sakkal Majalla" w:eastAsia="Times New Roman" w:hAnsi="Sakkal Majalla" w:cs="Sakkal Majalla" w:hint="cs"/>
          <w:color w:val="0F1115"/>
          <w:sz w:val="28"/>
          <w:szCs w:val="28"/>
          <w:rtl/>
        </w:rPr>
        <w:t>:</w:t>
      </w:r>
    </w:p>
    <w:p w14:paraId="2ED79CB3" w14:textId="77777777" w:rsidR="00273BD1" w:rsidRPr="00D911E8" w:rsidRDefault="00273BD1" w:rsidP="00730BE0">
      <w:pPr>
        <w:spacing w:line="240" w:lineRule="auto"/>
        <w:jc w:val="both"/>
        <w:rPr>
          <w:rFonts w:ascii="Sakkal Majalla" w:eastAsia="Times New Roman" w:hAnsi="Sakkal Majalla" w:cs="Sakkal Majalla"/>
          <w:color w:val="0F1115"/>
          <w:sz w:val="28"/>
          <w:szCs w:val="28"/>
        </w:rPr>
      </w:pPr>
    </w:p>
    <w:p w14:paraId="20A347DC" w14:textId="77777777" w:rsidR="00273BD1" w:rsidRPr="00D911E8" w:rsidRDefault="00273BD1" w:rsidP="00730BE0">
      <w:pPr>
        <w:spacing w:line="240" w:lineRule="auto"/>
        <w:ind w:firstLine="720"/>
        <w:jc w:val="both"/>
        <w:rPr>
          <w:rFonts w:ascii="Sakkal Majalla" w:eastAsia="Calibri" w:hAnsi="Sakkal Majalla" w:cs="Sakkal Majalla"/>
          <w:sz w:val="32"/>
          <w:szCs w:val="32"/>
          <w:rtl/>
        </w:rPr>
      </w:pPr>
      <w:r w:rsidRPr="00D911E8">
        <w:rPr>
          <w:rFonts w:ascii="Sakkal Majalla" w:eastAsia="Times New Roman" w:hAnsi="Sakkal Majalla" w:cs="Sakkal Majalla"/>
          <w:color w:val="0F1115"/>
          <w:sz w:val="28"/>
          <w:szCs w:val="28"/>
          <w:rtl/>
        </w:rPr>
        <w:t>تُسهم المنطلقات النظرية في تفسير العلاقة بين متغيرات الدراسة، وتوفر أساسًا علميًا لبناء الفرضيات وتفسير النتائج. كما تساعد في ربط الجانب النظري بالتطبيق العملي في قطاع الطاقة، بما يعزز القيمة العلمية للدراسة، ويدعم إمكانية الاستفادة من نتائجها في تطوير ممارسات إدارة المخاطر وتحقيق استدامة شركات الطاقة</w:t>
      </w:r>
      <w:r w:rsidRPr="00D911E8">
        <w:rPr>
          <w:rFonts w:ascii="Sakkal Majalla" w:eastAsia="Calibri" w:hAnsi="Sakkal Majalla" w:cs="Sakkal Majalla" w:hint="cs"/>
          <w:sz w:val="32"/>
          <w:szCs w:val="32"/>
          <w:rtl/>
        </w:rPr>
        <w:t>.</w:t>
      </w:r>
    </w:p>
    <w:p w14:paraId="33088BAE" w14:textId="77777777" w:rsidR="00273BD1" w:rsidRDefault="00273BD1" w:rsidP="00730BE0">
      <w:pPr>
        <w:rPr>
          <w:rFonts w:ascii="Sakkal Majalla" w:hAnsi="Sakkal Majalla" w:cs="Sakkal Majalla"/>
          <w:sz w:val="28"/>
          <w:szCs w:val="28"/>
          <w:u w:val="single"/>
          <w:rtl/>
        </w:rPr>
      </w:pPr>
    </w:p>
    <w:p w14:paraId="69E353FF" w14:textId="77777777" w:rsidR="00273BD1" w:rsidRDefault="00273BD1" w:rsidP="00730BE0">
      <w:pPr>
        <w:rPr>
          <w:rFonts w:ascii="Sakkal Majalla" w:hAnsi="Sakkal Majalla" w:cs="Sakkal Majalla"/>
          <w:sz w:val="28"/>
          <w:szCs w:val="28"/>
          <w:u w:val="single"/>
          <w:rtl/>
        </w:rPr>
      </w:pPr>
    </w:p>
    <w:p w14:paraId="511A49E8" w14:textId="77777777" w:rsidR="00273BD1" w:rsidRDefault="00273BD1" w:rsidP="00730BE0">
      <w:pPr>
        <w:rPr>
          <w:rFonts w:ascii="Sakkal Majalla" w:hAnsi="Sakkal Majalla" w:cs="Sakkal Majalla"/>
          <w:sz w:val="28"/>
          <w:szCs w:val="28"/>
          <w:u w:val="single"/>
          <w:rtl/>
        </w:rPr>
      </w:pPr>
    </w:p>
    <w:p w14:paraId="7892352D" w14:textId="77777777" w:rsidR="00273BD1" w:rsidRDefault="00273BD1" w:rsidP="00730BE0">
      <w:pPr>
        <w:rPr>
          <w:rFonts w:ascii="Sakkal Majalla" w:hAnsi="Sakkal Majalla" w:cs="Sakkal Majalla"/>
          <w:sz w:val="28"/>
          <w:szCs w:val="28"/>
          <w:u w:val="single"/>
          <w:rtl/>
        </w:rPr>
      </w:pPr>
    </w:p>
    <w:p w14:paraId="1C0EEEC5" w14:textId="77777777" w:rsidR="00273BD1" w:rsidRDefault="00273BD1" w:rsidP="00730BE0">
      <w:pPr>
        <w:rPr>
          <w:rFonts w:ascii="Sakkal Majalla" w:hAnsi="Sakkal Majalla" w:cs="Sakkal Majalla"/>
          <w:sz w:val="28"/>
          <w:szCs w:val="28"/>
          <w:u w:val="single"/>
          <w:rtl/>
        </w:rPr>
      </w:pPr>
    </w:p>
    <w:p w14:paraId="03EAB2F1" w14:textId="77777777" w:rsidR="00273BD1" w:rsidRDefault="00273BD1" w:rsidP="00730BE0">
      <w:pPr>
        <w:rPr>
          <w:rFonts w:ascii="Sakkal Majalla" w:hAnsi="Sakkal Majalla" w:cs="Sakkal Majalla"/>
          <w:sz w:val="28"/>
          <w:szCs w:val="28"/>
          <w:u w:val="single"/>
          <w:rtl/>
        </w:rPr>
      </w:pPr>
    </w:p>
    <w:p w14:paraId="5DDF83F1" w14:textId="77777777" w:rsidR="00273BD1" w:rsidRDefault="00273BD1" w:rsidP="00730BE0">
      <w:pPr>
        <w:rPr>
          <w:rFonts w:ascii="Sakkal Majalla" w:hAnsi="Sakkal Majalla" w:cs="Sakkal Majalla"/>
          <w:sz w:val="28"/>
          <w:szCs w:val="28"/>
          <w:u w:val="single"/>
          <w:rtl/>
        </w:rPr>
      </w:pPr>
    </w:p>
    <w:p w14:paraId="62D59DD3" w14:textId="77777777" w:rsidR="00273BD1" w:rsidRDefault="00273BD1" w:rsidP="00730BE0">
      <w:pPr>
        <w:rPr>
          <w:rFonts w:ascii="Sakkal Majalla" w:hAnsi="Sakkal Majalla" w:cs="Sakkal Majalla"/>
          <w:sz w:val="28"/>
          <w:szCs w:val="28"/>
          <w:u w:val="single"/>
          <w:rtl/>
        </w:rPr>
      </w:pPr>
    </w:p>
    <w:p w14:paraId="3814895C" w14:textId="77777777" w:rsidR="00273BD1" w:rsidRDefault="00273BD1" w:rsidP="00730BE0">
      <w:pPr>
        <w:rPr>
          <w:rFonts w:ascii="Sakkal Majalla" w:hAnsi="Sakkal Majalla" w:cs="Sakkal Majalla"/>
          <w:sz w:val="28"/>
          <w:szCs w:val="28"/>
          <w:u w:val="single"/>
          <w:rtl/>
        </w:rPr>
      </w:pPr>
    </w:p>
    <w:p w14:paraId="06E662DF" w14:textId="77777777" w:rsidR="00273BD1" w:rsidRDefault="00273BD1" w:rsidP="00730BE0">
      <w:pPr>
        <w:rPr>
          <w:rFonts w:ascii="Sakkal Majalla" w:hAnsi="Sakkal Majalla" w:cs="Sakkal Majalla"/>
          <w:sz w:val="28"/>
          <w:szCs w:val="28"/>
          <w:u w:val="single"/>
          <w:rtl/>
        </w:rPr>
      </w:pPr>
    </w:p>
    <w:p w14:paraId="4F6BAD53" w14:textId="77777777" w:rsidR="00273BD1" w:rsidRDefault="00273BD1" w:rsidP="00730BE0">
      <w:pPr>
        <w:rPr>
          <w:rFonts w:ascii="Sakkal Majalla" w:hAnsi="Sakkal Majalla" w:cs="Sakkal Majalla"/>
          <w:sz w:val="28"/>
          <w:szCs w:val="28"/>
          <w:u w:val="single"/>
        </w:rPr>
      </w:pPr>
    </w:p>
    <w:p w14:paraId="70E51859" w14:textId="77777777" w:rsidR="00273BD1" w:rsidRDefault="00273BD1" w:rsidP="00730BE0">
      <w:pPr>
        <w:jc w:val="center"/>
        <w:rPr>
          <w:rFonts w:ascii="Sakkal Majalla" w:hAnsi="Sakkal Majalla" w:cs="Sakkal Majalla"/>
          <w:b/>
          <w:bCs/>
          <w:sz w:val="48"/>
          <w:szCs w:val="48"/>
          <w:u w:val="single"/>
          <w:rtl/>
        </w:rPr>
      </w:pPr>
    </w:p>
    <w:p w14:paraId="1FE40E50" w14:textId="77777777" w:rsidR="00273BD1" w:rsidRDefault="00273BD1" w:rsidP="00730BE0">
      <w:pPr>
        <w:jc w:val="center"/>
        <w:rPr>
          <w:rFonts w:ascii="Sakkal Majalla" w:hAnsi="Sakkal Majalla" w:cs="Sakkal Majalla"/>
          <w:b/>
          <w:bCs/>
          <w:sz w:val="48"/>
          <w:szCs w:val="48"/>
          <w:u w:val="single"/>
          <w:rtl/>
        </w:rPr>
      </w:pPr>
    </w:p>
    <w:p w14:paraId="0B05CFD5" w14:textId="77777777" w:rsidR="00273BD1" w:rsidRDefault="00273BD1" w:rsidP="00730BE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7902DDC4" w14:textId="77777777" w:rsidR="00273BD1" w:rsidRPr="009125CE" w:rsidRDefault="00273BD1" w:rsidP="00730BE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7E029BAA" w14:textId="77777777" w:rsidR="00273BD1" w:rsidRDefault="00273BD1" w:rsidP="00730BE0">
      <w:pPr>
        <w:rPr>
          <w:rFonts w:ascii="Sakkal Majalla" w:hAnsi="Sakkal Majalla" w:cs="Sakkal Majalla"/>
          <w:sz w:val="28"/>
          <w:szCs w:val="28"/>
          <w:u w:val="single"/>
          <w:rtl/>
        </w:rPr>
      </w:pPr>
    </w:p>
    <w:p w14:paraId="451AC583" w14:textId="77777777" w:rsidR="00273BD1" w:rsidRDefault="00273BD1" w:rsidP="00730BE0">
      <w:pPr>
        <w:rPr>
          <w:rFonts w:ascii="Sakkal Majalla" w:hAnsi="Sakkal Majalla" w:cs="Sakkal Majalla"/>
          <w:sz w:val="28"/>
          <w:szCs w:val="28"/>
          <w:u w:val="single"/>
          <w:rtl/>
        </w:rPr>
      </w:pPr>
    </w:p>
    <w:p w14:paraId="2F181D10" w14:textId="77777777" w:rsidR="00273BD1" w:rsidRDefault="00273BD1" w:rsidP="00730BE0">
      <w:pPr>
        <w:rPr>
          <w:rFonts w:ascii="Sakkal Majalla" w:hAnsi="Sakkal Majalla" w:cs="Sakkal Majalla"/>
          <w:sz w:val="28"/>
          <w:szCs w:val="28"/>
          <w:u w:val="single"/>
          <w:rtl/>
        </w:rPr>
      </w:pPr>
    </w:p>
    <w:p w14:paraId="4B1FCCEC" w14:textId="77777777" w:rsidR="00273BD1" w:rsidRDefault="00273BD1" w:rsidP="00730BE0">
      <w:pPr>
        <w:rPr>
          <w:rFonts w:ascii="Sakkal Majalla" w:hAnsi="Sakkal Majalla" w:cs="Sakkal Majalla"/>
          <w:sz w:val="28"/>
          <w:szCs w:val="28"/>
          <w:u w:val="single"/>
          <w:rtl/>
        </w:rPr>
      </w:pPr>
    </w:p>
    <w:p w14:paraId="1E0558F8" w14:textId="77777777" w:rsidR="00273BD1" w:rsidRDefault="00273BD1" w:rsidP="00730BE0">
      <w:pPr>
        <w:rPr>
          <w:rFonts w:ascii="Sakkal Majalla" w:hAnsi="Sakkal Majalla" w:cs="Sakkal Majalla"/>
          <w:sz w:val="28"/>
          <w:szCs w:val="28"/>
          <w:u w:val="single"/>
          <w:rtl/>
        </w:rPr>
      </w:pPr>
    </w:p>
    <w:p w14:paraId="4E32F6C3" w14:textId="77777777" w:rsidR="00273BD1" w:rsidRDefault="00273BD1" w:rsidP="00730BE0">
      <w:pPr>
        <w:rPr>
          <w:rFonts w:ascii="Sakkal Majalla" w:hAnsi="Sakkal Majalla" w:cs="Sakkal Majalla"/>
          <w:sz w:val="28"/>
          <w:szCs w:val="28"/>
          <w:u w:val="single"/>
          <w:rtl/>
        </w:rPr>
      </w:pPr>
    </w:p>
    <w:p w14:paraId="14317A6C" w14:textId="77777777" w:rsidR="00273BD1" w:rsidRDefault="00273BD1" w:rsidP="00730BE0">
      <w:pPr>
        <w:rPr>
          <w:rFonts w:ascii="Sakkal Majalla" w:hAnsi="Sakkal Majalla" w:cs="Sakkal Majalla"/>
          <w:sz w:val="28"/>
          <w:szCs w:val="28"/>
          <w:u w:val="single"/>
          <w:rtl/>
        </w:rPr>
      </w:pPr>
    </w:p>
    <w:p w14:paraId="49324412" w14:textId="77777777" w:rsidR="00273BD1" w:rsidRDefault="00273BD1" w:rsidP="00730BE0">
      <w:pPr>
        <w:rPr>
          <w:rFonts w:ascii="Sakkal Majalla" w:hAnsi="Sakkal Majalla" w:cs="Sakkal Majalla"/>
          <w:sz w:val="28"/>
          <w:szCs w:val="28"/>
          <w:u w:val="single"/>
          <w:rtl/>
        </w:rPr>
      </w:pPr>
    </w:p>
    <w:p w14:paraId="286A4147" w14:textId="77777777" w:rsidR="00273BD1" w:rsidRDefault="00273BD1" w:rsidP="00730BE0">
      <w:pPr>
        <w:rPr>
          <w:rFonts w:ascii="Sakkal Majalla" w:hAnsi="Sakkal Majalla" w:cs="Sakkal Majalla"/>
          <w:sz w:val="28"/>
          <w:szCs w:val="28"/>
          <w:u w:val="single"/>
          <w:rtl/>
        </w:rPr>
      </w:pPr>
    </w:p>
    <w:p w14:paraId="0F57195D" w14:textId="77777777" w:rsidR="00273BD1" w:rsidRDefault="00273BD1" w:rsidP="00730BE0">
      <w:pPr>
        <w:rPr>
          <w:rFonts w:ascii="Sakkal Majalla" w:hAnsi="Sakkal Majalla" w:cs="Sakkal Majalla"/>
          <w:sz w:val="28"/>
          <w:szCs w:val="28"/>
          <w:u w:val="single"/>
          <w:rtl/>
        </w:rPr>
      </w:pPr>
    </w:p>
    <w:p w14:paraId="1B74ACB9" w14:textId="77777777" w:rsidR="00273BD1" w:rsidRDefault="00273BD1" w:rsidP="00730BE0">
      <w:pPr>
        <w:rPr>
          <w:rFonts w:ascii="Sakkal Majalla" w:hAnsi="Sakkal Majalla" w:cs="Sakkal Majalla"/>
          <w:sz w:val="28"/>
          <w:szCs w:val="28"/>
          <w:u w:val="single"/>
          <w:rtl/>
        </w:rPr>
      </w:pPr>
    </w:p>
    <w:p w14:paraId="661307ED" w14:textId="77777777" w:rsidR="00273BD1" w:rsidRDefault="00273BD1" w:rsidP="00730BE0">
      <w:pPr>
        <w:rPr>
          <w:rFonts w:ascii="Sakkal Majalla" w:hAnsi="Sakkal Majalla" w:cs="Sakkal Majalla"/>
          <w:sz w:val="28"/>
          <w:szCs w:val="28"/>
          <w:u w:val="single"/>
          <w:rtl/>
        </w:rPr>
      </w:pPr>
    </w:p>
    <w:p w14:paraId="0323FD52" w14:textId="77777777" w:rsidR="00273BD1" w:rsidRDefault="00273BD1" w:rsidP="00730BE0">
      <w:pPr>
        <w:rPr>
          <w:rFonts w:ascii="Sakkal Majalla" w:hAnsi="Sakkal Majalla" w:cs="Sakkal Majalla"/>
          <w:sz w:val="28"/>
          <w:szCs w:val="28"/>
          <w:u w:val="single"/>
          <w:rtl/>
        </w:rPr>
      </w:pPr>
    </w:p>
    <w:p w14:paraId="16B9EDB0" w14:textId="77777777" w:rsidR="00273BD1" w:rsidRDefault="00273BD1" w:rsidP="00730BE0">
      <w:pPr>
        <w:rPr>
          <w:rFonts w:ascii="Sakkal Majalla" w:hAnsi="Sakkal Majalla" w:cs="Sakkal Majalla"/>
          <w:sz w:val="28"/>
          <w:szCs w:val="28"/>
          <w:u w:val="single"/>
          <w:rtl/>
        </w:rPr>
      </w:pPr>
    </w:p>
    <w:p w14:paraId="75E02392" w14:textId="77777777" w:rsidR="00273BD1" w:rsidRDefault="00273BD1" w:rsidP="00730BE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32C19672" w14:textId="77777777" w:rsidR="00273BD1" w:rsidRPr="008E0D54" w:rsidRDefault="00273BD1" w:rsidP="00730BE0">
      <w:pPr>
        <w:spacing w:before="100" w:beforeAutospacing="1" w:after="100" w:afterAutospacing="1" w:line="240" w:lineRule="auto"/>
        <w:ind w:firstLine="720"/>
        <w:jc w:val="both"/>
        <w:rPr>
          <w:rFonts w:ascii="Sakkal Majalla" w:eastAsia="Times New Roman" w:hAnsi="Sakkal Majalla" w:cs="Sakkal Majalla"/>
          <w:color w:val="0F1115"/>
          <w:sz w:val="28"/>
          <w:szCs w:val="28"/>
        </w:rPr>
      </w:pPr>
      <w:r w:rsidRPr="008E0D54">
        <w:rPr>
          <w:rFonts w:ascii="Sakkal Majalla" w:eastAsia="Times New Roman" w:hAnsi="Sakkal Majalla" w:cs="Sakkal Majalla"/>
          <w:color w:val="0F1115"/>
          <w:sz w:val="28"/>
          <w:szCs w:val="28"/>
          <w:rtl/>
        </w:rPr>
        <w:t>يمثل الإطار النظري والدراسات السابقة الأساس العلمي الذي تستند إليه الدراسة في تحديد مفاهيمها ومتغيراتها، وبناء فروضها، واختيار النموذج الملائم لتفسير العلاقة بين استراتيجيات إدارة المخاطر واستدامة شركات الطاقة. وتنبع أهمية هذا الفصل من كونه يوفر عرضًا منظمًا للمعرفة العلمية المتعلقة بموضوع الدراسة، ويوضح التطور الذي شهدته إدارة المخاطر من مفهوم يركز على تجنب الخسائر إلى مدخل استراتيجي متكامل يرتبط بالحوكمة والتخطيط وصنع القرارات واستمرارية الأعمال.</w:t>
      </w:r>
    </w:p>
    <w:p w14:paraId="47B55760" w14:textId="77777777" w:rsidR="00273BD1" w:rsidRPr="008E0D54" w:rsidRDefault="00273BD1" w:rsidP="00730BE0">
      <w:pPr>
        <w:spacing w:before="100" w:beforeAutospacing="1" w:after="100" w:afterAutospacing="1" w:line="240" w:lineRule="auto"/>
        <w:ind w:firstLine="720"/>
        <w:jc w:val="both"/>
        <w:rPr>
          <w:rFonts w:ascii="Sakkal Majalla" w:eastAsia="Times New Roman" w:hAnsi="Sakkal Majalla" w:cs="Sakkal Majalla"/>
          <w:color w:val="0F1115"/>
          <w:sz w:val="28"/>
          <w:szCs w:val="28"/>
          <w:rtl/>
        </w:rPr>
      </w:pPr>
      <w:r w:rsidRPr="008E0D54">
        <w:rPr>
          <w:rFonts w:ascii="Sakkal Majalla" w:eastAsia="Times New Roman" w:hAnsi="Sakkal Majalla" w:cs="Sakkal Majalla"/>
          <w:color w:val="0F1115"/>
          <w:sz w:val="28"/>
          <w:szCs w:val="28"/>
          <w:rtl/>
        </w:rPr>
        <w:t>ويتناول الفصل الدراسات السابقة التي بحثت إدارة المخاطر المؤسسية والاستدامة والأداء المؤسسي، مع بيان أهداف كل دراسة ومنهجها وأبرز نتائجها ومدى استفادة الدراسة الحالية منها. وقد جرى ترتيب هذه الدراسات زمنيًا من الأقدم إلى الأحدث؛ بهدف تتبع تطور الاهتمام العلمي بالعلاقة بين إدارة المخاطر والاستدامة، والتعرف على الاتجاهات المنهجية والموضوعية التي تناولتها الأدبيات السابقة، خاصة ما يتعلق بدور تحديد المخاطر وتقييمها والاستجابة لها ومراقبتها في دعم الأداء الاقتصادي والتشغيلي والبيئي للمؤسسات.</w:t>
      </w:r>
    </w:p>
    <w:p w14:paraId="12E5CE0D" w14:textId="77777777" w:rsidR="00273BD1" w:rsidRPr="008E0D54" w:rsidRDefault="00273BD1" w:rsidP="00730BE0">
      <w:pPr>
        <w:spacing w:before="100" w:beforeAutospacing="1" w:after="100" w:afterAutospacing="1" w:line="240" w:lineRule="auto"/>
        <w:ind w:firstLine="720"/>
        <w:jc w:val="both"/>
        <w:rPr>
          <w:rFonts w:ascii="Sakkal Majalla" w:eastAsia="Times New Roman" w:hAnsi="Sakkal Majalla" w:cs="Sakkal Majalla"/>
          <w:color w:val="0F1115"/>
          <w:sz w:val="28"/>
          <w:szCs w:val="28"/>
          <w:rtl/>
        </w:rPr>
      </w:pPr>
      <w:r w:rsidRPr="008E0D54">
        <w:rPr>
          <w:rFonts w:ascii="Sakkal Majalla" w:eastAsia="Times New Roman" w:hAnsi="Sakkal Majalla" w:cs="Sakkal Majalla"/>
          <w:color w:val="0F1115"/>
          <w:sz w:val="28"/>
          <w:szCs w:val="28"/>
          <w:rtl/>
        </w:rPr>
        <w:t>كما يتضمن الفصل تحليلًا مقارنًا للدراسات السابقة؛ للكشف عن أوجه الاتفاق والاختلاف بينها من حيث الأهداف والمتغيرات والقطاعات ومجتمعات الدراسة والمناهج وأساليب التحليل المستخدمة. ويساعد هذا التحليل على تحديد الجوانب التي تناولتها الأدبيات بصورة كافية، والجوانب التي ما تزال بحاجة إلى مزيد من البحث، وصولًا إلى تحديد الفجوة البحثية التي تتمثل في محدودية الدراسات التطبيقية التي جمعت بين أبعاد استراتيجيات إدارة المخاطر وأبعاد استدامة شركات الطاقة في البيئة السعودية، وبصفة خاصة في الشركة السعودية للكهرباء.</w:t>
      </w:r>
    </w:p>
    <w:p w14:paraId="151E89D7" w14:textId="77777777" w:rsidR="00273BD1" w:rsidRPr="008E0D54" w:rsidRDefault="00273BD1" w:rsidP="00730BE0">
      <w:pPr>
        <w:spacing w:before="100" w:beforeAutospacing="1" w:after="100" w:afterAutospacing="1" w:line="240" w:lineRule="auto"/>
        <w:ind w:firstLine="720"/>
        <w:jc w:val="both"/>
        <w:rPr>
          <w:rFonts w:ascii="Sakkal Majalla" w:eastAsia="Times New Roman" w:hAnsi="Sakkal Majalla" w:cs="Sakkal Majalla"/>
          <w:color w:val="0F1115"/>
          <w:sz w:val="28"/>
          <w:szCs w:val="28"/>
          <w:rtl/>
        </w:rPr>
      </w:pPr>
      <w:r w:rsidRPr="008E0D54">
        <w:rPr>
          <w:rFonts w:ascii="Sakkal Majalla" w:eastAsia="Times New Roman" w:hAnsi="Sakkal Majalla" w:cs="Sakkal Majalla"/>
          <w:color w:val="0F1115"/>
          <w:sz w:val="28"/>
          <w:szCs w:val="28"/>
          <w:rtl/>
        </w:rPr>
        <w:t>ويعرض الفصل كذلك الأسس النظرية التي يمكن من خلالها تفسير العلاقة بين متغيرات الدراسة، وذلك بالاعتماد على نظرية الموارد، ونظرية أصحاب المصلحة، ونظرية الابتكار التنظيمي. وتساعد نظرية الموارد على تفسير إدارة المخاطر بوصفها قدرة تنظيمية استراتيجية يمكن أن تدعم كفاءة استخدام الموارد وتحقيق الميزة التنافسية المستدامة، بينما توضح نظرية أصحاب المصلحة أهمية إدارة المخاطر في المحافظة على مصالح العملاء والموظفين والمستثمرين والجهات التنظيمية والمجتمع. أما نظرية الابتكار التنظيمي، فتفسر دور الأنظمة الرقمية وتحليل البيانات والتقنيات الحديثة في تحسين اكتشاف المخاطر وتقييمها والاستجابة لها ومتابعتها.</w:t>
      </w:r>
    </w:p>
    <w:p w14:paraId="4F9AAAA9" w14:textId="77777777" w:rsidR="00273BD1" w:rsidRPr="008E0D54" w:rsidRDefault="00273BD1" w:rsidP="00730BE0">
      <w:pPr>
        <w:spacing w:before="100" w:beforeAutospacing="1" w:after="100" w:afterAutospacing="1" w:line="240" w:lineRule="auto"/>
        <w:ind w:firstLine="720"/>
        <w:jc w:val="both"/>
        <w:rPr>
          <w:rFonts w:ascii="Sakkal Majalla" w:eastAsia="Times New Roman" w:hAnsi="Sakkal Majalla" w:cs="Sakkal Majalla"/>
          <w:color w:val="0F1115"/>
          <w:sz w:val="28"/>
          <w:szCs w:val="28"/>
          <w:rtl/>
        </w:rPr>
      </w:pPr>
      <w:r w:rsidRPr="008E0D54">
        <w:rPr>
          <w:rFonts w:ascii="Sakkal Majalla" w:eastAsia="Times New Roman" w:hAnsi="Sakkal Majalla" w:cs="Sakkal Majalla"/>
          <w:color w:val="0F1115"/>
          <w:sz w:val="28"/>
          <w:szCs w:val="28"/>
          <w:rtl/>
        </w:rPr>
        <w:t>وينتهي الفصل بعرض النموذج المفاهيمي للدراسة، الذي يوضح العلاقة المفترضة بين المتغير المستقل المتمثل في استراتيجيات إدارة المخاطر بأبعادها الأربعة: تحديد المخاطر، وتقييم المخاطر، والاستجابة للمخاطر، ومراقبة المخاطر، والمتغير التابع المتمثل في استدامة شركات الطاقة بأبعادها الاقتصادية والتشغيلية والبيئية. وبذلك يوفر الفصل أساسًا علميًا متكاملًا يساعد على بناء فروض الدراسة، وتفسير نتائجها الإحصائية، وربطها بما توصلت إليه الأدبيات والدراسات السابقة.</w:t>
      </w:r>
    </w:p>
    <w:p w14:paraId="7B920004" w14:textId="77777777" w:rsidR="00273BD1" w:rsidRDefault="00273BD1" w:rsidP="00730BE0">
      <w:pPr>
        <w:rPr>
          <w:rFonts w:ascii="Sakkal Majalla" w:hAnsi="Sakkal Majalla" w:cs="Sakkal Majalla"/>
          <w:sz w:val="28"/>
          <w:szCs w:val="28"/>
          <w:u w:val="single"/>
          <w:rtl/>
        </w:rPr>
      </w:pPr>
    </w:p>
    <w:p w14:paraId="2B178580" w14:textId="77777777" w:rsidR="00273BD1" w:rsidRDefault="00273BD1" w:rsidP="00730BE0">
      <w:pPr>
        <w:rPr>
          <w:rFonts w:ascii="Sakkal Majalla" w:hAnsi="Sakkal Majalla" w:cs="Sakkal Majalla"/>
          <w:sz w:val="28"/>
          <w:szCs w:val="28"/>
          <w:u w:val="single"/>
          <w:rtl/>
        </w:rPr>
      </w:pPr>
    </w:p>
    <w:p w14:paraId="4069567E" w14:textId="77777777" w:rsidR="00273BD1" w:rsidRDefault="00273BD1" w:rsidP="00730BE0">
      <w:pPr>
        <w:rPr>
          <w:rFonts w:ascii="Sakkal Majalla" w:hAnsi="Sakkal Majalla" w:cs="Sakkal Majalla"/>
          <w:sz w:val="28"/>
          <w:szCs w:val="28"/>
          <w:u w:val="single"/>
          <w:rtl/>
        </w:rPr>
      </w:pPr>
    </w:p>
    <w:p w14:paraId="2427F532" w14:textId="77777777" w:rsidR="00273BD1" w:rsidRDefault="00273BD1" w:rsidP="00730BE0">
      <w:pPr>
        <w:jc w:val="both"/>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2BF63557"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0470BB">
        <w:rPr>
          <w:rFonts w:ascii="Sakkal Majalla" w:eastAsia="Times New Roman" w:hAnsi="Sakkal Majalla" w:cs="Sakkal Majalla"/>
          <w:color w:val="0F1115"/>
          <w:sz w:val="28"/>
          <w:szCs w:val="28"/>
          <w:rtl/>
        </w:rPr>
        <w:t>تناولت العديد من الدراسات العلاقة بين إدارة المخاطر والاستدامة والأداء المؤسسي، إلا أنها اختلفت في أهدافها ومنهجياتها والقطاعات التي تناولتها. وفيما يلي عرض لأبرز الدراسات ذات الصلة بموضوع البحث، مرتبة ترتيبًا زمنيًا من الأقدم إلى الأحدث.</w:t>
      </w:r>
    </w:p>
    <w:p w14:paraId="1F690A99"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b/>
          <w:bCs/>
          <w:color w:val="0F1115"/>
          <w:sz w:val="28"/>
          <w:szCs w:val="28"/>
        </w:rPr>
      </w:pPr>
      <w:r w:rsidRPr="000470BB">
        <w:rPr>
          <w:rFonts w:ascii="Sakkal Majalla" w:eastAsia="Times New Roman" w:hAnsi="Sakkal Majalla" w:cs="Sakkal Majalla"/>
          <w:b/>
          <w:bCs/>
          <w:color w:val="0F1115"/>
          <w:sz w:val="28"/>
          <w:szCs w:val="28"/>
          <w:rtl/>
        </w:rPr>
        <w:t xml:space="preserve">دراسة </w:t>
      </w:r>
      <w:proofErr w:type="spellStart"/>
      <w:r w:rsidRPr="000470BB">
        <w:rPr>
          <w:rFonts w:ascii="Sakkal Majalla" w:eastAsia="Times New Roman" w:hAnsi="Sakkal Majalla" w:cs="Sakkal Majalla"/>
          <w:b/>
          <w:bCs/>
          <w:color w:val="0F1115"/>
          <w:sz w:val="28"/>
          <w:szCs w:val="28"/>
        </w:rPr>
        <w:t>Frigo</w:t>
      </w:r>
      <w:proofErr w:type="spellEnd"/>
      <w:r w:rsidRPr="000470BB">
        <w:rPr>
          <w:rFonts w:ascii="Sakkal Majalla" w:eastAsia="Times New Roman" w:hAnsi="Sakkal Majalla" w:cs="Sakkal Majalla"/>
          <w:b/>
          <w:bCs/>
          <w:color w:val="0F1115"/>
          <w:sz w:val="28"/>
          <w:szCs w:val="28"/>
        </w:rPr>
        <w:t xml:space="preserve"> &amp; Anderson</w:t>
      </w:r>
      <w:r w:rsidRPr="000470BB">
        <w:rPr>
          <w:rFonts w:ascii="Sakkal Majalla" w:eastAsia="Times New Roman" w:hAnsi="Sakkal Majalla" w:cs="Sakkal Majalla"/>
          <w:b/>
          <w:bCs/>
          <w:color w:val="0F1115"/>
          <w:sz w:val="28"/>
          <w:szCs w:val="28"/>
          <w:rtl/>
        </w:rPr>
        <w:t xml:space="preserve"> (2011)</w:t>
      </w:r>
    </w:p>
    <w:p w14:paraId="1BC847B5"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0470BB">
        <w:rPr>
          <w:rFonts w:ascii="Sakkal Majalla" w:eastAsia="Times New Roman" w:hAnsi="Sakkal Majalla" w:cs="Sakkal Majalla"/>
          <w:color w:val="0F1115"/>
          <w:sz w:val="28"/>
          <w:szCs w:val="28"/>
          <w:rtl/>
        </w:rPr>
        <w:t>هدفت الدراسة إلى توضيح دور إدارة المخاطر الاستراتيجية في تحسين الحوكمة المؤسسية وتعزيز استدامة المؤسسات. واعتمدت على المنهج التحليلي من خلال دراسة عدد من حالات الشركات التي طبقت ممارسات إدارة المخاطر المؤسسية. وأظهرت النتائج أن دمج إدارة المخاطر في التخطيط الاستراتيجي يسهم في تحسين جودة القرارات الإدارية، ورفع قدرة المؤسسات على مواجهة المخاطر، وتعزيز الاستدامة على المدى الطويل. وتستفيد الدراسة الحالية من هذه الدراسة في بناء الإطار النظري الذي يربط بين إدارة المخاطر والاستدامة.</w:t>
      </w:r>
    </w:p>
    <w:p w14:paraId="6D73A01A"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b/>
          <w:bCs/>
          <w:color w:val="0F1115"/>
          <w:sz w:val="28"/>
          <w:szCs w:val="28"/>
        </w:rPr>
      </w:pPr>
      <w:r w:rsidRPr="000470BB">
        <w:rPr>
          <w:rFonts w:ascii="Sakkal Majalla" w:eastAsia="Times New Roman" w:hAnsi="Sakkal Majalla" w:cs="Sakkal Majalla"/>
          <w:b/>
          <w:bCs/>
          <w:color w:val="0F1115"/>
          <w:sz w:val="28"/>
          <w:szCs w:val="28"/>
          <w:rtl/>
        </w:rPr>
        <w:t xml:space="preserve">دراسة </w:t>
      </w:r>
      <w:proofErr w:type="spellStart"/>
      <w:r w:rsidRPr="000470BB">
        <w:rPr>
          <w:rFonts w:ascii="Sakkal Majalla" w:eastAsia="Times New Roman" w:hAnsi="Sakkal Majalla" w:cs="Sakkal Majalla"/>
          <w:b/>
          <w:bCs/>
          <w:color w:val="0F1115"/>
          <w:sz w:val="28"/>
          <w:szCs w:val="28"/>
        </w:rPr>
        <w:t>Aven</w:t>
      </w:r>
      <w:proofErr w:type="spellEnd"/>
      <w:r w:rsidRPr="000470BB">
        <w:rPr>
          <w:rFonts w:ascii="Sakkal Majalla" w:eastAsia="Times New Roman" w:hAnsi="Sakkal Majalla" w:cs="Sakkal Majalla"/>
          <w:b/>
          <w:bCs/>
          <w:color w:val="0F1115"/>
          <w:sz w:val="28"/>
          <w:szCs w:val="28"/>
          <w:rtl/>
        </w:rPr>
        <w:t xml:space="preserve"> (2016)</w:t>
      </w:r>
    </w:p>
    <w:p w14:paraId="07D1EBE0"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0470BB">
        <w:rPr>
          <w:rFonts w:ascii="Sakkal Majalla" w:eastAsia="Times New Roman" w:hAnsi="Sakkal Majalla" w:cs="Sakkal Majalla"/>
          <w:color w:val="0F1115"/>
          <w:sz w:val="28"/>
          <w:szCs w:val="28"/>
          <w:rtl/>
        </w:rPr>
        <w:t>ركزت الدراسة على تطوير الأساليب العلمية المستخدمة في تقييم المخاطر داخل المؤسسات، مع توضيح أهمية الانتقال من الأساليب التقليدية إلى الأساليب الحديثة في تحليل المخاطر. واعتمدت على المنهج التحليلي المقارن، وأشارت نتائجها إلى أن المؤسسات التي تطبق نماذج متقدمة لتقييم المخاطر تحقق مستويات أعلى من الكفاءة التشغيلية وتكون أكثر قدرة على التعامل مع حالات عدم اليقين. إلا أن الدراسة لم تتناول بصورة مباشرة أثر إدارة المخاطر على استدامة المؤسسات، وهو ما تسعى الدراسة الحالية إلى معالجته.</w:t>
      </w:r>
    </w:p>
    <w:p w14:paraId="1B52AF8B"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b/>
          <w:bCs/>
          <w:color w:val="0F1115"/>
          <w:sz w:val="28"/>
          <w:szCs w:val="28"/>
        </w:rPr>
      </w:pPr>
      <w:r w:rsidRPr="000470BB">
        <w:rPr>
          <w:rFonts w:ascii="Sakkal Majalla" w:eastAsia="Times New Roman" w:hAnsi="Sakkal Majalla" w:cs="Sakkal Majalla"/>
          <w:b/>
          <w:bCs/>
          <w:color w:val="0F1115"/>
          <w:sz w:val="28"/>
          <w:szCs w:val="28"/>
          <w:rtl/>
        </w:rPr>
        <w:t xml:space="preserve">دراسة </w:t>
      </w:r>
      <w:proofErr w:type="spellStart"/>
      <w:r w:rsidRPr="000470BB">
        <w:rPr>
          <w:rFonts w:ascii="Sakkal Majalla" w:eastAsia="Times New Roman" w:hAnsi="Sakkal Majalla" w:cs="Sakkal Majalla"/>
          <w:b/>
          <w:bCs/>
          <w:color w:val="0F1115"/>
          <w:sz w:val="28"/>
          <w:szCs w:val="28"/>
        </w:rPr>
        <w:t>Oliva</w:t>
      </w:r>
      <w:proofErr w:type="spellEnd"/>
      <w:r w:rsidRPr="000470BB">
        <w:rPr>
          <w:rFonts w:ascii="Sakkal Majalla" w:eastAsia="Times New Roman" w:hAnsi="Sakkal Majalla" w:cs="Sakkal Majalla"/>
          <w:b/>
          <w:bCs/>
          <w:color w:val="0F1115"/>
          <w:sz w:val="28"/>
          <w:szCs w:val="28"/>
          <w:rtl/>
        </w:rPr>
        <w:t xml:space="preserve"> (2016)</w:t>
      </w:r>
    </w:p>
    <w:p w14:paraId="4E251FB1"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0470BB">
        <w:rPr>
          <w:rFonts w:ascii="Sakkal Majalla" w:eastAsia="Times New Roman" w:hAnsi="Sakkal Majalla" w:cs="Sakkal Majalla"/>
          <w:color w:val="0F1115"/>
          <w:sz w:val="28"/>
          <w:szCs w:val="28"/>
          <w:rtl/>
        </w:rPr>
        <w:t>هدفت الدراسة إلى قياس أثر مستوى نضج إدارة المخاطر المؤسسية في تحسين الأداء المؤسسي. واستخدمت المنهج الكمي من خلال استبانة وُزعت على عدد من المديرين في مؤسسات صناعية وخدمية، وتم تحليل البيانات باستخدام الأساليب الإحصائية المناسبة. وأظهرت النتائج وجود علاقة إيجابية بين ارتفاع مستوى تطبيق إدارة المخاطر وتحسن الأداء المؤسسي والاستدامة التنظيمية، إلا أن الدراسة لم تُطبق على قطاع الطاقة، مما يبرز أهمية الدراسة الحالية.</w:t>
      </w:r>
    </w:p>
    <w:p w14:paraId="013DABFC"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b/>
          <w:bCs/>
          <w:color w:val="0F1115"/>
          <w:sz w:val="28"/>
          <w:szCs w:val="28"/>
        </w:rPr>
      </w:pPr>
      <w:r w:rsidRPr="000470BB">
        <w:rPr>
          <w:rFonts w:ascii="Sakkal Majalla" w:eastAsia="Times New Roman" w:hAnsi="Sakkal Majalla" w:cs="Sakkal Majalla"/>
          <w:b/>
          <w:bCs/>
          <w:color w:val="0F1115"/>
          <w:sz w:val="28"/>
          <w:szCs w:val="28"/>
          <w:rtl/>
        </w:rPr>
        <w:t xml:space="preserve">دراسة </w:t>
      </w:r>
      <w:r w:rsidRPr="000470BB">
        <w:rPr>
          <w:rFonts w:ascii="Sakkal Majalla" w:eastAsia="Times New Roman" w:hAnsi="Sakkal Majalla" w:cs="Sakkal Majalla"/>
          <w:b/>
          <w:bCs/>
          <w:color w:val="0F1115"/>
          <w:sz w:val="28"/>
          <w:szCs w:val="28"/>
        </w:rPr>
        <w:t>Hopkin</w:t>
      </w:r>
      <w:r w:rsidRPr="000470BB">
        <w:rPr>
          <w:rFonts w:ascii="Sakkal Majalla" w:eastAsia="Times New Roman" w:hAnsi="Sakkal Majalla" w:cs="Sakkal Majalla"/>
          <w:b/>
          <w:bCs/>
          <w:color w:val="0F1115"/>
          <w:sz w:val="28"/>
          <w:szCs w:val="28"/>
          <w:rtl/>
        </w:rPr>
        <w:t xml:space="preserve"> (2018)</w:t>
      </w:r>
    </w:p>
    <w:p w14:paraId="35FB9E7E"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0470BB">
        <w:rPr>
          <w:rFonts w:ascii="Sakkal Majalla" w:eastAsia="Times New Roman" w:hAnsi="Sakkal Majalla" w:cs="Sakkal Majalla"/>
          <w:color w:val="0F1115"/>
          <w:sz w:val="28"/>
          <w:szCs w:val="28"/>
          <w:rtl/>
        </w:rPr>
        <w:t>تناولت الدراسة دور إدارة المخاطر المؤسسية في تحسين عمليات اتخاذ القرار داخل المؤسسات، واعتمدت على المنهج الوصفي التحليلي من خلال تحليل تطبيقات عملية في عدد من المؤسسات العالمية. وأكدت النتائج أن المؤسسات التي تمتلك أنظمة متكاملة لإدارة المخاطر تتمتع بقدرة أكبر على تحقيق الاستقرار والاستدامة مقارنة بالمؤسسات التي تعتمد أساليب تقليدية في إدارة المخاطر. وتبرز أهمية هذه الدراسة في دعم الأساس النظري للبحث الحالي.</w:t>
      </w:r>
    </w:p>
    <w:p w14:paraId="10FC073E"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b/>
          <w:bCs/>
          <w:color w:val="0F1115"/>
          <w:sz w:val="28"/>
          <w:szCs w:val="28"/>
        </w:rPr>
      </w:pPr>
      <w:r w:rsidRPr="000470BB">
        <w:rPr>
          <w:rFonts w:ascii="Sakkal Majalla" w:eastAsia="Times New Roman" w:hAnsi="Sakkal Majalla" w:cs="Sakkal Majalla"/>
          <w:b/>
          <w:bCs/>
          <w:color w:val="0F1115"/>
          <w:sz w:val="28"/>
          <w:szCs w:val="28"/>
          <w:rtl/>
        </w:rPr>
        <w:lastRenderedPageBreak/>
        <w:t xml:space="preserve">دراسة </w:t>
      </w:r>
      <w:proofErr w:type="spellStart"/>
      <w:r w:rsidRPr="000470BB">
        <w:rPr>
          <w:rFonts w:ascii="Sakkal Majalla" w:eastAsia="Times New Roman" w:hAnsi="Sakkal Majalla" w:cs="Sakkal Majalla"/>
          <w:b/>
          <w:bCs/>
          <w:color w:val="0F1115"/>
          <w:sz w:val="28"/>
          <w:szCs w:val="28"/>
        </w:rPr>
        <w:t>Urbaniec</w:t>
      </w:r>
      <w:proofErr w:type="spellEnd"/>
      <w:r w:rsidRPr="000470BB">
        <w:rPr>
          <w:rFonts w:ascii="Sakkal Majalla" w:eastAsia="Times New Roman" w:hAnsi="Sakkal Majalla" w:cs="Sakkal Majalla"/>
          <w:b/>
          <w:bCs/>
          <w:color w:val="0F1115"/>
          <w:sz w:val="28"/>
          <w:szCs w:val="28"/>
          <w:rtl/>
        </w:rPr>
        <w:t xml:space="preserve"> (2018)</w:t>
      </w:r>
    </w:p>
    <w:p w14:paraId="2FAE8EB2"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0470BB">
        <w:rPr>
          <w:rFonts w:ascii="Sakkal Majalla" w:eastAsia="Times New Roman" w:hAnsi="Sakkal Majalla" w:cs="Sakkal Majalla"/>
          <w:color w:val="0F1115"/>
          <w:sz w:val="28"/>
          <w:szCs w:val="28"/>
          <w:rtl/>
        </w:rPr>
        <w:t>هدفت الدراسة إلى تحليل أثر تطبيق استراتيجيات الاستدامة في المؤسسات الصناعية، مع التركيز على تحسين الكفاءة التشغيلية وتقليل الآثار البيئية. واعتمدت الدراسة على تحليل تقارير الاستدامة لعدد من المؤسسات الأوروبية، وأظهرت نتائجها أن دمج الاستدامة في العمليات التشغيلية يسهم في تعزيز الأداء المؤسسي. إلا أنها لم تتناول بصورة مباشرة دور استراتيجيات إدارة المخاطر في تحقيق تلك الاستدامة.</w:t>
      </w:r>
    </w:p>
    <w:p w14:paraId="56A50CD8"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color w:val="0F1115"/>
          <w:sz w:val="28"/>
          <w:szCs w:val="28"/>
        </w:rPr>
      </w:pPr>
    </w:p>
    <w:p w14:paraId="14EA8D91"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b/>
          <w:bCs/>
          <w:color w:val="0F1115"/>
          <w:sz w:val="28"/>
          <w:szCs w:val="28"/>
        </w:rPr>
      </w:pPr>
      <w:r w:rsidRPr="000470BB">
        <w:rPr>
          <w:rFonts w:ascii="Sakkal Majalla" w:eastAsia="Times New Roman" w:hAnsi="Sakkal Majalla" w:cs="Sakkal Majalla"/>
          <w:b/>
          <w:bCs/>
          <w:color w:val="0F1115"/>
          <w:sz w:val="28"/>
          <w:szCs w:val="28"/>
          <w:rtl/>
        </w:rPr>
        <w:t xml:space="preserve">دراسة </w:t>
      </w:r>
      <w:r w:rsidRPr="000470BB">
        <w:rPr>
          <w:rFonts w:ascii="Sakkal Majalla" w:eastAsia="Times New Roman" w:hAnsi="Sakkal Majalla" w:cs="Sakkal Majalla"/>
          <w:b/>
          <w:bCs/>
          <w:color w:val="0F1115"/>
          <w:sz w:val="28"/>
          <w:szCs w:val="28"/>
        </w:rPr>
        <w:t xml:space="preserve">Krause &amp; </w:t>
      </w:r>
      <w:proofErr w:type="spellStart"/>
      <w:r w:rsidRPr="000470BB">
        <w:rPr>
          <w:rFonts w:ascii="Sakkal Majalla" w:eastAsia="Times New Roman" w:hAnsi="Sakkal Majalla" w:cs="Sakkal Majalla"/>
          <w:b/>
          <w:bCs/>
          <w:color w:val="0F1115"/>
          <w:sz w:val="28"/>
          <w:szCs w:val="28"/>
        </w:rPr>
        <w:t>Lehner</w:t>
      </w:r>
      <w:proofErr w:type="spellEnd"/>
      <w:r w:rsidRPr="000470BB">
        <w:rPr>
          <w:rFonts w:ascii="Sakkal Majalla" w:eastAsia="Times New Roman" w:hAnsi="Sakkal Majalla" w:cs="Sakkal Majalla"/>
          <w:b/>
          <w:bCs/>
          <w:color w:val="0F1115"/>
          <w:sz w:val="28"/>
          <w:szCs w:val="28"/>
          <w:rtl/>
        </w:rPr>
        <w:t xml:space="preserve"> (2019)</w:t>
      </w:r>
    </w:p>
    <w:p w14:paraId="0545B804"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0470BB">
        <w:rPr>
          <w:rFonts w:ascii="Sakkal Majalla" w:eastAsia="Times New Roman" w:hAnsi="Sakkal Majalla" w:cs="Sakkal Majalla"/>
          <w:color w:val="0F1115"/>
          <w:sz w:val="28"/>
          <w:szCs w:val="28"/>
          <w:rtl/>
        </w:rPr>
        <w:t>سعت الدراسة إلى تحليل أثر تطبيق إدارة المخاطر المؤسسية في شركات الطاقة على أداء المشاريع. واعتمدت على المنهج الكمي باستخدام الاستبانة وتحليل الانحدار الإحصائي، وأظهرت النتائج وجود علاقة ذات دلالة إحصائية بين تطبيق إدارة المخاطر وتحسين أداء المشاريع وتقليل المخاطر التشغيلية. إلا أن الدراسة ركزت على إدارة المشاريع دون قياس أثر إدارة المخاطر على استدامة الشركات بصورة شاملة.</w:t>
      </w:r>
    </w:p>
    <w:p w14:paraId="5EB117BD"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color w:val="0F1115"/>
          <w:sz w:val="28"/>
          <w:szCs w:val="28"/>
        </w:rPr>
      </w:pPr>
    </w:p>
    <w:p w14:paraId="4AE8A6E5"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b/>
          <w:bCs/>
          <w:color w:val="0F1115"/>
          <w:sz w:val="28"/>
          <w:szCs w:val="28"/>
        </w:rPr>
      </w:pPr>
      <w:r w:rsidRPr="000470BB">
        <w:rPr>
          <w:rFonts w:ascii="Sakkal Majalla" w:eastAsia="Times New Roman" w:hAnsi="Sakkal Majalla" w:cs="Sakkal Majalla"/>
          <w:b/>
          <w:bCs/>
          <w:color w:val="0F1115"/>
          <w:sz w:val="28"/>
          <w:szCs w:val="28"/>
          <w:rtl/>
        </w:rPr>
        <w:t xml:space="preserve">دراسة </w:t>
      </w:r>
      <w:proofErr w:type="spellStart"/>
      <w:r w:rsidRPr="000470BB">
        <w:rPr>
          <w:rFonts w:ascii="Sakkal Majalla" w:eastAsia="Times New Roman" w:hAnsi="Sakkal Majalla" w:cs="Sakkal Majalla"/>
          <w:b/>
          <w:bCs/>
          <w:color w:val="0F1115"/>
          <w:sz w:val="28"/>
          <w:szCs w:val="28"/>
        </w:rPr>
        <w:t>Duić</w:t>
      </w:r>
      <w:proofErr w:type="spellEnd"/>
      <w:r w:rsidRPr="000470BB">
        <w:rPr>
          <w:rFonts w:ascii="Sakkal Majalla" w:eastAsia="Times New Roman" w:hAnsi="Sakkal Majalla" w:cs="Sakkal Majalla"/>
          <w:b/>
          <w:bCs/>
          <w:color w:val="0F1115"/>
          <w:sz w:val="28"/>
          <w:szCs w:val="28"/>
          <w:rtl/>
        </w:rPr>
        <w:t xml:space="preserve"> وآخرون (2020)</w:t>
      </w:r>
    </w:p>
    <w:p w14:paraId="5A5774FC"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r w:rsidRPr="000470BB">
        <w:rPr>
          <w:rFonts w:ascii="Sakkal Majalla" w:eastAsia="Times New Roman" w:hAnsi="Sakkal Majalla" w:cs="Sakkal Majalla"/>
          <w:color w:val="0F1115"/>
          <w:sz w:val="28"/>
          <w:szCs w:val="28"/>
          <w:rtl/>
        </w:rPr>
        <w:t>هدفت الدراسة إلى توضيح أهمية دمج مبادئ الاستدامة في المؤسسات العاملة في قطاع الطاقة، واعتمدت على المنهج التحليلي المقارن من خلال مراجعة تقارير الاستدامة لعدد من الشركات العالمية. وأكدت النتائج أن المؤسسات التي تطبق ممارسات متقدمة في إدارة المخاطر البيئية والتشغيلية تحقق مستويات أعلى من الاستدامة. إلا أن الدراسة لم تتناول البيئة التنظيمية في المملكة العربية السعودية.</w:t>
      </w:r>
    </w:p>
    <w:p w14:paraId="682FC08F"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color w:val="0F1115"/>
          <w:sz w:val="28"/>
          <w:szCs w:val="28"/>
        </w:rPr>
      </w:pPr>
    </w:p>
    <w:p w14:paraId="0AFB2610"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b/>
          <w:bCs/>
          <w:color w:val="0F1115"/>
          <w:sz w:val="28"/>
          <w:szCs w:val="28"/>
        </w:rPr>
      </w:pPr>
      <w:r w:rsidRPr="000470BB">
        <w:rPr>
          <w:rFonts w:ascii="Sakkal Majalla" w:eastAsia="Times New Roman" w:hAnsi="Sakkal Majalla" w:cs="Sakkal Majalla"/>
          <w:b/>
          <w:bCs/>
          <w:color w:val="0F1115"/>
          <w:sz w:val="28"/>
          <w:szCs w:val="28"/>
          <w:rtl/>
        </w:rPr>
        <w:t>الدراسات الحديثة (2023–2025)</w:t>
      </w:r>
    </w:p>
    <w:p w14:paraId="5FEFEDCE"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tl/>
        </w:rPr>
      </w:pPr>
      <w:r w:rsidRPr="000470BB">
        <w:rPr>
          <w:rFonts w:ascii="Sakkal Majalla" w:eastAsia="Times New Roman" w:hAnsi="Sakkal Majalla" w:cs="Sakkal Majalla"/>
          <w:color w:val="0F1115"/>
          <w:sz w:val="28"/>
          <w:szCs w:val="28"/>
          <w:rtl/>
        </w:rPr>
        <w:t>أشارت الدراسات الحديثة إلى تزايد الاهتمام بدمج إدارة المخاطر ضمن استراتيجيات الاستدامة، خاصة في قطاع الطاقة، نتيجة تزايد المخاطر التشغيلية والبيئية والتشريعية. وأوضحت هذه الدراسات أن إدارة المخاطر أصبحت عنصرًا أساسيًا في دعم الحوكمة المؤسسية، وتحسين الكفاءة التشغيلية، وتعزيز القدرة على مواجهة الأزمات، كما أكدت أن العلاقة بين إدارة المخاطر والاستدامة قد تتأثر بمتغيرات وسيطة مثل الابتكار، والتحول الرقمي، والحوكمة البيئية والاجتماعية والمؤسسية (</w:t>
      </w:r>
      <w:r w:rsidRPr="000470BB">
        <w:rPr>
          <w:rFonts w:ascii="Sakkal Majalla" w:eastAsia="Times New Roman" w:hAnsi="Sakkal Majalla" w:cs="Sakkal Majalla"/>
          <w:color w:val="0F1115"/>
          <w:sz w:val="28"/>
          <w:szCs w:val="28"/>
        </w:rPr>
        <w:t>ESG</w:t>
      </w:r>
      <w:r w:rsidRPr="000470BB">
        <w:rPr>
          <w:rFonts w:ascii="Sakkal Majalla" w:eastAsia="Times New Roman" w:hAnsi="Sakkal Majalla" w:cs="Sakkal Majalla"/>
          <w:color w:val="0F1115"/>
          <w:sz w:val="28"/>
          <w:szCs w:val="28"/>
          <w:rtl/>
        </w:rPr>
        <w:t>). ورغم هذا التطور، لا تزال الدراسات التطبيقية التي تناولت قطاع الطاقة في المملكة العربية السعودية محدودة، وهو ما يعزز الحاجة إلى إجراء الدراسة الحالية</w:t>
      </w:r>
      <w:r w:rsidRPr="000470BB">
        <w:rPr>
          <w:rFonts w:ascii="Sakkal Majalla" w:eastAsia="Times New Roman" w:hAnsi="Sakkal Majalla" w:cs="Sakkal Majalla" w:hint="cs"/>
          <w:color w:val="0F1115"/>
          <w:sz w:val="28"/>
          <w:szCs w:val="28"/>
          <w:rtl/>
        </w:rPr>
        <w:t>.</w:t>
      </w:r>
    </w:p>
    <w:p w14:paraId="1282E84E"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tl/>
        </w:rPr>
      </w:pPr>
    </w:p>
    <w:p w14:paraId="4316C477" w14:textId="77777777" w:rsidR="00273BD1" w:rsidRPr="00513486"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tl/>
        </w:rPr>
      </w:pPr>
    </w:p>
    <w:p w14:paraId="5B7BD1AF"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b/>
          <w:bCs/>
          <w:color w:val="0F1115"/>
          <w:sz w:val="28"/>
          <w:szCs w:val="28"/>
        </w:rPr>
      </w:pPr>
      <w:r w:rsidRPr="000470BB">
        <w:rPr>
          <w:rFonts w:ascii="Sakkal Majalla" w:eastAsia="Times New Roman" w:hAnsi="Sakkal Majalla" w:cs="Sakkal Majalla"/>
          <w:b/>
          <w:bCs/>
          <w:color w:val="0F1115"/>
          <w:sz w:val="28"/>
          <w:szCs w:val="28"/>
          <w:rtl/>
        </w:rPr>
        <w:lastRenderedPageBreak/>
        <w:t>التحليل المقارن للدراسات السابقة</w:t>
      </w:r>
    </w:p>
    <w:p w14:paraId="38281937"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tl/>
        </w:rPr>
      </w:pPr>
      <w:r w:rsidRPr="000470BB">
        <w:rPr>
          <w:rFonts w:ascii="Sakkal Majalla" w:eastAsia="Times New Roman" w:hAnsi="Sakkal Majalla" w:cs="Sakkal Majalla"/>
          <w:color w:val="0F1115"/>
          <w:sz w:val="28"/>
          <w:szCs w:val="28"/>
          <w:rtl/>
        </w:rPr>
        <w:t>يتضح من استعراض الدراسات السابقة وجود اتفاق عام على أن تطبيق استراتيجيات إدارة المخاطر يسهم في تحسين الأداء المؤسسي، وتعزيز القدرة على مواجهة المخاطر، ودعم استدامة المؤسسات. كما أجمعت معظم الدراسات على أن دمج إدارة المخاطر في التخطيط الاستراتيجي يؤدي إلى رفع كفاءة العمليات وتحسين جودة القرارات الإدارية.</w:t>
      </w:r>
    </w:p>
    <w:p w14:paraId="755C295F"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p>
    <w:p w14:paraId="6BAC0BE8"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tl/>
        </w:rPr>
      </w:pPr>
      <w:r w:rsidRPr="000470BB">
        <w:rPr>
          <w:rFonts w:ascii="Sakkal Majalla" w:eastAsia="Times New Roman" w:hAnsi="Sakkal Majalla" w:cs="Sakkal Majalla"/>
          <w:color w:val="0F1115"/>
          <w:sz w:val="28"/>
          <w:szCs w:val="28"/>
          <w:rtl/>
        </w:rPr>
        <w:t>وفي المقابل، اختلفت الدراسات في طبيعة القطاعات التي تناولتها، وفي المنهجيات المستخدمة، حيث اعتمد بعضها على المنهج التحليلي النظري، بينما استخدمت دراسات أخرى المنهج الكمي القائم على الاستبانات وتحليل البيانات الإحصائية. كما ركزت بعض الدراسات على إدارة المخاطر بصورة عامة، في حين ركزت دراسات أخرى على الاستدامة أو الحوكمة أو أداء المشاريع.</w:t>
      </w:r>
    </w:p>
    <w:p w14:paraId="4251C0C9"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p>
    <w:p w14:paraId="555DC273"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tl/>
        </w:rPr>
      </w:pPr>
      <w:r w:rsidRPr="000470BB">
        <w:rPr>
          <w:rFonts w:ascii="Sakkal Majalla" w:eastAsia="Times New Roman" w:hAnsi="Sakkal Majalla" w:cs="Sakkal Majalla"/>
          <w:color w:val="0F1115"/>
          <w:sz w:val="28"/>
          <w:szCs w:val="28"/>
          <w:rtl/>
        </w:rPr>
        <w:t>ومن خلال المقارنة بين هذه الدراسات، يلاحظ أن معظمها أُجري في بيئات تنظيمية خارج المملكة العربية السعودية، كما ركز عدد كبير منها على المؤسسات الصناعية أو الشركات العالمية، بينما لم تحظ شركات الطاقة في المملكة، وبصفة خاصة الشركة السعودية للكهرباء، بالدراسة الكافية من حيث قياس أثر استراتيجيات إدارة المخاطر على استدامة الشركات.</w:t>
      </w:r>
    </w:p>
    <w:p w14:paraId="08F9910B" w14:textId="77777777" w:rsidR="00273BD1" w:rsidRPr="000470BB"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Pr>
      </w:pPr>
    </w:p>
    <w:p w14:paraId="693E0F9C"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tl/>
        </w:rPr>
      </w:pPr>
      <w:r w:rsidRPr="000470BB">
        <w:rPr>
          <w:rFonts w:ascii="Sakkal Majalla" w:eastAsia="Times New Roman" w:hAnsi="Sakkal Majalla" w:cs="Sakkal Majalla"/>
          <w:color w:val="0F1115"/>
          <w:sz w:val="28"/>
          <w:szCs w:val="28"/>
          <w:rtl/>
        </w:rPr>
        <w:t>وعليه، تتميز الدراسة الحالية بأنها تجمع بين تحليل استراتيجيات إدارة المخاطر وقياس أثرها على استدامة شركات الطاقة في البيئة السعودية، بما يسهم في سد جانب من النقص في الأدبيات العلمية، ويقدم نتائج يمكن الاستفادة منها في تطوير ممارسات إدارة المخاطر في قطاع الطاقة.</w:t>
      </w:r>
    </w:p>
    <w:p w14:paraId="0CE9D1DB" w14:textId="77777777" w:rsidR="00273BD1" w:rsidRDefault="00273BD1" w:rsidP="00730BE0">
      <w:pPr>
        <w:shd w:val="clear" w:color="auto" w:fill="FFFFFF"/>
        <w:spacing w:before="100" w:beforeAutospacing="1" w:after="0" w:line="240" w:lineRule="auto"/>
        <w:ind w:firstLine="720"/>
        <w:jc w:val="both"/>
        <w:rPr>
          <w:rFonts w:ascii="Sakkal Majalla" w:eastAsia="Times New Roman" w:hAnsi="Sakkal Majalla" w:cs="Sakkal Majalla"/>
          <w:color w:val="0F1115"/>
          <w:sz w:val="28"/>
          <w:szCs w:val="28"/>
          <w:rtl/>
        </w:rPr>
      </w:pPr>
    </w:p>
    <w:p w14:paraId="01246D8B" w14:textId="77777777" w:rsidR="00273BD1" w:rsidRPr="000470BB" w:rsidRDefault="00273BD1" w:rsidP="00730BE0">
      <w:pPr>
        <w:shd w:val="clear" w:color="auto" w:fill="FFFFFF"/>
        <w:spacing w:before="100" w:beforeAutospacing="1" w:after="0" w:line="240" w:lineRule="auto"/>
        <w:jc w:val="both"/>
        <w:rPr>
          <w:rFonts w:ascii="Sakkal Majalla" w:eastAsia="Times New Roman" w:hAnsi="Sakkal Majalla" w:cs="Sakkal Majalla"/>
          <w:color w:val="0F1115"/>
          <w:sz w:val="28"/>
          <w:szCs w:val="28"/>
        </w:rPr>
      </w:pPr>
      <w:r w:rsidRPr="000470BB">
        <w:rPr>
          <w:rFonts w:ascii="Sakkal Majalla" w:eastAsia="Times New Roman" w:hAnsi="Sakkal Majalla" w:cs="Sakkal Majalla" w:hint="cs"/>
          <w:b/>
          <w:bCs/>
          <w:color w:val="0F1115"/>
          <w:sz w:val="28"/>
          <w:szCs w:val="28"/>
          <w:rtl/>
        </w:rPr>
        <w:t>فجوة البحث</w:t>
      </w:r>
    </w:p>
    <w:p w14:paraId="6D8B1CB3" w14:textId="77777777" w:rsidR="00273BD1" w:rsidRDefault="00273BD1" w:rsidP="00730BE0">
      <w:pPr>
        <w:shd w:val="clear" w:color="auto" w:fill="FFFFFF"/>
        <w:spacing w:before="100" w:beforeAutospacing="1" w:after="0" w:line="240" w:lineRule="auto"/>
        <w:ind w:left="-360" w:firstLine="360"/>
        <w:jc w:val="both"/>
        <w:rPr>
          <w:rFonts w:ascii="Sakkal Majalla" w:eastAsia="Times New Roman" w:hAnsi="Sakkal Majalla" w:cs="Sakkal Majalla"/>
          <w:color w:val="0F1115"/>
          <w:sz w:val="28"/>
          <w:szCs w:val="28"/>
          <w:rtl/>
        </w:rPr>
      </w:pPr>
      <w:r w:rsidRPr="000470BB">
        <w:rPr>
          <w:rFonts w:ascii="Sakkal Majalla" w:eastAsia="Times New Roman" w:hAnsi="Sakkal Majalla" w:cs="Sakkal Majalla"/>
          <w:color w:val="0F1115"/>
          <w:sz w:val="28"/>
          <w:szCs w:val="28"/>
          <w:rtl/>
        </w:rPr>
        <w:t>أظهرت مراجعة الأدبيات والدراسات السابقة اهتمامًا متزايدًا بموضوع إدارة المخاطر ودورها في تحسين الأداء المؤسسي وتعزيز الاستدامة، إلا أن هذا الاهتمام انصب في معظمه على مؤسسات صناعية أو خدمية خارج المملكة العربية السعودية، أو ركز على جوانب محددة مثل إدارة المشاريع أو الحوكمة أو الأداء المالي، دون دراسة العلاقة بصورة شاملة بين استراتيجيات إدارة المخاطر واستدامة شركات الطاقة.</w:t>
      </w:r>
    </w:p>
    <w:p w14:paraId="0CD8E981" w14:textId="77777777" w:rsidR="00273BD1" w:rsidRDefault="00273BD1" w:rsidP="00730BE0">
      <w:pPr>
        <w:shd w:val="clear" w:color="auto" w:fill="FFFFFF"/>
        <w:spacing w:before="100" w:beforeAutospacing="1" w:after="0" w:line="240" w:lineRule="auto"/>
        <w:ind w:left="-360" w:firstLine="360"/>
        <w:jc w:val="both"/>
        <w:rPr>
          <w:rFonts w:ascii="Sakkal Majalla" w:eastAsia="Times New Roman" w:hAnsi="Sakkal Majalla" w:cs="Sakkal Majalla"/>
          <w:color w:val="0F1115"/>
          <w:sz w:val="28"/>
          <w:szCs w:val="28"/>
          <w:rtl/>
        </w:rPr>
      </w:pPr>
      <w:r w:rsidRPr="000470BB">
        <w:rPr>
          <w:rFonts w:ascii="Sakkal Majalla" w:eastAsia="Times New Roman" w:hAnsi="Sakkal Majalla" w:cs="Sakkal Majalla"/>
          <w:color w:val="0F1115"/>
          <w:sz w:val="28"/>
          <w:szCs w:val="28"/>
          <w:rtl/>
        </w:rPr>
        <w:lastRenderedPageBreak/>
        <w:t>كما تبين أن معظم الدراسات تناولت إدارة المخاطر باعتبارها مفهومًا عامًا، دون تحليل أثر أبعادها الرئيسة، والمتمثلة في تحديد المخاطر، وتقييمها، والاستجابة لها، ومراقبتها، على أبعاد الاستدامة المختلفة، بما يشمل الاستدامة الاقتصادية والتشغيلية والبيئية.</w:t>
      </w:r>
    </w:p>
    <w:p w14:paraId="7882BD12" w14:textId="77777777" w:rsidR="00273BD1" w:rsidRDefault="00273BD1" w:rsidP="00730BE0">
      <w:pPr>
        <w:shd w:val="clear" w:color="auto" w:fill="FFFFFF"/>
        <w:spacing w:before="100" w:beforeAutospacing="1" w:after="0" w:line="240" w:lineRule="auto"/>
        <w:ind w:left="-360" w:firstLine="360"/>
        <w:jc w:val="both"/>
        <w:rPr>
          <w:rFonts w:ascii="Sakkal Majalla" w:eastAsia="Times New Roman" w:hAnsi="Sakkal Majalla" w:cs="Sakkal Majalla"/>
          <w:color w:val="0F1115"/>
          <w:sz w:val="28"/>
          <w:szCs w:val="28"/>
          <w:rtl/>
        </w:rPr>
      </w:pPr>
    </w:p>
    <w:p w14:paraId="4A9C591E" w14:textId="77777777" w:rsidR="00273BD1" w:rsidRDefault="00273BD1" w:rsidP="00730BE0">
      <w:pPr>
        <w:shd w:val="clear" w:color="auto" w:fill="FFFFFF"/>
        <w:spacing w:before="100" w:beforeAutospacing="1" w:after="0" w:line="240" w:lineRule="auto"/>
        <w:ind w:left="-360" w:firstLine="360"/>
        <w:jc w:val="both"/>
        <w:rPr>
          <w:rFonts w:ascii="Sakkal Majalla" w:eastAsia="Times New Roman" w:hAnsi="Sakkal Majalla" w:cs="Sakkal Majalla"/>
          <w:color w:val="0F1115"/>
          <w:sz w:val="28"/>
          <w:szCs w:val="28"/>
          <w:rtl/>
        </w:rPr>
      </w:pPr>
      <w:r w:rsidRPr="000470BB">
        <w:rPr>
          <w:rFonts w:ascii="Sakkal Majalla" w:eastAsia="Times New Roman" w:hAnsi="Sakkal Majalla" w:cs="Sakkal Majalla"/>
          <w:color w:val="0F1115"/>
          <w:sz w:val="28"/>
          <w:szCs w:val="28"/>
          <w:rtl/>
        </w:rPr>
        <w:t>وعلى الرغم من أن بعض الدراسات الحديثة تناولت قطاع الطاقة، فإنها ركزت على قضايا مثل الإفصاح عن المخاطر، أو الاستدامة البيئية، أو إدارة المشاريع، بينما لا تزال الدراسات التطبيقية التي تقيس أثر استراتيجيات إدارة المخاطر على استدامة شركات الطاقة في المملكة العربية السعودية محدودة، وبصفة خاصة في الشركة السعودية للكهرباء.</w:t>
      </w:r>
    </w:p>
    <w:p w14:paraId="6B13BE38" w14:textId="77777777" w:rsidR="00273BD1" w:rsidRDefault="00273BD1" w:rsidP="00730BE0">
      <w:pPr>
        <w:shd w:val="clear" w:color="auto" w:fill="FFFFFF"/>
        <w:spacing w:before="100" w:beforeAutospacing="1" w:after="0" w:line="240" w:lineRule="auto"/>
        <w:ind w:left="-360" w:firstLine="360"/>
        <w:jc w:val="both"/>
        <w:rPr>
          <w:rFonts w:ascii="Sakkal Majalla" w:eastAsia="Times New Roman" w:hAnsi="Sakkal Majalla" w:cs="Sakkal Majalla"/>
          <w:color w:val="0F1115"/>
          <w:sz w:val="28"/>
          <w:szCs w:val="28"/>
          <w:rtl/>
        </w:rPr>
      </w:pPr>
    </w:p>
    <w:p w14:paraId="6F7560E1" w14:textId="77777777" w:rsidR="00273BD1" w:rsidRPr="000470BB" w:rsidRDefault="00273BD1" w:rsidP="00730BE0">
      <w:pPr>
        <w:shd w:val="clear" w:color="auto" w:fill="FFFFFF"/>
        <w:spacing w:before="100" w:beforeAutospacing="1" w:after="0" w:line="240" w:lineRule="auto"/>
        <w:ind w:left="-360" w:firstLine="360"/>
        <w:jc w:val="both"/>
        <w:rPr>
          <w:rFonts w:ascii="Sakkal Majalla" w:eastAsia="Times New Roman" w:hAnsi="Sakkal Majalla" w:cs="Sakkal Majalla"/>
          <w:color w:val="0F1115"/>
          <w:sz w:val="28"/>
          <w:szCs w:val="28"/>
          <w:rtl/>
        </w:rPr>
      </w:pPr>
      <w:r w:rsidRPr="000470BB">
        <w:rPr>
          <w:rFonts w:ascii="Sakkal Majalla" w:eastAsia="Times New Roman" w:hAnsi="Sakkal Majalla" w:cs="Sakkal Majalla"/>
          <w:color w:val="0F1115"/>
          <w:sz w:val="28"/>
          <w:szCs w:val="28"/>
          <w:rtl/>
        </w:rPr>
        <w:t>وتتمثل الفجوة البحثية التي تسعى الدراسة الحالية إلى معالجتها في غياب دراسة تطبيقية متكاملة تقيس أثر استراتيجيات إدارة المخاطر على استدامة شركات الطاقة في البيئة السعودية، باستخدام أساليب تحليل إحصائية حديثة، بما يسهم في تقديم نتائج علمية يمكن الاستفادة منها في تطوير ممارسات إدارة المخاطر ودعم استدامة الأداء داخل الشركة السعودية للكهرباء.</w:t>
      </w:r>
    </w:p>
    <w:p w14:paraId="05127F38" w14:textId="77777777" w:rsidR="00273BD1" w:rsidRDefault="00273BD1" w:rsidP="00730BE0">
      <w:pPr>
        <w:jc w:val="both"/>
        <w:rPr>
          <w:rFonts w:ascii="Sakkal Majalla" w:hAnsi="Sakkal Majalla" w:cs="Sakkal Majalla"/>
          <w:sz w:val="28"/>
          <w:szCs w:val="28"/>
          <w:u w:val="single"/>
          <w:rtl/>
        </w:rPr>
      </w:pPr>
    </w:p>
    <w:p w14:paraId="31A734FA" w14:textId="77777777" w:rsidR="00273BD1" w:rsidRDefault="00273BD1" w:rsidP="00730BE0">
      <w:pPr>
        <w:rPr>
          <w:rFonts w:ascii="Sakkal Majalla" w:hAnsi="Sakkal Majalla" w:cs="Sakkal Majalla"/>
          <w:sz w:val="28"/>
          <w:szCs w:val="28"/>
          <w:u w:val="single"/>
          <w:rtl/>
        </w:rPr>
      </w:pPr>
    </w:p>
    <w:p w14:paraId="76A8260C" w14:textId="77777777" w:rsidR="00273BD1" w:rsidRDefault="00273BD1" w:rsidP="00730BE0">
      <w:pPr>
        <w:rPr>
          <w:rFonts w:ascii="Sakkal Majalla" w:hAnsi="Sakkal Majalla" w:cs="Sakkal Majalla"/>
          <w:sz w:val="28"/>
          <w:szCs w:val="28"/>
          <w:u w:val="single"/>
          <w:rtl/>
        </w:rPr>
      </w:pPr>
    </w:p>
    <w:p w14:paraId="2BC88249" w14:textId="77777777" w:rsidR="00273BD1" w:rsidRDefault="00273BD1" w:rsidP="00730BE0">
      <w:pPr>
        <w:rPr>
          <w:rFonts w:ascii="Sakkal Majalla" w:hAnsi="Sakkal Majalla" w:cs="Sakkal Majalla"/>
          <w:sz w:val="28"/>
          <w:szCs w:val="28"/>
          <w:u w:val="single"/>
          <w:rtl/>
        </w:rPr>
      </w:pPr>
    </w:p>
    <w:p w14:paraId="463B01F6" w14:textId="77777777" w:rsidR="00273BD1" w:rsidRDefault="00273BD1" w:rsidP="00730BE0">
      <w:pPr>
        <w:rPr>
          <w:rFonts w:ascii="Sakkal Majalla" w:hAnsi="Sakkal Majalla" w:cs="Sakkal Majalla"/>
          <w:sz w:val="28"/>
          <w:szCs w:val="28"/>
          <w:u w:val="single"/>
          <w:rtl/>
        </w:rPr>
      </w:pPr>
    </w:p>
    <w:p w14:paraId="60C7133B" w14:textId="77777777" w:rsidR="00273BD1" w:rsidRDefault="00273BD1" w:rsidP="00730BE0">
      <w:pPr>
        <w:rPr>
          <w:rFonts w:ascii="Sakkal Majalla" w:hAnsi="Sakkal Majalla" w:cs="Sakkal Majalla"/>
          <w:sz w:val="28"/>
          <w:szCs w:val="28"/>
          <w:u w:val="single"/>
          <w:rtl/>
        </w:rPr>
      </w:pPr>
    </w:p>
    <w:p w14:paraId="5039A89B" w14:textId="77777777" w:rsidR="00273BD1" w:rsidRDefault="00273BD1" w:rsidP="00730BE0">
      <w:pPr>
        <w:rPr>
          <w:rFonts w:ascii="Sakkal Majalla" w:hAnsi="Sakkal Majalla" w:cs="Sakkal Majalla"/>
          <w:sz w:val="28"/>
          <w:szCs w:val="28"/>
          <w:u w:val="single"/>
          <w:rtl/>
        </w:rPr>
      </w:pPr>
    </w:p>
    <w:p w14:paraId="4F062AE8" w14:textId="77777777" w:rsidR="00273BD1" w:rsidRDefault="00273BD1" w:rsidP="00730BE0">
      <w:pPr>
        <w:rPr>
          <w:rFonts w:ascii="Sakkal Majalla" w:hAnsi="Sakkal Majalla" w:cs="Sakkal Majalla"/>
          <w:sz w:val="28"/>
          <w:szCs w:val="28"/>
          <w:u w:val="single"/>
          <w:rtl/>
        </w:rPr>
      </w:pPr>
    </w:p>
    <w:p w14:paraId="3AA8F600" w14:textId="77777777" w:rsidR="00273BD1" w:rsidRDefault="00273BD1" w:rsidP="00730BE0">
      <w:pPr>
        <w:rPr>
          <w:rFonts w:ascii="Sakkal Majalla" w:hAnsi="Sakkal Majalla" w:cs="Sakkal Majalla"/>
          <w:sz w:val="28"/>
          <w:szCs w:val="28"/>
          <w:u w:val="single"/>
          <w:rtl/>
        </w:rPr>
      </w:pPr>
    </w:p>
    <w:p w14:paraId="7EF2312B" w14:textId="77777777" w:rsidR="00273BD1" w:rsidRDefault="00273BD1" w:rsidP="00730BE0">
      <w:pPr>
        <w:rPr>
          <w:rFonts w:ascii="Sakkal Majalla" w:hAnsi="Sakkal Majalla" w:cs="Sakkal Majalla"/>
          <w:sz w:val="28"/>
          <w:szCs w:val="28"/>
          <w:u w:val="single"/>
          <w:rtl/>
        </w:rPr>
      </w:pPr>
    </w:p>
    <w:p w14:paraId="2C55304A" w14:textId="77777777" w:rsidR="00273BD1" w:rsidRDefault="00273BD1" w:rsidP="00730BE0">
      <w:pPr>
        <w:rPr>
          <w:rFonts w:ascii="Sakkal Majalla" w:hAnsi="Sakkal Majalla" w:cs="Sakkal Majalla"/>
          <w:sz w:val="28"/>
          <w:szCs w:val="28"/>
          <w:u w:val="single"/>
          <w:rtl/>
        </w:rPr>
      </w:pPr>
    </w:p>
    <w:p w14:paraId="5B2A4F7D" w14:textId="77777777" w:rsidR="00273BD1" w:rsidRDefault="00273BD1" w:rsidP="00730BE0">
      <w:pPr>
        <w:rPr>
          <w:rFonts w:ascii="Sakkal Majalla" w:hAnsi="Sakkal Majalla" w:cs="Sakkal Majalla"/>
          <w:sz w:val="28"/>
          <w:szCs w:val="28"/>
          <w:u w:val="single"/>
          <w:rtl/>
        </w:rPr>
      </w:pPr>
    </w:p>
    <w:p w14:paraId="013848A1" w14:textId="77777777" w:rsidR="00273BD1" w:rsidRDefault="00273BD1" w:rsidP="00730BE0">
      <w:pPr>
        <w:rPr>
          <w:rFonts w:ascii="Sakkal Majalla" w:hAnsi="Sakkal Majalla" w:cs="Sakkal Majalla"/>
          <w:sz w:val="28"/>
          <w:szCs w:val="28"/>
          <w:u w:val="single"/>
          <w:rtl/>
        </w:rPr>
      </w:pPr>
    </w:p>
    <w:p w14:paraId="6746F046" w14:textId="77777777" w:rsidR="00273BD1" w:rsidRDefault="00273BD1" w:rsidP="00730BE0">
      <w:pPr>
        <w:rPr>
          <w:rFonts w:ascii="Sakkal Majalla" w:hAnsi="Sakkal Majalla" w:cs="Sakkal Majalla"/>
          <w:sz w:val="28"/>
          <w:szCs w:val="28"/>
          <w:u w:val="single"/>
          <w:rtl/>
        </w:rPr>
      </w:pPr>
    </w:p>
    <w:p w14:paraId="277C9895" w14:textId="77777777" w:rsidR="00273BD1" w:rsidRPr="00C95ADF" w:rsidRDefault="00273BD1" w:rsidP="00730BE0">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-الإطار النظري</w:t>
      </w:r>
    </w:p>
    <w:p w14:paraId="71F64153" w14:textId="77777777" w:rsidR="00273BD1" w:rsidRPr="00091E7C" w:rsidRDefault="00273BD1" w:rsidP="00730BE0">
      <w:pPr>
        <w:spacing w:line="240" w:lineRule="auto"/>
        <w:ind w:firstLine="720"/>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ترتكز هذه الدراسة على مجموعة من النظريات الإدارية التي تفسر العلاقة بين استراتيجيات إدارة المخاطر واستدامة شركات الطاقة، حيث تنظر إلى إدارة المخاطر بوصفها أحد العناصر الاستراتيجية التي تسهم في تحسين الأداء المؤسسي وتعزيز القدرة على مواجهة التحديات وتحقيق الاستدامة. ويستند الإطار النظري إلى ثلاث نظريات رئيسة، هي: نظرية الموارد، ونظرية أصحاب المصلحة، ونظرية الابتكار التنظيمي.</w:t>
      </w:r>
    </w:p>
    <w:p w14:paraId="0F350C02"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p>
    <w:p w14:paraId="011A7023" w14:textId="77777777" w:rsidR="00273BD1" w:rsidRDefault="00273BD1" w:rsidP="00730BE0">
      <w:pPr>
        <w:spacing w:line="240" w:lineRule="auto"/>
        <w:jc w:val="both"/>
        <w:rPr>
          <w:rFonts w:ascii="Sakkal Majalla" w:eastAsia="Times New Roman" w:hAnsi="Sakkal Majalla" w:cs="Sakkal Majalla"/>
          <w:b/>
          <w:bCs/>
          <w:color w:val="0F1115"/>
          <w:sz w:val="28"/>
          <w:szCs w:val="28"/>
          <w:rtl/>
        </w:rPr>
      </w:pPr>
      <w:r w:rsidRPr="00C95ADF">
        <w:rPr>
          <w:rFonts w:ascii="Sakkal Majalla" w:eastAsia="Times New Roman" w:hAnsi="Sakkal Majalla" w:cs="Sakkal Majalla"/>
          <w:b/>
          <w:bCs/>
          <w:color w:val="0F1115"/>
          <w:sz w:val="28"/>
          <w:szCs w:val="28"/>
          <w:rtl/>
        </w:rPr>
        <w:t>ثانياً: نظرية الموارد (</w:t>
      </w:r>
      <w:r w:rsidRPr="00C95ADF">
        <w:rPr>
          <w:rFonts w:ascii="Sakkal Majalla" w:eastAsia="Times New Roman" w:hAnsi="Sakkal Majalla" w:cs="Sakkal Majalla"/>
          <w:b/>
          <w:bCs/>
          <w:color w:val="0F1115"/>
          <w:sz w:val="28"/>
          <w:szCs w:val="28"/>
        </w:rPr>
        <w:t>Resource-Based View Theory</w:t>
      </w:r>
      <w:r w:rsidRPr="00C95ADF">
        <w:rPr>
          <w:rFonts w:ascii="Sakkal Majalla" w:eastAsia="Times New Roman" w:hAnsi="Sakkal Majalla" w:cs="Sakkal Majalla"/>
          <w:b/>
          <w:bCs/>
          <w:color w:val="0F1115"/>
          <w:sz w:val="28"/>
          <w:szCs w:val="28"/>
          <w:rtl/>
        </w:rPr>
        <w:t>)</w:t>
      </w:r>
    </w:p>
    <w:p w14:paraId="6E4CA629" w14:textId="77777777" w:rsidR="00273BD1" w:rsidRPr="00C95ADF" w:rsidRDefault="00273BD1" w:rsidP="00730BE0">
      <w:pPr>
        <w:spacing w:line="240" w:lineRule="auto"/>
        <w:jc w:val="both"/>
        <w:rPr>
          <w:rFonts w:ascii="Sakkal Majalla" w:eastAsia="Times New Roman" w:hAnsi="Sakkal Majalla" w:cs="Sakkal Majalla"/>
          <w:b/>
          <w:bCs/>
          <w:color w:val="0F1115"/>
          <w:sz w:val="28"/>
          <w:szCs w:val="28"/>
        </w:rPr>
      </w:pPr>
    </w:p>
    <w:p w14:paraId="0D8F5C9F" w14:textId="77777777" w:rsidR="00273BD1" w:rsidRPr="00091E7C" w:rsidRDefault="00273BD1" w:rsidP="00730BE0">
      <w:pPr>
        <w:spacing w:line="240" w:lineRule="auto"/>
        <w:ind w:firstLine="720"/>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تُعد نظرية الموارد من أكثر النظريات استخدامًا في تفسير الميزة التنافسية المستدامة، حيث ترى أن قدرة المؤسسة على تحقيق أداء متميز تعتمد على امتلاكها موارد داخلية ذات قيمة، يصعب تقليدها أو استبدالها.</w:t>
      </w:r>
    </w:p>
    <w:p w14:paraId="4FE10A04" w14:textId="77777777" w:rsidR="00273BD1" w:rsidRDefault="00273BD1" w:rsidP="00730BE0">
      <w:pPr>
        <w:spacing w:line="240" w:lineRule="auto"/>
        <w:ind w:firstLine="720"/>
        <w:jc w:val="both"/>
        <w:rPr>
          <w:rFonts w:ascii="Sakkal Majalla" w:eastAsia="Times New Roman" w:hAnsi="Sakkal Majalla" w:cs="Sakkal Majalla"/>
          <w:color w:val="0F1115"/>
          <w:sz w:val="28"/>
          <w:szCs w:val="28"/>
          <w:rtl/>
        </w:rPr>
      </w:pPr>
    </w:p>
    <w:p w14:paraId="074A1585" w14:textId="77777777" w:rsidR="00273BD1" w:rsidRPr="00091E7C" w:rsidRDefault="00273BD1" w:rsidP="00730BE0">
      <w:pPr>
        <w:spacing w:line="240" w:lineRule="auto"/>
        <w:ind w:firstLine="720"/>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وفي ضوء هذه النظرية، يمكن النظر إلى استراتيجيات إدارة المخاطر باعتبارها موردًا استراتيجيًا يسهم في تحسين جودة القرارات، ورفع كفاءة العمليات، وتقليل الخسائر، وتعزيز قدرة المؤسسة على مواجهة التغيرات. ومن ثم، فإن المؤسسات التي تطبق استراتيجيات فعالة لإدارة المخاطر تكون أكثر قدرة على تحقيق الاستدامة مقارنة بالمؤسسات التي تفتقر إلى تلك الاستراتيجيات.</w:t>
      </w:r>
    </w:p>
    <w:p w14:paraId="40284F88"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p>
    <w:p w14:paraId="657FE16E" w14:textId="77777777" w:rsidR="00273BD1" w:rsidRDefault="00273BD1" w:rsidP="00730BE0">
      <w:pPr>
        <w:spacing w:line="240" w:lineRule="auto"/>
        <w:jc w:val="both"/>
        <w:rPr>
          <w:rFonts w:ascii="Sakkal Majalla" w:eastAsia="Times New Roman" w:hAnsi="Sakkal Majalla" w:cs="Sakkal Majalla"/>
          <w:b/>
          <w:bCs/>
          <w:color w:val="0F1115"/>
          <w:sz w:val="28"/>
          <w:szCs w:val="28"/>
          <w:rtl/>
        </w:rPr>
      </w:pPr>
      <w:r w:rsidRPr="00C95ADF">
        <w:rPr>
          <w:rFonts w:ascii="Sakkal Majalla" w:eastAsia="Times New Roman" w:hAnsi="Sakkal Majalla" w:cs="Sakkal Majalla"/>
          <w:b/>
          <w:bCs/>
          <w:color w:val="0F1115"/>
          <w:sz w:val="28"/>
          <w:szCs w:val="28"/>
          <w:rtl/>
        </w:rPr>
        <w:t>ثالثاً: نظرية أصحاب المصلحة (</w:t>
      </w:r>
      <w:r w:rsidRPr="00C95ADF">
        <w:rPr>
          <w:rFonts w:ascii="Sakkal Majalla" w:eastAsia="Times New Roman" w:hAnsi="Sakkal Majalla" w:cs="Sakkal Majalla"/>
          <w:b/>
          <w:bCs/>
          <w:color w:val="0F1115"/>
          <w:sz w:val="28"/>
          <w:szCs w:val="28"/>
        </w:rPr>
        <w:t>Stakeholder Theory</w:t>
      </w:r>
      <w:r w:rsidRPr="00C95ADF">
        <w:rPr>
          <w:rFonts w:ascii="Sakkal Majalla" w:eastAsia="Times New Roman" w:hAnsi="Sakkal Majalla" w:cs="Sakkal Majalla"/>
          <w:b/>
          <w:bCs/>
          <w:color w:val="0F1115"/>
          <w:sz w:val="28"/>
          <w:szCs w:val="28"/>
          <w:rtl/>
        </w:rPr>
        <w:t>)</w:t>
      </w:r>
    </w:p>
    <w:p w14:paraId="75F82EAC" w14:textId="77777777" w:rsidR="00273BD1" w:rsidRPr="00C95ADF" w:rsidRDefault="00273BD1" w:rsidP="00730BE0">
      <w:pPr>
        <w:spacing w:line="240" w:lineRule="auto"/>
        <w:jc w:val="both"/>
        <w:rPr>
          <w:rFonts w:ascii="Sakkal Majalla" w:eastAsia="Times New Roman" w:hAnsi="Sakkal Majalla" w:cs="Sakkal Majalla"/>
          <w:b/>
          <w:bCs/>
          <w:color w:val="0F1115"/>
          <w:sz w:val="28"/>
          <w:szCs w:val="28"/>
        </w:rPr>
      </w:pPr>
    </w:p>
    <w:p w14:paraId="4D236409" w14:textId="77777777" w:rsidR="00273BD1" w:rsidRDefault="00273BD1" w:rsidP="00730BE0">
      <w:pPr>
        <w:spacing w:line="240" w:lineRule="auto"/>
        <w:ind w:firstLine="720"/>
        <w:jc w:val="both"/>
        <w:rPr>
          <w:rFonts w:ascii="Sakkal Majalla" w:eastAsia="Times New Roman" w:hAnsi="Sakkal Majalla" w:cs="Sakkal Majalla"/>
          <w:color w:val="0F1115"/>
          <w:sz w:val="28"/>
          <w:szCs w:val="28"/>
          <w:rtl/>
        </w:rPr>
      </w:pPr>
      <w:r w:rsidRPr="00091E7C">
        <w:rPr>
          <w:rFonts w:ascii="Sakkal Majalla" w:eastAsia="Times New Roman" w:hAnsi="Sakkal Majalla" w:cs="Sakkal Majalla"/>
          <w:color w:val="0F1115"/>
          <w:sz w:val="28"/>
          <w:szCs w:val="28"/>
          <w:rtl/>
        </w:rPr>
        <w:t>تفترض هذه النظرية أن نجاح المؤسسة لا يقاس بتحقيق الأرباح فقط، وإنما بقدرتها على تحقيق التوازن بين مصالح جميع الأطراف ذات العلاقة، مثل العملاء، والموظفين، والموردين، والجهات التنظيمية، والمجتمع.</w:t>
      </w:r>
    </w:p>
    <w:p w14:paraId="61C18828" w14:textId="77777777" w:rsidR="00273BD1" w:rsidRPr="00091E7C" w:rsidRDefault="00273BD1" w:rsidP="00730BE0">
      <w:pPr>
        <w:spacing w:line="240" w:lineRule="auto"/>
        <w:ind w:firstLine="720"/>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وفي قطاع الطاقة، تكتسب هذه النظرية أهمية خاصة؛ إذ إن أي قصور في إدارة المخاطر قد ينعكس بصورة مباشرة على جودة الخدمة، واستمرارية الإمداد، وثقة أصحاب المصلحة. ومن هذا المنطلق، فإن تطبيق استراتيجيات إدارة المخاطر يسهم في تعزيز الثقة المؤسسية، وتحسين جودة الخدمات، ودعم استدامة شركات الطاقة.</w:t>
      </w:r>
    </w:p>
    <w:p w14:paraId="58914D08"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p>
    <w:p w14:paraId="59451854" w14:textId="77777777" w:rsidR="00273BD1" w:rsidRPr="00C95ADF" w:rsidRDefault="00273BD1" w:rsidP="00730BE0">
      <w:pPr>
        <w:spacing w:line="240" w:lineRule="auto"/>
        <w:jc w:val="both"/>
        <w:rPr>
          <w:rFonts w:ascii="Sakkal Majalla" w:eastAsia="Times New Roman" w:hAnsi="Sakkal Majalla" w:cs="Sakkal Majalla"/>
          <w:b/>
          <w:bCs/>
          <w:color w:val="0F1115"/>
          <w:sz w:val="28"/>
          <w:szCs w:val="28"/>
        </w:rPr>
      </w:pPr>
      <w:r w:rsidRPr="00C95ADF">
        <w:rPr>
          <w:rFonts w:ascii="Sakkal Majalla" w:eastAsia="Times New Roman" w:hAnsi="Sakkal Majalla" w:cs="Sakkal Majalla"/>
          <w:b/>
          <w:bCs/>
          <w:color w:val="0F1115"/>
          <w:sz w:val="28"/>
          <w:szCs w:val="28"/>
          <w:rtl/>
        </w:rPr>
        <w:t>رابعاً: نظرية الابتكار التنظيمي (</w:t>
      </w:r>
      <w:r w:rsidRPr="00C95ADF">
        <w:rPr>
          <w:rFonts w:ascii="Sakkal Majalla" w:eastAsia="Times New Roman" w:hAnsi="Sakkal Majalla" w:cs="Sakkal Majalla"/>
          <w:b/>
          <w:bCs/>
          <w:color w:val="0F1115"/>
          <w:sz w:val="28"/>
          <w:szCs w:val="28"/>
        </w:rPr>
        <w:t>Organizational Innovation Theory</w:t>
      </w:r>
      <w:r w:rsidRPr="00C95ADF">
        <w:rPr>
          <w:rFonts w:ascii="Sakkal Majalla" w:eastAsia="Times New Roman" w:hAnsi="Sakkal Majalla" w:cs="Sakkal Majalla"/>
          <w:b/>
          <w:bCs/>
          <w:color w:val="0F1115"/>
          <w:sz w:val="28"/>
          <w:szCs w:val="28"/>
          <w:rtl/>
        </w:rPr>
        <w:t>)</w:t>
      </w:r>
    </w:p>
    <w:p w14:paraId="4AC321FC" w14:textId="77777777" w:rsidR="00273BD1" w:rsidRPr="00091E7C" w:rsidRDefault="00273BD1" w:rsidP="00730BE0">
      <w:pPr>
        <w:spacing w:line="240" w:lineRule="auto"/>
        <w:ind w:firstLine="720"/>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ترى هذه النظرية أن المؤسسات التي تتبنى الابتكار في عملياتها الإدارية والتقنية تكون أكثر قدرة على التكيف مع المتغيرات ومواجهة التحديات.</w:t>
      </w:r>
    </w:p>
    <w:p w14:paraId="3AFBA7B9" w14:textId="77777777" w:rsidR="00273BD1" w:rsidRPr="00091E7C" w:rsidRDefault="00273BD1" w:rsidP="00730BE0">
      <w:pPr>
        <w:spacing w:line="240" w:lineRule="auto"/>
        <w:ind w:firstLine="720"/>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lastRenderedPageBreak/>
        <w:t>وفي مجال إدارة المخاطر، يتمثل الابتكار في استخدام الأنظمة الذكية، والتحول الرقمي، وتحليل البيانات، وتقنيات التنبؤ بالمخاطر، بما يساعد على تحسين كفاءة العمليات التشغيلية وتقليل احتمالية وقوع الأزمات. ويعد هذا التوجه من العوامل التي تدعم استدامة شركات الطاقة وتعزز قدرتها على تحقيق أهدافها الاستراتيجية.</w:t>
      </w:r>
    </w:p>
    <w:p w14:paraId="635E429D"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p>
    <w:p w14:paraId="322E7C25" w14:textId="77777777" w:rsidR="00273BD1" w:rsidRPr="00C95ADF" w:rsidRDefault="00273BD1" w:rsidP="00730BE0">
      <w:pPr>
        <w:spacing w:line="240" w:lineRule="auto"/>
        <w:jc w:val="both"/>
        <w:rPr>
          <w:rFonts w:ascii="Sakkal Majalla" w:eastAsia="Times New Roman" w:hAnsi="Sakkal Majalla" w:cs="Sakkal Majalla"/>
          <w:b/>
          <w:bCs/>
          <w:color w:val="0F1115"/>
          <w:sz w:val="28"/>
          <w:szCs w:val="28"/>
        </w:rPr>
      </w:pPr>
      <w:r w:rsidRPr="00C95ADF">
        <w:rPr>
          <w:rFonts w:ascii="Sakkal Majalla" w:eastAsia="Times New Roman" w:hAnsi="Sakkal Majalla" w:cs="Sakkal Majalla"/>
          <w:b/>
          <w:bCs/>
          <w:color w:val="0F1115"/>
          <w:sz w:val="28"/>
          <w:szCs w:val="28"/>
          <w:rtl/>
        </w:rPr>
        <w:t>خامساً: النموذج المفاهيمي للدراسة</w:t>
      </w:r>
    </w:p>
    <w:p w14:paraId="3C5D5BA0"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استنادًا إلى الأدبيات والدراسات السابقة، تقوم الدراسة على نموذج مفاهيمي يربط بين متغيراتها على النحو الآتي:</w:t>
      </w:r>
    </w:p>
    <w:p w14:paraId="6490EE34" w14:textId="77777777" w:rsidR="00273BD1" w:rsidRPr="00537BEE" w:rsidRDefault="00273BD1" w:rsidP="00730BE0">
      <w:pPr>
        <w:spacing w:line="240" w:lineRule="auto"/>
        <w:jc w:val="both"/>
        <w:rPr>
          <w:rFonts w:ascii="Sakkal Majalla" w:eastAsia="Times New Roman" w:hAnsi="Sakkal Majalla" w:cs="Sakkal Majalla"/>
          <w:b/>
          <w:bCs/>
          <w:color w:val="0F1115"/>
          <w:sz w:val="28"/>
          <w:szCs w:val="28"/>
        </w:rPr>
      </w:pPr>
      <w:r w:rsidRPr="00537BEE">
        <w:rPr>
          <w:rFonts w:ascii="Sakkal Majalla" w:eastAsia="Times New Roman" w:hAnsi="Sakkal Majalla" w:cs="Sakkal Majalla"/>
          <w:b/>
          <w:bCs/>
          <w:color w:val="0F1115"/>
          <w:sz w:val="28"/>
          <w:szCs w:val="28"/>
          <w:rtl/>
        </w:rPr>
        <w:t>المتغير المستقل: استراتيجيات إدارة المخاطر، وتشمل:</w:t>
      </w:r>
    </w:p>
    <w:p w14:paraId="270F1C01"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091E7C">
        <w:rPr>
          <w:rFonts w:ascii="Sakkal Majalla" w:eastAsia="Times New Roman" w:hAnsi="Sakkal Majalla" w:cs="Sakkal Majalla"/>
          <w:color w:val="0F1115"/>
          <w:sz w:val="28"/>
          <w:szCs w:val="28"/>
          <w:rtl/>
        </w:rPr>
        <w:t>تحديد المخاطر.</w:t>
      </w:r>
    </w:p>
    <w:p w14:paraId="09B22769"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091E7C">
        <w:rPr>
          <w:rFonts w:ascii="Sakkal Majalla" w:eastAsia="Times New Roman" w:hAnsi="Sakkal Majalla" w:cs="Sakkal Majalla"/>
          <w:color w:val="0F1115"/>
          <w:sz w:val="28"/>
          <w:szCs w:val="28"/>
          <w:rtl/>
        </w:rPr>
        <w:t xml:space="preserve"> تقييم المخاطر.</w:t>
      </w:r>
    </w:p>
    <w:p w14:paraId="129EA0D8"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w:t>
      </w:r>
      <w:r w:rsidRPr="00091E7C">
        <w:rPr>
          <w:rFonts w:ascii="Sakkal Majalla" w:eastAsia="Times New Roman" w:hAnsi="Sakkal Majalla" w:cs="Sakkal Majalla"/>
          <w:color w:val="0F1115"/>
          <w:sz w:val="28"/>
          <w:szCs w:val="28"/>
          <w:rtl/>
        </w:rPr>
        <w:t xml:space="preserve"> الاستجابة للمخاطر.</w:t>
      </w:r>
    </w:p>
    <w:p w14:paraId="6A8D2CB2"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tl/>
        </w:rPr>
      </w:pPr>
      <w:r w:rsidRPr="00091E7C">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w:t>
      </w:r>
      <w:r w:rsidRPr="00091E7C">
        <w:rPr>
          <w:rFonts w:ascii="Sakkal Majalla" w:eastAsia="Times New Roman" w:hAnsi="Sakkal Majalla" w:cs="Sakkal Majalla"/>
          <w:color w:val="0F1115"/>
          <w:sz w:val="28"/>
          <w:szCs w:val="28"/>
          <w:rtl/>
        </w:rPr>
        <w:t xml:space="preserve"> مراقبة المخاطر.</w:t>
      </w:r>
    </w:p>
    <w:p w14:paraId="44F8ABA4"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p>
    <w:p w14:paraId="12DD798A" w14:textId="77777777" w:rsidR="00273BD1" w:rsidRPr="00537BEE" w:rsidRDefault="00273BD1" w:rsidP="00730BE0">
      <w:pPr>
        <w:spacing w:line="240" w:lineRule="auto"/>
        <w:jc w:val="both"/>
        <w:rPr>
          <w:rFonts w:ascii="Sakkal Majalla" w:eastAsia="Times New Roman" w:hAnsi="Sakkal Majalla" w:cs="Sakkal Majalla"/>
          <w:b/>
          <w:bCs/>
          <w:color w:val="0F1115"/>
          <w:sz w:val="28"/>
          <w:szCs w:val="28"/>
        </w:rPr>
      </w:pPr>
      <w:r w:rsidRPr="00537BEE">
        <w:rPr>
          <w:rFonts w:ascii="Sakkal Majalla" w:eastAsia="Times New Roman" w:hAnsi="Sakkal Majalla" w:cs="Sakkal Majalla"/>
          <w:b/>
          <w:bCs/>
          <w:color w:val="0F1115"/>
          <w:sz w:val="28"/>
          <w:szCs w:val="28"/>
          <w:rtl/>
        </w:rPr>
        <w:t xml:space="preserve"> المتغير التابع: استدامة شركات الطاقة، وتشمل:</w:t>
      </w:r>
    </w:p>
    <w:p w14:paraId="558C5722"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091E7C">
        <w:rPr>
          <w:rFonts w:ascii="Sakkal Majalla" w:eastAsia="Times New Roman" w:hAnsi="Sakkal Majalla" w:cs="Sakkal Majalla"/>
          <w:color w:val="0F1115"/>
          <w:sz w:val="28"/>
          <w:szCs w:val="28"/>
          <w:rtl/>
        </w:rPr>
        <w:t>الاستدامة الاقتصادية.</w:t>
      </w:r>
    </w:p>
    <w:p w14:paraId="03F78F71"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091E7C">
        <w:rPr>
          <w:rFonts w:ascii="Sakkal Majalla" w:eastAsia="Times New Roman" w:hAnsi="Sakkal Majalla" w:cs="Sakkal Majalla"/>
          <w:color w:val="0F1115"/>
          <w:sz w:val="28"/>
          <w:szCs w:val="28"/>
          <w:rtl/>
        </w:rPr>
        <w:t xml:space="preserve"> الاستدامة التشغيلية.</w:t>
      </w:r>
    </w:p>
    <w:p w14:paraId="4B469E98"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r w:rsidRPr="00091E7C">
        <w:rPr>
          <w:rFonts w:ascii="Sakkal Majalla" w:eastAsia="Times New Roman" w:hAnsi="Sakkal Majalla" w:cs="Sakkal Majalla"/>
          <w:color w:val="0F1115"/>
          <w:sz w:val="28"/>
          <w:szCs w:val="28"/>
          <w:rtl/>
        </w:rPr>
        <w:t xml:space="preserve">    </w:t>
      </w:r>
      <w:r>
        <w:rPr>
          <w:rFonts w:ascii="Sakkal Majalla" w:eastAsia="Times New Roman" w:hAnsi="Sakkal Majalla" w:cs="Sakkal Majalla" w:hint="cs"/>
          <w:color w:val="0F1115"/>
          <w:sz w:val="28"/>
          <w:szCs w:val="28"/>
          <w:rtl/>
        </w:rPr>
        <w:t xml:space="preserve">- </w:t>
      </w:r>
      <w:r w:rsidRPr="00091E7C">
        <w:rPr>
          <w:rFonts w:ascii="Sakkal Majalla" w:eastAsia="Times New Roman" w:hAnsi="Sakkal Majalla" w:cs="Sakkal Majalla"/>
          <w:color w:val="0F1115"/>
          <w:sz w:val="28"/>
          <w:szCs w:val="28"/>
          <w:rtl/>
        </w:rPr>
        <w:t xml:space="preserve"> الاستدامة البيئية.</w:t>
      </w:r>
    </w:p>
    <w:p w14:paraId="6F3EFE10" w14:textId="77777777" w:rsidR="00273BD1" w:rsidRPr="00091E7C" w:rsidRDefault="00273BD1" w:rsidP="00730BE0">
      <w:pPr>
        <w:spacing w:line="240" w:lineRule="auto"/>
        <w:jc w:val="both"/>
        <w:rPr>
          <w:rFonts w:ascii="Sakkal Majalla" w:eastAsia="Times New Roman" w:hAnsi="Sakkal Majalla" w:cs="Sakkal Majalla"/>
          <w:color w:val="0F1115"/>
          <w:sz w:val="28"/>
          <w:szCs w:val="28"/>
        </w:rPr>
      </w:pPr>
    </w:p>
    <w:p w14:paraId="5EA5ABA3" w14:textId="77777777" w:rsidR="00273BD1" w:rsidRPr="00091E7C" w:rsidRDefault="00273BD1" w:rsidP="00730BE0">
      <w:pPr>
        <w:spacing w:line="240" w:lineRule="auto"/>
        <w:ind w:firstLine="720"/>
        <w:jc w:val="both"/>
        <w:rPr>
          <w:rFonts w:ascii="Sakkal Majalla" w:eastAsia="Times New Roman" w:hAnsi="Sakkal Majalla" w:cs="Sakkal Majalla"/>
          <w:color w:val="0F1115"/>
          <w:sz w:val="28"/>
          <w:szCs w:val="28"/>
          <w:rtl/>
        </w:rPr>
      </w:pPr>
      <w:r w:rsidRPr="00091E7C">
        <w:rPr>
          <w:rFonts w:ascii="Sakkal Majalla" w:eastAsia="Times New Roman" w:hAnsi="Sakkal Majalla" w:cs="Sakkal Majalla"/>
          <w:color w:val="0F1115"/>
          <w:sz w:val="28"/>
          <w:szCs w:val="28"/>
          <w:rtl/>
        </w:rPr>
        <w:t>ويفترض النموذج أن تطبيق استراتيجيات إدارة المخاطر بصورة فعالة يؤدي إلى تحسين أبعاد الاستدامة المختلفة داخل الشركة السعودية للكهرباء.</w:t>
      </w:r>
    </w:p>
    <w:p w14:paraId="14B687C6" w14:textId="77777777" w:rsidR="00273BD1" w:rsidRPr="00091E7C" w:rsidRDefault="00273BD1" w:rsidP="00730BE0">
      <w:pPr>
        <w:spacing w:line="240" w:lineRule="auto"/>
        <w:jc w:val="both"/>
        <w:rPr>
          <w:rFonts w:ascii="Sakkal Majalla" w:eastAsia="Times New Roman" w:hAnsi="Sakkal Majalla" w:cs="Sakkal Majalla"/>
          <w:b/>
          <w:bCs/>
          <w:color w:val="0F1115"/>
          <w:sz w:val="28"/>
          <w:szCs w:val="28"/>
        </w:rPr>
      </w:pPr>
    </w:p>
    <w:p w14:paraId="39837E90" w14:textId="77777777" w:rsidR="00273BD1" w:rsidRPr="00537BEE" w:rsidRDefault="00273BD1" w:rsidP="00730BE0">
      <w:pPr>
        <w:spacing w:line="240" w:lineRule="auto"/>
        <w:jc w:val="both"/>
        <w:rPr>
          <w:rFonts w:ascii="Sakkal Majalla" w:eastAsia="Times New Roman" w:hAnsi="Sakkal Majalla" w:cs="Sakkal Majalla"/>
          <w:b/>
          <w:bCs/>
          <w:color w:val="0F1115"/>
          <w:sz w:val="28"/>
          <w:szCs w:val="28"/>
        </w:rPr>
      </w:pPr>
      <w:r w:rsidRPr="00537BEE">
        <w:rPr>
          <w:rFonts w:ascii="Sakkal Majalla" w:eastAsia="Times New Roman" w:hAnsi="Sakkal Majalla" w:cs="Sakkal Majalla"/>
          <w:b/>
          <w:bCs/>
          <w:color w:val="0F1115"/>
          <w:sz w:val="28"/>
          <w:szCs w:val="28"/>
          <w:rtl/>
        </w:rPr>
        <w:t>سادساً: علاقة المنطلقات النظرية بالدراسة</w:t>
      </w:r>
    </w:p>
    <w:p w14:paraId="1910BFC0" w14:textId="470A1BBA" w:rsidR="002B36F8" w:rsidRDefault="00273BD1" w:rsidP="00273BD1">
      <w:pPr>
        <w:rPr>
          <w:rtl/>
        </w:rPr>
      </w:pPr>
      <w:r w:rsidRPr="00091E7C">
        <w:rPr>
          <w:rFonts w:ascii="Sakkal Majalla" w:eastAsia="Times New Roman" w:hAnsi="Sakkal Majalla" w:cs="Sakkal Majalla"/>
          <w:color w:val="0F1115"/>
          <w:sz w:val="28"/>
          <w:szCs w:val="28"/>
          <w:rtl/>
        </w:rPr>
        <w:t>تُسهم المنطلقات النظرية في تفسير العلاقة بين متغيرات الدراسة، وتوفر أساسًا علميًا لبناء الفرضيات وتفسير النتائج. كما تساعد في ربط الجانب النظري بالتطبيق العملي في قطاع الطاقة، بما يعزز القيمة العلمية للدراسة، ويدعم إمكانية الاستفادة من نتائجها في تطوير ممارسات إدارة المخاطر وتحقيق استدامة شركات الطاقة</w:t>
      </w:r>
      <w:r w:rsidR="007B3BDD">
        <w:rPr>
          <w:rFonts w:hint="cs"/>
          <w:rtl/>
        </w:rPr>
        <w:t>.</w:t>
      </w:r>
    </w:p>
    <w:p w14:paraId="63B532EA" w14:textId="77777777" w:rsidR="007B3BDD" w:rsidRDefault="007B3BDD" w:rsidP="00273BD1">
      <w:pPr>
        <w:rPr>
          <w:rtl/>
        </w:rPr>
      </w:pPr>
    </w:p>
    <w:p w14:paraId="76687007" w14:textId="77777777" w:rsidR="007B3BDD" w:rsidRDefault="007B3BDD" w:rsidP="00273BD1">
      <w:pPr>
        <w:rPr>
          <w:rtl/>
        </w:rPr>
      </w:pPr>
    </w:p>
    <w:p w14:paraId="23A28C44" w14:textId="77777777" w:rsidR="007B3BDD" w:rsidRDefault="007B3BDD" w:rsidP="00273BD1">
      <w:pPr>
        <w:rPr>
          <w:rtl/>
        </w:rPr>
      </w:pPr>
    </w:p>
    <w:p w14:paraId="495AC952" w14:textId="06168F98" w:rsidR="007B3BDD" w:rsidRDefault="007B3BDD" w:rsidP="00273BD1">
      <w:pPr>
        <w:rPr>
          <w:rFonts w:ascii="Sakkal Majalla" w:hAnsi="Sakkal Majalla" w:cs="Sakkal Majalla"/>
          <w:b/>
          <w:bCs/>
          <w:sz w:val="28"/>
          <w:szCs w:val="28"/>
          <w:rtl/>
        </w:rPr>
      </w:pPr>
      <w:r w:rsidRPr="00127CB5">
        <w:rPr>
          <w:rFonts w:ascii="Sakkal Majalla" w:hAnsi="Sakkal Majalla" w:cs="Sakkal Majalla"/>
          <w:b/>
          <w:bCs/>
          <w:sz w:val="28"/>
          <w:szCs w:val="28"/>
          <w:rtl/>
        </w:rPr>
        <w:lastRenderedPageBreak/>
        <w:t>المراجع</w:t>
      </w:r>
    </w:p>
    <w:p w14:paraId="238E6AE3" w14:textId="28F6D24B" w:rsidR="00127CB5" w:rsidRPr="00127CB5" w:rsidRDefault="00127CB5" w:rsidP="00127CB5">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w:t>
      </w:r>
      <w:r w:rsidR="007977E2">
        <w:rPr>
          <w:rFonts w:ascii="Sakkal Majalla" w:hAnsi="Sakkal Majalla" w:cs="Sakkal Majalla" w:hint="cs"/>
          <w:sz w:val="28"/>
          <w:szCs w:val="28"/>
          <w:u w:val="single"/>
          <w:rtl/>
        </w:rPr>
        <w:t>عربية</w:t>
      </w:r>
    </w:p>
    <w:p w14:paraId="72AC89B7"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14:ligatures w14:val="none"/>
        </w:rPr>
      </w:pPr>
      <w:r w:rsidRPr="00127CB5">
        <w:rPr>
          <w:rFonts w:ascii="Sakkal Majalla" w:eastAsiaTheme="minorEastAsia" w:hAnsi="Sakkal Majalla" w:cs="Sakkal Majalla"/>
          <w:kern w:val="0"/>
          <w:sz w:val="24"/>
          <w:szCs w:val="24"/>
          <w:rtl/>
          <w14:ligatures w14:val="none"/>
        </w:rPr>
        <w:t xml:space="preserve">أرامكو السعودية. (2025).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"https://www.aramco.com/ar/sustainability/sustainability-report</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i/>
          <w:iCs/>
          <w:color w:val="0000FF"/>
          <w:kern w:val="0"/>
          <w:sz w:val="24"/>
          <w:szCs w:val="24"/>
          <w:u w:val="single"/>
          <w:rtl/>
          <w14:ligatures w14:val="none"/>
        </w:rPr>
        <w:t>تقرير الاستدامة لعام 2025</w:t>
      </w:r>
      <w:r w:rsidRPr="00127CB5">
        <w:rPr>
          <w:rFonts w:ascii="Sakkal Majalla" w:eastAsiaTheme="minorEastAsia" w:hAnsi="Sakkal Majalla" w:cs="Sakkal Majalla"/>
          <w:kern w:val="0"/>
          <w:sz w:val="24"/>
          <w:szCs w:val="24"/>
          <w:rtl/>
          <w14:ligatures w14:val="none"/>
        </w:rPr>
        <w:fldChar w:fldCharType="end"/>
      </w:r>
      <w:r w:rsidRPr="00127CB5">
        <w:rPr>
          <w:rFonts w:ascii="Sakkal Majalla" w:eastAsiaTheme="minorEastAsia" w:hAnsi="Sakkal Majalla" w:cs="Sakkal Majalla"/>
          <w:kern w:val="0"/>
          <w:sz w:val="24"/>
          <w:szCs w:val="24"/>
          <w:rtl/>
          <w14:ligatures w14:val="none"/>
        </w:rPr>
        <w:t>. شركة الزيت العربية السعودية.</w:t>
      </w:r>
    </w:p>
    <w:p w14:paraId="602C271E"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الشركة السعودية للكهرباء. (2023أ). </w:t>
      </w:r>
      <w:r w:rsidRPr="00127CB5">
        <w:rPr>
          <w:rFonts w:ascii="Sakkal Majalla" w:eastAsiaTheme="minorEastAsia" w:hAnsi="Sakkal Majalla" w:cs="Sakkal Majalla"/>
          <w:i/>
          <w:iCs/>
          <w:kern w:val="0"/>
          <w:sz w:val="24"/>
          <w:szCs w:val="24"/>
          <w:rtl/>
          <w14:ligatures w14:val="none"/>
        </w:rPr>
        <w:t>التقرير السنوي لعام 2023</w:t>
      </w:r>
      <w:r w:rsidRPr="00127CB5">
        <w:rPr>
          <w:rFonts w:ascii="Sakkal Majalla" w:eastAsiaTheme="minorEastAsia" w:hAnsi="Sakkal Majalla" w:cs="Sakkal Majalla"/>
          <w:kern w:val="0"/>
          <w:sz w:val="24"/>
          <w:szCs w:val="24"/>
          <w:rtl/>
          <w14:ligatures w14:val="none"/>
        </w:rPr>
        <w:t xml:space="preserve">. </w:t>
      </w:r>
      <w:hyperlink r:id="rId8" w:history="1">
        <w:r w:rsidRPr="00127CB5">
          <w:rPr>
            <w:rFonts w:ascii="Sakkal Majalla" w:eastAsiaTheme="minorEastAsia" w:hAnsi="Sakkal Majalla" w:cs="Sakkal Majalla"/>
            <w:color w:val="0000FF"/>
            <w:kern w:val="0"/>
            <w:sz w:val="24"/>
            <w:szCs w:val="24"/>
            <w:u w:val="single"/>
            <w14:ligatures w14:val="none"/>
          </w:rPr>
          <w:t>https://www.se.com.sa</w:t>
        </w:r>
        <w:r w:rsidRPr="00127CB5">
          <w:rPr>
            <w:rFonts w:ascii="Sakkal Majalla" w:eastAsiaTheme="minorEastAsia" w:hAnsi="Sakkal Majalla" w:cs="Sakkal Majalla"/>
            <w:color w:val="0000FF"/>
            <w:kern w:val="0"/>
            <w:sz w:val="24"/>
            <w:szCs w:val="24"/>
            <w:u w:val="single"/>
            <w:rtl/>
            <w14:ligatures w14:val="none"/>
          </w:rPr>
          <w:t>/</w:t>
        </w:r>
      </w:hyperlink>
    </w:p>
    <w:p w14:paraId="18E58A7C"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الشركة السعودية للكهرباء. (2023ب). </w:t>
      </w:r>
      <w:r w:rsidRPr="00127CB5">
        <w:rPr>
          <w:rFonts w:ascii="Sakkal Majalla" w:eastAsiaTheme="minorEastAsia" w:hAnsi="Sakkal Majalla" w:cs="Sakkal Majalla"/>
          <w:i/>
          <w:iCs/>
          <w:kern w:val="0"/>
          <w:sz w:val="24"/>
          <w:szCs w:val="24"/>
          <w:rtl/>
          <w14:ligatures w14:val="none"/>
        </w:rPr>
        <w:t>تقرير الاستدامة لعام 2023</w:t>
      </w:r>
      <w:r w:rsidRPr="00127CB5">
        <w:rPr>
          <w:rFonts w:ascii="Sakkal Majalla" w:eastAsiaTheme="minorEastAsia" w:hAnsi="Sakkal Majalla" w:cs="Sakkal Majalla"/>
          <w:kern w:val="0"/>
          <w:sz w:val="24"/>
          <w:szCs w:val="24"/>
          <w:rtl/>
          <w14:ligatures w14:val="none"/>
        </w:rPr>
        <w:t xml:space="preserve">. </w:t>
      </w:r>
      <w:hyperlink r:id="rId9" w:history="1">
        <w:r w:rsidRPr="00127CB5">
          <w:rPr>
            <w:rFonts w:ascii="Sakkal Majalla" w:eastAsiaTheme="minorEastAsia" w:hAnsi="Sakkal Majalla" w:cs="Sakkal Majalla"/>
            <w:color w:val="0000FF"/>
            <w:kern w:val="0"/>
            <w:sz w:val="24"/>
            <w:szCs w:val="24"/>
            <w:u w:val="single"/>
            <w14:ligatures w14:val="none"/>
          </w:rPr>
          <w:t>https://www.se.com.sa</w:t>
        </w:r>
        <w:r w:rsidRPr="00127CB5">
          <w:rPr>
            <w:rFonts w:ascii="Sakkal Majalla" w:eastAsiaTheme="minorEastAsia" w:hAnsi="Sakkal Majalla" w:cs="Sakkal Majalla"/>
            <w:color w:val="0000FF"/>
            <w:kern w:val="0"/>
            <w:sz w:val="24"/>
            <w:szCs w:val="24"/>
            <w:u w:val="single"/>
            <w:rtl/>
            <w14:ligatures w14:val="none"/>
          </w:rPr>
          <w:t>/</w:t>
        </w:r>
      </w:hyperlink>
    </w:p>
    <w:p w14:paraId="38FE6FB2"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الهيئة العامة للإحصاء. (2024). </w:t>
      </w:r>
      <w:r w:rsidRPr="00127CB5">
        <w:rPr>
          <w:rFonts w:ascii="Sakkal Majalla" w:eastAsiaTheme="minorEastAsia" w:hAnsi="Sakkal Majalla" w:cs="Sakkal Majalla"/>
          <w:i/>
          <w:iCs/>
          <w:kern w:val="0"/>
          <w:sz w:val="24"/>
          <w:szCs w:val="24"/>
          <w:rtl/>
          <w14:ligatures w14:val="none"/>
        </w:rPr>
        <w:t>إحصاءات الطاقة الكهربائية لعام 2023</w:t>
      </w:r>
      <w:r w:rsidRPr="00127CB5">
        <w:rPr>
          <w:rFonts w:ascii="Sakkal Majalla" w:eastAsiaTheme="minorEastAsia" w:hAnsi="Sakkal Majalla" w:cs="Sakkal Majalla"/>
          <w:kern w:val="0"/>
          <w:sz w:val="24"/>
          <w:szCs w:val="24"/>
          <w:rtl/>
          <w14:ligatures w14:val="none"/>
        </w:rPr>
        <w:t xml:space="preserve">. المملكة العربية السعودية.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"https://www.stats.gov.sa</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color w:val="0000FF"/>
          <w:kern w:val="0"/>
          <w:sz w:val="24"/>
          <w:szCs w:val="24"/>
          <w:u w:val="single"/>
          <w14:ligatures w14:val="none"/>
        </w:rPr>
        <w:t>https://www.stats.gov.sa</w:t>
      </w:r>
      <w:r w:rsidRPr="00127CB5">
        <w:rPr>
          <w:rFonts w:ascii="Sakkal Majalla" w:eastAsiaTheme="minorEastAsia" w:hAnsi="Sakkal Majalla" w:cs="Sakkal Majalla"/>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p>
    <w:p w14:paraId="140FBF6E"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الهيئة الوطنية للأمن السيبراني. (2018).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"https://nca.gov.sa/ecc-ar.pdf</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i/>
          <w:iCs/>
          <w:color w:val="0000FF"/>
          <w:kern w:val="0"/>
          <w:sz w:val="24"/>
          <w:szCs w:val="24"/>
          <w:u w:val="single"/>
          <w:rtl/>
          <w14:ligatures w14:val="none"/>
        </w:rPr>
        <w:t>الضوابط الأساسية للأمن السيبراني (</w:t>
      </w:r>
      <w:r w:rsidRPr="00127CB5">
        <w:rPr>
          <w:rFonts w:ascii="Sakkal Majalla" w:eastAsiaTheme="minorEastAsia" w:hAnsi="Sakkal Majalla" w:cs="Sakkal Majalla"/>
          <w:i/>
          <w:iCs/>
          <w:color w:val="0000FF"/>
          <w:kern w:val="0"/>
          <w:sz w:val="24"/>
          <w:szCs w:val="24"/>
          <w:u w:val="single"/>
          <w14:ligatures w14:val="none"/>
        </w:rPr>
        <w:t>ECC–1:2018</w:t>
      </w:r>
      <w:r w:rsidRPr="00127CB5">
        <w:rPr>
          <w:rFonts w:ascii="Sakkal Majalla" w:eastAsiaTheme="minorEastAsia" w:hAnsi="Sakkal Majalla" w:cs="Sakkal Majalla"/>
          <w:i/>
          <w:iCs/>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r w:rsidRPr="00127CB5">
        <w:rPr>
          <w:rFonts w:ascii="Sakkal Majalla" w:eastAsiaTheme="minorEastAsia" w:hAnsi="Sakkal Majalla" w:cs="Sakkal Majalla"/>
          <w:kern w:val="0"/>
          <w:sz w:val="24"/>
          <w:szCs w:val="24"/>
          <w:rtl/>
          <w14:ligatures w14:val="none"/>
        </w:rPr>
        <w:t>. المملكة العربية السعودية.</w:t>
      </w:r>
    </w:p>
    <w:p w14:paraId="3B2FA88B"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الهيئة الوطنية للأمن السيبراني. (2019).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"https://nca.gov.sa/cscc-ar.pdf</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i/>
          <w:iCs/>
          <w:color w:val="0000FF"/>
          <w:kern w:val="0"/>
          <w:sz w:val="24"/>
          <w:szCs w:val="24"/>
          <w:u w:val="single"/>
          <w:rtl/>
          <w14:ligatures w14:val="none"/>
        </w:rPr>
        <w:t>ضوابط الأمن السيبراني للأنظمة الحساسة (</w:t>
      </w:r>
      <w:r w:rsidRPr="00127CB5">
        <w:rPr>
          <w:rFonts w:ascii="Sakkal Majalla" w:eastAsiaTheme="minorEastAsia" w:hAnsi="Sakkal Majalla" w:cs="Sakkal Majalla"/>
          <w:i/>
          <w:iCs/>
          <w:color w:val="0000FF"/>
          <w:kern w:val="0"/>
          <w:sz w:val="24"/>
          <w:szCs w:val="24"/>
          <w:u w:val="single"/>
          <w14:ligatures w14:val="none"/>
        </w:rPr>
        <w:t>CSCC–1:2019</w:t>
      </w:r>
      <w:r w:rsidRPr="00127CB5">
        <w:rPr>
          <w:rFonts w:ascii="Sakkal Majalla" w:eastAsiaTheme="minorEastAsia" w:hAnsi="Sakkal Majalla" w:cs="Sakkal Majalla"/>
          <w:i/>
          <w:iCs/>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r w:rsidRPr="00127CB5">
        <w:rPr>
          <w:rFonts w:ascii="Sakkal Majalla" w:eastAsiaTheme="minorEastAsia" w:hAnsi="Sakkal Majalla" w:cs="Sakkal Majalla"/>
          <w:kern w:val="0"/>
          <w:sz w:val="24"/>
          <w:szCs w:val="24"/>
          <w:rtl/>
          <w14:ligatures w14:val="none"/>
        </w:rPr>
        <w:t>. المملكة العربية السعودية.</w:t>
      </w:r>
    </w:p>
    <w:p w14:paraId="2E619E36"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المركز السعودي لكفاءة الطاقة. (</w:t>
      </w:r>
      <w:r w:rsidRPr="00127CB5">
        <w:rPr>
          <w:rFonts w:ascii="Sakkal Majalla" w:eastAsiaTheme="minorEastAsia" w:hAnsi="Sakkal Majalla" w:cs="Sakkal Majalla"/>
          <w:kern w:val="0"/>
          <w:sz w:val="24"/>
          <w:szCs w:val="24"/>
          <w14:ligatures w14:val="none"/>
        </w:rPr>
        <w:t>2026</w:t>
      </w:r>
      <w:r w:rsidRPr="00127CB5">
        <w:rPr>
          <w:rFonts w:ascii="Sakkal Majalla" w:eastAsiaTheme="minorEastAsia" w:hAnsi="Sakkal Majalla" w:cs="Sakkal Majalla"/>
          <w:kern w:val="0"/>
          <w:sz w:val="24"/>
          <w:szCs w:val="24"/>
          <w:rtl/>
          <w14:ligatures w14:val="none"/>
        </w:rPr>
        <w:t xml:space="preserve">). </w:t>
      </w:r>
      <w:r w:rsidRPr="00127CB5">
        <w:rPr>
          <w:rFonts w:ascii="Sakkal Majalla" w:eastAsiaTheme="minorEastAsia" w:hAnsi="Sakkal Majalla" w:cs="Sakkal Majalla"/>
          <w:i/>
          <w:iCs/>
          <w:kern w:val="0"/>
          <w:sz w:val="24"/>
          <w:szCs w:val="24"/>
          <w:rtl/>
          <w14:ligatures w14:val="none"/>
        </w:rPr>
        <w:t>البرنامج السعودي لكفاءة الطاقة</w:t>
      </w:r>
      <w:r w:rsidRPr="00127CB5">
        <w:rPr>
          <w:rFonts w:ascii="Sakkal Majalla" w:eastAsiaTheme="minorEastAsia" w:hAnsi="Sakkal Majalla" w:cs="Sakkal Majalla"/>
          <w:kern w:val="0"/>
          <w:sz w:val="24"/>
          <w:szCs w:val="24"/>
          <w:rtl/>
          <w14:ligatures w14:val="none"/>
        </w:rPr>
        <w:t xml:space="preserve">. تم الاسترجاع في 16 يوليو 2026، من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"https://www.seec.gov.sa</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color w:val="0000FF"/>
          <w:kern w:val="0"/>
          <w:sz w:val="24"/>
          <w:szCs w:val="24"/>
          <w:u w:val="single"/>
          <w14:ligatures w14:val="none"/>
        </w:rPr>
        <w:t>https://www.seec.gov.sa</w:t>
      </w:r>
      <w:r w:rsidRPr="00127CB5">
        <w:rPr>
          <w:rFonts w:ascii="Sakkal Majalla" w:eastAsiaTheme="minorEastAsia" w:hAnsi="Sakkal Majalla" w:cs="Sakkal Majalla"/>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p>
    <w:p w14:paraId="71FF3C8E"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المركز الوطني للرقابة على الالتزام البيئي. (2021). </w:t>
      </w:r>
      <w:r w:rsidRPr="00127CB5">
        <w:rPr>
          <w:rFonts w:ascii="Sakkal Majalla" w:eastAsiaTheme="minorEastAsia" w:hAnsi="Sakkal Majalla" w:cs="Sakkal Majalla"/>
          <w:i/>
          <w:iCs/>
          <w:kern w:val="0"/>
          <w:sz w:val="24"/>
          <w:szCs w:val="24"/>
          <w:rtl/>
          <w14:ligatures w14:val="none"/>
        </w:rPr>
        <w:t>اللائحة التنفيذية لجودة الهواء لنظام البيئة</w:t>
      </w:r>
      <w:r w:rsidRPr="00127CB5">
        <w:rPr>
          <w:rFonts w:ascii="Sakkal Majalla" w:eastAsiaTheme="minorEastAsia" w:hAnsi="Sakkal Majalla" w:cs="Sakkal Majalla"/>
          <w:kern w:val="0"/>
          <w:sz w:val="24"/>
          <w:szCs w:val="24"/>
          <w:rtl/>
          <w14:ligatures w14:val="none"/>
        </w:rPr>
        <w:t xml:space="preserve">. المملكة العربية السعودية.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"https://www.ncec.gov.sa</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color w:val="0000FF"/>
          <w:kern w:val="0"/>
          <w:sz w:val="24"/>
          <w:szCs w:val="24"/>
          <w:u w:val="single"/>
          <w14:ligatures w14:val="none"/>
        </w:rPr>
        <w:t>https://www.ncec.gov.sa</w:t>
      </w:r>
      <w:r w:rsidRPr="00127CB5">
        <w:rPr>
          <w:rFonts w:ascii="Sakkal Majalla" w:eastAsiaTheme="minorEastAsia" w:hAnsi="Sakkal Majalla" w:cs="Sakkal Majalla"/>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p>
    <w:p w14:paraId="67C3039A"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المملكة العربية السعودية. (2020أ). </w:t>
      </w:r>
      <w:r w:rsidRPr="00127CB5">
        <w:rPr>
          <w:rFonts w:ascii="Sakkal Majalla" w:eastAsiaTheme="minorEastAsia" w:hAnsi="Sakkal Majalla" w:cs="Sakkal Majalla"/>
          <w:i/>
          <w:iCs/>
          <w:kern w:val="0"/>
          <w:sz w:val="24"/>
          <w:szCs w:val="24"/>
          <w:rtl/>
          <w14:ligatures w14:val="none"/>
        </w:rPr>
        <w:t>نظام البيئة الصادر بالمرسوم الملكي رقم (م/165) وتاريخ 19/11/1441هـ</w:t>
      </w:r>
      <w:r w:rsidRPr="00127CB5">
        <w:rPr>
          <w:rFonts w:ascii="Sakkal Majalla" w:eastAsiaTheme="minorEastAsia" w:hAnsi="Sakkal Majalla" w:cs="Sakkal Majalla"/>
          <w:kern w:val="0"/>
          <w:sz w:val="24"/>
          <w:szCs w:val="24"/>
          <w:rtl/>
          <w14:ligatures w14:val="none"/>
        </w:rPr>
        <w:t xml:space="preserve">. هيئة الخبراء بمجلس الوزراء.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"https://laws.boe.gov.sa</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color w:val="0000FF"/>
          <w:kern w:val="0"/>
          <w:sz w:val="24"/>
          <w:szCs w:val="24"/>
          <w:u w:val="single"/>
          <w14:ligatures w14:val="none"/>
        </w:rPr>
        <w:t>https://laws.boe.gov.sa</w:t>
      </w:r>
      <w:r w:rsidRPr="00127CB5">
        <w:rPr>
          <w:rFonts w:ascii="Sakkal Majalla" w:eastAsiaTheme="minorEastAsia" w:hAnsi="Sakkal Majalla" w:cs="Sakkal Majalla"/>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p>
    <w:p w14:paraId="3F6E1A10"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المملكة العربية السعودية. (2020ب). </w:t>
      </w:r>
      <w:r w:rsidRPr="00127CB5">
        <w:rPr>
          <w:rFonts w:ascii="Sakkal Majalla" w:eastAsiaTheme="minorEastAsia" w:hAnsi="Sakkal Majalla" w:cs="Sakkal Majalla"/>
          <w:i/>
          <w:iCs/>
          <w:kern w:val="0"/>
          <w:sz w:val="24"/>
          <w:szCs w:val="24"/>
          <w:rtl/>
          <w14:ligatures w14:val="none"/>
        </w:rPr>
        <w:t>نظام الكهرباء الصادر بالمرسوم الملكي رقم (م/44) وتاريخ 16/5/1442هـ</w:t>
      </w:r>
      <w:r w:rsidRPr="00127CB5">
        <w:rPr>
          <w:rFonts w:ascii="Sakkal Majalla" w:eastAsiaTheme="minorEastAsia" w:hAnsi="Sakkal Majalla" w:cs="Sakkal Majalla"/>
          <w:kern w:val="0"/>
          <w:sz w:val="24"/>
          <w:szCs w:val="24"/>
          <w:rtl/>
          <w14:ligatures w14:val="none"/>
        </w:rPr>
        <w:t xml:space="preserve">. هيئة الخبراء بمجلس الوزراء.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"https://laws.boe.gov.sa</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color w:val="0000FF"/>
          <w:kern w:val="0"/>
          <w:sz w:val="24"/>
          <w:szCs w:val="24"/>
          <w:u w:val="single"/>
          <w14:ligatures w14:val="none"/>
        </w:rPr>
        <w:t>https://laws.boe.gov.sa</w:t>
      </w:r>
      <w:r w:rsidRPr="00127CB5">
        <w:rPr>
          <w:rFonts w:ascii="Sakkal Majalla" w:eastAsiaTheme="minorEastAsia" w:hAnsi="Sakkal Majalla" w:cs="Sakkal Majalla"/>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p>
    <w:p w14:paraId="7DEABFF6"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المملكة العربية السعودية. (2021). </w:t>
      </w:r>
      <w:r w:rsidRPr="00127CB5">
        <w:rPr>
          <w:rFonts w:ascii="Sakkal Majalla" w:eastAsiaTheme="minorEastAsia" w:hAnsi="Sakkal Majalla" w:cs="Sakkal Majalla"/>
          <w:i/>
          <w:iCs/>
          <w:kern w:val="0"/>
          <w:sz w:val="24"/>
          <w:szCs w:val="24"/>
          <w:rtl/>
          <w14:ligatures w14:val="none"/>
        </w:rPr>
        <w:t>نظام إدارة النفايات الصادر بالمرسوم الملكي رقم (م/3) وتاريخ 5/1/1443هـ</w:t>
      </w:r>
      <w:r w:rsidRPr="00127CB5">
        <w:rPr>
          <w:rFonts w:ascii="Sakkal Majalla" w:eastAsiaTheme="minorEastAsia" w:hAnsi="Sakkal Majalla" w:cs="Sakkal Majalla"/>
          <w:kern w:val="0"/>
          <w:sz w:val="24"/>
          <w:szCs w:val="24"/>
          <w:rtl/>
          <w14:ligatures w14:val="none"/>
        </w:rPr>
        <w:t xml:space="preserve">. هيئة الخبراء بمجلس الوزراء.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"https://laws.boe.gov.sa</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color w:val="0000FF"/>
          <w:kern w:val="0"/>
          <w:sz w:val="24"/>
          <w:szCs w:val="24"/>
          <w:u w:val="single"/>
          <w14:ligatures w14:val="none"/>
        </w:rPr>
        <w:t>https://laws.boe.gov.sa</w:t>
      </w:r>
      <w:r w:rsidRPr="00127CB5">
        <w:rPr>
          <w:rFonts w:ascii="Sakkal Majalla" w:eastAsiaTheme="minorEastAsia" w:hAnsi="Sakkal Majalla" w:cs="Sakkal Majalla"/>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p>
    <w:p w14:paraId="31D32CA4"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مجلس الشؤون الاقتصادية والتنمية. (2016).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"https://www.vision2030.gov.sa/media/rc0b5oy1/saudi_vision203.pdf</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i/>
          <w:iCs/>
          <w:color w:val="0000FF"/>
          <w:kern w:val="0"/>
          <w:sz w:val="24"/>
          <w:szCs w:val="24"/>
          <w:u w:val="single"/>
          <w:rtl/>
          <w14:ligatures w14:val="none"/>
        </w:rPr>
        <w:t>رؤية المملكة العربية السعودية 2030</w:t>
      </w:r>
      <w:r w:rsidRPr="00127CB5">
        <w:rPr>
          <w:rFonts w:ascii="Sakkal Majalla" w:eastAsiaTheme="minorEastAsia" w:hAnsi="Sakkal Majalla" w:cs="Sakkal Majalla"/>
          <w:kern w:val="0"/>
          <w:sz w:val="24"/>
          <w:szCs w:val="24"/>
          <w:rtl/>
          <w14:ligatures w14:val="none"/>
        </w:rPr>
        <w:fldChar w:fldCharType="end"/>
      </w:r>
      <w:r w:rsidRPr="00127CB5">
        <w:rPr>
          <w:rFonts w:ascii="Sakkal Majalla" w:eastAsiaTheme="minorEastAsia" w:hAnsi="Sakkal Majalla" w:cs="Sakkal Majalla"/>
          <w:kern w:val="0"/>
          <w:sz w:val="24"/>
          <w:szCs w:val="24"/>
          <w:rtl/>
          <w14:ligatures w14:val="none"/>
        </w:rPr>
        <w:t>. المملكة العربية السعودية.</w:t>
      </w:r>
    </w:p>
    <w:p w14:paraId="0D645531"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مبادرة السعودية الخضراء. (</w:t>
      </w:r>
      <w:r w:rsidRPr="00127CB5">
        <w:rPr>
          <w:rFonts w:ascii="Sakkal Majalla" w:eastAsiaTheme="minorEastAsia" w:hAnsi="Sakkal Majalla" w:cs="Sakkal Majalla"/>
          <w:kern w:val="0"/>
          <w:sz w:val="24"/>
          <w:szCs w:val="24"/>
          <w14:ligatures w14:val="none"/>
        </w:rPr>
        <w:t>2026</w:t>
      </w:r>
      <w:r w:rsidRPr="00127CB5">
        <w:rPr>
          <w:rFonts w:ascii="Sakkal Majalla" w:eastAsiaTheme="minorEastAsia" w:hAnsi="Sakkal Majalla" w:cs="Sakkal Majalla"/>
          <w:kern w:val="0"/>
          <w:sz w:val="24"/>
          <w:szCs w:val="24"/>
          <w:rtl/>
          <w14:ligatures w14:val="none"/>
        </w:rPr>
        <w:t xml:space="preserve">).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"https://www.sgi.gov.sa/ar-sa</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i/>
          <w:iCs/>
          <w:color w:val="0000FF"/>
          <w:kern w:val="0"/>
          <w:sz w:val="24"/>
          <w:szCs w:val="24"/>
          <w:u w:val="single"/>
          <w:rtl/>
          <w14:ligatures w14:val="none"/>
        </w:rPr>
        <w:t>عن مبادرة السعودية الخضراء ومستهدفاتها</w:t>
      </w:r>
      <w:r w:rsidRPr="00127CB5">
        <w:rPr>
          <w:rFonts w:ascii="Sakkal Majalla" w:eastAsiaTheme="minorEastAsia" w:hAnsi="Sakkal Majalla" w:cs="Sakkal Majalla"/>
          <w:kern w:val="0"/>
          <w:sz w:val="24"/>
          <w:szCs w:val="24"/>
          <w:rtl/>
          <w14:ligatures w14:val="none"/>
        </w:rPr>
        <w:fldChar w:fldCharType="end"/>
      </w:r>
      <w:r w:rsidRPr="00127CB5">
        <w:rPr>
          <w:rFonts w:ascii="Sakkal Majalla" w:eastAsiaTheme="minorEastAsia" w:hAnsi="Sakkal Majalla" w:cs="Sakkal Majalla"/>
          <w:kern w:val="0"/>
          <w:sz w:val="24"/>
          <w:szCs w:val="24"/>
          <w:rtl/>
          <w14:ligatures w14:val="none"/>
        </w:rPr>
        <w:t>. تم الاسترجاع في 16 يوليو 2026.</w:t>
      </w:r>
    </w:p>
    <w:p w14:paraId="5D24E276"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رؤية السعودية 2030. (2025).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"https://www.vision2030.gov.sa/ar/annual-reports</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i/>
          <w:iCs/>
          <w:color w:val="0000FF"/>
          <w:kern w:val="0"/>
          <w:sz w:val="24"/>
          <w:szCs w:val="24"/>
          <w:u w:val="single"/>
          <w:rtl/>
          <w14:ligatures w14:val="none"/>
        </w:rPr>
        <w:t>التقرير السنوي لرؤية السعودية 2030 لعام 2025</w:t>
      </w:r>
      <w:r w:rsidRPr="00127CB5">
        <w:rPr>
          <w:rFonts w:ascii="Sakkal Majalla" w:eastAsiaTheme="minorEastAsia" w:hAnsi="Sakkal Majalla" w:cs="Sakkal Majalla"/>
          <w:kern w:val="0"/>
          <w:sz w:val="24"/>
          <w:szCs w:val="24"/>
          <w:rtl/>
          <w14:ligatures w14:val="none"/>
        </w:rPr>
        <w:fldChar w:fldCharType="end"/>
      </w:r>
      <w:r w:rsidRPr="00127CB5">
        <w:rPr>
          <w:rFonts w:ascii="Sakkal Majalla" w:eastAsiaTheme="minorEastAsia" w:hAnsi="Sakkal Majalla" w:cs="Sakkal Majalla"/>
          <w:kern w:val="0"/>
          <w:sz w:val="24"/>
          <w:szCs w:val="24"/>
          <w:rtl/>
          <w14:ligatures w14:val="none"/>
        </w:rPr>
        <w:t>. المملكة العربية السعودية.</w:t>
      </w:r>
    </w:p>
    <w:p w14:paraId="6B10A267"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وزارة الطاقة. (</w:t>
      </w:r>
      <w:r w:rsidRPr="00127CB5">
        <w:rPr>
          <w:rFonts w:ascii="Sakkal Majalla" w:eastAsiaTheme="minorEastAsia" w:hAnsi="Sakkal Majalla" w:cs="Sakkal Majalla"/>
          <w:kern w:val="0"/>
          <w:sz w:val="24"/>
          <w:szCs w:val="24"/>
          <w14:ligatures w14:val="none"/>
        </w:rPr>
        <w:t>2026</w:t>
      </w:r>
      <w:r w:rsidRPr="00127CB5">
        <w:rPr>
          <w:rFonts w:ascii="Sakkal Majalla" w:eastAsiaTheme="minorEastAsia" w:hAnsi="Sakkal Majalla" w:cs="Sakkal Majalla"/>
          <w:kern w:val="0"/>
          <w:sz w:val="24"/>
          <w:szCs w:val="24"/>
          <w:rtl/>
          <w14:ligatures w14:val="none"/>
        </w:rPr>
        <w:t xml:space="preserve">). </w:t>
      </w:r>
      <w:r w:rsidRPr="00127CB5">
        <w:rPr>
          <w:rFonts w:ascii="Sakkal Majalla" w:eastAsiaTheme="minorEastAsia" w:hAnsi="Sakkal Majalla" w:cs="Sakkal Majalla"/>
          <w:i/>
          <w:iCs/>
          <w:kern w:val="0"/>
          <w:sz w:val="24"/>
          <w:szCs w:val="24"/>
          <w:rtl/>
          <w14:ligatures w14:val="none"/>
        </w:rPr>
        <w:t>البرنامج الوطني للطاقة المتجددة</w:t>
      </w:r>
      <w:r w:rsidRPr="00127CB5">
        <w:rPr>
          <w:rFonts w:ascii="Sakkal Majalla" w:eastAsiaTheme="minorEastAsia" w:hAnsi="Sakkal Majalla" w:cs="Sakkal Majalla"/>
          <w:kern w:val="0"/>
          <w:sz w:val="24"/>
          <w:szCs w:val="24"/>
          <w:rtl/>
          <w14:ligatures w14:val="none"/>
        </w:rPr>
        <w:t xml:space="preserve">. تم الاسترجاع في 16 يوليو 2026، من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"https://www.moenergy.gov.sa</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color w:val="0000FF"/>
          <w:kern w:val="0"/>
          <w:sz w:val="24"/>
          <w:szCs w:val="24"/>
          <w:u w:val="single"/>
          <w14:ligatures w14:val="none"/>
        </w:rPr>
        <w:t>https://www.moenergy.gov.sa</w:t>
      </w:r>
      <w:r w:rsidRPr="00127CB5">
        <w:rPr>
          <w:rFonts w:ascii="Sakkal Majalla" w:eastAsiaTheme="minorEastAsia" w:hAnsi="Sakkal Majalla" w:cs="Sakkal Majalla"/>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p>
    <w:p w14:paraId="78334BF1"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وزارة الطاقة. (2023). </w:t>
      </w:r>
      <w:r w:rsidRPr="00127CB5">
        <w:rPr>
          <w:rFonts w:ascii="Sakkal Majalla" w:eastAsiaTheme="minorEastAsia" w:hAnsi="Sakkal Majalla" w:cs="Sakkal Majalla"/>
          <w:i/>
          <w:iCs/>
          <w:kern w:val="0"/>
          <w:sz w:val="24"/>
          <w:szCs w:val="24"/>
          <w:rtl/>
          <w14:ligatures w14:val="none"/>
        </w:rPr>
        <w:t>التقرير السنوي لوزارة الطاقة لعام 2023</w:t>
      </w:r>
      <w:r w:rsidRPr="00127CB5">
        <w:rPr>
          <w:rFonts w:ascii="Sakkal Majalla" w:eastAsiaTheme="minorEastAsia" w:hAnsi="Sakkal Majalla" w:cs="Sakkal Majalla"/>
          <w:kern w:val="0"/>
          <w:sz w:val="24"/>
          <w:szCs w:val="24"/>
          <w:rtl/>
          <w14:ligatures w14:val="none"/>
        </w:rPr>
        <w:t xml:space="preserve">. المملكة العربية السعودية.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"https://www.moenergy.gov.sa</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color w:val="0000FF"/>
          <w:kern w:val="0"/>
          <w:sz w:val="24"/>
          <w:szCs w:val="24"/>
          <w:u w:val="single"/>
          <w14:ligatures w14:val="none"/>
        </w:rPr>
        <w:t>https://www.moenergy.gov.sa</w:t>
      </w:r>
      <w:r w:rsidRPr="00127CB5">
        <w:rPr>
          <w:rFonts w:ascii="Sakkal Majalla" w:eastAsiaTheme="minorEastAsia" w:hAnsi="Sakkal Majalla" w:cs="Sakkal Majalla"/>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p>
    <w:p w14:paraId="62F5466C"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t xml:space="preserve">هيئة تنظيم المياه والكهرباء. (2023). </w:t>
      </w:r>
      <w:r w:rsidRPr="00127CB5">
        <w:rPr>
          <w:rFonts w:ascii="Sakkal Majalla" w:eastAsiaTheme="minorEastAsia" w:hAnsi="Sakkal Majalla" w:cs="Sakkal Majalla"/>
          <w:i/>
          <w:iCs/>
          <w:kern w:val="0"/>
          <w:sz w:val="24"/>
          <w:szCs w:val="24"/>
          <w:rtl/>
          <w14:ligatures w14:val="none"/>
        </w:rPr>
        <w:t>التقرير السنوي لعام 2023</w:t>
      </w:r>
      <w:r w:rsidRPr="00127CB5">
        <w:rPr>
          <w:rFonts w:ascii="Sakkal Majalla" w:eastAsiaTheme="minorEastAsia" w:hAnsi="Sakkal Majalla" w:cs="Sakkal Majalla"/>
          <w:kern w:val="0"/>
          <w:sz w:val="24"/>
          <w:szCs w:val="24"/>
          <w:rtl/>
          <w14:ligatures w14:val="none"/>
        </w:rPr>
        <w:t xml:space="preserve">. المملكة العربية السعودية.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"https://www.wera.gov.sa</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color w:val="0000FF"/>
          <w:kern w:val="0"/>
          <w:sz w:val="24"/>
          <w:szCs w:val="24"/>
          <w:u w:val="single"/>
          <w14:ligatures w14:val="none"/>
        </w:rPr>
        <w:t>https://www.wera.gov.sa</w:t>
      </w:r>
      <w:r w:rsidRPr="00127CB5">
        <w:rPr>
          <w:rFonts w:ascii="Sakkal Majalla" w:eastAsiaTheme="minorEastAsia" w:hAnsi="Sakkal Majalla" w:cs="Sakkal Majalla"/>
          <w:color w:val="0000FF"/>
          <w:kern w:val="0"/>
          <w:sz w:val="24"/>
          <w:szCs w:val="24"/>
          <w:u w:val="single"/>
          <w:rtl/>
          <w14:ligatures w14:val="none"/>
        </w:rPr>
        <w:t>/</w:t>
      </w:r>
      <w:r w:rsidRPr="00127CB5">
        <w:rPr>
          <w:rFonts w:ascii="Sakkal Majalla" w:eastAsiaTheme="minorEastAsia" w:hAnsi="Sakkal Majalla" w:cs="Sakkal Majalla"/>
          <w:kern w:val="0"/>
          <w:sz w:val="24"/>
          <w:szCs w:val="24"/>
          <w:rtl/>
          <w14:ligatures w14:val="none"/>
        </w:rPr>
        <w:fldChar w:fldCharType="end"/>
      </w:r>
    </w:p>
    <w:p w14:paraId="769B9065" w14:textId="77777777" w:rsidR="007B3BDD" w:rsidRPr="00127CB5" w:rsidRDefault="007B3BDD" w:rsidP="00730BE0">
      <w:pPr>
        <w:spacing w:before="100" w:beforeAutospacing="1" w:after="100" w:afterAutospacing="1" w:line="240" w:lineRule="auto"/>
        <w:jc w:val="both"/>
        <w:rPr>
          <w:rFonts w:ascii="Sakkal Majalla" w:eastAsiaTheme="minorEastAsia" w:hAnsi="Sakkal Majalla" w:cs="Sakkal Majalla"/>
          <w:kern w:val="0"/>
          <w:sz w:val="24"/>
          <w:szCs w:val="24"/>
          <w:rtl/>
          <w14:ligatures w14:val="none"/>
        </w:rPr>
      </w:pPr>
      <w:r w:rsidRPr="00127CB5">
        <w:rPr>
          <w:rFonts w:ascii="Sakkal Majalla" w:eastAsiaTheme="minorEastAsia" w:hAnsi="Sakkal Majalla" w:cs="Sakkal Majalla"/>
          <w:kern w:val="0"/>
          <w:sz w:val="24"/>
          <w:szCs w:val="24"/>
          <w:rtl/>
          <w14:ligatures w14:val="none"/>
        </w:rPr>
        <w:lastRenderedPageBreak/>
        <w:t xml:space="preserve">هيئة السوق المالية. (2023). </w:t>
      </w:r>
      <w:r w:rsidRPr="00127CB5">
        <w:rPr>
          <w:rFonts w:ascii="Sakkal Majalla" w:eastAsiaTheme="minorEastAsia" w:hAnsi="Sakkal Majalla" w:cs="Sakkal Majalla"/>
          <w:i/>
          <w:iCs/>
          <w:kern w:val="0"/>
          <w:sz w:val="24"/>
          <w:szCs w:val="24"/>
          <w:rtl/>
          <w14:ligatures w14:val="none"/>
        </w:rPr>
        <w:t>لائحة حوكمة الشركات</w:t>
      </w:r>
      <w:r w:rsidRPr="00127CB5">
        <w:rPr>
          <w:rFonts w:ascii="Sakkal Majalla" w:eastAsiaTheme="minorEastAsia" w:hAnsi="Sakkal Majalla" w:cs="Sakkal Majalla"/>
          <w:kern w:val="0"/>
          <w:sz w:val="24"/>
          <w:szCs w:val="24"/>
          <w:rtl/>
          <w14:ligatures w14:val="none"/>
        </w:rPr>
        <w:t xml:space="preserve">. المملكة العربية السعودية. </w:t>
      </w:r>
      <w:r w:rsidRPr="00127CB5">
        <w:rPr>
          <w:rFonts w:ascii="Sakkal Majalla" w:eastAsiaTheme="minorEastAsia" w:hAnsi="Sakkal Majalla" w:cs="Sakkal Majalla"/>
          <w:kern w:val="0"/>
          <w:sz w:val="24"/>
          <w:szCs w:val="24"/>
          <w:rtl/>
          <w14:ligatures w14:val="none"/>
        </w:rPr>
        <w:fldChar w:fldCharType="begin"/>
      </w:r>
      <w:r w:rsidRPr="00127CB5">
        <w:rPr>
          <w:rFonts w:ascii="Sakkal Majalla" w:eastAsiaTheme="minorEastAsia" w:hAnsi="Sakkal Majalla" w:cs="Sakkal Majalla"/>
          <w:kern w:val="0"/>
          <w:sz w:val="24"/>
          <w:szCs w:val="24"/>
          <w14:ligatures w14:val="none"/>
        </w:rPr>
        <w:instrText>HYPERLINK "https://cma.org.sa/RulesRegulations/Regulations/Documents/CorporateGovernanceRegulations.pdf</w:instrText>
      </w:r>
      <w:r w:rsidRPr="00127CB5">
        <w:rPr>
          <w:rFonts w:ascii="Sakkal Majalla" w:eastAsiaTheme="minorEastAsia" w:hAnsi="Sakkal Majalla" w:cs="Sakkal Majalla"/>
          <w:kern w:val="0"/>
          <w:sz w:val="24"/>
          <w:szCs w:val="24"/>
          <w:rtl/>
          <w14:ligatures w14:val="none"/>
        </w:rPr>
        <w:instrText>"</w:instrText>
      </w:r>
      <w:r w:rsidRPr="00127CB5">
        <w:rPr>
          <w:rFonts w:ascii="Sakkal Majalla" w:eastAsiaTheme="minorEastAsia" w:hAnsi="Sakkal Majalla" w:cs="Sakkal Majalla"/>
          <w:kern w:val="0"/>
          <w:sz w:val="24"/>
          <w:szCs w:val="24"/>
          <w:rtl/>
          <w14:ligatures w14:val="none"/>
        </w:rPr>
      </w:r>
      <w:r w:rsidRPr="00127CB5">
        <w:rPr>
          <w:rFonts w:ascii="Sakkal Majalla" w:eastAsiaTheme="minorEastAsia" w:hAnsi="Sakkal Majalla" w:cs="Sakkal Majalla"/>
          <w:kern w:val="0"/>
          <w:sz w:val="24"/>
          <w:szCs w:val="24"/>
          <w:rtl/>
          <w14:ligatures w14:val="none"/>
        </w:rPr>
        <w:fldChar w:fldCharType="separate"/>
      </w:r>
      <w:r w:rsidRPr="00127CB5">
        <w:rPr>
          <w:rFonts w:ascii="Sakkal Majalla" w:eastAsiaTheme="minorEastAsia" w:hAnsi="Sakkal Majalla" w:cs="Sakkal Majalla"/>
          <w:color w:val="0000FF"/>
          <w:kern w:val="0"/>
          <w:sz w:val="24"/>
          <w:szCs w:val="24"/>
          <w:u w:val="single"/>
          <w14:ligatures w14:val="none"/>
        </w:rPr>
        <w:t>https://cma.org.sa/RulesRegulations/Regulations/Documents/CorporateGovernanceRegulations.pdf</w:t>
      </w:r>
      <w:r w:rsidRPr="00127CB5">
        <w:rPr>
          <w:rFonts w:ascii="Sakkal Majalla" w:eastAsiaTheme="minorEastAsia" w:hAnsi="Sakkal Majalla" w:cs="Sakkal Majalla"/>
          <w:kern w:val="0"/>
          <w:sz w:val="24"/>
          <w:szCs w:val="24"/>
          <w:rtl/>
          <w14:ligatures w14:val="none"/>
        </w:rPr>
        <w:fldChar w:fldCharType="end"/>
      </w:r>
    </w:p>
    <w:p w14:paraId="48FF79DD" w14:textId="77777777" w:rsidR="007B3BDD" w:rsidRPr="002F6EAB" w:rsidRDefault="007B3BDD" w:rsidP="00730BE0">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0BF2E0D7"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2F6EAB">
        <w:rPr>
          <w:rFonts w:ascii="Times New Roman" w:eastAsiaTheme="minorEastAsia" w:hAnsi="Times New Roman" w:cs="Times New Roman"/>
          <w:kern w:val="0"/>
          <w:sz w:val="24"/>
          <w:szCs w:val="24"/>
          <w14:ligatures w14:val="none"/>
        </w:rPr>
        <w:t xml:space="preserve">Arena, M., </w:t>
      </w:r>
      <w:proofErr w:type="spellStart"/>
      <w:r w:rsidRPr="002F6EAB">
        <w:rPr>
          <w:rFonts w:ascii="Times New Roman" w:eastAsiaTheme="minorEastAsia" w:hAnsi="Times New Roman" w:cs="Times New Roman"/>
          <w:kern w:val="0"/>
          <w:sz w:val="24"/>
          <w:szCs w:val="24"/>
          <w14:ligatures w14:val="none"/>
        </w:rPr>
        <w:t>Arnaboldi</w:t>
      </w:r>
      <w:proofErr w:type="spellEnd"/>
      <w:r w:rsidRPr="002F6EAB">
        <w:rPr>
          <w:rFonts w:ascii="Times New Roman" w:eastAsiaTheme="minorEastAsia" w:hAnsi="Times New Roman" w:cs="Times New Roman"/>
          <w:kern w:val="0"/>
          <w:sz w:val="24"/>
          <w:szCs w:val="24"/>
          <w14:ligatures w14:val="none"/>
        </w:rPr>
        <w:t xml:space="preserve">, M., &amp; </w:t>
      </w:r>
      <w:proofErr w:type="spellStart"/>
      <w:r w:rsidRPr="002F6EAB">
        <w:rPr>
          <w:rFonts w:ascii="Times New Roman" w:eastAsiaTheme="minorEastAsia" w:hAnsi="Times New Roman" w:cs="Times New Roman"/>
          <w:kern w:val="0"/>
          <w:sz w:val="24"/>
          <w:szCs w:val="24"/>
          <w14:ligatures w14:val="none"/>
        </w:rPr>
        <w:t>Azzone</w:t>
      </w:r>
      <w:proofErr w:type="spellEnd"/>
      <w:r w:rsidRPr="002F6EAB">
        <w:rPr>
          <w:rFonts w:ascii="Times New Roman" w:eastAsiaTheme="minorEastAsia" w:hAnsi="Times New Roman" w:cs="Times New Roman"/>
          <w:kern w:val="0"/>
          <w:sz w:val="24"/>
          <w:szCs w:val="24"/>
          <w14:ligatures w14:val="none"/>
        </w:rPr>
        <w:t xml:space="preserve">, G. (2010). The organizational dynamics of enterprise risk management. </w:t>
      </w:r>
      <w:r w:rsidRPr="002F6EAB">
        <w:rPr>
          <w:rFonts w:ascii="Times New Roman" w:eastAsiaTheme="minorEastAsia" w:hAnsi="Times New Roman" w:cs="Times New Roman"/>
          <w:i/>
          <w:iCs/>
          <w:kern w:val="0"/>
          <w:sz w:val="24"/>
          <w:szCs w:val="24"/>
          <w14:ligatures w14:val="none"/>
        </w:rPr>
        <w:t>Accounting, Organizations and Society, 35</w:t>
      </w:r>
      <w:r w:rsidRPr="002F6EAB">
        <w:rPr>
          <w:rFonts w:ascii="Times New Roman" w:eastAsiaTheme="minorEastAsia" w:hAnsi="Times New Roman" w:cs="Times New Roman"/>
          <w:kern w:val="0"/>
          <w:sz w:val="24"/>
          <w:szCs w:val="24"/>
          <w14:ligatures w14:val="none"/>
        </w:rPr>
        <w:t xml:space="preserve">(7), 659–675. </w:t>
      </w:r>
      <w:hyperlink r:id="rId10" w:history="1">
        <w:r w:rsidRPr="002F6EAB">
          <w:rPr>
            <w:rFonts w:ascii="Times New Roman" w:eastAsiaTheme="minorEastAsia" w:hAnsi="Times New Roman" w:cs="Times New Roman"/>
            <w:color w:val="0000FF"/>
            <w:kern w:val="0"/>
            <w:sz w:val="24"/>
            <w:szCs w:val="24"/>
            <w:u w:val="single"/>
            <w14:ligatures w14:val="none"/>
          </w:rPr>
          <w:t>https://doi.org/10.1016/j.aos.2010.07.003</w:t>
        </w:r>
      </w:hyperlink>
    </w:p>
    <w:p w14:paraId="7FA84B81"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proofErr w:type="spellStart"/>
      <w:r w:rsidRPr="002F6EAB">
        <w:rPr>
          <w:rFonts w:ascii="Times New Roman" w:eastAsiaTheme="minorEastAsia" w:hAnsi="Times New Roman" w:cs="Times New Roman"/>
          <w:kern w:val="0"/>
          <w:sz w:val="24"/>
          <w:szCs w:val="24"/>
          <w14:ligatures w14:val="none"/>
        </w:rPr>
        <w:t>Aven</w:t>
      </w:r>
      <w:proofErr w:type="spellEnd"/>
      <w:r w:rsidRPr="002F6EAB">
        <w:rPr>
          <w:rFonts w:ascii="Times New Roman" w:eastAsiaTheme="minorEastAsia" w:hAnsi="Times New Roman" w:cs="Times New Roman"/>
          <w:kern w:val="0"/>
          <w:sz w:val="24"/>
          <w:szCs w:val="24"/>
          <w14:ligatures w14:val="none"/>
        </w:rPr>
        <w:t xml:space="preserve">, T. (2016). Risk assessment and risk management: Review of recent advances on their foundation. </w:t>
      </w:r>
      <w:r w:rsidRPr="002F6EAB">
        <w:rPr>
          <w:rFonts w:ascii="Times New Roman" w:eastAsiaTheme="minorEastAsia" w:hAnsi="Times New Roman" w:cs="Times New Roman"/>
          <w:i/>
          <w:iCs/>
          <w:kern w:val="0"/>
          <w:sz w:val="24"/>
          <w:szCs w:val="24"/>
          <w14:ligatures w14:val="none"/>
        </w:rPr>
        <w:t>European Journal of Operational Research, 253</w:t>
      </w:r>
      <w:r w:rsidRPr="002F6EAB">
        <w:rPr>
          <w:rFonts w:ascii="Times New Roman" w:eastAsiaTheme="minorEastAsia" w:hAnsi="Times New Roman" w:cs="Times New Roman"/>
          <w:kern w:val="0"/>
          <w:sz w:val="24"/>
          <w:szCs w:val="24"/>
          <w14:ligatures w14:val="none"/>
        </w:rPr>
        <w:t xml:space="preserve">(1), 1–13. </w:t>
      </w:r>
      <w:hyperlink r:id="rId11" w:history="1">
        <w:r w:rsidRPr="002F6EAB">
          <w:rPr>
            <w:rFonts w:ascii="Times New Roman" w:eastAsiaTheme="minorEastAsia" w:hAnsi="Times New Roman" w:cs="Times New Roman"/>
            <w:color w:val="0000FF"/>
            <w:kern w:val="0"/>
            <w:sz w:val="24"/>
            <w:szCs w:val="24"/>
            <w:u w:val="single"/>
            <w14:ligatures w14:val="none"/>
          </w:rPr>
          <w:t>https://doi.org/10.1016/j.ejor.2015.12.023</w:t>
        </w:r>
      </w:hyperlink>
    </w:p>
    <w:p w14:paraId="766584ED"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2F6EAB">
        <w:rPr>
          <w:rFonts w:ascii="Times New Roman" w:eastAsiaTheme="minorEastAsia" w:hAnsi="Times New Roman" w:cs="Times New Roman"/>
          <w:kern w:val="0"/>
          <w:sz w:val="24"/>
          <w:szCs w:val="24"/>
          <w14:ligatures w14:val="none"/>
        </w:rPr>
        <w:t xml:space="preserve">Barney, J. B. (1991). Firm resources and sustained competitive advantage. </w:t>
      </w:r>
      <w:r w:rsidRPr="002F6EAB">
        <w:rPr>
          <w:rFonts w:ascii="Times New Roman" w:eastAsiaTheme="minorEastAsia" w:hAnsi="Times New Roman" w:cs="Times New Roman"/>
          <w:i/>
          <w:iCs/>
          <w:kern w:val="0"/>
          <w:sz w:val="24"/>
          <w:szCs w:val="24"/>
          <w14:ligatures w14:val="none"/>
        </w:rPr>
        <w:t>Journal of Management, 17</w:t>
      </w:r>
      <w:r w:rsidRPr="002F6EAB">
        <w:rPr>
          <w:rFonts w:ascii="Times New Roman" w:eastAsiaTheme="minorEastAsia" w:hAnsi="Times New Roman" w:cs="Times New Roman"/>
          <w:kern w:val="0"/>
          <w:sz w:val="24"/>
          <w:szCs w:val="24"/>
          <w14:ligatures w14:val="none"/>
        </w:rPr>
        <w:t xml:space="preserve">(1), 99–120. </w:t>
      </w:r>
      <w:hyperlink r:id="rId12" w:history="1">
        <w:r w:rsidRPr="002F6EAB">
          <w:rPr>
            <w:rFonts w:ascii="Times New Roman" w:eastAsiaTheme="minorEastAsia" w:hAnsi="Times New Roman" w:cs="Times New Roman"/>
            <w:color w:val="0000FF"/>
            <w:kern w:val="0"/>
            <w:sz w:val="24"/>
            <w:szCs w:val="24"/>
            <w:u w:val="single"/>
            <w14:ligatures w14:val="none"/>
          </w:rPr>
          <w:t>https://doi.org/10.1177/014920639101700108</w:t>
        </w:r>
      </w:hyperlink>
    </w:p>
    <w:p w14:paraId="2FA97C0C"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proofErr w:type="spellStart"/>
      <w:r w:rsidRPr="002F6EAB">
        <w:rPr>
          <w:rFonts w:ascii="Times New Roman" w:eastAsiaTheme="minorEastAsia" w:hAnsi="Times New Roman" w:cs="Times New Roman"/>
          <w:kern w:val="0"/>
          <w:sz w:val="24"/>
          <w:szCs w:val="24"/>
          <w14:ligatures w14:val="none"/>
        </w:rPr>
        <w:t>Bromiley</w:t>
      </w:r>
      <w:proofErr w:type="spellEnd"/>
      <w:r w:rsidRPr="002F6EAB">
        <w:rPr>
          <w:rFonts w:ascii="Times New Roman" w:eastAsiaTheme="minorEastAsia" w:hAnsi="Times New Roman" w:cs="Times New Roman"/>
          <w:kern w:val="0"/>
          <w:sz w:val="24"/>
          <w:szCs w:val="24"/>
          <w14:ligatures w14:val="none"/>
        </w:rPr>
        <w:t xml:space="preserve">, P., McShane, M., </w:t>
      </w:r>
      <w:proofErr w:type="spellStart"/>
      <w:r w:rsidRPr="002F6EAB">
        <w:rPr>
          <w:rFonts w:ascii="Times New Roman" w:eastAsiaTheme="minorEastAsia" w:hAnsi="Times New Roman" w:cs="Times New Roman"/>
          <w:kern w:val="0"/>
          <w:sz w:val="24"/>
          <w:szCs w:val="24"/>
          <w14:ligatures w14:val="none"/>
        </w:rPr>
        <w:t>Nair</w:t>
      </w:r>
      <w:proofErr w:type="spellEnd"/>
      <w:r w:rsidRPr="002F6EAB">
        <w:rPr>
          <w:rFonts w:ascii="Times New Roman" w:eastAsiaTheme="minorEastAsia" w:hAnsi="Times New Roman" w:cs="Times New Roman"/>
          <w:kern w:val="0"/>
          <w:sz w:val="24"/>
          <w:szCs w:val="24"/>
          <w14:ligatures w14:val="none"/>
        </w:rPr>
        <w:t xml:space="preserve">, A., &amp; </w:t>
      </w:r>
      <w:proofErr w:type="spellStart"/>
      <w:r w:rsidRPr="002F6EAB">
        <w:rPr>
          <w:rFonts w:ascii="Times New Roman" w:eastAsiaTheme="minorEastAsia" w:hAnsi="Times New Roman" w:cs="Times New Roman"/>
          <w:kern w:val="0"/>
          <w:sz w:val="24"/>
          <w:szCs w:val="24"/>
          <w14:ligatures w14:val="none"/>
        </w:rPr>
        <w:t>Rustambekov</w:t>
      </w:r>
      <w:proofErr w:type="spellEnd"/>
      <w:r w:rsidRPr="002F6EAB">
        <w:rPr>
          <w:rFonts w:ascii="Times New Roman" w:eastAsiaTheme="minorEastAsia" w:hAnsi="Times New Roman" w:cs="Times New Roman"/>
          <w:kern w:val="0"/>
          <w:sz w:val="24"/>
          <w:szCs w:val="24"/>
          <w14:ligatures w14:val="none"/>
        </w:rPr>
        <w:t xml:space="preserve">, E. (2015). Enterprise risk management: Review, critique, and research directions. </w:t>
      </w:r>
      <w:r w:rsidRPr="002F6EAB">
        <w:rPr>
          <w:rFonts w:ascii="Times New Roman" w:eastAsiaTheme="minorEastAsia" w:hAnsi="Times New Roman" w:cs="Times New Roman"/>
          <w:i/>
          <w:iCs/>
          <w:kern w:val="0"/>
          <w:sz w:val="24"/>
          <w:szCs w:val="24"/>
          <w14:ligatures w14:val="none"/>
        </w:rPr>
        <w:t>Long Range Planning, 48</w:t>
      </w:r>
      <w:r w:rsidRPr="002F6EAB">
        <w:rPr>
          <w:rFonts w:ascii="Times New Roman" w:eastAsiaTheme="minorEastAsia" w:hAnsi="Times New Roman" w:cs="Times New Roman"/>
          <w:kern w:val="0"/>
          <w:sz w:val="24"/>
          <w:szCs w:val="24"/>
          <w14:ligatures w14:val="none"/>
        </w:rPr>
        <w:t xml:space="preserve">(4), 265–276. </w:t>
      </w:r>
      <w:hyperlink r:id="rId13" w:history="1">
        <w:r w:rsidRPr="002F6EAB">
          <w:rPr>
            <w:rFonts w:ascii="Times New Roman" w:eastAsiaTheme="minorEastAsia" w:hAnsi="Times New Roman" w:cs="Times New Roman"/>
            <w:color w:val="0000FF"/>
            <w:kern w:val="0"/>
            <w:sz w:val="24"/>
            <w:szCs w:val="24"/>
            <w:u w:val="single"/>
            <w14:ligatures w14:val="none"/>
          </w:rPr>
          <w:t>https://doi.org/10.1016/j.lrp.2014.07.005</w:t>
        </w:r>
      </w:hyperlink>
    </w:p>
    <w:p w14:paraId="1408AD42"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2F6EAB">
        <w:rPr>
          <w:rFonts w:ascii="Times New Roman" w:eastAsiaTheme="minorEastAsia" w:hAnsi="Times New Roman" w:cs="Times New Roman"/>
          <w:kern w:val="0"/>
          <w:sz w:val="24"/>
          <w:szCs w:val="24"/>
          <w14:ligatures w14:val="none"/>
        </w:rPr>
        <w:t xml:space="preserve">Carvalho, M. M., &amp; </w:t>
      </w:r>
      <w:proofErr w:type="spellStart"/>
      <w:r w:rsidRPr="002F6EAB">
        <w:rPr>
          <w:rFonts w:ascii="Times New Roman" w:eastAsiaTheme="minorEastAsia" w:hAnsi="Times New Roman" w:cs="Times New Roman"/>
          <w:kern w:val="0"/>
          <w:sz w:val="24"/>
          <w:szCs w:val="24"/>
          <w14:ligatures w14:val="none"/>
        </w:rPr>
        <w:t>Rabechini</w:t>
      </w:r>
      <w:proofErr w:type="spellEnd"/>
      <w:r w:rsidRPr="002F6EAB">
        <w:rPr>
          <w:rFonts w:ascii="Times New Roman" w:eastAsiaTheme="minorEastAsia" w:hAnsi="Times New Roman" w:cs="Times New Roman"/>
          <w:kern w:val="0"/>
          <w:sz w:val="24"/>
          <w:szCs w:val="24"/>
          <w14:ligatures w14:val="none"/>
        </w:rPr>
        <w:t xml:space="preserve"> Junior, R. (2015). Impact of risk management on project performance: The importance of soft skills. </w:t>
      </w:r>
      <w:r w:rsidRPr="002F6EAB">
        <w:rPr>
          <w:rFonts w:ascii="Times New Roman" w:eastAsiaTheme="minorEastAsia" w:hAnsi="Times New Roman" w:cs="Times New Roman"/>
          <w:i/>
          <w:iCs/>
          <w:kern w:val="0"/>
          <w:sz w:val="24"/>
          <w:szCs w:val="24"/>
          <w14:ligatures w14:val="none"/>
        </w:rPr>
        <w:t>International Journal of Production Research, 53</w:t>
      </w:r>
      <w:r w:rsidRPr="002F6EAB">
        <w:rPr>
          <w:rFonts w:ascii="Times New Roman" w:eastAsiaTheme="minorEastAsia" w:hAnsi="Times New Roman" w:cs="Times New Roman"/>
          <w:kern w:val="0"/>
          <w:sz w:val="24"/>
          <w:szCs w:val="24"/>
          <w14:ligatures w14:val="none"/>
        </w:rPr>
        <w:t xml:space="preserve">(2), 321–340. </w:t>
      </w:r>
      <w:hyperlink r:id="rId14" w:history="1">
        <w:r w:rsidRPr="002F6EAB">
          <w:rPr>
            <w:rFonts w:ascii="Times New Roman" w:eastAsiaTheme="minorEastAsia" w:hAnsi="Times New Roman" w:cs="Times New Roman"/>
            <w:color w:val="0000FF"/>
            <w:kern w:val="0"/>
            <w:sz w:val="24"/>
            <w:szCs w:val="24"/>
            <w:u w:val="single"/>
            <w14:ligatures w14:val="none"/>
          </w:rPr>
          <w:t>https://doi.org/10.1080/00207543.2014.919423</w:t>
        </w:r>
      </w:hyperlink>
    </w:p>
    <w:p w14:paraId="2BEB68BC"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2F6EAB">
        <w:rPr>
          <w:rFonts w:ascii="Times New Roman" w:eastAsiaTheme="minorEastAsia" w:hAnsi="Times New Roman" w:cs="Times New Roman"/>
          <w:kern w:val="0"/>
          <w:sz w:val="24"/>
          <w:szCs w:val="24"/>
          <w14:ligatures w14:val="none"/>
        </w:rPr>
        <w:t xml:space="preserve">Committee of Sponsoring Organizations of the </w:t>
      </w:r>
      <w:proofErr w:type="spellStart"/>
      <w:r w:rsidRPr="002F6EAB">
        <w:rPr>
          <w:rFonts w:ascii="Times New Roman" w:eastAsiaTheme="minorEastAsia" w:hAnsi="Times New Roman" w:cs="Times New Roman"/>
          <w:kern w:val="0"/>
          <w:sz w:val="24"/>
          <w:szCs w:val="24"/>
          <w14:ligatures w14:val="none"/>
        </w:rPr>
        <w:t>Treadway</w:t>
      </w:r>
      <w:proofErr w:type="spellEnd"/>
      <w:r w:rsidRPr="002F6EAB">
        <w:rPr>
          <w:rFonts w:ascii="Times New Roman" w:eastAsiaTheme="minorEastAsia" w:hAnsi="Times New Roman" w:cs="Times New Roman"/>
          <w:kern w:val="0"/>
          <w:sz w:val="24"/>
          <w:szCs w:val="24"/>
          <w14:ligatures w14:val="none"/>
        </w:rPr>
        <w:t xml:space="preserve"> Commission. (2017). </w:t>
      </w:r>
      <w:r w:rsidRPr="002F6EAB">
        <w:rPr>
          <w:rFonts w:ascii="Times New Roman" w:eastAsiaTheme="minorEastAsia" w:hAnsi="Times New Roman" w:cs="Times New Roman"/>
          <w:i/>
          <w:iCs/>
          <w:kern w:val="0"/>
          <w:sz w:val="24"/>
          <w:szCs w:val="24"/>
          <w14:ligatures w14:val="none"/>
        </w:rPr>
        <w:t>Enterprise risk management: Integrating with strategy and performance</w:t>
      </w:r>
      <w:r w:rsidRPr="002F6EAB">
        <w:rPr>
          <w:rFonts w:ascii="Times New Roman" w:eastAsiaTheme="minorEastAsia" w:hAnsi="Times New Roman" w:cs="Times New Roman"/>
          <w:kern w:val="0"/>
          <w:sz w:val="24"/>
          <w:szCs w:val="24"/>
          <w14:ligatures w14:val="none"/>
        </w:rPr>
        <w:t xml:space="preserve">. </w:t>
      </w:r>
      <w:hyperlink r:id="rId15" w:history="1">
        <w:r w:rsidRPr="002F6EAB">
          <w:rPr>
            <w:rFonts w:ascii="Times New Roman" w:eastAsiaTheme="minorEastAsia" w:hAnsi="Times New Roman" w:cs="Times New Roman"/>
            <w:color w:val="0000FF"/>
            <w:kern w:val="0"/>
            <w:sz w:val="24"/>
            <w:szCs w:val="24"/>
            <w:u w:val="single"/>
            <w14:ligatures w14:val="none"/>
          </w:rPr>
          <w:t>https://www.coso.org/guidance-erm</w:t>
        </w:r>
      </w:hyperlink>
    </w:p>
    <w:p w14:paraId="011DD123"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2F6EAB">
        <w:rPr>
          <w:rFonts w:ascii="Times New Roman" w:eastAsiaTheme="minorEastAsia" w:hAnsi="Times New Roman" w:cs="Times New Roman"/>
          <w:kern w:val="0"/>
          <w:sz w:val="24"/>
          <w:szCs w:val="24"/>
          <w14:ligatures w14:val="none"/>
        </w:rPr>
        <w:t xml:space="preserve">Committee of Sponsoring Organizations of the </w:t>
      </w:r>
      <w:proofErr w:type="spellStart"/>
      <w:r w:rsidRPr="002F6EAB">
        <w:rPr>
          <w:rFonts w:ascii="Times New Roman" w:eastAsiaTheme="minorEastAsia" w:hAnsi="Times New Roman" w:cs="Times New Roman"/>
          <w:kern w:val="0"/>
          <w:sz w:val="24"/>
          <w:szCs w:val="24"/>
          <w14:ligatures w14:val="none"/>
        </w:rPr>
        <w:t>Treadway</w:t>
      </w:r>
      <w:proofErr w:type="spellEnd"/>
      <w:r w:rsidRPr="002F6EAB">
        <w:rPr>
          <w:rFonts w:ascii="Times New Roman" w:eastAsiaTheme="minorEastAsia" w:hAnsi="Times New Roman" w:cs="Times New Roman"/>
          <w:kern w:val="0"/>
          <w:sz w:val="24"/>
          <w:szCs w:val="24"/>
          <w14:ligatures w14:val="none"/>
        </w:rPr>
        <w:t xml:space="preserve"> Commission, &amp; World Business Council for Sustainable Development. (2018). </w:t>
      </w:r>
      <w:r w:rsidRPr="002F6EAB">
        <w:rPr>
          <w:rFonts w:ascii="Times New Roman" w:eastAsiaTheme="minorEastAsia" w:hAnsi="Times New Roman" w:cs="Times New Roman"/>
          <w:i/>
          <w:iCs/>
          <w:kern w:val="0"/>
          <w:sz w:val="24"/>
          <w:szCs w:val="24"/>
          <w14:ligatures w14:val="none"/>
        </w:rPr>
        <w:t>Enterprise risk management: Applying enterprise risk management to environmental, social and governance-related risks</w:t>
      </w:r>
      <w:r w:rsidRPr="002F6EAB">
        <w:rPr>
          <w:rFonts w:ascii="Times New Roman" w:eastAsiaTheme="minorEastAsia" w:hAnsi="Times New Roman" w:cs="Times New Roman"/>
          <w:kern w:val="0"/>
          <w:sz w:val="24"/>
          <w:szCs w:val="24"/>
          <w14:ligatures w14:val="none"/>
        </w:rPr>
        <w:t xml:space="preserve">. </w:t>
      </w:r>
      <w:hyperlink r:id="rId16" w:history="1">
        <w:r w:rsidRPr="002F6EAB">
          <w:rPr>
            <w:rFonts w:ascii="Times New Roman" w:eastAsiaTheme="minorEastAsia" w:hAnsi="Times New Roman" w:cs="Times New Roman"/>
            <w:color w:val="0000FF"/>
            <w:kern w:val="0"/>
            <w:sz w:val="24"/>
            <w:szCs w:val="24"/>
            <w:u w:val="single"/>
            <w14:ligatures w14:val="none"/>
          </w:rPr>
          <w:t>https://www.coso.org/guidance-erm</w:t>
        </w:r>
      </w:hyperlink>
    </w:p>
    <w:p w14:paraId="6FECE136"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proofErr w:type="spellStart"/>
      <w:r w:rsidRPr="002F6EAB">
        <w:rPr>
          <w:rFonts w:ascii="Times New Roman" w:eastAsiaTheme="minorEastAsia" w:hAnsi="Times New Roman" w:cs="Times New Roman"/>
          <w:kern w:val="0"/>
          <w:sz w:val="24"/>
          <w:szCs w:val="24"/>
          <w14:ligatures w14:val="none"/>
        </w:rPr>
        <w:t>Damanpour</w:t>
      </w:r>
      <w:proofErr w:type="spellEnd"/>
      <w:r w:rsidRPr="002F6EAB">
        <w:rPr>
          <w:rFonts w:ascii="Times New Roman" w:eastAsiaTheme="minorEastAsia" w:hAnsi="Times New Roman" w:cs="Times New Roman"/>
          <w:kern w:val="0"/>
          <w:sz w:val="24"/>
          <w:szCs w:val="24"/>
          <w14:ligatures w14:val="none"/>
        </w:rPr>
        <w:t xml:space="preserve">, F. (1991). Organizational innovation: A meta-analysis of effects of determinants and moderators. </w:t>
      </w:r>
      <w:r w:rsidRPr="002F6EAB">
        <w:rPr>
          <w:rFonts w:ascii="Times New Roman" w:eastAsiaTheme="minorEastAsia" w:hAnsi="Times New Roman" w:cs="Times New Roman"/>
          <w:i/>
          <w:iCs/>
          <w:kern w:val="0"/>
          <w:sz w:val="24"/>
          <w:szCs w:val="24"/>
          <w14:ligatures w14:val="none"/>
        </w:rPr>
        <w:t>Academy of Management Journal, 34</w:t>
      </w:r>
      <w:r w:rsidRPr="002F6EAB">
        <w:rPr>
          <w:rFonts w:ascii="Times New Roman" w:eastAsiaTheme="minorEastAsia" w:hAnsi="Times New Roman" w:cs="Times New Roman"/>
          <w:kern w:val="0"/>
          <w:sz w:val="24"/>
          <w:szCs w:val="24"/>
          <w14:ligatures w14:val="none"/>
        </w:rPr>
        <w:t xml:space="preserve">(3), 555–590. </w:t>
      </w:r>
      <w:hyperlink r:id="rId17" w:history="1">
        <w:r w:rsidRPr="002F6EAB">
          <w:rPr>
            <w:rFonts w:ascii="Times New Roman" w:eastAsiaTheme="minorEastAsia" w:hAnsi="Times New Roman" w:cs="Times New Roman"/>
            <w:color w:val="0000FF"/>
            <w:kern w:val="0"/>
            <w:sz w:val="24"/>
            <w:szCs w:val="24"/>
            <w:u w:val="single"/>
            <w14:ligatures w14:val="none"/>
          </w:rPr>
          <w:t>https://doi.org/10.2307/256406</w:t>
        </w:r>
      </w:hyperlink>
    </w:p>
    <w:p w14:paraId="6D88C8FB"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2F6EAB">
        <w:rPr>
          <w:rFonts w:ascii="Times New Roman" w:eastAsiaTheme="minorEastAsia" w:hAnsi="Times New Roman" w:cs="Times New Roman"/>
          <w:kern w:val="0"/>
          <w:sz w:val="24"/>
          <w:szCs w:val="24"/>
          <w14:ligatures w14:val="none"/>
        </w:rPr>
        <w:t xml:space="preserve">Freeman, R. E. (1984). </w:t>
      </w:r>
      <w:r w:rsidRPr="002F6EAB">
        <w:rPr>
          <w:rFonts w:ascii="Times New Roman" w:eastAsiaTheme="minorEastAsia" w:hAnsi="Times New Roman" w:cs="Times New Roman"/>
          <w:i/>
          <w:iCs/>
          <w:kern w:val="0"/>
          <w:sz w:val="24"/>
          <w:szCs w:val="24"/>
          <w14:ligatures w14:val="none"/>
        </w:rPr>
        <w:t>Strategic management: A stakeholder approach</w:t>
      </w:r>
      <w:r w:rsidRPr="002F6EAB">
        <w:rPr>
          <w:rFonts w:ascii="Times New Roman" w:eastAsiaTheme="minorEastAsia" w:hAnsi="Times New Roman" w:cs="Times New Roman"/>
          <w:kern w:val="0"/>
          <w:sz w:val="24"/>
          <w:szCs w:val="24"/>
          <w14:ligatures w14:val="none"/>
        </w:rPr>
        <w:t>. Pitman.</w:t>
      </w:r>
    </w:p>
    <w:p w14:paraId="33932DDC"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proofErr w:type="spellStart"/>
      <w:r w:rsidRPr="002F6EAB">
        <w:rPr>
          <w:rFonts w:ascii="Times New Roman" w:eastAsiaTheme="minorEastAsia" w:hAnsi="Times New Roman" w:cs="Times New Roman"/>
          <w:kern w:val="0"/>
          <w:sz w:val="24"/>
          <w:szCs w:val="24"/>
          <w14:ligatures w14:val="none"/>
        </w:rPr>
        <w:t>Frigo</w:t>
      </w:r>
      <w:proofErr w:type="spellEnd"/>
      <w:r w:rsidRPr="002F6EAB">
        <w:rPr>
          <w:rFonts w:ascii="Times New Roman" w:eastAsiaTheme="minorEastAsia" w:hAnsi="Times New Roman" w:cs="Times New Roman"/>
          <w:kern w:val="0"/>
          <w:sz w:val="24"/>
          <w:szCs w:val="24"/>
          <w14:ligatures w14:val="none"/>
        </w:rPr>
        <w:t xml:space="preserve">, M. L., &amp; Anderson, R. J. (2011). Strategic risk management: A foundation for improving enterprise risk management and governance. </w:t>
      </w:r>
      <w:r w:rsidRPr="002F6EAB">
        <w:rPr>
          <w:rFonts w:ascii="Times New Roman" w:eastAsiaTheme="minorEastAsia" w:hAnsi="Times New Roman" w:cs="Times New Roman"/>
          <w:i/>
          <w:iCs/>
          <w:kern w:val="0"/>
          <w:sz w:val="24"/>
          <w:szCs w:val="24"/>
          <w14:ligatures w14:val="none"/>
        </w:rPr>
        <w:t>Journal of Corporate Accounting &amp; Finance, 22</w:t>
      </w:r>
      <w:r w:rsidRPr="002F6EAB">
        <w:rPr>
          <w:rFonts w:ascii="Times New Roman" w:eastAsiaTheme="minorEastAsia" w:hAnsi="Times New Roman" w:cs="Times New Roman"/>
          <w:kern w:val="0"/>
          <w:sz w:val="24"/>
          <w:szCs w:val="24"/>
          <w14:ligatures w14:val="none"/>
        </w:rPr>
        <w:t xml:space="preserve">(3), 81–88. </w:t>
      </w:r>
      <w:hyperlink r:id="rId18" w:history="1">
        <w:r w:rsidRPr="002F6EAB">
          <w:rPr>
            <w:rFonts w:ascii="Times New Roman" w:eastAsiaTheme="minorEastAsia" w:hAnsi="Times New Roman" w:cs="Times New Roman"/>
            <w:color w:val="0000FF"/>
            <w:kern w:val="0"/>
            <w:sz w:val="24"/>
            <w:szCs w:val="24"/>
            <w:u w:val="single"/>
            <w14:ligatures w14:val="none"/>
          </w:rPr>
          <w:t>https://doi.org/10.1002/jcaf.20644</w:t>
        </w:r>
      </w:hyperlink>
    </w:p>
    <w:p w14:paraId="30532152"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2F6EAB">
        <w:rPr>
          <w:rFonts w:ascii="Times New Roman" w:eastAsiaTheme="minorEastAsia" w:hAnsi="Times New Roman" w:cs="Times New Roman"/>
          <w:kern w:val="0"/>
          <w:sz w:val="24"/>
          <w:szCs w:val="24"/>
          <w14:ligatures w14:val="none"/>
        </w:rPr>
        <w:t xml:space="preserve">Hair, J. F., Black, W. C., </w:t>
      </w:r>
      <w:proofErr w:type="spellStart"/>
      <w:r w:rsidRPr="002F6EAB">
        <w:rPr>
          <w:rFonts w:ascii="Times New Roman" w:eastAsiaTheme="minorEastAsia" w:hAnsi="Times New Roman" w:cs="Times New Roman"/>
          <w:kern w:val="0"/>
          <w:sz w:val="24"/>
          <w:szCs w:val="24"/>
          <w14:ligatures w14:val="none"/>
        </w:rPr>
        <w:t>Babin</w:t>
      </w:r>
      <w:proofErr w:type="spellEnd"/>
      <w:r w:rsidRPr="002F6EAB">
        <w:rPr>
          <w:rFonts w:ascii="Times New Roman" w:eastAsiaTheme="minorEastAsia" w:hAnsi="Times New Roman" w:cs="Times New Roman"/>
          <w:kern w:val="0"/>
          <w:sz w:val="24"/>
          <w:szCs w:val="24"/>
          <w14:ligatures w14:val="none"/>
        </w:rPr>
        <w:t xml:space="preserve">, B. J., &amp; Anderson, R. E. (2019). </w:t>
      </w:r>
      <w:r w:rsidRPr="002F6EAB">
        <w:rPr>
          <w:rFonts w:ascii="Times New Roman" w:eastAsiaTheme="minorEastAsia" w:hAnsi="Times New Roman" w:cs="Times New Roman"/>
          <w:i/>
          <w:iCs/>
          <w:kern w:val="0"/>
          <w:sz w:val="24"/>
          <w:szCs w:val="24"/>
          <w14:ligatures w14:val="none"/>
        </w:rPr>
        <w:t>Multivariate data analysis</w:t>
      </w:r>
      <w:r w:rsidRPr="002F6EAB">
        <w:rPr>
          <w:rFonts w:ascii="Times New Roman" w:eastAsiaTheme="minorEastAsia" w:hAnsi="Times New Roman" w:cs="Times New Roman"/>
          <w:kern w:val="0"/>
          <w:sz w:val="24"/>
          <w:szCs w:val="24"/>
          <w14:ligatures w14:val="none"/>
        </w:rPr>
        <w:t xml:space="preserve"> (8th ed.). </w:t>
      </w:r>
      <w:proofErr w:type="spellStart"/>
      <w:r w:rsidRPr="002F6EAB">
        <w:rPr>
          <w:rFonts w:ascii="Times New Roman" w:eastAsiaTheme="minorEastAsia" w:hAnsi="Times New Roman" w:cs="Times New Roman"/>
          <w:kern w:val="0"/>
          <w:sz w:val="24"/>
          <w:szCs w:val="24"/>
          <w14:ligatures w14:val="none"/>
        </w:rPr>
        <w:t>Cengage</w:t>
      </w:r>
      <w:proofErr w:type="spellEnd"/>
      <w:r w:rsidRPr="002F6EAB">
        <w:rPr>
          <w:rFonts w:ascii="Times New Roman" w:eastAsiaTheme="minorEastAsia" w:hAnsi="Times New Roman" w:cs="Times New Roman"/>
          <w:kern w:val="0"/>
          <w:sz w:val="24"/>
          <w:szCs w:val="24"/>
          <w14:ligatures w14:val="none"/>
        </w:rPr>
        <w:t>.</w:t>
      </w:r>
    </w:p>
    <w:p w14:paraId="00321CD0"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2F6EAB">
        <w:rPr>
          <w:rFonts w:ascii="Times New Roman" w:eastAsiaTheme="minorEastAsia" w:hAnsi="Times New Roman" w:cs="Times New Roman"/>
          <w:kern w:val="0"/>
          <w:sz w:val="24"/>
          <w:szCs w:val="24"/>
          <w14:ligatures w14:val="none"/>
        </w:rPr>
        <w:t xml:space="preserve">Hopkin, P. (2018). </w:t>
      </w:r>
      <w:r w:rsidRPr="002F6EAB">
        <w:rPr>
          <w:rFonts w:ascii="Times New Roman" w:eastAsiaTheme="minorEastAsia" w:hAnsi="Times New Roman" w:cs="Times New Roman"/>
          <w:i/>
          <w:iCs/>
          <w:kern w:val="0"/>
          <w:sz w:val="24"/>
          <w:szCs w:val="24"/>
          <w14:ligatures w14:val="none"/>
        </w:rPr>
        <w:t>Fundamentals of risk management: Understanding, evaluating and implementing effective risk management</w:t>
      </w:r>
      <w:r w:rsidRPr="002F6EAB">
        <w:rPr>
          <w:rFonts w:ascii="Times New Roman" w:eastAsiaTheme="minorEastAsia" w:hAnsi="Times New Roman" w:cs="Times New Roman"/>
          <w:kern w:val="0"/>
          <w:sz w:val="24"/>
          <w:szCs w:val="24"/>
          <w14:ligatures w14:val="none"/>
        </w:rPr>
        <w:t xml:space="preserve"> (5th ed.). Kogan Page.</w:t>
      </w:r>
    </w:p>
    <w:p w14:paraId="1D87F8C2"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2F6EAB">
        <w:rPr>
          <w:rFonts w:ascii="Times New Roman" w:eastAsiaTheme="minorEastAsia" w:hAnsi="Times New Roman" w:cs="Times New Roman"/>
          <w:kern w:val="0"/>
          <w:sz w:val="24"/>
          <w:szCs w:val="24"/>
          <w14:ligatures w14:val="none"/>
        </w:rPr>
        <w:lastRenderedPageBreak/>
        <w:t xml:space="preserve">International Organization for Standardization. (2018). </w:t>
      </w:r>
      <w:r w:rsidRPr="002F6EAB">
        <w:rPr>
          <w:rFonts w:ascii="Times New Roman" w:eastAsiaTheme="minorEastAsia" w:hAnsi="Times New Roman" w:cs="Times New Roman"/>
          <w:i/>
          <w:iCs/>
          <w:kern w:val="0"/>
          <w:sz w:val="24"/>
          <w:szCs w:val="24"/>
          <w14:ligatures w14:val="none"/>
        </w:rPr>
        <w:t>￼⁠</w:t>
      </w:r>
      <w:hyperlink r:id="rId19" w:history="1">
        <w:r w:rsidRPr="002F6EAB">
          <w:rPr>
            <w:rFonts w:ascii="Times New Roman" w:eastAsiaTheme="minorEastAsia" w:hAnsi="Times New Roman" w:cs="Times New Roman"/>
            <w:i/>
            <w:iCs/>
            <w:color w:val="0000FF"/>
            <w:kern w:val="0"/>
            <w:sz w:val="24"/>
            <w:szCs w:val="24"/>
            <w:u w:val="single"/>
            <w14:ligatures w14:val="none"/>
          </w:rPr>
          <w:t>ISO 31000:2018 risk management—Guidelines</w:t>
        </w:r>
      </w:hyperlink>
      <w:r w:rsidRPr="002F6EAB">
        <w:rPr>
          <w:rFonts w:ascii="Times New Roman" w:eastAsiaTheme="minorEastAsia" w:hAnsi="Times New Roman" w:cs="Times New Roman"/>
          <w:kern w:val="0"/>
          <w:sz w:val="24"/>
          <w:szCs w:val="24"/>
          <w14:ligatures w14:val="none"/>
        </w:rPr>
        <w:t>. ISO.</w:t>
      </w:r>
    </w:p>
    <w:p w14:paraId="045EEFDE"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proofErr w:type="spellStart"/>
      <w:r w:rsidRPr="002F6EAB">
        <w:rPr>
          <w:rFonts w:ascii="Times New Roman" w:eastAsiaTheme="minorEastAsia" w:hAnsi="Times New Roman" w:cs="Times New Roman"/>
          <w:kern w:val="0"/>
          <w:sz w:val="24"/>
          <w:szCs w:val="24"/>
          <w14:ligatures w14:val="none"/>
        </w:rPr>
        <w:t>Oliva</w:t>
      </w:r>
      <w:proofErr w:type="spellEnd"/>
      <w:r w:rsidRPr="002F6EAB">
        <w:rPr>
          <w:rFonts w:ascii="Times New Roman" w:eastAsiaTheme="minorEastAsia" w:hAnsi="Times New Roman" w:cs="Times New Roman"/>
          <w:kern w:val="0"/>
          <w:sz w:val="24"/>
          <w:szCs w:val="24"/>
          <w14:ligatures w14:val="none"/>
        </w:rPr>
        <w:t xml:space="preserve">, F. L. (2016). A maturity model for enterprise risk management. </w:t>
      </w:r>
      <w:r w:rsidRPr="002F6EAB">
        <w:rPr>
          <w:rFonts w:ascii="Times New Roman" w:eastAsiaTheme="minorEastAsia" w:hAnsi="Times New Roman" w:cs="Times New Roman"/>
          <w:i/>
          <w:iCs/>
          <w:kern w:val="0"/>
          <w:sz w:val="24"/>
          <w:szCs w:val="24"/>
          <w14:ligatures w14:val="none"/>
        </w:rPr>
        <w:t>International Journal of Production Economics, 173</w:t>
      </w:r>
      <w:r w:rsidRPr="002F6EAB">
        <w:rPr>
          <w:rFonts w:ascii="Times New Roman" w:eastAsiaTheme="minorEastAsia" w:hAnsi="Times New Roman" w:cs="Times New Roman"/>
          <w:kern w:val="0"/>
          <w:sz w:val="24"/>
          <w:szCs w:val="24"/>
          <w14:ligatures w14:val="none"/>
        </w:rPr>
        <w:t xml:space="preserve">, 66–79. </w:t>
      </w:r>
      <w:hyperlink r:id="rId20" w:history="1">
        <w:r w:rsidRPr="002F6EAB">
          <w:rPr>
            <w:rFonts w:ascii="Times New Roman" w:eastAsiaTheme="minorEastAsia" w:hAnsi="Times New Roman" w:cs="Times New Roman"/>
            <w:color w:val="0000FF"/>
            <w:kern w:val="0"/>
            <w:sz w:val="24"/>
            <w:szCs w:val="24"/>
            <w:u w:val="single"/>
            <w14:ligatures w14:val="none"/>
          </w:rPr>
          <w:t>https://doi.org/10.1016/j.ijpe.2015.10.007</w:t>
        </w:r>
      </w:hyperlink>
    </w:p>
    <w:p w14:paraId="4924BACA"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proofErr w:type="spellStart"/>
      <w:r w:rsidRPr="002F6EAB">
        <w:rPr>
          <w:rFonts w:ascii="Times New Roman" w:eastAsiaTheme="minorEastAsia" w:hAnsi="Times New Roman" w:cs="Times New Roman"/>
          <w:kern w:val="0"/>
          <w:sz w:val="24"/>
          <w:szCs w:val="24"/>
          <w14:ligatures w14:val="none"/>
        </w:rPr>
        <w:t>Østergaard</w:t>
      </w:r>
      <w:proofErr w:type="spellEnd"/>
      <w:r w:rsidRPr="002F6EAB">
        <w:rPr>
          <w:rFonts w:ascii="Times New Roman" w:eastAsiaTheme="minorEastAsia" w:hAnsi="Times New Roman" w:cs="Times New Roman"/>
          <w:kern w:val="0"/>
          <w:sz w:val="24"/>
          <w:szCs w:val="24"/>
          <w14:ligatures w14:val="none"/>
        </w:rPr>
        <w:t xml:space="preserve">, P. A., </w:t>
      </w:r>
      <w:proofErr w:type="spellStart"/>
      <w:r w:rsidRPr="002F6EAB">
        <w:rPr>
          <w:rFonts w:ascii="Times New Roman" w:eastAsiaTheme="minorEastAsia" w:hAnsi="Times New Roman" w:cs="Times New Roman"/>
          <w:kern w:val="0"/>
          <w:sz w:val="24"/>
          <w:szCs w:val="24"/>
          <w14:ligatures w14:val="none"/>
        </w:rPr>
        <w:t>Duić</w:t>
      </w:r>
      <w:proofErr w:type="spellEnd"/>
      <w:r w:rsidRPr="002F6EAB">
        <w:rPr>
          <w:rFonts w:ascii="Times New Roman" w:eastAsiaTheme="minorEastAsia" w:hAnsi="Times New Roman" w:cs="Times New Roman"/>
          <w:kern w:val="0"/>
          <w:sz w:val="24"/>
          <w:szCs w:val="24"/>
          <w14:ligatures w14:val="none"/>
        </w:rPr>
        <w:t xml:space="preserve">, N., </w:t>
      </w:r>
      <w:proofErr w:type="spellStart"/>
      <w:r w:rsidRPr="002F6EAB">
        <w:rPr>
          <w:rFonts w:ascii="Times New Roman" w:eastAsiaTheme="minorEastAsia" w:hAnsi="Times New Roman" w:cs="Times New Roman"/>
          <w:kern w:val="0"/>
          <w:sz w:val="24"/>
          <w:szCs w:val="24"/>
          <w14:ligatures w14:val="none"/>
        </w:rPr>
        <w:t>Noorollahi</w:t>
      </w:r>
      <w:proofErr w:type="spellEnd"/>
      <w:r w:rsidRPr="002F6EAB">
        <w:rPr>
          <w:rFonts w:ascii="Times New Roman" w:eastAsiaTheme="minorEastAsia" w:hAnsi="Times New Roman" w:cs="Times New Roman"/>
          <w:kern w:val="0"/>
          <w:sz w:val="24"/>
          <w:szCs w:val="24"/>
          <w14:ligatures w14:val="none"/>
        </w:rPr>
        <w:t xml:space="preserve">, Y., </w:t>
      </w:r>
      <w:proofErr w:type="spellStart"/>
      <w:r w:rsidRPr="002F6EAB">
        <w:rPr>
          <w:rFonts w:ascii="Times New Roman" w:eastAsiaTheme="minorEastAsia" w:hAnsi="Times New Roman" w:cs="Times New Roman"/>
          <w:kern w:val="0"/>
          <w:sz w:val="24"/>
          <w:szCs w:val="24"/>
          <w14:ligatures w14:val="none"/>
        </w:rPr>
        <w:t>Mikulčić</w:t>
      </w:r>
      <w:proofErr w:type="spellEnd"/>
      <w:r w:rsidRPr="002F6EAB">
        <w:rPr>
          <w:rFonts w:ascii="Times New Roman" w:eastAsiaTheme="minorEastAsia" w:hAnsi="Times New Roman" w:cs="Times New Roman"/>
          <w:kern w:val="0"/>
          <w:sz w:val="24"/>
          <w:szCs w:val="24"/>
          <w14:ligatures w14:val="none"/>
        </w:rPr>
        <w:t xml:space="preserve">, H., &amp; </w:t>
      </w:r>
      <w:proofErr w:type="spellStart"/>
      <w:r w:rsidRPr="002F6EAB">
        <w:rPr>
          <w:rFonts w:ascii="Times New Roman" w:eastAsiaTheme="minorEastAsia" w:hAnsi="Times New Roman" w:cs="Times New Roman"/>
          <w:kern w:val="0"/>
          <w:sz w:val="24"/>
          <w:szCs w:val="24"/>
          <w14:ligatures w14:val="none"/>
        </w:rPr>
        <w:t>Kalogirou</w:t>
      </w:r>
      <w:proofErr w:type="spellEnd"/>
      <w:r w:rsidRPr="002F6EAB">
        <w:rPr>
          <w:rFonts w:ascii="Times New Roman" w:eastAsiaTheme="minorEastAsia" w:hAnsi="Times New Roman" w:cs="Times New Roman"/>
          <w:kern w:val="0"/>
          <w:sz w:val="24"/>
          <w:szCs w:val="24"/>
          <w14:ligatures w14:val="none"/>
        </w:rPr>
        <w:t xml:space="preserve">, S. A. (2020). Sustainable development using renewable energy technology. </w:t>
      </w:r>
      <w:r w:rsidRPr="002F6EAB">
        <w:rPr>
          <w:rFonts w:ascii="Times New Roman" w:eastAsiaTheme="minorEastAsia" w:hAnsi="Times New Roman" w:cs="Times New Roman"/>
          <w:i/>
          <w:iCs/>
          <w:kern w:val="0"/>
          <w:sz w:val="24"/>
          <w:szCs w:val="24"/>
          <w14:ligatures w14:val="none"/>
        </w:rPr>
        <w:t>Renewable Energy, 146</w:t>
      </w:r>
      <w:r w:rsidRPr="002F6EAB">
        <w:rPr>
          <w:rFonts w:ascii="Times New Roman" w:eastAsiaTheme="minorEastAsia" w:hAnsi="Times New Roman" w:cs="Times New Roman"/>
          <w:kern w:val="0"/>
          <w:sz w:val="24"/>
          <w:szCs w:val="24"/>
          <w14:ligatures w14:val="none"/>
        </w:rPr>
        <w:t xml:space="preserve">, </w:t>
      </w:r>
      <w:hyperlink r:id="rId21" w:history="1">
        <w:r w:rsidRPr="002F6EAB">
          <w:rPr>
            <w:rFonts w:ascii="Times New Roman" w:eastAsiaTheme="minorEastAsia" w:hAnsi="Times New Roman" w:cs="Times New Roman"/>
            <w:color w:val="0000FF"/>
            <w:kern w:val="0"/>
            <w:sz w:val="24"/>
            <w:szCs w:val="24"/>
            <w:u w:val="single"/>
            <w14:ligatures w14:val="none"/>
          </w:rPr>
          <w:t>2430–2437</w:t>
        </w:r>
      </w:hyperlink>
      <w:r w:rsidRPr="002F6EAB">
        <w:rPr>
          <w:rFonts w:ascii="Times New Roman" w:eastAsiaTheme="minorEastAsia" w:hAnsi="Times New Roman" w:cs="Times New Roman"/>
          <w:kern w:val="0"/>
          <w:sz w:val="24"/>
          <w:szCs w:val="24"/>
          <w14:ligatures w14:val="none"/>
        </w:rPr>
        <w:t xml:space="preserve">. </w:t>
      </w:r>
      <w:hyperlink r:id="rId22" w:history="1">
        <w:r w:rsidRPr="002F6EAB">
          <w:rPr>
            <w:rFonts w:ascii="Times New Roman" w:eastAsiaTheme="minorEastAsia" w:hAnsi="Times New Roman" w:cs="Times New Roman"/>
            <w:color w:val="0000FF"/>
            <w:kern w:val="0"/>
            <w:sz w:val="24"/>
            <w:szCs w:val="24"/>
            <w:u w:val="single"/>
            <w14:ligatures w14:val="none"/>
          </w:rPr>
          <w:t>https://doi.org/10.1016/j.renene.2019.08.094</w:t>
        </w:r>
      </w:hyperlink>
    </w:p>
    <w:p w14:paraId="211EB87E" w14:textId="77777777" w:rsidR="007B3BDD" w:rsidRPr="002F6EAB" w:rsidRDefault="007B3BDD" w:rsidP="00730BE0">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2F6EAB">
        <w:rPr>
          <w:rFonts w:ascii="Times New Roman" w:eastAsiaTheme="minorEastAsia" w:hAnsi="Times New Roman" w:cs="Times New Roman"/>
          <w:kern w:val="0"/>
          <w:sz w:val="24"/>
          <w:szCs w:val="24"/>
          <w14:ligatures w14:val="none"/>
        </w:rPr>
        <w:t xml:space="preserve">Shad, M. K., Lai, F.-W., </w:t>
      </w:r>
      <w:proofErr w:type="spellStart"/>
      <w:r w:rsidRPr="002F6EAB">
        <w:rPr>
          <w:rFonts w:ascii="Times New Roman" w:eastAsiaTheme="minorEastAsia" w:hAnsi="Times New Roman" w:cs="Times New Roman"/>
          <w:kern w:val="0"/>
          <w:sz w:val="24"/>
          <w:szCs w:val="24"/>
          <w14:ligatures w14:val="none"/>
        </w:rPr>
        <w:t>Fatt</w:t>
      </w:r>
      <w:proofErr w:type="spellEnd"/>
      <w:r w:rsidRPr="002F6EAB">
        <w:rPr>
          <w:rFonts w:ascii="Times New Roman" w:eastAsiaTheme="minorEastAsia" w:hAnsi="Times New Roman" w:cs="Times New Roman"/>
          <w:kern w:val="0"/>
          <w:sz w:val="24"/>
          <w:szCs w:val="24"/>
          <w14:ligatures w14:val="none"/>
        </w:rPr>
        <w:t xml:space="preserve">, C. L., </w:t>
      </w:r>
      <w:proofErr w:type="spellStart"/>
      <w:r w:rsidRPr="002F6EAB">
        <w:rPr>
          <w:rFonts w:ascii="Times New Roman" w:eastAsiaTheme="minorEastAsia" w:hAnsi="Times New Roman" w:cs="Times New Roman"/>
          <w:kern w:val="0"/>
          <w:sz w:val="24"/>
          <w:szCs w:val="24"/>
          <w14:ligatures w14:val="none"/>
        </w:rPr>
        <w:t>Klemeš</w:t>
      </w:r>
      <w:proofErr w:type="spellEnd"/>
      <w:r w:rsidRPr="002F6EAB">
        <w:rPr>
          <w:rFonts w:ascii="Times New Roman" w:eastAsiaTheme="minorEastAsia" w:hAnsi="Times New Roman" w:cs="Times New Roman"/>
          <w:kern w:val="0"/>
          <w:sz w:val="24"/>
          <w:szCs w:val="24"/>
          <w14:ligatures w14:val="none"/>
        </w:rPr>
        <w:t xml:space="preserve">, J. J., &amp; </w:t>
      </w:r>
      <w:proofErr w:type="spellStart"/>
      <w:r w:rsidRPr="002F6EAB">
        <w:rPr>
          <w:rFonts w:ascii="Times New Roman" w:eastAsiaTheme="minorEastAsia" w:hAnsi="Times New Roman" w:cs="Times New Roman"/>
          <w:kern w:val="0"/>
          <w:sz w:val="24"/>
          <w:szCs w:val="24"/>
          <w14:ligatures w14:val="none"/>
        </w:rPr>
        <w:t>Bokhari</w:t>
      </w:r>
      <w:proofErr w:type="spellEnd"/>
      <w:r w:rsidRPr="002F6EAB">
        <w:rPr>
          <w:rFonts w:ascii="Times New Roman" w:eastAsiaTheme="minorEastAsia" w:hAnsi="Times New Roman" w:cs="Times New Roman"/>
          <w:kern w:val="0"/>
          <w:sz w:val="24"/>
          <w:szCs w:val="24"/>
          <w14:ligatures w14:val="none"/>
        </w:rPr>
        <w:t xml:space="preserve">, A. (2019). Integrating sustainability reporting into enterprise risk management and its relationship with business performance: A conceptual framework. </w:t>
      </w:r>
      <w:r w:rsidRPr="002F6EAB">
        <w:rPr>
          <w:rFonts w:ascii="Times New Roman" w:eastAsiaTheme="minorEastAsia" w:hAnsi="Times New Roman" w:cs="Times New Roman"/>
          <w:i/>
          <w:iCs/>
          <w:kern w:val="0"/>
          <w:sz w:val="24"/>
          <w:szCs w:val="24"/>
          <w14:ligatures w14:val="none"/>
        </w:rPr>
        <w:t>Journal of Cleaner Production, 208</w:t>
      </w:r>
      <w:r w:rsidRPr="002F6EAB">
        <w:rPr>
          <w:rFonts w:ascii="Times New Roman" w:eastAsiaTheme="minorEastAsia" w:hAnsi="Times New Roman" w:cs="Times New Roman"/>
          <w:kern w:val="0"/>
          <w:sz w:val="24"/>
          <w:szCs w:val="24"/>
          <w14:ligatures w14:val="none"/>
        </w:rPr>
        <w:t xml:space="preserve">, 415–425. </w:t>
      </w:r>
      <w:hyperlink r:id="rId23" w:history="1">
        <w:r w:rsidRPr="002F6EAB">
          <w:rPr>
            <w:rFonts w:ascii="Times New Roman" w:eastAsiaTheme="minorEastAsia" w:hAnsi="Times New Roman" w:cs="Times New Roman"/>
            <w:color w:val="0000FF"/>
            <w:kern w:val="0"/>
            <w:sz w:val="24"/>
            <w:szCs w:val="24"/>
            <w:u w:val="single"/>
            <w14:ligatures w14:val="none"/>
          </w:rPr>
          <w:t>https://doi.org/10.1016/j.jclepro.2018.10.120</w:t>
        </w:r>
      </w:hyperlink>
    </w:p>
    <w:p w14:paraId="32987CD6" w14:textId="77777777" w:rsidR="007B3BDD" w:rsidRPr="00A41407" w:rsidRDefault="007B3BDD" w:rsidP="00730BE0">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p>
    <w:p w14:paraId="592B7175" w14:textId="77777777" w:rsidR="007B3BDD" w:rsidRPr="00273BD1" w:rsidRDefault="007B3BDD" w:rsidP="00273BD1"/>
    <w:sectPr w:rsidR="007B3BDD" w:rsidRPr="00273BD1" w:rsidSect="00877AAC">
      <w:footerReference w:type="even" r:id="rId24"/>
      <w:footerReference w:type="default" r:id="rId2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C386E" w14:textId="77777777" w:rsidR="00E87DA9" w:rsidRDefault="00E87DA9" w:rsidP="009125CE">
      <w:pPr>
        <w:spacing w:after="0" w:line="240" w:lineRule="auto"/>
      </w:pPr>
      <w:r>
        <w:separator/>
      </w:r>
    </w:p>
  </w:endnote>
  <w:endnote w:type="continuationSeparator" w:id="0">
    <w:p w14:paraId="44E354A9" w14:textId="77777777" w:rsidR="00E87DA9" w:rsidRDefault="00E87DA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415740789"/>
      <w:docPartObj>
        <w:docPartGallery w:val="Page Numbers (Bottom of Page)"/>
        <w:docPartUnique/>
      </w:docPartObj>
    </w:sdtPr>
    <w:sdtEndPr>
      <w:rPr>
        <w:rStyle w:val="a6"/>
      </w:rPr>
    </w:sdtEndPr>
    <w:sdtContent>
      <w:p w14:paraId="013FBF06" w14:textId="77777777" w:rsidR="00421917" w:rsidRDefault="00421917" w:rsidP="005F06D2">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end"/>
        </w:r>
      </w:p>
    </w:sdtContent>
  </w:sdt>
  <w:p w14:paraId="05900952" w14:textId="77777777" w:rsidR="00421917" w:rsidRDefault="0042191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609702362"/>
      <w:docPartObj>
        <w:docPartGallery w:val="Page Numbers (Bottom of Page)"/>
        <w:docPartUnique/>
      </w:docPartObj>
    </w:sdtPr>
    <w:sdtEndPr>
      <w:rPr>
        <w:rStyle w:val="a6"/>
      </w:rPr>
    </w:sdtEndPr>
    <w:sdtContent>
      <w:p w14:paraId="173DE7CE" w14:textId="77777777" w:rsidR="00421917" w:rsidRDefault="00421917" w:rsidP="005F06D2">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separate"/>
        </w:r>
        <w:r>
          <w:rPr>
            <w:rStyle w:val="a6"/>
            <w:noProof/>
            <w:rtl/>
          </w:rPr>
          <w:t>35</w:t>
        </w:r>
        <w:r>
          <w:rPr>
            <w:rStyle w:val="a6"/>
            <w:rtl/>
          </w:rPr>
          <w:fldChar w:fldCharType="end"/>
        </w:r>
      </w:p>
    </w:sdtContent>
  </w:sdt>
  <w:p w14:paraId="3CF2994D" w14:textId="77777777" w:rsidR="00421917" w:rsidRDefault="0042191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F5465" w14:textId="77777777" w:rsidR="00E87DA9" w:rsidRDefault="00E87DA9" w:rsidP="009125CE">
      <w:pPr>
        <w:spacing w:after="0" w:line="240" w:lineRule="auto"/>
      </w:pPr>
      <w:r>
        <w:separator/>
      </w:r>
    </w:p>
  </w:footnote>
  <w:footnote w:type="continuationSeparator" w:id="0">
    <w:p w14:paraId="5DF7886F" w14:textId="77777777" w:rsidR="00E87DA9" w:rsidRDefault="00E87DA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6A37"/>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855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9159AB"/>
    <w:multiLevelType w:val="hybridMultilevel"/>
    <w:tmpl w:val="7946D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C13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A0C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531E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625A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FB26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6F11CC"/>
    <w:multiLevelType w:val="hybridMultilevel"/>
    <w:tmpl w:val="AE545554"/>
    <w:lvl w:ilvl="0" w:tplc="FFFFFFFF">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917D9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2A33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B203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2D77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1B44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6E69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7A29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7776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F7C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4D54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415C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EC2F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446AC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4230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A252C4"/>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41134B"/>
    <w:multiLevelType w:val="hybridMultilevel"/>
    <w:tmpl w:val="8D487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2309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C234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7A7D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023E91"/>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5118A5"/>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8B3C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3307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295F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7001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E304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711009"/>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FA06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CC2F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3074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006E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7732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187186">
    <w:abstractNumId w:val="8"/>
  </w:num>
  <w:num w:numId="2" w16cid:durableId="162553529">
    <w:abstractNumId w:val="21"/>
  </w:num>
  <w:num w:numId="3" w16cid:durableId="1083641680">
    <w:abstractNumId w:val="11"/>
  </w:num>
  <w:num w:numId="4" w16cid:durableId="793669798">
    <w:abstractNumId w:val="31"/>
  </w:num>
  <w:num w:numId="5" w16cid:durableId="522742607">
    <w:abstractNumId w:val="25"/>
  </w:num>
  <w:num w:numId="6" w16cid:durableId="1791781127">
    <w:abstractNumId w:val="4"/>
  </w:num>
  <w:num w:numId="7" w16cid:durableId="754983198">
    <w:abstractNumId w:val="14"/>
  </w:num>
  <w:num w:numId="8" w16cid:durableId="514807351">
    <w:abstractNumId w:val="19"/>
  </w:num>
  <w:num w:numId="9" w16cid:durableId="1003360747">
    <w:abstractNumId w:val="26"/>
  </w:num>
  <w:num w:numId="10" w16cid:durableId="857276848">
    <w:abstractNumId w:val="9"/>
  </w:num>
  <w:num w:numId="11" w16cid:durableId="1621188200">
    <w:abstractNumId w:val="36"/>
  </w:num>
  <w:num w:numId="12" w16cid:durableId="164443241">
    <w:abstractNumId w:val="7"/>
  </w:num>
  <w:num w:numId="13" w16cid:durableId="409891231">
    <w:abstractNumId w:val="38"/>
  </w:num>
  <w:num w:numId="14" w16cid:durableId="505634648">
    <w:abstractNumId w:val="13"/>
  </w:num>
  <w:num w:numId="15" w16cid:durableId="2122719872">
    <w:abstractNumId w:val="5"/>
  </w:num>
  <w:num w:numId="16" w16cid:durableId="1347832966">
    <w:abstractNumId w:val="37"/>
  </w:num>
  <w:num w:numId="17" w16cid:durableId="1796675106">
    <w:abstractNumId w:val="35"/>
  </w:num>
  <w:num w:numId="18" w16cid:durableId="1320041065">
    <w:abstractNumId w:val="18"/>
  </w:num>
  <w:num w:numId="19" w16cid:durableId="2102138532">
    <w:abstractNumId w:val="0"/>
  </w:num>
  <w:num w:numId="20" w16cid:durableId="921991878">
    <w:abstractNumId w:val="29"/>
  </w:num>
  <w:num w:numId="21" w16cid:durableId="229732094">
    <w:abstractNumId w:val="28"/>
  </w:num>
  <w:num w:numId="22" w16cid:durableId="2103406357">
    <w:abstractNumId w:val="23"/>
  </w:num>
  <w:num w:numId="23" w16cid:durableId="1043404518">
    <w:abstractNumId w:val="12"/>
  </w:num>
  <w:num w:numId="24" w16cid:durableId="912276884">
    <w:abstractNumId w:val="15"/>
  </w:num>
  <w:num w:numId="25" w16cid:durableId="8798484">
    <w:abstractNumId w:val="3"/>
  </w:num>
  <w:num w:numId="26" w16cid:durableId="1395619895">
    <w:abstractNumId w:val="39"/>
  </w:num>
  <w:num w:numId="27" w16cid:durableId="177934933">
    <w:abstractNumId w:val="16"/>
  </w:num>
  <w:num w:numId="28" w16cid:durableId="376048068">
    <w:abstractNumId w:val="1"/>
  </w:num>
  <w:num w:numId="29" w16cid:durableId="505874431">
    <w:abstractNumId w:val="20"/>
  </w:num>
  <w:num w:numId="30" w16cid:durableId="488788955">
    <w:abstractNumId w:val="33"/>
  </w:num>
  <w:num w:numId="31" w16cid:durableId="744683">
    <w:abstractNumId w:val="17"/>
  </w:num>
  <w:num w:numId="32" w16cid:durableId="1243638187">
    <w:abstractNumId w:val="34"/>
  </w:num>
  <w:num w:numId="33" w16cid:durableId="634919405">
    <w:abstractNumId w:val="10"/>
  </w:num>
  <w:num w:numId="34" w16cid:durableId="1749770948">
    <w:abstractNumId w:val="32"/>
  </w:num>
  <w:num w:numId="35" w16cid:durableId="2045059290">
    <w:abstractNumId w:val="30"/>
  </w:num>
  <w:num w:numId="36" w16cid:durableId="37557734">
    <w:abstractNumId w:val="22"/>
  </w:num>
  <w:num w:numId="37" w16cid:durableId="836920200">
    <w:abstractNumId w:val="27"/>
  </w:num>
  <w:num w:numId="38" w16cid:durableId="255938812">
    <w:abstractNumId w:val="2"/>
  </w:num>
  <w:num w:numId="39" w16cid:durableId="35667111">
    <w:abstractNumId w:val="40"/>
  </w:num>
  <w:num w:numId="40" w16cid:durableId="1914923340">
    <w:abstractNumId w:val="24"/>
  </w:num>
  <w:num w:numId="41" w16cid:durableId="4836628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8B7"/>
    <w:rsid w:val="00005EC0"/>
    <w:rsid w:val="00020FF6"/>
    <w:rsid w:val="000305D2"/>
    <w:rsid w:val="00030715"/>
    <w:rsid w:val="00036681"/>
    <w:rsid w:val="00037608"/>
    <w:rsid w:val="000470BB"/>
    <w:rsid w:val="00047100"/>
    <w:rsid w:val="00060C11"/>
    <w:rsid w:val="000872C6"/>
    <w:rsid w:val="00090F21"/>
    <w:rsid w:val="00091E7C"/>
    <w:rsid w:val="0009358F"/>
    <w:rsid w:val="000A0C93"/>
    <w:rsid w:val="000B004F"/>
    <w:rsid w:val="000B234D"/>
    <w:rsid w:val="000B5461"/>
    <w:rsid w:val="000D5842"/>
    <w:rsid w:val="000E4EF8"/>
    <w:rsid w:val="000F44B4"/>
    <w:rsid w:val="001007AB"/>
    <w:rsid w:val="00106DAE"/>
    <w:rsid w:val="00114DE6"/>
    <w:rsid w:val="001226BA"/>
    <w:rsid w:val="00127CB5"/>
    <w:rsid w:val="00130049"/>
    <w:rsid w:val="00132EEC"/>
    <w:rsid w:val="00136CFA"/>
    <w:rsid w:val="001374E4"/>
    <w:rsid w:val="00146C4D"/>
    <w:rsid w:val="00161F6E"/>
    <w:rsid w:val="001706EF"/>
    <w:rsid w:val="00180B4E"/>
    <w:rsid w:val="001861CA"/>
    <w:rsid w:val="00186229"/>
    <w:rsid w:val="001902DB"/>
    <w:rsid w:val="001925B7"/>
    <w:rsid w:val="001B0F72"/>
    <w:rsid w:val="001B297F"/>
    <w:rsid w:val="001C2162"/>
    <w:rsid w:val="001C4404"/>
    <w:rsid w:val="001F5E3B"/>
    <w:rsid w:val="00202D4E"/>
    <w:rsid w:val="00203A6C"/>
    <w:rsid w:val="00205C94"/>
    <w:rsid w:val="0020733B"/>
    <w:rsid w:val="00213F2E"/>
    <w:rsid w:val="00214A00"/>
    <w:rsid w:val="00214FC9"/>
    <w:rsid w:val="002154CD"/>
    <w:rsid w:val="00230FF9"/>
    <w:rsid w:val="00240601"/>
    <w:rsid w:val="0024538D"/>
    <w:rsid w:val="002530C3"/>
    <w:rsid w:val="00253558"/>
    <w:rsid w:val="00257E6A"/>
    <w:rsid w:val="00264DF5"/>
    <w:rsid w:val="00273BD1"/>
    <w:rsid w:val="002801BA"/>
    <w:rsid w:val="00280E82"/>
    <w:rsid w:val="00281A55"/>
    <w:rsid w:val="00286047"/>
    <w:rsid w:val="002931AC"/>
    <w:rsid w:val="00296D9B"/>
    <w:rsid w:val="002A111A"/>
    <w:rsid w:val="002A19AF"/>
    <w:rsid w:val="002B0594"/>
    <w:rsid w:val="002B36F8"/>
    <w:rsid w:val="002B7589"/>
    <w:rsid w:val="002D564A"/>
    <w:rsid w:val="002E5DFE"/>
    <w:rsid w:val="002F6EAB"/>
    <w:rsid w:val="00312836"/>
    <w:rsid w:val="00312BC2"/>
    <w:rsid w:val="003231C3"/>
    <w:rsid w:val="00331C52"/>
    <w:rsid w:val="0033487A"/>
    <w:rsid w:val="0034104F"/>
    <w:rsid w:val="0034791D"/>
    <w:rsid w:val="00351729"/>
    <w:rsid w:val="0036195C"/>
    <w:rsid w:val="003746BA"/>
    <w:rsid w:val="003852D2"/>
    <w:rsid w:val="00394C25"/>
    <w:rsid w:val="003963AB"/>
    <w:rsid w:val="003B5B59"/>
    <w:rsid w:val="003C0821"/>
    <w:rsid w:val="003C4275"/>
    <w:rsid w:val="003D0FC0"/>
    <w:rsid w:val="003D12F2"/>
    <w:rsid w:val="003F08B0"/>
    <w:rsid w:val="003F3A3B"/>
    <w:rsid w:val="0040003A"/>
    <w:rsid w:val="0041360F"/>
    <w:rsid w:val="004163C7"/>
    <w:rsid w:val="00421917"/>
    <w:rsid w:val="00422D78"/>
    <w:rsid w:val="00425BD7"/>
    <w:rsid w:val="00426DBD"/>
    <w:rsid w:val="0044021E"/>
    <w:rsid w:val="00441B18"/>
    <w:rsid w:val="00441D7A"/>
    <w:rsid w:val="004431CC"/>
    <w:rsid w:val="0045110A"/>
    <w:rsid w:val="00454E2B"/>
    <w:rsid w:val="004721B6"/>
    <w:rsid w:val="004C14BC"/>
    <w:rsid w:val="004C2E5A"/>
    <w:rsid w:val="004D18B7"/>
    <w:rsid w:val="004D3530"/>
    <w:rsid w:val="004D7E37"/>
    <w:rsid w:val="004F70B3"/>
    <w:rsid w:val="00513486"/>
    <w:rsid w:val="0053071C"/>
    <w:rsid w:val="00537BEE"/>
    <w:rsid w:val="0054276C"/>
    <w:rsid w:val="00551887"/>
    <w:rsid w:val="00552EA8"/>
    <w:rsid w:val="00553D25"/>
    <w:rsid w:val="00555F0F"/>
    <w:rsid w:val="00556DD7"/>
    <w:rsid w:val="005573FA"/>
    <w:rsid w:val="00560767"/>
    <w:rsid w:val="00577211"/>
    <w:rsid w:val="00597D7D"/>
    <w:rsid w:val="005A1FEC"/>
    <w:rsid w:val="005A244F"/>
    <w:rsid w:val="005B4D8C"/>
    <w:rsid w:val="005C1454"/>
    <w:rsid w:val="005E0916"/>
    <w:rsid w:val="005E79F1"/>
    <w:rsid w:val="005F2729"/>
    <w:rsid w:val="005F2901"/>
    <w:rsid w:val="00602079"/>
    <w:rsid w:val="00607172"/>
    <w:rsid w:val="00613EE8"/>
    <w:rsid w:val="006300D5"/>
    <w:rsid w:val="00640FC6"/>
    <w:rsid w:val="00651728"/>
    <w:rsid w:val="0065252B"/>
    <w:rsid w:val="00671D4F"/>
    <w:rsid w:val="00673917"/>
    <w:rsid w:val="00674F96"/>
    <w:rsid w:val="006878B6"/>
    <w:rsid w:val="00690D87"/>
    <w:rsid w:val="006948DE"/>
    <w:rsid w:val="00695980"/>
    <w:rsid w:val="006B19C4"/>
    <w:rsid w:val="006C09D7"/>
    <w:rsid w:val="006D0D12"/>
    <w:rsid w:val="006D1F00"/>
    <w:rsid w:val="006E50AB"/>
    <w:rsid w:val="006E69AB"/>
    <w:rsid w:val="006F0FA5"/>
    <w:rsid w:val="0070053C"/>
    <w:rsid w:val="0071237C"/>
    <w:rsid w:val="00717A32"/>
    <w:rsid w:val="00721B12"/>
    <w:rsid w:val="007243D3"/>
    <w:rsid w:val="00731064"/>
    <w:rsid w:val="00744531"/>
    <w:rsid w:val="00761FFC"/>
    <w:rsid w:val="00762B32"/>
    <w:rsid w:val="00766964"/>
    <w:rsid w:val="007920A9"/>
    <w:rsid w:val="007977E2"/>
    <w:rsid w:val="007A0ADE"/>
    <w:rsid w:val="007A1A41"/>
    <w:rsid w:val="007A1FA8"/>
    <w:rsid w:val="007B043C"/>
    <w:rsid w:val="007B0E54"/>
    <w:rsid w:val="007B3BDD"/>
    <w:rsid w:val="007B49A3"/>
    <w:rsid w:val="007B4D3A"/>
    <w:rsid w:val="007B54E5"/>
    <w:rsid w:val="007E078A"/>
    <w:rsid w:val="007E08B8"/>
    <w:rsid w:val="007E3A20"/>
    <w:rsid w:val="00807BFD"/>
    <w:rsid w:val="008108DC"/>
    <w:rsid w:val="0081344E"/>
    <w:rsid w:val="008144CB"/>
    <w:rsid w:val="00827AB3"/>
    <w:rsid w:val="0084313C"/>
    <w:rsid w:val="00844162"/>
    <w:rsid w:val="008468A9"/>
    <w:rsid w:val="008546A5"/>
    <w:rsid w:val="00863905"/>
    <w:rsid w:val="00877AAC"/>
    <w:rsid w:val="00881BB2"/>
    <w:rsid w:val="00883C78"/>
    <w:rsid w:val="00886028"/>
    <w:rsid w:val="00886AA7"/>
    <w:rsid w:val="00892ECB"/>
    <w:rsid w:val="00894A6B"/>
    <w:rsid w:val="00896FE4"/>
    <w:rsid w:val="008B3C2D"/>
    <w:rsid w:val="008C39B2"/>
    <w:rsid w:val="008D1255"/>
    <w:rsid w:val="008D2AD7"/>
    <w:rsid w:val="008D2B0B"/>
    <w:rsid w:val="008E0D54"/>
    <w:rsid w:val="008F1EAE"/>
    <w:rsid w:val="009125CE"/>
    <w:rsid w:val="00927C91"/>
    <w:rsid w:val="00934A21"/>
    <w:rsid w:val="009410B6"/>
    <w:rsid w:val="00944AFC"/>
    <w:rsid w:val="00946F5F"/>
    <w:rsid w:val="00953A62"/>
    <w:rsid w:val="009553AE"/>
    <w:rsid w:val="00956649"/>
    <w:rsid w:val="009607E2"/>
    <w:rsid w:val="00962D49"/>
    <w:rsid w:val="00967284"/>
    <w:rsid w:val="00972D4A"/>
    <w:rsid w:val="00974EE7"/>
    <w:rsid w:val="0098072E"/>
    <w:rsid w:val="00985976"/>
    <w:rsid w:val="00996D69"/>
    <w:rsid w:val="00997515"/>
    <w:rsid w:val="009A7718"/>
    <w:rsid w:val="009B3C2B"/>
    <w:rsid w:val="009B6888"/>
    <w:rsid w:val="009C0161"/>
    <w:rsid w:val="009D108D"/>
    <w:rsid w:val="009E1436"/>
    <w:rsid w:val="009E5668"/>
    <w:rsid w:val="009F5262"/>
    <w:rsid w:val="009F7DC5"/>
    <w:rsid w:val="00A133AD"/>
    <w:rsid w:val="00A33035"/>
    <w:rsid w:val="00A37016"/>
    <w:rsid w:val="00A41407"/>
    <w:rsid w:val="00A41F36"/>
    <w:rsid w:val="00A5117F"/>
    <w:rsid w:val="00A73144"/>
    <w:rsid w:val="00AA79E9"/>
    <w:rsid w:val="00AA7CD2"/>
    <w:rsid w:val="00AB0A70"/>
    <w:rsid w:val="00AB6789"/>
    <w:rsid w:val="00AC4B88"/>
    <w:rsid w:val="00AC7398"/>
    <w:rsid w:val="00AF3197"/>
    <w:rsid w:val="00B0075F"/>
    <w:rsid w:val="00B061CF"/>
    <w:rsid w:val="00B10C3B"/>
    <w:rsid w:val="00B176E8"/>
    <w:rsid w:val="00B330D1"/>
    <w:rsid w:val="00B40B3D"/>
    <w:rsid w:val="00B442DF"/>
    <w:rsid w:val="00B5535A"/>
    <w:rsid w:val="00B63B0F"/>
    <w:rsid w:val="00B66300"/>
    <w:rsid w:val="00B668DA"/>
    <w:rsid w:val="00B7678A"/>
    <w:rsid w:val="00BA3FFD"/>
    <w:rsid w:val="00BB0763"/>
    <w:rsid w:val="00BB176F"/>
    <w:rsid w:val="00BB2C7D"/>
    <w:rsid w:val="00BC094B"/>
    <w:rsid w:val="00BD4747"/>
    <w:rsid w:val="00BD5AA0"/>
    <w:rsid w:val="00BE0BDA"/>
    <w:rsid w:val="00BE1001"/>
    <w:rsid w:val="00BE7A50"/>
    <w:rsid w:val="00BF196D"/>
    <w:rsid w:val="00C2039E"/>
    <w:rsid w:val="00C21357"/>
    <w:rsid w:val="00C22551"/>
    <w:rsid w:val="00C24851"/>
    <w:rsid w:val="00C265ED"/>
    <w:rsid w:val="00C4738D"/>
    <w:rsid w:val="00C55C33"/>
    <w:rsid w:val="00C72744"/>
    <w:rsid w:val="00C73ABE"/>
    <w:rsid w:val="00C811BF"/>
    <w:rsid w:val="00C864A2"/>
    <w:rsid w:val="00C87A78"/>
    <w:rsid w:val="00C95ADF"/>
    <w:rsid w:val="00CA1145"/>
    <w:rsid w:val="00CB1683"/>
    <w:rsid w:val="00CB2A44"/>
    <w:rsid w:val="00CB368E"/>
    <w:rsid w:val="00CB5064"/>
    <w:rsid w:val="00CC7ABC"/>
    <w:rsid w:val="00CD2EF0"/>
    <w:rsid w:val="00CD2F65"/>
    <w:rsid w:val="00CE1765"/>
    <w:rsid w:val="00CF2138"/>
    <w:rsid w:val="00D04F62"/>
    <w:rsid w:val="00D17C58"/>
    <w:rsid w:val="00D22171"/>
    <w:rsid w:val="00D354F6"/>
    <w:rsid w:val="00D37B66"/>
    <w:rsid w:val="00D52480"/>
    <w:rsid w:val="00D55336"/>
    <w:rsid w:val="00D62CD3"/>
    <w:rsid w:val="00D75BE6"/>
    <w:rsid w:val="00D87436"/>
    <w:rsid w:val="00D911E8"/>
    <w:rsid w:val="00DC0950"/>
    <w:rsid w:val="00DD234A"/>
    <w:rsid w:val="00E0424B"/>
    <w:rsid w:val="00E06619"/>
    <w:rsid w:val="00E06649"/>
    <w:rsid w:val="00E1593A"/>
    <w:rsid w:val="00E1674D"/>
    <w:rsid w:val="00E207B8"/>
    <w:rsid w:val="00E23DFA"/>
    <w:rsid w:val="00E32A0A"/>
    <w:rsid w:val="00E40B89"/>
    <w:rsid w:val="00E4116E"/>
    <w:rsid w:val="00E434DC"/>
    <w:rsid w:val="00E509BA"/>
    <w:rsid w:val="00E55B15"/>
    <w:rsid w:val="00E6120F"/>
    <w:rsid w:val="00E80FD9"/>
    <w:rsid w:val="00E8357D"/>
    <w:rsid w:val="00E87DA9"/>
    <w:rsid w:val="00E95C9F"/>
    <w:rsid w:val="00EA0341"/>
    <w:rsid w:val="00EB6FE3"/>
    <w:rsid w:val="00ED1548"/>
    <w:rsid w:val="00ED370C"/>
    <w:rsid w:val="00ED4B89"/>
    <w:rsid w:val="00ED5E30"/>
    <w:rsid w:val="00EE2D84"/>
    <w:rsid w:val="00EF2986"/>
    <w:rsid w:val="00F04B8E"/>
    <w:rsid w:val="00F07AFF"/>
    <w:rsid w:val="00F10476"/>
    <w:rsid w:val="00F129D5"/>
    <w:rsid w:val="00F35C8F"/>
    <w:rsid w:val="00F36494"/>
    <w:rsid w:val="00F419BD"/>
    <w:rsid w:val="00F45CC9"/>
    <w:rsid w:val="00F54162"/>
    <w:rsid w:val="00F546CE"/>
    <w:rsid w:val="00F64EAA"/>
    <w:rsid w:val="00F703EF"/>
    <w:rsid w:val="00F9087F"/>
    <w:rsid w:val="00F925D0"/>
    <w:rsid w:val="00FC0C4C"/>
    <w:rsid w:val="00FC5A04"/>
    <w:rsid w:val="00FE4927"/>
    <w:rsid w:val="00FF7D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4809F"/>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672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9672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96728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894A6B"/>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96728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6728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67284"/>
    <w:rPr>
      <w:rFonts w:eastAsiaTheme="majorEastAsia" w:cstheme="majorBidi"/>
      <w:color w:val="2F5496" w:themeColor="accent1" w:themeShade="BF"/>
      <w:sz w:val="28"/>
      <w:szCs w:val="28"/>
    </w:rPr>
  </w:style>
  <w:style w:type="character" w:customStyle="1" w:styleId="s1">
    <w:name w:val="s1"/>
    <w:basedOn w:val="a0"/>
    <w:rsid w:val="00967284"/>
  </w:style>
  <w:style w:type="paragraph" w:customStyle="1" w:styleId="p2">
    <w:name w:val="p2"/>
    <w:basedOn w:val="a"/>
    <w:rsid w:val="0096728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967284"/>
  </w:style>
  <w:style w:type="paragraph" w:customStyle="1" w:styleId="p3">
    <w:name w:val="p3"/>
    <w:basedOn w:val="a"/>
    <w:rsid w:val="0096728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1">
    <w:name w:val="p1"/>
    <w:basedOn w:val="a"/>
    <w:rsid w:val="0096728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5">
    <w:name w:val="List Paragraph"/>
    <w:basedOn w:val="a"/>
    <w:uiPriority w:val="34"/>
    <w:qFormat/>
    <w:rsid w:val="00640FC6"/>
    <w:pPr>
      <w:ind w:left="720"/>
      <w:contextualSpacing/>
    </w:pPr>
  </w:style>
  <w:style w:type="paragraph" w:customStyle="1" w:styleId="p4">
    <w:name w:val="p4"/>
    <w:basedOn w:val="a"/>
    <w:rsid w:val="00394C2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4Char">
    <w:name w:val="عنوان 4 Char"/>
    <w:basedOn w:val="a0"/>
    <w:link w:val="4"/>
    <w:uiPriority w:val="9"/>
    <w:semiHidden/>
    <w:rsid w:val="00894A6B"/>
    <w:rPr>
      <w:rFonts w:eastAsiaTheme="majorEastAsia" w:cstheme="majorBidi"/>
      <w:i/>
      <w:iCs/>
      <w:color w:val="2F5496" w:themeColor="accent1" w:themeShade="BF"/>
    </w:rPr>
  </w:style>
  <w:style w:type="character" w:styleId="Hyperlink">
    <w:name w:val="Hyperlink"/>
    <w:basedOn w:val="a0"/>
    <w:uiPriority w:val="99"/>
    <w:semiHidden/>
    <w:unhideWhenUsed/>
    <w:rsid w:val="00280E82"/>
    <w:rPr>
      <w:color w:val="0000FF"/>
      <w:u w:val="single"/>
    </w:rPr>
  </w:style>
  <w:style w:type="paragraph" w:customStyle="1" w:styleId="p5">
    <w:name w:val="p5"/>
    <w:basedOn w:val="a"/>
    <w:rsid w:val="00280E8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6">
    <w:name w:val="p6"/>
    <w:basedOn w:val="a"/>
    <w:rsid w:val="00280E8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HTMLCode">
    <w:name w:val="HTML Code"/>
    <w:basedOn w:val="a0"/>
    <w:uiPriority w:val="99"/>
    <w:semiHidden/>
    <w:unhideWhenUsed/>
    <w:rsid w:val="00280E82"/>
    <w:rPr>
      <w:rFonts w:ascii="Courier New" w:eastAsiaTheme="minorEastAsia" w:hAnsi="Courier New" w:cs="Courier New"/>
      <w:sz w:val="20"/>
      <w:szCs w:val="20"/>
    </w:rPr>
  </w:style>
  <w:style w:type="paragraph" w:customStyle="1" w:styleId="p7">
    <w:name w:val="p7"/>
    <w:basedOn w:val="a"/>
    <w:rsid w:val="00280E8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page number"/>
    <w:basedOn w:val="a0"/>
    <w:uiPriority w:val="99"/>
    <w:semiHidden/>
    <w:unhideWhenUsed/>
    <w:rsid w:val="00421917"/>
  </w:style>
  <w:style w:type="table" w:styleId="a7">
    <w:name w:val="Table Grid"/>
    <w:basedOn w:val="a1"/>
    <w:uiPriority w:val="39"/>
    <w:rsid w:val="00280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86292">
      <w:bodyDiv w:val="1"/>
      <w:marLeft w:val="0"/>
      <w:marRight w:val="0"/>
      <w:marTop w:val="0"/>
      <w:marBottom w:val="0"/>
      <w:divBdr>
        <w:top w:val="none" w:sz="0" w:space="0" w:color="auto"/>
        <w:left w:val="none" w:sz="0" w:space="0" w:color="auto"/>
        <w:bottom w:val="none" w:sz="0" w:space="0" w:color="auto"/>
        <w:right w:val="none" w:sz="0" w:space="0" w:color="auto"/>
      </w:divBdr>
    </w:div>
    <w:div w:id="119108524">
      <w:bodyDiv w:val="1"/>
      <w:marLeft w:val="0"/>
      <w:marRight w:val="0"/>
      <w:marTop w:val="0"/>
      <w:marBottom w:val="0"/>
      <w:divBdr>
        <w:top w:val="none" w:sz="0" w:space="0" w:color="auto"/>
        <w:left w:val="none" w:sz="0" w:space="0" w:color="auto"/>
        <w:bottom w:val="none" w:sz="0" w:space="0" w:color="auto"/>
        <w:right w:val="none" w:sz="0" w:space="0" w:color="auto"/>
      </w:divBdr>
    </w:div>
    <w:div w:id="193885319">
      <w:bodyDiv w:val="1"/>
      <w:marLeft w:val="0"/>
      <w:marRight w:val="0"/>
      <w:marTop w:val="0"/>
      <w:marBottom w:val="0"/>
      <w:divBdr>
        <w:top w:val="none" w:sz="0" w:space="0" w:color="auto"/>
        <w:left w:val="none" w:sz="0" w:space="0" w:color="auto"/>
        <w:bottom w:val="none" w:sz="0" w:space="0" w:color="auto"/>
        <w:right w:val="none" w:sz="0" w:space="0" w:color="auto"/>
      </w:divBdr>
      <w:divsChild>
        <w:div w:id="787893537">
          <w:marLeft w:val="0"/>
          <w:marRight w:val="0"/>
          <w:marTop w:val="0"/>
          <w:marBottom w:val="0"/>
          <w:divBdr>
            <w:top w:val="none" w:sz="0" w:space="0" w:color="auto"/>
            <w:left w:val="none" w:sz="0" w:space="0" w:color="auto"/>
            <w:bottom w:val="none" w:sz="0" w:space="0" w:color="auto"/>
            <w:right w:val="none" w:sz="0" w:space="0" w:color="auto"/>
          </w:divBdr>
        </w:div>
      </w:divsChild>
    </w:div>
    <w:div w:id="290719971">
      <w:bodyDiv w:val="1"/>
      <w:marLeft w:val="0"/>
      <w:marRight w:val="0"/>
      <w:marTop w:val="0"/>
      <w:marBottom w:val="0"/>
      <w:divBdr>
        <w:top w:val="none" w:sz="0" w:space="0" w:color="auto"/>
        <w:left w:val="none" w:sz="0" w:space="0" w:color="auto"/>
        <w:bottom w:val="none" w:sz="0" w:space="0" w:color="auto"/>
        <w:right w:val="none" w:sz="0" w:space="0" w:color="auto"/>
      </w:divBdr>
    </w:div>
    <w:div w:id="800850855">
      <w:bodyDiv w:val="1"/>
      <w:marLeft w:val="0"/>
      <w:marRight w:val="0"/>
      <w:marTop w:val="0"/>
      <w:marBottom w:val="0"/>
      <w:divBdr>
        <w:top w:val="none" w:sz="0" w:space="0" w:color="auto"/>
        <w:left w:val="none" w:sz="0" w:space="0" w:color="auto"/>
        <w:bottom w:val="none" w:sz="0" w:space="0" w:color="auto"/>
        <w:right w:val="none" w:sz="0" w:space="0" w:color="auto"/>
      </w:divBdr>
    </w:div>
    <w:div w:id="941032447">
      <w:bodyDiv w:val="1"/>
      <w:marLeft w:val="0"/>
      <w:marRight w:val="0"/>
      <w:marTop w:val="0"/>
      <w:marBottom w:val="0"/>
      <w:divBdr>
        <w:top w:val="none" w:sz="0" w:space="0" w:color="auto"/>
        <w:left w:val="none" w:sz="0" w:space="0" w:color="auto"/>
        <w:bottom w:val="none" w:sz="0" w:space="0" w:color="auto"/>
        <w:right w:val="none" w:sz="0" w:space="0" w:color="auto"/>
      </w:divBdr>
    </w:div>
    <w:div w:id="1015887001">
      <w:bodyDiv w:val="1"/>
      <w:marLeft w:val="0"/>
      <w:marRight w:val="0"/>
      <w:marTop w:val="0"/>
      <w:marBottom w:val="0"/>
      <w:divBdr>
        <w:top w:val="none" w:sz="0" w:space="0" w:color="auto"/>
        <w:left w:val="none" w:sz="0" w:space="0" w:color="auto"/>
        <w:bottom w:val="none" w:sz="0" w:space="0" w:color="auto"/>
        <w:right w:val="none" w:sz="0" w:space="0" w:color="auto"/>
      </w:divBdr>
      <w:divsChild>
        <w:div w:id="390151061">
          <w:marLeft w:val="0"/>
          <w:marRight w:val="0"/>
          <w:marTop w:val="0"/>
          <w:marBottom w:val="0"/>
          <w:divBdr>
            <w:top w:val="none" w:sz="0" w:space="0" w:color="auto"/>
            <w:left w:val="none" w:sz="0" w:space="0" w:color="auto"/>
            <w:bottom w:val="none" w:sz="0" w:space="0" w:color="auto"/>
            <w:right w:val="none" w:sz="0" w:space="0" w:color="auto"/>
          </w:divBdr>
        </w:div>
        <w:div w:id="1997538078">
          <w:marLeft w:val="0"/>
          <w:marRight w:val="0"/>
          <w:marTop w:val="0"/>
          <w:marBottom w:val="0"/>
          <w:divBdr>
            <w:top w:val="none" w:sz="0" w:space="0" w:color="auto"/>
            <w:left w:val="none" w:sz="0" w:space="0" w:color="auto"/>
            <w:bottom w:val="none" w:sz="0" w:space="0" w:color="auto"/>
            <w:right w:val="none" w:sz="0" w:space="0" w:color="auto"/>
          </w:divBdr>
        </w:div>
      </w:divsChild>
    </w:div>
    <w:div w:id="1064643969">
      <w:bodyDiv w:val="1"/>
      <w:marLeft w:val="0"/>
      <w:marRight w:val="0"/>
      <w:marTop w:val="0"/>
      <w:marBottom w:val="0"/>
      <w:divBdr>
        <w:top w:val="none" w:sz="0" w:space="0" w:color="auto"/>
        <w:left w:val="none" w:sz="0" w:space="0" w:color="auto"/>
        <w:bottom w:val="none" w:sz="0" w:space="0" w:color="auto"/>
        <w:right w:val="none" w:sz="0" w:space="0" w:color="auto"/>
      </w:divBdr>
    </w:div>
    <w:div w:id="1169833727">
      <w:bodyDiv w:val="1"/>
      <w:marLeft w:val="0"/>
      <w:marRight w:val="0"/>
      <w:marTop w:val="0"/>
      <w:marBottom w:val="0"/>
      <w:divBdr>
        <w:top w:val="none" w:sz="0" w:space="0" w:color="auto"/>
        <w:left w:val="none" w:sz="0" w:space="0" w:color="auto"/>
        <w:bottom w:val="none" w:sz="0" w:space="0" w:color="auto"/>
        <w:right w:val="none" w:sz="0" w:space="0" w:color="auto"/>
      </w:divBdr>
    </w:div>
    <w:div w:id="1177041880">
      <w:bodyDiv w:val="1"/>
      <w:marLeft w:val="0"/>
      <w:marRight w:val="0"/>
      <w:marTop w:val="0"/>
      <w:marBottom w:val="0"/>
      <w:divBdr>
        <w:top w:val="none" w:sz="0" w:space="0" w:color="auto"/>
        <w:left w:val="none" w:sz="0" w:space="0" w:color="auto"/>
        <w:bottom w:val="none" w:sz="0" w:space="0" w:color="auto"/>
        <w:right w:val="none" w:sz="0" w:space="0" w:color="auto"/>
      </w:divBdr>
    </w:div>
    <w:div w:id="1222712624">
      <w:bodyDiv w:val="1"/>
      <w:marLeft w:val="0"/>
      <w:marRight w:val="0"/>
      <w:marTop w:val="0"/>
      <w:marBottom w:val="0"/>
      <w:divBdr>
        <w:top w:val="none" w:sz="0" w:space="0" w:color="auto"/>
        <w:left w:val="none" w:sz="0" w:space="0" w:color="auto"/>
        <w:bottom w:val="none" w:sz="0" w:space="0" w:color="auto"/>
        <w:right w:val="none" w:sz="0" w:space="0" w:color="auto"/>
      </w:divBdr>
    </w:div>
    <w:div w:id="1347364749">
      <w:bodyDiv w:val="1"/>
      <w:marLeft w:val="0"/>
      <w:marRight w:val="0"/>
      <w:marTop w:val="0"/>
      <w:marBottom w:val="0"/>
      <w:divBdr>
        <w:top w:val="none" w:sz="0" w:space="0" w:color="auto"/>
        <w:left w:val="none" w:sz="0" w:space="0" w:color="auto"/>
        <w:bottom w:val="none" w:sz="0" w:space="0" w:color="auto"/>
        <w:right w:val="none" w:sz="0" w:space="0" w:color="auto"/>
      </w:divBdr>
    </w:div>
    <w:div w:id="1374647900">
      <w:bodyDiv w:val="1"/>
      <w:marLeft w:val="0"/>
      <w:marRight w:val="0"/>
      <w:marTop w:val="0"/>
      <w:marBottom w:val="0"/>
      <w:divBdr>
        <w:top w:val="none" w:sz="0" w:space="0" w:color="auto"/>
        <w:left w:val="none" w:sz="0" w:space="0" w:color="auto"/>
        <w:bottom w:val="none" w:sz="0" w:space="0" w:color="auto"/>
        <w:right w:val="none" w:sz="0" w:space="0" w:color="auto"/>
      </w:divBdr>
    </w:div>
    <w:div w:id="1450007010">
      <w:bodyDiv w:val="1"/>
      <w:marLeft w:val="0"/>
      <w:marRight w:val="0"/>
      <w:marTop w:val="0"/>
      <w:marBottom w:val="0"/>
      <w:divBdr>
        <w:top w:val="none" w:sz="0" w:space="0" w:color="auto"/>
        <w:left w:val="none" w:sz="0" w:space="0" w:color="auto"/>
        <w:bottom w:val="none" w:sz="0" w:space="0" w:color="auto"/>
        <w:right w:val="none" w:sz="0" w:space="0" w:color="auto"/>
      </w:divBdr>
    </w:div>
    <w:div w:id="1525248127">
      <w:bodyDiv w:val="1"/>
      <w:marLeft w:val="0"/>
      <w:marRight w:val="0"/>
      <w:marTop w:val="0"/>
      <w:marBottom w:val="0"/>
      <w:divBdr>
        <w:top w:val="none" w:sz="0" w:space="0" w:color="auto"/>
        <w:left w:val="none" w:sz="0" w:space="0" w:color="auto"/>
        <w:bottom w:val="none" w:sz="0" w:space="0" w:color="auto"/>
        <w:right w:val="none" w:sz="0" w:space="0" w:color="auto"/>
      </w:divBdr>
    </w:div>
    <w:div w:id="1556894566">
      <w:bodyDiv w:val="1"/>
      <w:marLeft w:val="0"/>
      <w:marRight w:val="0"/>
      <w:marTop w:val="0"/>
      <w:marBottom w:val="0"/>
      <w:divBdr>
        <w:top w:val="none" w:sz="0" w:space="0" w:color="auto"/>
        <w:left w:val="none" w:sz="0" w:space="0" w:color="auto"/>
        <w:bottom w:val="none" w:sz="0" w:space="0" w:color="auto"/>
        <w:right w:val="none" w:sz="0" w:space="0" w:color="auto"/>
      </w:divBdr>
    </w:div>
    <w:div w:id="1602682918">
      <w:bodyDiv w:val="1"/>
      <w:marLeft w:val="0"/>
      <w:marRight w:val="0"/>
      <w:marTop w:val="0"/>
      <w:marBottom w:val="0"/>
      <w:divBdr>
        <w:top w:val="none" w:sz="0" w:space="0" w:color="auto"/>
        <w:left w:val="none" w:sz="0" w:space="0" w:color="auto"/>
        <w:bottom w:val="none" w:sz="0" w:space="0" w:color="auto"/>
        <w:right w:val="none" w:sz="0" w:space="0" w:color="auto"/>
      </w:divBdr>
      <w:divsChild>
        <w:div w:id="1851605988">
          <w:marLeft w:val="0"/>
          <w:marRight w:val="0"/>
          <w:marTop w:val="0"/>
          <w:marBottom w:val="0"/>
          <w:divBdr>
            <w:top w:val="none" w:sz="0" w:space="0" w:color="auto"/>
            <w:left w:val="none" w:sz="0" w:space="0" w:color="auto"/>
            <w:bottom w:val="none" w:sz="0" w:space="0" w:color="auto"/>
            <w:right w:val="none" w:sz="0" w:space="0" w:color="auto"/>
          </w:divBdr>
        </w:div>
        <w:div w:id="1943217706">
          <w:marLeft w:val="0"/>
          <w:marRight w:val="0"/>
          <w:marTop w:val="0"/>
          <w:marBottom w:val="0"/>
          <w:divBdr>
            <w:top w:val="none" w:sz="0" w:space="0" w:color="auto"/>
            <w:left w:val="none" w:sz="0" w:space="0" w:color="auto"/>
            <w:bottom w:val="none" w:sz="0" w:space="0" w:color="auto"/>
            <w:right w:val="none" w:sz="0" w:space="0" w:color="auto"/>
          </w:divBdr>
        </w:div>
        <w:div w:id="1949044194">
          <w:marLeft w:val="0"/>
          <w:marRight w:val="0"/>
          <w:marTop w:val="0"/>
          <w:marBottom w:val="0"/>
          <w:divBdr>
            <w:top w:val="none" w:sz="0" w:space="0" w:color="auto"/>
            <w:left w:val="none" w:sz="0" w:space="0" w:color="auto"/>
            <w:bottom w:val="none" w:sz="0" w:space="0" w:color="auto"/>
            <w:right w:val="none" w:sz="0" w:space="0" w:color="auto"/>
          </w:divBdr>
          <w:divsChild>
            <w:div w:id="43408177">
              <w:marLeft w:val="0"/>
              <w:marRight w:val="0"/>
              <w:marTop w:val="0"/>
              <w:marBottom w:val="0"/>
              <w:divBdr>
                <w:top w:val="none" w:sz="0" w:space="0" w:color="auto"/>
                <w:left w:val="none" w:sz="0" w:space="0" w:color="auto"/>
                <w:bottom w:val="none" w:sz="0" w:space="0" w:color="auto"/>
                <w:right w:val="none" w:sz="0" w:space="0" w:color="auto"/>
              </w:divBdr>
            </w:div>
            <w:div w:id="1765884599">
              <w:marLeft w:val="0"/>
              <w:marRight w:val="0"/>
              <w:marTop w:val="0"/>
              <w:marBottom w:val="0"/>
              <w:divBdr>
                <w:top w:val="none" w:sz="0" w:space="0" w:color="auto"/>
                <w:left w:val="none" w:sz="0" w:space="0" w:color="auto"/>
                <w:bottom w:val="none" w:sz="0" w:space="0" w:color="auto"/>
                <w:right w:val="none" w:sz="0" w:space="0" w:color="auto"/>
              </w:divBdr>
            </w:div>
          </w:divsChild>
        </w:div>
        <w:div w:id="476649800">
          <w:marLeft w:val="0"/>
          <w:marRight w:val="0"/>
          <w:marTop w:val="0"/>
          <w:marBottom w:val="0"/>
          <w:divBdr>
            <w:top w:val="none" w:sz="0" w:space="0" w:color="auto"/>
            <w:left w:val="none" w:sz="0" w:space="0" w:color="auto"/>
            <w:bottom w:val="none" w:sz="0" w:space="0" w:color="auto"/>
            <w:right w:val="none" w:sz="0" w:space="0" w:color="auto"/>
          </w:divBdr>
          <w:divsChild>
            <w:div w:id="77050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97007">
      <w:bodyDiv w:val="1"/>
      <w:marLeft w:val="0"/>
      <w:marRight w:val="0"/>
      <w:marTop w:val="0"/>
      <w:marBottom w:val="0"/>
      <w:divBdr>
        <w:top w:val="none" w:sz="0" w:space="0" w:color="auto"/>
        <w:left w:val="none" w:sz="0" w:space="0" w:color="auto"/>
        <w:bottom w:val="none" w:sz="0" w:space="0" w:color="auto"/>
        <w:right w:val="none" w:sz="0" w:space="0" w:color="auto"/>
      </w:divBdr>
    </w:div>
    <w:div w:id="1630159251">
      <w:bodyDiv w:val="1"/>
      <w:marLeft w:val="0"/>
      <w:marRight w:val="0"/>
      <w:marTop w:val="0"/>
      <w:marBottom w:val="0"/>
      <w:divBdr>
        <w:top w:val="none" w:sz="0" w:space="0" w:color="auto"/>
        <w:left w:val="none" w:sz="0" w:space="0" w:color="auto"/>
        <w:bottom w:val="none" w:sz="0" w:space="0" w:color="auto"/>
        <w:right w:val="none" w:sz="0" w:space="0" w:color="auto"/>
      </w:divBdr>
    </w:div>
    <w:div w:id="1705252390">
      <w:bodyDiv w:val="1"/>
      <w:marLeft w:val="0"/>
      <w:marRight w:val="0"/>
      <w:marTop w:val="0"/>
      <w:marBottom w:val="0"/>
      <w:divBdr>
        <w:top w:val="none" w:sz="0" w:space="0" w:color="auto"/>
        <w:left w:val="none" w:sz="0" w:space="0" w:color="auto"/>
        <w:bottom w:val="none" w:sz="0" w:space="0" w:color="auto"/>
        <w:right w:val="none" w:sz="0" w:space="0" w:color="auto"/>
      </w:divBdr>
      <w:divsChild>
        <w:div w:id="77946397">
          <w:marLeft w:val="0"/>
          <w:marRight w:val="0"/>
          <w:marTop w:val="0"/>
          <w:marBottom w:val="0"/>
          <w:divBdr>
            <w:top w:val="none" w:sz="0" w:space="0" w:color="auto"/>
            <w:left w:val="none" w:sz="0" w:space="0" w:color="auto"/>
            <w:bottom w:val="none" w:sz="0" w:space="0" w:color="auto"/>
            <w:right w:val="none" w:sz="0" w:space="0" w:color="auto"/>
          </w:divBdr>
          <w:divsChild>
            <w:div w:id="1296256237">
              <w:marLeft w:val="0"/>
              <w:marRight w:val="0"/>
              <w:marTop w:val="0"/>
              <w:marBottom w:val="0"/>
              <w:divBdr>
                <w:top w:val="none" w:sz="0" w:space="0" w:color="auto"/>
                <w:left w:val="none" w:sz="0" w:space="0" w:color="auto"/>
                <w:bottom w:val="none" w:sz="0" w:space="0" w:color="auto"/>
                <w:right w:val="none" w:sz="0" w:space="0" w:color="auto"/>
              </w:divBdr>
            </w:div>
            <w:div w:id="1243684471">
              <w:marLeft w:val="0"/>
              <w:marRight w:val="0"/>
              <w:marTop w:val="0"/>
              <w:marBottom w:val="0"/>
              <w:divBdr>
                <w:top w:val="none" w:sz="0" w:space="0" w:color="auto"/>
                <w:left w:val="none" w:sz="0" w:space="0" w:color="auto"/>
                <w:bottom w:val="none" w:sz="0" w:space="0" w:color="auto"/>
                <w:right w:val="none" w:sz="0" w:space="0" w:color="auto"/>
              </w:divBdr>
            </w:div>
          </w:divsChild>
        </w:div>
        <w:div w:id="1499077533">
          <w:marLeft w:val="0"/>
          <w:marRight w:val="0"/>
          <w:marTop w:val="0"/>
          <w:marBottom w:val="0"/>
          <w:divBdr>
            <w:top w:val="none" w:sz="0" w:space="0" w:color="auto"/>
            <w:left w:val="none" w:sz="0" w:space="0" w:color="auto"/>
            <w:bottom w:val="none" w:sz="0" w:space="0" w:color="auto"/>
            <w:right w:val="none" w:sz="0" w:space="0" w:color="auto"/>
          </w:divBdr>
        </w:div>
        <w:div w:id="591550909">
          <w:marLeft w:val="0"/>
          <w:marRight w:val="0"/>
          <w:marTop w:val="0"/>
          <w:marBottom w:val="0"/>
          <w:divBdr>
            <w:top w:val="none" w:sz="0" w:space="0" w:color="auto"/>
            <w:left w:val="none" w:sz="0" w:space="0" w:color="auto"/>
            <w:bottom w:val="none" w:sz="0" w:space="0" w:color="auto"/>
            <w:right w:val="none" w:sz="0" w:space="0" w:color="auto"/>
          </w:divBdr>
        </w:div>
        <w:div w:id="1250970747">
          <w:marLeft w:val="0"/>
          <w:marRight w:val="0"/>
          <w:marTop w:val="0"/>
          <w:marBottom w:val="0"/>
          <w:divBdr>
            <w:top w:val="none" w:sz="0" w:space="0" w:color="auto"/>
            <w:left w:val="none" w:sz="0" w:space="0" w:color="auto"/>
            <w:bottom w:val="none" w:sz="0" w:space="0" w:color="auto"/>
            <w:right w:val="none" w:sz="0" w:space="0" w:color="auto"/>
          </w:divBdr>
        </w:div>
        <w:div w:id="1951740969">
          <w:marLeft w:val="0"/>
          <w:marRight w:val="0"/>
          <w:marTop w:val="0"/>
          <w:marBottom w:val="0"/>
          <w:divBdr>
            <w:top w:val="none" w:sz="0" w:space="0" w:color="auto"/>
            <w:left w:val="none" w:sz="0" w:space="0" w:color="auto"/>
            <w:bottom w:val="none" w:sz="0" w:space="0" w:color="auto"/>
            <w:right w:val="none" w:sz="0" w:space="0" w:color="auto"/>
          </w:divBdr>
        </w:div>
        <w:div w:id="611206941">
          <w:marLeft w:val="0"/>
          <w:marRight w:val="0"/>
          <w:marTop w:val="0"/>
          <w:marBottom w:val="0"/>
          <w:divBdr>
            <w:top w:val="none" w:sz="0" w:space="0" w:color="auto"/>
            <w:left w:val="none" w:sz="0" w:space="0" w:color="auto"/>
            <w:bottom w:val="none" w:sz="0" w:space="0" w:color="auto"/>
            <w:right w:val="none" w:sz="0" w:space="0" w:color="auto"/>
          </w:divBdr>
        </w:div>
      </w:divsChild>
    </w:div>
    <w:div w:id="1811047931">
      <w:bodyDiv w:val="1"/>
      <w:marLeft w:val="0"/>
      <w:marRight w:val="0"/>
      <w:marTop w:val="0"/>
      <w:marBottom w:val="0"/>
      <w:divBdr>
        <w:top w:val="none" w:sz="0" w:space="0" w:color="auto"/>
        <w:left w:val="none" w:sz="0" w:space="0" w:color="auto"/>
        <w:bottom w:val="none" w:sz="0" w:space="0" w:color="auto"/>
        <w:right w:val="none" w:sz="0" w:space="0" w:color="auto"/>
      </w:divBdr>
    </w:div>
    <w:div w:id="1849175356">
      <w:bodyDiv w:val="1"/>
      <w:marLeft w:val="0"/>
      <w:marRight w:val="0"/>
      <w:marTop w:val="0"/>
      <w:marBottom w:val="0"/>
      <w:divBdr>
        <w:top w:val="none" w:sz="0" w:space="0" w:color="auto"/>
        <w:left w:val="none" w:sz="0" w:space="0" w:color="auto"/>
        <w:bottom w:val="none" w:sz="0" w:space="0" w:color="auto"/>
        <w:right w:val="none" w:sz="0" w:space="0" w:color="auto"/>
      </w:divBdr>
    </w:div>
    <w:div w:id="1998455381">
      <w:bodyDiv w:val="1"/>
      <w:marLeft w:val="0"/>
      <w:marRight w:val="0"/>
      <w:marTop w:val="0"/>
      <w:marBottom w:val="0"/>
      <w:divBdr>
        <w:top w:val="none" w:sz="0" w:space="0" w:color="auto"/>
        <w:left w:val="none" w:sz="0" w:space="0" w:color="auto"/>
        <w:bottom w:val="none" w:sz="0" w:space="0" w:color="auto"/>
        <w:right w:val="none" w:sz="0" w:space="0" w:color="auto"/>
      </w:divBdr>
    </w:div>
    <w:div w:id="2074237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om.sa/" TargetMode="External"/><Relationship Id="rId13" Type="http://schemas.openxmlformats.org/officeDocument/2006/relationships/hyperlink" Target="https://doi.org/10.1016/j.lrp.2014.07.005" TargetMode="External"/><Relationship Id="rId18" Type="http://schemas.openxmlformats.org/officeDocument/2006/relationships/hyperlink" Target="https://doi.org/10.1002/jcaf.2064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tel:2430-2437" TargetMode="External"/><Relationship Id="rId7" Type="http://schemas.openxmlformats.org/officeDocument/2006/relationships/image" Target="media/image1.png"/><Relationship Id="rId12" Type="http://schemas.openxmlformats.org/officeDocument/2006/relationships/hyperlink" Target="https://doi.org/10.1177/014920639101700108" TargetMode="External"/><Relationship Id="rId17" Type="http://schemas.openxmlformats.org/officeDocument/2006/relationships/hyperlink" Target="https://doi.org/10.2307/256406"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coso.org/guidance-erm" TargetMode="External"/><Relationship Id="rId20" Type="http://schemas.openxmlformats.org/officeDocument/2006/relationships/hyperlink" Target="https://doi.org/10.1016/j.ijpe.2015.10.00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ejor.2015.12.023"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oso.org/guidance-erm" TargetMode="External"/><Relationship Id="rId23" Type="http://schemas.openxmlformats.org/officeDocument/2006/relationships/hyperlink" Target="https://doi.org/10.1016/j.jclepro.2018.10.120" TargetMode="External"/><Relationship Id="rId10" Type="http://schemas.openxmlformats.org/officeDocument/2006/relationships/hyperlink" Target="https://doi.org/10.1016/j.aos.2010.07.003" TargetMode="External"/><Relationship Id="rId19" Type="http://schemas.openxmlformats.org/officeDocument/2006/relationships/hyperlink" Target="https://www.iso.org/standard/65694.html" TargetMode="External"/><Relationship Id="rId4" Type="http://schemas.openxmlformats.org/officeDocument/2006/relationships/webSettings" Target="webSettings.xml"/><Relationship Id="rId9" Type="http://schemas.openxmlformats.org/officeDocument/2006/relationships/hyperlink" Target="https://www.se.com.sa/" TargetMode="External"/><Relationship Id="rId14" Type="http://schemas.openxmlformats.org/officeDocument/2006/relationships/hyperlink" Target="https://doi.org/10.1080/00207543.2014.919423" TargetMode="External"/><Relationship Id="rId22" Type="http://schemas.openxmlformats.org/officeDocument/2006/relationships/hyperlink" Target="https://doi.org/10.1016/j.renene.2019.08.09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4375</Words>
  <Characters>28166</Characters>
  <Application>Microsoft Office Word</Application>
  <DocSecurity>0</DocSecurity>
  <Lines>234</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nasermoh56@outlook.com</cp:lastModifiedBy>
  <cp:revision>7</cp:revision>
  <dcterms:created xsi:type="dcterms:W3CDTF">2026-07-17T11:04:00Z</dcterms:created>
  <dcterms:modified xsi:type="dcterms:W3CDTF">2026-07-17T11:07:00Z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