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B086D"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الفصل الثالث</w:t>
      </w:r>
    </w:p>
    <w:p w14:paraId="089F1CAF"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منهجية الدراسة وإجراءاتها</w:t>
      </w:r>
    </w:p>
    <w:p w14:paraId="5B1C2C4E"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3.1 مقدمة</w:t>
      </w:r>
    </w:p>
    <w:p w14:paraId="62DC9828"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rPr>
        <w:t>يتناول هذا الفصل المنهجية التي اتبعها الباحث لتحقيق أهداف الدراسة والإجابة عن أسئلتها واختبار فرضياتها، حيث يتضمن وصفًا لمنهج الدراسة وتصميمها، ومجتمع الدراسة وعينتها، ومتغيراتها، وأداة الدراسة المستخدمة في جمع البيانات، إلى جانب الإجراءات المتبعة للتحقق من صدق الأداة وثباتها، والخطوات التي اتبعها الباحث في تنفيذ الدراسة، والأساليب الإحصائية المستخدمة في تحليل البيانات واستخلاص النتائج</w:t>
      </w:r>
      <w:r w:rsidRPr="005B1DF7">
        <w:rPr>
          <w:rFonts w:ascii="Traditional Arabic" w:hAnsi="Traditional Arabic" w:cs="Traditional Arabic"/>
          <w:sz w:val="32"/>
          <w:szCs w:val="32"/>
          <w:lang w:val="en-US"/>
        </w:rPr>
        <w:t>.</w:t>
      </w:r>
    </w:p>
    <w:p w14:paraId="43C61EFB" w14:textId="77777777" w:rsidR="005B1DF7" w:rsidRDefault="005B1DF7" w:rsidP="005B1DF7">
      <w:pPr>
        <w:bidi/>
        <w:spacing w:line="360" w:lineRule="auto"/>
        <w:jc w:val="both"/>
        <w:rPr>
          <w:rFonts w:ascii="Traditional Arabic" w:hAnsi="Traditional Arabic" w:cs="Traditional Arabic"/>
          <w:sz w:val="32"/>
          <w:szCs w:val="32"/>
          <w:rtl/>
          <w:lang w:val="en-US"/>
        </w:rPr>
      </w:pPr>
      <w:r w:rsidRPr="005B1DF7">
        <w:rPr>
          <w:rFonts w:ascii="Traditional Arabic" w:hAnsi="Traditional Arabic" w:cs="Traditional Arabic"/>
          <w:sz w:val="32"/>
          <w:szCs w:val="32"/>
          <w:rtl/>
        </w:rPr>
        <w:t>وقد اعتمدت الدراسة المنهج الوصفي التحليلي لملاءمته لطبيعة الدراسة، إذ يهدف إلى التعرف على أثر التحول الرقمي بأبعاده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في الاستقرار الوظيفي لدى العاملين في المستشفيات الحكومية بمدينة جدة، وذلك من خلال جمع البيانات باستخدام استبانة أُعدت لهذا الغرض، ثم تحليلها إحصائيًا للوصول إلى النتائج التي تحقق أهداف الدراسة. وقد روعي في جميع مراحل الدراسة اتباع الإجراءات العلمية والمنهجية التي تسهم في تعزيز دقة النتائج وموضوعيتها وقابليتها للتعميم في حدود مجتمع الدراسة</w:t>
      </w:r>
      <w:r w:rsidRPr="005B1DF7">
        <w:rPr>
          <w:rFonts w:ascii="Traditional Arabic" w:hAnsi="Traditional Arabic" w:cs="Traditional Arabic"/>
          <w:sz w:val="32"/>
          <w:szCs w:val="32"/>
          <w:lang w:val="en-US"/>
        </w:rPr>
        <w:t xml:space="preserve">. </w:t>
      </w:r>
    </w:p>
    <w:p w14:paraId="229F64F8" w14:textId="77777777" w:rsidR="005B1DF7" w:rsidRDefault="005B1DF7" w:rsidP="005B1DF7">
      <w:pPr>
        <w:bidi/>
        <w:spacing w:line="360" w:lineRule="auto"/>
        <w:jc w:val="both"/>
        <w:rPr>
          <w:rFonts w:ascii="Traditional Arabic" w:hAnsi="Traditional Arabic" w:cs="Traditional Arabic"/>
          <w:sz w:val="32"/>
          <w:szCs w:val="32"/>
          <w:rtl/>
          <w:lang w:val="en-US"/>
        </w:rPr>
      </w:pPr>
    </w:p>
    <w:p w14:paraId="57F13324" w14:textId="77777777" w:rsidR="005B1DF7" w:rsidRPr="005B1DF7" w:rsidRDefault="005B1DF7" w:rsidP="005B1DF7">
      <w:pPr>
        <w:bidi/>
        <w:spacing w:line="360" w:lineRule="auto"/>
        <w:jc w:val="both"/>
        <w:rPr>
          <w:rFonts w:ascii="Traditional Arabic" w:hAnsi="Traditional Arabic" w:cs="Traditional Arabic"/>
          <w:sz w:val="32"/>
          <w:szCs w:val="32"/>
          <w:lang w:val="en-US"/>
        </w:rPr>
      </w:pPr>
    </w:p>
    <w:p w14:paraId="5B43DCFE"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3.2 منهج الدراسة</w:t>
      </w:r>
    </w:p>
    <w:p w14:paraId="5581F236"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اعتمدت الدراسة المنهج الوصفي التحليلي، لكونه المنهج الأنسب لتحقيق أهدافها والإجابة عن أسئلتها واختبار فرضياتها. ويُعد هذا المنهج من أكثر المناهج استخدامًا في الدراسات الإدارية والإنسانية التي تهدف إلى وصف الظاهرة محل الدراسة وتحليلها، والكشف عن العلاقات والتأثيرات بين المتغيرات اعتمادًا على البيانات الميدانية التي يتم جمعها من أفراد مجتمع الدراسة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Saunders et al., 2023</w:t>
      </w:r>
      <w:r w:rsidRPr="005B1DF7">
        <w:rPr>
          <w:rFonts w:ascii="Traditional Arabic" w:hAnsi="Traditional Arabic" w:cs="Traditional Arabic"/>
          <w:sz w:val="32"/>
          <w:szCs w:val="32"/>
          <w:rtl/>
          <w:lang w:val="en-US"/>
        </w:rPr>
        <w:t>).</w:t>
      </w:r>
    </w:p>
    <w:p w14:paraId="7535D7B5"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وقد استُخدم هذا المنهج لدراسة أثر التحول الرقمي في الاستقرار الوظيفي لدى العاملين في المستشفيات الحكومية بمدينة جدة، من خلال جمع البيانات باستخدام استبانة أُعدت لهذا الغرض، تضمنت فقرات تقيس أبعاد التحول الرقمي،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بالإضافة إلى فقرات تقيس الاستقرار الوظيفي بأبعاده المختلفة. وبعد جمع البيانات، خضعت للتحليل الإحصائي باستخدام الأساليب الإحصائية المناسبة لاختبار فرضيات الدراسة وقياس أثر المتغير المستقل في المتغير التابع</w:t>
      </w:r>
      <w:r w:rsidRPr="005B1DF7">
        <w:rPr>
          <w:rFonts w:ascii="Traditional Arabic" w:hAnsi="Traditional Arabic" w:cs="Traditional Arabic"/>
          <w:sz w:val="32"/>
          <w:szCs w:val="32"/>
          <w:lang w:val="en-US"/>
        </w:rPr>
        <w:t>.</w:t>
      </w:r>
    </w:p>
    <w:p w14:paraId="2DA12FA5"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ويتميز المنهج الوصفي التحليلي بقدرته على تقديم وصف دقيق للظاهرة المدروسة، وتحليل العلاقات بين المتغيرات، واستخلاص النتائج في ضوء البيانات الميدانية، مما يجعله ملائمًا لطبيعة الدراسة الحالية التي تسعى إلى تفسير أثر التحول الرقمي في تعزيز الاستقرار الوظيفي لدى العاملين في المستشفيات الحكومية بمدينة جدة، وتقديم نتائج يمكن الاستفادة منها في تطوير الممارسات الإدارية واتخاذ القرارات المتعلقة بالتحول الرقمي في القطاع الصحي.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proofErr w:type="spellStart"/>
      <w:r w:rsidRPr="005B1DF7">
        <w:rPr>
          <w:rFonts w:ascii="Traditional Arabic" w:hAnsi="Traditional Arabic" w:cs="Traditional Arabic"/>
          <w:sz w:val="32"/>
          <w:szCs w:val="32"/>
          <w:lang w:val="en-US"/>
        </w:rPr>
        <w:t>Sekaran</w:t>
      </w:r>
      <w:proofErr w:type="spellEnd"/>
      <w:r w:rsidRPr="005B1DF7">
        <w:rPr>
          <w:rFonts w:ascii="Traditional Arabic" w:hAnsi="Traditional Arabic" w:cs="Traditional Arabic"/>
          <w:sz w:val="32"/>
          <w:szCs w:val="32"/>
          <w:lang w:val="en-US"/>
        </w:rPr>
        <w:t xml:space="preserve"> &amp; </w:t>
      </w:r>
      <w:proofErr w:type="spellStart"/>
      <w:r w:rsidRPr="005B1DF7">
        <w:rPr>
          <w:rFonts w:ascii="Traditional Arabic" w:hAnsi="Traditional Arabic" w:cs="Traditional Arabic"/>
          <w:sz w:val="32"/>
          <w:szCs w:val="32"/>
          <w:lang w:val="en-US"/>
        </w:rPr>
        <w:t>Bougie</w:t>
      </w:r>
      <w:proofErr w:type="spellEnd"/>
      <w:r w:rsidRPr="005B1DF7">
        <w:rPr>
          <w:rFonts w:ascii="Traditional Arabic" w:hAnsi="Traditional Arabic" w:cs="Traditional Arabic"/>
          <w:sz w:val="32"/>
          <w:szCs w:val="32"/>
          <w:lang w:val="en-US"/>
        </w:rPr>
        <w:t>, 2020</w:t>
      </w:r>
      <w:r w:rsidRPr="005B1DF7">
        <w:rPr>
          <w:rFonts w:ascii="Traditional Arabic" w:hAnsi="Traditional Arabic" w:cs="Traditional Arabic"/>
          <w:sz w:val="32"/>
          <w:szCs w:val="32"/>
          <w:rtl/>
          <w:lang w:val="en-US"/>
        </w:rPr>
        <w:t>).</w:t>
      </w:r>
    </w:p>
    <w:p w14:paraId="1BAD8E35"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3.3 تصميم الدراسة</w:t>
      </w:r>
    </w:p>
    <w:p w14:paraId="6C3542BF"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استندت الدراسة الحالية إلى التصميم الكمي المسحي المقطعي، بالاعتماد على المنهج الوصفي التحليلي ذي الطابع الارتباطي التفسيري، والذي يهدف إلى دراسة أثر المتغير المستقل في المتغير التابع من خلال جمع البيانات ميدانيًا في فترة زمنية واحدة وتحليلها باستخدام الأساليب الإحصائية المناسبة. ويُعد هذا التصميم من أكثر التصاميم استخدامًا في الدراسات الإدارية؛ لملاءمته لدراسة العلاقات بين المتغيرات واختبار الفرضيات في بيئات العمل المختلفة، كما يتيح قياس تصورات أفراد العينة وتحليلها إحصائيًا للوصول إلى نتائج موضوعية في ضوء أهداف الدراسة (</w:t>
      </w:r>
      <w:r w:rsidRPr="00365907">
        <w:rPr>
          <w:rFonts w:ascii="Traditional Arabic" w:hAnsi="Traditional Arabic" w:cs="Traditional Arabic"/>
          <w:sz w:val="32"/>
          <w:szCs w:val="32"/>
          <w:lang w:val="en-US"/>
        </w:rPr>
        <w:t>Creswell &amp; Creswell, 2023</w:t>
      </w:r>
      <w:r w:rsidRPr="00365907">
        <w:rPr>
          <w:rFonts w:ascii="Traditional Arabic" w:hAnsi="Traditional Arabic" w:cs="Traditional Arabic"/>
          <w:sz w:val="32"/>
          <w:szCs w:val="32"/>
          <w:rtl/>
          <w:lang w:val="en-US"/>
        </w:rPr>
        <w:t>).</w:t>
      </w:r>
    </w:p>
    <w:p w14:paraId="524E7BC4"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ويعتمد التصميم المسحي في هذه الدراسة على جمع البيانات من أفراد العينة باستخدام الاستبانة بوصفها الأداة الرئيسة لجمع البيانات، حيث تمثل هذه الدراسة تصميمًا مقطعيًا (</w:t>
      </w:r>
      <w:r w:rsidRPr="00365907">
        <w:rPr>
          <w:rFonts w:ascii="Traditional Arabic" w:hAnsi="Traditional Arabic" w:cs="Traditional Arabic"/>
          <w:sz w:val="32"/>
          <w:szCs w:val="32"/>
          <w:lang w:val="en-US"/>
        </w:rPr>
        <w:t>Cross-sectional</w:t>
      </w:r>
      <w:r w:rsidRPr="00365907">
        <w:rPr>
          <w:rFonts w:ascii="Traditional Arabic" w:hAnsi="Traditional Arabic" w:cs="Traditional Arabic"/>
          <w:sz w:val="32"/>
          <w:szCs w:val="32"/>
          <w:rtl/>
          <w:lang w:val="en-US"/>
        </w:rPr>
        <w:t>)، إذ تُجمع البيانات من المشاركين خلال فترة زمنية واحدة دون إجراء قياسات متكررة، مما يتيح تحليل العلاقات والتأثيرات الإحصائية بين متغيرات الدراسة في وقت محدد.</w:t>
      </w:r>
    </w:p>
    <w:p w14:paraId="27EEFB13" w14:textId="77777777" w:rsidR="00365907" w:rsidRPr="00365907"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وقد بُني تصميم الدراسة على متغير مستقل هو التحول الرقمي، ويتكون من أربعة أبعاد هي: البنية التحتية الرقمية والتقنيات الرقمية، والكفاءة الرقمية للموظفين، وتكامل الأنظمة الرقمية وعمليات الرقمنة، والأمن وحماية البيانات الرقمية، ومتغير تابع هو الاستقرار الوظيفي، ويُقاس من خلال أبعاده المتمثلة في الأمان الوظيفي، والرضا الوظيفي، والالتزام التنظيمي. وتم قياس هذه المتغيرات باستخدام استبانة طُورت في ضوء الأدبيات والدراسات السابقة، ثم جُمعت البيانات من أفراد عينة الدراسة، وأُخضعت للتحليل الإحصائي باستخدام برنامج</w:t>
      </w:r>
      <w:r w:rsidRPr="00365907">
        <w:rPr>
          <w:rFonts w:ascii="Traditional Arabic" w:hAnsi="Traditional Arabic" w:cs="Traditional Arabic"/>
          <w:sz w:val="32"/>
          <w:szCs w:val="32"/>
          <w:lang w:val="en-US"/>
        </w:rPr>
        <w:t xml:space="preserve"> (SPSS) </w:t>
      </w:r>
      <w:r w:rsidRPr="00365907">
        <w:rPr>
          <w:rFonts w:ascii="Traditional Arabic" w:hAnsi="Traditional Arabic" w:cs="Traditional Arabic"/>
          <w:sz w:val="32"/>
          <w:szCs w:val="32"/>
          <w:rtl/>
          <w:lang w:val="en-US"/>
        </w:rPr>
        <w:t>لاختبار أثر أبعاد التحول الرقمي في الاستقرار الوظيفي لدى العاملين في المستشفيات الحكومية بمدينة جدة، بما يتوافق مع أسئلة الدراسة وفرضياتها</w:t>
      </w:r>
      <w:r w:rsidRPr="00365907">
        <w:rPr>
          <w:rFonts w:ascii="Traditional Arabic" w:hAnsi="Traditional Arabic" w:cs="Traditional Arabic"/>
          <w:sz w:val="32"/>
          <w:szCs w:val="32"/>
          <w:lang w:val="en-US"/>
        </w:rPr>
        <w:t>.</w:t>
      </w:r>
    </w:p>
    <w:p w14:paraId="1622DED2" w14:textId="77777777" w:rsidR="00692479" w:rsidRPr="00365907" w:rsidRDefault="00234504" w:rsidP="00234504">
      <w:pPr>
        <w:bidi/>
        <w:spacing w:line="360" w:lineRule="auto"/>
        <w:jc w:val="both"/>
        <w:rPr>
          <w:rFonts w:ascii="Traditional Arabic" w:hAnsi="Traditional Arabic" w:cs="Traditional Arabic"/>
          <w:sz w:val="32"/>
          <w:szCs w:val="32"/>
          <w:rtl/>
          <w:lang w:val="en-US"/>
        </w:rPr>
      </w:pPr>
      <w:r w:rsidRPr="00234504">
        <w:rPr>
          <w:rFonts w:ascii="Traditional Arabic" w:hAnsi="Traditional Arabic" w:cs="Traditional Arabic"/>
          <w:sz w:val="32"/>
          <w:szCs w:val="32"/>
          <w:rtl/>
          <w:lang w:val="en-US"/>
        </w:rPr>
        <w:t>وقد استند تصميم الدراسة إلى النموذج المفاهيمي المعروض في الفصل الأول، والذي يوضح العلاقة المفترضة بين متغيرات الدراسة، حيث يمثل التحول الرقمي بأبعاده الأربعة (البنية التحتية الرقمية والتقنيات الرقمية، والكفاءة الرقمية للموظفين، وتكامل الأنظمة الرقمية وعمليات الرقمنة، والأمن وحماية البيانات الرقمية) المتغير المستقل، في حين يمثل الاستقرار الوظيفي المتغير التابع، ويقاس من خلال أبعاده المتمثلة في الأمان الوظيفي، والرضا الوظيفي، والالتزام التنظيمي. وقد بُني التصميم الكمي المسحي المقطعي للدراسة بما ينسجم مع هذا النموذج، إذ يهدف إلى اختبار أثر أبعاد المتغير المستقل في المتغير التابع باستخدام تحليل الانحدار الخطي المتعدد، بما يتوافق مع أهداف الدراسة وفرضياتها</w:t>
      </w:r>
      <w:r w:rsidRPr="00234504">
        <w:rPr>
          <w:rFonts w:ascii="Traditional Arabic" w:hAnsi="Traditional Arabic" w:cs="Traditional Arabic"/>
          <w:sz w:val="32"/>
          <w:szCs w:val="32"/>
        </w:rPr>
        <w:t>.</w:t>
      </w:r>
    </w:p>
    <w:p w14:paraId="52CAECBD" w14:textId="77777777" w:rsidR="005B1DF7" w:rsidRPr="00692479" w:rsidRDefault="005B1DF7"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3.4 مجتمع الدراسة</w:t>
      </w:r>
    </w:p>
    <w:p w14:paraId="4DE8EF51"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تكون مجتمع الدراسة من جميع العاملين في المستشفيات الحكومية المشمولة بالدراسة بمدينة جدة في المملكة العربية السعودية، ويشمل ذلك الأطباء، وهيئة التمريض، والفنيين، والإداريين، باعتبارهم الفئات الأكثر ارتباطًا باستخدام الأنظمة والتقنيات الرقمية في بيئة العمل، والأكثر تأثرًا بعمليات التحول الرقمي التي يشهدها القطاع الصحي</w:t>
      </w:r>
      <w:r w:rsidRPr="00675801">
        <w:rPr>
          <w:rFonts w:ascii="Traditional Arabic" w:hAnsi="Traditional Arabic" w:cs="Traditional Arabic"/>
          <w:sz w:val="32"/>
          <w:szCs w:val="32"/>
          <w:lang w:val="en-US"/>
        </w:rPr>
        <w:t>.</w:t>
      </w:r>
    </w:p>
    <w:p w14:paraId="7C31DC66"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ولتحقيق أهداف الدراسة، حدد الباحث ميدان الدراسة في ستة مستشفيات حكومية بمدينة جدة، وذلك بعد مراجعة التقارير والإحصاءات الرسمية الصادرة عن وزارة الصحة السعودية، والاطلاع على المواقع الإلكترونية الرسمية للمستشفيات، إلى جانب الاستفادة من الأدبيات والدراسات السابقة ذات العلاقة بالتحول الرقمي في القطاع الصحي السعودي (وزارة الصحة السعودية، 2023؛ </w:t>
      </w:r>
      <w:proofErr w:type="spellStart"/>
      <w:r w:rsidRPr="00675801">
        <w:rPr>
          <w:rFonts w:ascii="Traditional Arabic" w:hAnsi="Traditional Arabic" w:cs="Traditional Arabic"/>
          <w:sz w:val="32"/>
          <w:szCs w:val="32"/>
          <w:lang w:val="en-US"/>
        </w:rPr>
        <w:t>Alshammari</w:t>
      </w:r>
      <w:proofErr w:type="spellEnd"/>
      <w:r w:rsidRPr="00675801">
        <w:rPr>
          <w:rFonts w:ascii="Traditional Arabic" w:hAnsi="Traditional Arabic" w:cs="Traditional Arabic"/>
          <w:sz w:val="32"/>
          <w:szCs w:val="32"/>
          <w:lang w:val="en-US"/>
        </w:rPr>
        <w:t>, 2021</w:t>
      </w:r>
      <w:r w:rsidRPr="00675801">
        <w:rPr>
          <w:rFonts w:ascii="Traditional Arabic" w:hAnsi="Traditional Arabic" w:cs="Traditional Arabic"/>
          <w:sz w:val="32"/>
          <w:szCs w:val="32"/>
          <w:rtl/>
          <w:lang w:val="en-US"/>
        </w:rPr>
        <w:t>). وقد شملت المستشفيات المشمولة بالدراسة ما يأتي:</w:t>
      </w:r>
    </w:p>
    <w:p w14:paraId="1FE13D6D"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عبدالعزيز الجامعي</w:t>
      </w:r>
      <w:r w:rsidRPr="00675801">
        <w:rPr>
          <w:rFonts w:ascii="Traditional Arabic" w:hAnsi="Traditional Arabic" w:cs="Traditional Arabic"/>
          <w:sz w:val="32"/>
          <w:szCs w:val="32"/>
          <w:lang w:val="en-US"/>
        </w:rPr>
        <w:t xml:space="preserve">. </w:t>
      </w:r>
    </w:p>
    <w:p w14:paraId="1EFE488E"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فهد للقوات المسلحة</w:t>
      </w:r>
      <w:r w:rsidRPr="00675801">
        <w:rPr>
          <w:rFonts w:ascii="Traditional Arabic" w:hAnsi="Traditional Arabic" w:cs="Traditional Arabic"/>
          <w:sz w:val="32"/>
          <w:szCs w:val="32"/>
          <w:lang w:val="en-US"/>
        </w:rPr>
        <w:t xml:space="preserve">. </w:t>
      </w:r>
    </w:p>
    <w:p w14:paraId="1C322DC7"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الولادة والأطفال (العزيزية).</w:t>
      </w:r>
    </w:p>
    <w:p w14:paraId="4C12FBFE"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الثغر العام</w:t>
      </w:r>
      <w:r w:rsidRPr="00675801">
        <w:rPr>
          <w:rFonts w:ascii="Traditional Arabic" w:hAnsi="Traditional Arabic" w:cs="Traditional Arabic"/>
          <w:sz w:val="32"/>
          <w:szCs w:val="32"/>
          <w:lang w:val="en-US"/>
        </w:rPr>
        <w:t xml:space="preserve">. </w:t>
      </w:r>
    </w:p>
    <w:p w14:paraId="0F5A0ACE"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الملك فيصل التخصصي بجدة</w:t>
      </w:r>
      <w:r w:rsidRPr="00675801">
        <w:rPr>
          <w:rFonts w:ascii="Traditional Arabic" w:hAnsi="Traditional Arabic" w:cs="Traditional Arabic"/>
          <w:sz w:val="32"/>
          <w:szCs w:val="32"/>
          <w:lang w:val="en-US"/>
        </w:rPr>
        <w:t xml:space="preserve">. </w:t>
      </w:r>
    </w:p>
    <w:p w14:paraId="0C5D37E9" w14:textId="77777777" w:rsidR="00675801" w:rsidRPr="00675801" w:rsidRDefault="00675801" w:rsidP="00675801">
      <w:pPr>
        <w:numPr>
          <w:ilvl w:val="0"/>
          <w:numId w:val="7"/>
        </w:num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مستشفى الحرس الوطني</w:t>
      </w:r>
      <w:r w:rsidRPr="00675801">
        <w:rPr>
          <w:rFonts w:ascii="Traditional Arabic" w:hAnsi="Traditional Arabic" w:cs="Traditional Arabic"/>
          <w:sz w:val="32"/>
          <w:szCs w:val="32"/>
          <w:lang w:val="en-US"/>
        </w:rPr>
        <w:t xml:space="preserve">. </w:t>
      </w:r>
    </w:p>
    <w:p w14:paraId="6F36AC86"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وقد استند اختيار هذه المستشفيات إلى مجموعة من المعايير، تمثلت في كونها من المستشفيات الحكومية الكبرى التي تقدم خدمات صحية متخصصة ومتنوعة، وتضم أعدادًا كبيرة من العاملين في مختلف التخصصات الصحية والإدارية، كما تتميز بتبنيها تطبيقات متقدمة في مجال التحول الرقمي، مثل السجلات الطبية الإلكترونية، والأنظمة الصحية الذكية، والخدمات الرقمية، الأمر الذي يجعلها بيئة مناسبة لدراسة أثر التحول الرقمي في الاستقرار الوظيفي. إضافة إلى ذلك، تمثل هذه المستشفيات جزءًا مهمًا من منظومة الرعاية الصحية الحكومية بمدينة جدة، مما يعزز ملاءمتها لتحقيق أهداف الدراسة وإمكانية الاستفادة من نتائجها في دعم جهود التحول الرقمي في القطاع الصحي</w:t>
      </w:r>
      <w:r w:rsidRPr="00675801">
        <w:rPr>
          <w:rFonts w:ascii="Traditional Arabic" w:hAnsi="Traditional Arabic" w:cs="Traditional Arabic"/>
          <w:sz w:val="32"/>
          <w:szCs w:val="32"/>
          <w:lang w:val="en-US"/>
        </w:rPr>
        <w:t>.</w:t>
      </w:r>
    </w:p>
    <w:p w14:paraId="1F858A71" w14:textId="77777777" w:rsidR="00675801" w:rsidRPr="00675801" w:rsidRDefault="00675801" w:rsidP="00675801">
      <w:pPr>
        <w:bidi/>
        <w:spacing w:line="360" w:lineRule="auto"/>
        <w:jc w:val="both"/>
        <w:rPr>
          <w:rFonts w:ascii="Traditional Arabic" w:hAnsi="Traditional Arabic" w:cs="Traditional Arabic"/>
          <w:sz w:val="32"/>
          <w:szCs w:val="32"/>
          <w:rtl/>
          <w:lang w:val="en-US"/>
        </w:rPr>
      </w:pPr>
      <w:r w:rsidRPr="00675801">
        <w:rPr>
          <w:rFonts w:ascii="Traditional Arabic" w:hAnsi="Traditional Arabic" w:cs="Traditional Arabic"/>
          <w:sz w:val="32"/>
          <w:szCs w:val="32"/>
          <w:rtl/>
          <w:lang w:val="en-US"/>
        </w:rPr>
        <w:t>وبناءً على ذلك، تمثل مجتمع الدراسة في جميع العاملين بالمستشفيات الحكومية المشمولة بالدراسة، والذين ينتمون إلى الفئات الوظيفية المستهدفة، والمتمثلة في الأطباء، وهيئة التمريض، والفنيين، والإداريين، وقد استُمدت عينة الدراسة من هذا المجتمع وفق إجراءات المعاينة المعتمدة في الدراسة</w:t>
      </w:r>
      <w:r w:rsidRPr="00675801">
        <w:rPr>
          <w:rFonts w:ascii="Traditional Arabic" w:hAnsi="Traditional Arabic" w:cs="Traditional Arabic"/>
          <w:sz w:val="32"/>
          <w:szCs w:val="32"/>
          <w:lang w:val="en-US"/>
        </w:rPr>
        <w:t>.</w:t>
      </w:r>
    </w:p>
    <w:p w14:paraId="611CCAF8" w14:textId="77777777" w:rsidR="00675801" w:rsidRDefault="00BB2224" w:rsidP="00BB2224">
      <w:pPr>
        <w:bidi/>
        <w:spacing w:line="360" w:lineRule="auto"/>
        <w:jc w:val="both"/>
        <w:rPr>
          <w:rFonts w:ascii="Traditional Arabic" w:hAnsi="Traditional Arabic" w:cs="Traditional Arabic"/>
          <w:sz w:val="32"/>
          <w:szCs w:val="32"/>
          <w:rtl/>
        </w:rPr>
      </w:pPr>
      <w:r w:rsidRPr="00BB2224">
        <w:rPr>
          <w:rFonts w:ascii="Traditional Arabic" w:hAnsi="Traditional Arabic" w:cs="Traditional Arabic"/>
          <w:sz w:val="32"/>
          <w:szCs w:val="32"/>
          <w:rtl/>
          <w:lang w:val="en-US"/>
        </w:rPr>
        <w:t>يتكون المجتمع المستهدف من جميع العاملين في المستشفيات الحكومية المشمولة بالدراسة، ويشمل الفئات الوظيفية الرئيسة المتمثلة في الأطباء، والتمريض، والفنيين، والإداريين. وقد استند تحديد المجتمع إلى البيانات الرسمية المتاحة لدى الجهة المختصة، واعتمد الباحث أسلوب العينة الطبقية لضمان تمثيل هذه الفئات بصورة مناسبة في العينة، بما يحقق أهداف الدراسة ويعزز تمثيل المجتمع المستهدف</w:t>
      </w:r>
      <w:r w:rsidRPr="00BB2224">
        <w:rPr>
          <w:rFonts w:ascii="Traditional Arabic" w:hAnsi="Traditional Arabic" w:cs="Traditional Arabic"/>
          <w:sz w:val="32"/>
          <w:szCs w:val="32"/>
        </w:rPr>
        <w:t>.</w:t>
      </w:r>
    </w:p>
    <w:p w14:paraId="28A37598" w14:textId="77777777" w:rsidR="00D46B92" w:rsidRPr="00675801" w:rsidRDefault="00D46B92" w:rsidP="00D46B92">
      <w:pPr>
        <w:bidi/>
        <w:spacing w:line="360" w:lineRule="auto"/>
        <w:jc w:val="both"/>
        <w:rPr>
          <w:rFonts w:ascii="Traditional Arabic" w:hAnsi="Traditional Arabic" w:cs="Traditional Arabic"/>
          <w:sz w:val="32"/>
          <w:szCs w:val="32"/>
          <w:lang w:val="en-US"/>
        </w:rPr>
      </w:pPr>
      <w:r w:rsidRPr="00D46B92">
        <w:rPr>
          <w:rFonts w:ascii="Traditional Arabic" w:hAnsi="Traditional Arabic" w:cs="Traditional Arabic"/>
          <w:sz w:val="32"/>
          <w:szCs w:val="32"/>
          <w:rtl/>
          <w:lang w:val="en-US"/>
        </w:rPr>
        <w:t>وعليه، فإن نتائج الدراسة ستقتصر في تعميمها على العاملين في المستشفيات الحكومية المشمولة بالدراسة بمدينة جدة، وفي حدود خصائص مجتمع الدراسة والعينة المستخدمة، ولا تمتد بالضرورة إلى المستشفيات الخاصة أو إلى المستشفيات الحكومية في مدن أو مناطق أخرى بالمملكة العربية السعودية</w:t>
      </w:r>
      <w:r w:rsidRPr="00D46B92">
        <w:rPr>
          <w:rFonts w:ascii="Traditional Arabic" w:hAnsi="Traditional Arabic" w:cs="Traditional Arabic"/>
          <w:sz w:val="32"/>
          <w:szCs w:val="32"/>
        </w:rPr>
        <w:t>.</w:t>
      </w:r>
    </w:p>
    <w:p w14:paraId="21E31878" w14:textId="77777777" w:rsid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3.5 عينة الدراسة</w:t>
      </w:r>
    </w:p>
    <w:p w14:paraId="202E7BAD" w14:textId="77777777" w:rsidR="00675801" w:rsidRPr="00675801" w:rsidRDefault="00675801" w:rsidP="009E4789">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اعتمدت الدراسة </w:t>
      </w:r>
      <w:r w:rsidR="009E4789" w:rsidRPr="009E4789">
        <w:rPr>
          <w:rFonts w:ascii="Traditional Arabic" w:hAnsi="Traditional Arabic" w:cs="Traditional Arabic"/>
          <w:sz w:val="32"/>
          <w:szCs w:val="32"/>
          <w:rtl/>
          <w:lang w:val="en-US"/>
        </w:rPr>
        <w:t>أسلوب العينة الطبقية العشوائية (</w:t>
      </w:r>
      <w:r w:rsidR="009E4789" w:rsidRPr="009E4789">
        <w:rPr>
          <w:rFonts w:ascii="Traditional Arabic" w:hAnsi="Traditional Arabic" w:cs="Traditional Arabic"/>
          <w:sz w:val="32"/>
          <w:szCs w:val="32"/>
          <w:lang w:val="en-US"/>
        </w:rPr>
        <w:t>Stratified Random Sampling</w:t>
      </w:r>
      <w:r w:rsidR="009E4789" w:rsidRPr="009E4789">
        <w:rPr>
          <w:rFonts w:ascii="Traditional Arabic" w:hAnsi="Traditional Arabic" w:cs="Traditional Arabic"/>
          <w:sz w:val="32"/>
          <w:szCs w:val="32"/>
          <w:rtl/>
          <w:lang w:val="en-US"/>
        </w:rPr>
        <w:t xml:space="preserve">) لاختيار أفراد الدراسة من العاملين في المستشفيات الحكومية المشمولة بالدراسة بمدينة جدة، وذلك نظرًا لتنوع مجتمع الدراسة واختلاف فئاته الوظيفية، حيث يشمل الأطباء، وهيئة التمريض، والفنيين، والإداريين. </w:t>
      </w:r>
      <w:r w:rsidRPr="00675801">
        <w:rPr>
          <w:rFonts w:ascii="Traditional Arabic" w:hAnsi="Traditional Arabic" w:cs="Traditional Arabic"/>
          <w:sz w:val="32"/>
          <w:szCs w:val="32"/>
          <w:rtl/>
          <w:lang w:val="en-US"/>
        </w:rPr>
        <w:t xml:space="preserve">ويُعد هذا الأسلوب من أنسب </w:t>
      </w:r>
      <w:r w:rsidR="009E4789" w:rsidRPr="009E4789">
        <w:rPr>
          <w:rFonts w:ascii="Traditional Arabic" w:hAnsi="Traditional Arabic" w:cs="Traditional Arabic"/>
          <w:sz w:val="32"/>
          <w:szCs w:val="32"/>
          <w:rtl/>
          <w:lang w:val="en-US"/>
        </w:rPr>
        <w:t>أساليب المعاينة في الدراسات التي يتكون مجتمعها من طبقات أو فئات فرعية واضحة، إذ يضمن تمثيل كل فئة من فئات المجتمع في العينة، ويحد من تحيز النتائج لصالح فئة وظيفية دون أخرى (</w:t>
      </w:r>
      <w:proofErr w:type="spellStart"/>
      <w:r w:rsidR="009E4789" w:rsidRPr="009E4789">
        <w:rPr>
          <w:rFonts w:ascii="Traditional Arabic" w:hAnsi="Traditional Arabic" w:cs="Traditional Arabic"/>
          <w:sz w:val="32"/>
          <w:szCs w:val="32"/>
          <w:lang w:val="en-US"/>
        </w:rPr>
        <w:t>Sekaran</w:t>
      </w:r>
      <w:proofErr w:type="spellEnd"/>
      <w:r w:rsidR="009E4789" w:rsidRPr="009E4789">
        <w:rPr>
          <w:rFonts w:ascii="Traditional Arabic" w:hAnsi="Traditional Arabic" w:cs="Traditional Arabic"/>
          <w:sz w:val="32"/>
          <w:szCs w:val="32"/>
          <w:lang w:val="en-US"/>
        </w:rPr>
        <w:t xml:space="preserve"> &amp; </w:t>
      </w:r>
      <w:proofErr w:type="spellStart"/>
      <w:r w:rsidR="009E4789" w:rsidRPr="009E4789">
        <w:rPr>
          <w:rFonts w:ascii="Traditional Arabic" w:hAnsi="Traditional Arabic" w:cs="Traditional Arabic"/>
          <w:sz w:val="32"/>
          <w:szCs w:val="32"/>
          <w:lang w:val="en-US"/>
        </w:rPr>
        <w:t>Bougie</w:t>
      </w:r>
      <w:proofErr w:type="spellEnd"/>
      <w:r w:rsidR="009E4789" w:rsidRPr="009E4789">
        <w:rPr>
          <w:rFonts w:ascii="Traditional Arabic" w:hAnsi="Traditional Arabic" w:cs="Traditional Arabic"/>
          <w:sz w:val="32"/>
          <w:szCs w:val="32"/>
          <w:lang w:val="en-US"/>
        </w:rPr>
        <w:t>, 2020</w:t>
      </w:r>
      <w:r w:rsidR="009E4789" w:rsidRPr="009E4789">
        <w:rPr>
          <w:rFonts w:ascii="Traditional Arabic" w:hAnsi="Traditional Arabic" w:cs="Traditional Arabic"/>
          <w:sz w:val="32"/>
          <w:szCs w:val="32"/>
          <w:rtl/>
          <w:lang w:val="en-US"/>
        </w:rPr>
        <w:t>).</w:t>
      </w:r>
    </w:p>
    <w:p w14:paraId="324B6BA6" w14:textId="77777777" w:rsidR="00675801" w:rsidRPr="00675801" w:rsidRDefault="00675801" w:rsidP="00675801">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وقد استهدفت الدراسة العاملين في المستشفيات الحكومية المشمولة بالدراسة من الأطباء، وهيئة التمريض، والفنيين، والإداريين، باعتبارهم الفئات الأكثر ارتباطًا بتطبيقات التحول الرقمي في بيئة العمل. فهذه الفئات تتعامل بصورة مباشرة أو غير مباشرة مع السجلات الطبية الإلكترونية، وأنظمة المعلومات الصحية، والمنصات الإدارية الرقمية، وأنظمة المتابعة والتقييم، وغيرها من التطبيقات التقنية التي تبنتها المستشفيات الحكومية في إطار برامج التحول الرقمي. كما أن طبيعة أعمالهم اليومية تجعلهم أكثر قدرة على تقييم أثر التحول الرقمي في مستوى الاستقرار الوظيفي داخل بيئة العمل</w:t>
      </w:r>
      <w:r w:rsidRPr="00675801">
        <w:rPr>
          <w:rFonts w:ascii="Traditional Arabic" w:hAnsi="Traditional Arabic" w:cs="Traditional Arabic"/>
          <w:sz w:val="32"/>
          <w:szCs w:val="32"/>
          <w:lang w:val="en-US"/>
        </w:rPr>
        <w:t>.</w:t>
      </w:r>
    </w:p>
    <w:p w14:paraId="126D83F1" w14:textId="77777777" w:rsidR="00675801" w:rsidRPr="00675801" w:rsidRDefault="00675801" w:rsidP="009E4789">
      <w:pPr>
        <w:bidi/>
        <w:spacing w:line="360" w:lineRule="auto"/>
        <w:jc w:val="both"/>
        <w:rPr>
          <w:rFonts w:ascii="Traditional Arabic" w:hAnsi="Traditional Arabic" w:cs="Traditional Arabic"/>
          <w:sz w:val="32"/>
          <w:szCs w:val="32"/>
          <w:lang w:val="en-US"/>
        </w:rPr>
      </w:pPr>
      <w:r w:rsidRPr="00675801">
        <w:rPr>
          <w:rFonts w:ascii="Traditional Arabic" w:hAnsi="Traditional Arabic" w:cs="Traditional Arabic"/>
          <w:sz w:val="32"/>
          <w:szCs w:val="32"/>
          <w:rtl/>
          <w:lang w:val="en-US"/>
        </w:rPr>
        <w:t xml:space="preserve">وجاء اختيار العينة الطبقية العشوائية لضمان تمثيل مختلف الفئات الوظيفية المشمولة بالدراسة، إذ قد تختلف طبيعة تعامل الأطباء مع الأنظمة الرقمية عن تعامل هيئة التمريض أو الفنيين أو الإداريين، كما قد تختلف درجة تأثر كل فئة بمتطلبات التحول </w:t>
      </w:r>
      <w:r w:rsidR="009E4789" w:rsidRPr="009E4789">
        <w:rPr>
          <w:rFonts w:ascii="Traditional Arabic" w:hAnsi="Traditional Arabic" w:cs="Traditional Arabic"/>
          <w:sz w:val="32"/>
          <w:szCs w:val="32"/>
          <w:rtl/>
          <w:lang w:val="en-US"/>
        </w:rPr>
        <w:t>الرقمي وتغيرات بيئة العمل. لذلك فإن تمثيل هذه الفئات داخل العينة يسهم في تقديم نتائج أكثر دقة وشمولًا، ويعزز من قدرة الدراسة على تفسير أثر التحول الرقمي في الاستقرار الوظيفي لدى العاملين في المستشفيات الحكومية المشمولة بالدراسة. ولتحقيق ذلك، وُزِّعت العينة على الفئات الوظيفية الرئيسة المشمولة بالدراسة، ثم جرى اختيار أفراد العينة عشوائيًا من كل فئة بما يضمن تمثيل مختلف الفئات الوظيفية في العينة.</w:t>
      </w:r>
    </w:p>
    <w:p w14:paraId="0E6B76B7" w14:textId="77777777" w:rsidR="00BB2224" w:rsidRDefault="00BB2224" w:rsidP="00BB2224">
      <w:pPr>
        <w:bidi/>
        <w:spacing w:line="360" w:lineRule="auto"/>
        <w:jc w:val="both"/>
        <w:rPr>
          <w:rFonts w:ascii="Traditional Arabic" w:hAnsi="Traditional Arabic" w:cs="Traditional Arabic"/>
          <w:sz w:val="32"/>
          <w:szCs w:val="32"/>
          <w:rtl/>
          <w:lang w:val="en-US"/>
        </w:rPr>
      </w:pPr>
    </w:p>
    <w:p w14:paraId="4BB60CDE" w14:textId="77777777" w:rsidR="00BB2224" w:rsidRDefault="00BB2224" w:rsidP="00BB2224">
      <w:pPr>
        <w:bidi/>
        <w:spacing w:line="360" w:lineRule="auto"/>
        <w:jc w:val="both"/>
        <w:rPr>
          <w:rFonts w:ascii="Traditional Arabic" w:hAnsi="Traditional Arabic" w:cs="Traditional Arabic"/>
          <w:sz w:val="32"/>
          <w:szCs w:val="32"/>
          <w:rtl/>
        </w:rPr>
      </w:pPr>
      <w:r w:rsidRPr="00BB2224">
        <w:rPr>
          <w:rFonts w:ascii="Traditional Arabic" w:hAnsi="Traditional Arabic" w:cs="Traditional Arabic"/>
          <w:sz w:val="32"/>
          <w:szCs w:val="32"/>
          <w:rtl/>
          <w:lang w:val="en-US"/>
        </w:rPr>
        <w:t>ونظرا إلى كبر حجم مجتمع الدراسة وعدم توافر رقم رسمي محدث يبين عدده بدقة وقت إعداد الدراسة، فقد تم التعامل معه بوصفه مجتمعا كبيرا، وتحديد الحد الأدنى لحجم العينة بما يقارب (379) مفردة عند مستوى ثقة (95%) وهامش خطأ (5%). ولزيادة معدل الاستجابة وتقليل أثر الاستبانات غير المستردة أو غير الصالحة للتحليل، قرر الباحث توزيع نحو (400) استبانة على العاملين في المستشفيات الحكومية المشمولة بالدراسة</w:t>
      </w:r>
      <w:r w:rsidRPr="00BB2224">
        <w:rPr>
          <w:rFonts w:ascii="Traditional Arabic" w:hAnsi="Traditional Arabic" w:cs="Traditional Arabic"/>
          <w:sz w:val="32"/>
          <w:szCs w:val="32"/>
        </w:rPr>
        <w:t>.</w:t>
      </w:r>
    </w:p>
    <w:p w14:paraId="221877F1" w14:textId="77777777" w:rsidR="00BB2224" w:rsidRDefault="00675801" w:rsidP="00BB2224">
      <w:pPr>
        <w:bidi/>
        <w:spacing w:line="360" w:lineRule="auto"/>
        <w:jc w:val="both"/>
        <w:rPr>
          <w:rFonts w:ascii="Traditional Arabic" w:hAnsi="Traditional Arabic" w:cs="Traditional Arabic"/>
          <w:sz w:val="32"/>
          <w:szCs w:val="32"/>
          <w:rtl/>
          <w:lang w:val="en-US"/>
        </w:rPr>
      </w:pPr>
      <w:r w:rsidRPr="00675801">
        <w:rPr>
          <w:rFonts w:ascii="Traditional Arabic" w:hAnsi="Traditional Arabic" w:cs="Traditional Arabic"/>
          <w:sz w:val="32"/>
          <w:szCs w:val="32"/>
          <w:rtl/>
          <w:lang w:val="en-US"/>
        </w:rPr>
        <w:t>وقد روعي عند توزيع الاستبانات أن تشمل جميع المستشفيات الحكومية المشمولة بالدراسة، وأن تمثل الفئات الوظيفية الرئيسة الأربع، بما يحقق تمثيلًا مناسبًا لمجتمع الدراسة، ويزيد من موثوقية النتائج وقابليتها للتعميم في حدود مجتمع الدراسة</w:t>
      </w:r>
      <w:r w:rsidRPr="00675801">
        <w:rPr>
          <w:rFonts w:ascii="Traditional Arabic" w:hAnsi="Traditional Arabic" w:cs="Traditional Arabic"/>
          <w:sz w:val="32"/>
          <w:szCs w:val="32"/>
          <w:lang w:val="en-US"/>
        </w:rPr>
        <w:t>.</w:t>
      </w:r>
    </w:p>
    <w:p w14:paraId="1FBE237B" w14:textId="77777777" w:rsidR="00365907" w:rsidRPr="00675801" w:rsidRDefault="00365907" w:rsidP="00365907">
      <w:pPr>
        <w:bidi/>
        <w:spacing w:line="360" w:lineRule="auto"/>
        <w:jc w:val="both"/>
        <w:rPr>
          <w:rFonts w:ascii="Traditional Arabic" w:hAnsi="Traditional Arabic" w:cs="Traditional Arabic"/>
          <w:sz w:val="32"/>
          <w:szCs w:val="32"/>
          <w:lang w:val="en-US"/>
        </w:rPr>
      </w:pPr>
      <w:r w:rsidRPr="00365907">
        <w:rPr>
          <w:rFonts w:ascii="Traditional Arabic" w:hAnsi="Traditional Arabic" w:cs="Traditional Arabic"/>
          <w:sz w:val="32"/>
          <w:szCs w:val="32"/>
          <w:rtl/>
          <w:lang w:val="en-US"/>
        </w:rPr>
        <w:t>سيتم توزيع الاستبانات على العاملين في المستشفيات الحكومية المشمولة بالدراسة باستخدام أسلوب العينة الطبقية العشوائية، حيث تمثل الفئات الوظيفية (الأطباء، والتمريض، والفنيون، والإداريون) الطبقات الرئيسة للعينة، مع مراعاة تمثيل جميع المستشفيات المشمولة بالدراسة بما يحقق تمثيلًا مناسبًا لمجتمع الدراسة، وسيتم تحديد العدد الفعلي للاستبانات الموزعة على كل مستشفى وكل فئة وظيفية وفق حجم العاملين وتوافرهم عند تنفيذ الدراسة</w:t>
      </w:r>
      <w:r w:rsidRPr="00365907">
        <w:rPr>
          <w:rFonts w:ascii="Traditional Arabic" w:hAnsi="Traditional Arabic" w:cs="Traditional Arabic"/>
          <w:sz w:val="32"/>
          <w:szCs w:val="32"/>
        </w:rPr>
        <w:t>.</w:t>
      </w:r>
    </w:p>
    <w:p w14:paraId="5C63F1BC" w14:textId="77777777" w:rsidR="00692479" w:rsidRP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3.6 متغيرات الدراسة</w:t>
      </w:r>
    </w:p>
    <w:p w14:paraId="013DA12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استنادًا إلى مشكلة الدراسة، وأهدافها، وفرضياتها، والإطار النظري، والدراسات السابقة ذات الصلة، اشتملت الدراسة الحالية على متغير مستقل ومتغير تابع، حيث هدفت إلى التعرف على أثر التحول الرقمي في الاستقرار الوظيفي لدى العاملين في المستشفيات الحكومية بمدينة جدة. وقد تم تحديد متغيرات الدراسة وأبعادها في ضوء الأدبيات العلمية الحديثة، والدراسات السابقة التي تناولت التحول الرقمي في القطاع الصحي والاستقرار الوظيفي، بما يحقق أهداف الدراسة ويتيح اختبار فرضياتها بصورة علمية (</w:t>
      </w:r>
      <w:r w:rsidRPr="00692479">
        <w:rPr>
          <w:rFonts w:ascii="Traditional Arabic" w:hAnsi="Traditional Arabic" w:cs="Traditional Arabic"/>
          <w:sz w:val="32"/>
          <w:szCs w:val="32"/>
          <w:lang w:val="en-US"/>
        </w:rPr>
        <w:t>Creswell &amp; Creswell, 2023</w:t>
      </w:r>
      <w:r w:rsidRPr="00692479">
        <w:rPr>
          <w:rFonts w:ascii="Traditional Arabic" w:hAnsi="Traditional Arabic" w:cs="Traditional Arabic"/>
          <w:sz w:val="32"/>
          <w:szCs w:val="32"/>
          <w:rtl/>
          <w:lang w:val="en-US"/>
        </w:rPr>
        <w:t xml:space="preserve">؛ </w:t>
      </w:r>
      <w:r w:rsidRPr="00692479">
        <w:rPr>
          <w:rFonts w:ascii="Traditional Arabic" w:hAnsi="Traditional Arabic" w:cs="Traditional Arabic"/>
          <w:sz w:val="32"/>
          <w:szCs w:val="32"/>
          <w:lang w:val="en-US"/>
        </w:rPr>
        <w:t>Saunders et al., 2023</w:t>
      </w:r>
      <w:r w:rsidRPr="00692479">
        <w:rPr>
          <w:rFonts w:ascii="Traditional Arabic" w:hAnsi="Traditional Arabic" w:cs="Traditional Arabic"/>
          <w:sz w:val="32"/>
          <w:szCs w:val="32"/>
          <w:rtl/>
          <w:lang w:val="en-US"/>
        </w:rPr>
        <w:t>).</w:t>
      </w:r>
    </w:p>
    <w:p w14:paraId="345BFF3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ويتمثل المتغير المستقل في التحول الرقمي، وقد تم قياسه من خلال أربعة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البنية التحتية الرقمية والتقنيات الرقمية، والكفاءة الرقمية للموظفين، وتكامل الأنظمة الرقمية وعمليات الرقمنة، والأمن وحماية البيانات الرقمية</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وقد تم اختيار هذه الأبعاد استنادًا إلى الأدبيات الحديثة والدراسات السابقة التي تناولت تطبيقات التحول الرقمي في القطاع الصحي، بوصفها من أكثر الأبعاد استخدامًا في قياس مستوى التحول الرقمي في المؤسسات الصحية</w:t>
      </w:r>
      <w:r w:rsidRPr="00692479">
        <w:rPr>
          <w:rFonts w:ascii="Traditional Arabic" w:hAnsi="Traditional Arabic" w:cs="Traditional Arabic"/>
          <w:sz w:val="32"/>
          <w:szCs w:val="32"/>
          <w:lang w:val="en-US"/>
        </w:rPr>
        <w:t>.</w:t>
      </w:r>
    </w:p>
    <w:p w14:paraId="485A43E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أما المتغير التابع فهو الاستقرار الوظيفي، وتم قياسه من خلال ثلاثة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الأمان الوظيفي، والرضا الوظيفي، والالتزام التنظيمي، وذلك بالاعتماد على الأدبيات والدراسات السابقة التي تناولت مفهوم الاستقرار الوظيفي والعوامل المكونة له، حيث تعكس هذه الأبعاد الجوانب الرئيسة التي تحدد مستوى استقرار العاملين واستمرارهم في أداء أعمالهم داخل المؤسسات الصحية</w:t>
      </w:r>
      <w:r w:rsidRPr="00692479">
        <w:rPr>
          <w:rFonts w:ascii="Traditional Arabic" w:hAnsi="Traditional Arabic" w:cs="Traditional Arabic"/>
          <w:sz w:val="32"/>
          <w:szCs w:val="32"/>
          <w:lang w:val="en-US"/>
        </w:rPr>
        <w:t>.</w:t>
      </w:r>
    </w:p>
    <w:p w14:paraId="49EC14B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(3-2) متغيرات الدراسة وأبعادها وعدد الفقرات المخصصة لقياس كل بعد</w:t>
      </w:r>
      <w:r w:rsidRPr="00692479">
        <w:rPr>
          <w:rFonts w:ascii="Traditional Arabic" w:hAnsi="Traditional Arabic" w:cs="Traditional Arabic"/>
          <w:sz w:val="32"/>
          <w:szCs w:val="32"/>
          <w:lang w:val="en-US"/>
        </w:rPr>
        <w:t>.</w:t>
      </w:r>
    </w:p>
    <w:p w14:paraId="00E31177" w14:textId="77777777" w:rsidR="00692479" w:rsidRPr="00692479" w:rsidRDefault="00692479" w:rsidP="00692479">
      <w:pPr>
        <w:bidi/>
        <w:spacing w:after="0" w:line="36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(3-2) متغيرات الدراسة وأبعادها وعدد الفقرات</w:t>
      </w:r>
    </w:p>
    <w:tbl>
      <w:tblPr>
        <w:tblStyle w:val="TableGrid"/>
        <w:bidiVisual/>
        <w:tblW w:w="5000" w:type="pct"/>
        <w:tblLook w:val="04A0" w:firstRow="1" w:lastRow="0" w:firstColumn="1" w:lastColumn="0" w:noHBand="0" w:noVBand="1"/>
      </w:tblPr>
      <w:tblGrid>
        <w:gridCol w:w="3556"/>
        <w:gridCol w:w="4151"/>
        <w:gridCol w:w="1630"/>
      </w:tblGrid>
      <w:tr w:rsidR="00692479" w:rsidRPr="00692479" w14:paraId="484B779A" w14:textId="77777777" w:rsidTr="00692479">
        <w:tc>
          <w:tcPr>
            <w:tcW w:w="1904" w:type="pct"/>
            <w:hideMark/>
          </w:tcPr>
          <w:p w14:paraId="2221AE11"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223" w:type="pct"/>
            <w:hideMark/>
          </w:tcPr>
          <w:p w14:paraId="011F7F9F"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73" w:type="pct"/>
            <w:hideMark/>
          </w:tcPr>
          <w:p w14:paraId="306FB3A4"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209B3F5D" w14:textId="77777777" w:rsidTr="00692479">
        <w:tc>
          <w:tcPr>
            <w:tcW w:w="1904" w:type="pct"/>
            <w:hideMark/>
          </w:tcPr>
          <w:p w14:paraId="1238348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المستقل: التحول الرقمي</w:t>
            </w:r>
          </w:p>
        </w:tc>
        <w:tc>
          <w:tcPr>
            <w:tcW w:w="2223" w:type="pct"/>
            <w:hideMark/>
          </w:tcPr>
          <w:p w14:paraId="1144C46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73" w:type="pct"/>
            <w:hideMark/>
          </w:tcPr>
          <w:p w14:paraId="162EE88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4B4179B1" w14:textId="77777777" w:rsidTr="00692479">
        <w:tc>
          <w:tcPr>
            <w:tcW w:w="1904" w:type="pct"/>
            <w:hideMark/>
          </w:tcPr>
          <w:p w14:paraId="7EDA8EB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21A25B6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73" w:type="pct"/>
            <w:hideMark/>
          </w:tcPr>
          <w:p w14:paraId="6C992C3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81D751E" w14:textId="77777777" w:rsidTr="00692479">
        <w:tc>
          <w:tcPr>
            <w:tcW w:w="1904" w:type="pct"/>
            <w:hideMark/>
          </w:tcPr>
          <w:p w14:paraId="29E65AF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053D4DA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73" w:type="pct"/>
            <w:hideMark/>
          </w:tcPr>
          <w:p w14:paraId="1BD93D9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1285F41" w14:textId="77777777" w:rsidTr="00692479">
        <w:tc>
          <w:tcPr>
            <w:tcW w:w="1904" w:type="pct"/>
            <w:hideMark/>
          </w:tcPr>
          <w:p w14:paraId="1D22EBD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5FBF9A1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73" w:type="pct"/>
            <w:hideMark/>
          </w:tcPr>
          <w:p w14:paraId="548804A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41CD0A5" w14:textId="77777777" w:rsidTr="00692479">
        <w:tc>
          <w:tcPr>
            <w:tcW w:w="1904" w:type="pct"/>
            <w:hideMark/>
          </w:tcPr>
          <w:p w14:paraId="04DB048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61486BB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المستقل</w:t>
            </w:r>
          </w:p>
        </w:tc>
        <w:tc>
          <w:tcPr>
            <w:tcW w:w="873" w:type="pct"/>
            <w:hideMark/>
          </w:tcPr>
          <w:p w14:paraId="3258CF7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20</w:t>
            </w:r>
          </w:p>
        </w:tc>
      </w:tr>
      <w:tr w:rsidR="00692479" w:rsidRPr="00692479" w14:paraId="2EC3C447" w14:textId="77777777" w:rsidTr="00692479">
        <w:tc>
          <w:tcPr>
            <w:tcW w:w="1904" w:type="pct"/>
            <w:hideMark/>
          </w:tcPr>
          <w:p w14:paraId="307D027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التابع: الاستقرار الوظيفي</w:t>
            </w:r>
          </w:p>
        </w:tc>
        <w:tc>
          <w:tcPr>
            <w:tcW w:w="2223" w:type="pct"/>
            <w:hideMark/>
          </w:tcPr>
          <w:p w14:paraId="46D35AE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73" w:type="pct"/>
            <w:hideMark/>
          </w:tcPr>
          <w:p w14:paraId="35523B9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3FF3E07" w14:textId="77777777" w:rsidTr="00692479">
        <w:tc>
          <w:tcPr>
            <w:tcW w:w="1904" w:type="pct"/>
            <w:hideMark/>
          </w:tcPr>
          <w:p w14:paraId="274D9DC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67AAA7C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73" w:type="pct"/>
            <w:hideMark/>
          </w:tcPr>
          <w:p w14:paraId="18F4020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CE6BD13" w14:textId="77777777" w:rsidTr="00692479">
        <w:tc>
          <w:tcPr>
            <w:tcW w:w="1904" w:type="pct"/>
            <w:hideMark/>
          </w:tcPr>
          <w:p w14:paraId="51FB912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3AFD1DC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73" w:type="pct"/>
            <w:hideMark/>
          </w:tcPr>
          <w:p w14:paraId="1B6C182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412F8B1" w14:textId="77777777" w:rsidTr="00692479">
        <w:tc>
          <w:tcPr>
            <w:tcW w:w="1904" w:type="pct"/>
            <w:hideMark/>
          </w:tcPr>
          <w:p w14:paraId="5AF04AE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F7596C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التابع</w:t>
            </w:r>
          </w:p>
        </w:tc>
        <w:tc>
          <w:tcPr>
            <w:tcW w:w="873" w:type="pct"/>
            <w:hideMark/>
          </w:tcPr>
          <w:p w14:paraId="6D26C9A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15</w:t>
            </w:r>
          </w:p>
        </w:tc>
      </w:tr>
      <w:tr w:rsidR="00692479" w:rsidRPr="00692479" w14:paraId="537CAA7F" w14:textId="77777777" w:rsidTr="00692479">
        <w:tc>
          <w:tcPr>
            <w:tcW w:w="1904" w:type="pct"/>
            <w:hideMark/>
          </w:tcPr>
          <w:p w14:paraId="66DB5CD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أداة الدراسة</w:t>
            </w:r>
          </w:p>
        </w:tc>
        <w:tc>
          <w:tcPr>
            <w:tcW w:w="2223" w:type="pct"/>
            <w:hideMark/>
          </w:tcPr>
          <w:p w14:paraId="08867DD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873" w:type="pct"/>
            <w:hideMark/>
          </w:tcPr>
          <w:p w14:paraId="2A95E4F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70A5A5C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يتضح من جدول (3-2) أن أداة الدراسة اشتملت على (35) فقرة، منها (20) فقرة لقياس المتغير المستقل، و (15) فقرة لقياس المتغير التابع، وقد روعي عند إعدادها شمول جميع الأبعاد الرئيسة لمتغيرات الدراسة بما يضمن قياسها بصورة دقيقة، ويحقق أهداف الدراسة واختبار فرضياتها.</w:t>
      </w:r>
    </w:p>
    <w:p w14:paraId="1DD57C64" w14:textId="77777777" w:rsidR="00692479" w:rsidRPr="00692479" w:rsidRDefault="00234504" w:rsidP="00234504">
      <w:pPr>
        <w:bidi/>
        <w:spacing w:line="360" w:lineRule="auto"/>
        <w:jc w:val="both"/>
        <w:rPr>
          <w:rFonts w:ascii="Traditional Arabic" w:hAnsi="Traditional Arabic" w:cs="Traditional Arabic"/>
          <w:sz w:val="32"/>
          <w:szCs w:val="32"/>
          <w:lang w:val="en-US"/>
        </w:rPr>
      </w:pPr>
      <w:r w:rsidRPr="00234504">
        <w:rPr>
          <w:rFonts w:ascii="Traditional Arabic" w:hAnsi="Traditional Arabic" w:cs="Traditional Arabic"/>
          <w:sz w:val="32"/>
          <w:szCs w:val="32"/>
          <w:rtl/>
          <w:lang w:val="en-US"/>
        </w:rPr>
        <w:t>وقد استند تحديد المتغيرات وأبعادها في هذه الدراسة إلى التعريفات الإجرائية الواردة في الفصل الأول، والتي أوضحت المفهوم الإجرائي لكل متغير، وأبعاده، ومؤشرات قياسه. وفي ضوء تلك التعريفات، جرى بناء أداة الدراسة وتوزيع فقراتها على الأبعاد المختلفة بما يضمن الاتساق بين الإطار المفاهيمي وأداة القياس المستخدمة في الدراسة</w:t>
      </w:r>
    </w:p>
    <w:p w14:paraId="2211CB8A"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3.7 أداة الدراسة</w:t>
      </w:r>
    </w:p>
    <w:p w14:paraId="1FBA445A"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اعتمدت الدراسة الحالية على </w:t>
      </w:r>
      <w:r w:rsidRPr="00692479">
        <w:rPr>
          <w:rFonts w:ascii="Traditional Arabic" w:hAnsi="Traditional Arabic" w:cs="Traditional Arabic"/>
          <w:b/>
          <w:bCs/>
          <w:sz w:val="32"/>
          <w:szCs w:val="32"/>
          <w:rtl/>
          <w:lang w:val="en-US"/>
        </w:rPr>
        <w:t>الاستبانة</w:t>
      </w:r>
      <w:r w:rsidRPr="00692479">
        <w:rPr>
          <w:rFonts w:ascii="Traditional Arabic" w:hAnsi="Traditional Arabic" w:cs="Traditional Arabic"/>
          <w:sz w:val="32"/>
          <w:szCs w:val="32"/>
          <w:rtl/>
          <w:lang w:val="en-US"/>
        </w:rPr>
        <w:t xml:space="preserve"> بوصفها أداة رئيسة لجمع البيانات من أفراد عينة الدراسة، وذلك لملاءمتها لطبيعة الدراسة وأهدافها، ولقدرتها </w:t>
      </w:r>
      <w:r w:rsidR="0058077E" w:rsidRPr="0058077E">
        <w:rPr>
          <w:rFonts w:ascii="Traditional Arabic" w:hAnsi="Traditional Arabic" w:cs="Traditional Arabic"/>
          <w:sz w:val="32"/>
          <w:szCs w:val="32"/>
          <w:rtl/>
          <w:lang w:val="en-US"/>
        </w:rPr>
        <w:t>على جمع البيانات من عدد كبير من أفراد المجتمع خلال فترة زمنية مناسبة، فضلًا عن سهولة معالجتها وتحليلها إحصائيًا (</w:t>
      </w:r>
      <w:proofErr w:type="spellStart"/>
      <w:r w:rsidR="0058077E" w:rsidRPr="0058077E">
        <w:rPr>
          <w:rFonts w:ascii="Traditional Arabic" w:hAnsi="Traditional Arabic" w:cs="Traditional Arabic"/>
          <w:sz w:val="32"/>
          <w:szCs w:val="32"/>
          <w:lang w:val="en-US"/>
        </w:rPr>
        <w:t>Sekaran</w:t>
      </w:r>
      <w:proofErr w:type="spellEnd"/>
      <w:r w:rsidR="0058077E" w:rsidRPr="0058077E">
        <w:rPr>
          <w:rFonts w:ascii="Traditional Arabic" w:hAnsi="Traditional Arabic" w:cs="Traditional Arabic"/>
          <w:sz w:val="32"/>
          <w:szCs w:val="32"/>
          <w:lang w:val="en-US"/>
        </w:rPr>
        <w:t xml:space="preserve"> &amp; </w:t>
      </w:r>
      <w:proofErr w:type="spellStart"/>
      <w:r w:rsidR="0058077E" w:rsidRPr="0058077E">
        <w:rPr>
          <w:rFonts w:ascii="Traditional Arabic" w:hAnsi="Traditional Arabic" w:cs="Traditional Arabic"/>
          <w:sz w:val="32"/>
          <w:szCs w:val="32"/>
          <w:lang w:val="en-US"/>
        </w:rPr>
        <w:t>Bougie</w:t>
      </w:r>
      <w:proofErr w:type="spellEnd"/>
      <w:r w:rsidR="0058077E" w:rsidRPr="0058077E">
        <w:rPr>
          <w:rFonts w:ascii="Traditional Arabic" w:hAnsi="Traditional Arabic" w:cs="Traditional Arabic"/>
          <w:sz w:val="32"/>
          <w:szCs w:val="32"/>
          <w:lang w:val="en-US"/>
        </w:rPr>
        <w:t>, 2020</w:t>
      </w:r>
      <w:r w:rsidR="0058077E" w:rsidRPr="0058077E">
        <w:rPr>
          <w:rFonts w:ascii="Traditional Arabic" w:hAnsi="Traditional Arabic" w:cs="Traditional Arabic"/>
          <w:sz w:val="32"/>
          <w:szCs w:val="32"/>
          <w:rtl/>
          <w:lang w:val="en-US"/>
        </w:rPr>
        <w:t>).</w:t>
      </w:r>
    </w:p>
    <w:p w14:paraId="47DCF4A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قام الباحث بتطوير الاستبانة بالاستناد إلى الأدبيات النظرية والدراسات السابقة ذات العلاقة بمتغيرات الدراسة، مع الاستفادة من المقاييس التي تناولت التحول الرقمي والاستقرار الوظيفي، بما يضمن شمول الأداة لجميع الأبعاد التي تسعى الدراسة إلى قياسها، وملاءمتها لطبيعة العاملين في المستشفيات الحكومية بمدينة جدة</w:t>
      </w:r>
      <w:r w:rsidRPr="00692479">
        <w:rPr>
          <w:rFonts w:ascii="Traditional Arabic" w:hAnsi="Traditional Arabic" w:cs="Traditional Arabic"/>
          <w:sz w:val="32"/>
          <w:szCs w:val="32"/>
          <w:lang w:val="en-US"/>
        </w:rPr>
        <w:t>.</w:t>
      </w:r>
    </w:p>
    <w:p w14:paraId="02A2A13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وتكونت الاستبانة </w:t>
      </w:r>
      <w:r w:rsidRPr="0058077E">
        <w:rPr>
          <w:rFonts w:ascii="Traditional Arabic" w:hAnsi="Traditional Arabic" w:cs="Traditional Arabic"/>
          <w:sz w:val="32"/>
          <w:szCs w:val="32"/>
          <w:rtl/>
          <w:lang w:val="en-US"/>
        </w:rPr>
        <w:t>في صورتها النهائية من جزأين رئيسين، وذلك على النحو الآتي</w:t>
      </w:r>
      <w:r w:rsidRPr="0058077E">
        <w:rPr>
          <w:rFonts w:ascii="Traditional Arabic" w:hAnsi="Traditional Arabic" w:cs="Traditional Arabic"/>
          <w:sz w:val="32"/>
          <w:szCs w:val="32"/>
          <w:lang w:val="en-US"/>
        </w:rPr>
        <w:t>:</w:t>
      </w:r>
    </w:p>
    <w:p w14:paraId="340F2F5E"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الأول: البيانات الشخصية والوظيفية</w:t>
      </w:r>
    </w:p>
    <w:p w14:paraId="4598FD1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يتضمن هذا الجزء مجموعة من المتغيرات الشخصية والوظيفية الخاصة بأفراد عينة الدراسة، وهي</w:t>
      </w:r>
      <w:r w:rsidRPr="00692479">
        <w:rPr>
          <w:rFonts w:ascii="Traditional Arabic" w:hAnsi="Traditional Arabic" w:cs="Traditional Arabic"/>
          <w:sz w:val="32"/>
          <w:szCs w:val="32"/>
          <w:lang w:val="en-US"/>
        </w:rPr>
        <w:t>:</w:t>
      </w:r>
    </w:p>
    <w:p w14:paraId="193176CE"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الجنس</w:t>
      </w:r>
      <w:r w:rsidRPr="00692479">
        <w:rPr>
          <w:rFonts w:ascii="Traditional Arabic" w:hAnsi="Traditional Arabic" w:cs="Traditional Arabic"/>
          <w:sz w:val="32"/>
          <w:szCs w:val="32"/>
          <w:lang w:val="en-US"/>
        </w:rPr>
        <w:t>.</w:t>
      </w:r>
    </w:p>
    <w:p w14:paraId="19A77975"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العمر</w:t>
      </w:r>
      <w:r w:rsidRPr="00692479">
        <w:rPr>
          <w:rFonts w:ascii="Traditional Arabic" w:hAnsi="Traditional Arabic" w:cs="Traditional Arabic"/>
          <w:sz w:val="32"/>
          <w:szCs w:val="32"/>
          <w:lang w:val="en-US"/>
        </w:rPr>
        <w:t>.</w:t>
      </w:r>
    </w:p>
    <w:p w14:paraId="48EB2EF5"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المؤهل العلمي</w:t>
      </w:r>
      <w:r w:rsidRPr="00692479">
        <w:rPr>
          <w:rFonts w:ascii="Traditional Arabic" w:hAnsi="Traditional Arabic" w:cs="Traditional Arabic"/>
          <w:sz w:val="32"/>
          <w:szCs w:val="32"/>
          <w:lang w:val="en-US"/>
        </w:rPr>
        <w:t>.</w:t>
      </w:r>
    </w:p>
    <w:p w14:paraId="0175425A"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المسمى الوظيفي</w:t>
      </w:r>
      <w:r w:rsidRPr="00692479">
        <w:rPr>
          <w:rFonts w:ascii="Traditional Arabic" w:hAnsi="Traditional Arabic" w:cs="Traditional Arabic"/>
          <w:sz w:val="32"/>
          <w:szCs w:val="32"/>
          <w:lang w:val="en-US"/>
        </w:rPr>
        <w:t>.</w:t>
      </w:r>
    </w:p>
    <w:p w14:paraId="0A7F25E7"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سنوات الخبرة</w:t>
      </w:r>
      <w:r w:rsidRPr="00692479">
        <w:rPr>
          <w:rFonts w:ascii="Traditional Arabic" w:hAnsi="Traditional Arabic" w:cs="Traditional Arabic"/>
          <w:sz w:val="32"/>
          <w:szCs w:val="32"/>
          <w:lang w:val="en-US"/>
        </w:rPr>
        <w:t>.</w:t>
      </w:r>
    </w:p>
    <w:p w14:paraId="4ADDD307"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المستشفى</w:t>
      </w:r>
      <w:r w:rsidRPr="00692479">
        <w:rPr>
          <w:rFonts w:ascii="Traditional Arabic" w:hAnsi="Traditional Arabic" w:cs="Traditional Arabic"/>
          <w:sz w:val="32"/>
          <w:szCs w:val="32"/>
          <w:lang w:val="en-US"/>
        </w:rPr>
        <w:t>.</w:t>
      </w:r>
    </w:p>
    <w:p w14:paraId="3AF59D2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أدرجت هذه المتغيرات بهدف وصف خصائص أفراد عينة الدراسة، والاستفادة منها في تقديم وصف إحصائي للعينة</w:t>
      </w:r>
      <w:r w:rsidRPr="00692479">
        <w:rPr>
          <w:rFonts w:ascii="Traditional Arabic" w:hAnsi="Traditional Arabic" w:cs="Traditional Arabic"/>
          <w:sz w:val="32"/>
          <w:szCs w:val="32"/>
          <w:lang w:val="en-US"/>
        </w:rPr>
        <w:t>.</w:t>
      </w:r>
    </w:p>
    <w:p w14:paraId="7B9ACF16"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الثاني: متغيرات الدراسة</w:t>
      </w:r>
    </w:p>
    <w:p w14:paraId="7D076ABC"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يتضمن هذا الجزء فقرات قياس متغيرات الدراسة، حيث </w:t>
      </w:r>
      <w:r w:rsidR="0058077E" w:rsidRPr="0058077E">
        <w:rPr>
          <w:rFonts w:ascii="Traditional Arabic" w:hAnsi="Traditional Arabic" w:cs="Traditional Arabic"/>
          <w:sz w:val="32"/>
          <w:szCs w:val="32"/>
          <w:rtl/>
          <w:lang w:val="en-US"/>
        </w:rPr>
        <w:t>اشتمل على (35) فقرة موزعة على متغيرين رئيسين، هما:</w:t>
      </w:r>
    </w:p>
    <w:p w14:paraId="2096B625"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أولًا: المتغير المستقل (التحول الرقمي)</w:t>
      </w:r>
    </w:p>
    <w:p w14:paraId="50D6690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التحول الرقمي من خلال أربعة أبعاد رئيسة، هي</w:t>
      </w:r>
      <w:r w:rsidRPr="00692479">
        <w:rPr>
          <w:rFonts w:ascii="Traditional Arabic" w:hAnsi="Traditional Arabic" w:cs="Traditional Arabic"/>
          <w:sz w:val="32"/>
          <w:szCs w:val="32"/>
          <w:lang w:val="en-US"/>
        </w:rPr>
        <w:t>:</w:t>
      </w:r>
    </w:p>
    <w:p w14:paraId="4C892017"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 (5 فقرات).</w:t>
      </w:r>
    </w:p>
    <w:p w14:paraId="43A102AC"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 (5 فقرات).</w:t>
      </w:r>
    </w:p>
    <w:p w14:paraId="12F0650B"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 (5 فقرات).</w:t>
      </w:r>
    </w:p>
    <w:p w14:paraId="2B610155"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 (5 فقرات).</w:t>
      </w:r>
    </w:p>
    <w:p w14:paraId="437CE56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المستقل (20) فقرة.</w:t>
      </w:r>
    </w:p>
    <w:p w14:paraId="2979A438"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ثانيًا: المتغير التابع (الاستقرار الوظيفي)</w:t>
      </w:r>
    </w:p>
    <w:p w14:paraId="3A9DBF3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الاستقرار الوظيفي من خلال ثلاثة أبعاد رئيسة، هي</w:t>
      </w:r>
      <w:r w:rsidRPr="00692479">
        <w:rPr>
          <w:rFonts w:ascii="Traditional Arabic" w:hAnsi="Traditional Arabic" w:cs="Traditional Arabic"/>
          <w:sz w:val="32"/>
          <w:szCs w:val="32"/>
          <w:lang w:val="en-US"/>
        </w:rPr>
        <w:t>:</w:t>
      </w:r>
    </w:p>
    <w:p w14:paraId="50BDE777"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 (5 فقرات).</w:t>
      </w:r>
    </w:p>
    <w:p w14:paraId="2065A071"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 (5 فقرات).</w:t>
      </w:r>
    </w:p>
    <w:p w14:paraId="75C8CB37"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 (5 فقرات).</w:t>
      </w:r>
    </w:p>
    <w:p w14:paraId="3328F7B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التابع (15) فقرة.</w:t>
      </w:r>
    </w:p>
    <w:p w14:paraId="45B3EF3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(3-3) توزيع فقرات الاستبانة على متغيرات الدراسة وأبعادها</w:t>
      </w:r>
      <w:r w:rsidRPr="00692479">
        <w:rPr>
          <w:rFonts w:ascii="Traditional Arabic" w:hAnsi="Traditional Arabic" w:cs="Traditional Arabic"/>
          <w:sz w:val="32"/>
          <w:szCs w:val="32"/>
          <w:lang w:val="en-US"/>
        </w:rPr>
        <w:t>.</w:t>
      </w:r>
    </w:p>
    <w:p w14:paraId="22EBD7C3" w14:textId="77777777" w:rsidR="00692479" w:rsidRPr="00692479" w:rsidRDefault="00692479" w:rsidP="0058077E">
      <w:pPr>
        <w:bidi/>
        <w:spacing w:line="24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(3-3) توزيع فقرات الاستبانة على متغيرات الدراسة</w:t>
      </w:r>
    </w:p>
    <w:tbl>
      <w:tblPr>
        <w:tblStyle w:val="TableGrid"/>
        <w:bidiVisual/>
        <w:tblW w:w="5000" w:type="pct"/>
        <w:tblLook w:val="04A0" w:firstRow="1" w:lastRow="0" w:firstColumn="1" w:lastColumn="0" w:noHBand="0" w:noVBand="1"/>
      </w:tblPr>
      <w:tblGrid>
        <w:gridCol w:w="2073"/>
        <w:gridCol w:w="4052"/>
        <w:gridCol w:w="1621"/>
        <w:gridCol w:w="1591"/>
      </w:tblGrid>
      <w:tr w:rsidR="00692479" w:rsidRPr="00692479" w14:paraId="697623DF" w14:textId="77777777" w:rsidTr="00692479">
        <w:tc>
          <w:tcPr>
            <w:tcW w:w="1110" w:type="pct"/>
            <w:hideMark/>
          </w:tcPr>
          <w:p w14:paraId="4CC106B7"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170" w:type="pct"/>
            <w:hideMark/>
          </w:tcPr>
          <w:p w14:paraId="242B8122"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68" w:type="pct"/>
            <w:hideMark/>
          </w:tcPr>
          <w:p w14:paraId="3405C959"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أرقام الفقرات</w:t>
            </w:r>
          </w:p>
        </w:tc>
        <w:tc>
          <w:tcPr>
            <w:tcW w:w="852" w:type="pct"/>
            <w:hideMark/>
          </w:tcPr>
          <w:p w14:paraId="5D0A268F"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6A5A10D0" w14:textId="77777777" w:rsidTr="00692479">
        <w:tc>
          <w:tcPr>
            <w:tcW w:w="1110" w:type="pct"/>
            <w:hideMark/>
          </w:tcPr>
          <w:p w14:paraId="744B1FB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التحول الرقمي</w:t>
            </w:r>
          </w:p>
        </w:tc>
        <w:tc>
          <w:tcPr>
            <w:tcW w:w="2170" w:type="pct"/>
            <w:hideMark/>
          </w:tcPr>
          <w:p w14:paraId="010D8DED"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68" w:type="pct"/>
            <w:hideMark/>
          </w:tcPr>
          <w:p w14:paraId="000A5EB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1–5</w:t>
            </w:r>
          </w:p>
        </w:tc>
        <w:tc>
          <w:tcPr>
            <w:tcW w:w="852" w:type="pct"/>
            <w:hideMark/>
          </w:tcPr>
          <w:p w14:paraId="28E167DB"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7C3686E" w14:textId="77777777" w:rsidTr="00692479">
        <w:tc>
          <w:tcPr>
            <w:tcW w:w="1110" w:type="pct"/>
            <w:hideMark/>
          </w:tcPr>
          <w:p w14:paraId="1C43DD89"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7296841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68" w:type="pct"/>
            <w:hideMark/>
          </w:tcPr>
          <w:p w14:paraId="135676D2"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6–10</w:t>
            </w:r>
          </w:p>
        </w:tc>
        <w:tc>
          <w:tcPr>
            <w:tcW w:w="852" w:type="pct"/>
            <w:hideMark/>
          </w:tcPr>
          <w:p w14:paraId="7719118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8764C73" w14:textId="77777777" w:rsidTr="00692479">
        <w:tc>
          <w:tcPr>
            <w:tcW w:w="1110" w:type="pct"/>
            <w:hideMark/>
          </w:tcPr>
          <w:p w14:paraId="3E89F065"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4CD82184"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68" w:type="pct"/>
            <w:hideMark/>
          </w:tcPr>
          <w:p w14:paraId="1A8AA21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11–15</w:t>
            </w:r>
          </w:p>
        </w:tc>
        <w:tc>
          <w:tcPr>
            <w:tcW w:w="852" w:type="pct"/>
            <w:hideMark/>
          </w:tcPr>
          <w:p w14:paraId="53791DBA"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D8191AD" w14:textId="77777777" w:rsidTr="00692479">
        <w:tc>
          <w:tcPr>
            <w:tcW w:w="1110" w:type="pct"/>
            <w:hideMark/>
          </w:tcPr>
          <w:p w14:paraId="1D5FB67D"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7BE8A3A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68" w:type="pct"/>
            <w:hideMark/>
          </w:tcPr>
          <w:p w14:paraId="26DB8AD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16–20</w:t>
            </w:r>
          </w:p>
        </w:tc>
        <w:tc>
          <w:tcPr>
            <w:tcW w:w="852" w:type="pct"/>
            <w:hideMark/>
          </w:tcPr>
          <w:p w14:paraId="4F6980D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866C9B9" w14:textId="77777777" w:rsidTr="00692479">
        <w:tc>
          <w:tcPr>
            <w:tcW w:w="1110" w:type="pct"/>
            <w:hideMark/>
          </w:tcPr>
          <w:p w14:paraId="0EBE693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الاستقرار الوظيفي</w:t>
            </w:r>
          </w:p>
        </w:tc>
        <w:tc>
          <w:tcPr>
            <w:tcW w:w="2170" w:type="pct"/>
            <w:hideMark/>
          </w:tcPr>
          <w:p w14:paraId="39D68AB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68" w:type="pct"/>
            <w:hideMark/>
          </w:tcPr>
          <w:p w14:paraId="7694695E"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21–25</w:t>
            </w:r>
          </w:p>
        </w:tc>
        <w:tc>
          <w:tcPr>
            <w:tcW w:w="852" w:type="pct"/>
            <w:hideMark/>
          </w:tcPr>
          <w:p w14:paraId="369B21A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46297F0E" w14:textId="77777777" w:rsidTr="00692479">
        <w:tc>
          <w:tcPr>
            <w:tcW w:w="1110" w:type="pct"/>
            <w:hideMark/>
          </w:tcPr>
          <w:p w14:paraId="1A55B80B"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65823EC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68" w:type="pct"/>
            <w:hideMark/>
          </w:tcPr>
          <w:p w14:paraId="50B0699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26–30</w:t>
            </w:r>
          </w:p>
        </w:tc>
        <w:tc>
          <w:tcPr>
            <w:tcW w:w="852" w:type="pct"/>
            <w:hideMark/>
          </w:tcPr>
          <w:p w14:paraId="1AD05A6B"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952C189" w14:textId="77777777" w:rsidTr="00692479">
        <w:tc>
          <w:tcPr>
            <w:tcW w:w="1110" w:type="pct"/>
            <w:hideMark/>
          </w:tcPr>
          <w:p w14:paraId="40FC212A"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2391235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68" w:type="pct"/>
            <w:hideMark/>
          </w:tcPr>
          <w:p w14:paraId="1206C88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31–35</w:t>
            </w:r>
          </w:p>
        </w:tc>
        <w:tc>
          <w:tcPr>
            <w:tcW w:w="852" w:type="pct"/>
            <w:hideMark/>
          </w:tcPr>
          <w:p w14:paraId="2948CFA5"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40F290B6" w14:textId="77777777" w:rsidTr="00692479">
        <w:tc>
          <w:tcPr>
            <w:tcW w:w="1110" w:type="pct"/>
            <w:hideMark/>
          </w:tcPr>
          <w:p w14:paraId="26D78162"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الإجمالي</w:t>
            </w:r>
          </w:p>
        </w:tc>
        <w:tc>
          <w:tcPr>
            <w:tcW w:w="2170" w:type="pct"/>
            <w:hideMark/>
          </w:tcPr>
          <w:p w14:paraId="348B538F"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68" w:type="pct"/>
            <w:hideMark/>
          </w:tcPr>
          <w:p w14:paraId="60116F50"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52" w:type="pct"/>
            <w:hideMark/>
          </w:tcPr>
          <w:p w14:paraId="17E82C2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34A666F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واعتمدت الدراسة مقياس ليكرت الخماسي لقياس استجابات أفراد العينة على فقرات الاستبانة، حيث خُصصت خمس درجات للاستجابة، تبدأ من (موافق بشدة) وتنتهي بـ (غير موافق بشدة)، وذلك وفق التدرج الآتي:</w:t>
      </w:r>
    </w:p>
    <w:tbl>
      <w:tblPr>
        <w:tblStyle w:val="TableGrid"/>
        <w:bidiVisual/>
        <w:tblW w:w="5000" w:type="pct"/>
        <w:tblLook w:val="04A0" w:firstRow="1" w:lastRow="0" w:firstColumn="1" w:lastColumn="0" w:noHBand="0" w:noVBand="1"/>
      </w:tblPr>
      <w:tblGrid>
        <w:gridCol w:w="2207"/>
        <w:gridCol w:w="1253"/>
        <w:gridCol w:w="1115"/>
        <w:gridCol w:w="1903"/>
        <w:gridCol w:w="2859"/>
      </w:tblGrid>
      <w:tr w:rsidR="00692479" w:rsidRPr="00692479" w14:paraId="42E644D7" w14:textId="77777777" w:rsidTr="00692479">
        <w:tc>
          <w:tcPr>
            <w:tcW w:w="1182" w:type="pct"/>
            <w:hideMark/>
          </w:tcPr>
          <w:p w14:paraId="6EC8EB31"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 بشدة</w:t>
            </w:r>
          </w:p>
        </w:tc>
        <w:tc>
          <w:tcPr>
            <w:tcW w:w="671" w:type="pct"/>
            <w:hideMark/>
          </w:tcPr>
          <w:p w14:paraId="2CF3B25C"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w:t>
            </w:r>
          </w:p>
        </w:tc>
        <w:tc>
          <w:tcPr>
            <w:tcW w:w="597" w:type="pct"/>
            <w:hideMark/>
          </w:tcPr>
          <w:p w14:paraId="1C0E3B21"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محايد</w:t>
            </w:r>
          </w:p>
        </w:tc>
        <w:tc>
          <w:tcPr>
            <w:tcW w:w="1019" w:type="pct"/>
            <w:hideMark/>
          </w:tcPr>
          <w:p w14:paraId="68FF344E"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w:t>
            </w:r>
          </w:p>
        </w:tc>
        <w:tc>
          <w:tcPr>
            <w:tcW w:w="1531" w:type="pct"/>
            <w:hideMark/>
          </w:tcPr>
          <w:p w14:paraId="218693F1"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 بشدة</w:t>
            </w:r>
          </w:p>
        </w:tc>
      </w:tr>
      <w:tr w:rsidR="00692479" w:rsidRPr="00692479" w14:paraId="1699F53C" w14:textId="77777777" w:rsidTr="00692479">
        <w:tc>
          <w:tcPr>
            <w:tcW w:w="1182" w:type="pct"/>
            <w:hideMark/>
          </w:tcPr>
          <w:p w14:paraId="16EBC01A"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c>
          <w:tcPr>
            <w:tcW w:w="671" w:type="pct"/>
            <w:hideMark/>
          </w:tcPr>
          <w:p w14:paraId="6D3570AC"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4</w:t>
            </w:r>
          </w:p>
        </w:tc>
        <w:tc>
          <w:tcPr>
            <w:tcW w:w="597" w:type="pct"/>
            <w:hideMark/>
          </w:tcPr>
          <w:p w14:paraId="36305E69"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w:t>
            </w:r>
          </w:p>
        </w:tc>
        <w:tc>
          <w:tcPr>
            <w:tcW w:w="1019" w:type="pct"/>
            <w:hideMark/>
          </w:tcPr>
          <w:p w14:paraId="78A2B995"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w:t>
            </w:r>
          </w:p>
        </w:tc>
        <w:tc>
          <w:tcPr>
            <w:tcW w:w="1531" w:type="pct"/>
            <w:hideMark/>
          </w:tcPr>
          <w:p w14:paraId="15B6885C"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w:t>
            </w:r>
          </w:p>
        </w:tc>
      </w:tr>
    </w:tbl>
    <w:p w14:paraId="2B61C109" w14:textId="77777777" w:rsidR="00692479" w:rsidRDefault="00692479" w:rsidP="00692479">
      <w:pPr>
        <w:bidi/>
        <w:spacing w:line="360" w:lineRule="auto"/>
        <w:jc w:val="both"/>
        <w:rPr>
          <w:rFonts w:ascii="Traditional Arabic" w:hAnsi="Traditional Arabic" w:cs="Traditional Arabic"/>
          <w:sz w:val="32"/>
          <w:szCs w:val="32"/>
          <w:rtl/>
          <w:lang w:val="en-US"/>
        </w:rPr>
      </w:pPr>
      <w:r w:rsidRPr="00692479">
        <w:rPr>
          <w:rFonts w:ascii="Traditional Arabic" w:hAnsi="Traditional Arabic" w:cs="Traditional Arabic"/>
          <w:sz w:val="32"/>
          <w:szCs w:val="32"/>
          <w:rtl/>
          <w:lang w:val="en-US"/>
        </w:rPr>
        <w:t>ويُعد مقياس ليكرت الخماسي من أكثر المقاييس استخدامًا في الدراسات الإدارية والسلوكية، لما يتمتع به من سهولة التطبيق، وقدرته على قياس اتجاهات وآراء أفراد الدراسة بدرجة عالية من الدقة والموضوعية</w:t>
      </w:r>
      <w:r w:rsidRPr="00692479">
        <w:rPr>
          <w:rFonts w:ascii="Traditional Arabic" w:hAnsi="Traditional Arabic" w:cs="Traditional Arabic"/>
          <w:sz w:val="32"/>
          <w:szCs w:val="32"/>
          <w:lang w:val="en-US"/>
        </w:rPr>
        <w:t>.</w:t>
      </w:r>
    </w:p>
    <w:p w14:paraId="60373F9F" w14:textId="77777777" w:rsidR="0058077E" w:rsidRPr="00692479" w:rsidRDefault="0058077E" w:rsidP="0058077E">
      <w:pPr>
        <w:bidi/>
        <w:spacing w:line="360" w:lineRule="auto"/>
        <w:jc w:val="both"/>
        <w:rPr>
          <w:rFonts w:ascii="Traditional Arabic" w:hAnsi="Traditional Arabic" w:cs="Traditional Arabic"/>
          <w:sz w:val="32"/>
          <w:szCs w:val="32"/>
          <w:lang w:val="en-US"/>
        </w:rPr>
      </w:pPr>
    </w:p>
    <w:p w14:paraId="4290B04C"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3.8 صدق أداة الدراسة</w:t>
      </w:r>
    </w:p>
    <w:p w14:paraId="43C81EEA"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يُعد الصدق</w:t>
      </w:r>
      <w:r w:rsidRPr="0058077E">
        <w:rPr>
          <w:rFonts w:ascii="Traditional Arabic" w:hAnsi="Traditional Arabic" w:cs="Traditional Arabic"/>
          <w:sz w:val="32"/>
          <w:szCs w:val="32"/>
          <w:lang w:val="en-US"/>
        </w:rPr>
        <w:t xml:space="preserve"> (Validity) </w:t>
      </w:r>
      <w:r w:rsidRPr="0058077E">
        <w:rPr>
          <w:rFonts w:ascii="Traditional Arabic" w:hAnsi="Traditional Arabic" w:cs="Traditional Arabic"/>
          <w:sz w:val="32"/>
          <w:szCs w:val="32"/>
          <w:rtl/>
          <w:lang w:val="en-US"/>
        </w:rPr>
        <w:t>من أهم الخصائص السيكومترية التي ينبغي توافرها في أدوات القياس، إذ يعبر عن مدى قدرة الأداة على قياس المتغيرات التي أُعدت لقياسها بدقة وموضوعية، بما يضمن سلامة البيانات التي يتم جمعها وإمكانية الاعتماد عليها في اختبار فرضيات الدراسة وتحقيق أهدافها. ويؤكد كل من</w:t>
      </w:r>
      <w:r w:rsidRPr="0058077E">
        <w:rPr>
          <w:rFonts w:ascii="Traditional Arabic" w:hAnsi="Traditional Arabic" w:cs="Traditional Arabic"/>
          <w:sz w:val="32"/>
          <w:szCs w:val="32"/>
          <w:lang w:val="en-US"/>
        </w:rPr>
        <w:t xml:space="preserve"> Creswell and Creswell (2023) </w:t>
      </w:r>
      <w:r w:rsidRPr="0058077E">
        <w:rPr>
          <w:rFonts w:ascii="Traditional Arabic" w:hAnsi="Traditional Arabic" w:cs="Traditional Arabic"/>
          <w:sz w:val="32"/>
          <w:szCs w:val="32"/>
          <w:rtl/>
          <w:lang w:val="en-US"/>
        </w:rPr>
        <w:t>و</w:t>
      </w:r>
      <w:r w:rsidRPr="0058077E">
        <w:rPr>
          <w:rFonts w:ascii="Traditional Arabic" w:hAnsi="Traditional Arabic" w:cs="Traditional Arabic"/>
          <w:sz w:val="32"/>
          <w:szCs w:val="32"/>
          <w:lang w:val="en-US"/>
        </w:rPr>
        <w:t xml:space="preserve">Hair et al. (2022) </w:t>
      </w:r>
      <w:r w:rsidRPr="0058077E">
        <w:rPr>
          <w:rFonts w:ascii="Traditional Arabic" w:hAnsi="Traditional Arabic" w:cs="Traditional Arabic"/>
          <w:sz w:val="32"/>
          <w:szCs w:val="32"/>
          <w:rtl/>
          <w:lang w:val="en-US"/>
        </w:rPr>
        <w:t>أن التحقق من صدق أدوات القياس يمثل خطوة أساسية قبل تطبيقها ميدانيًا، لما لذلك من أثر في تعزيز موثوقية النتائج ودقتها</w:t>
      </w:r>
      <w:r w:rsidRPr="0058077E">
        <w:rPr>
          <w:rFonts w:ascii="Traditional Arabic" w:hAnsi="Traditional Arabic" w:cs="Traditional Arabic"/>
          <w:sz w:val="32"/>
          <w:szCs w:val="32"/>
          <w:lang w:val="en-US"/>
        </w:rPr>
        <w:t>.</w:t>
      </w:r>
    </w:p>
    <w:p w14:paraId="6F56BF89"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وللتحقق من صدق أداة الدراسة، اعتمد الباحث على الصدق الظاهري وصدق البناء، وذلك على النحو الآتي</w:t>
      </w:r>
      <w:r w:rsidRPr="0058077E">
        <w:rPr>
          <w:rFonts w:ascii="Traditional Arabic" w:hAnsi="Traditional Arabic" w:cs="Traditional Arabic"/>
          <w:sz w:val="32"/>
          <w:szCs w:val="32"/>
          <w:lang w:val="en-US"/>
        </w:rPr>
        <w:t>:</w:t>
      </w:r>
    </w:p>
    <w:p w14:paraId="6DFEE460"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أولاً: الصدق الظاهري (</w:t>
      </w:r>
      <w:r w:rsidRPr="0058077E">
        <w:rPr>
          <w:rFonts w:ascii="Traditional Arabic" w:hAnsi="Traditional Arabic" w:cs="Traditional Arabic"/>
          <w:b/>
          <w:bCs/>
          <w:sz w:val="32"/>
          <w:szCs w:val="32"/>
          <w:lang w:val="en-US"/>
        </w:rPr>
        <w:t>Face Validity</w:t>
      </w:r>
      <w:r w:rsidRPr="0058077E">
        <w:rPr>
          <w:rFonts w:ascii="Traditional Arabic" w:hAnsi="Traditional Arabic" w:cs="Traditional Arabic"/>
          <w:b/>
          <w:bCs/>
          <w:sz w:val="32"/>
          <w:szCs w:val="32"/>
          <w:rtl/>
          <w:lang w:val="en-US"/>
        </w:rPr>
        <w:t>)</w:t>
      </w:r>
    </w:p>
    <w:p w14:paraId="668C2F95" w14:textId="77777777" w:rsidR="00313D61" w:rsidRPr="00313D61" w:rsidRDefault="00313D61" w:rsidP="00313D61">
      <w:pPr>
        <w:bidi/>
        <w:spacing w:line="360" w:lineRule="auto"/>
        <w:jc w:val="both"/>
        <w:rPr>
          <w:rFonts w:ascii="Traditional Arabic" w:hAnsi="Traditional Arabic" w:cs="Traditional Arabic"/>
          <w:sz w:val="32"/>
          <w:szCs w:val="32"/>
          <w:lang w:val="en-US"/>
        </w:rPr>
      </w:pPr>
      <w:r w:rsidRPr="00313D61">
        <w:rPr>
          <w:rFonts w:ascii="Traditional Arabic" w:hAnsi="Traditional Arabic" w:cs="Traditional Arabic"/>
          <w:sz w:val="32"/>
          <w:szCs w:val="32"/>
          <w:rtl/>
          <w:lang w:val="en-US"/>
        </w:rPr>
        <w:t>للتحقق من الصدق الظاهري لأداة الدراسة، عرض الباحث الاستبانة في صورتها الأولية على سبعة (7) محكمين من أعضاء هيئة التدريس والمتخصصين في مجالات الإدارة، وإدارة الخدمات الصحية، ونظم المعلومات، والقياس والتقويم، وذلك بهدف تقييم مدى ملاءمة فقرات الاستبانة لأبعاد الدراسة، ووضوح صياغتها اللغوية، وسلامتها العلمية، وقدرتها على قياس المتغيرات المستهدفة</w:t>
      </w:r>
      <w:r w:rsidRPr="00313D61">
        <w:rPr>
          <w:rFonts w:ascii="Traditional Arabic" w:hAnsi="Traditional Arabic" w:cs="Traditional Arabic"/>
          <w:sz w:val="32"/>
          <w:szCs w:val="32"/>
          <w:lang w:val="en-US"/>
        </w:rPr>
        <w:t>.</w:t>
      </w:r>
    </w:p>
    <w:p w14:paraId="2B0A58F2" w14:textId="77777777" w:rsidR="00313D61" w:rsidRPr="00313D61" w:rsidRDefault="00313D61" w:rsidP="00313D61">
      <w:pPr>
        <w:bidi/>
        <w:spacing w:line="360" w:lineRule="auto"/>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وقد استندت عملية التحكيم إلى مجموعة من المعايير، تمثلت في: مدى انتماء كل فقرة للبُعد الذي تقيسه، ووضوح الصياغة اللغوية، وسلامة الأسلوب، وخلو الفقرات من الغموض أو التكرار، وتسلسلها المنطقي، وشمولها لمختلف أبعاد متغيرات الدراسة، وملاءمتها لطبيعة العاملين في المستشفيات الحكومية بمدينة جدة</w:t>
      </w:r>
      <w:r w:rsidRPr="00313D61">
        <w:rPr>
          <w:rFonts w:ascii="Traditional Arabic" w:hAnsi="Traditional Arabic" w:cs="Traditional Arabic"/>
          <w:sz w:val="32"/>
          <w:szCs w:val="32"/>
          <w:lang w:val="en-US"/>
        </w:rPr>
        <w:t>.</w:t>
      </w:r>
    </w:p>
    <w:p w14:paraId="47031262" w14:textId="77777777" w:rsidR="00313D61"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وفي ضوء ملاحظات المحكمين، أجرى الباحث عددًا من التعديلات على أداة الدراسة، شملت إعادة صياغة بعض الفقرات، وتحسين الصياغة اللغوية، وتعديل عدد محدود من العبارات بما يزيد من وضوحها ودقتها، مع الإبقاء على جميع الأبعاد الرئيسة للدراسة. وقد بلغت نسبة اتفاق المحكمين (91%) على صلاحية فقرات الاستبانة، وهي نسبة مرتفعة تعكس تمتع الأداة بدرجة مناسبة من الصدق الظاهري، وصلاحيتها للتطبيق الميداني.</w:t>
      </w:r>
    </w:p>
    <w:p w14:paraId="5BE5049A" w14:textId="77777777" w:rsidR="00D954DC" w:rsidRPr="00313D61" w:rsidRDefault="00D954DC" w:rsidP="00D954DC">
      <w:pPr>
        <w:bidi/>
        <w:spacing w:line="360" w:lineRule="auto"/>
        <w:jc w:val="both"/>
        <w:rPr>
          <w:rFonts w:ascii="Traditional Arabic" w:hAnsi="Traditional Arabic" w:cs="Traditional Arabic"/>
          <w:sz w:val="32"/>
          <w:szCs w:val="32"/>
          <w:rtl/>
          <w:lang w:val="en-US"/>
        </w:rPr>
      </w:pPr>
    </w:p>
    <w:p w14:paraId="7BEE8153" w14:textId="77777777" w:rsidR="0058077E" w:rsidRDefault="0058077E" w:rsidP="00313D61">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ثانياً: صدق البناء (</w:t>
      </w:r>
      <w:r w:rsidRPr="0058077E">
        <w:rPr>
          <w:rFonts w:ascii="Traditional Arabic" w:hAnsi="Traditional Arabic" w:cs="Traditional Arabic"/>
          <w:b/>
          <w:bCs/>
          <w:sz w:val="32"/>
          <w:szCs w:val="32"/>
          <w:lang w:val="en-US"/>
        </w:rPr>
        <w:t>Construct Validity</w:t>
      </w:r>
      <w:r w:rsidRPr="0058077E">
        <w:rPr>
          <w:rFonts w:ascii="Traditional Arabic" w:hAnsi="Traditional Arabic" w:cs="Traditional Arabic"/>
          <w:b/>
          <w:bCs/>
          <w:sz w:val="32"/>
          <w:szCs w:val="32"/>
          <w:rtl/>
          <w:lang w:val="en-US"/>
        </w:rPr>
        <w:t>)</w:t>
      </w:r>
    </w:p>
    <w:p w14:paraId="07E45740" w14:textId="77777777" w:rsidR="00D954DC"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للتحقق من الصدق البنائي لأداة الدراسة، تم فحص معاملات الارتباط بين فقرات كل بعد والدرجة الكلية للبعد الذي تنتمي إليه، وبين أبعاد كل متغير والدرجة الكلية للمتغير، باستخدام معامل ارتباط بيرسون. وقد استندت فقرات الأداة وأبعادها إلى مقاييس مستمدة من الأدبيات والدراسات السابقة، مع إجراء تعديلات محدودة في الصياغة بما يتناسب مع سياق المستشفيات الحكومية في مدينة جدة، دون المساس بالبناء النظري للأبعاد. وبناء على ذلك، لم يتم إجراء التحليل العاملي الاستكشافي (</w:t>
      </w:r>
      <w:r w:rsidRPr="00D954DC">
        <w:rPr>
          <w:rFonts w:ascii="Traditional Arabic" w:hAnsi="Traditional Arabic" w:cs="Traditional Arabic"/>
          <w:sz w:val="32"/>
          <w:szCs w:val="32"/>
          <w:lang w:val="en-US"/>
        </w:rPr>
        <w:t>Exploratory Factor Analysis: EFA</w:t>
      </w:r>
      <w:r w:rsidRPr="00D954DC">
        <w:rPr>
          <w:rFonts w:ascii="Traditional Arabic" w:hAnsi="Traditional Arabic" w:cs="Traditional Arabic"/>
          <w:sz w:val="32"/>
          <w:szCs w:val="32"/>
          <w:rtl/>
          <w:lang w:val="en-US"/>
        </w:rPr>
        <w:t>)، لكون الدراسة لا تهدف إلى تطوير مقياس جديد أو استكشاف أبعاد غير محددة مسبقا، وإنما اعتمدت على أبعاد نظرية محددة ومستقرة في الأدبيات. ويعد عدم إجراء التحليل العاملي الاستكشافي أحد الحدود المنهجية المتعلقة بالتحقق من البناء العاملي للأداة، وهو ما ينبغي أخذه في الاعتبار عند تفسير نتائج الدراسة</w:t>
      </w:r>
      <w:r w:rsidRPr="00D954DC">
        <w:rPr>
          <w:rFonts w:ascii="Traditional Arabic" w:hAnsi="Traditional Arabic" w:cs="Traditional Arabic"/>
          <w:sz w:val="32"/>
          <w:szCs w:val="32"/>
        </w:rPr>
        <w:t>.</w:t>
      </w:r>
    </w:p>
    <w:p w14:paraId="5DF3DCBC" w14:textId="77777777" w:rsidR="00D954DC"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قبل التطبيق النهائي للاستبانة، أجريت دراسة استطلاعية على عينة مكونة من (30) موظفا من العاملين في المستشفيات الحكومية بمدينة جدة، تم اختيارهم بطريقة العينة الميسرة، على أن يكونوا من مجتمع الدراسة، ومن خارج العينة الأساسية. وهدفت الدراسة الاستطلاعية إلى التحقق من وضوح فقرات الاستبانة، وسلامة صياغتها، وملاءمتها لبيئة الدراسة، إلى جانب التحقق من الخصائص السيكومترية الأولية للأداة، بما في ذلك الصدق والثبات. وبناء على نتائج الدراسة الاستطلاعية، أجريت التعديلات اللازمة على بعض الفقرات قبل تطبيق الأداة بصورتها النهائية</w:t>
      </w:r>
      <w:r w:rsidRPr="00D954DC">
        <w:rPr>
          <w:rFonts w:ascii="Traditional Arabic" w:hAnsi="Traditional Arabic" w:cs="Traditional Arabic"/>
          <w:sz w:val="32"/>
          <w:szCs w:val="32"/>
        </w:rPr>
        <w:t>.</w:t>
      </w:r>
    </w:p>
    <w:p w14:paraId="6F67F1C2" w14:textId="77777777" w:rsidR="00313D61" w:rsidRDefault="00313D61" w:rsidP="00D954DC">
      <w:pPr>
        <w:bidi/>
        <w:spacing w:line="360" w:lineRule="auto"/>
        <w:jc w:val="both"/>
        <w:rPr>
          <w:rFonts w:ascii="Traditional Arabic" w:hAnsi="Traditional Arabic" w:cs="Traditional Arabic"/>
          <w:sz w:val="32"/>
          <w:szCs w:val="32"/>
          <w:rtl/>
        </w:rPr>
      </w:pPr>
      <w:r w:rsidRPr="00313D61">
        <w:rPr>
          <w:rFonts w:ascii="Traditional Arabic" w:hAnsi="Traditional Arabic" w:cs="Traditional Arabic"/>
          <w:sz w:val="32"/>
          <w:szCs w:val="32"/>
          <w:rtl/>
          <w:lang w:val="en-US"/>
        </w:rPr>
        <w:t>تشير النتائج الآتية إلى معاملات الصدق والثبات الخاصة بالعينة الاستطلاعية البالغ عددها (30) مشاركًا، وقد استُخدمت للتحقق من الخصائص السيكومترية الأولية لأداة الدراسة قبل تطبيقها على العينة النهائية، على أن يُعاد احتساب معاملات الثبات للعينة النهائية عند الانتهاء من جمع البيانات</w:t>
      </w:r>
      <w:r w:rsidRPr="00313D61">
        <w:rPr>
          <w:rFonts w:ascii="Traditional Arabic" w:hAnsi="Traditional Arabic" w:cs="Traditional Arabic"/>
          <w:sz w:val="32"/>
          <w:szCs w:val="32"/>
        </w:rPr>
        <w:t>.</w:t>
      </w:r>
    </w:p>
    <w:p w14:paraId="01B29B0A" w14:textId="77777777" w:rsidR="0058077E" w:rsidRPr="0058077E" w:rsidRDefault="0058077E" w:rsidP="00313D61">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حيث تراوحت قيم معاملات الارتباط بين (0.714) و (0.891) ، وهي قيم مرتفعة تعكس اتساقًا داخليًا جيدًا بين الفقرات والأبعاد التي تنتمي إليها، مما يؤكد صلاحية جميع الفقرات للإبقاء عليها ضمن أداة الدراسة.</w:t>
      </w:r>
    </w:p>
    <w:p w14:paraId="3BF26FFA"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ويبين الجدول (3-4) معاملات ارتباط بيرسون بين فقرات كل بعد والدرجة الكلية للبعد الذي تنتمي إليه</w:t>
      </w:r>
      <w:r w:rsidRPr="0058077E">
        <w:rPr>
          <w:rFonts w:ascii="Traditional Arabic" w:hAnsi="Traditional Arabic" w:cs="Traditional Arabic"/>
          <w:sz w:val="32"/>
          <w:szCs w:val="32"/>
          <w:lang w:val="en-US"/>
        </w:rPr>
        <w:t>.</w:t>
      </w:r>
    </w:p>
    <w:p w14:paraId="5EBE9D24" w14:textId="77777777" w:rsidR="0058077E" w:rsidRPr="0058077E" w:rsidRDefault="0058077E" w:rsidP="00D954DC">
      <w:pPr>
        <w:bidi/>
        <w:spacing w:after="0"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(3-4) معاملات ارتباط بيرسون بين فقرات كل بعد والدرجة الكلية للبعد</w:t>
      </w:r>
    </w:p>
    <w:tbl>
      <w:tblPr>
        <w:tblStyle w:val="TableGrid"/>
        <w:bidiVisual/>
        <w:tblW w:w="5000" w:type="pct"/>
        <w:tblLook w:val="04A0" w:firstRow="1" w:lastRow="0" w:firstColumn="1" w:lastColumn="0" w:noHBand="0" w:noVBand="1"/>
      </w:tblPr>
      <w:tblGrid>
        <w:gridCol w:w="2223"/>
        <w:gridCol w:w="4348"/>
        <w:gridCol w:w="891"/>
        <w:gridCol w:w="1875"/>
      </w:tblGrid>
      <w:tr w:rsidR="0058077E" w:rsidRPr="0058077E" w14:paraId="12091DE3" w14:textId="77777777" w:rsidTr="0058077E">
        <w:tc>
          <w:tcPr>
            <w:tcW w:w="1190" w:type="pct"/>
            <w:hideMark/>
          </w:tcPr>
          <w:p w14:paraId="519F5E52"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328" w:type="pct"/>
            <w:hideMark/>
          </w:tcPr>
          <w:p w14:paraId="69F24D5F"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477" w:type="pct"/>
            <w:hideMark/>
          </w:tcPr>
          <w:p w14:paraId="0F8F30B2"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الفقرة</w:t>
            </w:r>
          </w:p>
        </w:tc>
        <w:tc>
          <w:tcPr>
            <w:tcW w:w="1004" w:type="pct"/>
            <w:hideMark/>
          </w:tcPr>
          <w:p w14:paraId="034BE7D2" w14:textId="77777777" w:rsidR="0058077E" w:rsidRPr="0058077E" w:rsidRDefault="0058077E" w:rsidP="00D954DC">
            <w:pPr>
              <w:bidi/>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r>
      <w:tr w:rsidR="0058077E" w:rsidRPr="0058077E" w14:paraId="4F9C9352" w14:textId="77777777" w:rsidTr="0058077E">
        <w:tc>
          <w:tcPr>
            <w:tcW w:w="1190" w:type="pct"/>
            <w:hideMark/>
          </w:tcPr>
          <w:p w14:paraId="02CC4298"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328" w:type="pct"/>
            <w:hideMark/>
          </w:tcPr>
          <w:p w14:paraId="7123836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477" w:type="pct"/>
            <w:hideMark/>
          </w:tcPr>
          <w:p w14:paraId="7A7408F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w:t>
            </w:r>
          </w:p>
        </w:tc>
        <w:tc>
          <w:tcPr>
            <w:tcW w:w="1004" w:type="pct"/>
            <w:hideMark/>
          </w:tcPr>
          <w:p w14:paraId="5089C02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0.781**</w:t>
            </w:r>
          </w:p>
        </w:tc>
      </w:tr>
      <w:tr w:rsidR="0058077E" w:rsidRPr="0058077E" w14:paraId="2E033AEA" w14:textId="77777777" w:rsidTr="0058077E">
        <w:tc>
          <w:tcPr>
            <w:tcW w:w="1190" w:type="pct"/>
            <w:hideMark/>
          </w:tcPr>
          <w:p w14:paraId="44CC88C1"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5A73764"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B04EB0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w:t>
            </w:r>
          </w:p>
        </w:tc>
        <w:tc>
          <w:tcPr>
            <w:tcW w:w="1004" w:type="pct"/>
            <w:hideMark/>
          </w:tcPr>
          <w:p w14:paraId="76B8E3A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0.824**</w:t>
            </w:r>
          </w:p>
        </w:tc>
      </w:tr>
      <w:tr w:rsidR="0058077E" w:rsidRPr="0058077E" w14:paraId="7E81A566" w14:textId="77777777" w:rsidTr="0058077E">
        <w:tc>
          <w:tcPr>
            <w:tcW w:w="1190" w:type="pct"/>
            <w:hideMark/>
          </w:tcPr>
          <w:p w14:paraId="4CF7FF65"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10D9E1B"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277588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w:t>
            </w:r>
          </w:p>
        </w:tc>
        <w:tc>
          <w:tcPr>
            <w:tcW w:w="1004" w:type="pct"/>
            <w:hideMark/>
          </w:tcPr>
          <w:p w14:paraId="178C5AB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1599CACD" w14:textId="77777777" w:rsidTr="0058077E">
        <w:tc>
          <w:tcPr>
            <w:tcW w:w="1190" w:type="pct"/>
            <w:hideMark/>
          </w:tcPr>
          <w:p w14:paraId="4EB348B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EF98EB0"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6E3D99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4</w:t>
            </w:r>
          </w:p>
        </w:tc>
        <w:tc>
          <w:tcPr>
            <w:tcW w:w="1004" w:type="pct"/>
            <w:hideMark/>
          </w:tcPr>
          <w:p w14:paraId="7E1F660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0.792**</w:t>
            </w:r>
          </w:p>
        </w:tc>
      </w:tr>
      <w:tr w:rsidR="0058077E" w:rsidRPr="0058077E" w14:paraId="73441EA7" w14:textId="77777777" w:rsidTr="0058077E">
        <w:tc>
          <w:tcPr>
            <w:tcW w:w="1190" w:type="pct"/>
            <w:hideMark/>
          </w:tcPr>
          <w:p w14:paraId="4805CD0D"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21983681"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76FB0F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5</w:t>
            </w:r>
          </w:p>
        </w:tc>
        <w:tc>
          <w:tcPr>
            <w:tcW w:w="1004" w:type="pct"/>
            <w:hideMark/>
          </w:tcPr>
          <w:p w14:paraId="42E556E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0.815**</w:t>
            </w:r>
          </w:p>
        </w:tc>
      </w:tr>
      <w:tr w:rsidR="0058077E" w:rsidRPr="0058077E" w14:paraId="079F96B4" w14:textId="77777777" w:rsidTr="0058077E">
        <w:tc>
          <w:tcPr>
            <w:tcW w:w="1190" w:type="pct"/>
            <w:hideMark/>
          </w:tcPr>
          <w:p w14:paraId="1758F01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9FF931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477" w:type="pct"/>
            <w:hideMark/>
          </w:tcPr>
          <w:p w14:paraId="6CBBF44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6</w:t>
            </w:r>
          </w:p>
        </w:tc>
        <w:tc>
          <w:tcPr>
            <w:tcW w:w="1004" w:type="pct"/>
            <w:hideMark/>
          </w:tcPr>
          <w:p w14:paraId="01968CA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0.739**</w:t>
            </w:r>
          </w:p>
        </w:tc>
      </w:tr>
      <w:tr w:rsidR="0058077E" w:rsidRPr="0058077E" w14:paraId="659717FF" w14:textId="77777777" w:rsidTr="0058077E">
        <w:tc>
          <w:tcPr>
            <w:tcW w:w="1190" w:type="pct"/>
            <w:hideMark/>
          </w:tcPr>
          <w:p w14:paraId="1065204E"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295160F"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C7C04B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7</w:t>
            </w:r>
          </w:p>
        </w:tc>
        <w:tc>
          <w:tcPr>
            <w:tcW w:w="1004" w:type="pct"/>
            <w:hideMark/>
          </w:tcPr>
          <w:p w14:paraId="3CCED39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0.817**</w:t>
            </w:r>
          </w:p>
        </w:tc>
      </w:tr>
      <w:tr w:rsidR="0058077E" w:rsidRPr="0058077E" w14:paraId="52B98672" w14:textId="77777777" w:rsidTr="0058077E">
        <w:tc>
          <w:tcPr>
            <w:tcW w:w="1190" w:type="pct"/>
            <w:hideMark/>
          </w:tcPr>
          <w:p w14:paraId="708085EC"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0D9EAB58"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B20052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8</w:t>
            </w:r>
          </w:p>
        </w:tc>
        <w:tc>
          <w:tcPr>
            <w:tcW w:w="1004" w:type="pct"/>
            <w:hideMark/>
          </w:tcPr>
          <w:p w14:paraId="36721C6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0.856**</w:t>
            </w:r>
          </w:p>
        </w:tc>
      </w:tr>
      <w:tr w:rsidR="0058077E" w:rsidRPr="0058077E" w14:paraId="7D85DFFC" w14:textId="77777777" w:rsidTr="0058077E">
        <w:tc>
          <w:tcPr>
            <w:tcW w:w="1190" w:type="pct"/>
            <w:hideMark/>
          </w:tcPr>
          <w:p w14:paraId="32679F21"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C50750D"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45A7592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9</w:t>
            </w:r>
          </w:p>
        </w:tc>
        <w:tc>
          <w:tcPr>
            <w:tcW w:w="1004" w:type="pct"/>
            <w:hideMark/>
          </w:tcPr>
          <w:p w14:paraId="4014EAF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0.803**</w:t>
            </w:r>
          </w:p>
        </w:tc>
      </w:tr>
      <w:tr w:rsidR="0058077E" w:rsidRPr="0058077E" w14:paraId="7F62FD80" w14:textId="77777777" w:rsidTr="0058077E">
        <w:tc>
          <w:tcPr>
            <w:tcW w:w="1190" w:type="pct"/>
            <w:hideMark/>
          </w:tcPr>
          <w:p w14:paraId="13EECED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B81F787"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401E5A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10</w:t>
            </w:r>
          </w:p>
        </w:tc>
        <w:tc>
          <w:tcPr>
            <w:tcW w:w="1004" w:type="pct"/>
            <w:hideMark/>
          </w:tcPr>
          <w:p w14:paraId="67D55D2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465AD9D8" w14:textId="77777777" w:rsidTr="0058077E">
        <w:tc>
          <w:tcPr>
            <w:tcW w:w="1190" w:type="pct"/>
            <w:hideMark/>
          </w:tcPr>
          <w:p w14:paraId="13A40606"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687C4A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477" w:type="pct"/>
            <w:hideMark/>
          </w:tcPr>
          <w:p w14:paraId="71904EE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11</w:t>
            </w:r>
          </w:p>
        </w:tc>
        <w:tc>
          <w:tcPr>
            <w:tcW w:w="1004" w:type="pct"/>
            <w:hideMark/>
          </w:tcPr>
          <w:p w14:paraId="482ECC2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0.764**</w:t>
            </w:r>
          </w:p>
        </w:tc>
      </w:tr>
      <w:tr w:rsidR="0058077E" w:rsidRPr="0058077E" w14:paraId="652F7012" w14:textId="77777777" w:rsidTr="0058077E">
        <w:tc>
          <w:tcPr>
            <w:tcW w:w="1190" w:type="pct"/>
            <w:hideMark/>
          </w:tcPr>
          <w:p w14:paraId="26641FF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A2B212B"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3A451A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12</w:t>
            </w:r>
          </w:p>
        </w:tc>
        <w:tc>
          <w:tcPr>
            <w:tcW w:w="1004" w:type="pct"/>
            <w:hideMark/>
          </w:tcPr>
          <w:p w14:paraId="21DE38A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0.843**</w:t>
            </w:r>
          </w:p>
        </w:tc>
      </w:tr>
      <w:tr w:rsidR="0058077E" w:rsidRPr="0058077E" w14:paraId="5A4E9EA0" w14:textId="77777777" w:rsidTr="0058077E">
        <w:tc>
          <w:tcPr>
            <w:tcW w:w="1190" w:type="pct"/>
            <w:hideMark/>
          </w:tcPr>
          <w:p w14:paraId="67EB5ED8"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BA26B6B"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0FFD7B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13</w:t>
            </w:r>
          </w:p>
        </w:tc>
        <w:tc>
          <w:tcPr>
            <w:tcW w:w="1004" w:type="pct"/>
            <w:hideMark/>
          </w:tcPr>
          <w:p w14:paraId="62044EC4"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00B2D2BB" w14:textId="77777777" w:rsidTr="0058077E">
        <w:tc>
          <w:tcPr>
            <w:tcW w:w="1190" w:type="pct"/>
            <w:hideMark/>
          </w:tcPr>
          <w:p w14:paraId="15284FC5"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68904C5"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188C8F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14</w:t>
            </w:r>
          </w:p>
        </w:tc>
        <w:tc>
          <w:tcPr>
            <w:tcW w:w="1004" w:type="pct"/>
            <w:hideMark/>
          </w:tcPr>
          <w:p w14:paraId="4793806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0.822**</w:t>
            </w:r>
          </w:p>
        </w:tc>
      </w:tr>
      <w:tr w:rsidR="0058077E" w:rsidRPr="0058077E" w14:paraId="05F901E7" w14:textId="77777777" w:rsidTr="0058077E">
        <w:tc>
          <w:tcPr>
            <w:tcW w:w="1190" w:type="pct"/>
            <w:hideMark/>
          </w:tcPr>
          <w:p w14:paraId="674B1072"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5C2CE51"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D71C3C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15</w:t>
            </w:r>
          </w:p>
        </w:tc>
        <w:tc>
          <w:tcPr>
            <w:tcW w:w="1004" w:type="pct"/>
            <w:hideMark/>
          </w:tcPr>
          <w:p w14:paraId="706FA42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78CBAAE6" w14:textId="77777777" w:rsidTr="0058077E">
        <w:tc>
          <w:tcPr>
            <w:tcW w:w="1190" w:type="pct"/>
            <w:hideMark/>
          </w:tcPr>
          <w:p w14:paraId="3CCAA1F5"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4B3FFD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477" w:type="pct"/>
            <w:hideMark/>
          </w:tcPr>
          <w:p w14:paraId="486A615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16</w:t>
            </w:r>
          </w:p>
        </w:tc>
        <w:tc>
          <w:tcPr>
            <w:tcW w:w="1004" w:type="pct"/>
            <w:hideMark/>
          </w:tcPr>
          <w:p w14:paraId="342489E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0.714**</w:t>
            </w:r>
          </w:p>
        </w:tc>
      </w:tr>
      <w:tr w:rsidR="0058077E" w:rsidRPr="0058077E" w14:paraId="3B31DD13" w14:textId="77777777" w:rsidTr="0058077E">
        <w:tc>
          <w:tcPr>
            <w:tcW w:w="1190" w:type="pct"/>
            <w:hideMark/>
          </w:tcPr>
          <w:p w14:paraId="3868320A"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0548679"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5B7857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17</w:t>
            </w:r>
          </w:p>
        </w:tc>
        <w:tc>
          <w:tcPr>
            <w:tcW w:w="1004" w:type="pct"/>
            <w:hideMark/>
          </w:tcPr>
          <w:p w14:paraId="3C87A78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0.826**</w:t>
            </w:r>
          </w:p>
        </w:tc>
      </w:tr>
      <w:tr w:rsidR="0058077E" w:rsidRPr="0058077E" w14:paraId="3026EBBC" w14:textId="77777777" w:rsidTr="0058077E">
        <w:tc>
          <w:tcPr>
            <w:tcW w:w="1190" w:type="pct"/>
            <w:hideMark/>
          </w:tcPr>
          <w:p w14:paraId="02FAFA3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15EFC47"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401353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18</w:t>
            </w:r>
          </w:p>
        </w:tc>
        <w:tc>
          <w:tcPr>
            <w:tcW w:w="1004" w:type="pct"/>
            <w:hideMark/>
          </w:tcPr>
          <w:p w14:paraId="1D64694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0.891**</w:t>
            </w:r>
          </w:p>
        </w:tc>
      </w:tr>
      <w:tr w:rsidR="0058077E" w:rsidRPr="0058077E" w14:paraId="6287664E" w14:textId="77777777" w:rsidTr="0058077E">
        <w:tc>
          <w:tcPr>
            <w:tcW w:w="1190" w:type="pct"/>
            <w:hideMark/>
          </w:tcPr>
          <w:p w14:paraId="602E4E35"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B7B28F5"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EDF39C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19</w:t>
            </w:r>
          </w:p>
        </w:tc>
        <w:tc>
          <w:tcPr>
            <w:tcW w:w="1004" w:type="pct"/>
            <w:hideMark/>
          </w:tcPr>
          <w:p w14:paraId="04B9AF5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039A823F" w14:textId="77777777" w:rsidTr="0058077E">
        <w:tc>
          <w:tcPr>
            <w:tcW w:w="1190" w:type="pct"/>
            <w:hideMark/>
          </w:tcPr>
          <w:p w14:paraId="7F6C9ACB"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047B637F"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0CA4BB7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20</w:t>
            </w:r>
          </w:p>
        </w:tc>
        <w:tc>
          <w:tcPr>
            <w:tcW w:w="1004" w:type="pct"/>
            <w:hideMark/>
          </w:tcPr>
          <w:p w14:paraId="26B8337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0.838**</w:t>
            </w:r>
          </w:p>
        </w:tc>
      </w:tr>
      <w:tr w:rsidR="0058077E" w:rsidRPr="0058077E" w14:paraId="434AFC36" w14:textId="77777777" w:rsidTr="0058077E">
        <w:tc>
          <w:tcPr>
            <w:tcW w:w="1190" w:type="pct"/>
            <w:hideMark/>
          </w:tcPr>
          <w:p w14:paraId="5983589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328" w:type="pct"/>
            <w:hideMark/>
          </w:tcPr>
          <w:p w14:paraId="1EEA916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477" w:type="pct"/>
            <w:hideMark/>
          </w:tcPr>
          <w:p w14:paraId="27D97350"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21</w:t>
            </w:r>
          </w:p>
        </w:tc>
        <w:tc>
          <w:tcPr>
            <w:tcW w:w="1004" w:type="pct"/>
            <w:hideMark/>
          </w:tcPr>
          <w:p w14:paraId="5C299BC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0.748**</w:t>
            </w:r>
          </w:p>
        </w:tc>
      </w:tr>
      <w:tr w:rsidR="0058077E" w:rsidRPr="0058077E" w14:paraId="22ED1F7B" w14:textId="77777777" w:rsidTr="0058077E">
        <w:tc>
          <w:tcPr>
            <w:tcW w:w="1190" w:type="pct"/>
            <w:hideMark/>
          </w:tcPr>
          <w:p w14:paraId="2EBA7D4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4366036F"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3B9E9AF5"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22</w:t>
            </w:r>
          </w:p>
        </w:tc>
        <w:tc>
          <w:tcPr>
            <w:tcW w:w="1004" w:type="pct"/>
            <w:hideMark/>
          </w:tcPr>
          <w:p w14:paraId="4EAB767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0.836**</w:t>
            </w:r>
          </w:p>
        </w:tc>
      </w:tr>
      <w:tr w:rsidR="0058077E" w:rsidRPr="0058077E" w14:paraId="6900DFBE" w14:textId="77777777" w:rsidTr="0058077E">
        <w:tc>
          <w:tcPr>
            <w:tcW w:w="1190" w:type="pct"/>
            <w:hideMark/>
          </w:tcPr>
          <w:p w14:paraId="7DDD8081"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597D85D"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D54393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23</w:t>
            </w:r>
          </w:p>
        </w:tc>
        <w:tc>
          <w:tcPr>
            <w:tcW w:w="1004" w:type="pct"/>
            <w:hideMark/>
          </w:tcPr>
          <w:p w14:paraId="43247748"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5B3E4838" w14:textId="77777777" w:rsidTr="0058077E">
        <w:tc>
          <w:tcPr>
            <w:tcW w:w="1190" w:type="pct"/>
            <w:hideMark/>
          </w:tcPr>
          <w:p w14:paraId="61946D03"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6270900"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290F09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24</w:t>
            </w:r>
          </w:p>
        </w:tc>
        <w:tc>
          <w:tcPr>
            <w:tcW w:w="1004" w:type="pct"/>
            <w:hideMark/>
          </w:tcPr>
          <w:p w14:paraId="3D6B5F9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0.814**</w:t>
            </w:r>
          </w:p>
        </w:tc>
      </w:tr>
      <w:tr w:rsidR="0058077E" w:rsidRPr="0058077E" w14:paraId="30C3D528" w14:textId="77777777" w:rsidTr="0058077E">
        <w:tc>
          <w:tcPr>
            <w:tcW w:w="1190" w:type="pct"/>
            <w:hideMark/>
          </w:tcPr>
          <w:p w14:paraId="7F65608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F365471"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1252750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25</w:t>
            </w:r>
          </w:p>
        </w:tc>
        <w:tc>
          <w:tcPr>
            <w:tcW w:w="1004" w:type="pct"/>
            <w:hideMark/>
          </w:tcPr>
          <w:p w14:paraId="0061534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0.842**</w:t>
            </w:r>
          </w:p>
        </w:tc>
      </w:tr>
      <w:tr w:rsidR="0058077E" w:rsidRPr="0058077E" w14:paraId="538DCDFA" w14:textId="77777777" w:rsidTr="0058077E">
        <w:tc>
          <w:tcPr>
            <w:tcW w:w="1190" w:type="pct"/>
            <w:hideMark/>
          </w:tcPr>
          <w:p w14:paraId="63D532A0"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05041D3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477" w:type="pct"/>
            <w:hideMark/>
          </w:tcPr>
          <w:p w14:paraId="09E1687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26</w:t>
            </w:r>
          </w:p>
        </w:tc>
        <w:tc>
          <w:tcPr>
            <w:tcW w:w="1004" w:type="pct"/>
            <w:hideMark/>
          </w:tcPr>
          <w:p w14:paraId="2771CB3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0.761**</w:t>
            </w:r>
          </w:p>
        </w:tc>
      </w:tr>
      <w:tr w:rsidR="0058077E" w:rsidRPr="0058077E" w14:paraId="5A79AEC1" w14:textId="77777777" w:rsidTr="0058077E">
        <w:tc>
          <w:tcPr>
            <w:tcW w:w="1190" w:type="pct"/>
            <w:hideMark/>
          </w:tcPr>
          <w:p w14:paraId="0223D73A"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40472A9"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9AF85C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27</w:t>
            </w:r>
          </w:p>
        </w:tc>
        <w:tc>
          <w:tcPr>
            <w:tcW w:w="1004" w:type="pct"/>
            <w:hideMark/>
          </w:tcPr>
          <w:p w14:paraId="4DABFF9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77A125BC" w14:textId="77777777" w:rsidTr="0058077E">
        <w:tc>
          <w:tcPr>
            <w:tcW w:w="1190" w:type="pct"/>
            <w:hideMark/>
          </w:tcPr>
          <w:p w14:paraId="09320CF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02813F4"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C9268A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28</w:t>
            </w:r>
          </w:p>
        </w:tc>
        <w:tc>
          <w:tcPr>
            <w:tcW w:w="1004" w:type="pct"/>
            <w:hideMark/>
          </w:tcPr>
          <w:p w14:paraId="17C4E566"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0.876**</w:t>
            </w:r>
          </w:p>
        </w:tc>
      </w:tr>
      <w:tr w:rsidR="0058077E" w:rsidRPr="0058077E" w14:paraId="7A2E3787" w14:textId="77777777" w:rsidTr="0058077E">
        <w:tc>
          <w:tcPr>
            <w:tcW w:w="1190" w:type="pct"/>
            <w:hideMark/>
          </w:tcPr>
          <w:p w14:paraId="7C319986"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15DBB007"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27FCCA3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29</w:t>
            </w:r>
          </w:p>
        </w:tc>
        <w:tc>
          <w:tcPr>
            <w:tcW w:w="1004" w:type="pct"/>
            <w:hideMark/>
          </w:tcPr>
          <w:p w14:paraId="27E7943A"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0AEA93E8" w14:textId="77777777" w:rsidTr="0058077E">
        <w:tc>
          <w:tcPr>
            <w:tcW w:w="1190" w:type="pct"/>
            <w:hideMark/>
          </w:tcPr>
          <w:p w14:paraId="5A153AAA"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B7878ED"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57C40EE3"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30</w:t>
            </w:r>
          </w:p>
        </w:tc>
        <w:tc>
          <w:tcPr>
            <w:tcW w:w="1004" w:type="pct"/>
            <w:hideMark/>
          </w:tcPr>
          <w:p w14:paraId="177BFECC"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114F395C" w14:textId="77777777" w:rsidTr="0058077E">
        <w:tc>
          <w:tcPr>
            <w:tcW w:w="1190" w:type="pct"/>
            <w:hideMark/>
          </w:tcPr>
          <w:p w14:paraId="6438DCCF"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47BCD8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477" w:type="pct"/>
            <w:hideMark/>
          </w:tcPr>
          <w:p w14:paraId="4C87EC0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31</w:t>
            </w:r>
          </w:p>
        </w:tc>
        <w:tc>
          <w:tcPr>
            <w:tcW w:w="1004" w:type="pct"/>
            <w:hideMark/>
          </w:tcPr>
          <w:p w14:paraId="15770032"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0.773**</w:t>
            </w:r>
          </w:p>
        </w:tc>
      </w:tr>
      <w:tr w:rsidR="0058077E" w:rsidRPr="0058077E" w14:paraId="0EBE5396" w14:textId="77777777" w:rsidTr="0058077E">
        <w:tc>
          <w:tcPr>
            <w:tcW w:w="1190" w:type="pct"/>
            <w:hideMark/>
          </w:tcPr>
          <w:p w14:paraId="275844EE"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00593562"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796198AF"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32</w:t>
            </w:r>
          </w:p>
        </w:tc>
        <w:tc>
          <w:tcPr>
            <w:tcW w:w="1004" w:type="pct"/>
            <w:hideMark/>
          </w:tcPr>
          <w:p w14:paraId="302B789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0.839**</w:t>
            </w:r>
          </w:p>
        </w:tc>
      </w:tr>
      <w:tr w:rsidR="0058077E" w:rsidRPr="0058077E" w14:paraId="69F850C5" w14:textId="77777777" w:rsidTr="0058077E">
        <w:tc>
          <w:tcPr>
            <w:tcW w:w="1190" w:type="pct"/>
            <w:hideMark/>
          </w:tcPr>
          <w:p w14:paraId="36995857"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33DED9F2"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075BF8AD"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33</w:t>
            </w:r>
          </w:p>
        </w:tc>
        <w:tc>
          <w:tcPr>
            <w:tcW w:w="1004" w:type="pct"/>
            <w:hideMark/>
          </w:tcPr>
          <w:p w14:paraId="6E5FBD91"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0.882**</w:t>
            </w:r>
          </w:p>
        </w:tc>
      </w:tr>
      <w:tr w:rsidR="0058077E" w:rsidRPr="0058077E" w14:paraId="47BDE309" w14:textId="77777777" w:rsidTr="0058077E">
        <w:tc>
          <w:tcPr>
            <w:tcW w:w="1190" w:type="pct"/>
            <w:hideMark/>
          </w:tcPr>
          <w:p w14:paraId="763F8163"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7D539B69"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0B7E134B"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34</w:t>
            </w:r>
          </w:p>
        </w:tc>
        <w:tc>
          <w:tcPr>
            <w:tcW w:w="1004" w:type="pct"/>
            <w:hideMark/>
          </w:tcPr>
          <w:p w14:paraId="7EB6D95E"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2DD9ECB6" w14:textId="77777777" w:rsidTr="0058077E">
        <w:tc>
          <w:tcPr>
            <w:tcW w:w="1190" w:type="pct"/>
            <w:hideMark/>
          </w:tcPr>
          <w:p w14:paraId="5ABB9BB9" w14:textId="77777777" w:rsidR="0058077E" w:rsidRPr="0058077E" w:rsidRDefault="0058077E" w:rsidP="00D954DC">
            <w:pPr>
              <w:bidi/>
              <w:jc w:val="both"/>
              <w:rPr>
                <w:rFonts w:ascii="Traditional Arabic" w:hAnsi="Traditional Arabic" w:cs="Traditional Arabic"/>
                <w:sz w:val="32"/>
                <w:szCs w:val="32"/>
                <w:lang w:val="en-US"/>
              </w:rPr>
            </w:pPr>
          </w:p>
        </w:tc>
        <w:tc>
          <w:tcPr>
            <w:tcW w:w="2328" w:type="pct"/>
            <w:hideMark/>
          </w:tcPr>
          <w:p w14:paraId="6A51DEAC" w14:textId="77777777" w:rsidR="0058077E" w:rsidRPr="0058077E" w:rsidRDefault="0058077E" w:rsidP="00D954DC">
            <w:pPr>
              <w:bidi/>
              <w:jc w:val="both"/>
              <w:rPr>
                <w:rFonts w:ascii="Traditional Arabic" w:hAnsi="Traditional Arabic" w:cs="Traditional Arabic"/>
                <w:sz w:val="32"/>
                <w:szCs w:val="32"/>
                <w:lang w:val="en-US"/>
              </w:rPr>
            </w:pPr>
          </w:p>
        </w:tc>
        <w:tc>
          <w:tcPr>
            <w:tcW w:w="477" w:type="pct"/>
            <w:hideMark/>
          </w:tcPr>
          <w:p w14:paraId="61D85DD9"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35</w:t>
            </w:r>
          </w:p>
        </w:tc>
        <w:tc>
          <w:tcPr>
            <w:tcW w:w="1004" w:type="pct"/>
            <w:hideMark/>
          </w:tcPr>
          <w:p w14:paraId="44954737" w14:textId="77777777" w:rsidR="0058077E" w:rsidRPr="0058077E" w:rsidRDefault="0058077E" w:rsidP="00D954DC">
            <w:pPr>
              <w:bidi/>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0.861**</w:t>
            </w:r>
          </w:p>
        </w:tc>
      </w:tr>
    </w:tbl>
    <w:p w14:paraId="1C5AD2E4" w14:textId="77777777" w:rsidR="0058077E" w:rsidRPr="0058077E" w:rsidRDefault="0058077E" w:rsidP="00D954DC">
      <w:pPr>
        <w:bidi/>
        <w:spacing w:after="0" w:line="24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63594753" w14:textId="77777777" w:rsidR="00D954DC" w:rsidRDefault="00D954DC" w:rsidP="0058077E">
      <w:pPr>
        <w:bidi/>
        <w:spacing w:line="360" w:lineRule="auto"/>
        <w:jc w:val="both"/>
        <w:rPr>
          <w:rFonts w:ascii="Traditional Arabic" w:hAnsi="Traditional Arabic" w:cs="Traditional Arabic"/>
          <w:sz w:val="32"/>
          <w:szCs w:val="32"/>
          <w:rtl/>
          <w:lang w:val="en-US"/>
        </w:rPr>
      </w:pPr>
    </w:p>
    <w:p w14:paraId="73121477" w14:textId="77777777" w:rsidR="0058077E" w:rsidRDefault="0058077E" w:rsidP="00D954DC">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نتائج جدول (3-4) أن معاملات ارتباط بيرسون بين فقرات الاستبانة والدرجة الكلية للأبعاد التي تنتمي إليها تراوحت بين (0.714–0.891)، وجميعها معاملات ارتباط موجبة ودالة إحصائيًا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وهو ما يدل على وجود درجة مرتفعة من الاتساق الداخلي بين الفقرات وأبعادها، ويؤكد صلاحية جميع فقرات الاستبانة لقياس الأبعاد التي أُعدت لقياسها، ومن ثم الإبقاء عليها في الصورة النهائية لأداة الدراسة.</w:t>
      </w:r>
    </w:p>
    <w:p w14:paraId="17A806DA" w14:textId="77777777" w:rsidR="00D954DC" w:rsidRPr="0058077E" w:rsidRDefault="00D954DC" w:rsidP="00D954DC">
      <w:pPr>
        <w:bidi/>
        <w:spacing w:line="360" w:lineRule="auto"/>
        <w:jc w:val="both"/>
        <w:rPr>
          <w:rFonts w:ascii="Traditional Arabic" w:hAnsi="Traditional Arabic" w:cs="Traditional Arabic"/>
          <w:sz w:val="32"/>
          <w:szCs w:val="32"/>
          <w:lang w:val="en-US"/>
        </w:rPr>
      </w:pPr>
    </w:p>
    <w:p w14:paraId="241BA925" w14:textId="77777777" w:rsidR="0058077E" w:rsidRPr="0058077E" w:rsidRDefault="0058077E" w:rsidP="0058077E">
      <w:pPr>
        <w:bidi/>
        <w:spacing w:line="360" w:lineRule="auto"/>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ثالثاً: معاملات ارتباط أبعاد الدراسة بالدرجة الكلية للاستبانة</w:t>
      </w:r>
    </w:p>
    <w:p w14:paraId="5434C303"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ولتعزيز التحقق من صدق البناء، حُسبت معاملات ارتباط بيرسون بين الدرجة الكلية لكل بعد والدرجة الكلية للاستبانة، وذلك للتحقق من مدى إسهام كل بعد في قياس المتغير الذي ينتمي إليه، ومدى اتساق أبعاد الدراسة مع البناء النظري الذي استندت إليه الدراسة</w:t>
      </w:r>
      <w:r w:rsidRPr="0058077E">
        <w:rPr>
          <w:rFonts w:ascii="Traditional Arabic" w:hAnsi="Traditional Arabic" w:cs="Traditional Arabic"/>
          <w:sz w:val="32"/>
          <w:szCs w:val="32"/>
          <w:lang w:val="en-US"/>
        </w:rPr>
        <w:t>.</w:t>
      </w:r>
    </w:p>
    <w:p w14:paraId="072A2A60"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ويشير</w:t>
      </w:r>
      <w:r w:rsidRPr="0058077E">
        <w:rPr>
          <w:rFonts w:ascii="Traditional Arabic" w:hAnsi="Traditional Arabic" w:cs="Traditional Arabic"/>
          <w:sz w:val="32"/>
          <w:szCs w:val="32"/>
          <w:lang w:val="en-US"/>
        </w:rPr>
        <w:t xml:space="preserve"> Hair et al. (2022) </w:t>
      </w:r>
      <w:r w:rsidRPr="0058077E">
        <w:rPr>
          <w:rFonts w:ascii="Traditional Arabic" w:hAnsi="Traditional Arabic" w:cs="Traditional Arabic"/>
          <w:sz w:val="32"/>
          <w:szCs w:val="32"/>
          <w:rtl/>
          <w:lang w:val="en-US"/>
        </w:rPr>
        <w:t>إلى أن معاملات الارتباط المرتفعة والدالة إحصائيًا بين الأبعاد والدرجة الكلية للأداة تعد مؤشرًا على تمتع الأداة بدرجة مرتفعة من صدق البناء، كما تعكس اتساق الأبعاد في قياس المتغيرات المستهدفة</w:t>
      </w:r>
      <w:r w:rsidRPr="0058077E">
        <w:rPr>
          <w:rFonts w:ascii="Traditional Arabic" w:hAnsi="Traditional Arabic" w:cs="Traditional Arabic"/>
          <w:sz w:val="32"/>
          <w:szCs w:val="32"/>
          <w:lang w:val="en-US"/>
        </w:rPr>
        <w:t>.</w:t>
      </w:r>
    </w:p>
    <w:p w14:paraId="77A86802"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ومرتفعة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مما يؤكد أن جميع أبعاد الدراسة ترتبط ارتباطًا قويًا بالدرجة الكلية للاستبانة</w:t>
      </w:r>
      <w:r w:rsidRPr="0058077E">
        <w:rPr>
          <w:rFonts w:ascii="Traditional Arabic" w:hAnsi="Traditional Arabic" w:cs="Traditional Arabic"/>
          <w:sz w:val="32"/>
          <w:szCs w:val="32"/>
          <w:lang w:val="en-US"/>
        </w:rPr>
        <w:t>.</w:t>
      </w:r>
    </w:p>
    <w:p w14:paraId="12AB0B57" w14:textId="77777777" w:rsidR="0058077E" w:rsidRPr="0058077E" w:rsidRDefault="0058077E" w:rsidP="00E30AB8">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(3-5) معاملات ارتباط بيرسون بين أبعاد الدراسة والدرجة الكلية للاستبانة</w:t>
      </w:r>
    </w:p>
    <w:tbl>
      <w:tblPr>
        <w:tblStyle w:val="TableGrid"/>
        <w:bidiVisual/>
        <w:tblW w:w="5000" w:type="pct"/>
        <w:tblLook w:val="04A0" w:firstRow="1" w:lastRow="0" w:firstColumn="1" w:lastColumn="0" w:noHBand="0" w:noVBand="1"/>
      </w:tblPr>
      <w:tblGrid>
        <w:gridCol w:w="2009"/>
        <w:gridCol w:w="3929"/>
        <w:gridCol w:w="1696"/>
        <w:gridCol w:w="1703"/>
      </w:tblGrid>
      <w:tr w:rsidR="0058077E" w:rsidRPr="0058077E" w14:paraId="4463608E" w14:textId="77777777" w:rsidTr="0058077E">
        <w:tc>
          <w:tcPr>
            <w:tcW w:w="1076" w:type="pct"/>
            <w:hideMark/>
          </w:tcPr>
          <w:p w14:paraId="46DED0C3"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104" w:type="pct"/>
            <w:hideMark/>
          </w:tcPr>
          <w:p w14:paraId="6CFB9F9B"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908" w:type="pct"/>
            <w:hideMark/>
          </w:tcPr>
          <w:p w14:paraId="0C26E430"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c>
          <w:tcPr>
            <w:tcW w:w="912" w:type="pct"/>
            <w:hideMark/>
          </w:tcPr>
          <w:p w14:paraId="4B0CC80C"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مستوى الدلالة</w:t>
            </w:r>
          </w:p>
        </w:tc>
      </w:tr>
      <w:tr w:rsidR="0058077E" w:rsidRPr="0058077E" w14:paraId="7E40D64B" w14:textId="77777777" w:rsidTr="0058077E">
        <w:tc>
          <w:tcPr>
            <w:tcW w:w="1076" w:type="pct"/>
            <w:hideMark/>
          </w:tcPr>
          <w:p w14:paraId="337C0C8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104" w:type="pct"/>
            <w:hideMark/>
          </w:tcPr>
          <w:p w14:paraId="38F8F12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908" w:type="pct"/>
            <w:hideMark/>
          </w:tcPr>
          <w:p w14:paraId="41475C4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0.913**</w:t>
            </w:r>
          </w:p>
        </w:tc>
        <w:tc>
          <w:tcPr>
            <w:tcW w:w="912" w:type="pct"/>
            <w:hideMark/>
          </w:tcPr>
          <w:p w14:paraId="69ABC8B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1404F543" w14:textId="77777777" w:rsidTr="0058077E">
        <w:tc>
          <w:tcPr>
            <w:tcW w:w="1076" w:type="pct"/>
            <w:hideMark/>
          </w:tcPr>
          <w:p w14:paraId="186A011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35B7D2C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908" w:type="pct"/>
            <w:hideMark/>
          </w:tcPr>
          <w:p w14:paraId="681CE6F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0.926**</w:t>
            </w:r>
          </w:p>
        </w:tc>
        <w:tc>
          <w:tcPr>
            <w:tcW w:w="912" w:type="pct"/>
            <w:hideMark/>
          </w:tcPr>
          <w:p w14:paraId="37D57C0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07C059E0" w14:textId="77777777" w:rsidTr="0058077E">
        <w:tc>
          <w:tcPr>
            <w:tcW w:w="1076" w:type="pct"/>
            <w:hideMark/>
          </w:tcPr>
          <w:p w14:paraId="1D41CC7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004D521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908" w:type="pct"/>
            <w:hideMark/>
          </w:tcPr>
          <w:p w14:paraId="3151F41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0.941**</w:t>
            </w:r>
          </w:p>
        </w:tc>
        <w:tc>
          <w:tcPr>
            <w:tcW w:w="912" w:type="pct"/>
            <w:hideMark/>
          </w:tcPr>
          <w:p w14:paraId="300D429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127B8F2F" w14:textId="77777777" w:rsidTr="0058077E">
        <w:tc>
          <w:tcPr>
            <w:tcW w:w="1076" w:type="pct"/>
            <w:hideMark/>
          </w:tcPr>
          <w:p w14:paraId="794490A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566D81C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908" w:type="pct"/>
            <w:hideMark/>
          </w:tcPr>
          <w:p w14:paraId="42186A9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0.918**</w:t>
            </w:r>
          </w:p>
        </w:tc>
        <w:tc>
          <w:tcPr>
            <w:tcW w:w="912" w:type="pct"/>
            <w:hideMark/>
          </w:tcPr>
          <w:p w14:paraId="3DBCE3C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3A495292" w14:textId="77777777" w:rsidTr="0058077E">
        <w:tc>
          <w:tcPr>
            <w:tcW w:w="1076" w:type="pct"/>
            <w:hideMark/>
          </w:tcPr>
          <w:p w14:paraId="2930A68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104" w:type="pct"/>
            <w:hideMark/>
          </w:tcPr>
          <w:p w14:paraId="4A71B2E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908" w:type="pct"/>
            <w:hideMark/>
          </w:tcPr>
          <w:p w14:paraId="06E93FA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0.904**</w:t>
            </w:r>
          </w:p>
        </w:tc>
        <w:tc>
          <w:tcPr>
            <w:tcW w:w="912" w:type="pct"/>
            <w:hideMark/>
          </w:tcPr>
          <w:p w14:paraId="3D3BCD8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4CE954A4" w14:textId="77777777" w:rsidTr="0058077E">
        <w:tc>
          <w:tcPr>
            <w:tcW w:w="1076" w:type="pct"/>
            <w:hideMark/>
          </w:tcPr>
          <w:p w14:paraId="29F1754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2F2D985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908" w:type="pct"/>
            <w:hideMark/>
          </w:tcPr>
          <w:p w14:paraId="0338F54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0.932**</w:t>
            </w:r>
          </w:p>
        </w:tc>
        <w:tc>
          <w:tcPr>
            <w:tcW w:w="912" w:type="pct"/>
            <w:hideMark/>
          </w:tcPr>
          <w:p w14:paraId="3B2671D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57A8F1EF" w14:textId="77777777" w:rsidTr="0058077E">
        <w:tc>
          <w:tcPr>
            <w:tcW w:w="1076" w:type="pct"/>
            <w:hideMark/>
          </w:tcPr>
          <w:p w14:paraId="2E60EFC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57DB2A6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908" w:type="pct"/>
            <w:hideMark/>
          </w:tcPr>
          <w:p w14:paraId="0DF5FF4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0.915**</w:t>
            </w:r>
          </w:p>
        </w:tc>
        <w:tc>
          <w:tcPr>
            <w:tcW w:w="912" w:type="pct"/>
            <w:hideMark/>
          </w:tcPr>
          <w:p w14:paraId="314FA63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bl>
    <w:p w14:paraId="07564920"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1440084D"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جدول (3-5) أن معاملات ارتباط أبعاد التحول الرقمي بالدرجة الكلية للاستبانة تراوحت بين (0.913–0.941)، في حين تراوحت معاملات ارتباط أبعاد الاستقرار الوظيفي بالدرجة الكلية للاستبانة بين (0.904–0.932)، وجميعها معاملات ارتباط موجبة ومرتفعة ودالة إحصائيًا عند مستوى</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p>
    <w:p w14:paraId="778B23DF"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وتشير هذه النتائج إلى أن جميع الأبعاد تسهم بصورة فاعلة في قياس المتغيرات التي تنتمي إليها، كما تعكس وجود اتساق بنائي مرتفع بين الأبعاد والدرجة الكلية للاستبانة، الأمر الذي يؤكد تمتع الأداة بدرجة عالية من صدق البناء وصلاحيتها للتطبيق على عينة الدراسة.</w:t>
      </w:r>
    </w:p>
    <w:p w14:paraId="2FEC212B"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وبناءً على نتائج الصدق الظاهري وصدق البناء، يتبين أن الاستبانة تتمتع بدرجة مرتفعة من الصدق، سواء من حيث مناسبة فقراتها لقياس متغيرات الدراسة، أو من حيث الاتساق الداخلي بين الفقرات والأبعاد والدرجة الكلية للأداة، مما يؤكد صلاحيتها للاستخدام في الدراسة الحالية، ويعزز الثقة في النتائج التي سيتم التوصل إليها عند تطبيقها على عينة الدراسة</w:t>
      </w:r>
      <w:r w:rsidRPr="0058077E">
        <w:rPr>
          <w:rFonts w:ascii="Traditional Arabic" w:hAnsi="Traditional Arabic" w:cs="Traditional Arabic"/>
          <w:sz w:val="32"/>
          <w:szCs w:val="32"/>
          <w:lang w:val="en-US"/>
        </w:rPr>
        <w:t>.</w:t>
      </w:r>
    </w:p>
    <w:p w14:paraId="10C12B8A"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3.9 ثبات أداة الدراسة</w:t>
      </w:r>
    </w:p>
    <w:p w14:paraId="5DB01A75" w14:textId="77777777" w:rsidR="00E30AB8" w:rsidRPr="00E30AB8" w:rsidRDefault="00E30AB8" w:rsidP="00234504">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يشير الثبات</w:t>
      </w:r>
      <w:r w:rsidRPr="00E30AB8">
        <w:rPr>
          <w:rFonts w:ascii="Traditional Arabic" w:hAnsi="Traditional Arabic" w:cs="Traditional Arabic"/>
          <w:sz w:val="32"/>
          <w:szCs w:val="32"/>
          <w:lang w:val="en-US"/>
        </w:rPr>
        <w:t xml:space="preserve"> (Reliability) </w:t>
      </w:r>
      <w:r w:rsidRPr="00E30AB8">
        <w:rPr>
          <w:rFonts w:ascii="Traditional Arabic" w:hAnsi="Traditional Arabic" w:cs="Traditional Arabic"/>
          <w:sz w:val="32"/>
          <w:szCs w:val="32"/>
          <w:rtl/>
          <w:lang w:val="en-US"/>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يسهم في </w:t>
      </w:r>
      <w:r w:rsidR="00234504" w:rsidRPr="00234504">
        <w:rPr>
          <w:rFonts w:ascii="Traditional Arabic" w:hAnsi="Traditional Arabic" w:cs="Traditional Arabic"/>
          <w:sz w:val="32"/>
          <w:szCs w:val="32"/>
          <w:rtl/>
          <w:lang w:val="en-US"/>
        </w:rPr>
        <w:t xml:space="preserve">تعزيز دقة النتائج وإمكانية الاعتماد عليها في تفسير الظاهرة المدروسة. ويؤكد </w:t>
      </w:r>
      <w:r w:rsidR="00234504" w:rsidRPr="00234504">
        <w:rPr>
          <w:rFonts w:ascii="Traditional Arabic" w:hAnsi="Traditional Arabic" w:cs="Traditional Arabic"/>
          <w:sz w:val="32"/>
          <w:szCs w:val="32"/>
          <w:lang w:val="en-US"/>
        </w:rPr>
        <w:t>Hair et al. (2022</w:t>
      </w:r>
      <w:r w:rsidR="00234504" w:rsidRPr="00234504">
        <w:rPr>
          <w:rFonts w:ascii="Traditional Arabic" w:hAnsi="Traditional Arabic" w:cs="Traditional Arabic"/>
          <w:sz w:val="32"/>
          <w:szCs w:val="32"/>
          <w:rtl/>
          <w:lang w:val="en-US"/>
        </w:rPr>
        <w:t xml:space="preserve">) أن ارتفاع معاملات الثبات يعكس اتساقًا داخليًا مرتفعًا بين فقرات الأداة، في حين يشير </w:t>
      </w:r>
      <w:r w:rsidR="00234504" w:rsidRPr="00234504">
        <w:rPr>
          <w:rFonts w:ascii="Traditional Arabic" w:hAnsi="Traditional Arabic" w:cs="Traditional Arabic"/>
          <w:sz w:val="32"/>
          <w:szCs w:val="32"/>
          <w:lang w:val="en-US"/>
        </w:rPr>
        <w:t>Creswell and Creswell (2023</w:t>
      </w:r>
      <w:r w:rsidR="00234504" w:rsidRPr="00234504">
        <w:rPr>
          <w:rFonts w:ascii="Traditional Arabic" w:hAnsi="Traditional Arabic" w:cs="Traditional Arabic"/>
          <w:sz w:val="32"/>
          <w:szCs w:val="32"/>
          <w:rtl/>
          <w:lang w:val="en-US"/>
        </w:rPr>
        <w:t xml:space="preserve">) إلى </w:t>
      </w:r>
      <w:r w:rsidRPr="00E30AB8">
        <w:rPr>
          <w:rFonts w:ascii="Traditional Arabic" w:hAnsi="Traditional Arabic" w:cs="Traditional Arabic"/>
          <w:sz w:val="32"/>
          <w:szCs w:val="32"/>
          <w:rtl/>
          <w:lang w:val="en-US"/>
        </w:rPr>
        <w:t>أن التحقق من ثبات أدوات القياس يمثل خطوة أساسية قبل تطبيقها على العينة الأساسية.</w:t>
      </w:r>
    </w:p>
    <w:p w14:paraId="47F3E5BA"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وللتحقق من ثبات أداة الدراسة، استخدم الباحث 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لقياس درجة الاتساق الداخلي بين فقرات كل بعد من أبعاد الدراسة، إضافة إلى حساب معامل الثبات الكلي لكل متغير، وللاستبانة ككل، وذلك بالاعتماد على بيانات العينة الاستطلاعية البالغ عددها (30) مفردة من خارج عينة الدراسة الأساسية.</w:t>
      </w:r>
    </w:p>
    <w:p w14:paraId="72C0E7A2"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 xml:space="preserve">ويشير </w:t>
      </w:r>
      <w:r>
        <w:rPr>
          <w:rFonts w:ascii="Traditional Arabic" w:hAnsi="Traditional Arabic" w:cs="Traditional Arabic" w:hint="cs"/>
          <w:sz w:val="32"/>
          <w:szCs w:val="32"/>
          <w:rtl/>
          <w:lang w:val="en-US"/>
        </w:rPr>
        <w:t>(</w:t>
      </w:r>
      <w:proofErr w:type="spellStart"/>
      <w:r w:rsidRPr="00E30AB8">
        <w:rPr>
          <w:rFonts w:ascii="Traditional Arabic" w:hAnsi="Traditional Arabic" w:cs="Traditional Arabic"/>
          <w:sz w:val="32"/>
          <w:szCs w:val="32"/>
          <w:lang w:val="en-US"/>
        </w:rPr>
        <w:t>Sekaran</w:t>
      </w:r>
      <w:proofErr w:type="spellEnd"/>
      <w:r w:rsidRPr="00E30AB8">
        <w:rPr>
          <w:rFonts w:ascii="Traditional Arabic" w:hAnsi="Traditional Arabic" w:cs="Traditional Arabic"/>
          <w:sz w:val="32"/>
          <w:szCs w:val="32"/>
          <w:lang w:val="en-US"/>
        </w:rPr>
        <w:t xml:space="preserve"> and </w:t>
      </w:r>
      <w:proofErr w:type="spellStart"/>
      <w:r w:rsidRPr="00E30AB8">
        <w:rPr>
          <w:rFonts w:ascii="Traditional Arabic" w:hAnsi="Traditional Arabic" w:cs="Traditional Arabic"/>
          <w:sz w:val="32"/>
          <w:szCs w:val="32"/>
          <w:lang w:val="en-US"/>
        </w:rPr>
        <w:t>Bougie</w:t>
      </w:r>
      <w:proofErr w:type="spellEnd"/>
      <w:r w:rsidRPr="00E30AB8">
        <w:rPr>
          <w:rFonts w:ascii="Traditional Arabic" w:hAnsi="Traditional Arabic" w:cs="Traditional Arabic"/>
          <w:sz w:val="32"/>
          <w:szCs w:val="32"/>
          <w:lang w:val="en-US"/>
        </w:rPr>
        <w:t xml:space="preserve"> 2020</w:t>
      </w:r>
      <w:r w:rsidRPr="00E30AB8">
        <w:rPr>
          <w:rFonts w:ascii="Traditional Arabic" w:hAnsi="Traditional Arabic" w:cs="Traditional Arabic"/>
          <w:sz w:val="32"/>
          <w:szCs w:val="32"/>
          <w:rtl/>
          <w:lang w:val="en-US"/>
        </w:rPr>
        <w:t>) إلى أن قيمة معامل كرونباخ ألفا التي تزيد على (0.70) تعد مقبولة، بينما تشير القيم التي تتجاوز (0.80) إلى مستوى مرتفع من الثبات، في حين تعكس القيم التي تزيد على (0.90) درجة ممتازة من الاتساق الداخلي.</w:t>
      </w:r>
    </w:p>
    <w:p w14:paraId="6D833499"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وقد أظهرت نتائج التحليل الإحصائي ارتفاع معاملات الثبات لجميع أبعاد الدراسة، كما هو موضح في الجدول (3-6).</w:t>
      </w:r>
    </w:p>
    <w:p w14:paraId="5D85D06F" w14:textId="77777777" w:rsidR="00E30AB8" w:rsidRPr="00E30AB8" w:rsidRDefault="00E30AB8" w:rsidP="00E30AB8">
      <w:pPr>
        <w:bidi/>
        <w:spacing w:line="240" w:lineRule="auto"/>
        <w:jc w:val="center"/>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جدول (3-6) معاملات كرونباخ ألفا لأبعاد الدراسة</w:t>
      </w:r>
    </w:p>
    <w:tbl>
      <w:tblPr>
        <w:tblStyle w:val="TableGrid"/>
        <w:bidiVisual/>
        <w:tblW w:w="5000" w:type="pct"/>
        <w:tblLook w:val="04A0" w:firstRow="1" w:lastRow="0" w:firstColumn="1" w:lastColumn="0" w:noHBand="0" w:noVBand="1"/>
      </w:tblPr>
      <w:tblGrid>
        <w:gridCol w:w="2477"/>
        <w:gridCol w:w="3899"/>
        <w:gridCol w:w="1531"/>
        <w:gridCol w:w="1430"/>
      </w:tblGrid>
      <w:tr w:rsidR="00E30AB8" w:rsidRPr="00E30AB8" w14:paraId="475CEB24" w14:textId="77777777" w:rsidTr="00E30AB8">
        <w:tc>
          <w:tcPr>
            <w:tcW w:w="1326" w:type="pct"/>
            <w:hideMark/>
          </w:tcPr>
          <w:p w14:paraId="719A2017"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المتغير</w:t>
            </w:r>
          </w:p>
        </w:tc>
        <w:tc>
          <w:tcPr>
            <w:tcW w:w="2088" w:type="pct"/>
            <w:hideMark/>
          </w:tcPr>
          <w:p w14:paraId="40CE1687"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البعد</w:t>
            </w:r>
          </w:p>
        </w:tc>
        <w:tc>
          <w:tcPr>
            <w:tcW w:w="820" w:type="pct"/>
            <w:hideMark/>
          </w:tcPr>
          <w:p w14:paraId="3D4322C4"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عدد الفقرات</w:t>
            </w:r>
          </w:p>
        </w:tc>
        <w:tc>
          <w:tcPr>
            <w:tcW w:w="766" w:type="pct"/>
            <w:hideMark/>
          </w:tcPr>
          <w:p w14:paraId="53999E5B"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كرونباخ ألفا</w:t>
            </w:r>
          </w:p>
        </w:tc>
      </w:tr>
      <w:tr w:rsidR="00E30AB8" w:rsidRPr="00E30AB8" w14:paraId="5F3FABA5" w14:textId="77777777" w:rsidTr="00E30AB8">
        <w:tc>
          <w:tcPr>
            <w:tcW w:w="1326" w:type="pct"/>
            <w:hideMark/>
          </w:tcPr>
          <w:p w14:paraId="52B5950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التحول الرقمي</w:t>
            </w:r>
          </w:p>
        </w:tc>
        <w:tc>
          <w:tcPr>
            <w:tcW w:w="2088" w:type="pct"/>
            <w:hideMark/>
          </w:tcPr>
          <w:p w14:paraId="1B22016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البنية التحتية الرقمية والتقنيات الرقمية</w:t>
            </w:r>
          </w:p>
        </w:tc>
        <w:tc>
          <w:tcPr>
            <w:tcW w:w="820" w:type="pct"/>
            <w:hideMark/>
          </w:tcPr>
          <w:p w14:paraId="029DD067"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B50A10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0.891</w:t>
            </w:r>
          </w:p>
        </w:tc>
      </w:tr>
      <w:tr w:rsidR="00E30AB8" w:rsidRPr="00E30AB8" w14:paraId="34013AA2" w14:textId="77777777" w:rsidTr="00E30AB8">
        <w:tc>
          <w:tcPr>
            <w:tcW w:w="1326" w:type="pct"/>
            <w:hideMark/>
          </w:tcPr>
          <w:p w14:paraId="28A8B8A0"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6BBFAA3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الكفاءة الرقمية للموظفين</w:t>
            </w:r>
          </w:p>
        </w:tc>
        <w:tc>
          <w:tcPr>
            <w:tcW w:w="820" w:type="pct"/>
            <w:hideMark/>
          </w:tcPr>
          <w:p w14:paraId="32F2D76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293D696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0.904</w:t>
            </w:r>
          </w:p>
        </w:tc>
      </w:tr>
      <w:tr w:rsidR="00E30AB8" w:rsidRPr="00E30AB8" w14:paraId="674C4D70" w14:textId="77777777" w:rsidTr="00E30AB8">
        <w:tc>
          <w:tcPr>
            <w:tcW w:w="1326" w:type="pct"/>
            <w:hideMark/>
          </w:tcPr>
          <w:p w14:paraId="2E3324C1"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7B15DA0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تكامل الأنظمة الرقمية وعمليات الرقمنة</w:t>
            </w:r>
          </w:p>
        </w:tc>
        <w:tc>
          <w:tcPr>
            <w:tcW w:w="820" w:type="pct"/>
            <w:hideMark/>
          </w:tcPr>
          <w:p w14:paraId="105A173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B383B6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0.918</w:t>
            </w:r>
          </w:p>
        </w:tc>
      </w:tr>
      <w:tr w:rsidR="00E30AB8" w:rsidRPr="00E30AB8" w14:paraId="2BF45CD5" w14:textId="77777777" w:rsidTr="00E30AB8">
        <w:tc>
          <w:tcPr>
            <w:tcW w:w="1326" w:type="pct"/>
            <w:hideMark/>
          </w:tcPr>
          <w:p w14:paraId="7543AC28"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40307F0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الأمن وحماية البيانات الرقمية</w:t>
            </w:r>
          </w:p>
        </w:tc>
        <w:tc>
          <w:tcPr>
            <w:tcW w:w="820" w:type="pct"/>
            <w:hideMark/>
          </w:tcPr>
          <w:p w14:paraId="1F85289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52734A4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0.896</w:t>
            </w:r>
          </w:p>
        </w:tc>
      </w:tr>
      <w:tr w:rsidR="00E30AB8" w:rsidRPr="00E30AB8" w14:paraId="1021BF23" w14:textId="77777777" w:rsidTr="00E30AB8">
        <w:tc>
          <w:tcPr>
            <w:tcW w:w="1326" w:type="pct"/>
            <w:hideMark/>
          </w:tcPr>
          <w:p w14:paraId="589A1A37"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2AEC8AB8"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المستقل</w:t>
            </w:r>
          </w:p>
        </w:tc>
        <w:tc>
          <w:tcPr>
            <w:tcW w:w="820" w:type="pct"/>
            <w:hideMark/>
          </w:tcPr>
          <w:p w14:paraId="4F928D6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20</w:t>
            </w:r>
          </w:p>
        </w:tc>
        <w:tc>
          <w:tcPr>
            <w:tcW w:w="766" w:type="pct"/>
            <w:hideMark/>
          </w:tcPr>
          <w:p w14:paraId="4447C37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0.944</w:t>
            </w:r>
          </w:p>
        </w:tc>
      </w:tr>
      <w:tr w:rsidR="00E30AB8" w:rsidRPr="00E30AB8" w14:paraId="7D736711" w14:textId="77777777" w:rsidTr="00E30AB8">
        <w:tc>
          <w:tcPr>
            <w:tcW w:w="1326" w:type="pct"/>
            <w:hideMark/>
          </w:tcPr>
          <w:p w14:paraId="79AE699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الاستقرار الوظيفي</w:t>
            </w:r>
          </w:p>
        </w:tc>
        <w:tc>
          <w:tcPr>
            <w:tcW w:w="2088" w:type="pct"/>
            <w:hideMark/>
          </w:tcPr>
          <w:p w14:paraId="3314E74C"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الأمان الوظيفي</w:t>
            </w:r>
          </w:p>
        </w:tc>
        <w:tc>
          <w:tcPr>
            <w:tcW w:w="820" w:type="pct"/>
            <w:hideMark/>
          </w:tcPr>
          <w:p w14:paraId="43FA1F9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D9B64B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0.884</w:t>
            </w:r>
          </w:p>
        </w:tc>
      </w:tr>
      <w:tr w:rsidR="00E30AB8" w:rsidRPr="00E30AB8" w14:paraId="35246E7C" w14:textId="77777777" w:rsidTr="00E30AB8">
        <w:tc>
          <w:tcPr>
            <w:tcW w:w="1326" w:type="pct"/>
            <w:hideMark/>
          </w:tcPr>
          <w:p w14:paraId="4F45E5FE"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479533F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الرضا الوظيفي</w:t>
            </w:r>
          </w:p>
        </w:tc>
        <w:tc>
          <w:tcPr>
            <w:tcW w:w="820" w:type="pct"/>
            <w:hideMark/>
          </w:tcPr>
          <w:p w14:paraId="41F84E4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DDF9357"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0.912</w:t>
            </w:r>
          </w:p>
        </w:tc>
      </w:tr>
      <w:tr w:rsidR="00E30AB8" w:rsidRPr="00E30AB8" w14:paraId="4A404E8B" w14:textId="77777777" w:rsidTr="00E30AB8">
        <w:tc>
          <w:tcPr>
            <w:tcW w:w="1326" w:type="pct"/>
            <w:hideMark/>
          </w:tcPr>
          <w:p w14:paraId="51AF6AE1"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51A41FC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الالتزام التنظيمي</w:t>
            </w:r>
          </w:p>
        </w:tc>
        <w:tc>
          <w:tcPr>
            <w:tcW w:w="820" w:type="pct"/>
            <w:hideMark/>
          </w:tcPr>
          <w:p w14:paraId="2064715C"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485D9C4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0.901</w:t>
            </w:r>
          </w:p>
        </w:tc>
      </w:tr>
      <w:tr w:rsidR="00E30AB8" w:rsidRPr="00E30AB8" w14:paraId="745A459F" w14:textId="77777777" w:rsidTr="00E30AB8">
        <w:tc>
          <w:tcPr>
            <w:tcW w:w="1326" w:type="pct"/>
            <w:hideMark/>
          </w:tcPr>
          <w:p w14:paraId="2011F7AD"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6C575EC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التابع</w:t>
            </w:r>
          </w:p>
        </w:tc>
        <w:tc>
          <w:tcPr>
            <w:tcW w:w="820" w:type="pct"/>
            <w:hideMark/>
          </w:tcPr>
          <w:p w14:paraId="6EDB8AD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15</w:t>
            </w:r>
          </w:p>
        </w:tc>
        <w:tc>
          <w:tcPr>
            <w:tcW w:w="766" w:type="pct"/>
            <w:hideMark/>
          </w:tcPr>
          <w:p w14:paraId="776B8F0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0.931</w:t>
            </w:r>
          </w:p>
        </w:tc>
      </w:tr>
      <w:tr w:rsidR="00E30AB8" w:rsidRPr="00E30AB8" w14:paraId="45E8F0CD" w14:textId="77777777" w:rsidTr="00E30AB8">
        <w:tc>
          <w:tcPr>
            <w:tcW w:w="1326" w:type="pct"/>
            <w:hideMark/>
          </w:tcPr>
          <w:p w14:paraId="462DD56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للاستبانة</w:t>
            </w:r>
          </w:p>
        </w:tc>
        <w:tc>
          <w:tcPr>
            <w:tcW w:w="2088" w:type="pct"/>
            <w:hideMark/>
          </w:tcPr>
          <w:p w14:paraId="675FC460"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820" w:type="pct"/>
            <w:hideMark/>
          </w:tcPr>
          <w:p w14:paraId="5FFD846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35</w:t>
            </w:r>
          </w:p>
        </w:tc>
        <w:tc>
          <w:tcPr>
            <w:tcW w:w="766" w:type="pct"/>
            <w:hideMark/>
          </w:tcPr>
          <w:p w14:paraId="1BCDEC24" w14:textId="77777777" w:rsidR="00E30AB8" w:rsidRPr="00E30AB8" w:rsidRDefault="00E30AB8" w:rsidP="00BB7B09">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w:t>
            </w:r>
            <w:r w:rsidR="00BB7B09">
              <w:rPr>
                <w:rFonts w:ascii="Traditional Arabic" w:hAnsi="Traditional Arabic" w:cs="Traditional Arabic"/>
                <w:b/>
                <w:bCs/>
                <w:sz w:val="32"/>
                <w:szCs w:val="32"/>
                <w:lang w:val="en-US"/>
              </w:rPr>
              <w:t>33</w:t>
            </w:r>
          </w:p>
        </w:tc>
      </w:tr>
    </w:tbl>
    <w:p w14:paraId="146ACC81" w14:textId="77777777" w:rsidR="00E30AB8" w:rsidRPr="00E30AB8" w:rsidRDefault="00E30AB8" w:rsidP="00BB7B09">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يتضح من نتائج جدول (3-6) أن معاملات كرونباخ ألفا لأبعاد التحول الرقمي تراوحت بين (0.891–0.918)، بينما تراوحت معاملات الثبات لأبعاد الاستقرار الوظيفي بين (0.884–0.912)، كما بلغ معامل الثبات الكلي للمتغير المستقل (0.944)، وللمتغير التابع (0.931)، في حين بلغ معامل الثبات الكلي للاستبانة (0.9</w:t>
      </w:r>
      <w:r w:rsidR="00BB7B09">
        <w:rPr>
          <w:rFonts w:ascii="Traditional Arabic" w:hAnsi="Traditional Arabic" w:cs="Traditional Arabic" w:hint="cs"/>
          <w:sz w:val="32"/>
          <w:szCs w:val="32"/>
          <w:rtl/>
          <w:lang w:val="en-US"/>
        </w:rPr>
        <w:t>33</w:t>
      </w:r>
      <w:r w:rsidRPr="00E30AB8">
        <w:rPr>
          <w:rFonts w:ascii="Traditional Arabic" w:hAnsi="Traditional Arabic" w:cs="Traditional Arabic"/>
          <w:sz w:val="32"/>
          <w:szCs w:val="32"/>
          <w:rtl/>
          <w:lang w:val="en-US"/>
        </w:rPr>
        <w:t>).</w:t>
      </w:r>
    </w:p>
    <w:p w14:paraId="60343725"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وتعد هذه القيم مرتفعة وفق المعايير الإحصائية المعتمدة، مما يدل على تمتع أداة الدراسة بدرجة عالية من الاتساق الداخلي، ويؤكد صلاحيتها للتطبيق على أفراد عينة الدراسة، وإمكانية الاعتماد على البيانات الناتجة عنها في اختبار فرضيات الدراسة وتحقيق أهدافها</w:t>
      </w:r>
      <w:r w:rsidRPr="00E30AB8">
        <w:rPr>
          <w:rFonts w:ascii="Traditional Arabic" w:hAnsi="Traditional Arabic" w:cs="Traditional Arabic"/>
          <w:sz w:val="32"/>
          <w:szCs w:val="32"/>
          <w:lang w:val="en-US"/>
        </w:rPr>
        <w:t>.</w:t>
      </w:r>
    </w:p>
    <w:p w14:paraId="4E346ED1"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وبناءً على نتائج الصدق والثبات، يتبين أن الاستبانة تتمتع بخصائص سيكومترية مرتفعة من حيث الصدق والثبات، الأمر الذي يعزز الثقة في نتائج الدراسة، ويؤكد ملاءمة الأداة لجمع البيانات من أفراد عينة الدراسة</w:t>
      </w:r>
      <w:r w:rsidRPr="00E30AB8">
        <w:rPr>
          <w:rFonts w:ascii="Traditional Arabic" w:hAnsi="Traditional Arabic" w:cs="Traditional Arabic"/>
          <w:sz w:val="32"/>
          <w:szCs w:val="32"/>
          <w:lang w:val="en-US"/>
        </w:rPr>
        <w:t>.</w:t>
      </w:r>
    </w:p>
    <w:p w14:paraId="4C8C22BD" w14:textId="77777777" w:rsidR="009E4789" w:rsidRPr="00E30AB8" w:rsidRDefault="009E4789" w:rsidP="009E4789">
      <w:pPr>
        <w:bidi/>
        <w:spacing w:line="360" w:lineRule="auto"/>
        <w:jc w:val="both"/>
        <w:rPr>
          <w:rFonts w:ascii="Traditional Arabic" w:hAnsi="Traditional Arabic" w:cs="Traditional Arabic"/>
          <w:sz w:val="32"/>
          <w:szCs w:val="32"/>
          <w:lang w:val="en-US"/>
        </w:rPr>
      </w:pPr>
    </w:p>
    <w:p w14:paraId="371D8C32"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3.10 إجراءات الدراسة</w:t>
      </w:r>
    </w:p>
    <w:p w14:paraId="03982459" w14:textId="77777777" w:rsidR="00BB2224" w:rsidRPr="00BB2224" w:rsidRDefault="00BB2224" w:rsidP="00BB2224">
      <w:p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سيتبع الباحث مجموعة من الإجراءات العلمية والمنهجية لتنفيذ الدراسة وتحقيق أهدافها، وفق تسلسل منطقي يضمن سلامة التطبيق ودقة النتائج، وذلك على النحو الآتي</w:t>
      </w:r>
      <w:r w:rsidRPr="00BB2224">
        <w:rPr>
          <w:rFonts w:ascii="Traditional Arabic" w:hAnsi="Traditional Arabic" w:cs="Traditional Arabic"/>
          <w:sz w:val="32"/>
          <w:szCs w:val="32"/>
          <w:lang w:val="en-US"/>
        </w:rPr>
        <w:t>:</w:t>
      </w:r>
    </w:p>
    <w:p w14:paraId="7EB71710"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مراجعة الأدبيات النظرية والدراسات السابقة العربية والأجنبية المتعلقة بالتحول الرقمي والاستقرار الوظيفي، والاستفادة منها في بناء الإطار النظري، وتحديد مشكلة الدراسة، وصياغة أسئلتها وأهدافها وفرضياتها</w:t>
      </w:r>
      <w:r w:rsidRPr="00BB2224">
        <w:rPr>
          <w:rFonts w:ascii="Traditional Arabic" w:hAnsi="Traditional Arabic" w:cs="Traditional Arabic"/>
          <w:sz w:val="32"/>
          <w:szCs w:val="32"/>
          <w:lang w:val="en-US"/>
        </w:rPr>
        <w:t xml:space="preserve">. </w:t>
      </w:r>
    </w:p>
    <w:p w14:paraId="50FCAB82"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تحديد متغيرات الدراسة وأبعادها في ضوء الأدبيات والدراسات السابقة، وبناء النموذج المفاهيمي الذي يوضح العلاقة بين التحول الرقمي بوصفه متغيرا مستقلا، والاستقرار الوظيفي بوصفه متغيرا تابعا</w:t>
      </w:r>
      <w:r w:rsidRPr="00BB2224">
        <w:rPr>
          <w:rFonts w:ascii="Traditional Arabic" w:hAnsi="Traditional Arabic" w:cs="Traditional Arabic"/>
          <w:sz w:val="32"/>
          <w:szCs w:val="32"/>
          <w:lang w:val="en-US"/>
        </w:rPr>
        <w:t xml:space="preserve">. </w:t>
      </w:r>
    </w:p>
    <w:p w14:paraId="084C8D3F" w14:textId="77777777" w:rsid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تطوير أداة الدراسة المتمثلة في الاستبانة بالاستناد إلى الأدبيات العلمية والمقاييس والدراسات السابقة ذات العلاقة، بما يضمن شمولها لأبعاد الدراسة وملاءمتها لتحقيق أهدافها</w:t>
      </w:r>
      <w:r w:rsidRPr="00BB2224">
        <w:rPr>
          <w:rFonts w:ascii="Traditional Arabic" w:hAnsi="Traditional Arabic" w:cs="Traditional Arabic"/>
          <w:sz w:val="32"/>
          <w:szCs w:val="32"/>
          <w:lang w:val="en-US"/>
        </w:rPr>
        <w:t xml:space="preserve">. </w:t>
      </w:r>
    </w:p>
    <w:p w14:paraId="7BD35664" w14:textId="77777777" w:rsidR="00521338" w:rsidRPr="00BB2224" w:rsidRDefault="00521338" w:rsidP="00521338">
      <w:pPr>
        <w:numPr>
          <w:ilvl w:val="0"/>
          <w:numId w:val="9"/>
        </w:numPr>
        <w:bidi/>
        <w:spacing w:line="360" w:lineRule="auto"/>
        <w:jc w:val="both"/>
        <w:rPr>
          <w:rFonts w:ascii="Traditional Arabic" w:hAnsi="Traditional Arabic" w:cs="Traditional Arabic"/>
          <w:sz w:val="32"/>
          <w:szCs w:val="32"/>
          <w:lang w:val="en-US"/>
        </w:rPr>
      </w:pPr>
      <w:r w:rsidRPr="00521338">
        <w:rPr>
          <w:rFonts w:ascii="Traditional Arabic" w:hAnsi="Traditional Arabic" w:cs="Traditional Arabic"/>
          <w:sz w:val="32"/>
          <w:szCs w:val="32"/>
          <w:rtl/>
          <w:lang w:val="en-US"/>
        </w:rPr>
        <w:t>سيتم الحصول على قوائم العاملين في المستشفيات الحكومية المشمولة بالدراسة من الإدارات المختصة في التجمع الصحي أو من إدارات الموارد البشرية في المستشفيات، بعد الحصول على الموافقات الرسمية اللازمة، وستستخدم هذه القوائم بوصفها إطار المعاينة الذي سيتم في ضوئه اختيار أفراد العينة الطبقية</w:t>
      </w:r>
      <w:r w:rsidRPr="00521338">
        <w:rPr>
          <w:rFonts w:ascii="Traditional Arabic" w:hAnsi="Traditional Arabic" w:cs="Traditional Arabic"/>
          <w:sz w:val="32"/>
          <w:szCs w:val="32"/>
        </w:rPr>
        <w:t>.</w:t>
      </w:r>
    </w:p>
    <w:p w14:paraId="75A6367B"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عرض الاستبانة في صورتها الأولية على مجموعة من المحكمين من ذوي الاختصاص للتحقق من صدقها الظاهري وملاءمة فقراتها ووضوح صياغتها، وإجراء التعديلات اللازمة في ضوء ملاحظاتهم، ثم تطبيقها على عينة استطلاعية للتحقق من صدق البناء وثبات الأداة قبل تطبيقها على العينة الأساسية</w:t>
      </w:r>
      <w:r w:rsidRPr="00BB2224">
        <w:rPr>
          <w:rFonts w:ascii="Traditional Arabic" w:hAnsi="Traditional Arabic" w:cs="Traditional Arabic"/>
          <w:sz w:val="32"/>
          <w:szCs w:val="32"/>
          <w:lang w:val="en-US"/>
        </w:rPr>
        <w:t xml:space="preserve">. </w:t>
      </w:r>
    </w:p>
    <w:p w14:paraId="04850C24"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الحصول على الموافقات الرسمية والأخلاقية اللازمة من الجامعة والجهات الصحية ذات العلاقة، والتنسيق مع إدارات المستشفيات الحكومية المشمولة بالدراسة لتسهيل الوصول إلى أفراد العينة وتوزيع الاستبانة عليهم</w:t>
      </w:r>
      <w:r w:rsidRPr="00BB2224">
        <w:rPr>
          <w:rFonts w:ascii="Traditional Arabic" w:hAnsi="Traditional Arabic" w:cs="Traditional Arabic"/>
          <w:sz w:val="32"/>
          <w:szCs w:val="32"/>
          <w:lang w:val="en-US"/>
        </w:rPr>
        <w:t xml:space="preserve">. </w:t>
      </w:r>
    </w:p>
    <w:p w14:paraId="7F2F7380"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اختيار أفراد عينة الدراسة من العاملين في المستشفيات الحكومية المشمولة بالدراسة بمدينة جدة، وبما يحقق تمثيل الفئات الوظيفية المستهدفة، وهي: الأطباء، وهيئة التمريض، والفنيون، والإداريون. ونظرا إلى عدم توافر بيانات تفصيلية محدثة تبين أعداد العاملين في كل مستشفى وكل فئة وظيفية، سيحرص الباحث عند توزيع الاستبانة على تحقيق أكبر قدر ممكن من التمثيل المتوازن للمستشفيات والفئات الوظيفية المشمولة بالدراسة</w:t>
      </w:r>
      <w:r w:rsidRPr="00BB2224">
        <w:rPr>
          <w:rFonts w:ascii="Traditional Arabic" w:hAnsi="Traditional Arabic" w:cs="Traditional Arabic"/>
          <w:sz w:val="32"/>
          <w:szCs w:val="32"/>
          <w:lang w:val="en-US"/>
        </w:rPr>
        <w:t xml:space="preserve">. </w:t>
      </w:r>
    </w:p>
    <w:p w14:paraId="5A6EFF11" w14:textId="77777777" w:rsidR="00BB2224" w:rsidRPr="00BB2224" w:rsidRDefault="00BB2224" w:rsidP="00D46B92">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 xml:space="preserve">توزيع الاستبانة على أفراد العينة خلال الفترة المحددة لجمع البيانات، باستخدام التوزيع الإلكتروني أو الورقي بحسب ما تسمح به كل جهة مشاركة. وسيجري التنسيق مع المسؤولين في المستشفيات لتسهيل عملية التوزيع والاستلام، ومتابعة معدل الاستجابة بصورة دورية </w:t>
      </w:r>
      <w:r w:rsidR="00D46B92" w:rsidRPr="00D46B92">
        <w:rPr>
          <w:rFonts w:ascii="Traditional Arabic" w:hAnsi="Traditional Arabic" w:cs="Traditional Arabic"/>
          <w:sz w:val="32"/>
          <w:szCs w:val="32"/>
          <w:rtl/>
          <w:lang w:val="en-US"/>
        </w:rPr>
        <w:t>حتى الوصول إلى العدد المستهدف من الاستجابات. وفي حال استخدام الاستبانة الإلكترونية، ستتخذ الإجراءات المناسبة للحد من تكرار الاستجابة، مثل تقييد إرسال أكثر من استجابة من الجهاز أو الحساب نفسه متى كان ذلك متاحا.</w:t>
      </w:r>
    </w:p>
    <w:p w14:paraId="6F3C1BE5"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مراجعة الاستبانات المستردة والتحقق من اكتمالها وصلاحيتها للتحليل الإحصائي. وسيتم استبعاد الاستبانة إذا تجاوزت نسبة البيانات المفقودة فيها (10%) من إجمالي فقرات الأداة، أو تضمنت أكثر من إجابة للفقرة الواحدة، أو اشتملت على نمط إجابة متكرر بصورة غير منطقية، مثل اختيار البديل نفسه لجميع الفقرات بما يشير إلى عدم الجدية، أو تضمنت استجابات متناقضة أو غير قابلة للترميز. أما الاستبانات التي تحتوي على قدر محدود من البيانات المفقودة، فسيتم التعامل معها وفق الإجراء الإحصائي المناسب بعد التحقق من طبيعة الفقد ونسبته.</w:t>
      </w:r>
    </w:p>
    <w:p w14:paraId="70070F88"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ترميز البيانات المستوفية لشروط التحليل وإدخالها إلى برنامج الحزمة الإحصائية للعلوم الاجتماعية (</w:t>
      </w:r>
      <w:r w:rsidRPr="00BB2224">
        <w:rPr>
          <w:rFonts w:ascii="Traditional Arabic" w:hAnsi="Traditional Arabic" w:cs="Traditional Arabic"/>
          <w:sz w:val="32"/>
          <w:szCs w:val="32"/>
          <w:lang w:val="en-US"/>
        </w:rPr>
        <w:t>SPSS</w:t>
      </w:r>
      <w:r w:rsidRPr="00BB2224">
        <w:rPr>
          <w:rFonts w:ascii="Traditional Arabic" w:hAnsi="Traditional Arabic" w:cs="Traditional Arabic"/>
          <w:sz w:val="32"/>
          <w:szCs w:val="32"/>
          <w:rtl/>
          <w:lang w:val="en-US"/>
        </w:rPr>
        <w:t>)، ثم مراجعتها وتنظيفها والتحقق من خلوها من أخطاء الإدخال والقيم غير المنطقية، وإجراء التحليلات الإحصائية المناسبة للإجابة عن أسئلة الدراسة واختبار فرضياتها.</w:t>
      </w:r>
    </w:p>
    <w:p w14:paraId="59EBD176" w14:textId="77777777" w:rsidR="00BB2224" w:rsidRPr="00BB2224" w:rsidRDefault="00BB2224" w:rsidP="00BB2224">
      <w:pPr>
        <w:numPr>
          <w:ilvl w:val="0"/>
          <w:numId w:val="9"/>
        </w:numPr>
        <w:bidi/>
        <w:spacing w:line="360" w:lineRule="auto"/>
        <w:jc w:val="both"/>
        <w:rPr>
          <w:rFonts w:ascii="Traditional Arabic" w:hAnsi="Traditional Arabic" w:cs="Traditional Arabic"/>
          <w:sz w:val="32"/>
          <w:szCs w:val="32"/>
          <w:lang w:val="en-US"/>
        </w:rPr>
      </w:pPr>
      <w:r w:rsidRPr="00BB2224">
        <w:rPr>
          <w:rFonts w:ascii="Traditional Arabic" w:hAnsi="Traditional Arabic" w:cs="Traditional Arabic"/>
          <w:sz w:val="32"/>
          <w:szCs w:val="32"/>
          <w:rtl/>
          <w:lang w:val="en-US"/>
        </w:rPr>
        <w:t>تفسير النتائج ومناقشتها في ضوء الإطار النظري والدراسات السابقة، واستخلاص الاستنتاجات، ثم تقديم التوصيات والمقترحات المرتبطة بنتائج الدراسة</w:t>
      </w:r>
      <w:r w:rsidRPr="00BB2224">
        <w:rPr>
          <w:rFonts w:ascii="Traditional Arabic" w:hAnsi="Traditional Arabic" w:cs="Traditional Arabic"/>
          <w:sz w:val="32"/>
          <w:szCs w:val="32"/>
          <w:lang w:val="en-US"/>
        </w:rPr>
        <w:t>.</w:t>
      </w:r>
    </w:p>
    <w:p w14:paraId="46CF7BDA" w14:textId="77777777" w:rsidR="007419CC" w:rsidRPr="00BB2224" w:rsidRDefault="007419CC" w:rsidP="00692479">
      <w:pPr>
        <w:bidi/>
        <w:spacing w:line="360" w:lineRule="auto"/>
        <w:jc w:val="both"/>
        <w:rPr>
          <w:rFonts w:ascii="Traditional Arabic" w:hAnsi="Traditional Arabic" w:cs="Traditional Arabic"/>
          <w:sz w:val="32"/>
          <w:szCs w:val="32"/>
          <w:rtl/>
          <w:lang w:val="en-US"/>
        </w:rPr>
      </w:pPr>
    </w:p>
    <w:p w14:paraId="20CF27D3"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3.11 الأساليب الإحصائية المستخدمة</w:t>
      </w:r>
    </w:p>
    <w:p w14:paraId="46378405"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بعد الانتهاء من جمع البيانات ومراجعة الاستبانات والتأكد من صلاحيتها للتحليل الإحصائي، أُدخلت البيانات إلى الحاسب الآلي، وتم تحليلها باستخدام برنامج الحزمة الإحصائية للعلوم الاجتماعية (</w:t>
      </w:r>
      <w:r w:rsidRPr="00E30AB8">
        <w:rPr>
          <w:rFonts w:ascii="Traditional Arabic" w:hAnsi="Traditional Arabic" w:cs="Traditional Arabic"/>
          <w:sz w:val="32"/>
          <w:szCs w:val="32"/>
          <w:lang w:val="en-US"/>
        </w:rPr>
        <w:t>Statistical Package for the Social Sciences - SPSS</w:t>
      </w:r>
      <w:r w:rsidRPr="00E30AB8">
        <w:rPr>
          <w:rFonts w:ascii="Traditional Arabic" w:hAnsi="Traditional Arabic" w:cs="Traditional Arabic"/>
          <w:sz w:val="32"/>
          <w:szCs w:val="32"/>
          <w:rtl/>
          <w:lang w:val="en-US"/>
        </w:rPr>
        <w:t>)، وذلك للإجابة عن أسئلة الدراسة واختبار فرضياتها. وقد استخدم الباحث مجموعة من الأساليب الإحصائية التي تتناسب مع طبيعة الدراسة وأهدافها، وذلك على النحو الآتي</w:t>
      </w:r>
      <w:r w:rsidRPr="00E30AB8">
        <w:rPr>
          <w:rFonts w:ascii="Traditional Arabic" w:hAnsi="Traditional Arabic" w:cs="Traditional Arabic"/>
          <w:sz w:val="32"/>
          <w:szCs w:val="32"/>
          <w:lang w:val="en-US"/>
        </w:rPr>
        <w:t>:</w:t>
      </w:r>
    </w:p>
    <w:p w14:paraId="5AD0A0C3"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التكرارات والنسب المئوية؛ لوصف الخصائص الشخصية والوظيفية لأفراد عينة الدراسة</w:t>
      </w:r>
      <w:r w:rsidRPr="00E30AB8">
        <w:rPr>
          <w:rFonts w:ascii="Traditional Arabic" w:hAnsi="Traditional Arabic" w:cs="Traditional Arabic"/>
          <w:sz w:val="32"/>
          <w:szCs w:val="32"/>
          <w:lang w:val="en-US"/>
        </w:rPr>
        <w:t>.</w:t>
      </w:r>
    </w:p>
    <w:p w14:paraId="10B436BA"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المتوسطات الحسابية والانحرافات المعيارية؛ للتعرف إلى مستوى استجابات أفراد عينة الدراسة على فقرات وأبعاد متغيرات الدراسة</w:t>
      </w:r>
      <w:r w:rsidRPr="00E30AB8">
        <w:rPr>
          <w:rFonts w:ascii="Traditional Arabic" w:hAnsi="Traditional Arabic" w:cs="Traditional Arabic"/>
          <w:sz w:val="32"/>
          <w:szCs w:val="32"/>
          <w:lang w:val="en-US"/>
        </w:rPr>
        <w:t>.</w:t>
      </w:r>
    </w:p>
    <w:p w14:paraId="6CA447E6"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ارتباط بيرسون (</w:t>
      </w:r>
      <w:r w:rsidRPr="00E30AB8">
        <w:rPr>
          <w:rFonts w:ascii="Traditional Arabic" w:hAnsi="Traditional Arabic" w:cs="Traditional Arabic"/>
          <w:sz w:val="32"/>
          <w:szCs w:val="32"/>
          <w:lang w:val="en-US"/>
        </w:rPr>
        <w:t>Pearson Correlation Coefficient</w:t>
      </w:r>
      <w:r w:rsidRPr="00E30AB8">
        <w:rPr>
          <w:rFonts w:ascii="Traditional Arabic" w:hAnsi="Traditional Arabic" w:cs="Traditional Arabic"/>
          <w:sz w:val="32"/>
          <w:szCs w:val="32"/>
          <w:rtl/>
          <w:lang w:val="en-US"/>
        </w:rPr>
        <w:t>)؛ للتحقق من صدق البناء، وقياس قوة واتجاه العلاقة بين فقرات الاستبانة وأبعادها، وكذلك بين الأبعاد والدرجة الكلية للأداة</w:t>
      </w:r>
      <w:r w:rsidRPr="00E30AB8">
        <w:rPr>
          <w:rFonts w:ascii="Traditional Arabic" w:hAnsi="Traditional Arabic" w:cs="Traditional Arabic"/>
          <w:sz w:val="32"/>
          <w:szCs w:val="32"/>
          <w:lang w:val="en-US"/>
        </w:rPr>
        <w:t>.</w:t>
      </w:r>
    </w:p>
    <w:p w14:paraId="75672395"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للتحقق من الاتساق الداخلي وقياس ثبات أداة الدراسة</w:t>
      </w:r>
      <w:r w:rsidRPr="00E30AB8">
        <w:rPr>
          <w:rFonts w:ascii="Traditional Arabic" w:hAnsi="Traditional Arabic" w:cs="Traditional Arabic"/>
          <w:sz w:val="32"/>
          <w:szCs w:val="32"/>
          <w:lang w:val="en-US"/>
        </w:rPr>
        <w:t>.</w:t>
      </w:r>
    </w:p>
    <w:p w14:paraId="10CD1407"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 كولموغوروف–سميرنوف (</w:t>
      </w:r>
      <w:r w:rsidRPr="00E30AB8">
        <w:rPr>
          <w:rFonts w:ascii="Traditional Arabic" w:hAnsi="Traditional Arabic" w:cs="Traditional Arabic"/>
          <w:sz w:val="32"/>
          <w:szCs w:val="32"/>
          <w:lang w:val="en-US"/>
        </w:rPr>
        <w:t>Kolmogorov–Smirnov Test</w:t>
      </w:r>
      <w:r w:rsidRPr="00E30AB8">
        <w:rPr>
          <w:rFonts w:ascii="Traditional Arabic" w:hAnsi="Traditional Arabic" w:cs="Traditional Arabic"/>
          <w:sz w:val="32"/>
          <w:szCs w:val="32"/>
          <w:rtl/>
          <w:lang w:val="en-US"/>
        </w:rPr>
        <w:t>)؛ للتحقق من مدى اتباع البيانات للتوزيع الطبيعي قبل إجراء اختبارات الانحدار.</w:t>
      </w:r>
    </w:p>
    <w:p w14:paraId="2685FEA0"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معاملات تضخم التباين (</w:t>
      </w:r>
      <w:r w:rsidRPr="00E30AB8">
        <w:rPr>
          <w:rFonts w:ascii="Traditional Arabic" w:hAnsi="Traditional Arabic" w:cs="Traditional Arabic"/>
          <w:sz w:val="32"/>
          <w:szCs w:val="32"/>
          <w:lang w:val="en-US"/>
        </w:rPr>
        <w:t>Variance Inflation Factor - VIF</w:t>
      </w:r>
      <w:r w:rsidRPr="00E30AB8">
        <w:rPr>
          <w:rFonts w:ascii="Traditional Arabic" w:hAnsi="Traditional Arabic" w:cs="Traditional Arabic"/>
          <w:sz w:val="32"/>
          <w:szCs w:val="32"/>
          <w:rtl/>
          <w:lang w:val="en-US"/>
        </w:rPr>
        <w:t>) وقيم التباين المسموح (</w:t>
      </w:r>
      <w:r w:rsidRPr="00E30AB8">
        <w:rPr>
          <w:rFonts w:ascii="Traditional Arabic" w:hAnsi="Traditional Arabic" w:cs="Traditional Arabic"/>
          <w:sz w:val="32"/>
          <w:szCs w:val="32"/>
          <w:lang w:val="en-US"/>
        </w:rPr>
        <w:t>Tolerance</w:t>
      </w:r>
      <w:r w:rsidRPr="00E30AB8">
        <w:rPr>
          <w:rFonts w:ascii="Traditional Arabic" w:hAnsi="Traditional Arabic" w:cs="Traditional Arabic"/>
          <w:sz w:val="32"/>
          <w:szCs w:val="32"/>
          <w:rtl/>
          <w:lang w:val="en-US"/>
        </w:rPr>
        <w:t>)؛ للتحقق من عدم وجود مشكلة التداخل الخطي (</w:t>
      </w:r>
      <w:proofErr w:type="spellStart"/>
      <w:r w:rsidRPr="00E30AB8">
        <w:rPr>
          <w:rFonts w:ascii="Traditional Arabic" w:hAnsi="Traditional Arabic" w:cs="Traditional Arabic"/>
          <w:sz w:val="32"/>
          <w:szCs w:val="32"/>
          <w:lang w:val="en-US"/>
        </w:rPr>
        <w:t>Multicollinearity</w:t>
      </w:r>
      <w:proofErr w:type="spellEnd"/>
      <w:r w:rsidRPr="00E30AB8">
        <w:rPr>
          <w:rFonts w:ascii="Traditional Arabic" w:hAnsi="Traditional Arabic" w:cs="Traditional Arabic"/>
          <w:sz w:val="32"/>
          <w:szCs w:val="32"/>
          <w:rtl/>
          <w:lang w:val="en-US"/>
        </w:rPr>
        <w:t>) بين أبعاد المتغير المستقل.</w:t>
      </w:r>
    </w:p>
    <w:p w14:paraId="7D860ECC"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تحليل الانحدار الخطي المتعدد (</w:t>
      </w:r>
      <w:r w:rsidRPr="00E30AB8">
        <w:rPr>
          <w:rFonts w:ascii="Traditional Arabic" w:hAnsi="Traditional Arabic" w:cs="Traditional Arabic"/>
          <w:sz w:val="32"/>
          <w:szCs w:val="32"/>
          <w:lang w:val="en-US"/>
        </w:rPr>
        <w:t>Multiple Linear Regression</w:t>
      </w:r>
      <w:r w:rsidRPr="00E30AB8">
        <w:rPr>
          <w:rFonts w:ascii="Traditional Arabic" w:hAnsi="Traditional Arabic" w:cs="Traditional Arabic"/>
          <w:sz w:val="32"/>
          <w:szCs w:val="32"/>
          <w:rtl/>
          <w:lang w:val="en-US"/>
        </w:rPr>
        <w:t>)؛ لاختبار أثر أبعاد التحول الرقمي مجتمعة ومنفردة في الاستقرار الوظيفي لدى العاملين في المستشفيات الحكومية بمدينة جدة، واختبار الفرضية الرئيسة والفرضيات الفرعية للدراسة</w:t>
      </w:r>
      <w:r w:rsidRPr="00E30AB8">
        <w:rPr>
          <w:rFonts w:ascii="Traditional Arabic" w:hAnsi="Traditional Arabic" w:cs="Traditional Arabic"/>
          <w:sz w:val="32"/>
          <w:szCs w:val="32"/>
          <w:lang w:val="en-US"/>
        </w:rPr>
        <w:t>.</w:t>
      </w:r>
    </w:p>
    <w:p w14:paraId="1AF29DAD"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التحديد (</w:t>
      </w:r>
      <w:r w:rsidRPr="00E30AB8">
        <w:rPr>
          <w:rFonts w:ascii="Traditional Arabic" w:hAnsi="Traditional Arabic" w:cs="Traditional Arabic"/>
          <w:sz w:val="32"/>
          <w:szCs w:val="32"/>
          <w:lang w:val="en-US"/>
        </w:rPr>
        <w:t>R²</w:t>
      </w:r>
      <w:r w:rsidRPr="00E30AB8">
        <w:rPr>
          <w:rFonts w:ascii="Traditional Arabic" w:hAnsi="Traditional Arabic" w:cs="Traditional Arabic"/>
          <w:sz w:val="32"/>
          <w:szCs w:val="32"/>
          <w:rtl/>
          <w:lang w:val="en-US"/>
        </w:rPr>
        <w:t>)؛ لتحديد نسبة التباين في المتغير التابع التي يمكن تفسيرها من خلال أبعاد المتغير المستقل</w:t>
      </w:r>
      <w:r w:rsidRPr="00E30AB8">
        <w:rPr>
          <w:rFonts w:ascii="Traditional Arabic" w:hAnsi="Traditional Arabic" w:cs="Traditional Arabic"/>
          <w:sz w:val="32"/>
          <w:szCs w:val="32"/>
          <w:lang w:val="en-US"/>
        </w:rPr>
        <w:t>.</w:t>
      </w:r>
    </w:p>
    <w:p w14:paraId="6897A92C"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w:t>
      </w:r>
      <w:r w:rsidRPr="00E30AB8">
        <w:rPr>
          <w:rFonts w:ascii="Traditional Arabic" w:hAnsi="Traditional Arabic" w:cs="Traditional Arabic"/>
          <w:sz w:val="32"/>
          <w:szCs w:val="32"/>
          <w:lang w:val="en-US"/>
        </w:rPr>
        <w:t xml:space="preserve"> (F)</w:t>
      </w:r>
      <w:r w:rsidRPr="00E30AB8">
        <w:rPr>
          <w:rFonts w:ascii="Traditional Arabic" w:hAnsi="Traditional Arabic" w:cs="Traditional Arabic"/>
          <w:sz w:val="32"/>
          <w:szCs w:val="32"/>
          <w:rtl/>
          <w:lang w:val="en-US"/>
        </w:rPr>
        <w:t>؛ للتحقق من معنوية نموذج الانحدار ككل، واختبار</w:t>
      </w:r>
      <w:r w:rsidRPr="00E30AB8">
        <w:rPr>
          <w:rFonts w:ascii="Traditional Arabic" w:hAnsi="Traditional Arabic" w:cs="Traditional Arabic"/>
          <w:sz w:val="32"/>
          <w:szCs w:val="32"/>
          <w:lang w:val="en-US"/>
        </w:rPr>
        <w:t xml:space="preserve"> (t)</w:t>
      </w:r>
      <w:r w:rsidRPr="00E30AB8">
        <w:rPr>
          <w:rFonts w:ascii="Traditional Arabic" w:hAnsi="Traditional Arabic" w:cs="Traditional Arabic"/>
          <w:sz w:val="32"/>
          <w:szCs w:val="32"/>
          <w:rtl/>
          <w:lang w:val="en-US"/>
        </w:rPr>
        <w:t>؛ للتحقق من معنوية معاملات الانحدار لكل بعد من أبعاد المتغير المستقل</w:t>
      </w:r>
      <w:r w:rsidRPr="00E30AB8">
        <w:rPr>
          <w:rFonts w:ascii="Traditional Arabic" w:hAnsi="Traditional Arabic" w:cs="Traditional Arabic"/>
          <w:sz w:val="32"/>
          <w:szCs w:val="32"/>
          <w:lang w:val="en-US"/>
        </w:rPr>
        <w:t>.</w:t>
      </w:r>
    </w:p>
    <w:p w14:paraId="1D41E716" w14:textId="77777777" w:rsidR="00E30AB8" w:rsidRDefault="00313D61" w:rsidP="00313D61">
      <w:pPr>
        <w:bidi/>
        <w:spacing w:line="360" w:lineRule="auto"/>
        <w:jc w:val="both"/>
        <w:rPr>
          <w:rFonts w:ascii="Traditional Arabic" w:hAnsi="Traditional Arabic" w:cs="Traditional Arabic"/>
          <w:sz w:val="32"/>
          <w:szCs w:val="32"/>
          <w:rtl/>
          <w:lang w:val="en-US"/>
        </w:rPr>
      </w:pPr>
      <w:r w:rsidRPr="00313D61">
        <w:rPr>
          <w:rFonts w:ascii="Traditional Arabic" w:hAnsi="Traditional Arabic" w:cs="Traditional Arabic"/>
          <w:sz w:val="32"/>
          <w:szCs w:val="32"/>
          <w:rtl/>
          <w:lang w:val="en-US"/>
        </w:rPr>
        <w:t xml:space="preserve">وقبل اختبار فرضيات الدراسة، سيتم التحقق من استيفاء البيانات للافتراضات الأساسية اللازمة لتطبيق تحليل الانحدار الخطي المتعدد، وذلك من خلال فحص استقلالية الأخطاء باستخدام إحصائية </w:t>
      </w:r>
      <w:r w:rsidRPr="00313D61">
        <w:rPr>
          <w:rFonts w:ascii="Traditional Arabic" w:hAnsi="Traditional Arabic" w:cs="Traditional Arabic"/>
          <w:sz w:val="32"/>
          <w:szCs w:val="32"/>
          <w:lang w:val="en-US"/>
        </w:rPr>
        <w:t>Durbin–Watson</w:t>
      </w:r>
      <w:r w:rsidRPr="00313D61">
        <w:rPr>
          <w:rFonts w:ascii="Traditional Arabic" w:hAnsi="Traditional Arabic" w:cs="Traditional Arabic"/>
          <w:sz w:val="32"/>
          <w:szCs w:val="32"/>
          <w:rtl/>
          <w:lang w:val="en-US"/>
        </w:rPr>
        <w:t>، والتحقق من عدم وجود مشكلة التعدد الخطي باستخدام مؤشري (</w:t>
      </w:r>
      <w:r w:rsidRPr="00313D61">
        <w:rPr>
          <w:rFonts w:ascii="Traditional Arabic" w:hAnsi="Traditional Arabic" w:cs="Traditional Arabic"/>
          <w:sz w:val="32"/>
          <w:szCs w:val="32"/>
          <w:lang w:val="en-US"/>
        </w:rPr>
        <w:t>Tolerance</w:t>
      </w:r>
      <w:r w:rsidRPr="00313D61">
        <w:rPr>
          <w:rFonts w:ascii="Traditional Arabic" w:hAnsi="Traditional Arabic" w:cs="Traditional Arabic"/>
          <w:sz w:val="32"/>
          <w:szCs w:val="32"/>
          <w:rtl/>
          <w:lang w:val="en-US"/>
        </w:rPr>
        <w:t>) و(</w:t>
      </w:r>
      <w:r w:rsidRPr="00313D61">
        <w:rPr>
          <w:rFonts w:ascii="Traditional Arabic" w:hAnsi="Traditional Arabic" w:cs="Traditional Arabic"/>
          <w:sz w:val="32"/>
          <w:szCs w:val="32"/>
          <w:lang w:val="en-US"/>
        </w:rPr>
        <w:t>VIF</w:t>
      </w:r>
      <w:r w:rsidRPr="00313D61">
        <w:rPr>
          <w:rFonts w:ascii="Traditional Arabic" w:hAnsi="Traditional Arabic" w:cs="Traditional Arabic"/>
          <w:sz w:val="32"/>
          <w:szCs w:val="32"/>
          <w:rtl/>
          <w:lang w:val="en-US"/>
        </w:rPr>
        <w:t>)، إضافة إلى فحص الخطية والتجانس والكشف عن القيم المتطرفة باستخدام الرسوم البيانية والإجراءات الإحصائية المناسبة، بما يضمن سلامة نتائج التحليل الإحصائي ودقتها</w:t>
      </w:r>
      <w:r w:rsidRPr="00313D61">
        <w:rPr>
          <w:rFonts w:ascii="Traditional Arabic" w:hAnsi="Traditional Arabic" w:cs="Traditional Arabic"/>
          <w:sz w:val="32"/>
          <w:szCs w:val="32"/>
        </w:rPr>
        <w:t>.</w:t>
      </w:r>
      <w:r>
        <w:rPr>
          <w:rFonts w:ascii="Traditional Arabic" w:hAnsi="Traditional Arabic" w:cs="Traditional Arabic" w:hint="cs"/>
          <w:sz w:val="32"/>
          <w:szCs w:val="32"/>
          <w:rtl/>
        </w:rPr>
        <w:t xml:space="preserve"> </w:t>
      </w:r>
      <w:r w:rsidR="00E30AB8" w:rsidRPr="00E30AB8">
        <w:rPr>
          <w:rFonts w:ascii="Traditional Arabic" w:hAnsi="Traditional Arabic" w:cs="Traditional Arabic"/>
          <w:sz w:val="32"/>
          <w:szCs w:val="32"/>
          <w:rtl/>
          <w:lang w:val="en-US"/>
        </w:rPr>
        <w:t>واعتمدت الدراسة مستوى الدلالة الإحصائية (</w:t>
      </w:r>
      <w:r w:rsidR="00E30AB8" w:rsidRPr="00E30AB8">
        <w:rPr>
          <w:rFonts w:ascii="Times New Roman" w:hAnsi="Times New Roman" w:cs="Times New Roman"/>
          <w:sz w:val="32"/>
          <w:szCs w:val="32"/>
          <w:lang w:val="en-US"/>
        </w:rPr>
        <w:t>α</w:t>
      </w:r>
      <w:r w:rsidR="00E30AB8" w:rsidRPr="00E30AB8">
        <w:rPr>
          <w:rFonts w:ascii="Traditional Arabic" w:hAnsi="Traditional Arabic" w:cs="Traditional Arabic"/>
          <w:sz w:val="32"/>
          <w:szCs w:val="32"/>
          <w:lang w:val="en-US"/>
        </w:rPr>
        <w:t xml:space="preserve"> </w:t>
      </w:r>
      <w:r w:rsidR="00E30AB8" w:rsidRPr="00E30AB8">
        <w:rPr>
          <w:rFonts w:ascii="Times New Roman" w:hAnsi="Times New Roman" w:cs="Times New Roman"/>
          <w:sz w:val="32"/>
          <w:szCs w:val="32"/>
          <w:lang w:val="en-US"/>
        </w:rPr>
        <w:t>≤</w:t>
      </w:r>
      <w:r w:rsidR="00E30AB8" w:rsidRPr="00E30AB8">
        <w:rPr>
          <w:rFonts w:ascii="Traditional Arabic" w:hAnsi="Traditional Arabic" w:cs="Traditional Arabic"/>
          <w:sz w:val="32"/>
          <w:szCs w:val="32"/>
          <w:lang w:val="en-US"/>
        </w:rPr>
        <w:t xml:space="preserve"> 0.05</w:t>
      </w:r>
      <w:r w:rsidR="00E30AB8" w:rsidRPr="00E30AB8">
        <w:rPr>
          <w:rFonts w:ascii="Traditional Arabic" w:hAnsi="Traditional Arabic" w:cs="Traditional Arabic"/>
          <w:sz w:val="32"/>
          <w:szCs w:val="32"/>
          <w:rtl/>
          <w:lang w:val="en-US"/>
        </w:rPr>
        <w:t>) معيارًا للحكم على دلالة النتائج الإحصائية، حيث عُدت النتائج ذات دلالة إحصائية إذا كانت قيمة مستوى الدلالة أقل من أو تساوي (0.05).</w:t>
      </w:r>
    </w:p>
    <w:p w14:paraId="044AF244" w14:textId="77777777" w:rsidR="00D46B92" w:rsidRPr="00D954DC" w:rsidRDefault="00D46B92" w:rsidP="00D954DC">
      <w:pPr>
        <w:bidi/>
        <w:spacing w:after="0" w:line="240" w:lineRule="auto"/>
        <w:jc w:val="center"/>
        <w:rPr>
          <w:rFonts w:ascii="Traditional Arabic" w:hAnsi="Traditional Arabic" w:cs="Traditional Arabic"/>
          <w:b/>
          <w:bCs/>
          <w:sz w:val="32"/>
          <w:szCs w:val="32"/>
          <w:lang w:val="en-US"/>
        </w:rPr>
      </w:pPr>
      <w:r w:rsidRPr="00D954DC">
        <w:rPr>
          <w:rFonts w:ascii="Traditional Arabic" w:hAnsi="Traditional Arabic" w:cs="Traditional Arabic"/>
          <w:b/>
          <w:bCs/>
          <w:sz w:val="32"/>
          <w:szCs w:val="32"/>
          <w:rtl/>
          <w:lang w:val="en-US"/>
        </w:rPr>
        <w:t>جدول (</w:t>
      </w:r>
      <w:r w:rsidR="00D954DC" w:rsidRPr="00D954DC">
        <w:rPr>
          <w:rFonts w:ascii="Traditional Arabic" w:hAnsi="Traditional Arabic" w:cs="Traditional Arabic" w:hint="cs"/>
          <w:b/>
          <w:bCs/>
          <w:sz w:val="32"/>
          <w:szCs w:val="32"/>
          <w:rtl/>
          <w:lang w:val="en-US"/>
        </w:rPr>
        <w:t>3.7</w:t>
      </w:r>
      <w:r w:rsidRPr="00D954DC">
        <w:rPr>
          <w:rFonts w:ascii="Traditional Arabic" w:hAnsi="Traditional Arabic" w:cs="Traditional Arabic"/>
          <w:b/>
          <w:bCs/>
          <w:sz w:val="32"/>
          <w:szCs w:val="32"/>
          <w:rtl/>
          <w:lang w:val="en-US"/>
        </w:rPr>
        <w:t>) خطة التحليل الإحصائي وربط أسئلة الدراسة وفرضياتها بالأساليب الإحصائية</w:t>
      </w:r>
    </w:p>
    <w:tbl>
      <w:tblPr>
        <w:tblStyle w:val="TableGrid"/>
        <w:bidiVisual/>
        <w:tblW w:w="0" w:type="auto"/>
        <w:tblLook w:val="04A0" w:firstRow="1" w:lastRow="0" w:firstColumn="1" w:lastColumn="0" w:noHBand="0" w:noVBand="1"/>
      </w:tblPr>
      <w:tblGrid>
        <w:gridCol w:w="355"/>
        <w:gridCol w:w="3380"/>
        <w:gridCol w:w="1379"/>
        <w:gridCol w:w="2205"/>
        <w:gridCol w:w="2018"/>
      </w:tblGrid>
      <w:tr w:rsidR="00D46B92" w:rsidRPr="00D46B92" w14:paraId="666B7E07" w14:textId="77777777" w:rsidTr="00D46B92">
        <w:tc>
          <w:tcPr>
            <w:tcW w:w="0" w:type="auto"/>
            <w:hideMark/>
          </w:tcPr>
          <w:p w14:paraId="4A3CC1D1"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م</w:t>
            </w:r>
          </w:p>
        </w:tc>
        <w:tc>
          <w:tcPr>
            <w:tcW w:w="0" w:type="auto"/>
            <w:hideMark/>
          </w:tcPr>
          <w:p w14:paraId="17E441B9"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سؤال الدراسة / الفرضية</w:t>
            </w:r>
          </w:p>
        </w:tc>
        <w:tc>
          <w:tcPr>
            <w:tcW w:w="0" w:type="auto"/>
            <w:hideMark/>
          </w:tcPr>
          <w:p w14:paraId="2ABA2509"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الهدف المقابل</w:t>
            </w:r>
          </w:p>
        </w:tc>
        <w:tc>
          <w:tcPr>
            <w:tcW w:w="0" w:type="auto"/>
            <w:hideMark/>
          </w:tcPr>
          <w:p w14:paraId="422B810B"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الأسلوب الإحصائي</w:t>
            </w:r>
          </w:p>
        </w:tc>
        <w:tc>
          <w:tcPr>
            <w:tcW w:w="0" w:type="auto"/>
            <w:hideMark/>
          </w:tcPr>
          <w:p w14:paraId="1A02545F" w14:textId="77777777" w:rsidR="00D46B92" w:rsidRPr="00D46B92" w:rsidRDefault="00D46B92" w:rsidP="00D46B92">
            <w:pPr>
              <w:bidi/>
              <w:jc w:val="both"/>
              <w:rPr>
                <w:rFonts w:ascii="Traditional Arabic" w:hAnsi="Traditional Arabic" w:cs="Traditional Arabic"/>
                <w:b/>
                <w:bCs/>
                <w:sz w:val="28"/>
                <w:szCs w:val="28"/>
                <w:lang w:val="en-US"/>
              </w:rPr>
            </w:pPr>
            <w:r w:rsidRPr="00D46B92">
              <w:rPr>
                <w:rFonts w:ascii="Traditional Arabic" w:hAnsi="Traditional Arabic" w:cs="Traditional Arabic"/>
                <w:b/>
                <w:bCs/>
                <w:sz w:val="28"/>
                <w:szCs w:val="28"/>
                <w:rtl/>
                <w:lang w:val="en-US"/>
              </w:rPr>
              <w:t>المؤشرات الإحصائية المتوقع عرضها</w:t>
            </w:r>
          </w:p>
        </w:tc>
      </w:tr>
      <w:tr w:rsidR="00D46B92" w:rsidRPr="00D46B92" w14:paraId="45DF6085" w14:textId="77777777" w:rsidTr="00D46B92">
        <w:tc>
          <w:tcPr>
            <w:tcW w:w="0" w:type="auto"/>
            <w:hideMark/>
          </w:tcPr>
          <w:p w14:paraId="44CEB141"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1</w:t>
            </w:r>
          </w:p>
        </w:tc>
        <w:tc>
          <w:tcPr>
            <w:tcW w:w="0" w:type="auto"/>
            <w:hideMark/>
          </w:tcPr>
          <w:p w14:paraId="4872D4DE"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ما مستوى تطبيق أبعاد التحول الرقمي (البنية التحتية الرقمية والتقنيات الرقمية، والكفاءة الرقمية للموظفين، وتكامل الأنظمة الرقمية وعمليات الرقمنة، والأمن وحماية البيانات الرقمية)؟</w:t>
            </w:r>
          </w:p>
        </w:tc>
        <w:tc>
          <w:tcPr>
            <w:tcW w:w="0" w:type="auto"/>
            <w:hideMark/>
          </w:tcPr>
          <w:p w14:paraId="785D22B6"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التعرف على مستوى تطبيق أبعاد التحول الرقمي</w:t>
            </w:r>
          </w:p>
        </w:tc>
        <w:tc>
          <w:tcPr>
            <w:tcW w:w="0" w:type="auto"/>
            <w:hideMark/>
          </w:tcPr>
          <w:p w14:paraId="280986B2"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الإحصاءات الوصفية</w:t>
            </w:r>
          </w:p>
        </w:tc>
        <w:tc>
          <w:tcPr>
            <w:tcW w:w="0" w:type="auto"/>
            <w:hideMark/>
          </w:tcPr>
          <w:p w14:paraId="108127C5"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التكرارات، النسب المئوية، المتوسطات الحسابية، الانحرافات المعيارية، الرتب</w:t>
            </w:r>
          </w:p>
        </w:tc>
      </w:tr>
      <w:tr w:rsidR="00D46B92" w:rsidRPr="00D46B92" w14:paraId="24D47610" w14:textId="77777777" w:rsidTr="00D46B92">
        <w:tc>
          <w:tcPr>
            <w:tcW w:w="0" w:type="auto"/>
            <w:hideMark/>
          </w:tcPr>
          <w:p w14:paraId="2586B1C0"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2</w:t>
            </w:r>
          </w:p>
        </w:tc>
        <w:tc>
          <w:tcPr>
            <w:tcW w:w="0" w:type="auto"/>
            <w:hideMark/>
          </w:tcPr>
          <w:p w14:paraId="3B5DC7A6"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ما مستوى الاستقرار الوظيفي لدى العاملين في المستشفيات الحكومية بمدينة جدة؟</w:t>
            </w:r>
          </w:p>
        </w:tc>
        <w:tc>
          <w:tcPr>
            <w:tcW w:w="0" w:type="auto"/>
            <w:hideMark/>
          </w:tcPr>
          <w:p w14:paraId="17C10E4A"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التعرف على مستوى الاستقرار الوظيفي</w:t>
            </w:r>
          </w:p>
        </w:tc>
        <w:tc>
          <w:tcPr>
            <w:tcW w:w="0" w:type="auto"/>
            <w:hideMark/>
          </w:tcPr>
          <w:p w14:paraId="644DDE55"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الإحصاءات الوصفية</w:t>
            </w:r>
          </w:p>
        </w:tc>
        <w:tc>
          <w:tcPr>
            <w:tcW w:w="0" w:type="auto"/>
            <w:hideMark/>
          </w:tcPr>
          <w:p w14:paraId="1A575E97"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المتوسطات الحسابية، الانحرافات المعيارية، الرتب</w:t>
            </w:r>
          </w:p>
        </w:tc>
      </w:tr>
      <w:tr w:rsidR="00D46B92" w:rsidRPr="00D46B92" w14:paraId="38C8ABA2" w14:textId="77777777" w:rsidTr="00D46B92">
        <w:tc>
          <w:tcPr>
            <w:tcW w:w="0" w:type="auto"/>
            <w:hideMark/>
          </w:tcPr>
          <w:p w14:paraId="05C207ED"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3</w:t>
            </w:r>
          </w:p>
        </w:tc>
        <w:tc>
          <w:tcPr>
            <w:tcW w:w="0" w:type="auto"/>
            <w:hideMark/>
          </w:tcPr>
          <w:p w14:paraId="7FB6C6D7"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rtl/>
                <w:lang w:val="en-US"/>
              </w:rPr>
              <w:t>: لا يوجد أثر ذو دلالة إحصائية لأبعاد التحول الرقمي مجتمعة في الاستقرار الوظيفي.</w:t>
            </w:r>
          </w:p>
        </w:tc>
        <w:tc>
          <w:tcPr>
            <w:tcW w:w="0" w:type="auto"/>
            <w:hideMark/>
          </w:tcPr>
          <w:p w14:paraId="21F72BB4"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اختبار الفرضية الرئيسة</w:t>
            </w:r>
          </w:p>
        </w:tc>
        <w:tc>
          <w:tcPr>
            <w:tcW w:w="0" w:type="auto"/>
            <w:hideMark/>
          </w:tcPr>
          <w:p w14:paraId="22546D23"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الانحدار الخطي المتعدد</w:t>
            </w:r>
            <w:r w:rsidRPr="00D954DC">
              <w:rPr>
                <w:rFonts w:ascii="Traditional Arabic" w:hAnsi="Traditional Arabic" w:cs="Traditional Arabic"/>
                <w:sz w:val="28"/>
                <w:szCs w:val="28"/>
                <w:lang w:val="en-US"/>
              </w:rPr>
              <w:t xml:space="preserve"> (Multiple Linear Regression)</w:t>
            </w:r>
          </w:p>
        </w:tc>
        <w:tc>
          <w:tcPr>
            <w:tcW w:w="0" w:type="auto"/>
            <w:hideMark/>
          </w:tcPr>
          <w:p w14:paraId="1BEB9BE7"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R</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R²</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Adjusted R²</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F</w:t>
            </w:r>
            <w:r w:rsidRPr="00D46B92">
              <w:rPr>
                <w:rFonts w:ascii="Traditional Arabic" w:hAnsi="Traditional Arabic" w:cs="Traditional Arabic"/>
                <w:sz w:val="28"/>
                <w:szCs w:val="28"/>
                <w:rtl/>
                <w:lang w:val="en-US"/>
              </w:rPr>
              <w:t>، مستوى الدلالة</w:t>
            </w:r>
            <w:r w:rsidRPr="00D46B92">
              <w:rPr>
                <w:rFonts w:ascii="Traditional Arabic" w:hAnsi="Traditional Arabic" w:cs="Traditional Arabic"/>
                <w:sz w:val="28"/>
                <w:szCs w:val="28"/>
                <w:lang w:val="en-US"/>
              </w:rPr>
              <w:t xml:space="preserve"> (Sig.)</w:t>
            </w:r>
          </w:p>
        </w:tc>
      </w:tr>
      <w:tr w:rsidR="00D46B92" w:rsidRPr="00D46B92" w14:paraId="285E5947" w14:textId="77777777" w:rsidTr="00D46B92">
        <w:tc>
          <w:tcPr>
            <w:tcW w:w="0" w:type="auto"/>
            <w:hideMark/>
          </w:tcPr>
          <w:p w14:paraId="056D40F8"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4</w:t>
            </w:r>
          </w:p>
        </w:tc>
        <w:tc>
          <w:tcPr>
            <w:tcW w:w="0" w:type="auto"/>
            <w:hideMark/>
          </w:tcPr>
          <w:p w14:paraId="4B6218C6"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a</w:t>
            </w:r>
            <w:r w:rsidRPr="00D954DC">
              <w:rPr>
                <w:rFonts w:ascii="Traditional Arabic" w:hAnsi="Traditional Arabic" w:cs="Traditional Arabic"/>
                <w:sz w:val="28"/>
                <w:szCs w:val="28"/>
                <w:rtl/>
                <w:lang w:val="en-US"/>
              </w:rPr>
              <w:t>: لا يوجد أثر للبنية التحتية الرقمية والتقنيات الرقمية في الاستقرار الوظيفي.</w:t>
            </w:r>
          </w:p>
        </w:tc>
        <w:tc>
          <w:tcPr>
            <w:tcW w:w="0" w:type="auto"/>
            <w:hideMark/>
          </w:tcPr>
          <w:p w14:paraId="0D5D43FE"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اختبار الفرضية الفرعية الأولى</w:t>
            </w:r>
          </w:p>
        </w:tc>
        <w:tc>
          <w:tcPr>
            <w:tcW w:w="0" w:type="auto"/>
            <w:hideMark/>
          </w:tcPr>
          <w:p w14:paraId="4E061581"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5A73D279"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09CCC154" w14:textId="77777777" w:rsidTr="00D46B92">
        <w:tc>
          <w:tcPr>
            <w:tcW w:w="0" w:type="auto"/>
            <w:hideMark/>
          </w:tcPr>
          <w:p w14:paraId="4693D328"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5</w:t>
            </w:r>
          </w:p>
        </w:tc>
        <w:tc>
          <w:tcPr>
            <w:tcW w:w="0" w:type="auto"/>
            <w:hideMark/>
          </w:tcPr>
          <w:p w14:paraId="3018819F"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b</w:t>
            </w:r>
            <w:r w:rsidRPr="00D954DC">
              <w:rPr>
                <w:rFonts w:ascii="Traditional Arabic" w:hAnsi="Traditional Arabic" w:cs="Traditional Arabic"/>
                <w:sz w:val="28"/>
                <w:szCs w:val="28"/>
                <w:rtl/>
                <w:lang w:val="en-US"/>
              </w:rPr>
              <w:t>: لا يوجد أثر للكفاءة الرقمية للموظفين في الاستقرار الوظيفي.</w:t>
            </w:r>
          </w:p>
        </w:tc>
        <w:tc>
          <w:tcPr>
            <w:tcW w:w="0" w:type="auto"/>
            <w:hideMark/>
          </w:tcPr>
          <w:p w14:paraId="37316D4E"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الثانية</w:t>
            </w:r>
          </w:p>
        </w:tc>
        <w:tc>
          <w:tcPr>
            <w:tcW w:w="0" w:type="auto"/>
            <w:hideMark/>
          </w:tcPr>
          <w:p w14:paraId="7E3B1A2E"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3C68568A"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790323FC" w14:textId="77777777" w:rsidTr="00D46B92">
        <w:tc>
          <w:tcPr>
            <w:tcW w:w="0" w:type="auto"/>
            <w:hideMark/>
          </w:tcPr>
          <w:p w14:paraId="0F217B26"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6</w:t>
            </w:r>
          </w:p>
        </w:tc>
        <w:tc>
          <w:tcPr>
            <w:tcW w:w="0" w:type="auto"/>
            <w:hideMark/>
          </w:tcPr>
          <w:p w14:paraId="127E2D29"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c</w:t>
            </w:r>
            <w:r w:rsidRPr="00D954DC">
              <w:rPr>
                <w:rFonts w:ascii="Traditional Arabic" w:hAnsi="Traditional Arabic" w:cs="Traditional Arabic"/>
                <w:sz w:val="28"/>
                <w:szCs w:val="28"/>
                <w:rtl/>
                <w:lang w:val="en-US"/>
              </w:rPr>
              <w:t>: لا يوجد أثر لتكامل الأنظمة الرقمية وعمليات الرقمنة في الاستقرار الوظيفي.</w:t>
            </w:r>
          </w:p>
        </w:tc>
        <w:tc>
          <w:tcPr>
            <w:tcW w:w="0" w:type="auto"/>
            <w:hideMark/>
          </w:tcPr>
          <w:p w14:paraId="0D9734E5"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الثالثة</w:t>
            </w:r>
          </w:p>
        </w:tc>
        <w:tc>
          <w:tcPr>
            <w:tcW w:w="0" w:type="auto"/>
            <w:hideMark/>
          </w:tcPr>
          <w:p w14:paraId="7CD4F51A"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10CBE454"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r w:rsidR="00D46B92" w:rsidRPr="00D46B92" w14:paraId="78F16267" w14:textId="77777777" w:rsidTr="00D46B92">
        <w:tc>
          <w:tcPr>
            <w:tcW w:w="0" w:type="auto"/>
            <w:hideMark/>
          </w:tcPr>
          <w:p w14:paraId="0888609A"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7</w:t>
            </w:r>
          </w:p>
        </w:tc>
        <w:tc>
          <w:tcPr>
            <w:tcW w:w="0" w:type="auto"/>
            <w:hideMark/>
          </w:tcPr>
          <w:p w14:paraId="72EEB68E" w14:textId="77777777" w:rsidR="00D46B92" w:rsidRPr="00D954DC" w:rsidRDefault="00D46B92" w:rsidP="00D46B92">
            <w:pPr>
              <w:bidi/>
              <w:jc w:val="both"/>
              <w:rPr>
                <w:rFonts w:ascii="Traditional Arabic" w:hAnsi="Traditional Arabic" w:cs="Traditional Arabic"/>
                <w:sz w:val="28"/>
                <w:szCs w:val="28"/>
                <w:lang w:val="en-US"/>
              </w:rPr>
            </w:pPr>
            <w:r w:rsidRPr="00D954DC">
              <w:rPr>
                <w:rFonts w:ascii="Traditional Arabic" w:hAnsi="Traditional Arabic" w:cs="Traditional Arabic"/>
                <w:sz w:val="28"/>
                <w:szCs w:val="28"/>
                <w:lang w:val="en-US"/>
              </w:rPr>
              <w:t>H</w:t>
            </w:r>
            <w:r w:rsidRPr="00D954DC">
              <w:rPr>
                <w:rFonts w:ascii="Times New Roman" w:hAnsi="Times New Roman" w:cs="Times New Roman"/>
                <w:sz w:val="28"/>
                <w:szCs w:val="28"/>
                <w:lang w:val="en-US"/>
              </w:rPr>
              <w:t>₀₁</w:t>
            </w:r>
            <w:r w:rsidRPr="00D954DC">
              <w:rPr>
                <w:rFonts w:ascii="Traditional Arabic" w:hAnsi="Traditional Arabic" w:cs="Traditional Arabic"/>
                <w:sz w:val="28"/>
                <w:szCs w:val="28"/>
                <w:lang w:val="en-US"/>
              </w:rPr>
              <w:t>d</w:t>
            </w:r>
            <w:r w:rsidRPr="00D954DC">
              <w:rPr>
                <w:rFonts w:ascii="Traditional Arabic" w:hAnsi="Traditional Arabic" w:cs="Traditional Arabic"/>
                <w:sz w:val="28"/>
                <w:szCs w:val="28"/>
                <w:rtl/>
                <w:lang w:val="en-US"/>
              </w:rPr>
              <w:t>: لا يوجد أثر للأمن وحماية البيانات الرقمية في الاستقرار الوظيفي.</w:t>
            </w:r>
          </w:p>
        </w:tc>
        <w:tc>
          <w:tcPr>
            <w:tcW w:w="0" w:type="auto"/>
            <w:hideMark/>
          </w:tcPr>
          <w:p w14:paraId="4ADE51C8"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اختبار الفرضية الفرعية الرابعة</w:t>
            </w:r>
          </w:p>
        </w:tc>
        <w:tc>
          <w:tcPr>
            <w:tcW w:w="0" w:type="auto"/>
            <w:hideMark/>
          </w:tcPr>
          <w:p w14:paraId="4DF44A96" w14:textId="77777777" w:rsidR="00D46B92" w:rsidRPr="00D46B92" w:rsidRDefault="00D46B92" w:rsidP="00D46B92">
            <w:pPr>
              <w:bidi/>
              <w:jc w:val="both"/>
              <w:rPr>
                <w:rFonts w:ascii="Traditional Arabic" w:hAnsi="Traditional Arabic" w:cs="Traditional Arabic"/>
                <w:sz w:val="28"/>
                <w:szCs w:val="28"/>
                <w:lang w:val="en-US"/>
              </w:rPr>
            </w:pPr>
            <w:r w:rsidRPr="00D46B92">
              <w:rPr>
                <w:rFonts w:ascii="Traditional Arabic" w:hAnsi="Traditional Arabic" w:cs="Traditional Arabic"/>
                <w:sz w:val="28"/>
                <w:szCs w:val="28"/>
                <w:rtl/>
                <w:lang w:val="en-US"/>
              </w:rPr>
              <w:t>الانحدار الخطي المتعدد (ضمن النموذج الكلي)</w:t>
            </w:r>
          </w:p>
        </w:tc>
        <w:tc>
          <w:tcPr>
            <w:tcW w:w="0" w:type="auto"/>
            <w:hideMark/>
          </w:tcPr>
          <w:p w14:paraId="2FDE29AB" w14:textId="77777777" w:rsidR="00D46B92" w:rsidRPr="00D46B92" w:rsidRDefault="00D46B92" w:rsidP="00D954DC">
            <w:pPr>
              <w:jc w:val="both"/>
              <w:rPr>
                <w:rFonts w:ascii="Traditional Arabic" w:hAnsi="Traditional Arabic" w:cs="Traditional Arabic"/>
                <w:sz w:val="28"/>
                <w:szCs w:val="28"/>
                <w:lang w:val="en-US"/>
              </w:rPr>
            </w:pPr>
            <w:r w:rsidRPr="00D46B92">
              <w:rPr>
                <w:rFonts w:ascii="Traditional Arabic" w:hAnsi="Traditional Arabic" w:cs="Traditional Arabic"/>
                <w:sz w:val="28"/>
                <w:szCs w:val="28"/>
                <w:lang w:val="en-US"/>
              </w:rPr>
              <w:t>Beta</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t</w:t>
            </w:r>
            <w:r w:rsidRPr="00D46B92">
              <w:rPr>
                <w:rFonts w:ascii="Traditional Arabic" w:hAnsi="Traditional Arabic" w:cs="Traditional Arabic"/>
                <w:sz w:val="28"/>
                <w:szCs w:val="28"/>
                <w:rtl/>
                <w:lang w:val="en-US"/>
              </w:rPr>
              <w:t xml:space="preserve">، </w:t>
            </w:r>
            <w:r w:rsidRPr="00D46B92">
              <w:rPr>
                <w:rFonts w:ascii="Traditional Arabic" w:hAnsi="Traditional Arabic" w:cs="Traditional Arabic"/>
                <w:sz w:val="28"/>
                <w:szCs w:val="28"/>
                <w:lang w:val="en-US"/>
              </w:rPr>
              <w:t>Sig.</w:t>
            </w:r>
          </w:p>
        </w:tc>
      </w:tr>
    </w:tbl>
    <w:p w14:paraId="5F590F17" w14:textId="77777777" w:rsidR="00675801" w:rsidRPr="00D46B92" w:rsidRDefault="00D954DC" w:rsidP="00D954DC">
      <w:pPr>
        <w:bidi/>
        <w:spacing w:line="360" w:lineRule="auto"/>
        <w:jc w:val="both"/>
        <w:rPr>
          <w:rFonts w:ascii="Traditional Arabic" w:hAnsi="Traditional Arabic" w:cs="Traditional Arabic"/>
          <w:sz w:val="32"/>
          <w:szCs w:val="32"/>
          <w:rtl/>
          <w:lang w:val="en-US"/>
        </w:rPr>
      </w:pPr>
      <w:r w:rsidRPr="00D954DC">
        <w:rPr>
          <w:rFonts w:ascii="Traditional Arabic" w:hAnsi="Traditional Arabic" w:cs="Traditional Arabic"/>
          <w:sz w:val="32"/>
          <w:szCs w:val="32"/>
          <w:rtl/>
          <w:lang w:val="en-US"/>
        </w:rPr>
        <w:t>يتضح من الجدول السابق أن الإحصاءات الوصفية ستستخدم للإجابة عن السؤالين المتعلقين بمستوى تطبيق أبعاد التحول الرقمي ومستوى الاستقرار الوظيفي، في حين سيستخدم تحليل الانحدار الخطي المتعدد لاختبار الفرضية الرئيسة والفرضيات الفرعية. وسيتم اختبار الفرضية الرئيسة من خلال دلالة النموذج الكلي وقيمة</w:t>
      </w:r>
      <w:r w:rsidRPr="00D954DC">
        <w:rPr>
          <w:rFonts w:ascii="Traditional Arabic" w:hAnsi="Traditional Arabic" w:cs="Traditional Arabic"/>
          <w:sz w:val="32"/>
          <w:szCs w:val="32"/>
        </w:rPr>
        <w:t xml:space="preserve"> (F) </w:t>
      </w:r>
      <w:r w:rsidRPr="00D954DC">
        <w:rPr>
          <w:rFonts w:ascii="Traditional Arabic" w:hAnsi="Traditional Arabic" w:cs="Traditional Arabic"/>
          <w:sz w:val="32"/>
          <w:szCs w:val="32"/>
          <w:rtl/>
          <w:lang w:val="en-US"/>
        </w:rPr>
        <w:t>ومعامل التحديد</w:t>
      </w:r>
      <w:r w:rsidRPr="00D954DC">
        <w:rPr>
          <w:rFonts w:ascii="Traditional Arabic" w:hAnsi="Traditional Arabic" w:cs="Traditional Arabic"/>
          <w:sz w:val="32"/>
          <w:szCs w:val="32"/>
        </w:rPr>
        <w:t xml:space="preserve"> (R²)</w:t>
      </w:r>
      <w:r w:rsidRPr="00D954DC">
        <w:rPr>
          <w:rFonts w:ascii="Traditional Arabic" w:hAnsi="Traditional Arabic" w:cs="Traditional Arabic"/>
          <w:sz w:val="32"/>
          <w:szCs w:val="32"/>
          <w:rtl/>
          <w:lang w:val="en-US"/>
        </w:rPr>
        <w:t>، بينما سيتم اختبار الفرضيات الفرعية من خلال معاملات الانحدار المعيارية</w:t>
      </w:r>
      <w:r w:rsidRPr="00D954DC">
        <w:rPr>
          <w:rFonts w:ascii="Traditional Arabic" w:hAnsi="Traditional Arabic" w:cs="Traditional Arabic"/>
          <w:sz w:val="32"/>
          <w:szCs w:val="32"/>
        </w:rPr>
        <w:t xml:space="preserve"> (Beta) </w:t>
      </w:r>
      <w:r w:rsidRPr="00D954DC">
        <w:rPr>
          <w:rFonts w:ascii="Traditional Arabic" w:hAnsi="Traditional Arabic" w:cs="Traditional Arabic"/>
          <w:sz w:val="32"/>
          <w:szCs w:val="32"/>
          <w:rtl/>
          <w:lang w:val="en-US"/>
        </w:rPr>
        <w:t>وقيم</w:t>
      </w:r>
      <w:r w:rsidRPr="00D954DC">
        <w:rPr>
          <w:rFonts w:ascii="Traditional Arabic" w:hAnsi="Traditional Arabic" w:cs="Traditional Arabic"/>
          <w:sz w:val="32"/>
          <w:szCs w:val="32"/>
        </w:rPr>
        <w:t xml:space="preserve"> (t) </w:t>
      </w:r>
      <w:r w:rsidRPr="00D954DC">
        <w:rPr>
          <w:rFonts w:ascii="Traditional Arabic" w:hAnsi="Traditional Arabic" w:cs="Traditional Arabic"/>
          <w:sz w:val="32"/>
          <w:szCs w:val="32"/>
          <w:rtl/>
          <w:lang w:val="en-US"/>
        </w:rPr>
        <w:t>ومستويات الدلالة الإحصائية الخاصة بكل بعد من أبعاد التحول الرقمي</w:t>
      </w:r>
      <w:r w:rsidRPr="00D954DC">
        <w:rPr>
          <w:rFonts w:ascii="Traditional Arabic" w:hAnsi="Traditional Arabic" w:cs="Traditional Arabic"/>
          <w:sz w:val="32"/>
          <w:szCs w:val="32"/>
        </w:rPr>
        <w:t>.</w:t>
      </w:r>
    </w:p>
    <w:p w14:paraId="76A4C0FD" w14:textId="77777777" w:rsidR="00675801" w:rsidRPr="009E4789" w:rsidRDefault="009E4789" w:rsidP="00675801">
      <w:pPr>
        <w:bidi/>
        <w:spacing w:line="360" w:lineRule="auto"/>
        <w:jc w:val="both"/>
        <w:rPr>
          <w:rFonts w:ascii="Traditional Arabic" w:hAnsi="Traditional Arabic" w:cs="Traditional Arabic"/>
          <w:b/>
          <w:bCs/>
          <w:sz w:val="32"/>
          <w:szCs w:val="32"/>
          <w:rtl/>
          <w:lang w:val="en-US"/>
        </w:rPr>
      </w:pPr>
      <w:r w:rsidRPr="009E4789">
        <w:rPr>
          <w:rFonts w:ascii="Traditional Arabic" w:hAnsi="Traditional Arabic" w:cs="Traditional Arabic" w:hint="cs"/>
          <w:b/>
          <w:bCs/>
          <w:sz w:val="32"/>
          <w:szCs w:val="32"/>
          <w:rtl/>
          <w:lang w:val="en-US"/>
        </w:rPr>
        <w:t xml:space="preserve">3.12 الاعتبارات الأخلاقية </w:t>
      </w:r>
    </w:p>
    <w:p w14:paraId="298CAFBC"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التزمت هذه الدراسة بمجموعة من المبادئ الأخلاقية المتعارف عليها في البحوث العلمية التي تتضمن جمع بيانات من المشاركين، وذلك بما يضمن حماية حقوقهم والمحافظة على خصوصية المعلومات التي يقدمونها</w:t>
      </w:r>
      <w:r w:rsidRPr="009E4789">
        <w:rPr>
          <w:rFonts w:ascii="Traditional Arabic" w:hAnsi="Traditional Arabic" w:cs="Traditional Arabic"/>
          <w:sz w:val="32"/>
          <w:szCs w:val="32"/>
          <w:lang w:val="en-US"/>
        </w:rPr>
        <w:t>.</w:t>
      </w:r>
    </w:p>
    <w:p w14:paraId="153E8283"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وقبل توزيع الاستبانة، تم التنسيق مع الجهات ذات العلاقة في المستشفيات الحكومية المشمولة بالدراسة للحصول على الموافقات اللازمة لتسهيل تنفيذ الدراسة. كما تم إبلاغ المشاركين بأن مشاركتهم في الدراسة اختيارية بالكامل، وأن لهم الحق في الامتناع عن المشاركة أو الانسحاب في أي وقت دون أن يترتب على ذلك أي آثار أو تبعات وظيفية</w:t>
      </w:r>
      <w:r w:rsidRPr="009E4789">
        <w:rPr>
          <w:rFonts w:ascii="Traditional Arabic" w:hAnsi="Traditional Arabic" w:cs="Traditional Arabic"/>
          <w:sz w:val="32"/>
          <w:szCs w:val="32"/>
          <w:lang w:val="en-US"/>
        </w:rPr>
        <w:t>.</w:t>
      </w:r>
    </w:p>
    <w:p w14:paraId="1A218C72"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وحرص الباحث على عدم جمع أي بيانات شخصية يمكن أن تكشف عن هوية المشاركين، مثل الأسماء أو أرقام الموظفين، واقتصرت البيانات المطلوبة على المعلومات اللازمة لتحقيق أهداف الدراسة. كما تعهد الباحث باستخدام البيانات لأغراض البحث العلمي فقط، مع المحافظة على سريتها وعدم إتاحتها لأي جهة غير مخولة</w:t>
      </w:r>
      <w:r w:rsidRPr="009E4789">
        <w:rPr>
          <w:rFonts w:ascii="Traditional Arabic" w:hAnsi="Traditional Arabic" w:cs="Traditional Arabic"/>
          <w:sz w:val="32"/>
          <w:szCs w:val="32"/>
          <w:lang w:val="en-US"/>
        </w:rPr>
        <w:t>.</w:t>
      </w:r>
    </w:p>
    <w:p w14:paraId="1415B561" w14:textId="77777777" w:rsidR="009E4789" w:rsidRPr="009E4789" w:rsidRDefault="009E4789" w:rsidP="009E4789">
      <w:pPr>
        <w:bidi/>
        <w:spacing w:line="360" w:lineRule="auto"/>
        <w:jc w:val="both"/>
        <w:rPr>
          <w:rFonts w:ascii="Traditional Arabic" w:hAnsi="Traditional Arabic" w:cs="Traditional Arabic"/>
          <w:sz w:val="32"/>
          <w:szCs w:val="32"/>
          <w:lang w:val="en-US"/>
        </w:rPr>
      </w:pPr>
      <w:r w:rsidRPr="009E4789">
        <w:rPr>
          <w:rFonts w:ascii="Traditional Arabic" w:hAnsi="Traditional Arabic" w:cs="Traditional Arabic"/>
          <w:sz w:val="32"/>
          <w:szCs w:val="32"/>
          <w:rtl/>
          <w:lang w:val="en-US"/>
        </w:rPr>
        <w:t>وسوف تُعرض نتائج الدراسة بصورة مجمعة على مستوى العينة، دون الإشارة إلى بيانات أو معلومات يمكن أن تؤدي إلى التعرف على هوية أي مشارك أو أي جهة بعينها، وذلك التزامًا بمبادئ السرية والخصوصية والأمانة العلمية</w:t>
      </w:r>
      <w:r w:rsidRPr="009E4789">
        <w:rPr>
          <w:rFonts w:ascii="Traditional Arabic" w:hAnsi="Traditional Arabic" w:cs="Traditional Arabic"/>
          <w:sz w:val="32"/>
          <w:szCs w:val="32"/>
          <w:lang w:val="en-US"/>
        </w:rPr>
        <w:t>.</w:t>
      </w:r>
    </w:p>
    <w:p w14:paraId="1FDBF40D" w14:textId="77777777" w:rsidR="00521338" w:rsidRPr="00521338" w:rsidRDefault="00521338" w:rsidP="00521338">
      <w:pPr>
        <w:pageBreakBefore/>
        <w:bidi/>
        <w:spacing w:line="360" w:lineRule="auto"/>
        <w:jc w:val="both"/>
        <w:rPr>
          <w:rFonts w:ascii="Traditional Arabic" w:eastAsia="Calibri" w:hAnsi="Traditional Arabic" w:cs="Traditional Arabic"/>
          <w:sz w:val="32"/>
          <w:szCs w:val="32"/>
          <w:shd w:val="clear" w:color="auto" w:fill="FFFFFF"/>
          <w:rtl/>
          <w:lang w:val="en-US"/>
        </w:rPr>
      </w:pPr>
      <w:r w:rsidRPr="00521338">
        <w:rPr>
          <w:rFonts w:ascii="Traditional Arabic" w:eastAsia="Calibri" w:hAnsi="Traditional Arabic" w:cs="Traditional Arabic" w:hint="cs"/>
          <w:b/>
          <w:bCs/>
          <w:sz w:val="32"/>
          <w:szCs w:val="32"/>
          <w:rtl/>
          <w:lang w:val="en-US"/>
        </w:rPr>
        <w:t xml:space="preserve">قائمة </w:t>
      </w:r>
      <w:r w:rsidRPr="00521338">
        <w:rPr>
          <w:rFonts w:ascii="Traditional Arabic" w:eastAsia="Calibri" w:hAnsi="Traditional Arabic" w:cs="Traditional Arabic"/>
          <w:b/>
          <w:bCs/>
          <w:sz w:val="32"/>
          <w:szCs w:val="32"/>
          <w:rtl/>
          <w:lang w:val="en-US"/>
        </w:rPr>
        <w:t>المراجع</w:t>
      </w:r>
    </w:p>
    <w:p w14:paraId="542E57D6" w14:textId="77777777" w:rsidR="00521338" w:rsidRPr="00521338" w:rsidRDefault="00521338" w:rsidP="00521338">
      <w:pPr>
        <w:bidi/>
        <w:spacing w:line="360" w:lineRule="auto"/>
        <w:jc w:val="both"/>
        <w:rPr>
          <w:rFonts w:ascii="Traditional Arabic" w:eastAsia="Calibri" w:hAnsi="Traditional Arabic" w:cs="Traditional Arabic"/>
          <w:b/>
          <w:bCs/>
          <w:sz w:val="32"/>
          <w:szCs w:val="32"/>
          <w:shd w:val="clear" w:color="auto" w:fill="FFFFFF"/>
          <w:rtl/>
          <w:lang w:val="en-US"/>
        </w:rPr>
      </w:pPr>
      <w:r w:rsidRPr="00521338">
        <w:rPr>
          <w:rFonts w:ascii="Traditional Arabic" w:eastAsia="Calibri" w:hAnsi="Traditional Arabic" w:cs="Traditional Arabic"/>
          <w:b/>
          <w:bCs/>
          <w:sz w:val="32"/>
          <w:szCs w:val="32"/>
          <w:shd w:val="clear" w:color="auto" w:fill="FFFFFF"/>
          <w:rtl/>
          <w:lang w:val="en-US"/>
        </w:rPr>
        <w:t>اولا: المراجع العربية</w:t>
      </w:r>
    </w:p>
    <w:p w14:paraId="10EC80AA"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العتيبي، م. م. و. (2025). دور التحول الرقمي في تحسين خدمات الرعاية الصحية: دراسة تطبيقية على مديرية الشؤون الصحية بمكة المكرمة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المصرية للعلوم الاجتماعية والإنسانية، 20</w:t>
      </w:r>
      <w:r w:rsidRPr="00521338">
        <w:rPr>
          <w:rFonts w:ascii="Traditional Arabic" w:eastAsia="Calibri" w:hAnsi="Traditional Arabic" w:cs="Traditional Arabic"/>
          <w:sz w:val="28"/>
          <w:szCs w:val="28"/>
          <w:shd w:val="clear" w:color="auto" w:fill="FFFFFF"/>
          <w:lang w:val="en-US"/>
        </w:rPr>
        <w:t>(5)</w:t>
      </w:r>
      <w:r w:rsidRPr="00521338">
        <w:rPr>
          <w:rFonts w:ascii="Traditional Arabic" w:eastAsia="Calibri" w:hAnsi="Traditional Arabic" w:cs="Traditional Arabic"/>
          <w:sz w:val="28"/>
          <w:szCs w:val="28"/>
          <w:shd w:val="clear" w:color="auto" w:fill="FFFFFF"/>
          <w:rtl/>
          <w:lang w:val="en-US"/>
        </w:rPr>
        <w:t xml:space="preserve">، 35–72. </w:t>
      </w:r>
      <w:r w:rsidRPr="00521338">
        <w:rPr>
          <w:rFonts w:ascii="Traditional Arabic" w:eastAsia="Calibri" w:hAnsi="Traditional Arabic" w:cs="Traditional Arabic"/>
          <w:sz w:val="28"/>
          <w:szCs w:val="28"/>
          <w:shd w:val="clear" w:color="auto" w:fill="FFFFFF"/>
          <w:lang w:val="en-US"/>
        </w:rPr>
        <w:t>https://doi.org/10.21608/fjssj.2025.391780</w:t>
      </w:r>
    </w:p>
    <w:p w14:paraId="5C10BE04"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بوخلوة، بن عريمة. (2024). أثر التحول الرقمي على الأداء الوظيفي: دراسة ميدانية بمؤسسة موبيليس بورقلة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المصرية للعلوم الاجتماعية والإنسانية، 20</w:t>
      </w:r>
      <w:r w:rsidRPr="00521338">
        <w:rPr>
          <w:rFonts w:ascii="Traditional Arabic" w:eastAsia="Calibri" w:hAnsi="Traditional Arabic" w:cs="Traditional Arabic"/>
          <w:sz w:val="28"/>
          <w:szCs w:val="28"/>
          <w:shd w:val="clear" w:color="auto" w:fill="FFFFFF"/>
          <w:lang w:val="en-US"/>
        </w:rPr>
        <w:t>(5)</w:t>
      </w:r>
      <w:r w:rsidRPr="00521338">
        <w:rPr>
          <w:rFonts w:ascii="Traditional Arabic" w:eastAsia="Calibri" w:hAnsi="Traditional Arabic" w:cs="Traditional Arabic"/>
          <w:sz w:val="28"/>
          <w:szCs w:val="28"/>
          <w:shd w:val="clear" w:color="auto" w:fill="FFFFFF"/>
          <w:rtl/>
          <w:lang w:val="en-US"/>
        </w:rPr>
        <w:t xml:space="preserve">، 35–72. </w:t>
      </w:r>
      <w:r w:rsidRPr="00521338">
        <w:rPr>
          <w:rFonts w:ascii="Traditional Arabic" w:eastAsia="Calibri" w:hAnsi="Traditional Arabic" w:cs="Traditional Arabic"/>
          <w:sz w:val="28"/>
          <w:szCs w:val="28"/>
          <w:shd w:val="clear" w:color="auto" w:fill="FFFFFF"/>
          <w:lang w:val="en-US"/>
        </w:rPr>
        <w:t>https://doi.org/10.21608/fjssj.2025.391780</w:t>
      </w:r>
    </w:p>
    <w:p w14:paraId="09568B81"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سقاط، أ. ع</w:t>
      </w:r>
      <w:r w:rsidRPr="00521338">
        <w:rPr>
          <w:rFonts w:ascii="Traditional Arabic" w:eastAsia="Calibri" w:hAnsi="Traditional Arabic" w:cs="Traditional Arabic"/>
          <w:sz w:val="28"/>
          <w:szCs w:val="28"/>
          <w:shd w:val="clear" w:color="auto" w:fill="FFFFFF"/>
          <w:lang w:val="en-US"/>
        </w:rPr>
        <w:t>.</w:t>
      </w:r>
      <w:r w:rsidRPr="00521338">
        <w:rPr>
          <w:rFonts w:ascii="Traditional Arabic" w:eastAsia="Calibri" w:hAnsi="Traditional Arabic" w:cs="Traditional Arabic"/>
          <w:sz w:val="28"/>
          <w:szCs w:val="28"/>
          <w:shd w:val="clear" w:color="auto" w:fill="FFFFFF"/>
          <w:rtl/>
          <w:lang w:val="en-US"/>
        </w:rPr>
        <w:t xml:space="preserve">، </w:t>
      </w:r>
      <w:r w:rsidRPr="00521338">
        <w:rPr>
          <w:rFonts w:ascii="Traditional Arabic" w:eastAsia="Calibri" w:hAnsi="Traditional Arabic" w:cs="Traditional Arabic"/>
          <w:sz w:val="28"/>
          <w:szCs w:val="28"/>
          <w:shd w:val="clear" w:color="auto" w:fill="FFFFFF"/>
          <w:lang w:val="en-US"/>
        </w:rPr>
        <w:t xml:space="preserve">&amp; </w:t>
      </w:r>
      <w:r w:rsidRPr="00521338">
        <w:rPr>
          <w:rFonts w:ascii="Traditional Arabic" w:eastAsia="Calibri" w:hAnsi="Traditional Arabic" w:cs="Traditional Arabic"/>
          <w:sz w:val="28"/>
          <w:szCs w:val="28"/>
          <w:shd w:val="clear" w:color="auto" w:fill="FFFFFF"/>
          <w:rtl/>
          <w:lang w:val="en-US"/>
        </w:rPr>
        <w:t>عبد الرحمن، ر. ع. ع. (2022). التحول الرقمي في المؤسسات الحكومية وفق رؤية 2030: دراسة حالة مستشفى النور بمكة المكرمة</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العربية للعلوم ونشر الأبحاث: مجلة العلوم الاقتصادية والإدارية والقانونية، 6</w:t>
      </w:r>
      <w:r w:rsidRPr="00521338">
        <w:rPr>
          <w:rFonts w:ascii="Traditional Arabic" w:eastAsia="Calibri" w:hAnsi="Traditional Arabic" w:cs="Traditional Arabic"/>
          <w:sz w:val="28"/>
          <w:szCs w:val="28"/>
          <w:shd w:val="clear" w:color="auto" w:fill="FFFFFF"/>
          <w:lang w:val="en-US"/>
        </w:rPr>
        <w:t>(25)</w:t>
      </w:r>
      <w:r w:rsidRPr="00521338">
        <w:rPr>
          <w:rFonts w:ascii="Traditional Arabic" w:eastAsia="Calibri" w:hAnsi="Traditional Arabic" w:cs="Traditional Arabic"/>
          <w:sz w:val="28"/>
          <w:szCs w:val="28"/>
          <w:shd w:val="clear" w:color="auto" w:fill="FFFFFF"/>
          <w:rtl/>
          <w:lang w:val="en-US"/>
        </w:rPr>
        <w:t>، 94–127.</w:t>
      </w:r>
    </w:p>
    <w:p w14:paraId="5832847E"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لبيض، إ. ع</w:t>
      </w:r>
      <w:r w:rsidRPr="00521338">
        <w:rPr>
          <w:rFonts w:ascii="Traditional Arabic" w:eastAsia="Calibri" w:hAnsi="Traditional Arabic" w:cs="Traditional Arabic"/>
          <w:sz w:val="28"/>
          <w:szCs w:val="28"/>
          <w:shd w:val="clear" w:color="auto" w:fill="FFFFFF"/>
          <w:lang w:val="en-US"/>
        </w:rPr>
        <w:t>.</w:t>
      </w:r>
      <w:r w:rsidRPr="00521338">
        <w:rPr>
          <w:rFonts w:ascii="Traditional Arabic" w:eastAsia="Calibri" w:hAnsi="Traditional Arabic" w:cs="Traditional Arabic"/>
          <w:sz w:val="28"/>
          <w:szCs w:val="28"/>
          <w:shd w:val="clear" w:color="auto" w:fill="FFFFFF"/>
          <w:rtl/>
          <w:lang w:val="en-US"/>
        </w:rPr>
        <w:t xml:space="preserve">، </w:t>
      </w:r>
      <w:r w:rsidRPr="00521338">
        <w:rPr>
          <w:rFonts w:ascii="Traditional Arabic" w:eastAsia="Calibri" w:hAnsi="Traditional Arabic" w:cs="Traditional Arabic"/>
          <w:sz w:val="28"/>
          <w:szCs w:val="28"/>
          <w:shd w:val="clear" w:color="auto" w:fill="FFFFFF"/>
          <w:lang w:val="en-US"/>
        </w:rPr>
        <w:t xml:space="preserve">&amp; </w:t>
      </w:r>
      <w:r w:rsidRPr="00521338">
        <w:rPr>
          <w:rFonts w:ascii="Traditional Arabic" w:eastAsia="Calibri" w:hAnsi="Traditional Arabic" w:cs="Traditional Arabic"/>
          <w:sz w:val="28"/>
          <w:szCs w:val="28"/>
          <w:shd w:val="clear" w:color="auto" w:fill="FFFFFF"/>
          <w:rtl/>
          <w:lang w:val="en-US"/>
        </w:rPr>
        <w:t>خلادي، ن. هـ. (2025). تأثير التحول الرقمي على جودة الخدمات الصحية من وجهة نظر الموظفين: دراسة حالة مستشفى عاليا صالح تبسة (مذكرة ماستر غير منشورة). كلية العلوم الاقتصادية والتجارية وعلوم التسيير، جامعة تبسة، الجزائر</w:t>
      </w:r>
      <w:r w:rsidRPr="00521338">
        <w:rPr>
          <w:rFonts w:ascii="Traditional Arabic" w:eastAsia="Calibri" w:hAnsi="Traditional Arabic" w:cs="Traditional Arabic"/>
          <w:sz w:val="28"/>
          <w:szCs w:val="28"/>
          <w:shd w:val="clear" w:color="auto" w:fill="FFFFFF"/>
          <w:lang w:val="en-US"/>
        </w:rPr>
        <w:t>.</w:t>
      </w:r>
    </w:p>
    <w:p w14:paraId="2511AB32"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 xml:space="preserve">وزارة الصحة السعودية. (2023). </w:t>
      </w:r>
      <w:r w:rsidRPr="00521338">
        <w:rPr>
          <w:rFonts w:ascii="Traditional Arabic" w:eastAsia="Calibri" w:hAnsi="Traditional Arabic" w:cs="Traditional Arabic"/>
          <w:i/>
          <w:iCs/>
          <w:sz w:val="28"/>
          <w:szCs w:val="28"/>
          <w:shd w:val="clear" w:color="auto" w:fill="FFFFFF"/>
          <w:rtl/>
          <w:lang w:val="en-US"/>
        </w:rPr>
        <w:t>برنامج تحول القطاع الصحي</w:t>
      </w:r>
      <w:r w:rsidRPr="00521338">
        <w:rPr>
          <w:rFonts w:ascii="Traditional Arabic" w:eastAsia="Calibri" w:hAnsi="Traditional Arabic" w:cs="Traditional Arabic"/>
          <w:sz w:val="28"/>
          <w:szCs w:val="28"/>
          <w:shd w:val="clear" w:color="auto" w:fill="FFFFFF"/>
          <w:rtl/>
          <w:lang w:val="en-US"/>
        </w:rPr>
        <w:t xml:space="preserve">. </w:t>
      </w:r>
    </w:p>
    <w:p w14:paraId="31E15357" w14:textId="77777777" w:rsidR="00521338" w:rsidRPr="00521338" w:rsidRDefault="00521338" w:rsidP="00521338">
      <w:pPr>
        <w:bidi/>
        <w:spacing w:line="240" w:lineRule="auto"/>
        <w:ind w:left="509" w:hanging="567"/>
        <w:rPr>
          <w:rFonts w:ascii="Traditional Arabic" w:eastAsia="Calibri" w:hAnsi="Traditional Arabic" w:cs="Traditional Arabic"/>
          <w:sz w:val="28"/>
          <w:szCs w:val="28"/>
          <w:shd w:val="clear" w:color="auto" w:fill="FFFFFF"/>
          <w:lang w:val="en-US"/>
        </w:rPr>
      </w:pPr>
      <w:r w:rsidRPr="00521338">
        <w:rPr>
          <w:rFonts w:ascii="Traditional Arabic" w:eastAsia="Calibri" w:hAnsi="Traditional Arabic" w:cs="Traditional Arabic"/>
          <w:sz w:val="28"/>
          <w:szCs w:val="28"/>
          <w:shd w:val="clear" w:color="auto" w:fill="FFFFFF"/>
          <w:rtl/>
          <w:lang w:val="en-US"/>
        </w:rPr>
        <w:t>واحبي، ك. (2025). استراتيجية التحول الرقمي في مؤسسات الرعاية الصحية كأداة لضمان جودة الخدمات الصحية: دراسة حالة المؤسسة العامة للصحة المجاورة في بويرا</w:t>
      </w:r>
      <w:r w:rsidRPr="00521338">
        <w:rPr>
          <w:rFonts w:ascii="Traditional Arabic" w:eastAsia="Calibri" w:hAnsi="Traditional Arabic" w:cs="Traditional Arabic"/>
          <w:sz w:val="28"/>
          <w:szCs w:val="28"/>
          <w:shd w:val="clear" w:color="auto" w:fill="FFFFFF"/>
          <w:lang w:val="en-US"/>
        </w:rPr>
        <w:t xml:space="preserve">. </w:t>
      </w:r>
      <w:r w:rsidRPr="00521338">
        <w:rPr>
          <w:rFonts w:ascii="Traditional Arabic" w:eastAsia="Calibri" w:hAnsi="Traditional Arabic" w:cs="Traditional Arabic"/>
          <w:i/>
          <w:iCs/>
          <w:sz w:val="28"/>
          <w:szCs w:val="28"/>
          <w:shd w:val="clear" w:color="auto" w:fill="FFFFFF"/>
          <w:rtl/>
          <w:lang w:val="en-US"/>
        </w:rPr>
        <w:t>المجلة العلمية للإدارة الصحية، 16</w:t>
      </w:r>
      <w:r w:rsidRPr="00521338">
        <w:rPr>
          <w:rFonts w:ascii="Traditional Arabic" w:eastAsia="Calibri" w:hAnsi="Traditional Arabic" w:cs="Traditional Arabic"/>
          <w:sz w:val="28"/>
          <w:szCs w:val="28"/>
          <w:shd w:val="clear" w:color="auto" w:fill="FFFFFF"/>
          <w:lang w:val="en-US"/>
        </w:rPr>
        <w:t>(1)</w:t>
      </w:r>
      <w:r w:rsidRPr="00521338">
        <w:rPr>
          <w:rFonts w:ascii="Traditional Arabic" w:eastAsia="Calibri" w:hAnsi="Traditional Arabic" w:cs="Traditional Arabic"/>
          <w:sz w:val="28"/>
          <w:szCs w:val="28"/>
          <w:shd w:val="clear" w:color="auto" w:fill="FFFFFF"/>
          <w:rtl/>
          <w:lang w:val="en-US"/>
        </w:rPr>
        <w:t>، 807–823.</w:t>
      </w:r>
    </w:p>
    <w:p w14:paraId="2C46F099"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3888D5B4"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747B361A"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rtl/>
          <w:lang w:val="en-US"/>
        </w:rPr>
      </w:pPr>
    </w:p>
    <w:p w14:paraId="35D769E0" w14:textId="77777777" w:rsidR="00521338" w:rsidRPr="00521338" w:rsidRDefault="00521338" w:rsidP="00521338">
      <w:pPr>
        <w:bidi/>
        <w:spacing w:line="360" w:lineRule="auto"/>
        <w:jc w:val="both"/>
        <w:rPr>
          <w:rFonts w:ascii="Traditional Arabic" w:eastAsia="Calibri" w:hAnsi="Traditional Arabic" w:cs="Traditional Arabic"/>
          <w:b/>
          <w:bCs/>
          <w:sz w:val="36"/>
          <w:szCs w:val="36"/>
          <w:shd w:val="clear" w:color="auto" w:fill="FFFFFF"/>
          <w:lang w:val="en-US"/>
        </w:rPr>
      </w:pPr>
    </w:p>
    <w:p w14:paraId="2405758B" w14:textId="77777777" w:rsidR="00521338" w:rsidRPr="00521338" w:rsidRDefault="00521338" w:rsidP="00521338">
      <w:pPr>
        <w:bidi/>
        <w:spacing w:before="100" w:beforeAutospacing="1" w:after="100" w:afterAutospacing="1" w:line="240" w:lineRule="auto"/>
        <w:rPr>
          <w:rFonts w:ascii="Traditional Arabic" w:eastAsia="Times New Roman" w:hAnsi="Traditional Arabic" w:cs="Traditional Arabic"/>
          <w:b/>
          <w:bCs/>
          <w:sz w:val="32"/>
          <w:szCs w:val="32"/>
          <w:rtl/>
          <w:lang w:val="en-US"/>
        </w:rPr>
      </w:pPr>
      <w:r w:rsidRPr="00521338">
        <w:rPr>
          <w:rFonts w:ascii="Traditional Arabic" w:eastAsia="Times New Roman" w:hAnsi="Traditional Arabic" w:cs="Traditional Arabic"/>
          <w:b/>
          <w:bCs/>
          <w:sz w:val="32"/>
          <w:szCs w:val="32"/>
          <w:rtl/>
          <w:lang w:val="en-US"/>
        </w:rPr>
        <w:t>ثانيا: المراجع الاجنبية</w:t>
      </w:r>
    </w:p>
    <w:p w14:paraId="007B0DB2" w14:textId="77777777" w:rsidR="00521338" w:rsidRPr="00521338" w:rsidRDefault="00521338" w:rsidP="00521338">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Aldakheel</w:t>
      </w:r>
      <w:proofErr w:type="spellEnd"/>
      <w:r w:rsidRPr="00521338">
        <w:rPr>
          <w:rFonts w:ascii="Times New Roman" w:eastAsia="Times New Roman" w:hAnsi="Times New Roman" w:cs="Times New Roman"/>
          <w:sz w:val="24"/>
          <w:szCs w:val="24"/>
          <w:lang w:val="en-US"/>
        </w:rPr>
        <w:t xml:space="preserve">, E., &amp; </w:t>
      </w:r>
      <w:proofErr w:type="spellStart"/>
      <w:r w:rsidRPr="00521338">
        <w:rPr>
          <w:rFonts w:ascii="Times New Roman" w:eastAsia="Times New Roman" w:hAnsi="Times New Roman" w:cs="Times New Roman"/>
          <w:sz w:val="24"/>
          <w:szCs w:val="24"/>
          <w:lang w:val="en-US"/>
        </w:rPr>
        <w:t>Zakariah</w:t>
      </w:r>
      <w:proofErr w:type="spellEnd"/>
      <w:r w:rsidRPr="00521338">
        <w:rPr>
          <w:rFonts w:ascii="Times New Roman" w:eastAsia="Times New Roman" w:hAnsi="Times New Roman" w:cs="Times New Roman"/>
          <w:sz w:val="24"/>
          <w:szCs w:val="24"/>
          <w:lang w:val="en-US"/>
        </w:rPr>
        <w:t xml:space="preserve">, M. (2021). Digital transformation challenges in healthcare and its effect on the patient-physician relationship. </w:t>
      </w:r>
      <w:r w:rsidRPr="00521338">
        <w:rPr>
          <w:rFonts w:ascii="Times New Roman" w:eastAsia="Times New Roman" w:hAnsi="Times New Roman" w:cs="Times New Roman"/>
          <w:i/>
          <w:iCs/>
          <w:sz w:val="24"/>
          <w:szCs w:val="24"/>
          <w:lang w:val="en-US"/>
        </w:rPr>
        <w:t>Journal of Management Information and Decision Sciences, 24</w:t>
      </w:r>
      <w:r w:rsidRPr="00521338">
        <w:rPr>
          <w:rFonts w:ascii="Times New Roman" w:eastAsia="Times New Roman" w:hAnsi="Times New Roman" w:cs="Times New Roman"/>
          <w:sz w:val="24"/>
          <w:szCs w:val="24"/>
          <w:lang w:val="en-US"/>
        </w:rPr>
        <w:t>(6), Special Issue.</w:t>
      </w:r>
    </w:p>
    <w:p w14:paraId="0BC921FC"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Al-</w:t>
      </w:r>
      <w:proofErr w:type="spellStart"/>
      <w:r w:rsidRPr="00521338">
        <w:rPr>
          <w:rFonts w:ascii="Times New Roman" w:eastAsia="Times New Roman" w:hAnsi="Times New Roman" w:cs="Times New Roman"/>
          <w:sz w:val="24"/>
          <w:szCs w:val="24"/>
          <w:lang w:val="en-US"/>
        </w:rPr>
        <w:t>Ghary</w:t>
      </w:r>
      <w:proofErr w:type="spellEnd"/>
      <w:r w:rsidRPr="00521338">
        <w:rPr>
          <w:rFonts w:ascii="Times New Roman" w:eastAsia="Times New Roman" w:hAnsi="Times New Roman" w:cs="Times New Roman"/>
          <w:sz w:val="24"/>
          <w:szCs w:val="24"/>
          <w:lang w:val="en-US"/>
        </w:rPr>
        <w:t xml:space="preserve">. (2024). Utilizing digital transformation to improve high performance in the healthcare sector in Iraq. </w:t>
      </w:r>
      <w:r w:rsidRPr="00521338">
        <w:rPr>
          <w:rFonts w:ascii="Times New Roman" w:eastAsia="Times New Roman" w:hAnsi="Times New Roman" w:cs="Times New Roman"/>
          <w:i/>
          <w:iCs/>
          <w:sz w:val="24"/>
          <w:szCs w:val="24"/>
          <w:lang w:val="en-US"/>
        </w:rPr>
        <w:t>Journal of Economic and Administrative Sciences, 20</w:t>
      </w:r>
      <w:r w:rsidRPr="00521338">
        <w:rPr>
          <w:rFonts w:ascii="Times New Roman" w:eastAsia="Times New Roman" w:hAnsi="Times New Roman" w:cs="Times New Roman"/>
          <w:sz w:val="24"/>
          <w:szCs w:val="24"/>
          <w:lang w:val="en-US"/>
        </w:rPr>
        <w:t>(2), 410–428.</w:t>
      </w:r>
    </w:p>
    <w:p w14:paraId="3E297C7E"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Al </w:t>
      </w:r>
      <w:proofErr w:type="spellStart"/>
      <w:r w:rsidRPr="00521338">
        <w:rPr>
          <w:rFonts w:ascii="Times New Roman" w:eastAsia="Times New Roman" w:hAnsi="Times New Roman" w:cs="Times New Roman"/>
          <w:sz w:val="24"/>
          <w:szCs w:val="24"/>
          <w:lang w:val="en-US"/>
        </w:rPr>
        <w:t>Kahtani</w:t>
      </w:r>
      <w:proofErr w:type="spellEnd"/>
      <w:r w:rsidRPr="00521338">
        <w:rPr>
          <w:rFonts w:ascii="Times New Roman" w:eastAsia="Times New Roman" w:hAnsi="Times New Roman" w:cs="Times New Roman"/>
          <w:sz w:val="24"/>
          <w:szCs w:val="24"/>
          <w:lang w:val="en-US"/>
        </w:rPr>
        <w:t xml:space="preserve">, N. S., </w:t>
      </w:r>
      <w:proofErr w:type="spellStart"/>
      <w:r w:rsidRPr="00521338">
        <w:rPr>
          <w:rFonts w:ascii="Times New Roman" w:eastAsia="Times New Roman" w:hAnsi="Times New Roman" w:cs="Times New Roman"/>
          <w:sz w:val="24"/>
          <w:szCs w:val="24"/>
          <w:lang w:val="en-US"/>
        </w:rPr>
        <w:t>Alrawiai</w:t>
      </w:r>
      <w:proofErr w:type="spellEnd"/>
      <w:r w:rsidRPr="00521338">
        <w:rPr>
          <w:rFonts w:ascii="Times New Roman" w:eastAsia="Times New Roman" w:hAnsi="Times New Roman" w:cs="Times New Roman"/>
          <w:sz w:val="24"/>
          <w:szCs w:val="24"/>
          <w:lang w:val="en-US"/>
        </w:rPr>
        <w:t xml:space="preserve">, S., Al </w:t>
      </w:r>
      <w:proofErr w:type="spellStart"/>
      <w:r w:rsidRPr="00521338">
        <w:rPr>
          <w:rFonts w:ascii="Times New Roman" w:eastAsia="Times New Roman" w:hAnsi="Times New Roman" w:cs="Times New Roman"/>
          <w:sz w:val="24"/>
          <w:szCs w:val="24"/>
          <w:lang w:val="en-US"/>
        </w:rPr>
        <w:t>Zahrani</w:t>
      </w:r>
      <w:proofErr w:type="spellEnd"/>
      <w:r w:rsidRPr="00521338">
        <w:rPr>
          <w:rFonts w:ascii="Times New Roman" w:eastAsia="Times New Roman" w:hAnsi="Times New Roman" w:cs="Times New Roman"/>
          <w:sz w:val="24"/>
          <w:szCs w:val="24"/>
          <w:lang w:val="en-US"/>
        </w:rPr>
        <w:t xml:space="preserve">, B. M., </w:t>
      </w:r>
      <w:proofErr w:type="spellStart"/>
      <w:r w:rsidRPr="00521338">
        <w:rPr>
          <w:rFonts w:ascii="Times New Roman" w:eastAsia="Times New Roman" w:hAnsi="Times New Roman" w:cs="Times New Roman"/>
          <w:sz w:val="24"/>
          <w:szCs w:val="24"/>
          <w:lang w:val="en-US"/>
        </w:rPr>
        <w:t>Abumadini</w:t>
      </w:r>
      <w:proofErr w:type="spellEnd"/>
      <w:r w:rsidRPr="00521338">
        <w:rPr>
          <w:rFonts w:ascii="Times New Roman" w:eastAsia="Times New Roman" w:hAnsi="Times New Roman" w:cs="Times New Roman"/>
          <w:sz w:val="24"/>
          <w:szCs w:val="24"/>
          <w:lang w:val="en-US"/>
        </w:rPr>
        <w:t xml:space="preserve">, R. A., </w:t>
      </w:r>
      <w:proofErr w:type="spellStart"/>
      <w:r w:rsidRPr="00521338">
        <w:rPr>
          <w:rFonts w:ascii="Times New Roman" w:eastAsia="Times New Roman" w:hAnsi="Times New Roman" w:cs="Times New Roman"/>
          <w:sz w:val="24"/>
          <w:szCs w:val="24"/>
          <w:lang w:val="en-US"/>
        </w:rPr>
        <w:t>Aljaffary</w:t>
      </w:r>
      <w:proofErr w:type="spellEnd"/>
      <w:r w:rsidRPr="00521338">
        <w:rPr>
          <w:rFonts w:ascii="Times New Roman" w:eastAsia="Times New Roman" w:hAnsi="Times New Roman" w:cs="Times New Roman"/>
          <w:sz w:val="24"/>
          <w:szCs w:val="24"/>
          <w:lang w:val="en-US"/>
        </w:rPr>
        <w:t xml:space="preserve">, A., Hariri, B., Alissa, K., </w:t>
      </w:r>
      <w:proofErr w:type="spellStart"/>
      <w:r w:rsidRPr="00521338">
        <w:rPr>
          <w:rFonts w:ascii="Times New Roman" w:eastAsia="Times New Roman" w:hAnsi="Times New Roman" w:cs="Times New Roman"/>
          <w:sz w:val="24"/>
          <w:szCs w:val="24"/>
          <w:lang w:val="en-US"/>
        </w:rPr>
        <w:t>Alakrawi</w:t>
      </w:r>
      <w:proofErr w:type="spellEnd"/>
      <w:r w:rsidRPr="00521338">
        <w:rPr>
          <w:rFonts w:ascii="Times New Roman" w:eastAsia="Times New Roman" w:hAnsi="Times New Roman" w:cs="Times New Roman"/>
          <w:sz w:val="24"/>
          <w:szCs w:val="24"/>
          <w:lang w:val="en-US"/>
        </w:rPr>
        <w:t xml:space="preserve">, Z., &amp; </w:t>
      </w:r>
      <w:proofErr w:type="spellStart"/>
      <w:r w:rsidRPr="00521338">
        <w:rPr>
          <w:rFonts w:ascii="Times New Roman" w:eastAsia="Times New Roman" w:hAnsi="Times New Roman" w:cs="Times New Roman"/>
          <w:sz w:val="24"/>
          <w:szCs w:val="24"/>
          <w:lang w:val="en-US"/>
        </w:rPr>
        <w:t>Alumran</w:t>
      </w:r>
      <w:proofErr w:type="spellEnd"/>
      <w:r w:rsidRPr="00521338">
        <w:rPr>
          <w:rFonts w:ascii="Times New Roman" w:eastAsia="Times New Roman" w:hAnsi="Times New Roman" w:cs="Times New Roman"/>
          <w:sz w:val="24"/>
          <w:szCs w:val="24"/>
          <w:lang w:val="en-US"/>
        </w:rPr>
        <w:t xml:space="preserve">, A. (2022). Digital health transformation in Saudi Arabia: A cross-sectional analysis using Healthcare Information and Management Systems Society’s digital health indicators. </w:t>
      </w:r>
      <w:r w:rsidRPr="00521338">
        <w:rPr>
          <w:rFonts w:ascii="Times New Roman" w:eastAsia="Times New Roman" w:hAnsi="Times New Roman" w:cs="Times New Roman"/>
          <w:i/>
          <w:iCs/>
          <w:sz w:val="24"/>
          <w:szCs w:val="24"/>
          <w:lang w:val="en-US"/>
        </w:rPr>
        <w:t>Digital Health, 8</w:t>
      </w:r>
      <w:r w:rsidRPr="00521338">
        <w:rPr>
          <w:rFonts w:ascii="Times New Roman" w:eastAsia="Times New Roman" w:hAnsi="Times New Roman" w:cs="Times New Roman"/>
          <w:sz w:val="24"/>
          <w:szCs w:val="24"/>
          <w:lang w:val="en-US"/>
        </w:rPr>
        <w:t xml:space="preserve">. </w:t>
      </w:r>
      <w:hyperlink r:id="rId5" w:tgtFrame="_new" w:history="1">
        <w:r w:rsidRPr="00521338">
          <w:rPr>
            <w:rFonts w:ascii="Times New Roman" w:eastAsia="Times New Roman" w:hAnsi="Times New Roman" w:cs="Times New Roman"/>
            <w:color w:val="0000FF"/>
            <w:sz w:val="24"/>
            <w:szCs w:val="24"/>
            <w:u w:val="single"/>
            <w:lang w:val="en-US"/>
          </w:rPr>
          <w:t>https://doi.org/10.1177/20552076221117742</w:t>
        </w:r>
      </w:hyperlink>
    </w:p>
    <w:p w14:paraId="5899B8BD"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Al-</w:t>
      </w:r>
      <w:proofErr w:type="spellStart"/>
      <w:r w:rsidRPr="00521338">
        <w:rPr>
          <w:rFonts w:ascii="Times New Roman" w:eastAsia="Times New Roman" w:hAnsi="Times New Roman" w:cs="Times New Roman"/>
          <w:sz w:val="24"/>
          <w:szCs w:val="24"/>
          <w:lang w:val="en-US"/>
        </w:rPr>
        <w:t>Nozha</w:t>
      </w:r>
      <w:proofErr w:type="spellEnd"/>
      <w:r w:rsidRPr="00521338">
        <w:rPr>
          <w:rFonts w:ascii="Times New Roman" w:eastAsia="Times New Roman" w:hAnsi="Times New Roman" w:cs="Times New Roman"/>
          <w:sz w:val="24"/>
          <w:szCs w:val="24"/>
          <w:lang w:val="en-US"/>
        </w:rPr>
        <w:t xml:space="preserve">, O. M. (2024). Key aspects of the Saudi healthcare system reform: Health Sector Transformation Program under Vision 2030. </w:t>
      </w:r>
      <w:r w:rsidRPr="00521338">
        <w:rPr>
          <w:rFonts w:ascii="Times New Roman" w:eastAsia="Times New Roman" w:hAnsi="Times New Roman" w:cs="Times New Roman"/>
          <w:i/>
          <w:iCs/>
          <w:sz w:val="24"/>
          <w:szCs w:val="24"/>
          <w:lang w:val="en-US"/>
        </w:rPr>
        <w:t xml:space="preserve">Journal of </w:t>
      </w:r>
      <w:proofErr w:type="spellStart"/>
      <w:r w:rsidRPr="00521338">
        <w:rPr>
          <w:rFonts w:ascii="Times New Roman" w:eastAsia="Times New Roman" w:hAnsi="Times New Roman" w:cs="Times New Roman"/>
          <w:i/>
          <w:iCs/>
          <w:sz w:val="24"/>
          <w:szCs w:val="24"/>
          <w:lang w:val="en-US"/>
        </w:rPr>
        <w:t>Taibah</w:t>
      </w:r>
      <w:proofErr w:type="spellEnd"/>
      <w:r w:rsidRPr="00521338">
        <w:rPr>
          <w:rFonts w:ascii="Times New Roman" w:eastAsia="Times New Roman" w:hAnsi="Times New Roman" w:cs="Times New Roman"/>
          <w:i/>
          <w:iCs/>
          <w:sz w:val="24"/>
          <w:szCs w:val="24"/>
          <w:lang w:val="en-US"/>
        </w:rPr>
        <w:t xml:space="preserve"> University Medical Sciences, 19</w:t>
      </w:r>
      <w:r w:rsidRPr="00521338">
        <w:rPr>
          <w:rFonts w:ascii="Times New Roman" w:eastAsia="Times New Roman" w:hAnsi="Times New Roman" w:cs="Times New Roman"/>
          <w:sz w:val="24"/>
          <w:szCs w:val="24"/>
          <w:lang w:val="en-US"/>
        </w:rPr>
        <w:t xml:space="preserve">(3), 598–610. https://doi.org/10.1016/j.jtumed.2024.04.014 </w:t>
      </w:r>
    </w:p>
    <w:p w14:paraId="1C510D6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Althumairi</w:t>
      </w:r>
      <w:proofErr w:type="spellEnd"/>
      <w:r w:rsidRPr="00521338">
        <w:rPr>
          <w:rFonts w:ascii="Times New Roman" w:eastAsia="Times New Roman" w:hAnsi="Times New Roman" w:cs="Times New Roman"/>
          <w:sz w:val="24"/>
          <w:szCs w:val="24"/>
          <w:lang w:val="en-US"/>
        </w:rPr>
        <w:t xml:space="preserve">, A. A., Bukhari, F. M., </w:t>
      </w:r>
      <w:proofErr w:type="spellStart"/>
      <w:r w:rsidRPr="00521338">
        <w:rPr>
          <w:rFonts w:ascii="Times New Roman" w:eastAsia="Times New Roman" w:hAnsi="Times New Roman" w:cs="Times New Roman"/>
          <w:sz w:val="24"/>
          <w:szCs w:val="24"/>
          <w:lang w:val="en-US"/>
        </w:rPr>
        <w:t>Awary</w:t>
      </w:r>
      <w:proofErr w:type="spellEnd"/>
      <w:r w:rsidRPr="00521338">
        <w:rPr>
          <w:rFonts w:ascii="Times New Roman" w:eastAsia="Times New Roman" w:hAnsi="Times New Roman" w:cs="Times New Roman"/>
          <w:sz w:val="24"/>
          <w:szCs w:val="24"/>
          <w:lang w:val="en-US"/>
        </w:rPr>
        <w:t xml:space="preserve">, L. B., &amp; </w:t>
      </w:r>
      <w:proofErr w:type="spellStart"/>
      <w:r w:rsidRPr="00521338">
        <w:rPr>
          <w:rFonts w:ascii="Times New Roman" w:eastAsia="Times New Roman" w:hAnsi="Times New Roman" w:cs="Times New Roman"/>
          <w:sz w:val="24"/>
          <w:szCs w:val="24"/>
          <w:lang w:val="en-US"/>
        </w:rPr>
        <w:t>Aljabri</w:t>
      </w:r>
      <w:proofErr w:type="spellEnd"/>
      <w:r w:rsidRPr="00521338">
        <w:rPr>
          <w:rFonts w:ascii="Times New Roman" w:eastAsia="Times New Roman" w:hAnsi="Times New Roman" w:cs="Times New Roman"/>
          <w:sz w:val="24"/>
          <w:szCs w:val="24"/>
          <w:lang w:val="en-US"/>
        </w:rPr>
        <w:t xml:space="preserve">, D. (2023). The effect of transformation policies on healthcare providers’ satisfaction in primary healthcare centers: The case of Eastern Saudi Arabia. </w:t>
      </w:r>
      <w:r w:rsidRPr="00521338">
        <w:rPr>
          <w:rFonts w:ascii="Times New Roman" w:eastAsia="Times New Roman" w:hAnsi="Times New Roman" w:cs="Times New Roman"/>
          <w:i/>
          <w:iCs/>
          <w:sz w:val="24"/>
          <w:szCs w:val="24"/>
          <w:lang w:val="en-US"/>
        </w:rPr>
        <w:t>BMC Health Services Research, 23</w:t>
      </w:r>
      <w:r w:rsidRPr="00521338">
        <w:rPr>
          <w:rFonts w:ascii="Times New Roman" w:eastAsia="Times New Roman" w:hAnsi="Times New Roman" w:cs="Times New Roman"/>
          <w:sz w:val="24"/>
          <w:szCs w:val="24"/>
          <w:lang w:val="en-US"/>
        </w:rPr>
        <w:t xml:space="preserve">, Article 10335. </w:t>
      </w:r>
      <w:hyperlink r:id="rId6" w:tgtFrame="_new" w:history="1">
        <w:r w:rsidRPr="00521338">
          <w:rPr>
            <w:rFonts w:ascii="Times New Roman" w:eastAsia="Times New Roman" w:hAnsi="Times New Roman" w:cs="Times New Roman"/>
            <w:color w:val="0000FF"/>
            <w:sz w:val="24"/>
            <w:szCs w:val="24"/>
            <w:u w:val="single"/>
            <w:lang w:val="en-US"/>
          </w:rPr>
          <w:t>https://doi.org/10.1186/s12913-023-10335-8</w:t>
        </w:r>
      </w:hyperlink>
      <w:r w:rsidRPr="00521338">
        <w:rPr>
          <w:rFonts w:ascii="Times New Roman" w:eastAsia="Times New Roman" w:hAnsi="Times New Roman" w:cs="Times New Roman"/>
          <w:sz w:val="24"/>
          <w:szCs w:val="24"/>
          <w:lang w:val="en-US"/>
        </w:rPr>
        <w:t xml:space="preserve"> </w:t>
      </w:r>
    </w:p>
    <w:p w14:paraId="6C7C84C8"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AlWatban</w:t>
      </w:r>
      <w:proofErr w:type="spellEnd"/>
      <w:r w:rsidRPr="00521338">
        <w:rPr>
          <w:rFonts w:ascii="Times New Roman" w:eastAsia="Times New Roman" w:hAnsi="Times New Roman" w:cs="Times New Roman"/>
          <w:sz w:val="24"/>
          <w:szCs w:val="24"/>
          <w:lang w:val="en-US"/>
        </w:rPr>
        <w:t xml:space="preserve">, N., Othman, F., </w:t>
      </w:r>
      <w:proofErr w:type="spellStart"/>
      <w:r w:rsidRPr="00521338">
        <w:rPr>
          <w:rFonts w:ascii="Times New Roman" w:eastAsia="Times New Roman" w:hAnsi="Times New Roman" w:cs="Times New Roman"/>
          <w:sz w:val="24"/>
          <w:szCs w:val="24"/>
          <w:lang w:val="en-US"/>
        </w:rPr>
        <w:t>Almosnid</w:t>
      </w:r>
      <w:proofErr w:type="spellEnd"/>
      <w:r w:rsidRPr="00521338">
        <w:rPr>
          <w:rFonts w:ascii="Times New Roman" w:eastAsia="Times New Roman" w:hAnsi="Times New Roman" w:cs="Times New Roman"/>
          <w:sz w:val="24"/>
          <w:szCs w:val="24"/>
          <w:lang w:val="en-US"/>
        </w:rPr>
        <w:t xml:space="preserve">, N., </w:t>
      </w:r>
      <w:proofErr w:type="spellStart"/>
      <w:r w:rsidRPr="00521338">
        <w:rPr>
          <w:rFonts w:ascii="Times New Roman" w:eastAsia="Times New Roman" w:hAnsi="Times New Roman" w:cs="Times New Roman"/>
          <w:sz w:val="24"/>
          <w:szCs w:val="24"/>
          <w:lang w:val="en-US"/>
        </w:rPr>
        <w:t>AlKadi</w:t>
      </w:r>
      <w:proofErr w:type="spellEnd"/>
      <w:r w:rsidRPr="00521338">
        <w:rPr>
          <w:rFonts w:ascii="Times New Roman" w:eastAsia="Times New Roman" w:hAnsi="Times New Roman" w:cs="Times New Roman"/>
          <w:sz w:val="24"/>
          <w:szCs w:val="24"/>
          <w:lang w:val="en-US"/>
        </w:rPr>
        <w:t xml:space="preserve">, K., </w:t>
      </w:r>
      <w:proofErr w:type="spellStart"/>
      <w:r w:rsidRPr="00521338">
        <w:rPr>
          <w:rFonts w:ascii="Times New Roman" w:eastAsia="Times New Roman" w:hAnsi="Times New Roman" w:cs="Times New Roman"/>
          <w:sz w:val="24"/>
          <w:szCs w:val="24"/>
          <w:lang w:val="en-US"/>
        </w:rPr>
        <w:t>Alajaji</w:t>
      </w:r>
      <w:proofErr w:type="spellEnd"/>
      <w:r w:rsidRPr="00521338">
        <w:rPr>
          <w:rFonts w:ascii="Times New Roman" w:eastAsia="Times New Roman" w:hAnsi="Times New Roman" w:cs="Times New Roman"/>
          <w:sz w:val="24"/>
          <w:szCs w:val="24"/>
          <w:lang w:val="en-US"/>
        </w:rPr>
        <w:t xml:space="preserve">, M., &amp; </w:t>
      </w:r>
      <w:proofErr w:type="spellStart"/>
      <w:r w:rsidRPr="00521338">
        <w:rPr>
          <w:rFonts w:ascii="Times New Roman" w:eastAsia="Times New Roman" w:hAnsi="Times New Roman" w:cs="Times New Roman"/>
          <w:sz w:val="24"/>
          <w:szCs w:val="24"/>
          <w:lang w:val="en-US"/>
        </w:rPr>
        <w:t>Aldeghaither</w:t>
      </w:r>
      <w:proofErr w:type="spellEnd"/>
      <w:r w:rsidRPr="00521338">
        <w:rPr>
          <w:rFonts w:ascii="Times New Roman" w:eastAsia="Times New Roman" w:hAnsi="Times New Roman" w:cs="Times New Roman"/>
          <w:sz w:val="24"/>
          <w:szCs w:val="24"/>
          <w:lang w:val="en-US"/>
        </w:rPr>
        <w:t xml:space="preserve">, D. (2024). The emergence and growth of digital health in Saudi Arabia: A success story. In Z. </w:t>
      </w:r>
      <w:proofErr w:type="spellStart"/>
      <w:r w:rsidRPr="00521338">
        <w:rPr>
          <w:rFonts w:ascii="Times New Roman" w:eastAsia="Times New Roman" w:hAnsi="Times New Roman" w:cs="Times New Roman"/>
          <w:sz w:val="24"/>
          <w:szCs w:val="24"/>
          <w:lang w:val="en-US"/>
        </w:rPr>
        <w:t>Kozlakidis</w:t>
      </w:r>
      <w:proofErr w:type="spellEnd"/>
      <w:r w:rsidRPr="00521338">
        <w:rPr>
          <w:rFonts w:ascii="Times New Roman" w:eastAsia="Times New Roman" w:hAnsi="Times New Roman" w:cs="Times New Roman"/>
          <w:sz w:val="24"/>
          <w:szCs w:val="24"/>
          <w:lang w:val="en-US"/>
        </w:rPr>
        <w:t xml:space="preserve"> et al. (Eds.), </w:t>
      </w:r>
      <w:r w:rsidRPr="00521338">
        <w:rPr>
          <w:rFonts w:ascii="Times New Roman" w:eastAsia="Times New Roman" w:hAnsi="Times New Roman" w:cs="Times New Roman"/>
          <w:i/>
          <w:iCs/>
          <w:sz w:val="24"/>
          <w:szCs w:val="24"/>
          <w:lang w:val="en-US"/>
        </w:rPr>
        <w:t>Digitalization of medicine in low- and middle-income countries</w:t>
      </w:r>
      <w:r w:rsidRPr="00521338">
        <w:rPr>
          <w:rFonts w:ascii="Times New Roman" w:eastAsia="Times New Roman" w:hAnsi="Times New Roman" w:cs="Times New Roman"/>
          <w:sz w:val="24"/>
          <w:szCs w:val="24"/>
          <w:lang w:val="en-US"/>
        </w:rPr>
        <w:t xml:space="preserve"> (Sustainable Development Goals Series). Springer. </w:t>
      </w:r>
      <w:hyperlink r:id="rId7" w:tgtFrame="_new" w:history="1">
        <w:r w:rsidRPr="00521338">
          <w:rPr>
            <w:rFonts w:ascii="Times New Roman" w:eastAsia="Times New Roman" w:hAnsi="Times New Roman" w:cs="Times New Roman"/>
            <w:color w:val="0000FF"/>
            <w:sz w:val="24"/>
            <w:szCs w:val="24"/>
            <w:u w:val="single"/>
            <w:lang w:val="en-US"/>
          </w:rPr>
          <w:t>https://doi.org/10.1007/978-3-031-62332-5_3</w:t>
        </w:r>
      </w:hyperlink>
    </w:p>
    <w:p w14:paraId="7FFECE5C"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Basbous</w:t>
      </w:r>
      <w:proofErr w:type="spellEnd"/>
      <w:r w:rsidRPr="00521338">
        <w:rPr>
          <w:rFonts w:ascii="Times New Roman" w:eastAsia="Times New Roman" w:hAnsi="Times New Roman" w:cs="Times New Roman"/>
          <w:sz w:val="24"/>
          <w:szCs w:val="24"/>
          <w:lang w:val="en-US"/>
        </w:rPr>
        <w:t xml:space="preserve">, O., &amp; </w:t>
      </w:r>
      <w:proofErr w:type="spellStart"/>
      <w:r w:rsidRPr="00521338">
        <w:rPr>
          <w:rFonts w:ascii="Times New Roman" w:eastAsia="Times New Roman" w:hAnsi="Times New Roman" w:cs="Times New Roman"/>
          <w:sz w:val="24"/>
          <w:szCs w:val="24"/>
          <w:lang w:val="en-US"/>
        </w:rPr>
        <w:t>Saad</w:t>
      </w:r>
      <w:proofErr w:type="spellEnd"/>
      <w:r w:rsidRPr="00521338">
        <w:rPr>
          <w:rFonts w:ascii="Times New Roman" w:eastAsia="Times New Roman" w:hAnsi="Times New Roman" w:cs="Times New Roman"/>
          <w:sz w:val="24"/>
          <w:szCs w:val="24"/>
          <w:lang w:val="en-US"/>
        </w:rPr>
        <w:t xml:space="preserve">, N. H. (2025). </w:t>
      </w:r>
      <w:r w:rsidRPr="00521338">
        <w:rPr>
          <w:rFonts w:ascii="Times New Roman" w:eastAsia="Times New Roman" w:hAnsi="Times New Roman" w:cs="Times New Roman"/>
          <w:i/>
          <w:iCs/>
          <w:sz w:val="24"/>
          <w:szCs w:val="24"/>
          <w:lang w:val="en-US"/>
        </w:rPr>
        <w:t>Factors affecting quality of health service in government hospital in Jordan: The mediating role of digital transformation and the moderating role of government support</w:t>
      </w:r>
      <w:r w:rsidRPr="00521338">
        <w:rPr>
          <w:rFonts w:ascii="Times New Roman" w:eastAsia="Times New Roman" w:hAnsi="Times New Roman" w:cs="Times New Roman"/>
          <w:sz w:val="24"/>
          <w:szCs w:val="24"/>
          <w:lang w:val="en-US"/>
        </w:rPr>
        <w:t xml:space="preserve"> (Unpublished manuscript). School of Management, </w:t>
      </w:r>
      <w:proofErr w:type="spellStart"/>
      <w:r w:rsidRPr="00521338">
        <w:rPr>
          <w:rFonts w:ascii="Times New Roman" w:eastAsia="Times New Roman" w:hAnsi="Times New Roman" w:cs="Times New Roman"/>
          <w:sz w:val="24"/>
          <w:szCs w:val="24"/>
          <w:lang w:val="en-US"/>
        </w:rPr>
        <w:t>Universiti</w:t>
      </w:r>
      <w:proofErr w:type="spellEnd"/>
      <w:r w:rsidRPr="00521338">
        <w:rPr>
          <w:rFonts w:ascii="Times New Roman" w:eastAsia="Times New Roman" w:hAnsi="Times New Roman" w:cs="Times New Roman"/>
          <w:sz w:val="24"/>
          <w:szCs w:val="24"/>
          <w:lang w:val="en-US"/>
        </w:rPr>
        <w:t xml:space="preserve"> </w:t>
      </w:r>
      <w:proofErr w:type="spellStart"/>
      <w:r w:rsidRPr="00521338">
        <w:rPr>
          <w:rFonts w:ascii="Times New Roman" w:eastAsia="Times New Roman" w:hAnsi="Times New Roman" w:cs="Times New Roman"/>
          <w:sz w:val="24"/>
          <w:szCs w:val="24"/>
          <w:lang w:val="en-US"/>
        </w:rPr>
        <w:t>Sains</w:t>
      </w:r>
      <w:proofErr w:type="spellEnd"/>
      <w:r w:rsidRPr="00521338">
        <w:rPr>
          <w:rFonts w:ascii="Times New Roman" w:eastAsia="Times New Roman" w:hAnsi="Times New Roman" w:cs="Times New Roman"/>
          <w:sz w:val="24"/>
          <w:szCs w:val="24"/>
          <w:lang w:val="en-US"/>
        </w:rPr>
        <w:t xml:space="preserve"> Malaysia.</w:t>
      </w:r>
    </w:p>
    <w:p w14:paraId="6D3F9A3A"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Bakker, A. B., &amp; </w:t>
      </w:r>
      <w:proofErr w:type="spellStart"/>
      <w:r w:rsidRPr="00521338">
        <w:rPr>
          <w:rFonts w:ascii="Times New Roman" w:eastAsia="Times New Roman" w:hAnsi="Times New Roman" w:cs="Times New Roman"/>
          <w:sz w:val="24"/>
          <w:szCs w:val="24"/>
          <w:lang w:val="en-US"/>
        </w:rPr>
        <w:t>Demerouti</w:t>
      </w:r>
      <w:proofErr w:type="spellEnd"/>
      <w:r w:rsidRPr="00521338">
        <w:rPr>
          <w:rFonts w:ascii="Times New Roman" w:eastAsia="Times New Roman" w:hAnsi="Times New Roman" w:cs="Times New Roman"/>
          <w:sz w:val="24"/>
          <w:szCs w:val="24"/>
          <w:lang w:val="en-US"/>
        </w:rPr>
        <w:t xml:space="preserve">, E. (2007). The Job Demands–Resources model: State of the art. </w:t>
      </w:r>
      <w:r w:rsidRPr="00521338">
        <w:rPr>
          <w:rFonts w:ascii="Times New Roman" w:eastAsia="Times New Roman" w:hAnsi="Times New Roman" w:cs="Times New Roman"/>
          <w:i/>
          <w:iCs/>
          <w:sz w:val="24"/>
          <w:szCs w:val="24"/>
          <w:lang w:val="en-US"/>
        </w:rPr>
        <w:t>Journal of Managerial Psychology, 22</w:t>
      </w:r>
      <w:r w:rsidRPr="00521338">
        <w:rPr>
          <w:rFonts w:ascii="Times New Roman" w:eastAsia="Times New Roman" w:hAnsi="Times New Roman" w:cs="Times New Roman"/>
          <w:sz w:val="24"/>
          <w:szCs w:val="24"/>
          <w:lang w:val="en-US"/>
        </w:rPr>
        <w:t xml:space="preserve">(3), 309–328. </w:t>
      </w:r>
      <w:hyperlink r:id="rId8" w:tgtFrame="_new" w:history="1">
        <w:r w:rsidRPr="00521338">
          <w:rPr>
            <w:rFonts w:ascii="Times New Roman" w:eastAsia="Times New Roman" w:hAnsi="Times New Roman" w:cs="Times New Roman"/>
            <w:color w:val="0000FF"/>
            <w:sz w:val="24"/>
            <w:szCs w:val="24"/>
            <w:u w:val="single"/>
            <w:lang w:val="en-US"/>
          </w:rPr>
          <w:t>https://doi.org/10.1108/02683940710733115</w:t>
        </w:r>
      </w:hyperlink>
    </w:p>
    <w:p w14:paraId="3C0C982F"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Bharadwaj</w:t>
      </w:r>
      <w:proofErr w:type="spellEnd"/>
      <w:r w:rsidRPr="00521338">
        <w:rPr>
          <w:rFonts w:ascii="Times New Roman" w:eastAsia="Times New Roman" w:hAnsi="Times New Roman" w:cs="Times New Roman"/>
          <w:sz w:val="24"/>
          <w:szCs w:val="24"/>
          <w:lang w:val="en-US"/>
        </w:rPr>
        <w:t xml:space="preserve">, A., El </w:t>
      </w:r>
      <w:proofErr w:type="spellStart"/>
      <w:r w:rsidRPr="00521338">
        <w:rPr>
          <w:rFonts w:ascii="Times New Roman" w:eastAsia="Times New Roman" w:hAnsi="Times New Roman" w:cs="Times New Roman"/>
          <w:sz w:val="24"/>
          <w:szCs w:val="24"/>
          <w:lang w:val="en-US"/>
        </w:rPr>
        <w:t>Sawy</w:t>
      </w:r>
      <w:proofErr w:type="spellEnd"/>
      <w:r w:rsidRPr="00521338">
        <w:rPr>
          <w:rFonts w:ascii="Times New Roman" w:eastAsia="Times New Roman" w:hAnsi="Times New Roman" w:cs="Times New Roman"/>
          <w:sz w:val="24"/>
          <w:szCs w:val="24"/>
          <w:lang w:val="en-US"/>
        </w:rPr>
        <w:t xml:space="preserve">, O. A., </w:t>
      </w:r>
      <w:proofErr w:type="spellStart"/>
      <w:r w:rsidRPr="00521338">
        <w:rPr>
          <w:rFonts w:ascii="Times New Roman" w:eastAsia="Times New Roman" w:hAnsi="Times New Roman" w:cs="Times New Roman"/>
          <w:sz w:val="24"/>
          <w:szCs w:val="24"/>
          <w:lang w:val="en-US"/>
        </w:rPr>
        <w:t>Pavlou</w:t>
      </w:r>
      <w:proofErr w:type="spellEnd"/>
      <w:r w:rsidRPr="00521338">
        <w:rPr>
          <w:rFonts w:ascii="Times New Roman" w:eastAsia="Times New Roman" w:hAnsi="Times New Roman" w:cs="Times New Roman"/>
          <w:sz w:val="24"/>
          <w:szCs w:val="24"/>
          <w:lang w:val="en-US"/>
        </w:rPr>
        <w:t xml:space="preserve">, P. A., &amp; </w:t>
      </w:r>
      <w:proofErr w:type="spellStart"/>
      <w:r w:rsidRPr="00521338">
        <w:rPr>
          <w:rFonts w:ascii="Times New Roman" w:eastAsia="Times New Roman" w:hAnsi="Times New Roman" w:cs="Times New Roman"/>
          <w:sz w:val="24"/>
          <w:szCs w:val="24"/>
          <w:lang w:val="en-US"/>
        </w:rPr>
        <w:t>Venkatraman</w:t>
      </w:r>
      <w:proofErr w:type="spellEnd"/>
      <w:r w:rsidRPr="00521338">
        <w:rPr>
          <w:rFonts w:ascii="Times New Roman" w:eastAsia="Times New Roman" w:hAnsi="Times New Roman" w:cs="Times New Roman"/>
          <w:sz w:val="24"/>
          <w:szCs w:val="24"/>
          <w:lang w:val="en-US"/>
        </w:rPr>
        <w:t xml:space="preserve">, N. (2013). Digital business strategy: Toward a next generation of insights. </w:t>
      </w:r>
      <w:r w:rsidRPr="00521338">
        <w:rPr>
          <w:rFonts w:ascii="Times New Roman" w:eastAsia="Times New Roman" w:hAnsi="Times New Roman" w:cs="Times New Roman"/>
          <w:i/>
          <w:iCs/>
          <w:sz w:val="24"/>
          <w:szCs w:val="24"/>
          <w:lang w:val="en-US"/>
        </w:rPr>
        <w:t>MIS Quarterly, 37</w:t>
      </w:r>
      <w:r w:rsidRPr="00521338">
        <w:rPr>
          <w:rFonts w:ascii="Times New Roman" w:eastAsia="Times New Roman" w:hAnsi="Times New Roman" w:cs="Times New Roman"/>
          <w:sz w:val="24"/>
          <w:szCs w:val="24"/>
          <w:lang w:val="en-US"/>
        </w:rPr>
        <w:t>(2), 471–482.</w:t>
      </w:r>
    </w:p>
    <w:p w14:paraId="4A371951"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Blau</w:t>
      </w:r>
      <w:proofErr w:type="spellEnd"/>
      <w:r w:rsidRPr="00521338">
        <w:rPr>
          <w:rFonts w:ascii="Times New Roman" w:eastAsia="Times New Roman" w:hAnsi="Times New Roman" w:cs="Times New Roman"/>
          <w:sz w:val="24"/>
          <w:szCs w:val="24"/>
          <w:lang w:val="en-US"/>
        </w:rPr>
        <w:t xml:space="preserve">, P. M. (1964). </w:t>
      </w:r>
      <w:r w:rsidRPr="00521338">
        <w:rPr>
          <w:rFonts w:ascii="Times New Roman" w:eastAsia="Times New Roman" w:hAnsi="Times New Roman" w:cs="Times New Roman"/>
          <w:i/>
          <w:iCs/>
          <w:sz w:val="24"/>
          <w:szCs w:val="24"/>
          <w:lang w:val="en-US"/>
        </w:rPr>
        <w:t>Exchange and power in social life</w:t>
      </w:r>
      <w:r w:rsidRPr="00521338">
        <w:rPr>
          <w:rFonts w:ascii="Times New Roman" w:eastAsia="Times New Roman" w:hAnsi="Times New Roman" w:cs="Times New Roman"/>
          <w:sz w:val="24"/>
          <w:szCs w:val="24"/>
          <w:lang w:val="en-US"/>
        </w:rPr>
        <w:t>. Wiley.</w:t>
      </w:r>
    </w:p>
    <w:p w14:paraId="3ED314E3"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Hackman, J. R., &amp; Oldham, G. R. (1976). Motivation through the design of work: Test of a theory. </w:t>
      </w:r>
      <w:r w:rsidRPr="00521338">
        <w:rPr>
          <w:rFonts w:ascii="Times New Roman" w:eastAsia="Times New Roman" w:hAnsi="Times New Roman" w:cs="Times New Roman"/>
          <w:i/>
          <w:iCs/>
          <w:sz w:val="24"/>
          <w:szCs w:val="24"/>
          <w:lang w:val="en-US"/>
        </w:rPr>
        <w:t>Organizational Behavior and Human Performance, 16</w:t>
      </w:r>
      <w:r w:rsidRPr="00521338">
        <w:rPr>
          <w:rFonts w:ascii="Times New Roman" w:eastAsia="Times New Roman" w:hAnsi="Times New Roman" w:cs="Times New Roman"/>
          <w:sz w:val="24"/>
          <w:szCs w:val="24"/>
          <w:lang w:val="en-US"/>
        </w:rPr>
        <w:t>(2), 250–279. https://doi.org/10.1016/0030-5073(76)90016-7</w:t>
      </w:r>
    </w:p>
    <w:p w14:paraId="42D527D9"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Herzberg, F., </w:t>
      </w:r>
      <w:proofErr w:type="spellStart"/>
      <w:r w:rsidRPr="00521338">
        <w:rPr>
          <w:rFonts w:ascii="Times New Roman" w:eastAsia="Times New Roman" w:hAnsi="Times New Roman" w:cs="Times New Roman"/>
          <w:sz w:val="24"/>
          <w:szCs w:val="24"/>
          <w:lang w:val="en-US"/>
        </w:rPr>
        <w:t>Mausner</w:t>
      </w:r>
      <w:proofErr w:type="spellEnd"/>
      <w:r w:rsidRPr="00521338">
        <w:rPr>
          <w:rFonts w:ascii="Times New Roman" w:eastAsia="Times New Roman" w:hAnsi="Times New Roman" w:cs="Times New Roman"/>
          <w:sz w:val="24"/>
          <w:szCs w:val="24"/>
          <w:lang w:val="en-US"/>
        </w:rPr>
        <w:t xml:space="preserve">, B., &amp; Snyderman, B. B. (1959). </w:t>
      </w:r>
      <w:r w:rsidRPr="00521338">
        <w:rPr>
          <w:rFonts w:ascii="Times New Roman" w:eastAsia="Times New Roman" w:hAnsi="Times New Roman" w:cs="Times New Roman"/>
          <w:i/>
          <w:iCs/>
          <w:sz w:val="24"/>
          <w:szCs w:val="24"/>
          <w:lang w:val="en-US"/>
        </w:rPr>
        <w:t>The motivation to work</w:t>
      </w:r>
      <w:r w:rsidRPr="00521338">
        <w:rPr>
          <w:rFonts w:ascii="Times New Roman" w:eastAsia="Times New Roman" w:hAnsi="Times New Roman" w:cs="Times New Roman"/>
          <w:sz w:val="24"/>
          <w:szCs w:val="24"/>
          <w:lang w:val="en-US"/>
        </w:rPr>
        <w:t xml:space="preserve"> (2nd ed.). Wiley.</w:t>
      </w:r>
    </w:p>
    <w:p w14:paraId="06669271"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Huaytan</w:t>
      </w:r>
      <w:proofErr w:type="spellEnd"/>
      <w:r w:rsidRPr="00521338">
        <w:rPr>
          <w:rFonts w:ascii="Times New Roman" w:eastAsia="Times New Roman" w:hAnsi="Times New Roman" w:cs="Times New Roman"/>
          <w:sz w:val="24"/>
          <w:szCs w:val="24"/>
          <w:lang w:val="en-US"/>
        </w:rPr>
        <w:t>, J. V. P., Rojas, G. G. R., Ruiz-</w:t>
      </w:r>
      <w:proofErr w:type="spellStart"/>
      <w:r w:rsidRPr="00521338">
        <w:rPr>
          <w:rFonts w:ascii="Times New Roman" w:eastAsia="Times New Roman" w:hAnsi="Times New Roman" w:cs="Times New Roman"/>
          <w:sz w:val="24"/>
          <w:szCs w:val="24"/>
          <w:lang w:val="en-US"/>
        </w:rPr>
        <w:t>Balvin</w:t>
      </w:r>
      <w:proofErr w:type="spellEnd"/>
      <w:r w:rsidRPr="00521338">
        <w:rPr>
          <w:rFonts w:ascii="Times New Roman" w:eastAsia="Times New Roman" w:hAnsi="Times New Roman" w:cs="Times New Roman"/>
          <w:sz w:val="24"/>
          <w:szCs w:val="24"/>
          <w:lang w:val="en-US"/>
        </w:rPr>
        <w:t xml:space="preserve">, M. C., Roldan, F. A. G., </w:t>
      </w:r>
      <w:proofErr w:type="spellStart"/>
      <w:r w:rsidRPr="00521338">
        <w:rPr>
          <w:rFonts w:ascii="Times New Roman" w:eastAsia="Times New Roman" w:hAnsi="Times New Roman" w:cs="Times New Roman"/>
          <w:sz w:val="24"/>
          <w:szCs w:val="24"/>
          <w:lang w:val="en-US"/>
        </w:rPr>
        <w:t>Leiva</w:t>
      </w:r>
      <w:proofErr w:type="spellEnd"/>
      <w:r w:rsidRPr="00521338">
        <w:rPr>
          <w:rFonts w:ascii="Times New Roman" w:eastAsia="Times New Roman" w:hAnsi="Times New Roman" w:cs="Times New Roman"/>
          <w:sz w:val="24"/>
          <w:szCs w:val="24"/>
          <w:lang w:val="en-US"/>
        </w:rPr>
        <w:t>, N. A. D., Gordillo-Flores, R. E., &amp; Tapia-</w:t>
      </w:r>
      <w:proofErr w:type="spellStart"/>
      <w:r w:rsidRPr="00521338">
        <w:rPr>
          <w:rFonts w:ascii="Times New Roman" w:eastAsia="Times New Roman" w:hAnsi="Times New Roman" w:cs="Times New Roman"/>
          <w:sz w:val="24"/>
          <w:szCs w:val="24"/>
          <w:lang w:val="en-US"/>
        </w:rPr>
        <w:t>Silguera</w:t>
      </w:r>
      <w:proofErr w:type="spellEnd"/>
      <w:r w:rsidRPr="00521338">
        <w:rPr>
          <w:rFonts w:ascii="Times New Roman" w:eastAsia="Times New Roman" w:hAnsi="Times New Roman" w:cs="Times New Roman"/>
          <w:sz w:val="24"/>
          <w:szCs w:val="24"/>
          <w:lang w:val="en-US"/>
        </w:rPr>
        <w:t xml:space="preserve">, R. D. (2024). Digital transformation in public hospital management: Improving the patient experience. </w:t>
      </w:r>
      <w:proofErr w:type="spellStart"/>
      <w:r w:rsidRPr="00521338">
        <w:rPr>
          <w:rFonts w:ascii="Times New Roman" w:eastAsia="Times New Roman" w:hAnsi="Times New Roman" w:cs="Times New Roman"/>
          <w:i/>
          <w:iCs/>
          <w:sz w:val="24"/>
          <w:szCs w:val="24"/>
          <w:lang w:val="en-US"/>
        </w:rPr>
        <w:t>Revista</w:t>
      </w:r>
      <w:proofErr w:type="spellEnd"/>
      <w:r w:rsidRPr="00521338">
        <w:rPr>
          <w:rFonts w:ascii="Times New Roman" w:eastAsia="Times New Roman" w:hAnsi="Times New Roman" w:cs="Times New Roman"/>
          <w:i/>
          <w:iCs/>
          <w:sz w:val="24"/>
          <w:szCs w:val="24"/>
          <w:lang w:val="en-US"/>
        </w:rPr>
        <w:t xml:space="preserve"> de </w:t>
      </w:r>
      <w:proofErr w:type="spellStart"/>
      <w:r w:rsidRPr="00521338">
        <w:rPr>
          <w:rFonts w:ascii="Times New Roman" w:eastAsia="Times New Roman" w:hAnsi="Times New Roman" w:cs="Times New Roman"/>
          <w:i/>
          <w:iCs/>
          <w:sz w:val="24"/>
          <w:szCs w:val="24"/>
          <w:lang w:val="en-US"/>
        </w:rPr>
        <w:t>Gestão</w:t>
      </w:r>
      <w:proofErr w:type="spellEnd"/>
      <w:r w:rsidRPr="00521338">
        <w:rPr>
          <w:rFonts w:ascii="Times New Roman" w:eastAsia="Times New Roman" w:hAnsi="Times New Roman" w:cs="Times New Roman"/>
          <w:i/>
          <w:iCs/>
          <w:sz w:val="24"/>
          <w:szCs w:val="24"/>
          <w:lang w:val="en-US"/>
        </w:rPr>
        <w:t xml:space="preserve"> – RGSA, 18</w:t>
      </w:r>
      <w:r w:rsidRPr="00521338">
        <w:rPr>
          <w:rFonts w:ascii="Times New Roman" w:eastAsia="Times New Roman" w:hAnsi="Times New Roman" w:cs="Times New Roman"/>
          <w:sz w:val="24"/>
          <w:szCs w:val="24"/>
          <w:lang w:val="en-US"/>
        </w:rPr>
        <w:t xml:space="preserve">(4), e04571. </w:t>
      </w:r>
      <w:hyperlink r:id="rId9" w:tgtFrame="_new" w:history="1">
        <w:r w:rsidRPr="00521338">
          <w:rPr>
            <w:rFonts w:ascii="Times New Roman" w:eastAsia="Times New Roman" w:hAnsi="Times New Roman" w:cs="Times New Roman"/>
            <w:color w:val="0000FF"/>
            <w:sz w:val="24"/>
            <w:szCs w:val="24"/>
            <w:u w:val="single"/>
            <w:lang w:val="en-US"/>
          </w:rPr>
          <w:t>https://doi.org/10.24857/rgsa.v18n4-046</w:t>
        </w:r>
      </w:hyperlink>
    </w:p>
    <w:p w14:paraId="280CAE07"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Hügle</w:t>
      </w:r>
      <w:proofErr w:type="spellEnd"/>
      <w:r w:rsidRPr="00521338">
        <w:rPr>
          <w:rFonts w:ascii="Times New Roman" w:eastAsia="Times New Roman" w:hAnsi="Times New Roman" w:cs="Times New Roman"/>
          <w:sz w:val="24"/>
          <w:szCs w:val="24"/>
          <w:lang w:val="en-US"/>
        </w:rPr>
        <w:t xml:space="preserve">, T., &amp; </w:t>
      </w:r>
      <w:proofErr w:type="spellStart"/>
      <w:r w:rsidRPr="00521338">
        <w:rPr>
          <w:rFonts w:ascii="Times New Roman" w:eastAsia="Times New Roman" w:hAnsi="Times New Roman" w:cs="Times New Roman"/>
          <w:sz w:val="24"/>
          <w:szCs w:val="24"/>
          <w:lang w:val="en-US"/>
        </w:rPr>
        <w:t>Grek</w:t>
      </w:r>
      <w:proofErr w:type="spellEnd"/>
      <w:r w:rsidRPr="00521338">
        <w:rPr>
          <w:rFonts w:ascii="Times New Roman" w:eastAsia="Times New Roman" w:hAnsi="Times New Roman" w:cs="Times New Roman"/>
          <w:sz w:val="24"/>
          <w:szCs w:val="24"/>
          <w:lang w:val="en-US"/>
        </w:rPr>
        <w:t xml:space="preserve">, V. (2023). Digital transformation of an academic hospital department: A case study on strategic planning using the balanced scorecard. </w:t>
      </w:r>
      <w:r w:rsidRPr="00521338">
        <w:rPr>
          <w:rFonts w:ascii="Times New Roman" w:eastAsia="Times New Roman" w:hAnsi="Times New Roman" w:cs="Times New Roman"/>
          <w:i/>
          <w:iCs/>
          <w:sz w:val="24"/>
          <w:szCs w:val="24"/>
          <w:lang w:val="en-US"/>
        </w:rPr>
        <w:t>PLOS Digital Health, 2</w:t>
      </w:r>
      <w:r w:rsidRPr="00521338">
        <w:rPr>
          <w:rFonts w:ascii="Times New Roman" w:eastAsia="Times New Roman" w:hAnsi="Times New Roman" w:cs="Times New Roman"/>
          <w:sz w:val="24"/>
          <w:szCs w:val="24"/>
          <w:lang w:val="en-US"/>
        </w:rPr>
        <w:t xml:space="preserve">(11), e0000385. </w:t>
      </w:r>
      <w:hyperlink r:id="rId10" w:tgtFrame="_new" w:history="1">
        <w:r w:rsidRPr="00521338">
          <w:rPr>
            <w:rFonts w:ascii="Times New Roman" w:eastAsia="Times New Roman" w:hAnsi="Times New Roman" w:cs="Times New Roman"/>
            <w:color w:val="0000FF"/>
            <w:sz w:val="24"/>
            <w:szCs w:val="24"/>
            <w:u w:val="single"/>
            <w:lang w:val="en-US"/>
          </w:rPr>
          <w:t>https://doi.org/10.1371/journal.pdig.0000385</w:t>
        </w:r>
      </w:hyperlink>
    </w:p>
    <w:p w14:paraId="097D0622"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Jeilani</w:t>
      </w:r>
      <w:proofErr w:type="spellEnd"/>
      <w:r w:rsidRPr="00521338">
        <w:rPr>
          <w:rFonts w:ascii="Times New Roman" w:eastAsia="Times New Roman" w:hAnsi="Times New Roman" w:cs="Times New Roman"/>
          <w:sz w:val="24"/>
          <w:szCs w:val="24"/>
          <w:lang w:val="en-US"/>
        </w:rPr>
        <w:t xml:space="preserve">, A., &amp; Hussein, A. (2025). Impact of digital health technologies adoption on healthcare workers’ performance and workload: Perspective with DOI and TOE models. </w:t>
      </w:r>
      <w:r w:rsidRPr="00521338">
        <w:rPr>
          <w:rFonts w:ascii="Times New Roman" w:eastAsia="Times New Roman" w:hAnsi="Times New Roman" w:cs="Times New Roman"/>
          <w:i/>
          <w:iCs/>
          <w:sz w:val="24"/>
          <w:szCs w:val="24"/>
          <w:lang w:val="en-US"/>
        </w:rPr>
        <w:t>BMC Health Services Research, 25</w:t>
      </w:r>
      <w:r w:rsidRPr="00521338">
        <w:rPr>
          <w:rFonts w:ascii="Times New Roman" w:eastAsia="Times New Roman" w:hAnsi="Times New Roman" w:cs="Times New Roman"/>
          <w:sz w:val="24"/>
          <w:szCs w:val="24"/>
          <w:lang w:val="en-US"/>
        </w:rPr>
        <w:t>, 271. https://doi.org/10.1186/s12913-025-10271-0</w:t>
      </w:r>
    </w:p>
    <w:p w14:paraId="1C60F3B0"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Jerab</w:t>
      </w:r>
      <w:proofErr w:type="spellEnd"/>
      <w:r w:rsidRPr="00521338">
        <w:rPr>
          <w:rFonts w:ascii="Times New Roman" w:eastAsia="Times New Roman" w:hAnsi="Times New Roman" w:cs="Times New Roman"/>
          <w:sz w:val="24"/>
          <w:szCs w:val="24"/>
          <w:lang w:val="en-US"/>
        </w:rPr>
        <w:t xml:space="preserve">, D. A. (2024, September). </w:t>
      </w:r>
      <w:r w:rsidRPr="00521338">
        <w:rPr>
          <w:rFonts w:ascii="Times New Roman" w:eastAsia="Times New Roman" w:hAnsi="Times New Roman" w:cs="Times New Roman"/>
          <w:i/>
          <w:iCs/>
          <w:sz w:val="24"/>
          <w:szCs w:val="24"/>
          <w:lang w:val="en-US"/>
        </w:rPr>
        <w:t>The impact of digital transformation on public services</w:t>
      </w:r>
      <w:r w:rsidRPr="00521338">
        <w:rPr>
          <w:rFonts w:ascii="Times New Roman" w:eastAsia="Times New Roman" w:hAnsi="Times New Roman" w:cs="Times New Roman"/>
          <w:sz w:val="24"/>
          <w:szCs w:val="24"/>
          <w:lang w:val="en-US"/>
        </w:rPr>
        <w:t>. Paper presented at the International Conference on Digital Government and Public Sector Innovation (ICDGPSI 2024), Dubai, United Arab Emirates.</w:t>
      </w:r>
    </w:p>
    <w:p w14:paraId="4E71564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Jung, S., Lee, H.-Y., Lee, H., </w:t>
      </w:r>
      <w:proofErr w:type="spellStart"/>
      <w:r w:rsidRPr="00521338">
        <w:rPr>
          <w:rFonts w:ascii="Times New Roman" w:eastAsia="Times New Roman" w:hAnsi="Times New Roman" w:cs="Times New Roman"/>
          <w:sz w:val="24"/>
          <w:szCs w:val="24"/>
          <w:lang w:val="en-US"/>
        </w:rPr>
        <w:t>Yune</w:t>
      </w:r>
      <w:proofErr w:type="spellEnd"/>
      <w:r w:rsidRPr="00521338">
        <w:rPr>
          <w:rFonts w:ascii="Times New Roman" w:eastAsia="Times New Roman" w:hAnsi="Times New Roman" w:cs="Times New Roman"/>
          <w:sz w:val="24"/>
          <w:szCs w:val="24"/>
          <w:lang w:val="en-US"/>
        </w:rPr>
        <w:t xml:space="preserve">, I., Park, D. S. M., </w:t>
      </w:r>
      <w:proofErr w:type="spellStart"/>
      <w:r w:rsidRPr="00521338">
        <w:rPr>
          <w:rFonts w:ascii="Times New Roman" w:eastAsia="Times New Roman" w:hAnsi="Times New Roman" w:cs="Times New Roman"/>
          <w:sz w:val="24"/>
          <w:szCs w:val="24"/>
          <w:lang w:val="en-US"/>
        </w:rPr>
        <w:t>Tejerina</w:t>
      </w:r>
      <w:proofErr w:type="spellEnd"/>
      <w:r w:rsidRPr="00521338">
        <w:rPr>
          <w:rFonts w:ascii="Times New Roman" w:eastAsia="Times New Roman" w:hAnsi="Times New Roman" w:cs="Times New Roman"/>
          <w:sz w:val="24"/>
          <w:szCs w:val="24"/>
          <w:lang w:val="en-US"/>
        </w:rPr>
        <w:t xml:space="preserve">, L., &amp; Kang, D. (2024). </w:t>
      </w:r>
      <w:r w:rsidRPr="00521338">
        <w:rPr>
          <w:rFonts w:ascii="Times New Roman" w:eastAsia="Times New Roman" w:hAnsi="Times New Roman" w:cs="Times New Roman"/>
          <w:i/>
          <w:iCs/>
          <w:sz w:val="24"/>
          <w:szCs w:val="24"/>
          <w:lang w:val="en-US"/>
        </w:rPr>
        <w:t xml:space="preserve">The digital transformation of Seoul National University </w:t>
      </w:r>
      <w:proofErr w:type="spellStart"/>
      <w:r w:rsidRPr="00521338">
        <w:rPr>
          <w:rFonts w:ascii="Times New Roman" w:eastAsia="Times New Roman" w:hAnsi="Times New Roman" w:cs="Times New Roman"/>
          <w:i/>
          <w:iCs/>
          <w:sz w:val="24"/>
          <w:szCs w:val="24"/>
          <w:lang w:val="en-US"/>
        </w:rPr>
        <w:t>Bundang</w:t>
      </w:r>
      <w:proofErr w:type="spellEnd"/>
      <w:r w:rsidRPr="00521338">
        <w:rPr>
          <w:rFonts w:ascii="Times New Roman" w:eastAsia="Times New Roman" w:hAnsi="Times New Roman" w:cs="Times New Roman"/>
          <w:i/>
          <w:iCs/>
          <w:sz w:val="24"/>
          <w:szCs w:val="24"/>
          <w:lang w:val="en-US"/>
        </w:rPr>
        <w:t xml:space="preserve"> Hospital</w:t>
      </w:r>
      <w:r w:rsidRPr="00521338">
        <w:rPr>
          <w:rFonts w:ascii="Times New Roman" w:eastAsia="Times New Roman" w:hAnsi="Times New Roman" w:cs="Times New Roman"/>
          <w:sz w:val="24"/>
          <w:szCs w:val="24"/>
          <w:lang w:val="en-US"/>
        </w:rPr>
        <w:t xml:space="preserve">. Inter-American Development Bank. </w:t>
      </w:r>
      <w:hyperlink r:id="rId11" w:tgtFrame="_new" w:history="1">
        <w:r w:rsidRPr="00521338">
          <w:rPr>
            <w:rFonts w:ascii="Times New Roman" w:eastAsia="Times New Roman" w:hAnsi="Times New Roman" w:cs="Times New Roman"/>
            <w:color w:val="0000FF"/>
            <w:sz w:val="24"/>
            <w:szCs w:val="24"/>
            <w:u w:val="single"/>
            <w:lang w:val="en-US"/>
          </w:rPr>
          <w:t>https://doi.org/10.18235/0005682</w:t>
        </w:r>
      </w:hyperlink>
      <w:r w:rsidRPr="00521338">
        <w:rPr>
          <w:rFonts w:ascii="Times New Roman" w:eastAsia="Times New Roman" w:hAnsi="Times New Roman" w:cs="Times New Roman"/>
          <w:sz w:val="24"/>
          <w:szCs w:val="24"/>
          <w:lang w:val="en-US"/>
        </w:rPr>
        <w:t xml:space="preserve"> </w:t>
      </w:r>
    </w:p>
    <w:p w14:paraId="6D084D4A"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Koebe</w:t>
      </w:r>
      <w:proofErr w:type="spellEnd"/>
      <w:r w:rsidRPr="00521338">
        <w:rPr>
          <w:rFonts w:ascii="Times New Roman" w:eastAsia="Times New Roman" w:hAnsi="Times New Roman" w:cs="Times New Roman"/>
          <w:sz w:val="24"/>
          <w:szCs w:val="24"/>
          <w:lang w:val="en-US"/>
        </w:rPr>
        <w:t xml:space="preserve">, P., &amp; </w:t>
      </w:r>
      <w:proofErr w:type="spellStart"/>
      <w:r w:rsidRPr="00521338">
        <w:rPr>
          <w:rFonts w:ascii="Times New Roman" w:eastAsia="Times New Roman" w:hAnsi="Times New Roman" w:cs="Times New Roman"/>
          <w:sz w:val="24"/>
          <w:szCs w:val="24"/>
          <w:lang w:val="en-US"/>
        </w:rPr>
        <w:t>Bohnet-Joschko</w:t>
      </w:r>
      <w:proofErr w:type="spellEnd"/>
      <w:r w:rsidRPr="00521338">
        <w:rPr>
          <w:rFonts w:ascii="Times New Roman" w:eastAsia="Times New Roman" w:hAnsi="Times New Roman" w:cs="Times New Roman"/>
          <w:sz w:val="24"/>
          <w:szCs w:val="24"/>
          <w:lang w:val="en-US"/>
        </w:rPr>
        <w:t xml:space="preserve">, S. (2023). The impact of digital transformation on inpatient care: Mixed methods study. </w:t>
      </w:r>
      <w:r w:rsidRPr="00521338">
        <w:rPr>
          <w:rFonts w:ascii="Times New Roman" w:eastAsia="Times New Roman" w:hAnsi="Times New Roman" w:cs="Times New Roman"/>
          <w:i/>
          <w:iCs/>
          <w:sz w:val="24"/>
          <w:szCs w:val="24"/>
          <w:lang w:val="en-US"/>
        </w:rPr>
        <w:t>JMIR Public Health and Surveillance, 9</w:t>
      </w:r>
      <w:r w:rsidRPr="00521338">
        <w:rPr>
          <w:rFonts w:ascii="Times New Roman" w:eastAsia="Times New Roman" w:hAnsi="Times New Roman" w:cs="Times New Roman"/>
          <w:sz w:val="24"/>
          <w:szCs w:val="24"/>
          <w:lang w:val="en-US"/>
        </w:rPr>
        <w:t xml:space="preserve">, e40622. </w:t>
      </w:r>
      <w:hyperlink r:id="rId12" w:tgtFrame="_new" w:history="1">
        <w:r w:rsidRPr="00521338">
          <w:rPr>
            <w:rFonts w:ascii="Times New Roman" w:eastAsia="Times New Roman" w:hAnsi="Times New Roman" w:cs="Times New Roman"/>
            <w:color w:val="0000FF"/>
            <w:sz w:val="24"/>
            <w:szCs w:val="24"/>
            <w:u w:val="single"/>
            <w:lang w:val="en-US"/>
          </w:rPr>
          <w:t>https://doi.org/10.2196/40622</w:t>
        </w:r>
      </w:hyperlink>
    </w:p>
    <w:p w14:paraId="728A0C1C"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Kotter, J. P. (1996). </w:t>
      </w:r>
      <w:r w:rsidRPr="00521338">
        <w:rPr>
          <w:rFonts w:ascii="Times New Roman" w:eastAsia="Times New Roman" w:hAnsi="Times New Roman" w:cs="Times New Roman"/>
          <w:i/>
          <w:iCs/>
          <w:sz w:val="24"/>
          <w:szCs w:val="24"/>
          <w:lang w:val="en-US"/>
        </w:rPr>
        <w:t>Leading change</w:t>
      </w:r>
      <w:r w:rsidRPr="00521338">
        <w:rPr>
          <w:rFonts w:ascii="Times New Roman" w:eastAsia="Times New Roman" w:hAnsi="Times New Roman" w:cs="Times New Roman"/>
          <w:sz w:val="24"/>
          <w:szCs w:val="24"/>
          <w:lang w:val="en-US"/>
        </w:rPr>
        <w:t>. Harvard Business School Press.</w:t>
      </w:r>
    </w:p>
    <w:p w14:paraId="34FF9485"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Kraus, S., </w:t>
      </w:r>
      <w:proofErr w:type="spellStart"/>
      <w:r w:rsidRPr="00521338">
        <w:rPr>
          <w:rFonts w:ascii="Times New Roman" w:eastAsia="Times New Roman" w:hAnsi="Times New Roman" w:cs="Times New Roman"/>
          <w:sz w:val="24"/>
          <w:szCs w:val="24"/>
          <w:lang w:val="en-US"/>
        </w:rPr>
        <w:t>Schiavone</w:t>
      </w:r>
      <w:proofErr w:type="spellEnd"/>
      <w:r w:rsidRPr="00521338">
        <w:rPr>
          <w:rFonts w:ascii="Times New Roman" w:eastAsia="Times New Roman" w:hAnsi="Times New Roman" w:cs="Times New Roman"/>
          <w:sz w:val="24"/>
          <w:szCs w:val="24"/>
          <w:lang w:val="en-US"/>
        </w:rPr>
        <w:t xml:space="preserve">, F., </w:t>
      </w:r>
      <w:proofErr w:type="spellStart"/>
      <w:r w:rsidRPr="00521338">
        <w:rPr>
          <w:rFonts w:ascii="Times New Roman" w:eastAsia="Times New Roman" w:hAnsi="Times New Roman" w:cs="Times New Roman"/>
          <w:sz w:val="24"/>
          <w:szCs w:val="24"/>
          <w:lang w:val="en-US"/>
        </w:rPr>
        <w:t>Pluzhnikova</w:t>
      </w:r>
      <w:proofErr w:type="spellEnd"/>
      <w:r w:rsidRPr="00521338">
        <w:rPr>
          <w:rFonts w:ascii="Times New Roman" w:eastAsia="Times New Roman" w:hAnsi="Times New Roman" w:cs="Times New Roman"/>
          <w:sz w:val="24"/>
          <w:szCs w:val="24"/>
          <w:lang w:val="en-US"/>
        </w:rPr>
        <w:t xml:space="preserve">, A., &amp; </w:t>
      </w:r>
      <w:proofErr w:type="spellStart"/>
      <w:r w:rsidRPr="00521338">
        <w:rPr>
          <w:rFonts w:ascii="Times New Roman" w:eastAsia="Times New Roman" w:hAnsi="Times New Roman" w:cs="Times New Roman"/>
          <w:sz w:val="24"/>
          <w:szCs w:val="24"/>
          <w:lang w:val="en-US"/>
        </w:rPr>
        <w:t>Invernizzi</w:t>
      </w:r>
      <w:proofErr w:type="spellEnd"/>
      <w:r w:rsidRPr="00521338">
        <w:rPr>
          <w:rFonts w:ascii="Times New Roman" w:eastAsia="Times New Roman" w:hAnsi="Times New Roman" w:cs="Times New Roman"/>
          <w:sz w:val="24"/>
          <w:szCs w:val="24"/>
          <w:lang w:val="en-US"/>
        </w:rPr>
        <w:t xml:space="preserve">, A. C. (2021). Digital transformation in healthcare: Analyzing the current state-of-research. </w:t>
      </w:r>
      <w:r w:rsidRPr="00521338">
        <w:rPr>
          <w:rFonts w:ascii="Times New Roman" w:eastAsia="Times New Roman" w:hAnsi="Times New Roman" w:cs="Times New Roman"/>
          <w:i/>
          <w:iCs/>
          <w:sz w:val="24"/>
          <w:szCs w:val="24"/>
          <w:lang w:val="en-US"/>
        </w:rPr>
        <w:t>Journal of Business Research, 123</w:t>
      </w:r>
      <w:r w:rsidRPr="00521338">
        <w:rPr>
          <w:rFonts w:ascii="Times New Roman" w:eastAsia="Times New Roman" w:hAnsi="Times New Roman" w:cs="Times New Roman"/>
          <w:sz w:val="24"/>
          <w:szCs w:val="24"/>
          <w:lang w:val="en-US"/>
        </w:rPr>
        <w:t xml:space="preserve">, 557–567. </w:t>
      </w:r>
      <w:hyperlink r:id="rId13" w:tgtFrame="_new" w:history="1">
        <w:r w:rsidRPr="00521338">
          <w:rPr>
            <w:rFonts w:ascii="Times New Roman" w:eastAsia="Times New Roman" w:hAnsi="Times New Roman" w:cs="Times New Roman"/>
            <w:color w:val="0000FF"/>
            <w:sz w:val="24"/>
            <w:szCs w:val="24"/>
            <w:u w:val="single"/>
            <w:lang w:val="en-US"/>
          </w:rPr>
          <w:t>https://doi.org/10.1016/j.jbusres.2020.10.030</w:t>
        </w:r>
      </w:hyperlink>
    </w:p>
    <w:p w14:paraId="4BF18004"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Locke, E. A. (1976). The nature and causes of job satisfaction. In M. D. </w:t>
      </w:r>
      <w:proofErr w:type="spellStart"/>
      <w:r w:rsidRPr="00521338">
        <w:rPr>
          <w:rFonts w:ascii="Times New Roman" w:eastAsia="Times New Roman" w:hAnsi="Times New Roman" w:cs="Times New Roman"/>
          <w:sz w:val="24"/>
          <w:szCs w:val="24"/>
          <w:lang w:val="en-US"/>
        </w:rPr>
        <w:t>Dunnette</w:t>
      </w:r>
      <w:proofErr w:type="spellEnd"/>
      <w:r w:rsidRPr="00521338">
        <w:rPr>
          <w:rFonts w:ascii="Times New Roman" w:eastAsia="Times New Roman" w:hAnsi="Times New Roman" w:cs="Times New Roman"/>
          <w:sz w:val="24"/>
          <w:szCs w:val="24"/>
          <w:lang w:val="en-US"/>
        </w:rPr>
        <w:t xml:space="preserve"> (Ed.), </w:t>
      </w:r>
      <w:r w:rsidRPr="00521338">
        <w:rPr>
          <w:rFonts w:ascii="Times New Roman" w:eastAsia="Times New Roman" w:hAnsi="Times New Roman" w:cs="Times New Roman"/>
          <w:i/>
          <w:iCs/>
          <w:sz w:val="24"/>
          <w:szCs w:val="24"/>
          <w:lang w:val="en-US"/>
        </w:rPr>
        <w:t>Handbook of industrial and organizational psychology</w:t>
      </w:r>
      <w:r w:rsidRPr="00521338">
        <w:rPr>
          <w:rFonts w:ascii="Times New Roman" w:eastAsia="Times New Roman" w:hAnsi="Times New Roman" w:cs="Times New Roman"/>
          <w:sz w:val="24"/>
          <w:szCs w:val="24"/>
          <w:lang w:val="en-US"/>
        </w:rPr>
        <w:t xml:space="preserve"> (pp. 1297–1349). Rand McNally.</w:t>
      </w:r>
    </w:p>
    <w:p w14:paraId="0AC90128"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Mauro, M., Noto, G., </w:t>
      </w:r>
      <w:proofErr w:type="spellStart"/>
      <w:r w:rsidRPr="00521338">
        <w:rPr>
          <w:rFonts w:ascii="Times New Roman" w:eastAsia="Times New Roman" w:hAnsi="Times New Roman" w:cs="Times New Roman"/>
          <w:sz w:val="24"/>
          <w:szCs w:val="24"/>
          <w:lang w:val="en-US"/>
        </w:rPr>
        <w:t>Prenestini</w:t>
      </w:r>
      <w:proofErr w:type="spellEnd"/>
      <w:r w:rsidRPr="00521338">
        <w:rPr>
          <w:rFonts w:ascii="Times New Roman" w:eastAsia="Times New Roman" w:hAnsi="Times New Roman" w:cs="Times New Roman"/>
          <w:sz w:val="24"/>
          <w:szCs w:val="24"/>
          <w:lang w:val="en-US"/>
        </w:rPr>
        <w:t xml:space="preserve">, A., &amp; </w:t>
      </w:r>
      <w:proofErr w:type="spellStart"/>
      <w:r w:rsidRPr="00521338">
        <w:rPr>
          <w:rFonts w:ascii="Times New Roman" w:eastAsia="Times New Roman" w:hAnsi="Times New Roman" w:cs="Times New Roman"/>
          <w:sz w:val="24"/>
          <w:szCs w:val="24"/>
          <w:lang w:val="en-US"/>
        </w:rPr>
        <w:t>Sarto</w:t>
      </w:r>
      <w:proofErr w:type="spellEnd"/>
      <w:r w:rsidRPr="00521338">
        <w:rPr>
          <w:rFonts w:ascii="Times New Roman" w:eastAsia="Times New Roman" w:hAnsi="Times New Roman" w:cs="Times New Roman"/>
          <w:sz w:val="24"/>
          <w:szCs w:val="24"/>
          <w:lang w:val="en-US"/>
        </w:rPr>
        <w:t xml:space="preserve">, F. (2024). Digital transformation in healthcare: Assessing the role of digital technologies for managerial support processes. </w:t>
      </w:r>
      <w:r w:rsidRPr="00521338">
        <w:rPr>
          <w:rFonts w:ascii="Times New Roman" w:eastAsia="Times New Roman" w:hAnsi="Times New Roman" w:cs="Times New Roman"/>
          <w:i/>
          <w:iCs/>
          <w:sz w:val="24"/>
          <w:szCs w:val="24"/>
          <w:lang w:val="en-US"/>
        </w:rPr>
        <w:t>Technological Forecasting and Social Change, 202</w:t>
      </w:r>
      <w:r w:rsidRPr="00521338">
        <w:rPr>
          <w:rFonts w:ascii="Times New Roman" w:eastAsia="Times New Roman" w:hAnsi="Times New Roman" w:cs="Times New Roman"/>
          <w:sz w:val="24"/>
          <w:szCs w:val="24"/>
          <w:lang w:val="en-US"/>
        </w:rPr>
        <w:t xml:space="preserve">, 123781. </w:t>
      </w:r>
      <w:hyperlink r:id="rId14" w:tgtFrame="_new" w:history="1">
        <w:r w:rsidRPr="00521338">
          <w:rPr>
            <w:rFonts w:ascii="Times New Roman" w:eastAsia="Times New Roman" w:hAnsi="Times New Roman" w:cs="Times New Roman"/>
            <w:color w:val="0000FF"/>
            <w:sz w:val="24"/>
            <w:szCs w:val="24"/>
            <w:u w:val="single"/>
            <w:lang w:val="en-US"/>
          </w:rPr>
          <w:t>https://doi.org/10.1016/j.techfore.2024.123781</w:t>
        </w:r>
      </w:hyperlink>
    </w:p>
    <w:p w14:paraId="5C3E1DFE"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Meyer, J. P., &amp; Allen, N. J. (1991). A three-component conceptualization of organizational commitment. </w:t>
      </w:r>
      <w:r w:rsidRPr="00521338">
        <w:rPr>
          <w:rFonts w:ascii="Times New Roman" w:eastAsia="Times New Roman" w:hAnsi="Times New Roman" w:cs="Times New Roman"/>
          <w:i/>
          <w:iCs/>
          <w:sz w:val="24"/>
          <w:szCs w:val="24"/>
          <w:lang w:val="en-US"/>
        </w:rPr>
        <w:t>Human Resource Management Review, 1</w:t>
      </w:r>
      <w:r w:rsidRPr="00521338">
        <w:rPr>
          <w:rFonts w:ascii="Times New Roman" w:eastAsia="Times New Roman" w:hAnsi="Times New Roman" w:cs="Times New Roman"/>
          <w:sz w:val="24"/>
          <w:szCs w:val="24"/>
          <w:lang w:val="en-US"/>
        </w:rPr>
        <w:t>(1), 61–89. https://doi.org/10.1016/1053-4822(91)90011-Z</w:t>
      </w:r>
    </w:p>
    <w:p w14:paraId="56117788"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Mijala</w:t>
      </w:r>
      <w:proofErr w:type="spellEnd"/>
      <w:r w:rsidRPr="00521338">
        <w:rPr>
          <w:rFonts w:ascii="Times New Roman" w:eastAsia="Times New Roman" w:hAnsi="Times New Roman" w:cs="Times New Roman"/>
          <w:sz w:val="24"/>
          <w:szCs w:val="24"/>
          <w:lang w:val="en-US"/>
        </w:rPr>
        <w:t xml:space="preserve">, M., </w:t>
      </w:r>
      <w:proofErr w:type="spellStart"/>
      <w:r w:rsidRPr="00521338">
        <w:rPr>
          <w:rFonts w:ascii="Times New Roman" w:eastAsia="Times New Roman" w:hAnsi="Times New Roman" w:cs="Times New Roman"/>
          <w:sz w:val="24"/>
          <w:szCs w:val="24"/>
          <w:lang w:val="en-US"/>
        </w:rPr>
        <w:t>Marczewska</w:t>
      </w:r>
      <w:proofErr w:type="spellEnd"/>
      <w:r w:rsidRPr="00521338">
        <w:rPr>
          <w:rFonts w:ascii="Times New Roman" w:eastAsia="Times New Roman" w:hAnsi="Times New Roman" w:cs="Times New Roman"/>
          <w:sz w:val="24"/>
          <w:szCs w:val="24"/>
          <w:lang w:val="en-US"/>
        </w:rPr>
        <w:t xml:space="preserve">, M., </w:t>
      </w:r>
      <w:proofErr w:type="spellStart"/>
      <w:r w:rsidRPr="00521338">
        <w:rPr>
          <w:rFonts w:ascii="Times New Roman" w:eastAsia="Times New Roman" w:hAnsi="Times New Roman" w:cs="Times New Roman"/>
          <w:sz w:val="24"/>
          <w:szCs w:val="24"/>
          <w:lang w:val="en-US"/>
        </w:rPr>
        <w:t>Kostrzewski</w:t>
      </w:r>
      <w:proofErr w:type="spellEnd"/>
      <w:r w:rsidRPr="00521338">
        <w:rPr>
          <w:rFonts w:ascii="Times New Roman" w:eastAsia="Times New Roman" w:hAnsi="Times New Roman" w:cs="Times New Roman"/>
          <w:sz w:val="24"/>
          <w:szCs w:val="24"/>
          <w:lang w:val="en-US"/>
        </w:rPr>
        <w:t xml:space="preserve">, M., Banka, M., &amp; </w:t>
      </w:r>
      <w:proofErr w:type="spellStart"/>
      <w:r w:rsidRPr="00521338">
        <w:rPr>
          <w:rFonts w:ascii="Times New Roman" w:eastAsia="Times New Roman" w:hAnsi="Times New Roman" w:cs="Times New Roman"/>
          <w:sz w:val="24"/>
          <w:szCs w:val="24"/>
          <w:lang w:val="en-US"/>
        </w:rPr>
        <w:t>Kamiński</w:t>
      </w:r>
      <w:proofErr w:type="spellEnd"/>
      <w:r w:rsidRPr="00521338">
        <w:rPr>
          <w:rFonts w:ascii="Times New Roman" w:eastAsia="Times New Roman" w:hAnsi="Times New Roman" w:cs="Times New Roman"/>
          <w:sz w:val="24"/>
          <w:szCs w:val="24"/>
          <w:lang w:val="en-US"/>
        </w:rPr>
        <w:t xml:space="preserve">, A. (2023). Digital transformation of healthcare and job roles changes. </w:t>
      </w:r>
      <w:r w:rsidRPr="00521338">
        <w:rPr>
          <w:rFonts w:ascii="Times New Roman" w:eastAsia="Times New Roman" w:hAnsi="Times New Roman" w:cs="Times New Roman"/>
          <w:i/>
          <w:iCs/>
          <w:sz w:val="24"/>
          <w:szCs w:val="24"/>
          <w:lang w:val="en-US"/>
        </w:rPr>
        <w:t>Procedia Computer Science, 225</w:t>
      </w:r>
      <w:r w:rsidRPr="00521338">
        <w:rPr>
          <w:rFonts w:ascii="Times New Roman" w:eastAsia="Times New Roman" w:hAnsi="Times New Roman" w:cs="Times New Roman"/>
          <w:sz w:val="24"/>
          <w:szCs w:val="24"/>
          <w:lang w:val="en-US"/>
        </w:rPr>
        <w:t xml:space="preserve">, 1957–1963. </w:t>
      </w:r>
      <w:hyperlink r:id="rId15" w:tgtFrame="_new" w:history="1">
        <w:r w:rsidRPr="00521338">
          <w:rPr>
            <w:rFonts w:ascii="Times New Roman" w:eastAsia="Times New Roman" w:hAnsi="Times New Roman" w:cs="Times New Roman"/>
            <w:color w:val="0000FF"/>
            <w:sz w:val="24"/>
            <w:szCs w:val="24"/>
            <w:u w:val="single"/>
            <w:lang w:val="en-US"/>
          </w:rPr>
          <w:t>https://doi.org/10.1016/j.procs.2023.10.186</w:t>
        </w:r>
      </w:hyperlink>
    </w:p>
    <w:p w14:paraId="77238993"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Muhajir</w:t>
      </w:r>
      <w:proofErr w:type="spellEnd"/>
      <w:r w:rsidRPr="00521338">
        <w:rPr>
          <w:rFonts w:ascii="Times New Roman" w:eastAsia="Times New Roman" w:hAnsi="Times New Roman" w:cs="Times New Roman"/>
          <w:sz w:val="24"/>
          <w:szCs w:val="24"/>
          <w:lang w:val="en-US"/>
        </w:rPr>
        <w:t xml:space="preserve">, M. (2023). Innovation in meeting national standards for hospital accreditation: A study at the regional general hospital of Prof. Dr. H.M. Anwar </w:t>
      </w:r>
      <w:proofErr w:type="spellStart"/>
      <w:r w:rsidRPr="00521338">
        <w:rPr>
          <w:rFonts w:ascii="Times New Roman" w:eastAsia="Times New Roman" w:hAnsi="Times New Roman" w:cs="Times New Roman"/>
          <w:sz w:val="24"/>
          <w:szCs w:val="24"/>
          <w:lang w:val="en-US"/>
        </w:rPr>
        <w:t>Makkatutu</w:t>
      </w:r>
      <w:proofErr w:type="spellEnd"/>
      <w:r w:rsidRPr="00521338">
        <w:rPr>
          <w:rFonts w:ascii="Times New Roman" w:eastAsia="Times New Roman" w:hAnsi="Times New Roman" w:cs="Times New Roman"/>
          <w:sz w:val="24"/>
          <w:szCs w:val="24"/>
          <w:lang w:val="en-US"/>
        </w:rPr>
        <w:t xml:space="preserve">, </w:t>
      </w:r>
      <w:proofErr w:type="spellStart"/>
      <w:r w:rsidRPr="00521338">
        <w:rPr>
          <w:rFonts w:ascii="Times New Roman" w:eastAsia="Times New Roman" w:hAnsi="Times New Roman" w:cs="Times New Roman"/>
          <w:sz w:val="24"/>
          <w:szCs w:val="24"/>
          <w:lang w:val="en-US"/>
        </w:rPr>
        <w:t>Bantaeng</w:t>
      </w:r>
      <w:proofErr w:type="spellEnd"/>
      <w:r w:rsidRPr="00521338">
        <w:rPr>
          <w:rFonts w:ascii="Times New Roman" w:eastAsia="Times New Roman" w:hAnsi="Times New Roman" w:cs="Times New Roman"/>
          <w:sz w:val="24"/>
          <w:szCs w:val="24"/>
          <w:lang w:val="en-US"/>
        </w:rPr>
        <w:t xml:space="preserve"> Regency. </w:t>
      </w:r>
      <w:r w:rsidRPr="00521338">
        <w:rPr>
          <w:rFonts w:ascii="Times New Roman" w:eastAsia="Times New Roman" w:hAnsi="Times New Roman" w:cs="Times New Roman"/>
          <w:i/>
          <w:iCs/>
          <w:sz w:val="24"/>
          <w:szCs w:val="24"/>
          <w:lang w:val="en-US"/>
        </w:rPr>
        <w:t>Proceedings of the International Conference on Economics and Business, 2</w:t>
      </w:r>
      <w:r w:rsidRPr="00521338">
        <w:rPr>
          <w:rFonts w:ascii="Times New Roman" w:eastAsia="Times New Roman" w:hAnsi="Times New Roman" w:cs="Times New Roman"/>
          <w:sz w:val="24"/>
          <w:szCs w:val="24"/>
          <w:lang w:val="en-US"/>
        </w:rPr>
        <w:t xml:space="preserve">(1), 87–102. https://doi.org/10.55606/iceb.v2i1.235 </w:t>
      </w:r>
    </w:p>
    <w:p w14:paraId="2961BF32"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Popelo</w:t>
      </w:r>
      <w:proofErr w:type="spellEnd"/>
      <w:r w:rsidRPr="00521338">
        <w:rPr>
          <w:rFonts w:ascii="Times New Roman" w:eastAsia="Times New Roman" w:hAnsi="Times New Roman" w:cs="Times New Roman"/>
          <w:sz w:val="24"/>
          <w:szCs w:val="24"/>
          <w:lang w:val="en-US"/>
        </w:rPr>
        <w:t xml:space="preserve">, O., </w:t>
      </w:r>
      <w:proofErr w:type="spellStart"/>
      <w:r w:rsidRPr="00521338">
        <w:rPr>
          <w:rFonts w:ascii="Times New Roman" w:eastAsia="Times New Roman" w:hAnsi="Times New Roman" w:cs="Times New Roman"/>
          <w:sz w:val="24"/>
          <w:szCs w:val="24"/>
          <w:lang w:val="en-US"/>
        </w:rPr>
        <w:t>Kuzmenko</w:t>
      </w:r>
      <w:proofErr w:type="spellEnd"/>
      <w:r w:rsidRPr="00521338">
        <w:rPr>
          <w:rFonts w:ascii="Times New Roman" w:eastAsia="Times New Roman" w:hAnsi="Times New Roman" w:cs="Times New Roman"/>
          <w:sz w:val="24"/>
          <w:szCs w:val="24"/>
          <w:lang w:val="en-US"/>
        </w:rPr>
        <w:t xml:space="preserve">, O., </w:t>
      </w:r>
      <w:proofErr w:type="spellStart"/>
      <w:r w:rsidRPr="00521338">
        <w:rPr>
          <w:rFonts w:ascii="Times New Roman" w:eastAsia="Times New Roman" w:hAnsi="Times New Roman" w:cs="Times New Roman"/>
          <w:sz w:val="24"/>
          <w:szCs w:val="24"/>
          <w:lang w:val="en-US"/>
        </w:rPr>
        <w:t>Vasilyk</w:t>
      </w:r>
      <w:proofErr w:type="spellEnd"/>
      <w:r w:rsidRPr="00521338">
        <w:rPr>
          <w:rFonts w:ascii="Times New Roman" w:eastAsia="Times New Roman" w:hAnsi="Times New Roman" w:cs="Times New Roman"/>
          <w:sz w:val="24"/>
          <w:szCs w:val="24"/>
          <w:lang w:val="en-US"/>
        </w:rPr>
        <w:t xml:space="preserve">, O., &amp; Shevchenko, H. (2021). The impact of digital transformation on labor market and employment security. </w:t>
      </w:r>
      <w:r w:rsidRPr="00521338">
        <w:rPr>
          <w:rFonts w:ascii="Times New Roman" w:eastAsia="Times New Roman" w:hAnsi="Times New Roman" w:cs="Times New Roman"/>
          <w:i/>
          <w:iCs/>
          <w:sz w:val="24"/>
          <w:szCs w:val="24"/>
          <w:lang w:val="en-US"/>
        </w:rPr>
        <w:t>Problems and Perspectives in Management, 19</w:t>
      </w:r>
      <w:r w:rsidRPr="00521338">
        <w:rPr>
          <w:rFonts w:ascii="Times New Roman" w:eastAsia="Times New Roman" w:hAnsi="Times New Roman" w:cs="Times New Roman"/>
          <w:sz w:val="24"/>
          <w:szCs w:val="24"/>
          <w:lang w:val="en-US"/>
        </w:rPr>
        <w:t xml:space="preserve">(4), 1–11. </w:t>
      </w:r>
      <w:hyperlink r:id="rId16" w:tgtFrame="_new" w:history="1">
        <w:r w:rsidRPr="00521338">
          <w:rPr>
            <w:rFonts w:ascii="Times New Roman" w:eastAsia="Times New Roman" w:hAnsi="Times New Roman" w:cs="Times New Roman"/>
            <w:color w:val="0000FF"/>
            <w:sz w:val="24"/>
            <w:szCs w:val="24"/>
            <w:u w:val="single"/>
            <w:lang w:val="en-US"/>
          </w:rPr>
          <w:t>https://doi.org/10.21511/ppm.19(4).2021.01</w:t>
        </w:r>
      </w:hyperlink>
    </w:p>
    <w:p w14:paraId="25F09F22"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Rogers, E. M. (2003). </w:t>
      </w:r>
      <w:r w:rsidRPr="00521338">
        <w:rPr>
          <w:rFonts w:ascii="Times New Roman" w:eastAsia="Times New Roman" w:hAnsi="Times New Roman" w:cs="Times New Roman"/>
          <w:i/>
          <w:iCs/>
          <w:sz w:val="24"/>
          <w:szCs w:val="24"/>
          <w:lang w:val="en-US"/>
        </w:rPr>
        <w:t>Diffusion of innovations</w:t>
      </w:r>
      <w:r w:rsidRPr="00521338">
        <w:rPr>
          <w:rFonts w:ascii="Times New Roman" w:eastAsia="Times New Roman" w:hAnsi="Times New Roman" w:cs="Times New Roman"/>
          <w:sz w:val="24"/>
          <w:szCs w:val="24"/>
          <w:lang w:val="en-US"/>
        </w:rPr>
        <w:t xml:space="preserve"> (5th ed.). Free Press.</w:t>
      </w:r>
    </w:p>
    <w:p w14:paraId="1B159726"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Rousseau, D. M. (1995). </w:t>
      </w:r>
      <w:r w:rsidRPr="00521338">
        <w:rPr>
          <w:rFonts w:ascii="Times New Roman" w:eastAsia="Times New Roman" w:hAnsi="Times New Roman" w:cs="Times New Roman"/>
          <w:i/>
          <w:iCs/>
          <w:sz w:val="24"/>
          <w:szCs w:val="24"/>
          <w:lang w:val="en-US"/>
        </w:rPr>
        <w:t>Psychological contracts in organizations: Understanding written and unwritten agreements</w:t>
      </w:r>
      <w:r w:rsidRPr="00521338">
        <w:rPr>
          <w:rFonts w:ascii="Times New Roman" w:eastAsia="Times New Roman" w:hAnsi="Times New Roman" w:cs="Times New Roman"/>
          <w:sz w:val="24"/>
          <w:szCs w:val="24"/>
          <w:lang w:val="en-US"/>
        </w:rPr>
        <w:t>. Sage.</w:t>
      </w:r>
    </w:p>
    <w:p w14:paraId="26543E56"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Saeed, S. (2025). Digital transformation in governmental public service provision and usable security perception in Saudi Arabia. </w:t>
      </w:r>
      <w:r w:rsidRPr="00521338">
        <w:rPr>
          <w:rFonts w:ascii="Times New Roman" w:eastAsia="Times New Roman" w:hAnsi="Times New Roman" w:cs="Times New Roman"/>
          <w:i/>
          <w:iCs/>
          <w:sz w:val="24"/>
          <w:szCs w:val="24"/>
          <w:lang w:val="en-US"/>
        </w:rPr>
        <w:t>Information, 16</w:t>
      </w:r>
      <w:r w:rsidRPr="00521338">
        <w:rPr>
          <w:rFonts w:ascii="Times New Roman" w:eastAsia="Times New Roman" w:hAnsi="Times New Roman" w:cs="Times New Roman"/>
          <w:sz w:val="24"/>
          <w:szCs w:val="24"/>
          <w:lang w:val="en-US"/>
        </w:rPr>
        <w:t xml:space="preserve">(3), 247. </w:t>
      </w:r>
      <w:hyperlink r:id="rId17" w:tgtFrame="_new" w:history="1">
        <w:r w:rsidRPr="00521338">
          <w:rPr>
            <w:rFonts w:ascii="Times New Roman" w:eastAsia="Times New Roman" w:hAnsi="Times New Roman" w:cs="Times New Roman"/>
            <w:color w:val="0000FF"/>
            <w:sz w:val="24"/>
            <w:szCs w:val="24"/>
            <w:u w:val="single"/>
            <w:lang w:val="en-US"/>
          </w:rPr>
          <w:t>https://doi.org/10.3390/info16030247</w:t>
        </w:r>
      </w:hyperlink>
    </w:p>
    <w:p w14:paraId="08E81F32"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The Economist Impact. (2024). </w:t>
      </w:r>
      <w:r w:rsidRPr="00521338">
        <w:rPr>
          <w:rFonts w:ascii="Times New Roman" w:eastAsia="Times New Roman" w:hAnsi="Times New Roman" w:cs="Times New Roman"/>
          <w:i/>
          <w:iCs/>
          <w:sz w:val="24"/>
          <w:szCs w:val="24"/>
          <w:lang w:val="en-US"/>
        </w:rPr>
        <w:t xml:space="preserve">Leading a digital transformation in healthcare: Saudi Arabia’s </w:t>
      </w:r>
      <w:proofErr w:type="spellStart"/>
      <w:r w:rsidRPr="00521338">
        <w:rPr>
          <w:rFonts w:ascii="Times New Roman" w:eastAsia="Times New Roman" w:hAnsi="Times New Roman" w:cs="Times New Roman"/>
          <w:i/>
          <w:iCs/>
          <w:sz w:val="24"/>
          <w:szCs w:val="24"/>
          <w:lang w:val="en-US"/>
        </w:rPr>
        <w:t>Seha</w:t>
      </w:r>
      <w:proofErr w:type="spellEnd"/>
      <w:r w:rsidRPr="00521338">
        <w:rPr>
          <w:rFonts w:ascii="Times New Roman" w:eastAsia="Times New Roman" w:hAnsi="Times New Roman" w:cs="Times New Roman"/>
          <w:i/>
          <w:iCs/>
          <w:sz w:val="24"/>
          <w:szCs w:val="24"/>
          <w:lang w:val="en-US"/>
        </w:rPr>
        <w:t xml:space="preserve"> Virtual Hospital</w:t>
      </w:r>
      <w:r w:rsidRPr="00521338">
        <w:rPr>
          <w:rFonts w:ascii="Times New Roman" w:eastAsia="Times New Roman" w:hAnsi="Times New Roman" w:cs="Times New Roman"/>
          <w:sz w:val="24"/>
          <w:szCs w:val="24"/>
          <w:lang w:val="en-US"/>
        </w:rPr>
        <w:t>. Economist Impact.</w:t>
      </w:r>
    </w:p>
    <w:p w14:paraId="4C016C3F"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Tornatzky</w:t>
      </w:r>
      <w:proofErr w:type="spellEnd"/>
      <w:r w:rsidRPr="00521338">
        <w:rPr>
          <w:rFonts w:ascii="Times New Roman" w:eastAsia="Times New Roman" w:hAnsi="Times New Roman" w:cs="Times New Roman"/>
          <w:sz w:val="24"/>
          <w:szCs w:val="24"/>
          <w:lang w:val="en-US"/>
        </w:rPr>
        <w:t xml:space="preserve">, L. G., &amp; Fleischer, M. (1990). </w:t>
      </w:r>
      <w:r w:rsidRPr="00521338">
        <w:rPr>
          <w:rFonts w:ascii="Times New Roman" w:eastAsia="Times New Roman" w:hAnsi="Times New Roman" w:cs="Times New Roman"/>
          <w:i/>
          <w:iCs/>
          <w:sz w:val="24"/>
          <w:szCs w:val="24"/>
          <w:lang w:val="en-US"/>
        </w:rPr>
        <w:t>The processes of technological innovation</w:t>
      </w:r>
      <w:r w:rsidRPr="00521338">
        <w:rPr>
          <w:rFonts w:ascii="Times New Roman" w:eastAsia="Times New Roman" w:hAnsi="Times New Roman" w:cs="Times New Roman"/>
          <w:sz w:val="24"/>
          <w:szCs w:val="24"/>
          <w:lang w:val="en-US"/>
        </w:rPr>
        <w:t>. Lexington Books.</w:t>
      </w:r>
    </w:p>
    <w:p w14:paraId="6DA297B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Trist, E. L., &amp; </w:t>
      </w:r>
      <w:proofErr w:type="spellStart"/>
      <w:r w:rsidRPr="00521338">
        <w:rPr>
          <w:rFonts w:ascii="Times New Roman" w:eastAsia="Times New Roman" w:hAnsi="Times New Roman" w:cs="Times New Roman"/>
          <w:sz w:val="24"/>
          <w:szCs w:val="24"/>
          <w:lang w:val="en-US"/>
        </w:rPr>
        <w:t>Bamforth</w:t>
      </w:r>
      <w:proofErr w:type="spellEnd"/>
      <w:r w:rsidRPr="00521338">
        <w:rPr>
          <w:rFonts w:ascii="Times New Roman" w:eastAsia="Times New Roman" w:hAnsi="Times New Roman" w:cs="Times New Roman"/>
          <w:sz w:val="24"/>
          <w:szCs w:val="24"/>
          <w:lang w:val="en-US"/>
        </w:rPr>
        <w:t xml:space="preserve">, K. W. (1951). Some social and psychological consequences of the </w:t>
      </w:r>
      <w:proofErr w:type="spellStart"/>
      <w:r w:rsidRPr="00521338">
        <w:rPr>
          <w:rFonts w:ascii="Times New Roman" w:eastAsia="Times New Roman" w:hAnsi="Times New Roman" w:cs="Times New Roman"/>
          <w:sz w:val="24"/>
          <w:szCs w:val="24"/>
          <w:lang w:val="en-US"/>
        </w:rPr>
        <w:t>longwall</w:t>
      </w:r>
      <w:proofErr w:type="spellEnd"/>
      <w:r w:rsidRPr="00521338">
        <w:rPr>
          <w:rFonts w:ascii="Times New Roman" w:eastAsia="Times New Roman" w:hAnsi="Times New Roman" w:cs="Times New Roman"/>
          <w:sz w:val="24"/>
          <w:szCs w:val="24"/>
          <w:lang w:val="en-US"/>
        </w:rPr>
        <w:t xml:space="preserve"> method of coal-getting. </w:t>
      </w:r>
      <w:r w:rsidRPr="00521338">
        <w:rPr>
          <w:rFonts w:ascii="Times New Roman" w:eastAsia="Times New Roman" w:hAnsi="Times New Roman" w:cs="Times New Roman"/>
          <w:i/>
          <w:iCs/>
          <w:sz w:val="24"/>
          <w:szCs w:val="24"/>
          <w:lang w:val="en-US"/>
        </w:rPr>
        <w:t>Human Relations, 4</w:t>
      </w:r>
      <w:r w:rsidRPr="00521338">
        <w:rPr>
          <w:rFonts w:ascii="Times New Roman" w:eastAsia="Times New Roman" w:hAnsi="Times New Roman" w:cs="Times New Roman"/>
          <w:sz w:val="24"/>
          <w:szCs w:val="24"/>
          <w:lang w:val="en-US"/>
        </w:rPr>
        <w:t xml:space="preserve">(1), 3–38. </w:t>
      </w:r>
      <w:hyperlink r:id="rId18" w:tgtFrame="_new" w:history="1">
        <w:r w:rsidRPr="00521338">
          <w:rPr>
            <w:rFonts w:ascii="Times New Roman" w:eastAsia="Times New Roman" w:hAnsi="Times New Roman" w:cs="Times New Roman"/>
            <w:color w:val="0000FF"/>
            <w:sz w:val="24"/>
            <w:szCs w:val="24"/>
            <w:u w:val="single"/>
            <w:lang w:val="en-US"/>
          </w:rPr>
          <w:t>https://doi.org/10.1177/001872675100400101</w:t>
        </w:r>
      </w:hyperlink>
    </w:p>
    <w:p w14:paraId="11A3E1E3"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r w:rsidRPr="00521338">
        <w:rPr>
          <w:rFonts w:ascii="Times New Roman" w:eastAsia="Times New Roman" w:hAnsi="Times New Roman" w:cs="Times New Roman"/>
          <w:sz w:val="24"/>
          <w:szCs w:val="24"/>
          <w:lang w:val="en-US"/>
        </w:rPr>
        <w:t xml:space="preserve">Vial, G. (2019). Understanding digital transformation: A review and a research agenda. </w:t>
      </w:r>
      <w:r w:rsidRPr="00521338">
        <w:rPr>
          <w:rFonts w:ascii="Times New Roman" w:eastAsia="Times New Roman" w:hAnsi="Times New Roman" w:cs="Times New Roman"/>
          <w:i/>
          <w:iCs/>
          <w:sz w:val="24"/>
          <w:szCs w:val="24"/>
          <w:lang w:val="en-US"/>
        </w:rPr>
        <w:t>The Journal of Strategic Information Systems, 28</w:t>
      </w:r>
      <w:r w:rsidRPr="00521338">
        <w:rPr>
          <w:rFonts w:ascii="Times New Roman" w:eastAsia="Times New Roman" w:hAnsi="Times New Roman" w:cs="Times New Roman"/>
          <w:sz w:val="24"/>
          <w:szCs w:val="24"/>
          <w:lang w:val="en-US"/>
        </w:rPr>
        <w:t xml:space="preserve">(2), 118–144. </w:t>
      </w:r>
      <w:hyperlink r:id="rId19" w:tgtFrame="_new" w:history="1">
        <w:r w:rsidRPr="00521338">
          <w:rPr>
            <w:rFonts w:ascii="Times New Roman" w:eastAsia="Times New Roman" w:hAnsi="Times New Roman" w:cs="Times New Roman"/>
            <w:color w:val="0000FF"/>
            <w:sz w:val="24"/>
            <w:szCs w:val="24"/>
            <w:u w:val="single"/>
            <w:lang w:val="en-US"/>
          </w:rPr>
          <w:t>https://doi.org/10.1016/j.jsis.2019.01.003</w:t>
        </w:r>
      </w:hyperlink>
    </w:p>
    <w:p w14:paraId="571D8C2B" w14:textId="77777777" w:rsidR="00521338" w:rsidRPr="00521338" w:rsidRDefault="00521338" w:rsidP="00521338">
      <w:pPr>
        <w:spacing w:before="100" w:beforeAutospacing="1" w:after="100" w:afterAutospacing="1" w:line="240" w:lineRule="auto"/>
        <w:ind w:left="567" w:hanging="567"/>
        <w:rPr>
          <w:rFonts w:ascii="Times New Roman" w:eastAsia="Times New Roman" w:hAnsi="Times New Roman" w:cs="Times New Roman"/>
          <w:sz w:val="24"/>
          <w:szCs w:val="24"/>
          <w:lang w:val="en-US"/>
        </w:rPr>
      </w:pPr>
      <w:proofErr w:type="spellStart"/>
      <w:r w:rsidRPr="00521338">
        <w:rPr>
          <w:rFonts w:ascii="Times New Roman" w:eastAsia="Times New Roman" w:hAnsi="Times New Roman" w:cs="Times New Roman"/>
          <w:sz w:val="24"/>
          <w:szCs w:val="24"/>
          <w:lang w:val="en-US"/>
        </w:rPr>
        <w:t>Westerman</w:t>
      </w:r>
      <w:proofErr w:type="spellEnd"/>
      <w:r w:rsidRPr="00521338">
        <w:rPr>
          <w:rFonts w:ascii="Times New Roman" w:eastAsia="Times New Roman" w:hAnsi="Times New Roman" w:cs="Times New Roman"/>
          <w:sz w:val="24"/>
          <w:szCs w:val="24"/>
          <w:lang w:val="en-US"/>
        </w:rPr>
        <w:t xml:space="preserve">, G., Bonnet, D., &amp; McAfee, A. (2014). </w:t>
      </w:r>
      <w:r w:rsidRPr="00521338">
        <w:rPr>
          <w:rFonts w:ascii="Times New Roman" w:eastAsia="Times New Roman" w:hAnsi="Times New Roman" w:cs="Times New Roman"/>
          <w:i/>
          <w:iCs/>
          <w:sz w:val="24"/>
          <w:szCs w:val="24"/>
          <w:lang w:val="en-US"/>
        </w:rPr>
        <w:t>Leading digital: Turning technology into business transformation</w:t>
      </w:r>
      <w:r w:rsidRPr="00521338">
        <w:rPr>
          <w:rFonts w:ascii="Times New Roman" w:eastAsia="Times New Roman" w:hAnsi="Times New Roman" w:cs="Times New Roman"/>
          <w:sz w:val="24"/>
          <w:szCs w:val="24"/>
          <w:lang w:val="en-US"/>
        </w:rPr>
        <w:t>. Harvard Business Review Press.</w:t>
      </w:r>
    </w:p>
    <w:p w14:paraId="23972B22" w14:textId="77777777" w:rsidR="009E4789" w:rsidRPr="009E4789" w:rsidRDefault="009E4789" w:rsidP="009E4789">
      <w:pPr>
        <w:bidi/>
        <w:spacing w:line="360" w:lineRule="auto"/>
        <w:jc w:val="both"/>
        <w:rPr>
          <w:rFonts w:ascii="Traditional Arabic" w:hAnsi="Traditional Arabic" w:cs="Traditional Arabic"/>
          <w:sz w:val="32"/>
          <w:szCs w:val="32"/>
          <w:rtl/>
          <w:lang w:val="en-US"/>
        </w:rPr>
      </w:pPr>
    </w:p>
    <w:p w14:paraId="795E8533" w14:textId="77777777" w:rsidR="00675801" w:rsidRPr="00675801" w:rsidRDefault="00675801" w:rsidP="00675801">
      <w:pPr>
        <w:bidi/>
        <w:spacing w:line="360" w:lineRule="auto"/>
        <w:jc w:val="both"/>
        <w:rPr>
          <w:rFonts w:ascii="Traditional Arabic" w:hAnsi="Traditional Arabic" w:cs="Traditional Arabic"/>
          <w:sz w:val="32"/>
          <w:szCs w:val="32"/>
          <w:lang w:val="en-US"/>
        </w:rPr>
      </w:pPr>
    </w:p>
    <w:tbl>
      <w:tblPr>
        <w:tblStyle w:val="TableGrid"/>
        <w:bidiVisual/>
        <w:tblW w:w="0" w:type="auto"/>
        <w:tblLook w:val="04A0" w:firstRow="1" w:lastRow="0" w:firstColumn="1" w:lastColumn="0" w:noHBand="0" w:noVBand="1"/>
      </w:tblPr>
      <w:tblGrid>
        <w:gridCol w:w="2557"/>
        <w:gridCol w:w="6780"/>
      </w:tblGrid>
      <w:tr w:rsidR="00675801" w:rsidRPr="00675801" w14:paraId="7E25391C" w14:textId="77777777" w:rsidTr="00675801">
        <w:tc>
          <w:tcPr>
            <w:tcW w:w="0" w:type="auto"/>
            <w:hideMark/>
          </w:tcPr>
          <w:p w14:paraId="3A28EB2A"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ملاحظة المشرف</w:t>
            </w:r>
          </w:p>
        </w:tc>
        <w:tc>
          <w:tcPr>
            <w:tcW w:w="0" w:type="auto"/>
            <w:hideMark/>
          </w:tcPr>
          <w:p w14:paraId="4ED28AD7" w14:textId="77777777" w:rsidR="00675801" w:rsidRPr="00675801" w:rsidRDefault="00675801" w:rsidP="00675801">
            <w:pPr>
              <w:bidi/>
              <w:spacing w:after="200"/>
              <w:jc w:val="both"/>
              <w:rPr>
                <w:rFonts w:ascii="Traditional Arabic" w:hAnsi="Traditional Arabic" w:cs="Traditional Arabic"/>
                <w:b/>
                <w:bCs/>
                <w:sz w:val="32"/>
                <w:szCs w:val="32"/>
                <w:highlight w:val="yellow"/>
                <w:lang w:val="en-US"/>
              </w:rPr>
            </w:pPr>
            <w:r w:rsidRPr="00675801">
              <w:rPr>
                <w:rFonts w:ascii="Traditional Arabic" w:hAnsi="Traditional Arabic" w:cs="Traditional Arabic"/>
                <w:b/>
                <w:bCs/>
                <w:sz w:val="32"/>
                <w:szCs w:val="32"/>
                <w:highlight w:val="yellow"/>
                <w:rtl/>
                <w:lang w:val="en-US"/>
              </w:rPr>
              <w:t>التبرير العلمي لعدم إجراء التعديل</w:t>
            </w:r>
          </w:p>
        </w:tc>
      </w:tr>
      <w:tr w:rsidR="00675801" w:rsidRPr="00675801" w14:paraId="6986CD43" w14:textId="77777777" w:rsidTr="00675801">
        <w:tc>
          <w:tcPr>
            <w:tcW w:w="0" w:type="auto"/>
            <w:hideMark/>
          </w:tcPr>
          <w:p w14:paraId="750CF3A9"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شكل للنموذج المفاهيمي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0CEC8A6A"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عرض النموذج المفاهيمي في الفصل الأول ضمن الإطار النظري للدراسة، وهو الموضع الطبيعي لعرضه. لذلك لم تتم إعادة إدراجه في الفصل الثالث تجنبًا للتكرار والمحافظة على اتساق بناء الرسالة</w:t>
            </w:r>
            <w:r w:rsidRPr="00675801">
              <w:rPr>
                <w:rFonts w:ascii="Traditional Arabic" w:hAnsi="Traditional Arabic" w:cs="Traditional Arabic"/>
                <w:sz w:val="32"/>
                <w:szCs w:val="32"/>
                <w:highlight w:val="yellow"/>
                <w:lang w:val="en-US"/>
              </w:rPr>
              <w:t>.</w:t>
            </w:r>
          </w:p>
        </w:tc>
      </w:tr>
      <w:tr w:rsidR="00675801" w:rsidRPr="00675801" w14:paraId="42E8AD2F" w14:textId="77777777" w:rsidTr="00675801">
        <w:tc>
          <w:tcPr>
            <w:tcW w:w="0" w:type="auto"/>
            <w:hideMark/>
          </w:tcPr>
          <w:p w14:paraId="737D6B7D"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مستقل للتعريفات الإجرائية للمتغيرات</w:t>
            </w:r>
            <w:r w:rsidRPr="00675801">
              <w:rPr>
                <w:rFonts w:ascii="Traditional Arabic" w:hAnsi="Traditional Arabic" w:cs="Traditional Arabic"/>
                <w:b/>
                <w:bCs/>
                <w:sz w:val="32"/>
                <w:szCs w:val="32"/>
                <w:highlight w:val="yellow"/>
                <w:lang w:val="en-US"/>
              </w:rPr>
              <w:t>.</w:t>
            </w:r>
          </w:p>
        </w:tc>
        <w:tc>
          <w:tcPr>
            <w:tcW w:w="0" w:type="auto"/>
            <w:hideMark/>
          </w:tcPr>
          <w:p w14:paraId="2D9186AF"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التعريفات الإجرائية للمتغيرات في الفصل الأول، كما تم بيان أبعاد كل متغير وفقراته عند وصف أداة الدراسة في الفصل الثالث، لذا رُئي عدم إعادة عرضها في جدول مستقل لتجنب التكرار</w:t>
            </w:r>
            <w:r w:rsidRPr="00675801">
              <w:rPr>
                <w:rFonts w:ascii="Traditional Arabic" w:hAnsi="Traditional Arabic" w:cs="Traditional Arabic"/>
                <w:sz w:val="32"/>
                <w:szCs w:val="32"/>
                <w:highlight w:val="yellow"/>
                <w:lang w:val="en-US"/>
              </w:rPr>
              <w:t>.</w:t>
            </w:r>
          </w:p>
        </w:tc>
      </w:tr>
      <w:tr w:rsidR="00675801" w:rsidRPr="00675801" w14:paraId="63B53BFF" w14:textId="77777777" w:rsidTr="00675801">
        <w:tc>
          <w:tcPr>
            <w:tcW w:w="0" w:type="auto"/>
            <w:hideMark/>
          </w:tcPr>
          <w:p w14:paraId="7348B418"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إجراء التحليل العاملي الاستكشافي</w:t>
            </w:r>
            <w:r w:rsidRPr="00675801">
              <w:rPr>
                <w:rFonts w:ascii="Traditional Arabic" w:hAnsi="Traditional Arabic" w:cs="Traditional Arabic"/>
                <w:b/>
                <w:bCs/>
                <w:sz w:val="32"/>
                <w:szCs w:val="32"/>
                <w:highlight w:val="yellow"/>
                <w:lang w:val="en-US"/>
              </w:rPr>
              <w:t xml:space="preserve"> (EFA).</w:t>
            </w:r>
          </w:p>
        </w:tc>
        <w:tc>
          <w:tcPr>
            <w:tcW w:w="0" w:type="auto"/>
            <w:hideMark/>
          </w:tcPr>
          <w:p w14:paraId="4731FC9F"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أداة الدراسة لم تُبنَ من الصفر، وإنما استندت إلى مقاييس سبق استخدامها والتحقق من خصائصها السيكومترية في دراسات سابقة، مع إجراء تعديلات محدودة تتناسب مع بيئة الدراسة. لذلك تم الاكتفاء بإجراءات الصدق والثبات المناسبة لطبيعة الدراسة والمنهج المستخدم</w:t>
            </w:r>
            <w:r w:rsidRPr="00675801">
              <w:rPr>
                <w:rFonts w:ascii="Traditional Arabic" w:hAnsi="Traditional Arabic" w:cs="Traditional Arabic"/>
                <w:sz w:val="32"/>
                <w:szCs w:val="32"/>
                <w:highlight w:val="yellow"/>
                <w:lang w:val="en-US"/>
              </w:rPr>
              <w:t>.</w:t>
            </w:r>
          </w:p>
        </w:tc>
      </w:tr>
      <w:tr w:rsidR="00675801" w:rsidRPr="00675801" w14:paraId="792FB218" w14:textId="77777777" w:rsidTr="00675801">
        <w:tc>
          <w:tcPr>
            <w:tcW w:w="0" w:type="auto"/>
            <w:hideMark/>
          </w:tcPr>
          <w:p w14:paraId="3ACB967B"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مؤشرات الصدق التقاربي والصدق التمييزي</w:t>
            </w:r>
            <w:r w:rsidRPr="00675801">
              <w:rPr>
                <w:rFonts w:ascii="Traditional Arabic" w:hAnsi="Traditional Arabic" w:cs="Traditional Arabic"/>
                <w:b/>
                <w:bCs/>
                <w:sz w:val="32"/>
                <w:szCs w:val="32"/>
                <w:highlight w:val="yellow"/>
                <w:lang w:val="en-US"/>
              </w:rPr>
              <w:t>.</w:t>
            </w:r>
          </w:p>
        </w:tc>
        <w:tc>
          <w:tcPr>
            <w:tcW w:w="0" w:type="auto"/>
            <w:hideMark/>
          </w:tcPr>
          <w:p w14:paraId="2F58B54A"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تعتمد الدراسة على المنهج الوصفي التحليلي باستخدام برنامج</w:t>
            </w:r>
            <w:r w:rsidRPr="00675801">
              <w:rPr>
                <w:rFonts w:ascii="Traditional Arabic" w:hAnsi="Traditional Arabic" w:cs="Traditional Arabic"/>
                <w:sz w:val="32"/>
                <w:szCs w:val="32"/>
                <w:highlight w:val="yellow"/>
                <w:lang w:val="en-US"/>
              </w:rPr>
              <w:t xml:space="preserve"> (SPSS) </w:t>
            </w:r>
            <w:r w:rsidRPr="00675801">
              <w:rPr>
                <w:rFonts w:ascii="Traditional Arabic" w:hAnsi="Traditional Arabic" w:cs="Traditional Arabic"/>
                <w:sz w:val="32"/>
                <w:szCs w:val="32"/>
                <w:highlight w:val="yellow"/>
                <w:rtl/>
                <w:lang w:val="en-US"/>
              </w:rPr>
              <w:t>وتحليل الانحدار المتعدد، ولا تعتمد نمذجة المعادلات البنائية</w:t>
            </w:r>
            <w:r w:rsidRPr="00675801">
              <w:rPr>
                <w:rFonts w:ascii="Traditional Arabic" w:hAnsi="Traditional Arabic" w:cs="Traditional Arabic"/>
                <w:sz w:val="32"/>
                <w:szCs w:val="32"/>
                <w:highlight w:val="yellow"/>
                <w:lang w:val="en-US"/>
              </w:rPr>
              <w:t xml:space="preserve"> (SEM </w:t>
            </w:r>
            <w:r w:rsidRPr="00675801">
              <w:rPr>
                <w:rFonts w:ascii="Traditional Arabic" w:hAnsi="Traditional Arabic" w:cs="Traditional Arabic"/>
                <w:sz w:val="32"/>
                <w:szCs w:val="32"/>
                <w:highlight w:val="yellow"/>
                <w:rtl/>
                <w:lang w:val="en-US"/>
              </w:rPr>
              <w:t>أو</w:t>
            </w:r>
            <w:r w:rsidRPr="00675801">
              <w:rPr>
                <w:rFonts w:ascii="Traditional Arabic" w:hAnsi="Traditional Arabic" w:cs="Traditional Arabic"/>
                <w:sz w:val="32"/>
                <w:szCs w:val="32"/>
                <w:highlight w:val="yellow"/>
                <w:lang w:val="en-US"/>
              </w:rPr>
              <w:t xml:space="preserve"> PLS-SEM)</w:t>
            </w:r>
            <w:r w:rsidRPr="00675801">
              <w:rPr>
                <w:rFonts w:ascii="Traditional Arabic" w:hAnsi="Traditional Arabic" w:cs="Traditional Arabic"/>
                <w:sz w:val="32"/>
                <w:szCs w:val="32"/>
                <w:highlight w:val="yellow"/>
                <w:rtl/>
                <w:lang w:val="en-US"/>
              </w:rPr>
              <w:t>، لذا لا تُعد هذه المؤشرات من المتطلبات المنهجية الأساسية لهذا النوع من الدراسات</w:t>
            </w:r>
            <w:r w:rsidRPr="00675801">
              <w:rPr>
                <w:rFonts w:ascii="Traditional Arabic" w:hAnsi="Traditional Arabic" w:cs="Traditional Arabic"/>
                <w:sz w:val="32"/>
                <w:szCs w:val="32"/>
                <w:highlight w:val="yellow"/>
                <w:lang w:val="en-US"/>
              </w:rPr>
              <w:t>.</w:t>
            </w:r>
          </w:p>
        </w:tc>
      </w:tr>
      <w:tr w:rsidR="00675801" w:rsidRPr="00675801" w14:paraId="2EEFAD19" w14:textId="77777777" w:rsidTr="00675801">
        <w:tc>
          <w:tcPr>
            <w:tcW w:w="0" w:type="auto"/>
            <w:hideMark/>
          </w:tcPr>
          <w:p w14:paraId="35D0373C"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التوسع في عرض جميع افتراضات تحليل الانحدار في الفصل الثالث</w:t>
            </w:r>
            <w:r w:rsidRPr="00675801">
              <w:rPr>
                <w:rFonts w:ascii="Traditional Arabic" w:hAnsi="Traditional Arabic" w:cs="Traditional Arabic"/>
                <w:b/>
                <w:bCs/>
                <w:sz w:val="32"/>
                <w:szCs w:val="32"/>
                <w:highlight w:val="yellow"/>
                <w:lang w:val="en-US"/>
              </w:rPr>
              <w:t>.</w:t>
            </w:r>
          </w:p>
        </w:tc>
        <w:tc>
          <w:tcPr>
            <w:tcW w:w="0" w:type="auto"/>
            <w:hideMark/>
          </w:tcPr>
          <w:p w14:paraId="0FE3BDA9"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التي سيتم استخدامها، بينما تُعد نتائج التحقق من افتراضات الانحدار جزءًا من تطبيق التحليل على بيانات الدراسة، ويكون عرضها أكثر ملاءمة ضمن الفصل الرابع عند مناقشة النتائج الفعلية</w:t>
            </w:r>
            <w:r w:rsidRPr="00675801">
              <w:rPr>
                <w:rFonts w:ascii="Traditional Arabic" w:hAnsi="Traditional Arabic" w:cs="Traditional Arabic"/>
                <w:sz w:val="32"/>
                <w:szCs w:val="32"/>
                <w:highlight w:val="yellow"/>
                <w:lang w:val="en-US"/>
              </w:rPr>
              <w:t>.</w:t>
            </w:r>
          </w:p>
        </w:tc>
      </w:tr>
      <w:tr w:rsidR="00675801" w:rsidRPr="00675801" w14:paraId="71074B73" w14:textId="77777777" w:rsidTr="00675801">
        <w:tc>
          <w:tcPr>
            <w:tcW w:w="0" w:type="auto"/>
            <w:hideMark/>
          </w:tcPr>
          <w:p w14:paraId="3BD07478"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b/>
                <w:bCs/>
                <w:sz w:val="32"/>
                <w:szCs w:val="32"/>
                <w:highlight w:val="yellow"/>
                <w:rtl/>
                <w:lang w:val="en-US"/>
              </w:rPr>
              <w:t>إضافة جدول يربط أسئلة الدراسة وفرضياتها بالاختبارات الإحصائية</w:t>
            </w:r>
            <w:r w:rsidRPr="00675801">
              <w:rPr>
                <w:rFonts w:ascii="Traditional Arabic" w:hAnsi="Traditional Arabic" w:cs="Traditional Arabic"/>
                <w:b/>
                <w:bCs/>
                <w:sz w:val="32"/>
                <w:szCs w:val="32"/>
                <w:highlight w:val="yellow"/>
                <w:lang w:val="en-US"/>
              </w:rPr>
              <w:t>.</w:t>
            </w:r>
          </w:p>
        </w:tc>
        <w:tc>
          <w:tcPr>
            <w:tcW w:w="0" w:type="auto"/>
            <w:hideMark/>
          </w:tcPr>
          <w:p w14:paraId="4710F802" w14:textId="77777777" w:rsidR="00675801" w:rsidRPr="00675801" w:rsidRDefault="00675801" w:rsidP="00675801">
            <w:pPr>
              <w:bidi/>
              <w:spacing w:after="200"/>
              <w:jc w:val="both"/>
              <w:rPr>
                <w:rFonts w:ascii="Traditional Arabic" w:hAnsi="Traditional Arabic" w:cs="Traditional Arabic"/>
                <w:sz w:val="32"/>
                <w:szCs w:val="32"/>
                <w:highlight w:val="yellow"/>
                <w:lang w:val="en-US"/>
              </w:rPr>
            </w:pPr>
            <w:r w:rsidRPr="00675801">
              <w:rPr>
                <w:rFonts w:ascii="Traditional Arabic" w:hAnsi="Traditional Arabic" w:cs="Traditional Arabic"/>
                <w:sz w:val="32"/>
                <w:szCs w:val="32"/>
                <w:highlight w:val="yellow"/>
                <w:rtl/>
                <w:lang w:val="en-US"/>
              </w:rPr>
              <w:t>تم توضيح أساليب التحليل الإحصائي المستخدمة وربطها بأهداف الدراسة وفرضياتها ضمن وصف إجراءات التحليل، ويُعد الجدول المقترح وسيلة تنظيمية إضافية وليس متطلبًا منهجيًا إلزاميًا، لذا لم تتم إضافته</w:t>
            </w:r>
            <w:r w:rsidRPr="00675801">
              <w:rPr>
                <w:rFonts w:ascii="Traditional Arabic" w:hAnsi="Traditional Arabic" w:cs="Traditional Arabic"/>
                <w:sz w:val="32"/>
                <w:szCs w:val="32"/>
                <w:highlight w:val="yellow"/>
                <w:lang w:val="en-US"/>
              </w:rPr>
              <w:t>.</w:t>
            </w:r>
          </w:p>
        </w:tc>
      </w:tr>
    </w:tbl>
    <w:p w14:paraId="3FE67C1B" w14:textId="77777777" w:rsidR="00675801" w:rsidRDefault="00675801" w:rsidP="00675801">
      <w:pPr>
        <w:bidi/>
        <w:spacing w:line="360" w:lineRule="auto"/>
        <w:jc w:val="both"/>
        <w:rPr>
          <w:rFonts w:ascii="Traditional Arabic" w:hAnsi="Traditional Arabic" w:cs="Traditional Arabic"/>
          <w:sz w:val="32"/>
          <w:szCs w:val="32"/>
          <w:rtl/>
          <w:lang w:val="en-US"/>
        </w:rPr>
      </w:pPr>
    </w:p>
    <w:p w14:paraId="0833DEEB" w14:textId="77777777" w:rsidR="00521338" w:rsidRPr="00521338" w:rsidRDefault="00521338" w:rsidP="00521338">
      <w:pPr>
        <w:bidi/>
        <w:spacing w:line="360" w:lineRule="auto"/>
        <w:jc w:val="both"/>
        <w:rPr>
          <w:rFonts w:ascii="Traditional Arabic" w:hAnsi="Traditional Arabic" w:cs="Traditional Arabic"/>
          <w:sz w:val="32"/>
          <w:szCs w:val="32"/>
          <w:lang w:val="en-US"/>
        </w:rPr>
      </w:pPr>
      <w:r w:rsidRPr="00521338">
        <w:rPr>
          <w:rFonts w:ascii="Traditional Arabic" w:hAnsi="Traditional Arabic" w:cs="Traditional Arabic"/>
          <w:sz w:val="32"/>
          <w:szCs w:val="32"/>
          <w:lang w:val="en-US"/>
        </w:rPr>
        <w:t xml:space="preserve"> </w:t>
      </w:r>
    </w:p>
    <w:tbl>
      <w:tblPr>
        <w:tblStyle w:val="TableGrid"/>
        <w:bidiVisual/>
        <w:tblW w:w="0" w:type="auto"/>
        <w:tblLook w:val="04A0" w:firstRow="1" w:lastRow="0" w:firstColumn="1" w:lastColumn="0" w:noHBand="0" w:noVBand="1"/>
      </w:tblPr>
      <w:tblGrid>
        <w:gridCol w:w="453"/>
        <w:gridCol w:w="1630"/>
        <w:gridCol w:w="3645"/>
        <w:gridCol w:w="728"/>
        <w:gridCol w:w="2881"/>
      </w:tblGrid>
      <w:tr w:rsidR="00521338" w:rsidRPr="00521338" w14:paraId="4E36DAD7" w14:textId="77777777" w:rsidTr="00521338">
        <w:tc>
          <w:tcPr>
            <w:tcW w:w="0" w:type="auto"/>
            <w:hideMark/>
          </w:tcPr>
          <w:p w14:paraId="48FB9F4F"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w:t>
            </w:r>
          </w:p>
        </w:tc>
        <w:tc>
          <w:tcPr>
            <w:tcW w:w="0" w:type="auto"/>
            <w:hideMark/>
          </w:tcPr>
          <w:p w14:paraId="781B6D8A"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ملاحظة المشرف</w:t>
            </w:r>
          </w:p>
        </w:tc>
        <w:tc>
          <w:tcPr>
            <w:tcW w:w="0" w:type="auto"/>
            <w:hideMark/>
          </w:tcPr>
          <w:p w14:paraId="4F465126"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ما تم تنفيذه</w:t>
            </w:r>
          </w:p>
        </w:tc>
        <w:tc>
          <w:tcPr>
            <w:tcW w:w="0" w:type="auto"/>
            <w:hideMark/>
          </w:tcPr>
          <w:p w14:paraId="57A40EF9" w14:textId="77777777" w:rsidR="00521338" w:rsidRPr="00521338" w:rsidRDefault="00521338" w:rsidP="00521338">
            <w:pPr>
              <w:bidi/>
              <w:jc w:val="both"/>
              <w:rPr>
                <w:rFonts w:ascii="Traditional Arabic" w:hAnsi="Traditional Arabic" w:cs="Traditional Arabic"/>
                <w:b/>
                <w:bCs/>
                <w:sz w:val="24"/>
                <w:szCs w:val="24"/>
                <w:lang w:val="en-US"/>
              </w:rPr>
            </w:pPr>
            <w:r w:rsidRPr="00521338">
              <w:rPr>
                <w:rFonts w:ascii="Traditional Arabic" w:hAnsi="Traditional Arabic" w:cs="Traditional Arabic"/>
                <w:b/>
                <w:bCs/>
                <w:sz w:val="24"/>
                <w:szCs w:val="24"/>
                <w:rtl/>
                <w:lang w:val="en-US"/>
              </w:rPr>
              <w:t>حالة التنفيذ</w:t>
            </w:r>
          </w:p>
        </w:tc>
        <w:tc>
          <w:tcPr>
            <w:tcW w:w="0" w:type="auto"/>
            <w:hideMark/>
          </w:tcPr>
          <w:p w14:paraId="4BDF3D13" w14:textId="77777777" w:rsidR="00521338" w:rsidRPr="00521338" w:rsidRDefault="00521338" w:rsidP="00521338">
            <w:pPr>
              <w:bidi/>
              <w:jc w:val="both"/>
              <w:rPr>
                <w:rFonts w:ascii="Traditional Arabic" w:hAnsi="Traditional Arabic" w:cs="Traditional Arabic"/>
                <w:b/>
                <w:bCs/>
                <w:sz w:val="24"/>
                <w:szCs w:val="24"/>
                <w:lang w:val="en-US"/>
              </w:rPr>
            </w:pPr>
            <w:r>
              <w:rPr>
                <w:rFonts w:ascii="Traditional Arabic" w:hAnsi="Traditional Arabic" w:cs="Traditional Arabic"/>
                <w:b/>
                <w:bCs/>
                <w:sz w:val="24"/>
                <w:szCs w:val="24"/>
                <w:rtl/>
                <w:lang w:val="en-US"/>
              </w:rPr>
              <w:t xml:space="preserve">التبرير </w:t>
            </w:r>
          </w:p>
        </w:tc>
      </w:tr>
      <w:tr w:rsidR="00521338" w:rsidRPr="00521338" w14:paraId="2E75DBF3" w14:textId="77777777" w:rsidTr="00521338">
        <w:tc>
          <w:tcPr>
            <w:tcW w:w="0" w:type="auto"/>
            <w:hideMark/>
          </w:tcPr>
          <w:p w14:paraId="29765B4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w:t>
            </w:r>
          </w:p>
        </w:tc>
        <w:tc>
          <w:tcPr>
            <w:tcW w:w="0" w:type="auto"/>
            <w:hideMark/>
          </w:tcPr>
          <w:p w14:paraId="3C97645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منهج الدراسة</w:t>
            </w:r>
          </w:p>
        </w:tc>
        <w:tc>
          <w:tcPr>
            <w:tcW w:w="0" w:type="auto"/>
            <w:hideMark/>
          </w:tcPr>
          <w:p w14:paraId="16F233E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مراجعة المنهج وصياغته وربطه بأهداف الدراسة وأسئلتها</w:t>
            </w:r>
            <w:r w:rsidRPr="00521338">
              <w:rPr>
                <w:rFonts w:ascii="Traditional Arabic" w:hAnsi="Traditional Arabic" w:cs="Traditional Arabic"/>
                <w:sz w:val="24"/>
                <w:szCs w:val="24"/>
                <w:lang w:val="en-US"/>
              </w:rPr>
              <w:t>.</w:t>
            </w:r>
          </w:p>
        </w:tc>
        <w:tc>
          <w:tcPr>
            <w:tcW w:w="0" w:type="auto"/>
            <w:hideMark/>
          </w:tcPr>
          <w:p w14:paraId="64BD0E6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3DDC90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F1A5546" w14:textId="77777777" w:rsidTr="00521338">
        <w:tc>
          <w:tcPr>
            <w:tcW w:w="0" w:type="auto"/>
            <w:hideMark/>
          </w:tcPr>
          <w:p w14:paraId="7A83BAE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2</w:t>
            </w:r>
          </w:p>
        </w:tc>
        <w:tc>
          <w:tcPr>
            <w:tcW w:w="0" w:type="auto"/>
            <w:hideMark/>
          </w:tcPr>
          <w:p w14:paraId="2AA6815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تصميم الدراسة</w:t>
            </w:r>
          </w:p>
        </w:tc>
        <w:tc>
          <w:tcPr>
            <w:tcW w:w="0" w:type="auto"/>
            <w:hideMark/>
          </w:tcPr>
          <w:p w14:paraId="50BCDAD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أعيدت صياغة تصميم الدراسة بما يوضح أنها دراسة كمية وصفية تحليلية مقطعية</w:t>
            </w:r>
            <w:r w:rsidRPr="00521338">
              <w:rPr>
                <w:rFonts w:ascii="Traditional Arabic" w:hAnsi="Traditional Arabic" w:cs="Traditional Arabic"/>
                <w:sz w:val="24"/>
                <w:szCs w:val="24"/>
                <w:lang w:val="en-US"/>
              </w:rPr>
              <w:t>.</w:t>
            </w:r>
          </w:p>
        </w:tc>
        <w:tc>
          <w:tcPr>
            <w:tcW w:w="0" w:type="auto"/>
            <w:hideMark/>
          </w:tcPr>
          <w:p w14:paraId="7823798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3FB69E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7242C3C8" w14:textId="77777777" w:rsidTr="00521338">
        <w:tc>
          <w:tcPr>
            <w:tcW w:w="0" w:type="auto"/>
            <w:hideMark/>
          </w:tcPr>
          <w:p w14:paraId="10464B8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3</w:t>
            </w:r>
          </w:p>
        </w:tc>
        <w:tc>
          <w:tcPr>
            <w:tcW w:w="0" w:type="auto"/>
            <w:hideMark/>
          </w:tcPr>
          <w:p w14:paraId="73CC3F8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مجتمع الدراسة</w:t>
            </w:r>
          </w:p>
        </w:tc>
        <w:tc>
          <w:tcPr>
            <w:tcW w:w="0" w:type="auto"/>
            <w:hideMark/>
          </w:tcPr>
          <w:p w14:paraId="7DACF9F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تحديد مجتمع الدراسة بدقة وربطه بالمستشفيات الحكومية بمدينة جدة</w:t>
            </w:r>
            <w:r w:rsidRPr="00521338">
              <w:rPr>
                <w:rFonts w:ascii="Traditional Arabic" w:hAnsi="Traditional Arabic" w:cs="Traditional Arabic"/>
                <w:sz w:val="24"/>
                <w:szCs w:val="24"/>
                <w:lang w:val="en-US"/>
              </w:rPr>
              <w:t>.</w:t>
            </w:r>
          </w:p>
        </w:tc>
        <w:tc>
          <w:tcPr>
            <w:tcW w:w="0" w:type="auto"/>
            <w:hideMark/>
          </w:tcPr>
          <w:p w14:paraId="6FFDC10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74E437E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9DE2E38" w14:textId="77777777" w:rsidTr="00521338">
        <w:tc>
          <w:tcPr>
            <w:tcW w:w="0" w:type="auto"/>
            <w:hideMark/>
          </w:tcPr>
          <w:p w14:paraId="065DC88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4</w:t>
            </w:r>
          </w:p>
        </w:tc>
        <w:tc>
          <w:tcPr>
            <w:tcW w:w="0" w:type="auto"/>
            <w:hideMark/>
          </w:tcPr>
          <w:p w14:paraId="56E2495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حجم العينة</w:t>
            </w:r>
          </w:p>
        </w:tc>
        <w:tc>
          <w:tcPr>
            <w:tcW w:w="0" w:type="auto"/>
            <w:hideMark/>
          </w:tcPr>
          <w:p w14:paraId="4224833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اعتماد حجم العينة وفق جدول</w:t>
            </w:r>
            <w:r w:rsidRPr="00521338">
              <w:rPr>
                <w:rFonts w:ascii="Traditional Arabic" w:hAnsi="Traditional Arabic" w:cs="Traditional Arabic"/>
                <w:sz w:val="24"/>
                <w:szCs w:val="24"/>
                <w:lang w:val="en-US"/>
              </w:rPr>
              <w:t xml:space="preserve"> </w:t>
            </w:r>
            <w:proofErr w:type="spellStart"/>
            <w:r w:rsidRPr="00521338">
              <w:rPr>
                <w:rFonts w:ascii="Traditional Arabic" w:hAnsi="Traditional Arabic" w:cs="Traditional Arabic"/>
                <w:sz w:val="24"/>
                <w:szCs w:val="24"/>
                <w:lang w:val="en-US"/>
              </w:rPr>
              <w:t>Krejcie</w:t>
            </w:r>
            <w:proofErr w:type="spellEnd"/>
            <w:r w:rsidRPr="00521338">
              <w:rPr>
                <w:rFonts w:ascii="Traditional Arabic" w:hAnsi="Traditional Arabic" w:cs="Traditional Arabic"/>
                <w:sz w:val="24"/>
                <w:szCs w:val="24"/>
                <w:lang w:val="en-US"/>
              </w:rPr>
              <w:t xml:space="preserve"> &amp; Morgan </w:t>
            </w:r>
            <w:r w:rsidRPr="00521338">
              <w:rPr>
                <w:rFonts w:ascii="Traditional Arabic" w:hAnsi="Traditional Arabic" w:cs="Traditional Arabic"/>
                <w:sz w:val="24"/>
                <w:szCs w:val="24"/>
                <w:rtl/>
                <w:lang w:val="en-US"/>
              </w:rPr>
              <w:t>مع تبرير اختيار العينة الطبقية</w:t>
            </w:r>
            <w:r w:rsidRPr="00521338">
              <w:rPr>
                <w:rFonts w:ascii="Traditional Arabic" w:hAnsi="Traditional Arabic" w:cs="Traditional Arabic"/>
                <w:sz w:val="24"/>
                <w:szCs w:val="24"/>
                <w:lang w:val="en-US"/>
              </w:rPr>
              <w:t>.</w:t>
            </w:r>
          </w:p>
        </w:tc>
        <w:tc>
          <w:tcPr>
            <w:tcW w:w="0" w:type="auto"/>
            <w:hideMark/>
          </w:tcPr>
          <w:p w14:paraId="0DC9E0E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14C6635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11F7A43" w14:textId="77777777" w:rsidTr="00521338">
        <w:tc>
          <w:tcPr>
            <w:tcW w:w="0" w:type="auto"/>
            <w:hideMark/>
          </w:tcPr>
          <w:p w14:paraId="7B9FC87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5</w:t>
            </w:r>
          </w:p>
        </w:tc>
        <w:tc>
          <w:tcPr>
            <w:tcW w:w="0" w:type="auto"/>
            <w:hideMark/>
          </w:tcPr>
          <w:p w14:paraId="3BDBAC2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توزيع العينة على المستشفيات</w:t>
            </w:r>
          </w:p>
        </w:tc>
        <w:tc>
          <w:tcPr>
            <w:tcW w:w="0" w:type="auto"/>
            <w:hideMark/>
          </w:tcPr>
          <w:p w14:paraId="7567D29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أن التوزيع النهائي سيتم بعد الحصول على البيانات الرسمية لأعداد العاملين في كل مستشفى</w:t>
            </w:r>
            <w:r w:rsidRPr="00521338">
              <w:rPr>
                <w:rFonts w:ascii="Traditional Arabic" w:hAnsi="Traditional Arabic" w:cs="Traditional Arabic"/>
                <w:sz w:val="24"/>
                <w:szCs w:val="24"/>
                <w:lang w:val="en-US"/>
              </w:rPr>
              <w:t>.</w:t>
            </w:r>
          </w:p>
        </w:tc>
        <w:tc>
          <w:tcPr>
            <w:tcW w:w="0" w:type="auto"/>
            <w:hideMark/>
          </w:tcPr>
          <w:p w14:paraId="2B06F22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 بالتبرير</w:t>
            </w:r>
          </w:p>
        </w:tc>
        <w:tc>
          <w:tcPr>
            <w:tcW w:w="0" w:type="auto"/>
            <w:hideMark/>
          </w:tcPr>
          <w:p w14:paraId="448583D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لم يتم إدراج توزيع عددي تقديري حفاظا على الدقة المنهجية، وسيتم تحديده عند بدء التطبيق</w:t>
            </w:r>
            <w:r w:rsidRPr="00521338">
              <w:rPr>
                <w:rFonts w:ascii="Traditional Arabic" w:hAnsi="Traditional Arabic" w:cs="Traditional Arabic"/>
                <w:sz w:val="24"/>
                <w:szCs w:val="24"/>
                <w:lang w:val="en-US"/>
              </w:rPr>
              <w:t>.</w:t>
            </w:r>
          </w:p>
        </w:tc>
      </w:tr>
      <w:tr w:rsidR="00521338" w:rsidRPr="00521338" w14:paraId="676987A6" w14:textId="77777777" w:rsidTr="00521338">
        <w:tc>
          <w:tcPr>
            <w:tcW w:w="0" w:type="auto"/>
            <w:hideMark/>
          </w:tcPr>
          <w:p w14:paraId="3FA24E2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6</w:t>
            </w:r>
          </w:p>
        </w:tc>
        <w:tc>
          <w:tcPr>
            <w:tcW w:w="0" w:type="auto"/>
            <w:hideMark/>
          </w:tcPr>
          <w:p w14:paraId="509D2AF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إطار المعاينة</w:t>
            </w:r>
            <w:r w:rsidRPr="00521338">
              <w:rPr>
                <w:rFonts w:ascii="Traditional Arabic" w:hAnsi="Traditional Arabic" w:cs="Traditional Arabic"/>
                <w:sz w:val="24"/>
                <w:szCs w:val="24"/>
                <w:lang w:val="en-US"/>
              </w:rPr>
              <w:t xml:space="preserve"> (Sampling Frame)</w:t>
            </w:r>
          </w:p>
        </w:tc>
        <w:tc>
          <w:tcPr>
            <w:tcW w:w="0" w:type="auto"/>
            <w:hideMark/>
          </w:tcPr>
          <w:p w14:paraId="38876A0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توضح أن قوائم العاملين سيتم الحصول عليها من الجهة الصحية المختصة/إدارات الموارد البشرية، وستستخدم إطارا للمعاينة</w:t>
            </w:r>
            <w:r w:rsidRPr="00521338">
              <w:rPr>
                <w:rFonts w:ascii="Traditional Arabic" w:hAnsi="Traditional Arabic" w:cs="Traditional Arabic"/>
                <w:sz w:val="24"/>
                <w:szCs w:val="24"/>
                <w:lang w:val="en-US"/>
              </w:rPr>
              <w:t>.</w:t>
            </w:r>
          </w:p>
        </w:tc>
        <w:tc>
          <w:tcPr>
            <w:tcW w:w="0" w:type="auto"/>
            <w:hideMark/>
          </w:tcPr>
          <w:p w14:paraId="3DFA7B62"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D5C425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2D80D787" w14:textId="77777777" w:rsidTr="00521338">
        <w:tc>
          <w:tcPr>
            <w:tcW w:w="0" w:type="auto"/>
            <w:hideMark/>
          </w:tcPr>
          <w:p w14:paraId="5685E42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7</w:t>
            </w:r>
          </w:p>
        </w:tc>
        <w:tc>
          <w:tcPr>
            <w:tcW w:w="0" w:type="auto"/>
            <w:hideMark/>
          </w:tcPr>
          <w:p w14:paraId="698EF89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هيكل الأداة</w:t>
            </w:r>
          </w:p>
        </w:tc>
        <w:tc>
          <w:tcPr>
            <w:tcW w:w="0" w:type="auto"/>
            <w:hideMark/>
          </w:tcPr>
          <w:p w14:paraId="2CE2E6A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أضيف جدول يوضح المتغيرات والأبعاد وعدد الفقرات ومصادرها</w:t>
            </w:r>
            <w:r w:rsidRPr="00521338">
              <w:rPr>
                <w:rFonts w:ascii="Traditional Arabic" w:hAnsi="Traditional Arabic" w:cs="Traditional Arabic"/>
                <w:sz w:val="24"/>
                <w:szCs w:val="24"/>
                <w:lang w:val="en-US"/>
              </w:rPr>
              <w:t>.</w:t>
            </w:r>
          </w:p>
        </w:tc>
        <w:tc>
          <w:tcPr>
            <w:tcW w:w="0" w:type="auto"/>
            <w:hideMark/>
          </w:tcPr>
          <w:p w14:paraId="17B7B145"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7D186FA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22AC20D" w14:textId="77777777" w:rsidTr="00521338">
        <w:tc>
          <w:tcPr>
            <w:tcW w:w="0" w:type="auto"/>
            <w:hideMark/>
          </w:tcPr>
          <w:p w14:paraId="42D918C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8</w:t>
            </w:r>
          </w:p>
        </w:tc>
        <w:tc>
          <w:tcPr>
            <w:tcW w:w="0" w:type="auto"/>
            <w:hideMark/>
          </w:tcPr>
          <w:p w14:paraId="1D996A9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الدراسة الاستطلاعية</w:t>
            </w:r>
          </w:p>
        </w:tc>
        <w:tc>
          <w:tcPr>
            <w:tcW w:w="0" w:type="auto"/>
            <w:hideMark/>
          </w:tcPr>
          <w:p w14:paraId="219B98F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حجم العينة الاستطلاعية وطريقة اختيارها وهدفها، مع التأكيد أنها من خارج العينة الأساسية</w:t>
            </w:r>
            <w:r w:rsidRPr="00521338">
              <w:rPr>
                <w:rFonts w:ascii="Traditional Arabic" w:hAnsi="Traditional Arabic" w:cs="Traditional Arabic"/>
                <w:sz w:val="24"/>
                <w:szCs w:val="24"/>
                <w:lang w:val="en-US"/>
              </w:rPr>
              <w:t>.</w:t>
            </w:r>
          </w:p>
        </w:tc>
        <w:tc>
          <w:tcPr>
            <w:tcW w:w="0" w:type="auto"/>
            <w:hideMark/>
          </w:tcPr>
          <w:p w14:paraId="69493C8F"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39A5368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0FF8F5F" w14:textId="77777777" w:rsidTr="00521338">
        <w:tc>
          <w:tcPr>
            <w:tcW w:w="0" w:type="auto"/>
            <w:hideMark/>
          </w:tcPr>
          <w:p w14:paraId="0D6325B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9</w:t>
            </w:r>
          </w:p>
        </w:tc>
        <w:tc>
          <w:tcPr>
            <w:tcW w:w="0" w:type="auto"/>
            <w:hideMark/>
          </w:tcPr>
          <w:p w14:paraId="2FABCCA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الصدق الظاهري</w:t>
            </w:r>
          </w:p>
        </w:tc>
        <w:tc>
          <w:tcPr>
            <w:tcW w:w="0" w:type="auto"/>
            <w:hideMark/>
          </w:tcPr>
          <w:p w14:paraId="6CD617D3"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عدد المحكمين وتخصصاتهم وآلية التحكيم</w:t>
            </w:r>
            <w:r w:rsidRPr="00521338">
              <w:rPr>
                <w:rFonts w:ascii="Traditional Arabic" w:hAnsi="Traditional Arabic" w:cs="Traditional Arabic"/>
                <w:sz w:val="24"/>
                <w:szCs w:val="24"/>
                <w:lang w:val="en-US"/>
              </w:rPr>
              <w:t>.</w:t>
            </w:r>
          </w:p>
        </w:tc>
        <w:tc>
          <w:tcPr>
            <w:tcW w:w="0" w:type="auto"/>
            <w:hideMark/>
          </w:tcPr>
          <w:p w14:paraId="6C5CE399"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2945EA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12588F73" w14:textId="77777777" w:rsidTr="00521338">
        <w:tc>
          <w:tcPr>
            <w:tcW w:w="0" w:type="auto"/>
            <w:hideMark/>
          </w:tcPr>
          <w:p w14:paraId="772C088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10</w:t>
            </w:r>
          </w:p>
        </w:tc>
        <w:tc>
          <w:tcPr>
            <w:tcW w:w="0" w:type="auto"/>
            <w:hideMark/>
          </w:tcPr>
          <w:p w14:paraId="6F4FF4C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صدق المحتوى</w:t>
            </w:r>
            <w:r w:rsidRPr="00521338">
              <w:rPr>
                <w:rFonts w:ascii="Traditional Arabic" w:hAnsi="Traditional Arabic" w:cs="Traditional Arabic"/>
                <w:sz w:val="24"/>
                <w:szCs w:val="24"/>
                <w:lang w:val="en-US"/>
              </w:rPr>
              <w:t xml:space="preserve"> (CVI)</w:t>
            </w:r>
          </w:p>
        </w:tc>
        <w:tc>
          <w:tcPr>
            <w:tcW w:w="0" w:type="auto"/>
            <w:hideMark/>
          </w:tcPr>
          <w:p w14:paraId="696EC9D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w:t>
            </w:r>
            <w:r w:rsidRPr="00521338">
              <w:rPr>
                <w:rFonts w:ascii="Traditional Arabic" w:hAnsi="Traditional Arabic" w:cs="Traditional Arabic"/>
                <w:sz w:val="24"/>
                <w:szCs w:val="24"/>
                <w:lang w:val="en-US"/>
              </w:rPr>
              <w:t xml:space="preserve"> I-CVI </w:t>
            </w:r>
            <w:r w:rsidRPr="00521338">
              <w:rPr>
                <w:rFonts w:ascii="Traditional Arabic" w:hAnsi="Traditional Arabic" w:cs="Traditional Arabic"/>
                <w:sz w:val="24"/>
                <w:szCs w:val="24"/>
                <w:rtl/>
                <w:lang w:val="en-US"/>
              </w:rPr>
              <w:t>و</w:t>
            </w:r>
            <w:r w:rsidRPr="00521338">
              <w:rPr>
                <w:rFonts w:ascii="Traditional Arabic" w:hAnsi="Traditional Arabic" w:cs="Traditional Arabic"/>
                <w:sz w:val="24"/>
                <w:szCs w:val="24"/>
                <w:lang w:val="en-US"/>
              </w:rPr>
              <w:t xml:space="preserve">S-CVI </w:t>
            </w:r>
            <w:r w:rsidRPr="00521338">
              <w:rPr>
                <w:rFonts w:ascii="Traditional Arabic" w:hAnsi="Traditional Arabic" w:cs="Traditional Arabic"/>
                <w:sz w:val="24"/>
                <w:szCs w:val="24"/>
                <w:rtl/>
                <w:lang w:val="en-US"/>
              </w:rPr>
              <w:t>وشرح إجراءات حسابهما</w:t>
            </w:r>
            <w:r w:rsidRPr="00521338">
              <w:rPr>
                <w:rFonts w:ascii="Traditional Arabic" w:hAnsi="Traditional Arabic" w:cs="Traditional Arabic"/>
                <w:sz w:val="24"/>
                <w:szCs w:val="24"/>
                <w:lang w:val="en-US"/>
              </w:rPr>
              <w:t>.</w:t>
            </w:r>
          </w:p>
        </w:tc>
        <w:tc>
          <w:tcPr>
            <w:tcW w:w="0" w:type="auto"/>
            <w:hideMark/>
          </w:tcPr>
          <w:p w14:paraId="5A412812"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10AB2FE1"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83BAF24" w14:textId="77777777" w:rsidTr="00521338">
        <w:tc>
          <w:tcPr>
            <w:tcW w:w="0" w:type="auto"/>
            <w:hideMark/>
          </w:tcPr>
          <w:p w14:paraId="6A83F7E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11</w:t>
            </w:r>
          </w:p>
        </w:tc>
        <w:tc>
          <w:tcPr>
            <w:tcW w:w="0" w:type="auto"/>
            <w:hideMark/>
          </w:tcPr>
          <w:p w14:paraId="63CA63E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الصدق البنائي</w:t>
            </w:r>
          </w:p>
        </w:tc>
        <w:tc>
          <w:tcPr>
            <w:tcW w:w="0" w:type="auto"/>
            <w:hideMark/>
          </w:tcPr>
          <w:p w14:paraId="6667B94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توضيح معاملات ارتباط بيرسون بين الفقرات والأبعاد والدرجة الكلية</w:t>
            </w:r>
            <w:r w:rsidRPr="00521338">
              <w:rPr>
                <w:rFonts w:ascii="Traditional Arabic" w:hAnsi="Traditional Arabic" w:cs="Traditional Arabic"/>
                <w:sz w:val="24"/>
                <w:szCs w:val="24"/>
                <w:lang w:val="en-US"/>
              </w:rPr>
              <w:t>.</w:t>
            </w:r>
          </w:p>
        </w:tc>
        <w:tc>
          <w:tcPr>
            <w:tcW w:w="0" w:type="auto"/>
            <w:hideMark/>
          </w:tcPr>
          <w:p w14:paraId="343CF978"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223B4E6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7D84566F" w14:textId="77777777" w:rsidTr="00521338">
        <w:tc>
          <w:tcPr>
            <w:tcW w:w="0" w:type="auto"/>
            <w:hideMark/>
          </w:tcPr>
          <w:p w14:paraId="04BADD3C"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12</w:t>
            </w:r>
          </w:p>
        </w:tc>
        <w:tc>
          <w:tcPr>
            <w:tcW w:w="0" w:type="auto"/>
            <w:hideMark/>
          </w:tcPr>
          <w:p w14:paraId="0FC6028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التحليل العاملي الاستكشافي</w:t>
            </w:r>
            <w:r w:rsidRPr="00521338">
              <w:rPr>
                <w:rFonts w:ascii="Traditional Arabic" w:hAnsi="Traditional Arabic" w:cs="Traditional Arabic"/>
                <w:sz w:val="24"/>
                <w:szCs w:val="24"/>
                <w:lang w:val="en-US"/>
              </w:rPr>
              <w:t xml:space="preserve"> (EFA)</w:t>
            </w:r>
          </w:p>
        </w:tc>
        <w:tc>
          <w:tcPr>
            <w:tcW w:w="0" w:type="auto"/>
            <w:hideMark/>
          </w:tcPr>
          <w:p w14:paraId="3A5B52E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لم يتم تطبيق</w:t>
            </w:r>
            <w:r w:rsidRPr="00521338">
              <w:rPr>
                <w:rFonts w:ascii="Traditional Arabic" w:hAnsi="Traditional Arabic" w:cs="Traditional Arabic"/>
                <w:sz w:val="24"/>
                <w:szCs w:val="24"/>
                <w:lang w:val="en-US"/>
              </w:rPr>
              <w:t xml:space="preserve"> EFA</w:t>
            </w:r>
            <w:r w:rsidRPr="00521338">
              <w:rPr>
                <w:rFonts w:ascii="Traditional Arabic" w:hAnsi="Traditional Arabic" w:cs="Traditional Arabic"/>
                <w:sz w:val="24"/>
                <w:szCs w:val="24"/>
                <w:rtl/>
                <w:lang w:val="en-US"/>
              </w:rPr>
              <w:t>، وتم إضافة تبرير منهجي لذلك ضمن حدود الدراسة</w:t>
            </w:r>
            <w:r w:rsidRPr="00521338">
              <w:rPr>
                <w:rFonts w:ascii="Traditional Arabic" w:hAnsi="Traditional Arabic" w:cs="Traditional Arabic"/>
                <w:sz w:val="24"/>
                <w:szCs w:val="24"/>
                <w:lang w:val="en-US"/>
              </w:rPr>
              <w:t>.</w:t>
            </w:r>
          </w:p>
        </w:tc>
        <w:tc>
          <w:tcPr>
            <w:tcW w:w="0" w:type="auto"/>
            <w:hideMark/>
          </w:tcPr>
          <w:p w14:paraId="5C873BC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 بالتبرير</w:t>
            </w:r>
          </w:p>
        </w:tc>
        <w:tc>
          <w:tcPr>
            <w:tcW w:w="0" w:type="auto"/>
            <w:hideMark/>
          </w:tcPr>
          <w:p w14:paraId="4B0E454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الأداة مقتبسة من مقاييس راسخة، والدراسة لا تهدف إلى تطوير مقياس جديد ولا إلى استكشاف بناء عاملي جديد</w:t>
            </w:r>
            <w:r w:rsidRPr="00521338">
              <w:rPr>
                <w:rFonts w:ascii="Traditional Arabic" w:hAnsi="Traditional Arabic" w:cs="Traditional Arabic"/>
                <w:sz w:val="24"/>
                <w:szCs w:val="24"/>
                <w:lang w:val="en-US"/>
              </w:rPr>
              <w:t>.</w:t>
            </w:r>
          </w:p>
        </w:tc>
      </w:tr>
      <w:tr w:rsidR="00521338" w:rsidRPr="00521338" w14:paraId="3D07A239" w14:textId="77777777" w:rsidTr="00521338">
        <w:tc>
          <w:tcPr>
            <w:tcW w:w="0" w:type="auto"/>
            <w:hideMark/>
          </w:tcPr>
          <w:p w14:paraId="58F4CF8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13</w:t>
            </w:r>
          </w:p>
        </w:tc>
        <w:tc>
          <w:tcPr>
            <w:tcW w:w="0" w:type="auto"/>
            <w:hideMark/>
          </w:tcPr>
          <w:p w14:paraId="42C9EA1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الثبات</w:t>
            </w:r>
          </w:p>
        </w:tc>
        <w:tc>
          <w:tcPr>
            <w:tcW w:w="0" w:type="auto"/>
            <w:hideMark/>
          </w:tcPr>
          <w:p w14:paraId="57259CB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عرض معاملات ألفا كرونباخ لجميع الأبعاد والأداة ككل</w:t>
            </w:r>
            <w:r w:rsidRPr="00521338">
              <w:rPr>
                <w:rFonts w:ascii="Traditional Arabic" w:hAnsi="Traditional Arabic" w:cs="Traditional Arabic"/>
                <w:sz w:val="24"/>
                <w:szCs w:val="24"/>
                <w:lang w:val="en-US"/>
              </w:rPr>
              <w:t>.</w:t>
            </w:r>
          </w:p>
        </w:tc>
        <w:tc>
          <w:tcPr>
            <w:tcW w:w="0" w:type="auto"/>
            <w:hideMark/>
          </w:tcPr>
          <w:p w14:paraId="58F8F835"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6256F52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48E700D8" w14:textId="77777777" w:rsidTr="00521338">
        <w:tc>
          <w:tcPr>
            <w:tcW w:w="0" w:type="auto"/>
            <w:hideMark/>
          </w:tcPr>
          <w:p w14:paraId="68E7425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14</w:t>
            </w:r>
          </w:p>
        </w:tc>
        <w:tc>
          <w:tcPr>
            <w:tcW w:w="0" w:type="auto"/>
            <w:hideMark/>
          </w:tcPr>
          <w:p w14:paraId="0AE9EBF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ترميز مقياس ليكرت</w:t>
            </w:r>
          </w:p>
        </w:tc>
        <w:tc>
          <w:tcPr>
            <w:tcW w:w="0" w:type="auto"/>
            <w:hideMark/>
          </w:tcPr>
          <w:p w14:paraId="4B0D1D3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جدول يوضح اتجاه الترميز من (1) إلى (5</w:t>
            </w:r>
            <w:r w:rsidRPr="00521338">
              <w:rPr>
                <w:rFonts w:ascii="Traditional Arabic" w:hAnsi="Traditional Arabic" w:cs="Traditional Arabic"/>
                <w:sz w:val="24"/>
                <w:szCs w:val="24"/>
                <w:lang w:val="en-US"/>
              </w:rPr>
              <w:t>).</w:t>
            </w:r>
          </w:p>
        </w:tc>
        <w:tc>
          <w:tcPr>
            <w:tcW w:w="0" w:type="auto"/>
            <w:hideMark/>
          </w:tcPr>
          <w:p w14:paraId="5126CEAD"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58D39AD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241E74C5" w14:textId="77777777" w:rsidTr="00521338">
        <w:tc>
          <w:tcPr>
            <w:tcW w:w="0" w:type="auto"/>
            <w:hideMark/>
          </w:tcPr>
          <w:p w14:paraId="61182BC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15</w:t>
            </w:r>
          </w:p>
        </w:tc>
        <w:tc>
          <w:tcPr>
            <w:tcW w:w="0" w:type="auto"/>
            <w:hideMark/>
          </w:tcPr>
          <w:p w14:paraId="7754F5F7"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افتراضات الانحدار</w:t>
            </w:r>
          </w:p>
        </w:tc>
        <w:tc>
          <w:tcPr>
            <w:tcW w:w="0" w:type="auto"/>
            <w:hideMark/>
          </w:tcPr>
          <w:p w14:paraId="116D022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إدراج اختبارات التعدد الخطي</w:t>
            </w:r>
            <w:r w:rsidRPr="00521338">
              <w:rPr>
                <w:rFonts w:ascii="Traditional Arabic" w:hAnsi="Traditional Arabic" w:cs="Traditional Arabic"/>
                <w:sz w:val="24"/>
                <w:szCs w:val="24"/>
                <w:lang w:val="en-US"/>
              </w:rPr>
              <w:t xml:space="preserve"> (VIF </w:t>
            </w:r>
            <w:r w:rsidRPr="00521338">
              <w:rPr>
                <w:rFonts w:ascii="Traditional Arabic" w:hAnsi="Traditional Arabic" w:cs="Traditional Arabic"/>
                <w:sz w:val="24"/>
                <w:szCs w:val="24"/>
                <w:rtl/>
                <w:lang w:val="en-US"/>
              </w:rPr>
              <w:t>و</w:t>
            </w:r>
            <w:r w:rsidRPr="00521338">
              <w:rPr>
                <w:rFonts w:ascii="Traditional Arabic" w:hAnsi="Traditional Arabic" w:cs="Traditional Arabic"/>
                <w:sz w:val="24"/>
                <w:szCs w:val="24"/>
                <w:lang w:val="en-US"/>
              </w:rPr>
              <w:t>Tolerance)</w:t>
            </w:r>
            <w:r w:rsidRPr="00521338">
              <w:rPr>
                <w:rFonts w:ascii="Traditional Arabic" w:hAnsi="Traditional Arabic" w:cs="Traditional Arabic"/>
                <w:sz w:val="24"/>
                <w:szCs w:val="24"/>
                <w:rtl/>
                <w:lang w:val="en-US"/>
              </w:rPr>
              <w:t>، و</w:t>
            </w:r>
            <w:r w:rsidRPr="00521338">
              <w:rPr>
                <w:rFonts w:ascii="Traditional Arabic" w:hAnsi="Traditional Arabic" w:cs="Traditional Arabic"/>
                <w:sz w:val="24"/>
                <w:szCs w:val="24"/>
                <w:lang w:val="en-US"/>
              </w:rPr>
              <w:t>Durbin-Watson</w:t>
            </w:r>
            <w:r w:rsidRPr="00521338">
              <w:rPr>
                <w:rFonts w:ascii="Traditional Arabic" w:hAnsi="Traditional Arabic" w:cs="Traditional Arabic"/>
                <w:sz w:val="24"/>
                <w:szCs w:val="24"/>
                <w:rtl/>
                <w:lang w:val="en-US"/>
              </w:rPr>
              <w:t>، والقيم المتطرفة، والطبيعية والخطية والتجانس</w:t>
            </w:r>
            <w:r w:rsidRPr="00521338">
              <w:rPr>
                <w:rFonts w:ascii="Traditional Arabic" w:hAnsi="Traditional Arabic" w:cs="Traditional Arabic"/>
                <w:sz w:val="24"/>
                <w:szCs w:val="24"/>
                <w:lang w:val="en-US"/>
              </w:rPr>
              <w:t>.</w:t>
            </w:r>
          </w:p>
        </w:tc>
        <w:tc>
          <w:tcPr>
            <w:tcW w:w="0" w:type="auto"/>
            <w:hideMark/>
          </w:tcPr>
          <w:p w14:paraId="1DF8BB49"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6A359192"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5D0817C9" w14:textId="77777777" w:rsidTr="00521338">
        <w:tc>
          <w:tcPr>
            <w:tcW w:w="0" w:type="auto"/>
            <w:hideMark/>
          </w:tcPr>
          <w:p w14:paraId="3F725E2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16</w:t>
            </w:r>
          </w:p>
        </w:tc>
        <w:tc>
          <w:tcPr>
            <w:tcW w:w="0" w:type="auto"/>
            <w:hideMark/>
          </w:tcPr>
          <w:p w14:paraId="21935EB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إجراءات الدراسة</w:t>
            </w:r>
          </w:p>
        </w:tc>
        <w:tc>
          <w:tcPr>
            <w:tcW w:w="0" w:type="auto"/>
            <w:hideMark/>
          </w:tcPr>
          <w:p w14:paraId="2DA5EDD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أعيد تنظيم خطوات تنفيذ الدراسة من إعداد الأداة وحتى تحليل البيانات</w:t>
            </w:r>
            <w:r w:rsidRPr="00521338">
              <w:rPr>
                <w:rFonts w:ascii="Traditional Arabic" w:hAnsi="Traditional Arabic" w:cs="Traditional Arabic"/>
                <w:sz w:val="24"/>
                <w:szCs w:val="24"/>
                <w:lang w:val="en-US"/>
              </w:rPr>
              <w:t>.</w:t>
            </w:r>
          </w:p>
        </w:tc>
        <w:tc>
          <w:tcPr>
            <w:tcW w:w="0" w:type="auto"/>
            <w:hideMark/>
          </w:tcPr>
          <w:p w14:paraId="51A357DB"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026E5038"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799D30FA" w14:textId="77777777" w:rsidTr="00521338">
        <w:tc>
          <w:tcPr>
            <w:tcW w:w="0" w:type="auto"/>
            <w:hideMark/>
          </w:tcPr>
          <w:p w14:paraId="1A8550A4"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17</w:t>
            </w:r>
          </w:p>
        </w:tc>
        <w:tc>
          <w:tcPr>
            <w:tcW w:w="0" w:type="auto"/>
            <w:hideMark/>
          </w:tcPr>
          <w:p w14:paraId="07736D29"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الموافقات الرسمية</w:t>
            </w:r>
          </w:p>
        </w:tc>
        <w:tc>
          <w:tcPr>
            <w:tcW w:w="0" w:type="auto"/>
            <w:hideMark/>
          </w:tcPr>
          <w:p w14:paraId="722F7F9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توضح الحصول على الموافقات الرسمية قبل توزيع الاستبانة</w:t>
            </w:r>
            <w:r w:rsidRPr="00521338">
              <w:rPr>
                <w:rFonts w:ascii="Traditional Arabic" w:hAnsi="Traditional Arabic" w:cs="Traditional Arabic"/>
                <w:sz w:val="24"/>
                <w:szCs w:val="24"/>
                <w:lang w:val="en-US"/>
              </w:rPr>
              <w:t>.</w:t>
            </w:r>
          </w:p>
        </w:tc>
        <w:tc>
          <w:tcPr>
            <w:tcW w:w="0" w:type="auto"/>
            <w:hideMark/>
          </w:tcPr>
          <w:p w14:paraId="233F429D"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CEB4AB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4BB0B1C2" w14:textId="77777777" w:rsidTr="00521338">
        <w:tc>
          <w:tcPr>
            <w:tcW w:w="0" w:type="auto"/>
            <w:hideMark/>
          </w:tcPr>
          <w:p w14:paraId="1E6CEE5E"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18</w:t>
            </w:r>
          </w:p>
        </w:tc>
        <w:tc>
          <w:tcPr>
            <w:tcW w:w="0" w:type="auto"/>
            <w:hideMark/>
          </w:tcPr>
          <w:p w14:paraId="5401564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الجهة المانحة للموافقة</w:t>
            </w:r>
          </w:p>
        </w:tc>
        <w:tc>
          <w:tcPr>
            <w:tcW w:w="0" w:type="auto"/>
            <w:hideMark/>
          </w:tcPr>
          <w:p w14:paraId="5256C7BD"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تحديد أن الموافقات تستخرج من الجهة الصحية المختصة والمستشفيات المشاركة (أو تسمى باسمها الرسمي عند التطبيق</w:t>
            </w:r>
            <w:r w:rsidRPr="00521338">
              <w:rPr>
                <w:rFonts w:ascii="Traditional Arabic" w:hAnsi="Traditional Arabic" w:cs="Traditional Arabic"/>
                <w:sz w:val="24"/>
                <w:szCs w:val="24"/>
                <w:lang w:val="en-US"/>
              </w:rPr>
              <w:t>).</w:t>
            </w:r>
          </w:p>
        </w:tc>
        <w:tc>
          <w:tcPr>
            <w:tcW w:w="0" w:type="auto"/>
            <w:hideMark/>
          </w:tcPr>
          <w:p w14:paraId="66398C7A"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48CF16F6"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يذكر الاسم الرسمي للجهة عند استكمال إجراءات التطبيق إذا لم يكن قد صدر بعد</w:t>
            </w:r>
            <w:r w:rsidRPr="00521338">
              <w:rPr>
                <w:rFonts w:ascii="Traditional Arabic" w:hAnsi="Traditional Arabic" w:cs="Traditional Arabic"/>
                <w:sz w:val="24"/>
                <w:szCs w:val="24"/>
                <w:lang w:val="en-US"/>
              </w:rPr>
              <w:t>.</w:t>
            </w:r>
          </w:p>
        </w:tc>
      </w:tr>
      <w:tr w:rsidR="00521338" w:rsidRPr="00521338" w14:paraId="661E4350" w14:textId="77777777" w:rsidTr="00521338">
        <w:tc>
          <w:tcPr>
            <w:tcW w:w="0" w:type="auto"/>
            <w:hideMark/>
          </w:tcPr>
          <w:p w14:paraId="54A049E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19</w:t>
            </w:r>
          </w:p>
        </w:tc>
        <w:tc>
          <w:tcPr>
            <w:tcW w:w="0" w:type="auto"/>
            <w:hideMark/>
          </w:tcPr>
          <w:p w14:paraId="243EED85"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الأساليب الإحصائية</w:t>
            </w:r>
          </w:p>
        </w:tc>
        <w:tc>
          <w:tcPr>
            <w:tcW w:w="0" w:type="auto"/>
            <w:hideMark/>
          </w:tcPr>
          <w:p w14:paraId="1D2AC44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 مواءمة كل سؤال وكل فرضية مع الاختبار الإحصائي المناسب</w:t>
            </w:r>
            <w:r w:rsidRPr="00521338">
              <w:rPr>
                <w:rFonts w:ascii="Traditional Arabic" w:hAnsi="Traditional Arabic" w:cs="Traditional Arabic"/>
                <w:sz w:val="24"/>
                <w:szCs w:val="24"/>
                <w:lang w:val="en-US"/>
              </w:rPr>
              <w:t>.</w:t>
            </w:r>
          </w:p>
        </w:tc>
        <w:tc>
          <w:tcPr>
            <w:tcW w:w="0" w:type="auto"/>
            <w:hideMark/>
          </w:tcPr>
          <w:p w14:paraId="0CB9DEFF"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51AC9D6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r w:rsidR="00521338" w:rsidRPr="00521338" w14:paraId="66E7822C" w14:textId="77777777" w:rsidTr="00521338">
        <w:tc>
          <w:tcPr>
            <w:tcW w:w="0" w:type="auto"/>
            <w:hideMark/>
          </w:tcPr>
          <w:p w14:paraId="3209534B"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20</w:t>
            </w:r>
          </w:p>
        </w:tc>
        <w:tc>
          <w:tcPr>
            <w:tcW w:w="0" w:type="auto"/>
            <w:hideMark/>
          </w:tcPr>
          <w:p w14:paraId="2ACD280F"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الاعتبارات الأخلاقية</w:t>
            </w:r>
          </w:p>
        </w:tc>
        <w:tc>
          <w:tcPr>
            <w:tcW w:w="0" w:type="auto"/>
            <w:hideMark/>
          </w:tcPr>
          <w:p w14:paraId="1B8689B0"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تمت إضافة فقرة أخلاقيات البحث وسرية البيانات والموافقة الطوعية</w:t>
            </w:r>
            <w:r w:rsidRPr="00521338">
              <w:rPr>
                <w:rFonts w:ascii="Traditional Arabic" w:hAnsi="Traditional Arabic" w:cs="Traditional Arabic"/>
                <w:sz w:val="24"/>
                <w:szCs w:val="24"/>
                <w:lang w:val="en-US"/>
              </w:rPr>
              <w:t>.</w:t>
            </w:r>
          </w:p>
        </w:tc>
        <w:tc>
          <w:tcPr>
            <w:tcW w:w="0" w:type="auto"/>
            <w:hideMark/>
          </w:tcPr>
          <w:p w14:paraId="135CEE4C" w14:textId="77777777" w:rsidR="00521338" w:rsidRPr="00521338" w:rsidRDefault="00521338" w:rsidP="009F354E">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rtl/>
                <w:lang w:val="en-US"/>
              </w:rPr>
              <w:t>منفذ</w:t>
            </w:r>
          </w:p>
        </w:tc>
        <w:tc>
          <w:tcPr>
            <w:tcW w:w="0" w:type="auto"/>
            <w:hideMark/>
          </w:tcPr>
          <w:p w14:paraId="6F2E866A" w14:textId="77777777" w:rsidR="00521338" w:rsidRPr="00521338" w:rsidRDefault="00521338" w:rsidP="00521338">
            <w:pPr>
              <w:bidi/>
              <w:jc w:val="both"/>
              <w:rPr>
                <w:rFonts w:ascii="Traditional Arabic" w:hAnsi="Traditional Arabic" w:cs="Traditional Arabic"/>
                <w:sz w:val="24"/>
                <w:szCs w:val="24"/>
                <w:lang w:val="en-US"/>
              </w:rPr>
            </w:pPr>
            <w:r w:rsidRPr="00521338">
              <w:rPr>
                <w:rFonts w:ascii="Traditional Arabic" w:hAnsi="Traditional Arabic" w:cs="Traditional Arabic"/>
                <w:sz w:val="24"/>
                <w:szCs w:val="24"/>
                <w:lang w:val="en-US"/>
              </w:rPr>
              <w:t>—</w:t>
            </w:r>
          </w:p>
        </w:tc>
      </w:tr>
    </w:tbl>
    <w:p w14:paraId="5A79C0F4" w14:textId="77777777" w:rsidR="00521338" w:rsidRPr="00521338" w:rsidRDefault="00521338" w:rsidP="00521338">
      <w:pPr>
        <w:bidi/>
        <w:spacing w:line="360" w:lineRule="auto"/>
        <w:jc w:val="both"/>
        <w:rPr>
          <w:rFonts w:ascii="Traditional Arabic" w:hAnsi="Traditional Arabic" w:cs="Traditional Arabic"/>
          <w:sz w:val="32"/>
          <w:szCs w:val="32"/>
          <w:lang w:val="en-US"/>
        </w:rPr>
      </w:pPr>
    </w:p>
    <w:sectPr w:rsidR="00521338" w:rsidRPr="00521338"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11D"/>
    <w:multiLevelType w:val="multilevel"/>
    <w:tmpl w:val="4D2C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887D1A"/>
    <w:multiLevelType w:val="multilevel"/>
    <w:tmpl w:val="39BC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556E8"/>
    <w:multiLevelType w:val="multilevel"/>
    <w:tmpl w:val="9E605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C21594"/>
    <w:multiLevelType w:val="multilevel"/>
    <w:tmpl w:val="E0B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959C1"/>
    <w:multiLevelType w:val="multilevel"/>
    <w:tmpl w:val="FA3EE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047AA8"/>
    <w:multiLevelType w:val="multilevel"/>
    <w:tmpl w:val="86E0C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CF689A"/>
    <w:multiLevelType w:val="multilevel"/>
    <w:tmpl w:val="671A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42110CB"/>
    <w:multiLevelType w:val="multilevel"/>
    <w:tmpl w:val="EEA6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E70EA7"/>
    <w:multiLevelType w:val="multilevel"/>
    <w:tmpl w:val="AD727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A7203A"/>
    <w:multiLevelType w:val="multilevel"/>
    <w:tmpl w:val="211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680318">
    <w:abstractNumId w:val="6"/>
  </w:num>
  <w:num w:numId="2" w16cid:durableId="1284578794">
    <w:abstractNumId w:val="7"/>
  </w:num>
  <w:num w:numId="3" w16cid:durableId="1565750601">
    <w:abstractNumId w:val="3"/>
  </w:num>
  <w:num w:numId="4" w16cid:durableId="1349868948">
    <w:abstractNumId w:val="9"/>
  </w:num>
  <w:num w:numId="5" w16cid:durableId="1279332055">
    <w:abstractNumId w:val="5"/>
  </w:num>
  <w:num w:numId="6" w16cid:durableId="1167282134">
    <w:abstractNumId w:val="0"/>
  </w:num>
  <w:num w:numId="7" w16cid:durableId="638533018">
    <w:abstractNumId w:val="4"/>
  </w:num>
  <w:num w:numId="8" w16cid:durableId="591935074">
    <w:abstractNumId w:val="2"/>
  </w:num>
  <w:num w:numId="9" w16cid:durableId="708726546">
    <w:abstractNumId w:val="8"/>
  </w:num>
  <w:num w:numId="10" w16cid:durableId="514416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A95"/>
    <w:rsid w:val="001E4DDA"/>
    <w:rsid w:val="00234504"/>
    <w:rsid w:val="00313D61"/>
    <w:rsid w:val="00365907"/>
    <w:rsid w:val="00521338"/>
    <w:rsid w:val="0058077E"/>
    <w:rsid w:val="005B1DF7"/>
    <w:rsid w:val="00651A95"/>
    <w:rsid w:val="00675801"/>
    <w:rsid w:val="00692479"/>
    <w:rsid w:val="007419CC"/>
    <w:rsid w:val="00873B73"/>
    <w:rsid w:val="009323C8"/>
    <w:rsid w:val="009E4789"/>
    <w:rsid w:val="00BB2224"/>
    <w:rsid w:val="00BB7B09"/>
    <w:rsid w:val="00D46B92"/>
    <w:rsid w:val="00D954DC"/>
    <w:rsid w:val="00E30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5DF08"/>
  <w15:docId w15:val="{3034D5D2-AD9F-1B49-8F5B-B91910FAC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94528">
      <w:bodyDiv w:val="1"/>
      <w:marLeft w:val="0"/>
      <w:marRight w:val="0"/>
      <w:marTop w:val="0"/>
      <w:marBottom w:val="0"/>
      <w:divBdr>
        <w:top w:val="none" w:sz="0" w:space="0" w:color="auto"/>
        <w:left w:val="none" w:sz="0" w:space="0" w:color="auto"/>
        <w:bottom w:val="none" w:sz="0" w:space="0" w:color="auto"/>
        <w:right w:val="none" w:sz="0" w:space="0" w:color="auto"/>
      </w:divBdr>
    </w:div>
    <w:div w:id="81924515">
      <w:bodyDiv w:val="1"/>
      <w:marLeft w:val="0"/>
      <w:marRight w:val="0"/>
      <w:marTop w:val="0"/>
      <w:marBottom w:val="0"/>
      <w:divBdr>
        <w:top w:val="none" w:sz="0" w:space="0" w:color="auto"/>
        <w:left w:val="none" w:sz="0" w:space="0" w:color="auto"/>
        <w:bottom w:val="none" w:sz="0" w:space="0" w:color="auto"/>
        <w:right w:val="none" w:sz="0" w:space="0" w:color="auto"/>
      </w:divBdr>
    </w:div>
    <w:div w:id="85421963">
      <w:bodyDiv w:val="1"/>
      <w:marLeft w:val="0"/>
      <w:marRight w:val="0"/>
      <w:marTop w:val="0"/>
      <w:marBottom w:val="0"/>
      <w:divBdr>
        <w:top w:val="none" w:sz="0" w:space="0" w:color="auto"/>
        <w:left w:val="none" w:sz="0" w:space="0" w:color="auto"/>
        <w:bottom w:val="none" w:sz="0" w:space="0" w:color="auto"/>
        <w:right w:val="none" w:sz="0" w:space="0" w:color="auto"/>
      </w:divBdr>
    </w:div>
    <w:div w:id="96606542">
      <w:bodyDiv w:val="1"/>
      <w:marLeft w:val="0"/>
      <w:marRight w:val="0"/>
      <w:marTop w:val="0"/>
      <w:marBottom w:val="0"/>
      <w:divBdr>
        <w:top w:val="none" w:sz="0" w:space="0" w:color="auto"/>
        <w:left w:val="none" w:sz="0" w:space="0" w:color="auto"/>
        <w:bottom w:val="none" w:sz="0" w:space="0" w:color="auto"/>
        <w:right w:val="none" w:sz="0" w:space="0" w:color="auto"/>
      </w:divBdr>
    </w:div>
    <w:div w:id="313031030">
      <w:bodyDiv w:val="1"/>
      <w:marLeft w:val="0"/>
      <w:marRight w:val="0"/>
      <w:marTop w:val="0"/>
      <w:marBottom w:val="0"/>
      <w:divBdr>
        <w:top w:val="none" w:sz="0" w:space="0" w:color="auto"/>
        <w:left w:val="none" w:sz="0" w:space="0" w:color="auto"/>
        <w:bottom w:val="none" w:sz="0" w:space="0" w:color="auto"/>
        <w:right w:val="none" w:sz="0" w:space="0" w:color="auto"/>
      </w:divBdr>
    </w:div>
    <w:div w:id="385106273">
      <w:bodyDiv w:val="1"/>
      <w:marLeft w:val="0"/>
      <w:marRight w:val="0"/>
      <w:marTop w:val="0"/>
      <w:marBottom w:val="0"/>
      <w:divBdr>
        <w:top w:val="none" w:sz="0" w:space="0" w:color="auto"/>
        <w:left w:val="none" w:sz="0" w:space="0" w:color="auto"/>
        <w:bottom w:val="none" w:sz="0" w:space="0" w:color="auto"/>
        <w:right w:val="none" w:sz="0" w:space="0" w:color="auto"/>
      </w:divBdr>
    </w:div>
    <w:div w:id="405227420">
      <w:bodyDiv w:val="1"/>
      <w:marLeft w:val="0"/>
      <w:marRight w:val="0"/>
      <w:marTop w:val="0"/>
      <w:marBottom w:val="0"/>
      <w:divBdr>
        <w:top w:val="none" w:sz="0" w:space="0" w:color="auto"/>
        <w:left w:val="none" w:sz="0" w:space="0" w:color="auto"/>
        <w:bottom w:val="none" w:sz="0" w:space="0" w:color="auto"/>
        <w:right w:val="none" w:sz="0" w:space="0" w:color="auto"/>
      </w:divBdr>
    </w:div>
    <w:div w:id="416025882">
      <w:bodyDiv w:val="1"/>
      <w:marLeft w:val="0"/>
      <w:marRight w:val="0"/>
      <w:marTop w:val="0"/>
      <w:marBottom w:val="0"/>
      <w:divBdr>
        <w:top w:val="none" w:sz="0" w:space="0" w:color="auto"/>
        <w:left w:val="none" w:sz="0" w:space="0" w:color="auto"/>
        <w:bottom w:val="none" w:sz="0" w:space="0" w:color="auto"/>
        <w:right w:val="none" w:sz="0" w:space="0" w:color="auto"/>
      </w:divBdr>
    </w:div>
    <w:div w:id="423385867">
      <w:bodyDiv w:val="1"/>
      <w:marLeft w:val="0"/>
      <w:marRight w:val="0"/>
      <w:marTop w:val="0"/>
      <w:marBottom w:val="0"/>
      <w:divBdr>
        <w:top w:val="none" w:sz="0" w:space="0" w:color="auto"/>
        <w:left w:val="none" w:sz="0" w:space="0" w:color="auto"/>
        <w:bottom w:val="none" w:sz="0" w:space="0" w:color="auto"/>
        <w:right w:val="none" w:sz="0" w:space="0" w:color="auto"/>
      </w:divBdr>
    </w:div>
    <w:div w:id="490872222">
      <w:bodyDiv w:val="1"/>
      <w:marLeft w:val="0"/>
      <w:marRight w:val="0"/>
      <w:marTop w:val="0"/>
      <w:marBottom w:val="0"/>
      <w:divBdr>
        <w:top w:val="none" w:sz="0" w:space="0" w:color="auto"/>
        <w:left w:val="none" w:sz="0" w:space="0" w:color="auto"/>
        <w:bottom w:val="none" w:sz="0" w:space="0" w:color="auto"/>
        <w:right w:val="none" w:sz="0" w:space="0" w:color="auto"/>
      </w:divBdr>
    </w:div>
    <w:div w:id="592206283">
      <w:bodyDiv w:val="1"/>
      <w:marLeft w:val="0"/>
      <w:marRight w:val="0"/>
      <w:marTop w:val="0"/>
      <w:marBottom w:val="0"/>
      <w:divBdr>
        <w:top w:val="none" w:sz="0" w:space="0" w:color="auto"/>
        <w:left w:val="none" w:sz="0" w:space="0" w:color="auto"/>
        <w:bottom w:val="none" w:sz="0" w:space="0" w:color="auto"/>
        <w:right w:val="none" w:sz="0" w:space="0" w:color="auto"/>
      </w:divBdr>
    </w:div>
    <w:div w:id="646982477">
      <w:bodyDiv w:val="1"/>
      <w:marLeft w:val="0"/>
      <w:marRight w:val="0"/>
      <w:marTop w:val="0"/>
      <w:marBottom w:val="0"/>
      <w:divBdr>
        <w:top w:val="none" w:sz="0" w:space="0" w:color="auto"/>
        <w:left w:val="none" w:sz="0" w:space="0" w:color="auto"/>
        <w:bottom w:val="none" w:sz="0" w:space="0" w:color="auto"/>
        <w:right w:val="none" w:sz="0" w:space="0" w:color="auto"/>
      </w:divBdr>
    </w:div>
    <w:div w:id="650523768">
      <w:bodyDiv w:val="1"/>
      <w:marLeft w:val="0"/>
      <w:marRight w:val="0"/>
      <w:marTop w:val="0"/>
      <w:marBottom w:val="0"/>
      <w:divBdr>
        <w:top w:val="none" w:sz="0" w:space="0" w:color="auto"/>
        <w:left w:val="none" w:sz="0" w:space="0" w:color="auto"/>
        <w:bottom w:val="none" w:sz="0" w:space="0" w:color="auto"/>
        <w:right w:val="none" w:sz="0" w:space="0" w:color="auto"/>
      </w:divBdr>
    </w:div>
    <w:div w:id="695813156">
      <w:bodyDiv w:val="1"/>
      <w:marLeft w:val="0"/>
      <w:marRight w:val="0"/>
      <w:marTop w:val="0"/>
      <w:marBottom w:val="0"/>
      <w:divBdr>
        <w:top w:val="none" w:sz="0" w:space="0" w:color="auto"/>
        <w:left w:val="none" w:sz="0" w:space="0" w:color="auto"/>
        <w:bottom w:val="none" w:sz="0" w:space="0" w:color="auto"/>
        <w:right w:val="none" w:sz="0" w:space="0" w:color="auto"/>
      </w:divBdr>
    </w:div>
    <w:div w:id="803356422">
      <w:bodyDiv w:val="1"/>
      <w:marLeft w:val="0"/>
      <w:marRight w:val="0"/>
      <w:marTop w:val="0"/>
      <w:marBottom w:val="0"/>
      <w:divBdr>
        <w:top w:val="none" w:sz="0" w:space="0" w:color="auto"/>
        <w:left w:val="none" w:sz="0" w:space="0" w:color="auto"/>
        <w:bottom w:val="none" w:sz="0" w:space="0" w:color="auto"/>
        <w:right w:val="none" w:sz="0" w:space="0" w:color="auto"/>
      </w:divBdr>
    </w:div>
    <w:div w:id="965770207">
      <w:bodyDiv w:val="1"/>
      <w:marLeft w:val="0"/>
      <w:marRight w:val="0"/>
      <w:marTop w:val="0"/>
      <w:marBottom w:val="0"/>
      <w:divBdr>
        <w:top w:val="none" w:sz="0" w:space="0" w:color="auto"/>
        <w:left w:val="none" w:sz="0" w:space="0" w:color="auto"/>
        <w:bottom w:val="none" w:sz="0" w:space="0" w:color="auto"/>
        <w:right w:val="none" w:sz="0" w:space="0" w:color="auto"/>
      </w:divBdr>
    </w:div>
    <w:div w:id="1071653579">
      <w:bodyDiv w:val="1"/>
      <w:marLeft w:val="0"/>
      <w:marRight w:val="0"/>
      <w:marTop w:val="0"/>
      <w:marBottom w:val="0"/>
      <w:divBdr>
        <w:top w:val="none" w:sz="0" w:space="0" w:color="auto"/>
        <w:left w:val="none" w:sz="0" w:space="0" w:color="auto"/>
        <w:bottom w:val="none" w:sz="0" w:space="0" w:color="auto"/>
        <w:right w:val="none" w:sz="0" w:space="0" w:color="auto"/>
      </w:divBdr>
    </w:div>
    <w:div w:id="1145388413">
      <w:bodyDiv w:val="1"/>
      <w:marLeft w:val="0"/>
      <w:marRight w:val="0"/>
      <w:marTop w:val="0"/>
      <w:marBottom w:val="0"/>
      <w:divBdr>
        <w:top w:val="none" w:sz="0" w:space="0" w:color="auto"/>
        <w:left w:val="none" w:sz="0" w:space="0" w:color="auto"/>
        <w:bottom w:val="none" w:sz="0" w:space="0" w:color="auto"/>
        <w:right w:val="none" w:sz="0" w:space="0" w:color="auto"/>
      </w:divBdr>
    </w:div>
    <w:div w:id="1170213861">
      <w:bodyDiv w:val="1"/>
      <w:marLeft w:val="0"/>
      <w:marRight w:val="0"/>
      <w:marTop w:val="0"/>
      <w:marBottom w:val="0"/>
      <w:divBdr>
        <w:top w:val="none" w:sz="0" w:space="0" w:color="auto"/>
        <w:left w:val="none" w:sz="0" w:space="0" w:color="auto"/>
        <w:bottom w:val="none" w:sz="0" w:space="0" w:color="auto"/>
        <w:right w:val="none" w:sz="0" w:space="0" w:color="auto"/>
      </w:divBdr>
      <w:divsChild>
        <w:div w:id="1083838247">
          <w:marLeft w:val="0"/>
          <w:marRight w:val="0"/>
          <w:marTop w:val="0"/>
          <w:marBottom w:val="0"/>
          <w:divBdr>
            <w:top w:val="none" w:sz="0" w:space="0" w:color="auto"/>
            <w:left w:val="none" w:sz="0" w:space="0" w:color="auto"/>
            <w:bottom w:val="none" w:sz="0" w:space="0" w:color="auto"/>
            <w:right w:val="none" w:sz="0" w:space="0" w:color="auto"/>
          </w:divBdr>
          <w:divsChild>
            <w:div w:id="98836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949252">
      <w:bodyDiv w:val="1"/>
      <w:marLeft w:val="0"/>
      <w:marRight w:val="0"/>
      <w:marTop w:val="0"/>
      <w:marBottom w:val="0"/>
      <w:divBdr>
        <w:top w:val="none" w:sz="0" w:space="0" w:color="auto"/>
        <w:left w:val="none" w:sz="0" w:space="0" w:color="auto"/>
        <w:bottom w:val="none" w:sz="0" w:space="0" w:color="auto"/>
        <w:right w:val="none" w:sz="0" w:space="0" w:color="auto"/>
      </w:divBdr>
      <w:divsChild>
        <w:div w:id="1258444404">
          <w:marLeft w:val="0"/>
          <w:marRight w:val="0"/>
          <w:marTop w:val="0"/>
          <w:marBottom w:val="0"/>
          <w:divBdr>
            <w:top w:val="none" w:sz="0" w:space="0" w:color="auto"/>
            <w:left w:val="none" w:sz="0" w:space="0" w:color="auto"/>
            <w:bottom w:val="none" w:sz="0" w:space="0" w:color="auto"/>
            <w:right w:val="none" w:sz="0" w:space="0" w:color="auto"/>
          </w:divBdr>
          <w:divsChild>
            <w:div w:id="164280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452379">
      <w:bodyDiv w:val="1"/>
      <w:marLeft w:val="0"/>
      <w:marRight w:val="0"/>
      <w:marTop w:val="0"/>
      <w:marBottom w:val="0"/>
      <w:divBdr>
        <w:top w:val="none" w:sz="0" w:space="0" w:color="auto"/>
        <w:left w:val="none" w:sz="0" w:space="0" w:color="auto"/>
        <w:bottom w:val="none" w:sz="0" w:space="0" w:color="auto"/>
        <w:right w:val="none" w:sz="0" w:space="0" w:color="auto"/>
      </w:divBdr>
    </w:div>
    <w:div w:id="1483278561">
      <w:bodyDiv w:val="1"/>
      <w:marLeft w:val="0"/>
      <w:marRight w:val="0"/>
      <w:marTop w:val="0"/>
      <w:marBottom w:val="0"/>
      <w:divBdr>
        <w:top w:val="none" w:sz="0" w:space="0" w:color="auto"/>
        <w:left w:val="none" w:sz="0" w:space="0" w:color="auto"/>
        <w:bottom w:val="none" w:sz="0" w:space="0" w:color="auto"/>
        <w:right w:val="none" w:sz="0" w:space="0" w:color="auto"/>
      </w:divBdr>
    </w:div>
    <w:div w:id="196603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83940710733115" TargetMode="External" /><Relationship Id="rId13" Type="http://schemas.openxmlformats.org/officeDocument/2006/relationships/hyperlink" Target="https://doi.org/10.1016/j.jbusres.2020.10.030" TargetMode="External" /><Relationship Id="rId18" Type="http://schemas.openxmlformats.org/officeDocument/2006/relationships/hyperlink" Target="https://doi.org/10.1177/001872675100400101" TargetMode="Externa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doi.org/10.1007/978-3-031-62332-5_3" TargetMode="External" /><Relationship Id="rId12" Type="http://schemas.openxmlformats.org/officeDocument/2006/relationships/hyperlink" Target="https://doi.org/10.2196/40622" TargetMode="External" /><Relationship Id="rId17" Type="http://schemas.openxmlformats.org/officeDocument/2006/relationships/hyperlink" Target="https://doi.org/10.3390/info16030247" TargetMode="External" /><Relationship Id="rId2" Type="http://schemas.openxmlformats.org/officeDocument/2006/relationships/styles" Target="styles.xml" /><Relationship Id="rId16" Type="http://schemas.openxmlformats.org/officeDocument/2006/relationships/hyperlink" Target="https://doi.org/10.21511/ppm.19(4).2021.01"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hyperlink" Target="https://doi.org/10.1186/s12913-023-10335-8" TargetMode="External" /><Relationship Id="rId11" Type="http://schemas.openxmlformats.org/officeDocument/2006/relationships/hyperlink" Target="https://doi.org/10.18235/0005682" TargetMode="External" /><Relationship Id="rId5" Type="http://schemas.openxmlformats.org/officeDocument/2006/relationships/hyperlink" Target="https://doi.org/10.1177/20552076221117742" TargetMode="External" /><Relationship Id="rId15" Type="http://schemas.openxmlformats.org/officeDocument/2006/relationships/hyperlink" Target="https://doi.org/10.1016/j.procs.2023.10.186" TargetMode="External" /><Relationship Id="rId10" Type="http://schemas.openxmlformats.org/officeDocument/2006/relationships/hyperlink" Target="https://doi.org/10.1371/journal.pdig.0000385" TargetMode="External" /><Relationship Id="rId19" Type="http://schemas.openxmlformats.org/officeDocument/2006/relationships/hyperlink" Target="https://doi.org/10.1016/j.jsis.2019.01.003" TargetMode="External" /><Relationship Id="rId4" Type="http://schemas.openxmlformats.org/officeDocument/2006/relationships/webSettings" Target="webSettings.xml" /><Relationship Id="rId9" Type="http://schemas.openxmlformats.org/officeDocument/2006/relationships/hyperlink" Target="https://doi.org/10.24857/rgsa.v18n4-046" TargetMode="External" /><Relationship Id="rId14" Type="http://schemas.openxmlformats.org/officeDocument/2006/relationships/hyperlink" Target="https://doi.org/10.1016/j.techfore.2024.12378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6861</Words>
  <Characters>39113</Characters>
  <Application>Microsoft Office Word</Application>
  <DocSecurity>0</DocSecurity>
  <Lines>325</Lines>
  <Paragraphs>91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Atif Bokhari</cp:lastModifiedBy>
  <cp:revision>2</cp:revision>
  <dcterms:created xsi:type="dcterms:W3CDTF">2026-08-10T19:03:00Z</dcterms:created>
  <dcterms:modified xsi:type="dcterms:W3CDTF">2026-08-10T19:03:00Z</dcterms:modified>
</cp:coreProperties>
</file>