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4C668BA6" w:rsidR="00EA22ED" w:rsidRPr="00E97D90" w:rsidRDefault="00EA22ED" w:rsidP="00A51982">
      <w:pPr>
        <w:bidi/>
        <w:rPr>
          <w:rFonts w:asciiTheme="majorBidi" w:hAnsiTheme="majorBidi" w:cstheme="majorBidi"/>
          <w:sz w:val="24"/>
          <w:szCs w:val="24"/>
          <w:rtl/>
          <w:lang w:bidi="ar-SY"/>
        </w:rPr>
      </w:pPr>
      <w:r w:rsidRPr="00E97D90">
        <w:rPr>
          <w:rFonts w:asciiTheme="majorBidi" w:hAnsiTheme="majorBidi" w:cstheme="majorBidi"/>
          <w:sz w:val="24"/>
          <w:szCs w:val="24"/>
        </w:rPr>
        <w:t>Leader Name:</w:t>
      </w:r>
    </w:p>
    <w:p w14:paraId="19A7A6F9" w14:textId="77777777" w:rsidR="00EA22ED" w:rsidRPr="00E97D90" w:rsidRDefault="00EA22ED" w:rsidP="00A51982">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22"/>
        <w:gridCol w:w="1123"/>
        <w:gridCol w:w="1003"/>
        <w:gridCol w:w="1256"/>
        <w:gridCol w:w="3852"/>
      </w:tblGrid>
      <w:tr w:rsidR="00EA22ED" w:rsidRPr="00E97D90" w14:paraId="678369B7" w14:textId="77777777" w:rsidTr="005C37CB">
        <w:trPr>
          <w:trHeight w:val="453"/>
        </w:trPr>
        <w:tc>
          <w:tcPr>
            <w:tcW w:w="3822" w:type="dxa"/>
            <w:shd w:val="clear" w:color="auto" w:fill="EEECE1" w:themeFill="background2"/>
            <w:vAlign w:val="center"/>
          </w:tcPr>
          <w:p w14:paraId="4FBD657D" w14:textId="77777777" w:rsidR="00EA22ED" w:rsidRPr="00E97D90" w:rsidRDefault="00EA22ED" w:rsidP="00A51982">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Developed</w:t>
            </w:r>
          </w:p>
        </w:tc>
        <w:tc>
          <w:tcPr>
            <w:tcW w:w="3852" w:type="dxa"/>
            <w:shd w:val="clear" w:color="auto" w:fill="EEECE1" w:themeFill="background2"/>
            <w:vAlign w:val="center"/>
          </w:tcPr>
          <w:p w14:paraId="4536EF34"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Comment</w:t>
            </w:r>
          </w:p>
        </w:tc>
      </w:tr>
      <w:tr w:rsidR="001A4068" w:rsidRPr="00E97D90" w14:paraId="68F04C9F" w14:textId="77777777" w:rsidTr="005C37CB">
        <w:trPr>
          <w:trHeight w:val="473"/>
        </w:trPr>
        <w:tc>
          <w:tcPr>
            <w:tcW w:w="3822" w:type="dxa"/>
            <w:shd w:val="clear" w:color="auto" w:fill="EEECE1" w:themeFill="background2"/>
            <w:vAlign w:val="center"/>
          </w:tcPr>
          <w:p w14:paraId="377B8ACA" w14:textId="77777777" w:rsidR="001A4068" w:rsidRPr="00E97D90" w:rsidRDefault="001A406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5A829B94" w:rsidR="001A4068" w:rsidRPr="00E97D90" w:rsidRDefault="001A4068" w:rsidP="00A51982">
            <w:pPr>
              <w:bidi/>
              <w:rPr>
                <w:rFonts w:asciiTheme="majorBidi" w:hAnsiTheme="majorBidi" w:cstheme="majorBidi"/>
                <w:sz w:val="24"/>
                <w:szCs w:val="24"/>
              </w:rPr>
            </w:pPr>
          </w:p>
        </w:tc>
        <w:tc>
          <w:tcPr>
            <w:tcW w:w="1003" w:type="dxa"/>
            <w:vAlign w:val="center"/>
          </w:tcPr>
          <w:p w14:paraId="1BAB1456" w14:textId="77777777" w:rsidR="001A4068" w:rsidRPr="00E97D90" w:rsidRDefault="001A4068" w:rsidP="00A51982">
            <w:pPr>
              <w:bidi/>
              <w:rPr>
                <w:rFonts w:asciiTheme="majorBidi" w:hAnsiTheme="majorBidi" w:cstheme="majorBidi"/>
                <w:sz w:val="24"/>
                <w:szCs w:val="24"/>
              </w:rPr>
            </w:pPr>
          </w:p>
        </w:tc>
        <w:tc>
          <w:tcPr>
            <w:tcW w:w="1256" w:type="dxa"/>
            <w:vAlign w:val="center"/>
          </w:tcPr>
          <w:p w14:paraId="0D37F95E" w14:textId="2EF57FA6" w:rsidR="001A4068" w:rsidRPr="00E97D90" w:rsidRDefault="001A406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766419F" w14:textId="3A52B040" w:rsidR="001A4068" w:rsidRPr="00E97D90" w:rsidRDefault="001A4068" w:rsidP="00A51982">
            <w:pPr>
              <w:bidi/>
              <w:rPr>
                <w:rFonts w:asciiTheme="majorBidi" w:hAnsiTheme="majorBidi" w:cstheme="majorBidi"/>
                <w:sz w:val="24"/>
                <w:szCs w:val="24"/>
              </w:rPr>
            </w:pPr>
            <w:r w:rsidRPr="00DA7441">
              <w:rPr>
                <w:rtl/>
              </w:rPr>
              <w:t xml:space="preserve">، إعادة ضبط المحاذاة وتوحيد الخطوط </w:t>
            </w:r>
            <w:r w:rsidR="00CA563C">
              <w:rPr>
                <w:rFonts w:hint="cs"/>
                <w:rtl/>
              </w:rPr>
              <w:t xml:space="preserve"> </w:t>
            </w:r>
          </w:p>
        </w:tc>
      </w:tr>
      <w:tr w:rsidR="007E47DE" w:rsidRPr="00E97D90" w14:paraId="0B601F59" w14:textId="77777777" w:rsidTr="005C37CB">
        <w:trPr>
          <w:trHeight w:val="453"/>
        </w:trPr>
        <w:tc>
          <w:tcPr>
            <w:tcW w:w="3822" w:type="dxa"/>
            <w:shd w:val="clear" w:color="auto" w:fill="EEECE1" w:themeFill="background2"/>
            <w:vAlign w:val="center"/>
          </w:tcPr>
          <w:p w14:paraId="65B86420"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7E47DE" w:rsidRPr="00E97D90" w:rsidRDefault="007E47DE" w:rsidP="007E47DE">
            <w:pPr>
              <w:bidi/>
              <w:rPr>
                <w:rFonts w:asciiTheme="majorBidi" w:hAnsiTheme="majorBidi" w:cstheme="majorBidi"/>
                <w:sz w:val="24"/>
                <w:szCs w:val="24"/>
              </w:rPr>
            </w:pPr>
          </w:p>
        </w:tc>
        <w:tc>
          <w:tcPr>
            <w:tcW w:w="1003" w:type="dxa"/>
            <w:vAlign w:val="center"/>
          </w:tcPr>
          <w:p w14:paraId="2B217616"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3DBBE376" w14:textId="5FA64AD2"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6C120BEB" w14:textId="187BBF3B" w:rsidR="007E47DE" w:rsidRPr="00E97D90" w:rsidRDefault="007E47DE" w:rsidP="007E47DE">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العنوان «دور إدارة الفعاليات في تعزيز الولاء للعلامات التجارية المحلية لدى المستهلك السعودي: دراسة حالة على قطاع المقاهي المختصة» واضح، ومحدّد، ويبيّن المتغير المستقل (إدارة الفعاليات) والتابع (الولاء للعلامة) والسياق (علامات تجارية محلية، مستهلك سعودي، قطاع المقاهي المختصة)</w:t>
            </w:r>
            <w:r w:rsidRPr="00B301AD">
              <w:t xml:space="preserve">. </w:t>
            </w:r>
            <w:r w:rsidRPr="00B301AD">
              <w:rPr>
                <w:b/>
                <w:bCs/>
                <w:rtl/>
              </w:rPr>
              <w:t>نقطة قوة</w:t>
            </w:r>
            <w:r w:rsidRPr="00B301AD">
              <w:rPr>
                <w:b/>
                <w:bCs/>
              </w:rPr>
              <w:t>:</w:t>
            </w:r>
            <w:r w:rsidRPr="00B301AD">
              <w:t xml:space="preserve"> </w:t>
            </w:r>
            <w:r w:rsidRPr="00B301AD">
              <w:rPr>
                <w:rtl/>
              </w:rPr>
              <w:t>العنوان يجمع بين الجانب التطبيقي (إدارة الفعاليات) والسياق الحديث (قطاع المقاهي المختصة) مع تحديد الفئة المستهدفة (المستهلك السعودي)، مما يزيد من أهمية الدراسة</w:t>
            </w:r>
            <w:r w:rsidRPr="00B301AD">
              <w:t xml:space="preserve">. </w:t>
            </w:r>
            <w:r w:rsidRPr="00B301AD">
              <w:rPr>
                <w:b/>
                <w:bCs/>
                <w:rtl/>
              </w:rPr>
              <w:t>نقطة ضعف</w:t>
            </w:r>
            <w:r w:rsidRPr="00B301AD">
              <w:rPr>
                <w:b/>
                <w:bCs/>
              </w:rPr>
              <w:t>:</w:t>
            </w:r>
            <w:r w:rsidRPr="00B301AD">
              <w:t xml:space="preserve"> </w:t>
            </w:r>
            <w:r w:rsidRPr="00B301AD">
              <w:rPr>
                <w:rtl/>
              </w:rPr>
              <w:t>طول العنوان نسبيًا يمكن أن يصعّب استخدامه في بعض المواضع، لكنه ما زال مقبولًا أكاديميًا</w:t>
            </w:r>
            <w:r w:rsidRPr="00B301AD">
              <w:t xml:space="preserve">. </w:t>
            </w:r>
          </w:p>
        </w:tc>
      </w:tr>
      <w:tr w:rsidR="007E47DE" w:rsidRPr="00E97D90" w14:paraId="1849A8E7" w14:textId="77777777" w:rsidTr="005C37CB">
        <w:trPr>
          <w:trHeight w:val="453"/>
        </w:trPr>
        <w:tc>
          <w:tcPr>
            <w:tcW w:w="3822" w:type="dxa"/>
            <w:shd w:val="clear" w:color="auto" w:fill="EEECE1" w:themeFill="background2"/>
            <w:vAlign w:val="center"/>
          </w:tcPr>
          <w:p w14:paraId="019F5F3F"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7E47DE" w:rsidRPr="00E97D90" w:rsidRDefault="007E47DE" w:rsidP="007E47DE">
            <w:pPr>
              <w:bidi/>
              <w:rPr>
                <w:rFonts w:asciiTheme="majorBidi" w:hAnsiTheme="majorBidi" w:cstheme="majorBidi"/>
                <w:sz w:val="24"/>
                <w:szCs w:val="24"/>
              </w:rPr>
            </w:pPr>
          </w:p>
        </w:tc>
        <w:tc>
          <w:tcPr>
            <w:tcW w:w="1003" w:type="dxa"/>
            <w:vAlign w:val="center"/>
          </w:tcPr>
          <w:p w14:paraId="08B76F82"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003D90FE" w14:textId="50F2F09B"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4F00DAE" w14:textId="2CA8D348" w:rsidR="007E47DE" w:rsidRPr="00E97D90" w:rsidRDefault="007E47DE" w:rsidP="007E47DE">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المقدمة تقدّم سياقًا قويًا: نمو سوق القهوة والمقاهي المختصة في السعودية، وتحدي المنافسة مع العلامات الأجنبية، وأهمية الولاء للعلامة في هذا السياق، ثم إدخال مفهوم “النزعة الاستهلاكية العِرقية” والفعاليات كأداة علاقات عامة</w:t>
            </w:r>
            <w:r w:rsidRPr="00B301AD">
              <w:t xml:space="preserve">. </w:t>
            </w:r>
            <w:r w:rsidRPr="00B301AD">
              <w:rPr>
                <w:b/>
                <w:bCs/>
                <w:rtl/>
              </w:rPr>
              <w:t>نقطة قوة</w:t>
            </w:r>
            <w:r w:rsidRPr="00B301AD">
              <w:rPr>
                <w:b/>
                <w:bCs/>
              </w:rPr>
              <w:t>:</w:t>
            </w:r>
            <w:r w:rsidRPr="00B301AD">
              <w:t xml:space="preserve"> </w:t>
            </w:r>
            <w:r w:rsidRPr="00B301AD">
              <w:rPr>
                <w:rtl/>
              </w:rPr>
              <w:t>الربط بين المعطيات السوقية (حجم السوق ومعدلات النمو) والمفاهيم النظرية (الولاء، النزعة الاستهلاكية العرقية، إدارة الفعاليات) يمنح المقدمة عمقًا نظريًا وتطبيقيًا معًا</w:t>
            </w:r>
            <w:r w:rsidRPr="00B301AD">
              <w:t xml:space="preserve">. </w:t>
            </w:r>
            <w:r w:rsidRPr="00B301AD">
              <w:rPr>
                <w:b/>
                <w:bCs/>
                <w:rtl/>
              </w:rPr>
              <w:t>نقطة ضعف</w:t>
            </w:r>
            <w:r w:rsidRPr="00B301AD">
              <w:rPr>
                <w:b/>
                <w:bCs/>
              </w:rPr>
              <w:t>:</w:t>
            </w:r>
            <w:r w:rsidRPr="00B301AD">
              <w:t xml:space="preserve"> </w:t>
            </w:r>
            <w:r w:rsidRPr="00B301AD">
              <w:rPr>
                <w:rtl/>
              </w:rPr>
              <w:t>المقدمة غنية بالمراجع والأرقام؛ يمكن تبسيط العرض قليلًا وتقسيمه إلى فقرات أقصر (سوق القهوة، مفهوم النزعة الاستهلاكية، دور الفعاليات) لتسهيل القراءة</w:t>
            </w:r>
            <w:r w:rsidRPr="00B301AD">
              <w:t xml:space="preserve">. </w:t>
            </w:r>
            <w:r w:rsidRPr="00B301AD">
              <w:rPr>
                <w:b/>
                <w:bCs/>
                <w:rtl/>
              </w:rPr>
              <w:t>مقترح تطوير</w:t>
            </w:r>
            <w:r w:rsidRPr="00B301AD">
              <w:rPr>
                <w:b/>
                <w:bCs/>
              </w:rPr>
              <w:t>:</w:t>
            </w:r>
            <w:r w:rsidRPr="00B301AD">
              <w:t xml:space="preserve"> </w:t>
            </w:r>
            <w:r w:rsidRPr="00B301AD">
              <w:rPr>
                <w:rtl/>
              </w:rPr>
              <w:t>إنهاء المقدمة بفقرة قصيرة تبرز الفجوة البحثية بوضوح ثم تنتقل مباشرة لصياغة مشكلة البحث في سؤال رئيس</w:t>
            </w:r>
            <w:r w:rsidRPr="00B301AD">
              <w:t>.</w:t>
            </w:r>
          </w:p>
        </w:tc>
      </w:tr>
      <w:tr w:rsidR="007E47DE" w:rsidRPr="00E97D90" w14:paraId="1476836D" w14:textId="77777777" w:rsidTr="005C37CB">
        <w:trPr>
          <w:trHeight w:val="453"/>
        </w:trPr>
        <w:tc>
          <w:tcPr>
            <w:tcW w:w="3822" w:type="dxa"/>
            <w:shd w:val="clear" w:color="auto" w:fill="EEECE1" w:themeFill="background2"/>
            <w:vAlign w:val="center"/>
          </w:tcPr>
          <w:p w14:paraId="5CE15BDD"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5372625D" w:rsidR="007E47DE" w:rsidRPr="00E97D90" w:rsidRDefault="007E47DE" w:rsidP="007E47DE">
            <w:pPr>
              <w:bidi/>
              <w:rPr>
                <w:rFonts w:asciiTheme="majorBidi" w:hAnsiTheme="majorBidi" w:cstheme="majorBidi"/>
                <w:sz w:val="24"/>
                <w:szCs w:val="24"/>
              </w:rPr>
            </w:pPr>
          </w:p>
        </w:tc>
        <w:tc>
          <w:tcPr>
            <w:tcW w:w="1003" w:type="dxa"/>
            <w:vAlign w:val="center"/>
          </w:tcPr>
          <w:p w14:paraId="0431F492"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0B803945" w14:textId="3227CF5A"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121B055" w14:textId="146D000A" w:rsidR="007E47DE" w:rsidRPr="00E97D90" w:rsidRDefault="007E47DE" w:rsidP="007E47DE">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 xml:space="preserve">المشكلة متمحورة حول سؤال رئيس: ما دور إدارة الفعاليات في تعزيز الولاء للعلامات التجارية المحلية لدى المستهلك السعودي في قطاع المقاهي المختصة في ضوء “النزعة الاستهلاكية العرقية”؟ </w:t>
            </w:r>
            <w:r w:rsidRPr="00B301AD">
              <w:rPr>
                <w:b/>
                <w:bCs/>
                <w:rtl/>
              </w:rPr>
              <w:t>نقطة قوة</w:t>
            </w:r>
            <w:r w:rsidRPr="00B301AD">
              <w:rPr>
                <w:b/>
                <w:bCs/>
              </w:rPr>
              <w:t>:</w:t>
            </w:r>
            <w:r w:rsidRPr="00B301AD">
              <w:t xml:space="preserve"> </w:t>
            </w:r>
            <w:r w:rsidRPr="00B301AD">
              <w:rPr>
                <w:rtl/>
              </w:rPr>
              <w:t>صياغة المشكلة تربط ثلاثة محاور مهمة: إدارة الفعاليات، الولاء للعلامة، والنزعة الاستهلاكية العرقية، في سياق قطاع محدد وواضح</w:t>
            </w:r>
            <w:r w:rsidRPr="00B301AD">
              <w:t xml:space="preserve">. </w:t>
            </w:r>
            <w:r w:rsidRPr="00B301AD">
              <w:rPr>
                <w:b/>
                <w:bCs/>
                <w:rtl/>
              </w:rPr>
              <w:t>نقطة ضعف</w:t>
            </w:r>
            <w:r w:rsidRPr="00B301AD">
              <w:rPr>
                <w:b/>
                <w:bCs/>
              </w:rPr>
              <w:t>:</w:t>
            </w:r>
            <w:r w:rsidRPr="00B301AD">
              <w:t xml:space="preserve"> </w:t>
            </w:r>
            <w:r w:rsidRPr="00B301AD">
              <w:rPr>
                <w:rtl/>
              </w:rPr>
              <w:t>يمكن تقديم مشكلة الدراسة في فقرة مستقلة ومركزة أكثر، بدل تشتيت عناصرها بين وصف السياق وتعريف المفاهيم</w:t>
            </w:r>
            <w:r w:rsidRPr="00B301AD">
              <w:t xml:space="preserve">. </w:t>
            </w:r>
            <w:r w:rsidRPr="00B301AD">
              <w:rPr>
                <w:b/>
                <w:bCs/>
                <w:rtl/>
              </w:rPr>
              <w:t>مقترح تطوير</w:t>
            </w:r>
            <w:r w:rsidRPr="00B301AD">
              <w:rPr>
                <w:b/>
                <w:bCs/>
              </w:rPr>
              <w:t>:</w:t>
            </w:r>
            <w:r w:rsidRPr="00B301AD">
              <w:t xml:space="preserve"> </w:t>
            </w:r>
            <w:r w:rsidRPr="00B301AD">
              <w:rPr>
                <w:rtl/>
              </w:rPr>
              <w:t>صياغة فقرة بعنوان “مشكلة الدراسة” تلخص: الواقع (نمو المقاهي المختصة)، القصور (ندرة دراسات تقيس النزعة العرقية ودور الفعاليات)، والسؤال الرئيس، مع الإشارة الموجزة للدراسات السابقة</w:t>
            </w:r>
            <w:r w:rsidRPr="00B301AD">
              <w:t>.</w:t>
            </w:r>
          </w:p>
        </w:tc>
      </w:tr>
      <w:tr w:rsidR="007E47DE" w:rsidRPr="00E97D90" w14:paraId="6EE58949" w14:textId="77777777" w:rsidTr="005C37CB">
        <w:trPr>
          <w:trHeight w:val="558"/>
        </w:trPr>
        <w:tc>
          <w:tcPr>
            <w:tcW w:w="3822" w:type="dxa"/>
            <w:shd w:val="clear" w:color="auto" w:fill="EEECE1" w:themeFill="background2"/>
            <w:vAlign w:val="center"/>
          </w:tcPr>
          <w:p w14:paraId="219C9835"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Importance of The Study</w:t>
            </w:r>
          </w:p>
        </w:tc>
        <w:tc>
          <w:tcPr>
            <w:tcW w:w="1123" w:type="dxa"/>
            <w:vAlign w:val="center"/>
          </w:tcPr>
          <w:p w14:paraId="0F87F828" w14:textId="0CF4B8DD" w:rsidR="007E47DE" w:rsidRPr="00E97D90" w:rsidRDefault="007E47DE" w:rsidP="007E47DE">
            <w:pPr>
              <w:bidi/>
              <w:rPr>
                <w:rFonts w:asciiTheme="majorBidi" w:hAnsiTheme="majorBidi" w:cstheme="majorBidi"/>
                <w:sz w:val="24"/>
                <w:szCs w:val="24"/>
              </w:rPr>
            </w:pPr>
          </w:p>
        </w:tc>
        <w:tc>
          <w:tcPr>
            <w:tcW w:w="1003" w:type="dxa"/>
            <w:vAlign w:val="center"/>
          </w:tcPr>
          <w:p w14:paraId="6E47D445"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54A74EAE" w14:textId="15646B30"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1824D8B" w14:textId="0D944885" w:rsidR="007E47DE" w:rsidRPr="00E97D90" w:rsidRDefault="007E47DE" w:rsidP="007E47DE">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الأهمية النظرية تتمثل في المزج بين إدارة الفعاليات، النزعة الاستهلاكية العرقية، والولاء للعلامة في إطار العلاقات العامة، والأهمية التطبيقية في مساعدة مالكي المقاهي المختصة وصنّاع القرار على تصميم فعاليات وبرامج ولاء أكثر فاعلية</w:t>
            </w:r>
            <w:r w:rsidRPr="00B301AD">
              <w:t xml:space="preserve">. </w:t>
            </w:r>
            <w:r w:rsidRPr="00B301AD">
              <w:rPr>
                <w:b/>
                <w:bCs/>
                <w:rtl/>
              </w:rPr>
              <w:t>نقطة قوة</w:t>
            </w:r>
            <w:r w:rsidRPr="00B301AD">
              <w:rPr>
                <w:b/>
                <w:bCs/>
              </w:rPr>
              <w:t>:</w:t>
            </w:r>
            <w:r w:rsidRPr="00B301AD">
              <w:t xml:space="preserve"> </w:t>
            </w:r>
            <w:r w:rsidRPr="00B301AD">
              <w:rPr>
                <w:rtl/>
              </w:rPr>
              <w:t>الأهمية التطبيقية واضحة؛ حيث تبين كيف يمكن توظيف الفعاليات وبرامج الولاء لتحويل تفضيل المستهلك المحلي لعلامات بلده إلى ولاء فعلي ومستدام</w:t>
            </w:r>
            <w:r w:rsidRPr="00B301AD">
              <w:t xml:space="preserve">. </w:t>
            </w:r>
            <w:r w:rsidRPr="00B301AD">
              <w:rPr>
                <w:b/>
                <w:bCs/>
                <w:rtl/>
              </w:rPr>
              <w:t>نقطة ضعف</w:t>
            </w:r>
            <w:r w:rsidRPr="00B301AD">
              <w:rPr>
                <w:b/>
                <w:bCs/>
              </w:rPr>
              <w:t>:</w:t>
            </w:r>
            <w:r w:rsidRPr="00B301AD">
              <w:t xml:space="preserve"> </w:t>
            </w:r>
            <w:r w:rsidRPr="00B301AD">
              <w:rPr>
                <w:rtl/>
              </w:rPr>
              <w:t>تحتاج الأهمية النظرية إلى مزيد من التفصيل في إبراز ما تضيفه الدراسة إلى الأدبيات الدولية حول</w:t>
            </w:r>
            <w:r w:rsidRPr="00B301AD">
              <w:t xml:space="preserve"> CETSCALE </w:t>
            </w:r>
            <w:r w:rsidRPr="00B301AD">
              <w:rPr>
                <w:rtl/>
              </w:rPr>
              <w:t>والولاء والعلامة في سياق عربي/سعودي</w:t>
            </w:r>
            <w:r w:rsidRPr="00B301AD">
              <w:t xml:space="preserve">. </w:t>
            </w:r>
            <w:r w:rsidRPr="00B301AD">
              <w:rPr>
                <w:b/>
                <w:bCs/>
                <w:rtl/>
              </w:rPr>
              <w:t>مقترح تطوير</w:t>
            </w:r>
            <w:r w:rsidRPr="00B301AD">
              <w:rPr>
                <w:b/>
                <w:bCs/>
              </w:rPr>
              <w:t>:</w:t>
            </w:r>
            <w:r w:rsidRPr="00B301AD">
              <w:t xml:space="preserve"> </w:t>
            </w:r>
            <w:r w:rsidRPr="00B301AD">
              <w:rPr>
                <w:rtl/>
              </w:rPr>
              <w:t>تقسيم الأهمية إلى نقطتين: نظرية</w:t>
            </w:r>
            <w:r w:rsidRPr="00B301AD">
              <w:t xml:space="preserve"> (</w:t>
            </w:r>
            <w:r w:rsidRPr="00B301AD">
              <w:rPr>
                <w:rtl/>
              </w:rPr>
              <w:t>تكييف</w:t>
            </w:r>
            <w:r w:rsidRPr="00B301AD">
              <w:t xml:space="preserve"> CETSCALE </w:t>
            </w:r>
            <w:r w:rsidRPr="00B301AD">
              <w:rPr>
                <w:rtl/>
              </w:rPr>
              <w:t>على سياق المقاهي المحلية</w:t>
            </w:r>
            <w:r w:rsidRPr="00B301AD">
              <w:t xml:space="preserve">) </w:t>
            </w:r>
            <w:r w:rsidRPr="00B301AD">
              <w:rPr>
                <w:rtl/>
              </w:rPr>
              <w:t>وتطبيقية (أدوات عملية لمالكي المقاهي والمخططين للفعاليات)</w:t>
            </w:r>
            <w:r w:rsidRPr="00B301AD">
              <w:t>.</w:t>
            </w:r>
          </w:p>
        </w:tc>
      </w:tr>
      <w:tr w:rsidR="007E47DE" w:rsidRPr="00E97D90" w14:paraId="4E506947" w14:textId="77777777" w:rsidTr="005C37CB">
        <w:trPr>
          <w:trHeight w:val="605"/>
        </w:trPr>
        <w:tc>
          <w:tcPr>
            <w:tcW w:w="3822" w:type="dxa"/>
            <w:shd w:val="clear" w:color="auto" w:fill="EEECE1" w:themeFill="background2"/>
            <w:vAlign w:val="center"/>
          </w:tcPr>
          <w:p w14:paraId="76D0B3C5"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123" w:type="dxa"/>
            <w:vAlign w:val="center"/>
          </w:tcPr>
          <w:p w14:paraId="3F8D8F51" w14:textId="2364A8DD" w:rsidR="007E47DE" w:rsidRPr="00E97D90" w:rsidRDefault="007E47DE" w:rsidP="007E47DE">
            <w:pPr>
              <w:bidi/>
              <w:rPr>
                <w:rFonts w:asciiTheme="majorBidi" w:hAnsiTheme="majorBidi" w:cstheme="majorBidi"/>
                <w:sz w:val="24"/>
                <w:szCs w:val="24"/>
              </w:rPr>
            </w:pPr>
          </w:p>
        </w:tc>
        <w:tc>
          <w:tcPr>
            <w:tcW w:w="1003" w:type="dxa"/>
            <w:vAlign w:val="center"/>
          </w:tcPr>
          <w:p w14:paraId="34BFEEEB"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423D74B4" w14:textId="4870D8BE"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AB2F43B" w14:textId="28D0BECC" w:rsidR="007E47DE" w:rsidRPr="00E97D90" w:rsidRDefault="007E47DE" w:rsidP="007E47DE">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الهدف الرئيس هو رصد وقياس النزعة الاستهلاكية العرقية لدى المستهلك السعودي، ومعرفة دور إدارة الفعاليات وبرامج الولاء في تحويل هذا البعد العاطفي إلى ولاء سلوكي فعلي لعلامات المقاهي المختصة المحلية، مع وجود أهداف فرعية مرتبطة بالقياس والتحليل والتوصية</w:t>
            </w:r>
            <w:r w:rsidRPr="00B301AD">
              <w:t xml:space="preserve">. </w:t>
            </w:r>
            <w:r w:rsidRPr="00B301AD">
              <w:rPr>
                <w:b/>
                <w:bCs/>
                <w:rtl/>
              </w:rPr>
              <w:t>نقطة قوة</w:t>
            </w:r>
            <w:r w:rsidRPr="00B301AD">
              <w:rPr>
                <w:b/>
                <w:bCs/>
              </w:rPr>
              <w:t>:</w:t>
            </w:r>
            <w:r w:rsidRPr="00B301AD">
              <w:t xml:space="preserve"> </w:t>
            </w:r>
            <w:r w:rsidRPr="00B301AD">
              <w:rPr>
                <w:rtl/>
              </w:rPr>
              <w:t>الأهداف متناسقة مع المشكلة والأسئلة، وتشمل: قياس النزعة الاستهلاكية</w:t>
            </w:r>
            <w:r w:rsidRPr="00B301AD">
              <w:t xml:space="preserve"> (</w:t>
            </w:r>
            <w:r w:rsidRPr="00B301AD">
              <w:rPr>
                <w:rtl/>
              </w:rPr>
              <w:t>باستخدام</w:t>
            </w:r>
            <w:r w:rsidRPr="00B301AD">
              <w:t xml:space="preserve"> CETSCALE)</w:t>
            </w:r>
            <w:r w:rsidRPr="00B301AD">
              <w:rPr>
                <w:rtl/>
              </w:rPr>
              <w:t>، رصد ممارسات إدارة الفعاليات وبرامج الولاء، وقياس أثرها على الولاء العاطفي والسلوكي</w:t>
            </w:r>
            <w:r w:rsidRPr="00B301AD">
              <w:t xml:space="preserve">. </w:t>
            </w:r>
            <w:r w:rsidRPr="00B301AD">
              <w:rPr>
                <w:b/>
                <w:bCs/>
                <w:rtl/>
              </w:rPr>
              <w:t>نقطة ضعف</w:t>
            </w:r>
            <w:r w:rsidRPr="00B301AD">
              <w:rPr>
                <w:b/>
                <w:bCs/>
              </w:rPr>
              <w:t>:</w:t>
            </w:r>
            <w:r w:rsidRPr="00B301AD">
              <w:t xml:space="preserve"> </w:t>
            </w:r>
            <w:r w:rsidRPr="00B301AD">
              <w:rPr>
                <w:rtl/>
              </w:rPr>
              <w:t>صياغة الأهداف قد تبدو طويلة قليلًا ويمكن اختصارها في هدف عام وثلاثة أو أربعة أهداف فرعية واضحة</w:t>
            </w:r>
            <w:r w:rsidRPr="00B301AD">
              <w:t xml:space="preserve">. </w:t>
            </w:r>
            <w:r w:rsidRPr="00B301AD">
              <w:rPr>
                <w:b/>
                <w:bCs/>
                <w:rtl/>
              </w:rPr>
              <w:t>مقترح تطوير</w:t>
            </w:r>
            <w:r w:rsidRPr="00B301AD">
              <w:rPr>
                <w:b/>
                <w:bCs/>
              </w:rPr>
              <w:t>:</w:t>
            </w:r>
            <w:r w:rsidRPr="00B301AD">
              <w:t xml:space="preserve"> </w:t>
            </w:r>
            <w:r w:rsidRPr="00B301AD">
              <w:rPr>
                <w:rtl/>
              </w:rPr>
              <w:t>إعادة عرض الأهداف في قائمة مختصرة (هدف عام + أهداف فرعية) مع ربط كل هدف بسؤال بحث أو فرض مستقبلي</w:t>
            </w:r>
            <w:r w:rsidRPr="00B301AD">
              <w:t>.</w:t>
            </w:r>
          </w:p>
        </w:tc>
      </w:tr>
      <w:tr w:rsidR="007E47DE" w:rsidRPr="00E97D90" w14:paraId="0AF6A553" w14:textId="77777777" w:rsidTr="005C37CB">
        <w:trPr>
          <w:trHeight w:val="1097"/>
        </w:trPr>
        <w:tc>
          <w:tcPr>
            <w:tcW w:w="3822" w:type="dxa"/>
            <w:shd w:val="clear" w:color="auto" w:fill="EEECE1" w:themeFill="background2"/>
            <w:vAlign w:val="center"/>
          </w:tcPr>
          <w:p w14:paraId="7DE3AD91"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12E55CC7" w:rsidR="007E47DE" w:rsidRPr="00E97D90" w:rsidRDefault="007E47DE" w:rsidP="007E47DE">
            <w:pPr>
              <w:bidi/>
              <w:rPr>
                <w:rFonts w:asciiTheme="majorBidi" w:hAnsiTheme="majorBidi" w:cstheme="majorBidi"/>
                <w:sz w:val="24"/>
                <w:szCs w:val="24"/>
              </w:rPr>
            </w:pPr>
          </w:p>
        </w:tc>
        <w:tc>
          <w:tcPr>
            <w:tcW w:w="1003" w:type="dxa"/>
            <w:vAlign w:val="center"/>
          </w:tcPr>
          <w:p w14:paraId="21A73C1C"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27B9B65F" w14:textId="1D2509B2"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A9616D5" w14:textId="55E78A3E" w:rsidR="007E47DE" w:rsidRPr="00E97D90" w:rsidRDefault="007E47DE" w:rsidP="007E47DE">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أسئلة الدراسة تغطي: مستوى النزعة الاستهلاكية العرقية لدى المستهلك السعودي تجاه المقاهي المختصة المحلية، أبرز استراتيجيات إدارة الفعاليات وبرامج الولاء المستخدمة، وكيفية إسهام هذه الفعاليات في تنشيط تلك النزعة وتحويلها إلى ولاء عاطفي وسلوكي</w:t>
            </w:r>
            <w:r w:rsidRPr="00B301AD">
              <w:t xml:space="preserve">. </w:t>
            </w:r>
            <w:r w:rsidRPr="00B301AD">
              <w:rPr>
                <w:b/>
                <w:bCs/>
                <w:rtl/>
              </w:rPr>
              <w:t>نقطة قوة</w:t>
            </w:r>
            <w:r w:rsidRPr="00B301AD">
              <w:rPr>
                <w:b/>
                <w:bCs/>
              </w:rPr>
              <w:t>:</w:t>
            </w:r>
            <w:r w:rsidRPr="00B301AD">
              <w:t xml:space="preserve"> </w:t>
            </w:r>
            <w:r w:rsidRPr="00B301AD">
              <w:rPr>
                <w:rtl/>
              </w:rPr>
              <w:t>الأسئلة متسلسلة منطقيًا (من الوصف إلى التحليل إلى تفسير العلاقة)، وتتماشى مع طبيعة المنهج الوصفي التحليلي</w:t>
            </w:r>
            <w:r w:rsidRPr="00B301AD">
              <w:t xml:space="preserve">. </w:t>
            </w:r>
            <w:r w:rsidRPr="00B301AD">
              <w:rPr>
                <w:b/>
                <w:bCs/>
                <w:rtl/>
              </w:rPr>
              <w:t>نقطة ضعف</w:t>
            </w:r>
            <w:r w:rsidRPr="00B301AD">
              <w:rPr>
                <w:b/>
                <w:bCs/>
              </w:rPr>
              <w:t>:</w:t>
            </w:r>
            <w:r w:rsidRPr="00B301AD">
              <w:t xml:space="preserve"> </w:t>
            </w:r>
            <w:r w:rsidRPr="00B301AD">
              <w:rPr>
                <w:rtl/>
              </w:rPr>
              <w:t>لا تظهر فروض بحثية صريحة (إن رغبت الباحثة في اختبارات إحصائية للعلاقات)، مع أن طبيعة الموضوع تسمح بوضع فروض عن قوة العلاقة بين جودة إدارة الفعاليات ومستوى الولاء</w:t>
            </w:r>
            <w:r w:rsidRPr="00B301AD">
              <w:t xml:space="preserve">. </w:t>
            </w:r>
            <w:r w:rsidRPr="00B301AD">
              <w:rPr>
                <w:b/>
                <w:bCs/>
                <w:rtl/>
              </w:rPr>
              <w:t>مقترح تطوير</w:t>
            </w:r>
            <w:r w:rsidRPr="00B301AD">
              <w:rPr>
                <w:b/>
                <w:bCs/>
              </w:rPr>
              <w:t>:</w:t>
            </w:r>
            <w:r w:rsidRPr="00B301AD">
              <w:t xml:space="preserve"> </w:t>
            </w:r>
            <w:r w:rsidRPr="00B301AD">
              <w:rPr>
                <w:rtl/>
              </w:rPr>
              <w:t>إضافة عدد من الفروض الإحصائية (وجود علاقة ذات دلالة بين جودة إدارة الفعاليات والولاء العاطفي/السلوكي) وربطها بخطة التحليل الكمي</w:t>
            </w:r>
            <w:r w:rsidRPr="00B301AD">
              <w:t>.</w:t>
            </w:r>
          </w:p>
        </w:tc>
      </w:tr>
      <w:tr w:rsidR="007E47DE" w:rsidRPr="00E97D90" w14:paraId="619084FA" w14:textId="77777777" w:rsidTr="005C37CB">
        <w:trPr>
          <w:trHeight w:val="622"/>
        </w:trPr>
        <w:tc>
          <w:tcPr>
            <w:tcW w:w="3822" w:type="dxa"/>
            <w:shd w:val="clear" w:color="auto" w:fill="EEECE1" w:themeFill="background2"/>
            <w:vAlign w:val="center"/>
          </w:tcPr>
          <w:p w14:paraId="3331209E" w14:textId="1FC4EBE0"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7E47DE" w:rsidRPr="00E97D90" w:rsidRDefault="007E47DE" w:rsidP="007E47DE">
            <w:pPr>
              <w:bidi/>
              <w:rPr>
                <w:rFonts w:asciiTheme="majorBidi" w:hAnsiTheme="majorBidi" w:cstheme="majorBidi"/>
                <w:sz w:val="24"/>
                <w:szCs w:val="24"/>
              </w:rPr>
            </w:pPr>
          </w:p>
        </w:tc>
        <w:tc>
          <w:tcPr>
            <w:tcW w:w="1003" w:type="dxa"/>
            <w:vAlign w:val="center"/>
          </w:tcPr>
          <w:p w14:paraId="38B9CACA"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4AA58B43" w14:textId="4F30ADA3"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BDC680C" w14:textId="15872B52" w:rsidR="007E47DE" w:rsidRPr="00E97D90" w:rsidRDefault="007E47DE" w:rsidP="007E47DE">
            <w:pPr>
              <w:bidi/>
              <w:rPr>
                <w:rFonts w:asciiTheme="majorBidi" w:hAnsiTheme="majorBidi" w:cstheme="majorBidi"/>
                <w:sz w:val="24"/>
                <w:szCs w:val="24"/>
                <w:lang w:bidi="ar-EG"/>
              </w:rPr>
            </w:pPr>
            <w:r w:rsidRPr="00B301AD">
              <w:rPr>
                <w:b/>
                <w:bCs/>
                <w:rtl/>
              </w:rPr>
              <w:t>التقييم</w:t>
            </w:r>
            <w:r w:rsidRPr="00B301AD">
              <w:rPr>
                <w:b/>
                <w:bCs/>
              </w:rPr>
              <w:t>:</w:t>
            </w:r>
            <w:r w:rsidRPr="00B301AD">
              <w:t xml:space="preserve"> </w:t>
            </w:r>
            <w:r w:rsidRPr="00B301AD">
              <w:rPr>
                <w:rtl/>
              </w:rPr>
              <w:t>الإطار النظري يعرّف إدارة الفعاليات، النزعة الاستهلاكية العرقية، والولاء للعلامة (عاطفي/سلوكي)، ويستند إلى مراجع كلاسيكية ومعاصرة</w:t>
            </w:r>
            <w:r w:rsidRPr="00B301AD">
              <w:t xml:space="preserve"> (Getz</w:t>
            </w:r>
            <w:r w:rsidRPr="00B301AD">
              <w:rPr>
                <w:rtl/>
              </w:rPr>
              <w:t xml:space="preserve">، </w:t>
            </w:r>
            <w:r w:rsidRPr="00B301AD">
              <w:t>Wilcox</w:t>
            </w:r>
            <w:r w:rsidRPr="00B301AD">
              <w:rPr>
                <w:rtl/>
              </w:rPr>
              <w:t xml:space="preserve">، </w:t>
            </w:r>
            <w:r w:rsidRPr="00B301AD">
              <w:t>Aaker</w:t>
            </w:r>
            <w:r w:rsidRPr="00B301AD">
              <w:rPr>
                <w:rtl/>
              </w:rPr>
              <w:t xml:space="preserve">، </w:t>
            </w:r>
            <w:r w:rsidRPr="00B301AD">
              <w:t>Oliver</w:t>
            </w:r>
            <w:r w:rsidRPr="00B301AD">
              <w:rPr>
                <w:rtl/>
              </w:rPr>
              <w:t xml:space="preserve">، </w:t>
            </w:r>
            <w:r w:rsidRPr="00B301AD">
              <w:t xml:space="preserve">Shimp &amp; Sharma). </w:t>
            </w:r>
            <w:r w:rsidRPr="00B301AD">
              <w:rPr>
                <w:b/>
                <w:bCs/>
                <w:rtl/>
              </w:rPr>
              <w:t>نقطة قوة</w:t>
            </w:r>
            <w:r w:rsidRPr="00B301AD">
              <w:rPr>
                <w:b/>
                <w:bCs/>
              </w:rPr>
              <w:t>:</w:t>
            </w:r>
            <w:r w:rsidRPr="00B301AD">
              <w:t xml:space="preserve"> </w:t>
            </w:r>
            <w:r w:rsidRPr="00B301AD">
              <w:rPr>
                <w:rtl/>
              </w:rPr>
              <w:t>وجود تعريفات مفاهيمية واضحة ثم تحويلها إلى تعريفات إجرائية يسهل من خلالها بناء المقاييس والأداة</w:t>
            </w:r>
            <w:r w:rsidRPr="00B301AD">
              <w:t xml:space="preserve">. </w:t>
            </w:r>
            <w:r w:rsidRPr="00B301AD">
              <w:rPr>
                <w:b/>
                <w:bCs/>
                <w:rtl/>
              </w:rPr>
              <w:t>نقطة ضعف</w:t>
            </w:r>
            <w:r w:rsidRPr="00B301AD">
              <w:rPr>
                <w:b/>
                <w:bCs/>
              </w:rPr>
              <w:t>:</w:t>
            </w:r>
            <w:r w:rsidRPr="00B301AD">
              <w:t xml:space="preserve"> </w:t>
            </w:r>
            <w:r w:rsidRPr="00B301AD">
              <w:rPr>
                <w:rtl/>
              </w:rPr>
              <w:t xml:space="preserve">يمكن إظهار الروابط بين المفاهيم الثلاثة في نموذج </w:t>
            </w:r>
            <w:r w:rsidRPr="00B301AD">
              <w:rPr>
                <w:rtl/>
              </w:rPr>
              <w:lastRenderedPageBreak/>
              <w:t>مفاهيمي أو مخطط يوضح المسار من النزعة العرقية مرورًا بإدارة الفعاليات وصولًا إلى الولاء للعلامة</w:t>
            </w:r>
            <w:r w:rsidRPr="00B301AD">
              <w:t xml:space="preserve">. </w:t>
            </w:r>
            <w:r w:rsidRPr="00B301AD">
              <w:rPr>
                <w:b/>
                <w:bCs/>
                <w:rtl/>
              </w:rPr>
              <w:t>مقترح تطوير</w:t>
            </w:r>
            <w:r w:rsidRPr="00B301AD">
              <w:rPr>
                <w:b/>
                <w:bCs/>
              </w:rPr>
              <w:t>:</w:t>
            </w:r>
            <w:r w:rsidRPr="00B301AD">
              <w:t xml:space="preserve"> </w:t>
            </w:r>
            <w:r w:rsidRPr="00B301AD">
              <w:rPr>
                <w:rtl/>
              </w:rPr>
              <w:t>إضافة شكل/نموذج يبيّن العلاقات المفترضة بين المتغيرات، وتخصيص فقرة تلخّص هذه العلاقات نظريًا تمهيدًا للتحليل الميداني</w:t>
            </w:r>
            <w:r w:rsidRPr="00B301AD">
              <w:t>.</w:t>
            </w:r>
          </w:p>
        </w:tc>
      </w:tr>
      <w:tr w:rsidR="007E47DE" w:rsidRPr="00E97D90" w14:paraId="4E69D530" w14:textId="77777777" w:rsidTr="005C37CB">
        <w:trPr>
          <w:trHeight w:val="574"/>
        </w:trPr>
        <w:tc>
          <w:tcPr>
            <w:tcW w:w="3822" w:type="dxa"/>
            <w:shd w:val="clear" w:color="auto" w:fill="EEECE1" w:themeFill="background2"/>
            <w:vAlign w:val="center"/>
          </w:tcPr>
          <w:p w14:paraId="004A44E3"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Theoretical Premises of Study</w:t>
            </w:r>
          </w:p>
        </w:tc>
        <w:tc>
          <w:tcPr>
            <w:tcW w:w="1123" w:type="dxa"/>
            <w:vAlign w:val="center"/>
          </w:tcPr>
          <w:p w14:paraId="3C4178AE" w14:textId="77C31543" w:rsidR="007E47DE" w:rsidRPr="00E97D90" w:rsidRDefault="007E47DE" w:rsidP="007E47DE">
            <w:pPr>
              <w:bidi/>
              <w:rPr>
                <w:rFonts w:asciiTheme="majorBidi" w:hAnsiTheme="majorBidi" w:cstheme="majorBidi"/>
                <w:sz w:val="24"/>
                <w:szCs w:val="24"/>
              </w:rPr>
            </w:pPr>
          </w:p>
        </w:tc>
        <w:tc>
          <w:tcPr>
            <w:tcW w:w="1003" w:type="dxa"/>
            <w:vAlign w:val="center"/>
          </w:tcPr>
          <w:p w14:paraId="36BF783D"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6A7499E5" w14:textId="219B9D9D"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640C8F3" w14:textId="72C349E7" w:rsidR="007E47DE" w:rsidRPr="00E97D90" w:rsidRDefault="007E47DE" w:rsidP="007E47DE">
            <w:pPr>
              <w:bidi/>
              <w:rPr>
                <w:rFonts w:asciiTheme="majorBidi" w:hAnsiTheme="majorBidi" w:cstheme="majorBidi"/>
                <w:sz w:val="24"/>
                <w:szCs w:val="24"/>
                <w:lang w:bidi="ar-EG"/>
              </w:rPr>
            </w:pPr>
            <w:r w:rsidRPr="00B301AD">
              <w:rPr>
                <w:b/>
                <w:bCs/>
                <w:rtl/>
              </w:rPr>
              <w:t>التقييم</w:t>
            </w:r>
            <w:r w:rsidRPr="00B301AD">
              <w:rPr>
                <w:b/>
                <w:bCs/>
              </w:rPr>
              <w:t>:</w:t>
            </w:r>
            <w:r w:rsidRPr="00B301AD">
              <w:t xml:space="preserve"> </w:t>
            </w:r>
            <w:r w:rsidRPr="00B301AD">
              <w:rPr>
                <w:rtl/>
              </w:rPr>
              <w:t xml:space="preserve">تم استعراض دراسات عربية وأجنبية حول: الولاء للعلامة، النزعة الاستهلاكية العرقية، </w:t>
            </w:r>
            <w:r w:rsidRPr="00B301AD">
              <w:t>CETSCALE</w:t>
            </w:r>
            <w:r w:rsidRPr="00B301AD">
              <w:rPr>
                <w:rtl/>
              </w:rPr>
              <w:t>، دور الفعاليات وتجربة العلامة، وعلاقة هذه الأبعاد بسلوك المستهلك</w:t>
            </w:r>
            <w:r w:rsidRPr="00B301AD">
              <w:t xml:space="preserve">. </w:t>
            </w:r>
            <w:r w:rsidRPr="00B301AD">
              <w:rPr>
                <w:b/>
                <w:bCs/>
                <w:rtl/>
              </w:rPr>
              <w:t>نقطة قوة</w:t>
            </w:r>
            <w:r w:rsidRPr="00B301AD">
              <w:rPr>
                <w:b/>
                <w:bCs/>
              </w:rPr>
              <w:t>:</w:t>
            </w:r>
            <w:r w:rsidRPr="00B301AD">
              <w:t xml:space="preserve"> </w:t>
            </w:r>
            <w:r w:rsidRPr="00B301AD">
              <w:rPr>
                <w:rtl/>
              </w:rPr>
              <w:t>الاعتماد على مصادر دولية حديثة</w:t>
            </w:r>
            <w:r w:rsidRPr="00B301AD">
              <w:t xml:space="preserve"> (</w:t>
            </w:r>
            <w:r w:rsidRPr="00B301AD">
              <w:rPr>
                <w:rtl/>
              </w:rPr>
              <w:t>مثل دراسات عن</w:t>
            </w:r>
            <w:r w:rsidRPr="00B301AD">
              <w:t xml:space="preserve"> CETSCALE</w:t>
            </w:r>
            <w:r w:rsidRPr="00B301AD">
              <w:rPr>
                <w:rtl/>
              </w:rPr>
              <w:t>، الحبّ للعلامة، ودور الفعاليات في بناء الولاء</w:t>
            </w:r>
            <w:r w:rsidRPr="00B301AD">
              <w:t xml:space="preserve">) </w:t>
            </w:r>
            <w:r w:rsidRPr="00B301AD">
              <w:rPr>
                <w:rtl/>
              </w:rPr>
              <w:t>مع دمج دراسات عربية عن المستهلك السعودي يعزّز قوة الخلفية العلمية</w:t>
            </w:r>
            <w:r w:rsidRPr="00B301AD">
              <w:t xml:space="preserve">. </w:t>
            </w:r>
            <w:r w:rsidRPr="00B301AD">
              <w:rPr>
                <w:b/>
                <w:bCs/>
                <w:rtl/>
              </w:rPr>
              <w:t>نقطة ضعف</w:t>
            </w:r>
            <w:r w:rsidRPr="00B301AD">
              <w:rPr>
                <w:b/>
                <w:bCs/>
              </w:rPr>
              <w:t>:</w:t>
            </w:r>
            <w:r w:rsidRPr="00B301AD">
              <w:t xml:space="preserve"> </w:t>
            </w:r>
            <w:r w:rsidRPr="00B301AD">
              <w:rPr>
                <w:rtl/>
              </w:rPr>
              <w:t>قسم الدراسات السابقة غني ولكنه بحاجة إلى مزيد من التحليل المقارن لا مجرد العرض؛ خاصة في بيان أوجه القصور التي تبرر هذه الدراسة</w:t>
            </w:r>
            <w:r w:rsidRPr="00B301AD">
              <w:t xml:space="preserve"> (</w:t>
            </w:r>
            <w:r w:rsidRPr="00B301AD">
              <w:rPr>
                <w:rtl/>
              </w:rPr>
              <w:t>قلة تطبيق</w:t>
            </w:r>
            <w:r w:rsidRPr="00B301AD">
              <w:t xml:space="preserve"> CETSCALE </w:t>
            </w:r>
            <w:r w:rsidRPr="00B301AD">
              <w:rPr>
                <w:rtl/>
              </w:rPr>
              <w:t>في سياق المقاهي المحلية السعودية</w:t>
            </w:r>
            <w:r w:rsidRPr="00B301AD">
              <w:t xml:space="preserve">). </w:t>
            </w:r>
            <w:r w:rsidRPr="00B301AD">
              <w:rPr>
                <w:b/>
                <w:bCs/>
                <w:rtl/>
              </w:rPr>
              <w:t>مقترح تطوير</w:t>
            </w:r>
            <w:r w:rsidRPr="00B301AD">
              <w:rPr>
                <w:b/>
                <w:bCs/>
              </w:rPr>
              <w:t>:</w:t>
            </w:r>
            <w:r w:rsidRPr="00B301AD">
              <w:t xml:space="preserve"> </w:t>
            </w:r>
            <w:r w:rsidRPr="00B301AD">
              <w:rPr>
                <w:rtl/>
              </w:rPr>
              <w:t>إضافة فقرة “أوجه الاتفاق والاختلاف” ثم “موقع هذه الدراسة” لبيان ما الذي تضيفه مقارنة بالدراسات السابقة</w:t>
            </w:r>
            <w:r w:rsidRPr="00B301AD">
              <w:t>.</w:t>
            </w:r>
          </w:p>
        </w:tc>
      </w:tr>
      <w:tr w:rsidR="007E47DE" w:rsidRPr="00E97D90" w14:paraId="58CBC7E9" w14:textId="77777777" w:rsidTr="005C37CB">
        <w:trPr>
          <w:trHeight w:val="533"/>
        </w:trPr>
        <w:tc>
          <w:tcPr>
            <w:tcW w:w="3822" w:type="dxa"/>
            <w:shd w:val="clear" w:color="auto" w:fill="EEECE1" w:themeFill="background2"/>
            <w:vAlign w:val="center"/>
          </w:tcPr>
          <w:p w14:paraId="4D247425"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123" w:type="dxa"/>
            <w:vAlign w:val="center"/>
          </w:tcPr>
          <w:p w14:paraId="0A8883E4" w14:textId="7704BEEE" w:rsidR="007E47DE" w:rsidRPr="00E97D90" w:rsidRDefault="007E47DE" w:rsidP="007E47DE">
            <w:pPr>
              <w:bidi/>
              <w:rPr>
                <w:rFonts w:asciiTheme="majorBidi" w:hAnsiTheme="majorBidi" w:cstheme="majorBidi"/>
                <w:sz w:val="24"/>
                <w:szCs w:val="24"/>
              </w:rPr>
            </w:pPr>
          </w:p>
        </w:tc>
        <w:tc>
          <w:tcPr>
            <w:tcW w:w="1003" w:type="dxa"/>
            <w:vAlign w:val="center"/>
          </w:tcPr>
          <w:p w14:paraId="32386A24"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394CB647" w14:textId="6BB7F20A"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EF99B68" w14:textId="4A4AC22F" w:rsidR="007E47DE" w:rsidRPr="00E97D90" w:rsidRDefault="007E47DE" w:rsidP="007E47DE">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المنهج المستخدم وصفي تحليلي، مع اعتماد استبانة إلكترونية على عينة من رواد وزوار المقاهي المختصة المحلية في المملكة، واستخدام مقاييس معتمدة</w:t>
            </w:r>
            <w:r w:rsidRPr="00B301AD">
              <w:t xml:space="preserve"> (CETSCALE) </w:t>
            </w:r>
            <w:r w:rsidRPr="00B301AD">
              <w:rPr>
                <w:rtl/>
              </w:rPr>
              <w:t>وتحليل إحصائي ببرامج مثل</w:t>
            </w:r>
            <w:r w:rsidRPr="00B301AD">
              <w:t xml:space="preserve"> SPSS. </w:t>
            </w:r>
            <w:r w:rsidRPr="00B301AD">
              <w:rPr>
                <w:b/>
                <w:bCs/>
                <w:rtl/>
              </w:rPr>
              <w:t>نقطة قوة</w:t>
            </w:r>
            <w:r w:rsidRPr="00B301AD">
              <w:rPr>
                <w:b/>
                <w:bCs/>
              </w:rPr>
              <w:t>:</w:t>
            </w:r>
            <w:r w:rsidRPr="00B301AD">
              <w:t xml:space="preserve"> </w:t>
            </w:r>
            <w:r w:rsidRPr="00B301AD">
              <w:rPr>
                <w:rtl/>
              </w:rPr>
              <w:t>وضوح اختيار المنهج الوصفي التحليلي واتساقه مع الأهداف والأسئلة، واعتماد مقياس عالمي</w:t>
            </w:r>
            <w:r w:rsidRPr="00B301AD">
              <w:t xml:space="preserve"> (CETSCALE) </w:t>
            </w:r>
            <w:r w:rsidRPr="00B301AD">
              <w:rPr>
                <w:rtl/>
              </w:rPr>
              <w:t>مع تكييفه للسياق المحلي</w:t>
            </w:r>
            <w:r w:rsidRPr="00B301AD">
              <w:t xml:space="preserve">. </w:t>
            </w:r>
            <w:r w:rsidRPr="00B301AD">
              <w:rPr>
                <w:b/>
                <w:bCs/>
                <w:rtl/>
              </w:rPr>
              <w:t>نقطة ضعف</w:t>
            </w:r>
            <w:r w:rsidRPr="00B301AD">
              <w:rPr>
                <w:b/>
                <w:bCs/>
              </w:rPr>
              <w:t>:</w:t>
            </w:r>
            <w:r w:rsidRPr="00B301AD">
              <w:t xml:space="preserve"> </w:t>
            </w:r>
            <w:r w:rsidRPr="00B301AD">
              <w:rPr>
                <w:rtl/>
              </w:rPr>
              <w:t>تفاصيل العينة (حجمها، طريقة السحب، المدن المستهدفة) لا تزال بحاجة إلى مزيد من التحديد العددي والمنهجي</w:t>
            </w:r>
            <w:r w:rsidRPr="00B301AD">
              <w:t xml:space="preserve">. </w:t>
            </w:r>
            <w:r w:rsidRPr="00B301AD">
              <w:rPr>
                <w:b/>
                <w:bCs/>
                <w:rtl/>
              </w:rPr>
              <w:t>مقترح تطوير</w:t>
            </w:r>
            <w:r w:rsidRPr="00B301AD">
              <w:rPr>
                <w:b/>
                <w:bCs/>
              </w:rPr>
              <w:t>:</w:t>
            </w:r>
            <w:r w:rsidRPr="00B301AD">
              <w:t xml:space="preserve"> </w:t>
            </w:r>
            <w:r w:rsidRPr="00B301AD">
              <w:rPr>
                <w:rtl/>
              </w:rPr>
              <w:t>تحديد حجم العينة المستهدفة، وطريقة الاختيار (عشوائي بسيط/طبقي)، وخطوات اختبار الثبات</w:t>
            </w:r>
            <w:r w:rsidRPr="00B301AD">
              <w:t xml:space="preserve"> (Cronbach’s Alpha) </w:t>
            </w:r>
            <w:r w:rsidRPr="00B301AD">
              <w:rPr>
                <w:rtl/>
              </w:rPr>
              <w:t>والتحقق من صدق الأداة</w:t>
            </w:r>
            <w:r w:rsidRPr="00B301AD">
              <w:t>.</w:t>
            </w:r>
          </w:p>
        </w:tc>
      </w:tr>
      <w:tr w:rsidR="007E47DE" w:rsidRPr="00E97D90" w14:paraId="3D41E8ED" w14:textId="77777777" w:rsidTr="005C37CB">
        <w:trPr>
          <w:trHeight w:val="453"/>
        </w:trPr>
        <w:tc>
          <w:tcPr>
            <w:tcW w:w="3822" w:type="dxa"/>
            <w:shd w:val="clear" w:color="auto" w:fill="EEECE1" w:themeFill="background2"/>
            <w:vAlign w:val="center"/>
          </w:tcPr>
          <w:p w14:paraId="1CC11B66"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0C1DAAE6" w:rsidR="007E47DE" w:rsidRPr="00E97D90" w:rsidRDefault="007E47DE" w:rsidP="007E47DE">
            <w:pPr>
              <w:bidi/>
              <w:rPr>
                <w:rFonts w:asciiTheme="majorBidi" w:hAnsiTheme="majorBidi" w:cstheme="majorBidi"/>
                <w:sz w:val="24"/>
                <w:szCs w:val="24"/>
              </w:rPr>
            </w:pPr>
          </w:p>
        </w:tc>
        <w:tc>
          <w:tcPr>
            <w:tcW w:w="1003" w:type="dxa"/>
            <w:vAlign w:val="center"/>
          </w:tcPr>
          <w:p w14:paraId="691805D9"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59A53943" w14:textId="0ACD5682"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2929A9B" w14:textId="28C3AD77" w:rsidR="007E47DE" w:rsidRPr="00E97D90" w:rsidRDefault="007E47DE" w:rsidP="007E47DE">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الأداة الرئيسة هي الاستبانة الإلكترونية، وتتضمن ثلاثة محاور رئيسة: بيانات ديموغرافية، مقياس</w:t>
            </w:r>
            <w:r w:rsidRPr="00B301AD">
              <w:t xml:space="preserve"> CETSCALE </w:t>
            </w:r>
            <w:r w:rsidRPr="00B301AD">
              <w:rPr>
                <w:rtl/>
              </w:rPr>
              <w:t>لقياس النزعة الاستهلاكية العرقية، ومحور لقياس الولاء العاطفي والسلوكي تجاه المقاهي المختصة المحلية، إضافة إلى محور لإدارة الفعاليات وبرامج الولاء</w:t>
            </w:r>
            <w:r w:rsidRPr="00B301AD">
              <w:t xml:space="preserve">. </w:t>
            </w:r>
            <w:r w:rsidRPr="00B301AD">
              <w:rPr>
                <w:b/>
                <w:bCs/>
                <w:rtl/>
              </w:rPr>
              <w:t>نقطة قوة</w:t>
            </w:r>
            <w:r w:rsidRPr="00B301AD">
              <w:rPr>
                <w:b/>
                <w:bCs/>
              </w:rPr>
              <w:t>:</w:t>
            </w:r>
            <w:r w:rsidRPr="00B301AD">
              <w:t xml:space="preserve"> </w:t>
            </w:r>
            <w:r w:rsidRPr="00B301AD">
              <w:rPr>
                <w:rtl/>
              </w:rPr>
              <w:t>الاعتماد على مقياس قياسي عالمي مع تكييفه، وربط بنود الاستبانة مباشرة بالتعريفات الإجرائية للمتغيرات</w:t>
            </w:r>
            <w:r w:rsidRPr="00B301AD">
              <w:t xml:space="preserve">. </w:t>
            </w:r>
            <w:r w:rsidRPr="00B301AD">
              <w:rPr>
                <w:b/>
                <w:bCs/>
                <w:rtl/>
              </w:rPr>
              <w:t>نقطة ضعف</w:t>
            </w:r>
            <w:r w:rsidRPr="00B301AD">
              <w:rPr>
                <w:b/>
                <w:bCs/>
              </w:rPr>
              <w:t>:</w:t>
            </w:r>
            <w:r w:rsidRPr="00B301AD">
              <w:t xml:space="preserve"> </w:t>
            </w:r>
            <w:r w:rsidRPr="00B301AD">
              <w:rPr>
                <w:rtl/>
              </w:rPr>
              <w:t>لم تُعرض بعد صيغ البنود أو نوع مقياس الإجابة (مثلاً: ليكرت خماسي) بالتفصيل، ولا خطة اختبار صدق المحتوى عبر المحكّمين</w:t>
            </w:r>
            <w:r w:rsidRPr="00B301AD">
              <w:t xml:space="preserve">. </w:t>
            </w:r>
            <w:r w:rsidRPr="00B301AD">
              <w:rPr>
                <w:b/>
                <w:bCs/>
                <w:rtl/>
              </w:rPr>
              <w:t>مقترح تطوير</w:t>
            </w:r>
            <w:r w:rsidRPr="00B301AD">
              <w:rPr>
                <w:b/>
                <w:bCs/>
              </w:rPr>
              <w:t>:</w:t>
            </w:r>
            <w:r w:rsidRPr="00B301AD">
              <w:t xml:space="preserve"> </w:t>
            </w:r>
            <w:r w:rsidRPr="00B301AD">
              <w:rPr>
                <w:rtl/>
              </w:rPr>
              <w:t>تقديم ملحق يضم مسودة الاستبانة، وبيان كيفية تحكيمها (عدد المحكمين، تخصصاتهم)، وخطوات الدراسة الاستطلاعية قبل التطبيق الواسع</w:t>
            </w:r>
            <w:r w:rsidRPr="00B301AD">
              <w:t>.</w:t>
            </w:r>
          </w:p>
        </w:tc>
      </w:tr>
      <w:tr w:rsidR="007E47DE" w:rsidRPr="00E97D90" w14:paraId="47D83E04" w14:textId="77777777" w:rsidTr="005C37CB">
        <w:trPr>
          <w:trHeight w:val="453"/>
        </w:trPr>
        <w:tc>
          <w:tcPr>
            <w:tcW w:w="3822" w:type="dxa"/>
            <w:shd w:val="clear" w:color="auto" w:fill="EEECE1" w:themeFill="background2"/>
            <w:vAlign w:val="center"/>
          </w:tcPr>
          <w:p w14:paraId="2491A3EA"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6931E589" w:rsidR="007E47DE" w:rsidRPr="00E97D90" w:rsidRDefault="007E47DE" w:rsidP="007E47DE">
            <w:pPr>
              <w:bidi/>
              <w:rPr>
                <w:rFonts w:asciiTheme="majorBidi" w:hAnsiTheme="majorBidi" w:cstheme="majorBidi"/>
                <w:sz w:val="24"/>
                <w:szCs w:val="24"/>
              </w:rPr>
            </w:pPr>
          </w:p>
        </w:tc>
        <w:tc>
          <w:tcPr>
            <w:tcW w:w="1003" w:type="dxa"/>
            <w:vAlign w:val="center"/>
          </w:tcPr>
          <w:p w14:paraId="7054DB43"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026C83D2" w14:textId="027C69DC"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809B7AE" w14:textId="0E544EAC" w:rsidR="007E47DE" w:rsidRPr="00E97D90" w:rsidRDefault="007E47DE" w:rsidP="007E47DE">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الحدود الموضوعية تنحصر في دور إدارة الفعاليات وبرامج الولاء في تعزيز الولاء للعلامات التجارية المحلية في قطاع المقاهي المختصة، مع ربط ذلك بالنزعة الاستهلاكية العرقية؛ الحدود الزمانية والمكانية والبشرية مذكورة بصورة إجمالية (المستهلكون السعوديون المترددون على المقاهي المختصة في فترة 2026)</w:t>
            </w:r>
            <w:r w:rsidRPr="00B301AD">
              <w:t xml:space="preserve">. </w:t>
            </w:r>
            <w:r w:rsidRPr="00B301AD">
              <w:rPr>
                <w:b/>
                <w:bCs/>
                <w:rtl/>
              </w:rPr>
              <w:t>نقطة قوة</w:t>
            </w:r>
            <w:r w:rsidRPr="00B301AD">
              <w:rPr>
                <w:b/>
                <w:bCs/>
              </w:rPr>
              <w:t>:</w:t>
            </w:r>
            <w:r w:rsidRPr="00B301AD">
              <w:t xml:space="preserve"> </w:t>
            </w:r>
            <w:r w:rsidRPr="00B301AD">
              <w:rPr>
                <w:rtl/>
              </w:rPr>
              <w:t xml:space="preserve">تحديد واضح </w:t>
            </w:r>
            <w:r w:rsidRPr="00B301AD">
              <w:rPr>
                <w:rtl/>
              </w:rPr>
              <w:lastRenderedPageBreak/>
              <w:t>للقطاع (المقاهي المختصة) والفئة (رواد المقاهي) والإطار الزمني</w:t>
            </w:r>
            <w:r w:rsidRPr="00B301AD">
              <w:t xml:space="preserve">. </w:t>
            </w:r>
            <w:r w:rsidRPr="00B301AD">
              <w:rPr>
                <w:b/>
                <w:bCs/>
                <w:rtl/>
              </w:rPr>
              <w:t>نقطة ضعف</w:t>
            </w:r>
            <w:r w:rsidRPr="00B301AD">
              <w:rPr>
                <w:b/>
                <w:bCs/>
              </w:rPr>
              <w:t>:</w:t>
            </w:r>
            <w:r w:rsidRPr="00B301AD">
              <w:t xml:space="preserve"> </w:t>
            </w:r>
            <w:r w:rsidRPr="00B301AD">
              <w:rPr>
                <w:rtl/>
              </w:rPr>
              <w:t>يمكن مزيد من الضبط للحدود المكانية (مدن/مناطق معينة) والحدود البشرية (شرط عمر، خبرة سابقة مع المقاهي المختصة)</w:t>
            </w:r>
            <w:r w:rsidRPr="00B301AD">
              <w:t xml:space="preserve">. </w:t>
            </w:r>
            <w:r w:rsidRPr="00B301AD">
              <w:rPr>
                <w:b/>
                <w:bCs/>
                <w:rtl/>
              </w:rPr>
              <w:t>مقترح تطوير</w:t>
            </w:r>
            <w:r w:rsidRPr="00B301AD">
              <w:rPr>
                <w:b/>
                <w:bCs/>
              </w:rPr>
              <w:t>:</w:t>
            </w:r>
            <w:r w:rsidRPr="00B301AD">
              <w:t xml:space="preserve"> </w:t>
            </w:r>
            <w:r w:rsidRPr="00B301AD">
              <w:rPr>
                <w:rtl/>
              </w:rPr>
              <w:t>صياغة فقرة “حدود الدراسة” بأربعة بنود منفصلة: موضوعية، مكانية، زمانية، وبشرية مع توضيح كل منها بدقة</w:t>
            </w:r>
            <w:r w:rsidRPr="00B301AD">
              <w:t>.</w:t>
            </w:r>
          </w:p>
        </w:tc>
      </w:tr>
      <w:tr w:rsidR="007E47DE" w:rsidRPr="00E97D90" w14:paraId="3A1E1457" w14:textId="77777777" w:rsidTr="005C37CB">
        <w:trPr>
          <w:trHeight w:val="884"/>
        </w:trPr>
        <w:tc>
          <w:tcPr>
            <w:tcW w:w="3822" w:type="dxa"/>
            <w:shd w:val="clear" w:color="auto" w:fill="EEECE1" w:themeFill="background2"/>
            <w:vAlign w:val="center"/>
          </w:tcPr>
          <w:p w14:paraId="3ED53708" w14:textId="77777777" w:rsidR="007E47DE" w:rsidRPr="00E97D90" w:rsidRDefault="007E47DE" w:rsidP="007E47D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List of The References and Preliminary Resources</w:t>
            </w:r>
          </w:p>
        </w:tc>
        <w:tc>
          <w:tcPr>
            <w:tcW w:w="1123" w:type="dxa"/>
            <w:vAlign w:val="center"/>
          </w:tcPr>
          <w:p w14:paraId="14ACF76A" w14:textId="08F50E05" w:rsidR="007E47DE" w:rsidRPr="00E97D90" w:rsidRDefault="007E47DE" w:rsidP="007E47DE">
            <w:pPr>
              <w:bidi/>
              <w:rPr>
                <w:rFonts w:asciiTheme="majorBidi" w:hAnsiTheme="majorBidi" w:cstheme="majorBidi"/>
                <w:sz w:val="24"/>
                <w:szCs w:val="24"/>
              </w:rPr>
            </w:pPr>
          </w:p>
        </w:tc>
        <w:tc>
          <w:tcPr>
            <w:tcW w:w="1003" w:type="dxa"/>
            <w:vAlign w:val="center"/>
          </w:tcPr>
          <w:p w14:paraId="4A9C5840" w14:textId="77777777" w:rsidR="007E47DE" w:rsidRPr="00E97D90" w:rsidRDefault="007E47DE" w:rsidP="007E47DE">
            <w:pPr>
              <w:bidi/>
              <w:rPr>
                <w:rFonts w:asciiTheme="majorBidi" w:hAnsiTheme="majorBidi" w:cstheme="majorBidi"/>
                <w:sz w:val="24"/>
                <w:szCs w:val="24"/>
              </w:rPr>
            </w:pPr>
          </w:p>
        </w:tc>
        <w:tc>
          <w:tcPr>
            <w:tcW w:w="1256" w:type="dxa"/>
            <w:vAlign w:val="center"/>
          </w:tcPr>
          <w:p w14:paraId="6AF278AC" w14:textId="3C2796B4" w:rsidR="007E47DE" w:rsidRPr="00E97D90" w:rsidRDefault="007E47DE" w:rsidP="007E47DE">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730C4E20" w14:textId="5E16DFF8" w:rsidR="007E47DE" w:rsidRPr="00E97D90" w:rsidRDefault="007E47DE" w:rsidP="007E47DE">
            <w:pPr>
              <w:bidi/>
              <w:rPr>
                <w:rFonts w:asciiTheme="majorBidi" w:hAnsiTheme="majorBidi" w:cstheme="majorBidi"/>
                <w:sz w:val="24"/>
                <w:szCs w:val="24"/>
                <w:lang w:bidi="ar-SY"/>
              </w:rPr>
            </w:pPr>
            <w:r w:rsidRPr="00B301AD">
              <w:rPr>
                <w:b/>
                <w:bCs/>
                <w:rtl/>
              </w:rPr>
              <w:t>التقييم</w:t>
            </w:r>
            <w:r w:rsidRPr="00B301AD">
              <w:rPr>
                <w:b/>
                <w:bCs/>
              </w:rPr>
              <w:t>:</w:t>
            </w:r>
            <w:r w:rsidRPr="00B301AD">
              <w:t xml:space="preserve"> </w:t>
            </w:r>
            <w:r w:rsidRPr="00B301AD">
              <w:rPr>
                <w:rtl/>
              </w:rPr>
              <w:t>قائمة المراجع تشمل مزيجًا من التقارير المحلية (تقارير “أرقام” وغيرها عن سوق القهوة)، ومصادر نظرية كلاسيكية ومعاصرة باللغة الإنجليزية والعربية حول</w:t>
            </w:r>
            <w:r w:rsidRPr="00B301AD">
              <w:t xml:space="preserve"> CETSCALE</w:t>
            </w:r>
            <w:r w:rsidRPr="00B301AD">
              <w:rPr>
                <w:rtl/>
              </w:rPr>
              <w:t>، إدارة الفعاليات، الولاء، وحبّ العلامة</w:t>
            </w:r>
            <w:r w:rsidRPr="00B301AD">
              <w:t xml:space="preserve">. </w:t>
            </w:r>
            <w:r w:rsidRPr="00B301AD">
              <w:rPr>
                <w:b/>
                <w:bCs/>
                <w:rtl/>
              </w:rPr>
              <w:t>نقطة قوة</w:t>
            </w:r>
            <w:r w:rsidRPr="00B301AD">
              <w:rPr>
                <w:b/>
                <w:bCs/>
              </w:rPr>
              <w:t>:</w:t>
            </w:r>
            <w:r w:rsidRPr="00B301AD">
              <w:t xml:space="preserve"> </w:t>
            </w:r>
            <w:r w:rsidRPr="00B301AD">
              <w:rPr>
                <w:rtl/>
              </w:rPr>
              <w:t>المراجع حديثة ومتخصصة وتغطي ثلاثة مجالات: التسويق والعلامة، السلوك الاستهلاكي، والعلاقات العامة/الفعاليات</w:t>
            </w:r>
            <w:r w:rsidRPr="00B301AD">
              <w:t xml:space="preserve">. </w:t>
            </w:r>
            <w:r w:rsidRPr="00B301AD">
              <w:rPr>
                <w:b/>
                <w:bCs/>
                <w:rtl/>
              </w:rPr>
              <w:t>نقطة ضعف</w:t>
            </w:r>
            <w:r w:rsidRPr="00B301AD">
              <w:rPr>
                <w:b/>
                <w:bCs/>
              </w:rPr>
              <w:t>:</w:t>
            </w:r>
            <w:r w:rsidRPr="00B301AD">
              <w:t xml:space="preserve"> </w:t>
            </w:r>
            <w:r w:rsidRPr="00B301AD">
              <w:rPr>
                <w:rtl/>
              </w:rPr>
              <w:t>أسلوب التوثيق يحتاج إلى توحيد نهائي (خاصة في المراجع العربية من حيث ترتيب المؤلف/السنة/العنوان/المجلة)</w:t>
            </w:r>
            <w:r w:rsidRPr="00B301AD">
              <w:t xml:space="preserve">. </w:t>
            </w:r>
            <w:r w:rsidRPr="00B301AD">
              <w:rPr>
                <w:b/>
                <w:bCs/>
                <w:rtl/>
              </w:rPr>
              <w:t>مقترح تطوير</w:t>
            </w:r>
            <w:r w:rsidRPr="00B301AD">
              <w:rPr>
                <w:b/>
                <w:bCs/>
              </w:rPr>
              <w:t>:</w:t>
            </w:r>
            <w:r w:rsidRPr="00B301AD">
              <w:t xml:space="preserve"> </w:t>
            </w:r>
            <w:r w:rsidRPr="00B301AD">
              <w:rPr>
                <w:rtl/>
              </w:rPr>
              <w:t>اعتماد نمط توثيق موحّد</w:t>
            </w:r>
            <w:r w:rsidRPr="00B301AD">
              <w:t xml:space="preserve"> (</w:t>
            </w:r>
            <w:r w:rsidRPr="00B301AD">
              <w:rPr>
                <w:rtl/>
              </w:rPr>
              <w:t>مثل</w:t>
            </w:r>
            <w:r w:rsidRPr="00B301AD">
              <w:t xml:space="preserve"> APA) </w:t>
            </w:r>
            <w:r w:rsidRPr="00B301AD">
              <w:rPr>
                <w:rtl/>
              </w:rPr>
              <w:t>مع مراجعة التطابق بين الإحالات في المتن وقائمة المراجع</w:t>
            </w:r>
            <w:r w:rsidRPr="00B301AD">
              <w:t>.</w:t>
            </w:r>
          </w:p>
        </w:tc>
      </w:tr>
      <w:tr w:rsidR="006837F1" w:rsidRPr="00E97D90" w14:paraId="718B8A21" w14:textId="77777777" w:rsidTr="005C37CB">
        <w:trPr>
          <w:trHeight w:val="1403"/>
        </w:trPr>
        <w:tc>
          <w:tcPr>
            <w:tcW w:w="3822" w:type="dxa"/>
            <w:shd w:val="clear" w:color="auto" w:fill="EEECE1" w:themeFill="background2"/>
            <w:vAlign w:val="center"/>
          </w:tcPr>
          <w:p w14:paraId="2EFF2B0B" w14:textId="77777777" w:rsidR="006837F1" w:rsidRPr="00E97D90" w:rsidRDefault="006837F1"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34" w:type="dxa"/>
            <w:gridSpan w:val="4"/>
            <w:vAlign w:val="center"/>
          </w:tcPr>
          <w:p w14:paraId="0E230BE2" w14:textId="022D2DB8" w:rsidR="006837F1" w:rsidRPr="009878D8" w:rsidRDefault="00F958E3" w:rsidP="00CA563C">
            <w:pPr>
              <w:bidi/>
              <w:rPr>
                <w:rFonts w:asciiTheme="majorBidi" w:hAnsiTheme="majorBidi" w:cstheme="majorBidi"/>
                <w:sz w:val="24"/>
                <w:szCs w:val="24"/>
                <w:rtl/>
                <w:lang w:bidi="ar-EG"/>
              </w:rPr>
            </w:pPr>
            <w:r w:rsidRPr="00F958E3">
              <w:rPr>
                <w:rFonts w:asciiTheme="majorBidi" w:hAnsiTheme="majorBidi" w:cs="Times New Roman"/>
                <w:sz w:val="24"/>
                <w:szCs w:val="24"/>
                <w:rtl/>
                <w:lang w:bidi="ar-EG"/>
              </w:rPr>
              <w:t>التقييم: الخطة/البحث المبدئي متقدم، يختار موضوعًا حديثًا ومهمًا لقطاع نشط (المقاهي المختصة)، ويمزج بين مفاهيم سلوكية (النزعة العرقية والولاء) وأدوات علاقات عامة (إدارة الفعاليات وبرامج الولاء)، مع توظيف مقياس عالمي (</w:t>
            </w:r>
            <w:r w:rsidRPr="00F958E3">
              <w:rPr>
                <w:rFonts w:asciiTheme="majorBidi" w:hAnsiTheme="majorBidi" w:cstheme="majorBidi"/>
                <w:sz w:val="24"/>
                <w:szCs w:val="24"/>
                <w:lang w:bidi="ar-EG"/>
              </w:rPr>
              <w:t>CETSCALE</w:t>
            </w:r>
            <w:r w:rsidRPr="00F958E3">
              <w:rPr>
                <w:rFonts w:asciiTheme="majorBidi" w:hAnsiTheme="majorBidi" w:cs="Times New Roman"/>
                <w:sz w:val="24"/>
                <w:szCs w:val="24"/>
                <w:rtl/>
                <w:lang w:bidi="ar-EG"/>
              </w:rPr>
              <w:t>) في سياق سعودي. نقطة قوة: وضوح الفكرة، حداثة الموضوع، قوة الإطار النظري والمراجع، واتساق الأهداف والأسئلة والمنهج والأداة. نقطة ضعف: ما زالت الخطة بحاجة إلى مزيد من التفصيل الكمي في تصميم العينة وطريقة التحليل الإحصائي، مع تبسيط بعض أجزاء المقدمة والدراسات السابقة. مقترح تطوير: عند الانتقال إلى المسودة النهائية، يُستحسن استكمال تصميم الأداة والعينة والتحليل الإحصائي، مع تقديم نموذج/مخطط يربط بين إدارة الفعاليات، النزعة الاستهلاكية العرقية، والولاء للعلامة في قطاع المقاهي المختصة.</w:t>
            </w:r>
          </w:p>
        </w:tc>
      </w:tr>
    </w:tbl>
    <w:p w14:paraId="113F1A90" w14:textId="77777777" w:rsidR="00846C7F" w:rsidRPr="00E97D90" w:rsidRDefault="00EA22ED" w:rsidP="00A51982">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42048"/>
    <w:rsid w:val="00044E78"/>
    <w:rsid w:val="00051A54"/>
    <w:rsid w:val="00052246"/>
    <w:rsid w:val="000558DB"/>
    <w:rsid w:val="000752A2"/>
    <w:rsid w:val="000A17F9"/>
    <w:rsid w:val="000B5645"/>
    <w:rsid w:val="000C0B19"/>
    <w:rsid w:val="000F19BA"/>
    <w:rsid w:val="001046F1"/>
    <w:rsid w:val="001059A7"/>
    <w:rsid w:val="001113C7"/>
    <w:rsid w:val="00111601"/>
    <w:rsid w:val="00111952"/>
    <w:rsid w:val="00113AAD"/>
    <w:rsid w:val="00140032"/>
    <w:rsid w:val="00143BB3"/>
    <w:rsid w:val="00156FFD"/>
    <w:rsid w:val="00173184"/>
    <w:rsid w:val="001741C7"/>
    <w:rsid w:val="00177708"/>
    <w:rsid w:val="001A4068"/>
    <w:rsid w:val="001A52BE"/>
    <w:rsid w:val="001A66A5"/>
    <w:rsid w:val="001C558A"/>
    <w:rsid w:val="001C7A74"/>
    <w:rsid w:val="001D19DA"/>
    <w:rsid w:val="001E1839"/>
    <w:rsid w:val="001E3E4F"/>
    <w:rsid w:val="001E5635"/>
    <w:rsid w:val="00201FB0"/>
    <w:rsid w:val="00203058"/>
    <w:rsid w:val="00207574"/>
    <w:rsid w:val="0029051C"/>
    <w:rsid w:val="0029569B"/>
    <w:rsid w:val="002D36E5"/>
    <w:rsid w:val="002E3034"/>
    <w:rsid w:val="002F25F3"/>
    <w:rsid w:val="00322349"/>
    <w:rsid w:val="0034462E"/>
    <w:rsid w:val="00376F09"/>
    <w:rsid w:val="0038605F"/>
    <w:rsid w:val="00391D31"/>
    <w:rsid w:val="003A1818"/>
    <w:rsid w:val="003C2E22"/>
    <w:rsid w:val="003C5249"/>
    <w:rsid w:val="003D45C5"/>
    <w:rsid w:val="003E7851"/>
    <w:rsid w:val="003F37CB"/>
    <w:rsid w:val="00403EC4"/>
    <w:rsid w:val="00420CED"/>
    <w:rsid w:val="00433632"/>
    <w:rsid w:val="00453248"/>
    <w:rsid w:val="00481B6A"/>
    <w:rsid w:val="0048345E"/>
    <w:rsid w:val="004A2ECC"/>
    <w:rsid w:val="004A3773"/>
    <w:rsid w:val="004B23D4"/>
    <w:rsid w:val="004C4FD7"/>
    <w:rsid w:val="004D1A2B"/>
    <w:rsid w:val="004D3F97"/>
    <w:rsid w:val="00570846"/>
    <w:rsid w:val="00594F3A"/>
    <w:rsid w:val="00596636"/>
    <w:rsid w:val="005A0C87"/>
    <w:rsid w:val="005B68DD"/>
    <w:rsid w:val="005C37CB"/>
    <w:rsid w:val="005F10F5"/>
    <w:rsid w:val="006072C8"/>
    <w:rsid w:val="00614C61"/>
    <w:rsid w:val="00653CFC"/>
    <w:rsid w:val="0066297E"/>
    <w:rsid w:val="006675A8"/>
    <w:rsid w:val="00671883"/>
    <w:rsid w:val="00673646"/>
    <w:rsid w:val="006776F3"/>
    <w:rsid w:val="006837F1"/>
    <w:rsid w:val="00686B38"/>
    <w:rsid w:val="006A60A5"/>
    <w:rsid w:val="006B0C30"/>
    <w:rsid w:val="006B25BF"/>
    <w:rsid w:val="006C66C0"/>
    <w:rsid w:val="006F1FFF"/>
    <w:rsid w:val="00703C23"/>
    <w:rsid w:val="007118AC"/>
    <w:rsid w:val="007416A8"/>
    <w:rsid w:val="007430A5"/>
    <w:rsid w:val="00775755"/>
    <w:rsid w:val="00786DA9"/>
    <w:rsid w:val="0078785A"/>
    <w:rsid w:val="00797511"/>
    <w:rsid w:val="007C1EAB"/>
    <w:rsid w:val="007D4DD8"/>
    <w:rsid w:val="007D7C47"/>
    <w:rsid w:val="007E47DE"/>
    <w:rsid w:val="007E71FE"/>
    <w:rsid w:val="007F1453"/>
    <w:rsid w:val="00800D55"/>
    <w:rsid w:val="00811C8D"/>
    <w:rsid w:val="0081715E"/>
    <w:rsid w:val="00831FDA"/>
    <w:rsid w:val="00845A4C"/>
    <w:rsid w:val="00846C7F"/>
    <w:rsid w:val="008532AD"/>
    <w:rsid w:val="008605E3"/>
    <w:rsid w:val="00874FEF"/>
    <w:rsid w:val="008A568A"/>
    <w:rsid w:val="008B63CC"/>
    <w:rsid w:val="008C4C70"/>
    <w:rsid w:val="008D1EF9"/>
    <w:rsid w:val="008E6B59"/>
    <w:rsid w:val="0091700B"/>
    <w:rsid w:val="009317B6"/>
    <w:rsid w:val="00933CEC"/>
    <w:rsid w:val="0094465F"/>
    <w:rsid w:val="009471F0"/>
    <w:rsid w:val="00951643"/>
    <w:rsid w:val="009534AB"/>
    <w:rsid w:val="0096386A"/>
    <w:rsid w:val="00975B40"/>
    <w:rsid w:val="009847B5"/>
    <w:rsid w:val="009878D8"/>
    <w:rsid w:val="009D155C"/>
    <w:rsid w:val="009E6EAB"/>
    <w:rsid w:val="009F216F"/>
    <w:rsid w:val="00A006C8"/>
    <w:rsid w:val="00A037F5"/>
    <w:rsid w:val="00A12C45"/>
    <w:rsid w:val="00A21227"/>
    <w:rsid w:val="00A275F3"/>
    <w:rsid w:val="00A5093B"/>
    <w:rsid w:val="00A51982"/>
    <w:rsid w:val="00A524A4"/>
    <w:rsid w:val="00A53C73"/>
    <w:rsid w:val="00A569E6"/>
    <w:rsid w:val="00AA01E8"/>
    <w:rsid w:val="00AC6933"/>
    <w:rsid w:val="00B14A9D"/>
    <w:rsid w:val="00B17AF9"/>
    <w:rsid w:val="00B25705"/>
    <w:rsid w:val="00B34B41"/>
    <w:rsid w:val="00B5398C"/>
    <w:rsid w:val="00B5600A"/>
    <w:rsid w:val="00B60F8D"/>
    <w:rsid w:val="00B6677B"/>
    <w:rsid w:val="00B752C5"/>
    <w:rsid w:val="00B92A16"/>
    <w:rsid w:val="00BB5048"/>
    <w:rsid w:val="00BC6EA5"/>
    <w:rsid w:val="00C01738"/>
    <w:rsid w:val="00C11D7B"/>
    <w:rsid w:val="00C401D0"/>
    <w:rsid w:val="00C61289"/>
    <w:rsid w:val="00C70D9B"/>
    <w:rsid w:val="00C95FF8"/>
    <w:rsid w:val="00CA563C"/>
    <w:rsid w:val="00CC1374"/>
    <w:rsid w:val="00CC5AD4"/>
    <w:rsid w:val="00CC5E5E"/>
    <w:rsid w:val="00CC6788"/>
    <w:rsid w:val="00CD288B"/>
    <w:rsid w:val="00CD5611"/>
    <w:rsid w:val="00CD77B3"/>
    <w:rsid w:val="00CE635E"/>
    <w:rsid w:val="00CF4697"/>
    <w:rsid w:val="00CF701C"/>
    <w:rsid w:val="00D0023E"/>
    <w:rsid w:val="00D06A80"/>
    <w:rsid w:val="00D210B4"/>
    <w:rsid w:val="00D43D13"/>
    <w:rsid w:val="00D6251F"/>
    <w:rsid w:val="00D64AC6"/>
    <w:rsid w:val="00D715C9"/>
    <w:rsid w:val="00D868C0"/>
    <w:rsid w:val="00DA0635"/>
    <w:rsid w:val="00DB5AC0"/>
    <w:rsid w:val="00DC0BB7"/>
    <w:rsid w:val="00DC2D0C"/>
    <w:rsid w:val="00DC45D6"/>
    <w:rsid w:val="00DF220A"/>
    <w:rsid w:val="00DF4355"/>
    <w:rsid w:val="00E01D40"/>
    <w:rsid w:val="00E044DC"/>
    <w:rsid w:val="00E12531"/>
    <w:rsid w:val="00E41CFE"/>
    <w:rsid w:val="00E479FD"/>
    <w:rsid w:val="00E47B38"/>
    <w:rsid w:val="00E60CC4"/>
    <w:rsid w:val="00E6582D"/>
    <w:rsid w:val="00E90CF2"/>
    <w:rsid w:val="00E960BE"/>
    <w:rsid w:val="00E97D90"/>
    <w:rsid w:val="00EA22ED"/>
    <w:rsid w:val="00EE318B"/>
    <w:rsid w:val="00EF0FEB"/>
    <w:rsid w:val="00EF7BD5"/>
    <w:rsid w:val="00F449A1"/>
    <w:rsid w:val="00F44FEE"/>
    <w:rsid w:val="00F63605"/>
    <w:rsid w:val="00F83467"/>
    <w:rsid w:val="00F915E6"/>
    <w:rsid w:val="00F958E3"/>
    <w:rsid w:val="00FA3CBD"/>
    <w:rsid w:val="00FB28F8"/>
    <w:rsid w:val="00FB5CDF"/>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4</Pages>
  <Words>1308</Words>
  <Characters>7461</Characters>
  <Application>Microsoft Office Word</Application>
  <DocSecurity>0</DocSecurity>
  <Lines>62</Lines>
  <Paragraphs>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45</cp:revision>
  <dcterms:created xsi:type="dcterms:W3CDTF">2026-04-05T09:05:00Z</dcterms:created>
  <dcterms:modified xsi:type="dcterms:W3CDTF">2026-08-11T10:17:00Z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