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AA3B6" w14:textId="79E74EC6" w:rsidR="00E81D66" w:rsidRDefault="00977178" w:rsidP="00977178">
      <w:pPr>
        <w:jc w:val="center"/>
        <w:rPr>
          <w:sz w:val="48"/>
          <w:szCs w:val="48"/>
        </w:rPr>
      </w:pPr>
      <w:r w:rsidRPr="00977178">
        <w:rPr>
          <w:sz w:val="48"/>
          <w:szCs w:val="48"/>
        </w:rPr>
        <w:t>Chapter 1 and chapter 2</w:t>
      </w:r>
    </w:p>
    <w:p w14:paraId="5B35D24B" w14:textId="77777777" w:rsidR="009326E0" w:rsidRPr="0003138F" w:rsidRDefault="009326E0" w:rsidP="009326E0">
      <w:pPr>
        <w:pStyle w:val="Heading1"/>
        <w:spacing w:before="0" w:line="480" w:lineRule="auto"/>
        <w:jc w:val="center"/>
        <w:rPr>
          <w:rFonts w:asciiTheme="majorBidi" w:hAnsiTheme="majorBidi"/>
          <w:b/>
          <w:bCs/>
          <w:color w:val="auto"/>
        </w:rPr>
      </w:pPr>
      <w:bookmarkStart w:id="0" w:name="_Hlk203852542"/>
      <w:bookmarkStart w:id="1" w:name="_Toc203853241"/>
      <w:r w:rsidRPr="0003138F">
        <w:rPr>
          <w:rFonts w:asciiTheme="majorBidi" w:hAnsiTheme="majorBidi"/>
          <w:b/>
          <w:bCs/>
          <w:color w:val="auto"/>
        </w:rPr>
        <w:t>Chapter 1: Introduction</w:t>
      </w:r>
      <w:bookmarkEnd w:id="1"/>
    </w:p>
    <w:p w14:paraId="3AD175D7" w14:textId="77777777" w:rsidR="009326E0" w:rsidRPr="0003138F" w:rsidRDefault="009326E0" w:rsidP="009326E0">
      <w:pPr>
        <w:pStyle w:val="ListParagraph"/>
        <w:numPr>
          <w:ilvl w:val="1"/>
          <w:numId w:val="1"/>
        </w:numPr>
        <w:spacing w:after="0" w:line="480" w:lineRule="auto"/>
        <w:outlineLvl w:val="1"/>
        <w:rPr>
          <w:rFonts w:asciiTheme="majorBidi" w:hAnsiTheme="majorBidi" w:cstheme="majorBidi"/>
          <w:b/>
          <w:bCs/>
          <w:sz w:val="28"/>
          <w:szCs w:val="28"/>
        </w:rPr>
      </w:pPr>
      <w:bookmarkStart w:id="2" w:name="_Toc203853242"/>
      <w:r w:rsidRPr="0003138F">
        <w:rPr>
          <w:rFonts w:asciiTheme="majorBidi" w:hAnsiTheme="majorBidi" w:cstheme="majorBidi"/>
          <w:b/>
          <w:bCs/>
          <w:sz w:val="28"/>
          <w:szCs w:val="28"/>
        </w:rPr>
        <w:t>Introduction</w:t>
      </w:r>
      <w:bookmarkEnd w:id="2"/>
      <w:r w:rsidRPr="0003138F">
        <w:rPr>
          <w:rFonts w:asciiTheme="majorBidi" w:hAnsiTheme="majorBidi" w:cstheme="majorBidi"/>
          <w:b/>
          <w:bCs/>
          <w:sz w:val="28"/>
          <w:szCs w:val="28"/>
        </w:rPr>
        <w:t xml:space="preserve"> </w:t>
      </w:r>
    </w:p>
    <w:p w14:paraId="10A296D8" w14:textId="77777777" w:rsidR="009326E0" w:rsidRDefault="009326E0" w:rsidP="009326E0">
      <w:pPr>
        <w:spacing w:after="0" w:line="480" w:lineRule="auto"/>
        <w:ind w:firstLine="720"/>
        <w:jc w:val="both"/>
        <w:rPr>
          <w:rFonts w:asciiTheme="majorBidi" w:hAnsiTheme="majorBidi" w:cstheme="majorBidi"/>
        </w:rPr>
      </w:pPr>
      <w:r w:rsidRPr="00921DFD">
        <w:rPr>
          <w:rFonts w:asciiTheme="majorBidi" w:hAnsiTheme="majorBidi" w:cstheme="majorBidi"/>
        </w:rPr>
        <w:t>The healthcare sector is one of the most demanding industries worldwide, characterized by high-pressure environments, long working hours, and emotionally intensive responsibilities. Healthcare professionals, including doctors, nurses, and administrative staff, are frequently exposed to workplace stressors that can contribute to burnout, a psychological state marked by emotional exhaustion, depersonalization, and reduced personal accomplishment. Burnout not only affects the mental and physical well-being of employees but also has serious implications for patient care, job satisfaction, and overall healthcare efficiency</w:t>
      </w:r>
      <w:r>
        <w:rPr>
          <w:rFonts w:asciiTheme="majorBidi" w:hAnsiTheme="majorBidi" w:cstheme="majorBidi"/>
        </w:rPr>
        <w:t xml:space="preserve"> (</w:t>
      </w:r>
      <w:r w:rsidRPr="00A669D7">
        <w:rPr>
          <w:rFonts w:asciiTheme="majorBidi" w:hAnsiTheme="majorBidi" w:cstheme="majorBidi"/>
          <w:color w:val="222222"/>
          <w:shd w:val="clear" w:color="auto" w:fill="FFFFFF"/>
        </w:rPr>
        <w:t>Bhatti, 2023).</w:t>
      </w:r>
    </w:p>
    <w:p w14:paraId="488198DC" w14:textId="77777777" w:rsidR="009326E0" w:rsidRDefault="009326E0" w:rsidP="009326E0">
      <w:pPr>
        <w:spacing w:after="0" w:line="480" w:lineRule="auto"/>
        <w:ind w:firstLine="720"/>
        <w:jc w:val="both"/>
        <w:rPr>
          <w:rFonts w:asciiTheme="majorBidi" w:hAnsiTheme="majorBidi" w:cstheme="majorBidi"/>
        </w:rPr>
      </w:pPr>
      <w:r w:rsidRPr="00921DFD">
        <w:rPr>
          <w:rFonts w:asciiTheme="majorBidi" w:hAnsiTheme="majorBidi" w:cstheme="majorBidi"/>
        </w:rPr>
        <w:t>In Saudi Arabia, the healthcare sector has been undergoing rapid transformation due to Vision 2030, which aims to enhance healthcare services, increase privatization, and improve working conditions for medical professionals. While these reforms present opportunities for growth and development, they also introduce new challenges, such as increased workload, higher expectations, and greater organizational changes, which may contribute to employee stress and burnout. The increasing demand for healthcare services, workforce shortages, and administrative burdens further exacerbate burnout among employees, making it a critical issue that needs to be addressed.</w:t>
      </w:r>
      <w:r>
        <w:rPr>
          <w:rFonts w:asciiTheme="majorBidi" w:hAnsiTheme="majorBidi" w:cstheme="majorBidi"/>
        </w:rPr>
        <w:t xml:space="preserve"> </w:t>
      </w:r>
      <w:r w:rsidRPr="00921DFD">
        <w:rPr>
          <w:rFonts w:asciiTheme="majorBidi" w:hAnsiTheme="majorBidi" w:cstheme="majorBidi"/>
        </w:rPr>
        <w:t xml:space="preserve">Burnout among healthcare workers is a well-documented phenomenon that stems from various factors, including excessive workload, lack of autonomy, insufficient managerial support, and emotional strain from patient interactions. Studies suggest that burnout negatively impacts employee morale, increases turnover rates, and decreases the quality of patient care. When healthcare professionals experience prolonged burnout, they are more likely to exhibit decreased </w:t>
      </w:r>
      <w:r w:rsidRPr="00921DFD">
        <w:rPr>
          <w:rFonts w:asciiTheme="majorBidi" w:hAnsiTheme="majorBidi" w:cstheme="majorBidi"/>
        </w:rPr>
        <w:lastRenderedPageBreak/>
        <w:t>job satisfaction, lower commitment to their organization, and strained relationships with colleagues</w:t>
      </w:r>
      <w:r>
        <w:rPr>
          <w:rFonts w:asciiTheme="majorBidi" w:hAnsiTheme="majorBidi" w:cstheme="majorBidi"/>
        </w:rPr>
        <w:t xml:space="preserve"> (</w:t>
      </w:r>
      <w:r w:rsidRPr="00A669D7">
        <w:rPr>
          <w:rFonts w:asciiTheme="majorBidi" w:hAnsiTheme="majorBidi" w:cstheme="majorBidi"/>
          <w:color w:val="222222"/>
          <w:shd w:val="clear" w:color="auto" w:fill="FFFFFF"/>
        </w:rPr>
        <w:t>Asfahani, 2024</w:t>
      </w:r>
      <w:r>
        <w:rPr>
          <w:rFonts w:asciiTheme="majorBidi" w:hAnsiTheme="majorBidi" w:cstheme="majorBidi"/>
          <w:color w:val="222222"/>
          <w:shd w:val="clear" w:color="auto" w:fill="FFFFFF"/>
        </w:rPr>
        <w:t>).</w:t>
      </w:r>
    </w:p>
    <w:p w14:paraId="2ED21933" w14:textId="77777777" w:rsidR="009326E0" w:rsidRDefault="009326E0" w:rsidP="009326E0">
      <w:pPr>
        <w:spacing w:after="0" w:line="480" w:lineRule="auto"/>
        <w:ind w:firstLine="720"/>
        <w:jc w:val="both"/>
        <w:rPr>
          <w:rFonts w:asciiTheme="majorBidi" w:hAnsiTheme="majorBidi" w:cstheme="majorBidi"/>
        </w:rPr>
      </w:pPr>
      <w:r w:rsidRPr="00921DFD">
        <w:rPr>
          <w:rFonts w:asciiTheme="majorBidi" w:hAnsiTheme="majorBidi" w:cstheme="majorBidi"/>
        </w:rPr>
        <w:t>The three primary dimensions of burnout, as identified by Maslach and Jackson (1981) in the Maslach Burnout Inventory (MBI), include emotional exhaustion, depersonalization, and reduced personal accomplishment. Emotional exhaustion refers to feeling drained and overwhelmed due to work-related stress, while depersonalization involves developing a detached or cynical attitude toward patients and colleagues. Reduced personal accomplishment is associated with feelings of ineffectiveness or unfulfillment in one’s job role. These dimensions not only affect individual well-being but also impact team dynamics, communication, and workplace harmony. In the Saudi Arabian healthcare sector, where teamwork and collaborative decision-making are essential, burnout can weaken employee relationships and disrupt the effectiveness of healthcare service delivery</w:t>
      </w:r>
      <w:r>
        <w:rPr>
          <w:rFonts w:asciiTheme="majorBidi" w:hAnsiTheme="majorBidi" w:cstheme="majorBidi"/>
        </w:rPr>
        <w:t xml:space="preserve"> (</w:t>
      </w:r>
      <w:r w:rsidRPr="00A669D7">
        <w:rPr>
          <w:rFonts w:asciiTheme="majorBidi" w:hAnsiTheme="majorBidi" w:cstheme="majorBidi"/>
          <w:color w:val="222222"/>
          <w:shd w:val="clear" w:color="auto" w:fill="FFFFFF"/>
        </w:rPr>
        <w:t>Alzoubi</w:t>
      </w:r>
      <w:r>
        <w:rPr>
          <w:rFonts w:asciiTheme="majorBidi" w:hAnsiTheme="majorBidi" w:cstheme="majorBidi"/>
          <w:color w:val="222222"/>
          <w:shd w:val="clear" w:color="auto" w:fill="FFFFFF"/>
        </w:rPr>
        <w:t xml:space="preserve"> et al.,2023).</w:t>
      </w:r>
    </w:p>
    <w:p w14:paraId="4D1D74DF" w14:textId="77777777" w:rsidR="009326E0" w:rsidRDefault="009326E0" w:rsidP="009326E0">
      <w:pPr>
        <w:spacing w:after="0" w:line="480" w:lineRule="auto"/>
        <w:ind w:firstLine="720"/>
        <w:jc w:val="both"/>
        <w:rPr>
          <w:rFonts w:asciiTheme="majorBidi" w:hAnsiTheme="majorBidi" w:cstheme="majorBidi"/>
        </w:rPr>
      </w:pPr>
      <w:r w:rsidRPr="00921DFD">
        <w:rPr>
          <w:rFonts w:asciiTheme="majorBidi" w:hAnsiTheme="majorBidi" w:cstheme="majorBidi"/>
        </w:rPr>
        <w:t>Employee relations refer to the overall interactions, communication, and collaboration between employees and their management. Strong employee relations foster job satisfaction, commitment, and a positive work culture, while poor relationships can lead to conflict, dissatisfaction, and disengagement. In healthcare settings, where effective teamwork and coordination are vital, strained employee relations due to burnout can lead to increased workplace conflicts, reduced teamwork and cooperation, lower employee engagement and motivation, and higher turnover rates. These factors collectively impact the efficiency and quality of healthcare services, making it essential to explore how burnout affects workplace relationships</w:t>
      </w:r>
      <w:r>
        <w:rPr>
          <w:rFonts w:asciiTheme="majorBidi" w:hAnsiTheme="majorBidi" w:cstheme="majorBidi"/>
        </w:rPr>
        <w:t xml:space="preserve"> (Muthuswamy,2022).</w:t>
      </w:r>
    </w:p>
    <w:p w14:paraId="7E196374" w14:textId="77777777" w:rsidR="009326E0" w:rsidRDefault="009326E0" w:rsidP="009326E0">
      <w:pPr>
        <w:spacing w:after="0" w:line="480" w:lineRule="auto"/>
        <w:ind w:firstLine="720"/>
        <w:jc w:val="both"/>
        <w:rPr>
          <w:rFonts w:asciiTheme="majorBidi" w:hAnsiTheme="majorBidi" w:cstheme="majorBidi"/>
        </w:rPr>
      </w:pPr>
      <w:r w:rsidRPr="00921DFD">
        <w:rPr>
          <w:rFonts w:asciiTheme="majorBidi" w:hAnsiTheme="majorBidi" w:cstheme="majorBidi"/>
        </w:rPr>
        <w:t xml:space="preserve">The Saudi Arabian healthcare sector faces unique cultural and organizational dynamics that influence employee relations. Factors such as hierarchical workplace structures, cultural </w:t>
      </w:r>
      <w:r w:rsidRPr="00921DFD">
        <w:rPr>
          <w:rFonts w:asciiTheme="majorBidi" w:hAnsiTheme="majorBidi" w:cstheme="majorBidi"/>
        </w:rPr>
        <w:lastRenderedPageBreak/>
        <w:t>expectations, and managerial approaches play a significant role in shaping workplace interactions. Understanding how burnout influences these relationships is crucial for developing effective intervention strategies to enhance employee well-being and organizational performance.</w:t>
      </w:r>
      <w:r>
        <w:rPr>
          <w:rFonts w:asciiTheme="majorBidi" w:hAnsiTheme="majorBidi" w:cstheme="majorBidi"/>
        </w:rPr>
        <w:t xml:space="preserve"> </w:t>
      </w:r>
      <w:r w:rsidRPr="00921DFD">
        <w:rPr>
          <w:rFonts w:asciiTheme="majorBidi" w:hAnsiTheme="majorBidi" w:cstheme="majorBidi"/>
        </w:rPr>
        <w:t>While extensive research has been conducted on burnout in global healthcare settings, there is limited research specifically examining the relationship between burnout factors and employee relations in the Saudi Arabian healthcare sector. Given the rapid expansion of healthcare services and the increasing demand for medical professionals, it is imperative to investigate how burnout affects interpersonal dynamics, workplace communication, and overall job satisfaction among healthcare employees</w:t>
      </w:r>
      <w:r>
        <w:rPr>
          <w:rFonts w:asciiTheme="majorBidi" w:hAnsiTheme="majorBidi" w:cstheme="majorBidi"/>
        </w:rPr>
        <w:t xml:space="preserve"> (</w:t>
      </w:r>
      <w:r w:rsidRPr="00A669D7">
        <w:rPr>
          <w:rFonts w:asciiTheme="majorBidi" w:hAnsiTheme="majorBidi" w:cs="Times New Roman"/>
        </w:rPr>
        <w:t>Ayyashi</w:t>
      </w:r>
      <w:r>
        <w:rPr>
          <w:rFonts w:asciiTheme="majorBidi" w:hAnsiTheme="majorBidi" w:cs="Times New Roman"/>
        </w:rPr>
        <w:t xml:space="preserve"> et al.,2024).</w:t>
      </w:r>
    </w:p>
    <w:p w14:paraId="2F094E2E" w14:textId="77777777" w:rsidR="009326E0" w:rsidRPr="00A669D7" w:rsidRDefault="009326E0" w:rsidP="009326E0">
      <w:pPr>
        <w:spacing w:after="0" w:line="480" w:lineRule="auto"/>
        <w:ind w:firstLine="720"/>
        <w:jc w:val="both"/>
        <w:rPr>
          <w:rFonts w:asciiTheme="majorBidi" w:hAnsiTheme="majorBidi" w:cstheme="majorBidi"/>
        </w:rPr>
      </w:pPr>
      <w:r>
        <w:rPr>
          <w:rFonts w:asciiTheme="majorBidi" w:hAnsiTheme="majorBidi" w:cstheme="majorBidi"/>
        </w:rPr>
        <w:t xml:space="preserve"> </w:t>
      </w:r>
      <w:r w:rsidRPr="00921DFD">
        <w:rPr>
          <w:rFonts w:asciiTheme="majorBidi" w:hAnsiTheme="majorBidi" w:cstheme="majorBidi"/>
        </w:rPr>
        <w:t>By exploring this relationship, this study aims to identify key burnout factors that affect healthcare employees in Saudi Arabia, examine how burnout influences employee relations, teamwork, and workplace collaboration, assess the impact of burnout on job satisfaction, turnover intention, and overall organizational effectiveness, and provide recommendations for reducing burnout and improving employee relations in healthcare organizations.</w:t>
      </w:r>
    </w:p>
    <w:p w14:paraId="13090A10" w14:textId="77777777" w:rsidR="009326E0" w:rsidRPr="0003138F" w:rsidRDefault="009326E0" w:rsidP="009326E0">
      <w:pPr>
        <w:pStyle w:val="ListParagraph"/>
        <w:numPr>
          <w:ilvl w:val="1"/>
          <w:numId w:val="1"/>
        </w:numPr>
        <w:spacing w:after="0" w:line="480" w:lineRule="auto"/>
        <w:outlineLvl w:val="1"/>
        <w:rPr>
          <w:rFonts w:asciiTheme="majorBidi" w:hAnsiTheme="majorBidi" w:cstheme="majorBidi"/>
          <w:b/>
          <w:bCs/>
          <w:sz w:val="28"/>
          <w:szCs w:val="28"/>
          <w:u w:val="single"/>
        </w:rPr>
      </w:pPr>
      <w:bookmarkStart w:id="3" w:name="_Toc203853243"/>
      <w:r w:rsidRPr="0003138F">
        <w:rPr>
          <w:rFonts w:asciiTheme="majorBidi" w:hAnsiTheme="majorBidi" w:cstheme="majorBidi"/>
          <w:b/>
          <w:bCs/>
          <w:sz w:val="28"/>
          <w:szCs w:val="28"/>
          <w:u w:val="single"/>
        </w:rPr>
        <w:t>Problem Statement</w:t>
      </w:r>
      <w:bookmarkEnd w:id="3"/>
    </w:p>
    <w:p w14:paraId="5CD3C900" w14:textId="77777777" w:rsidR="009326E0" w:rsidRDefault="009326E0" w:rsidP="009326E0">
      <w:pPr>
        <w:spacing w:after="0" w:line="480" w:lineRule="auto"/>
        <w:ind w:firstLine="720"/>
        <w:jc w:val="both"/>
        <w:rPr>
          <w:rFonts w:asciiTheme="majorBidi" w:hAnsiTheme="majorBidi" w:cstheme="majorBidi"/>
        </w:rPr>
      </w:pPr>
      <w:r w:rsidRPr="00921DFD">
        <w:rPr>
          <w:rFonts w:asciiTheme="majorBidi" w:hAnsiTheme="majorBidi" w:cstheme="majorBidi"/>
        </w:rPr>
        <w:t>Burnout among healthcare professionals is a growing concern in the Saudi Arabian healthcare sector, particularly as the industry undergoes rapid transformation due to Vision 2030 initiatives. Healthcare workers, including doctors, nurses, and administrative staff, are frequently subjected to high workloads, long shifts, emotional strain, and increased patient demands, all of which contribute to physical and mental exhaustion. These stressors not only affect individual well-being but also have negative consequences for employee relations, workplace collaboration, and overall healthcare service delivery.</w:t>
      </w:r>
      <w:r>
        <w:rPr>
          <w:rFonts w:asciiTheme="majorBidi" w:hAnsiTheme="majorBidi" w:cstheme="majorBidi"/>
        </w:rPr>
        <w:t xml:space="preserve"> </w:t>
      </w:r>
      <w:r w:rsidRPr="00921DFD">
        <w:rPr>
          <w:rFonts w:asciiTheme="majorBidi" w:hAnsiTheme="majorBidi" w:cstheme="majorBidi"/>
        </w:rPr>
        <w:t xml:space="preserve">Despite the critical role of strong employee relations in ensuring the efficiency and effectiveness of healthcare services, the link between burnout and </w:t>
      </w:r>
      <w:r w:rsidRPr="00921DFD">
        <w:rPr>
          <w:rFonts w:asciiTheme="majorBidi" w:hAnsiTheme="majorBidi" w:cstheme="majorBidi"/>
        </w:rPr>
        <w:lastRenderedPageBreak/>
        <w:t>employee interactions remains underexplored in the Saudi Arabian context. Burnout can lead to strained communication, workplace conflicts, reduced teamwork, and high turnover rates, ultimately compromising the quality of patient care and organizational performance. Moreover, hierarchical workplace structures, cultural factors, and organizational expectations in Saudi Arabia may further influence the way burnout manifests and affects professional relationships</w:t>
      </w:r>
      <w:r>
        <w:rPr>
          <w:rFonts w:asciiTheme="majorBidi" w:hAnsiTheme="majorBidi" w:cstheme="majorBidi"/>
        </w:rPr>
        <w:t xml:space="preserve"> (Alharbi er al.,2023).</w:t>
      </w:r>
    </w:p>
    <w:p w14:paraId="43D2DFE3" w14:textId="77777777" w:rsidR="009326E0" w:rsidRDefault="009326E0" w:rsidP="009326E0">
      <w:pPr>
        <w:spacing w:after="0" w:line="480" w:lineRule="auto"/>
        <w:ind w:firstLine="720"/>
        <w:jc w:val="both"/>
        <w:rPr>
          <w:rFonts w:asciiTheme="majorBidi" w:hAnsiTheme="majorBidi" w:cstheme="majorBidi"/>
        </w:rPr>
      </w:pPr>
      <w:r w:rsidRPr="00921DFD">
        <w:rPr>
          <w:rFonts w:asciiTheme="majorBidi" w:hAnsiTheme="majorBidi" w:cstheme="majorBidi"/>
        </w:rPr>
        <w:t>Although research on burnout in healthcare settings has been conducted globally, there is limited empirical evidence on how burnout factors such as emotional exhaustion, depersonalization, and reduced personal accomplishment impact employee relations in Saudi Arabian healthcare institutions. Understanding this relationship is essential for developing targeted interventions, improving workplace dynamics, and creating a healthier work environment. Therefore, this study seeks to examine the relationship between burnout factors and employee relations in the Saudi Arabian healthcare sector. By identifying key stressors and their impact on workplace interactions, the research aims to provide actionable recommendations for reducing burnout, enhancing teamwork, and improving overall job satisfaction among healthcare professionals in Saudi Arabia.</w:t>
      </w:r>
    </w:p>
    <w:p w14:paraId="0BE3EDF8" w14:textId="77777777" w:rsidR="009326E0" w:rsidRPr="0003138F" w:rsidRDefault="009326E0" w:rsidP="009326E0">
      <w:pPr>
        <w:pStyle w:val="ListParagraph"/>
        <w:numPr>
          <w:ilvl w:val="1"/>
          <w:numId w:val="1"/>
        </w:numPr>
        <w:spacing w:after="0" w:line="480" w:lineRule="auto"/>
        <w:jc w:val="both"/>
        <w:outlineLvl w:val="1"/>
        <w:rPr>
          <w:rFonts w:asciiTheme="majorBidi" w:hAnsiTheme="majorBidi" w:cstheme="majorBidi"/>
          <w:b/>
          <w:bCs/>
          <w:sz w:val="28"/>
          <w:szCs w:val="28"/>
        </w:rPr>
      </w:pPr>
      <w:bookmarkStart w:id="4" w:name="_Toc203853244"/>
      <w:r w:rsidRPr="0003138F">
        <w:rPr>
          <w:rFonts w:asciiTheme="majorBidi" w:hAnsiTheme="majorBidi" w:cstheme="majorBidi"/>
          <w:b/>
          <w:bCs/>
          <w:sz w:val="28"/>
          <w:szCs w:val="28"/>
        </w:rPr>
        <w:t>Research Questions</w:t>
      </w:r>
      <w:bookmarkEnd w:id="4"/>
      <w:r w:rsidRPr="0003138F">
        <w:rPr>
          <w:rFonts w:asciiTheme="majorBidi" w:hAnsiTheme="majorBidi" w:cstheme="majorBidi"/>
          <w:b/>
          <w:bCs/>
          <w:sz w:val="28"/>
          <w:szCs w:val="28"/>
        </w:rPr>
        <w:t xml:space="preserve"> </w:t>
      </w:r>
    </w:p>
    <w:p w14:paraId="422D0927" w14:textId="77777777" w:rsidR="009326E0" w:rsidRPr="00921DFD" w:rsidRDefault="009326E0" w:rsidP="009326E0">
      <w:pPr>
        <w:numPr>
          <w:ilvl w:val="0"/>
          <w:numId w:val="2"/>
        </w:numPr>
        <w:spacing w:after="0" w:line="480" w:lineRule="auto"/>
        <w:rPr>
          <w:rFonts w:asciiTheme="majorBidi" w:hAnsiTheme="majorBidi" w:cstheme="majorBidi"/>
        </w:rPr>
      </w:pPr>
      <w:r w:rsidRPr="00921DFD">
        <w:rPr>
          <w:rFonts w:asciiTheme="majorBidi" w:hAnsiTheme="majorBidi" w:cstheme="majorBidi"/>
        </w:rPr>
        <w:t>What are the key burnout factors affecting healthcare professionals in the Saudi Arabian healthcare sector?</w:t>
      </w:r>
    </w:p>
    <w:p w14:paraId="54C4F0A3" w14:textId="77777777" w:rsidR="009326E0" w:rsidRPr="00921DFD" w:rsidRDefault="009326E0" w:rsidP="009326E0">
      <w:pPr>
        <w:numPr>
          <w:ilvl w:val="0"/>
          <w:numId w:val="2"/>
        </w:numPr>
        <w:spacing w:after="0" w:line="480" w:lineRule="auto"/>
        <w:rPr>
          <w:rFonts w:asciiTheme="majorBidi" w:hAnsiTheme="majorBidi" w:cstheme="majorBidi"/>
        </w:rPr>
      </w:pPr>
      <w:r w:rsidRPr="00921DFD">
        <w:rPr>
          <w:rFonts w:asciiTheme="majorBidi" w:hAnsiTheme="majorBidi" w:cstheme="majorBidi"/>
        </w:rPr>
        <w:t>How does burnout influence employee relations and workplace interactions in healthcare institutions?</w:t>
      </w:r>
    </w:p>
    <w:p w14:paraId="22508465" w14:textId="77777777" w:rsidR="009326E0" w:rsidRPr="00921DFD" w:rsidRDefault="009326E0" w:rsidP="009326E0">
      <w:pPr>
        <w:numPr>
          <w:ilvl w:val="0"/>
          <w:numId w:val="2"/>
        </w:numPr>
        <w:spacing w:after="0" w:line="480" w:lineRule="auto"/>
        <w:rPr>
          <w:rFonts w:asciiTheme="majorBidi" w:hAnsiTheme="majorBidi" w:cstheme="majorBidi"/>
        </w:rPr>
      </w:pPr>
      <w:r w:rsidRPr="00921DFD">
        <w:rPr>
          <w:rFonts w:asciiTheme="majorBidi" w:hAnsiTheme="majorBidi" w:cstheme="majorBidi"/>
        </w:rPr>
        <w:t>What organizational strategies can be implemented to reduce burnout and enhance employee relations?</w:t>
      </w:r>
    </w:p>
    <w:p w14:paraId="05F3CEBE" w14:textId="77777777" w:rsidR="009326E0" w:rsidRPr="0003138F" w:rsidRDefault="009326E0" w:rsidP="009326E0">
      <w:pPr>
        <w:pStyle w:val="ListParagraph"/>
        <w:numPr>
          <w:ilvl w:val="1"/>
          <w:numId w:val="3"/>
        </w:numPr>
        <w:spacing w:after="0" w:line="480" w:lineRule="auto"/>
        <w:rPr>
          <w:rFonts w:asciiTheme="majorBidi" w:hAnsiTheme="majorBidi" w:cstheme="majorBidi"/>
          <w:b/>
          <w:bCs/>
          <w:sz w:val="28"/>
          <w:szCs w:val="28"/>
        </w:rPr>
      </w:pPr>
      <w:r w:rsidRPr="0003138F">
        <w:rPr>
          <w:rFonts w:asciiTheme="majorBidi" w:hAnsiTheme="majorBidi" w:cstheme="majorBidi"/>
          <w:b/>
          <w:bCs/>
          <w:sz w:val="28"/>
          <w:szCs w:val="28"/>
        </w:rPr>
        <w:lastRenderedPageBreak/>
        <w:t>Research Objectives</w:t>
      </w:r>
    </w:p>
    <w:p w14:paraId="754EFD67" w14:textId="77777777" w:rsidR="009326E0" w:rsidRPr="00921DFD" w:rsidRDefault="009326E0" w:rsidP="009326E0">
      <w:pPr>
        <w:pStyle w:val="ListParagraph"/>
        <w:numPr>
          <w:ilvl w:val="0"/>
          <w:numId w:val="3"/>
        </w:numPr>
        <w:spacing w:after="0" w:line="480" w:lineRule="auto"/>
        <w:jc w:val="both"/>
        <w:rPr>
          <w:rFonts w:asciiTheme="majorBidi" w:hAnsiTheme="majorBidi" w:cstheme="majorBidi"/>
        </w:rPr>
      </w:pPr>
      <w:r w:rsidRPr="00921DFD">
        <w:rPr>
          <w:rFonts w:asciiTheme="majorBidi" w:hAnsiTheme="majorBidi" w:cstheme="majorBidi"/>
        </w:rPr>
        <w:t xml:space="preserve">To identify the key burnout factors affecting healthcare professionals in the Saudi Arabian healthcare sector.  </w:t>
      </w:r>
    </w:p>
    <w:p w14:paraId="725C42F7" w14:textId="77777777" w:rsidR="009326E0" w:rsidRPr="00921DFD" w:rsidRDefault="009326E0" w:rsidP="009326E0">
      <w:pPr>
        <w:pStyle w:val="ListParagraph"/>
        <w:numPr>
          <w:ilvl w:val="0"/>
          <w:numId w:val="3"/>
        </w:numPr>
        <w:spacing w:after="0" w:line="480" w:lineRule="auto"/>
        <w:jc w:val="both"/>
        <w:rPr>
          <w:rFonts w:asciiTheme="majorBidi" w:hAnsiTheme="majorBidi" w:cstheme="majorBidi"/>
        </w:rPr>
      </w:pPr>
      <w:r w:rsidRPr="00921DFD">
        <w:rPr>
          <w:rFonts w:asciiTheme="majorBidi" w:hAnsiTheme="majorBidi" w:cstheme="majorBidi"/>
        </w:rPr>
        <w:t xml:space="preserve">To examine the impact of burnout on employee relations, teamwork, and workplace communication in healthcare institutions.  </w:t>
      </w:r>
    </w:p>
    <w:p w14:paraId="5881E2F5" w14:textId="77777777" w:rsidR="009326E0" w:rsidRPr="00921DFD" w:rsidRDefault="009326E0" w:rsidP="009326E0">
      <w:pPr>
        <w:pStyle w:val="ListParagraph"/>
        <w:numPr>
          <w:ilvl w:val="0"/>
          <w:numId w:val="3"/>
        </w:numPr>
        <w:spacing w:after="0" w:line="480" w:lineRule="auto"/>
        <w:jc w:val="both"/>
        <w:rPr>
          <w:rFonts w:asciiTheme="majorBidi" w:hAnsiTheme="majorBidi" w:cstheme="majorBidi"/>
        </w:rPr>
      </w:pPr>
      <w:r w:rsidRPr="00921DFD">
        <w:rPr>
          <w:rFonts w:asciiTheme="majorBidi" w:hAnsiTheme="majorBidi" w:cstheme="majorBidi"/>
        </w:rPr>
        <w:t xml:space="preserve">To explore effective organizational strategies and interventions for mitigating burnout and improving employee relations in the Saudi Arabian healthcare sector.  </w:t>
      </w:r>
    </w:p>
    <w:p w14:paraId="09ECBA22" w14:textId="77777777" w:rsidR="009326E0" w:rsidRPr="0003138F" w:rsidRDefault="009326E0" w:rsidP="009326E0">
      <w:pPr>
        <w:pStyle w:val="ListParagraph"/>
        <w:numPr>
          <w:ilvl w:val="1"/>
          <w:numId w:val="1"/>
        </w:numPr>
        <w:spacing w:after="0" w:line="480" w:lineRule="auto"/>
        <w:jc w:val="both"/>
        <w:outlineLvl w:val="1"/>
        <w:rPr>
          <w:rFonts w:asciiTheme="majorBidi" w:hAnsiTheme="majorBidi" w:cstheme="majorBidi"/>
          <w:b/>
          <w:bCs/>
          <w:sz w:val="28"/>
          <w:szCs w:val="28"/>
          <w:u w:val="single"/>
        </w:rPr>
      </w:pPr>
      <w:bookmarkStart w:id="5" w:name="_Toc203853245"/>
      <w:r w:rsidRPr="0003138F">
        <w:rPr>
          <w:rFonts w:asciiTheme="majorBidi" w:hAnsiTheme="majorBidi" w:cstheme="majorBidi"/>
          <w:b/>
          <w:bCs/>
          <w:sz w:val="28"/>
          <w:szCs w:val="28"/>
          <w:u w:val="single"/>
        </w:rPr>
        <w:t>Research Significance</w:t>
      </w:r>
      <w:bookmarkEnd w:id="5"/>
    </w:p>
    <w:p w14:paraId="59AD57C2" w14:textId="77777777" w:rsidR="009326E0" w:rsidRPr="0003138F" w:rsidRDefault="009326E0" w:rsidP="009326E0">
      <w:pPr>
        <w:pStyle w:val="ListParagraph"/>
        <w:numPr>
          <w:ilvl w:val="2"/>
          <w:numId w:val="1"/>
        </w:numPr>
        <w:spacing w:after="0" w:line="480" w:lineRule="auto"/>
        <w:jc w:val="both"/>
        <w:outlineLvl w:val="2"/>
        <w:rPr>
          <w:rFonts w:asciiTheme="majorBidi" w:hAnsiTheme="majorBidi" w:cstheme="majorBidi"/>
          <w:b/>
          <w:bCs/>
          <w:u w:val="single"/>
        </w:rPr>
      </w:pPr>
      <w:bookmarkStart w:id="6" w:name="_Toc203853246"/>
      <w:r w:rsidRPr="0003138F">
        <w:rPr>
          <w:rFonts w:asciiTheme="majorBidi" w:hAnsiTheme="majorBidi" w:cstheme="majorBidi"/>
          <w:b/>
          <w:bCs/>
          <w:u w:val="single"/>
        </w:rPr>
        <w:t>Theoretical Significance</w:t>
      </w:r>
      <w:bookmarkEnd w:id="6"/>
    </w:p>
    <w:p w14:paraId="6A0C8A29" w14:textId="77777777" w:rsidR="009326E0" w:rsidRPr="00921DFD" w:rsidRDefault="009326E0" w:rsidP="009326E0">
      <w:pPr>
        <w:spacing w:after="0" w:line="480" w:lineRule="auto"/>
        <w:ind w:firstLine="720"/>
        <w:jc w:val="both"/>
        <w:rPr>
          <w:rFonts w:asciiTheme="majorBidi" w:hAnsiTheme="majorBidi" w:cstheme="majorBidi"/>
        </w:rPr>
      </w:pPr>
      <w:r w:rsidRPr="00921DFD">
        <w:rPr>
          <w:rFonts w:asciiTheme="majorBidi" w:hAnsiTheme="majorBidi" w:cstheme="majorBidi"/>
        </w:rPr>
        <w:t>This study contributes to the existing body of knowledge on burnout and employee relations in the healthcare sector, particularly within the Saudi Arabian context, where cultural and organizational dynamics may influence how burnout manifests and impacts workplace interactions. By examining the relationship between burnout factors (emotional exhaustion, depersonalization, and reduced personal accomplishment) and employee relations, this research expands theoretical frameworks related to occupational stress, job satisfaction, and organizational behavior in healthcare settings. Furthermore, this study builds on Maslach’s Burnout Theory and workplace psychology models, providing insights into how burnout influences interpersonal relationships and team dynamics. The findings may serve as a foundation for future research on employee well-being, organizational development, and workforce sustainability in high-stress environments.</w:t>
      </w:r>
    </w:p>
    <w:p w14:paraId="7E1D3B2E" w14:textId="77777777" w:rsidR="009326E0" w:rsidRPr="0003138F" w:rsidRDefault="009326E0" w:rsidP="009326E0">
      <w:pPr>
        <w:pStyle w:val="ListParagraph"/>
        <w:numPr>
          <w:ilvl w:val="2"/>
          <w:numId w:val="1"/>
        </w:numPr>
        <w:spacing w:after="0" w:line="480" w:lineRule="auto"/>
        <w:jc w:val="both"/>
        <w:outlineLvl w:val="2"/>
        <w:rPr>
          <w:rFonts w:asciiTheme="majorBidi" w:hAnsiTheme="majorBidi" w:cstheme="majorBidi"/>
          <w:b/>
          <w:bCs/>
          <w:u w:val="single"/>
        </w:rPr>
      </w:pPr>
      <w:bookmarkStart w:id="7" w:name="_Toc203853247"/>
      <w:r w:rsidRPr="0003138F">
        <w:rPr>
          <w:rFonts w:asciiTheme="majorBidi" w:hAnsiTheme="majorBidi" w:cstheme="majorBidi"/>
          <w:b/>
          <w:bCs/>
          <w:u w:val="single"/>
        </w:rPr>
        <w:t>Practical Significance</w:t>
      </w:r>
      <w:bookmarkEnd w:id="7"/>
    </w:p>
    <w:p w14:paraId="42745051" w14:textId="77777777" w:rsidR="009326E0" w:rsidRDefault="009326E0" w:rsidP="009326E0">
      <w:pPr>
        <w:spacing w:after="0" w:line="480" w:lineRule="auto"/>
        <w:ind w:firstLine="720"/>
        <w:jc w:val="both"/>
        <w:rPr>
          <w:rFonts w:asciiTheme="majorBidi" w:hAnsiTheme="majorBidi" w:cstheme="majorBidi"/>
        </w:rPr>
      </w:pPr>
      <w:r w:rsidRPr="00921DFD">
        <w:rPr>
          <w:rFonts w:asciiTheme="majorBidi" w:hAnsiTheme="majorBidi" w:cstheme="majorBidi"/>
        </w:rPr>
        <w:t xml:space="preserve">From a practical perspective, this study provides valuable insights for healthcare administrators, policymakers, and human resource professionals in Saudi Arabia. Understanding </w:t>
      </w:r>
      <w:r w:rsidRPr="00921DFD">
        <w:rPr>
          <w:rFonts w:asciiTheme="majorBidi" w:hAnsiTheme="majorBidi" w:cstheme="majorBidi"/>
        </w:rPr>
        <w:lastRenderedPageBreak/>
        <w:t>the impact of burnout on employee relations can help organizations develop effective intervention strategies, such as stress management programs, workload redistribution, and mental health support services, to improve employee well-being and workplace harmony. Additionally, the study’s findings can guide policy reforms and organizational improvements by highlighting the need for supportive leadership, enhanced communication channels, and workplace culture shifts to reduce burnout and foster a more collaborative and productive work environment. Implementing these changes can lead to lower turnover rates, improved healthcare service delivery, and better patient outcomes, ensuring a more sustainable and resilient healthcare workforce in Saudi Arabia.</w:t>
      </w:r>
    </w:p>
    <w:p w14:paraId="033A0FF7" w14:textId="77777777" w:rsidR="009326E0" w:rsidRPr="0003138F" w:rsidRDefault="009326E0" w:rsidP="009326E0">
      <w:pPr>
        <w:pStyle w:val="ListParagraph"/>
        <w:numPr>
          <w:ilvl w:val="1"/>
          <w:numId w:val="1"/>
        </w:numPr>
        <w:spacing w:after="0" w:line="480" w:lineRule="auto"/>
        <w:outlineLvl w:val="1"/>
        <w:rPr>
          <w:rFonts w:ascii="Times New Roman" w:eastAsia="Times New Roman" w:hAnsi="Times New Roman" w:cs="Times New Roman"/>
          <w:b/>
          <w:bCs/>
          <w:sz w:val="28"/>
          <w:szCs w:val="28"/>
          <w:u w:val="single"/>
        </w:rPr>
      </w:pPr>
      <w:bookmarkStart w:id="8" w:name="_Toc203853248"/>
      <w:r w:rsidRPr="0003138F">
        <w:rPr>
          <w:rFonts w:ascii="Times New Roman" w:eastAsia="Times New Roman" w:hAnsi="Times New Roman" w:cs="Times New Roman"/>
          <w:b/>
          <w:bCs/>
          <w:sz w:val="28"/>
          <w:szCs w:val="28"/>
          <w:u w:val="single"/>
        </w:rPr>
        <w:t>Variables in the Study</w:t>
      </w:r>
      <w:bookmarkEnd w:id="8"/>
    </w:p>
    <w:p w14:paraId="658336B8" w14:textId="77777777" w:rsidR="009326E0" w:rsidRPr="007A52EF" w:rsidRDefault="009326E0" w:rsidP="009326E0">
      <w:pPr>
        <w:pStyle w:val="ListParagraph"/>
        <w:numPr>
          <w:ilvl w:val="0"/>
          <w:numId w:val="4"/>
        </w:numPr>
        <w:spacing w:after="0" w:line="480" w:lineRule="auto"/>
        <w:rPr>
          <w:rFonts w:asciiTheme="majorBidi" w:eastAsia="Times New Roman" w:hAnsiTheme="majorBidi" w:cstheme="majorBidi"/>
        </w:rPr>
      </w:pPr>
      <w:r w:rsidRPr="007A52EF">
        <w:rPr>
          <w:rFonts w:asciiTheme="majorBidi" w:eastAsia="Times New Roman" w:hAnsiTheme="majorBidi" w:cstheme="majorBidi"/>
          <w:b/>
          <w:bCs/>
        </w:rPr>
        <w:t>Independent Variables</w:t>
      </w:r>
      <w:r w:rsidRPr="007A52EF">
        <w:rPr>
          <w:rFonts w:asciiTheme="majorBidi" w:eastAsia="Times New Roman" w:hAnsiTheme="majorBidi" w:cstheme="majorBidi"/>
        </w:rPr>
        <w:t xml:space="preserve"> is Burnout Factors with dimension </w:t>
      </w:r>
      <w:r w:rsidRPr="007A52EF">
        <w:rPr>
          <w:rFonts w:asciiTheme="majorBidi" w:hAnsiTheme="majorBidi" w:cstheme="majorBidi"/>
        </w:rPr>
        <w:t xml:space="preserve">Emotional Exhaustion, </w:t>
      </w:r>
      <w:r w:rsidRPr="007A52EF">
        <w:rPr>
          <w:rStyle w:val="Strong"/>
          <w:rFonts w:asciiTheme="majorBidi" w:hAnsiTheme="majorBidi"/>
        </w:rPr>
        <w:t>Depersonalization</w:t>
      </w:r>
    </w:p>
    <w:p w14:paraId="75D70F54" w14:textId="77777777" w:rsidR="009326E0" w:rsidRPr="007A52EF" w:rsidRDefault="009326E0" w:rsidP="009326E0">
      <w:pPr>
        <w:pStyle w:val="ListParagraph"/>
        <w:numPr>
          <w:ilvl w:val="0"/>
          <w:numId w:val="4"/>
        </w:numPr>
        <w:spacing w:after="0" w:line="480" w:lineRule="auto"/>
        <w:rPr>
          <w:rFonts w:ascii="Times New Roman" w:eastAsia="Times New Roman" w:hAnsi="Times New Roman" w:cs="Times New Roman"/>
        </w:rPr>
      </w:pPr>
      <w:r w:rsidRPr="007A52EF">
        <w:rPr>
          <w:rFonts w:ascii="Times New Roman" w:eastAsia="Times New Roman" w:hAnsi="Times New Roman" w:cs="Times New Roman"/>
          <w:b/>
          <w:bCs/>
        </w:rPr>
        <w:t>Dependent Variable</w:t>
      </w:r>
      <w:r w:rsidRPr="00921DFD">
        <w:rPr>
          <w:rFonts w:ascii="Times New Roman" w:eastAsia="Times New Roman" w:hAnsi="Times New Roman" w:cs="Times New Roman"/>
        </w:rPr>
        <w:t xml:space="preserve"> is </w:t>
      </w:r>
      <w:r w:rsidRPr="007A52EF">
        <w:rPr>
          <w:rFonts w:asciiTheme="majorBidi" w:eastAsia="Times New Roman" w:hAnsiTheme="majorBidi" w:cstheme="majorBidi"/>
        </w:rPr>
        <w:t xml:space="preserve">Employee Relations with dimension </w:t>
      </w:r>
      <w:r w:rsidRPr="007A52EF">
        <w:rPr>
          <w:rFonts w:asciiTheme="majorBidi" w:hAnsiTheme="majorBidi" w:cstheme="majorBidi"/>
        </w:rPr>
        <w:t>Workplace interactions, communication</w:t>
      </w:r>
    </w:p>
    <w:p w14:paraId="5673FC3B" w14:textId="77777777" w:rsidR="009326E0" w:rsidRPr="007A52EF" w:rsidRDefault="009326E0" w:rsidP="009326E0">
      <w:pPr>
        <w:spacing w:after="0" w:line="480" w:lineRule="auto"/>
        <w:rPr>
          <w:rFonts w:ascii="Times New Roman" w:eastAsia="Times New Roman" w:hAnsi="Times New Roman" w:cs="Times New Roman"/>
          <w:rtl/>
          <w:lang w:bidi="ar-EG"/>
        </w:rPr>
      </w:pPr>
    </w:p>
    <w:p w14:paraId="3AA040DF" w14:textId="77777777" w:rsidR="009326E0" w:rsidRPr="00921DFD" w:rsidRDefault="009326E0" w:rsidP="009326E0">
      <w:pPr>
        <w:spacing w:after="0" w:line="480" w:lineRule="auto"/>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114300" distR="114300" simplePos="0" relativeHeight="251660288" behindDoc="0" locked="0" layoutInCell="1" allowOverlap="1" wp14:anchorId="45252188" wp14:editId="3C84388C">
                <wp:simplePos x="0" y="0"/>
                <wp:positionH relativeFrom="column">
                  <wp:posOffset>3415424</wp:posOffset>
                </wp:positionH>
                <wp:positionV relativeFrom="paragraph">
                  <wp:posOffset>6810</wp:posOffset>
                </wp:positionV>
                <wp:extent cx="1797269" cy="772510"/>
                <wp:effectExtent l="0" t="0" r="12700" b="27940"/>
                <wp:wrapNone/>
                <wp:docPr id="2" name="Rectangle 2"/>
                <wp:cNvGraphicFramePr/>
                <a:graphic xmlns:a="http://schemas.openxmlformats.org/drawingml/2006/main">
                  <a:graphicData uri="http://schemas.microsoft.com/office/word/2010/wordprocessingShape">
                    <wps:wsp>
                      <wps:cNvSpPr/>
                      <wps:spPr>
                        <a:xfrm>
                          <a:off x="0" y="0"/>
                          <a:ext cx="1797269" cy="772510"/>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BA87D8" w14:textId="77777777" w:rsidR="009326E0" w:rsidRPr="007A52EF" w:rsidRDefault="009326E0" w:rsidP="009326E0">
                            <w:pPr>
                              <w:jc w:val="center"/>
                              <w:rPr>
                                <w:rFonts w:ascii="Times New Roman" w:eastAsia="Times New Roman" w:hAnsi="Times New Roman" w:cs="Times New Roman"/>
                                <w:color w:val="000000" w:themeColor="text1"/>
                                <w:rtl/>
                              </w:rPr>
                            </w:pPr>
                            <w:r w:rsidRPr="007A52EF">
                              <w:rPr>
                                <w:rFonts w:ascii="Times New Roman" w:eastAsia="Times New Roman" w:hAnsi="Times New Roman" w:cs="Times New Roman"/>
                                <w:b/>
                                <w:bCs/>
                                <w:color w:val="000000" w:themeColor="text1"/>
                              </w:rPr>
                              <w:t>Dependent Variable</w:t>
                            </w:r>
                            <w:r w:rsidRPr="007A52EF">
                              <w:rPr>
                                <w:rFonts w:ascii="Times New Roman" w:eastAsia="Times New Roman" w:hAnsi="Times New Roman" w:cs="Times New Roman"/>
                                <w:color w:val="000000" w:themeColor="text1"/>
                              </w:rPr>
                              <w:t xml:space="preserve"> </w:t>
                            </w:r>
                          </w:p>
                          <w:p w14:paraId="00FA306E" w14:textId="77777777" w:rsidR="009326E0" w:rsidRPr="007A52EF" w:rsidRDefault="009326E0" w:rsidP="009326E0">
                            <w:pPr>
                              <w:jc w:val="center"/>
                              <w:rPr>
                                <w:color w:val="000000" w:themeColor="text1"/>
                              </w:rPr>
                            </w:pPr>
                            <w:r w:rsidRPr="007A52EF">
                              <w:rPr>
                                <w:rFonts w:asciiTheme="majorBidi" w:eastAsia="Times New Roman" w:hAnsiTheme="majorBidi" w:cstheme="majorBidi"/>
                                <w:color w:val="000000" w:themeColor="text1"/>
                              </w:rPr>
                              <w:t>Employee Relations</w:t>
                            </w:r>
                            <w:r w:rsidRPr="007A52EF">
                              <w:rPr>
                                <w:rFonts w:ascii="Times New Roman" w:eastAsia="Times New Roman" w:hAnsi="Times New Roman" w:cs="Times New Roman"/>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252188" id="Rectangle 2" o:spid="_x0000_s1026" style="position:absolute;margin-left:268.95pt;margin-top:.55pt;width:141.5pt;height:60.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" fillcolor="#e8e8e8 [3214]" strokecolor="#0a2f40 [1604]" strokeweight="1pt">
                <v:textbox>
                  <w:txbxContent>
                    <w:p w14:paraId="1ABA87D8" w14:textId="77777777" w:rsidR="009326E0" w:rsidRPr="007A52EF" w:rsidRDefault="009326E0" w:rsidP="009326E0">
                      <w:pPr>
                        <w:jc w:val="center"/>
                        <w:rPr>
                          <w:rFonts w:ascii="Times New Roman" w:eastAsia="Times New Roman" w:hAnsi="Times New Roman" w:cs="Times New Roman"/>
                          <w:color w:val="000000" w:themeColor="text1"/>
                          <w:rtl/>
                        </w:rPr>
                      </w:pPr>
                      <w:r w:rsidRPr="007A52EF">
                        <w:rPr>
                          <w:rFonts w:ascii="Times New Roman" w:eastAsia="Times New Roman" w:hAnsi="Times New Roman" w:cs="Times New Roman"/>
                          <w:b/>
                          <w:bCs/>
                          <w:color w:val="000000" w:themeColor="text1"/>
                        </w:rPr>
                        <w:t>Dependent Variable</w:t>
                      </w:r>
                      <w:r w:rsidRPr="007A52EF">
                        <w:rPr>
                          <w:rFonts w:ascii="Times New Roman" w:eastAsia="Times New Roman" w:hAnsi="Times New Roman" w:cs="Times New Roman"/>
                          <w:color w:val="000000" w:themeColor="text1"/>
                        </w:rPr>
                        <w:t xml:space="preserve"> </w:t>
                      </w:r>
                    </w:p>
                    <w:p w14:paraId="00FA306E" w14:textId="77777777" w:rsidR="009326E0" w:rsidRPr="007A52EF" w:rsidRDefault="009326E0" w:rsidP="009326E0">
                      <w:pPr>
                        <w:jc w:val="center"/>
                        <w:rPr>
                          <w:color w:val="000000" w:themeColor="text1"/>
                        </w:rPr>
                      </w:pPr>
                      <w:r w:rsidRPr="007A52EF">
                        <w:rPr>
                          <w:rFonts w:asciiTheme="majorBidi" w:eastAsia="Times New Roman" w:hAnsiTheme="majorBidi" w:cstheme="majorBidi"/>
                          <w:color w:val="000000" w:themeColor="text1"/>
                        </w:rPr>
                        <w:t>Employee Relations</w:t>
                      </w:r>
                      <w:r w:rsidRPr="007A52EF">
                        <w:rPr>
                          <w:rFonts w:ascii="Times New Roman" w:eastAsia="Times New Roman" w:hAnsi="Times New Roman" w:cs="Times New Roman"/>
                          <w:color w:val="000000" w:themeColor="text1"/>
                        </w:rPr>
                        <w:t xml:space="preserve"> </w:t>
                      </w:r>
                    </w:p>
                  </w:txbxContent>
                </v:textbox>
              </v:rect>
            </w:pict>
          </mc:Fallback>
        </mc:AlternateContent>
      </w: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14:anchorId="377A1A0B" wp14:editId="6245E0E6">
                <wp:simplePos x="0" y="0"/>
                <wp:positionH relativeFrom="column">
                  <wp:posOffset>394138</wp:posOffset>
                </wp:positionH>
                <wp:positionV relativeFrom="paragraph">
                  <wp:posOffset>12131</wp:posOffset>
                </wp:positionV>
                <wp:extent cx="1797269" cy="772510"/>
                <wp:effectExtent l="0" t="0" r="12700" b="27940"/>
                <wp:wrapNone/>
                <wp:docPr id="1" name="Rectangle 1"/>
                <wp:cNvGraphicFramePr/>
                <a:graphic xmlns:a="http://schemas.openxmlformats.org/drawingml/2006/main">
                  <a:graphicData uri="http://schemas.microsoft.com/office/word/2010/wordprocessingShape">
                    <wps:wsp>
                      <wps:cNvSpPr/>
                      <wps:spPr>
                        <a:xfrm>
                          <a:off x="0" y="0"/>
                          <a:ext cx="1797269" cy="772510"/>
                        </a:xfrm>
                        <a:prstGeom prst="rect">
                          <a:avLst/>
                        </a:prstGeom>
                        <a:solidFill>
                          <a:schemeClr val="bg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209FF7" w14:textId="77777777" w:rsidR="009326E0" w:rsidRPr="007A52EF" w:rsidRDefault="009326E0" w:rsidP="009326E0">
                            <w:pPr>
                              <w:jc w:val="center"/>
                              <w:rPr>
                                <w:rFonts w:asciiTheme="majorBidi" w:eastAsia="Times New Roman" w:hAnsiTheme="majorBidi" w:cstheme="majorBidi"/>
                                <w:b/>
                                <w:bCs/>
                                <w:color w:val="000000" w:themeColor="text1"/>
                                <w:rtl/>
                              </w:rPr>
                            </w:pPr>
                            <w:r w:rsidRPr="007A52EF">
                              <w:rPr>
                                <w:rFonts w:asciiTheme="majorBidi" w:eastAsia="Times New Roman" w:hAnsiTheme="majorBidi" w:cstheme="majorBidi"/>
                                <w:b/>
                                <w:bCs/>
                                <w:color w:val="000000" w:themeColor="text1"/>
                              </w:rPr>
                              <w:t>Independent Variables</w:t>
                            </w:r>
                          </w:p>
                          <w:p w14:paraId="13A57C75" w14:textId="77777777" w:rsidR="009326E0" w:rsidRPr="007A52EF" w:rsidRDefault="009326E0" w:rsidP="009326E0">
                            <w:pPr>
                              <w:jc w:val="center"/>
                              <w:rPr>
                                <w:color w:val="000000" w:themeColor="text1"/>
                              </w:rPr>
                            </w:pPr>
                            <w:r w:rsidRPr="007A52EF">
                              <w:rPr>
                                <w:rFonts w:asciiTheme="majorBidi" w:eastAsia="Times New Roman" w:hAnsiTheme="majorBidi" w:cstheme="majorBidi"/>
                                <w:color w:val="000000" w:themeColor="text1"/>
                              </w:rPr>
                              <w:t>Burnout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7A1A0B" id="Rectangle 1" o:spid="_x0000_s1027" style="position:absolute;margin-left:31.05pt;margin-top:.95pt;width:141.5pt;height:60.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" fillcolor="#e8e8e8 [3214]" strokecolor="#0a2f40 [1604]" strokeweight="1pt">
                <v:textbox>
                  <w:txbxContent>
                    <w:p w14:paraId="19209FF7" w14:textId="77777777" w:rsidR="009326E0" w:rsidRPr="007A52EF" w:rsidRDefault="009326E0" w:rsidP="009326E0">
                      <w:pPr>
                        <w:jc w:val="center"/>
                        <w:rPr>
                          <w:rFonts w:asciiTheme="majorBidi" w:eastAsia="Times New Roman" w:hAnsiTheme="majorBidi" w:cstheme="majorBidi"/>
                          <w:b/>
                          <w:bCs/>
                          <w:color w:val="000000" w:themeColor="text1"/>
                          <w:rtl/>
                        </w:rPr>
                      </w:pPr>
                      <w:r w:rsidRPr="007A52EF">
                        <w:rPr>
                          <w:rFonts w:asciiTheme="majorBidi" w:eastAsia="Times New Roman" w:hAnsiTheme="majorBidi" w:cstheme="majorBidi"/>
                          <w:b/>
                          <w:bCs/>
                          <w:color w:val="000000" w:themeColor="text1"/>
                        </w:rPr>
                        <w:t>Independent Variables</w:t>
                      </w:r>
                    </w:p>
                    <w:p w14:paraId="13A57C75" w14:textId="77777777" w:rsidR="009326E0" w:rsidRPr="007A52EF" w:rsidRDefault="009326E0" w:rsidP="009326E0">
                      <w:pPr>
                        <w:jc w:val="center"/>
                        <w:rPr>
                          <w:color w:val="000000" w:themeColor="text1"/>
                        </w:rPr>
                      </w:pPr>
                      <w:r w:rsidRPr="007A52EF">
                        <w:rPr>
                          <w:rFonts w:asciiTheme="majorBidi" w:eastAsia="Times New Roman" w:hAnsiTheme="majorBidi" w:cstheme="majorBidi"/>
                          <w:color w:val="000000" w:themeColor="text1"/>
                        </w:rPr>
                        <w:t>Burnout Factors</w:t>
                      </w:r>
                    </w:p>
                  </w:txbxContent>
                </v:textbox>
              </v:rect>
            </w:pict>
          </mc:Fallback>
        </mc:AlternateContent>
      </w:r>
    </w:p>
    <w:p w14:paraId="30E571E5" w14:textId="77777777" w:rsidR="009326E0" w:rsidRDefault="009326E0" w:rsidP="009326E0">
      <w:pPr>
        <w:spacing w:after="0" w:line="480" w:lineRule="auto"/>
        <w:jc w:val="both"/>
        <w:rPr>
          <w:rFonts w:asciiTheme="majorBidi" w:hAnsiTheme="majorBidi" w:cstheme="majorBidi"/>
        </w:rPr>
      </w:pPr>
      <w:r>
        <w:rPr>
          <w:rFonts w:asciiTheme="majorBidi" w:hAnsiTheme="majorBidi" w:cstheme="majorBidi"/>
          <w:noProof/>
        </w:rPr>
        <mc:AlternateContent>
          <mc:Choice Requires="wps">
            <w:drawing>
              <wp:anchor distT="0" distB="0" distL="114300" distR="114300" simplePos="0" relativeHeight="251668480" behindDoc="0" locked="0" layoutInCell="1" allowOverlap="1" wp14:anchorId="2DD1CDA5" wp14:editId="64CAF09B">
                <wp:simplePos x="0" y="0"/>
                <wp:positionH relativeFrom="column">
                  <wp:posOffset>1907628</wp:posOffset>
                </wp:positionH>
                <wp:positionV relativeFrom="paragraph">
                  <wp:posOffset>2591457</wp:posOffset>
                </wp:positionV>
                <wp:extent cx="1876096" cy="118832"/>
                <wp:effectExtent l="0" t="0" r="67310" b="90805"/>
                <wp:wrapNone/>
                <wp:docPr id="10" name="Straight Arrow Connector 10"/>
                <wp:cNvGraphicFramePr/>
                <a:graphic xmlns:a="http://schemas.openxmlformats.org/drawingml/2006/main">
                  <a:graphicData uri="http://schemas.microsoft.com/office/word/2010/wordprocessingShape">
                    <wps:wsp>
                      <wps:cNvCnPr/>
                      <wps:spPr>
                        <a:xfrm>
                          <a:off x="0" y="0"/>
                          <a:ext cx="1876096" cy="1188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2A593309" id="_x0000_t32" coordsize="21600,21600" o:spt="32" o:oned="t" path="m,l21600,21600e" filled="f">
                <v:path arrowok="t" fillok="f" o:connecttype="none"/>
                <o:lock v:ext="edit" shapetype="t"/>
              </v:shapetype>
              <v:shape id="Straight Arrow Connector 10" o:spid="_x0000_s1026" type="#_x0000_t32" style="position:absolute;margin-left:150.2pt;margin-top:204.05pt;width:147.7pt;height:9.3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" strokecolor="#156082 [3204]" strokeweight=".5pt">
                <v:stroke endarrow="block" joinstyle="miter"/>
              </v:shape>
            </w:pict>
          </mc:Fallback>
        </mc:AlternateContent>
      </w:r>
      <w:r>
        <w:rPr>
          <w:rFonts w:asciiTheme="majorBidi" w:hAnsiTheme="majorBidi" w:cstheme="majorBidi"/>
          <w:noProof/>
        </w:rPr>
        <mc:AlternateContent>
          <mc:Choice Requires="wps">
            <w:drawing>
              <wp:anchor distT="0" distB="0" distL="114300" distR="114300" simplePos="0" relativeHeight="251666432" behindDoc="0" locked="0" layoutInCell="1" allowOverlap="1" wp14:anchorId="587D56F4" wp14:editId="5B7DB704">
                <wp:simplePos x="0" y="0"/>
                <wp:positionH relativeFrom="column">
                  <wp:posOffset>1986455</wp:posOffset>
                </wp:positionH>
                <wp:positionV relativeFrom="paragraph">
                  <wp:posOffset>1298684</wp:posOffset>
                </wp:positionV>
                <wp:extent cx="1796963" cy="1412153"/>
                <wp:effectExtent l="0" t="0" r="70485" b="55245"/>
                <wp:wrapNone/>
                <wp:docPr id="8" name="Straight Arrow Connector 8"/>
                <wp:cNvGraphicFramePr/>
                <a:graphic xmlns:a="http://schemas.openxmlformats.org/drawingml/2006/main">
                  <a:graphicData uri="http://schemas.microsoft.com/office/word/2010/wordprocessingShape">
                    <wps:wsp>
                      <wps:cNvCnPr/>
                      <wps:spPr>
                        <a:xfrm>
                          <a:off x="0" y="0"/>
                          <a:ext cx="1796963" cy="14121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84C938" id="Straight Arrow Connector 8" o:spid="_x0000_s1026" type="#_x0000_t32" style="position:absolute;margin-left:156.4pt;margin-top:102.25pt;width:141.5pt;height:11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" strokecolor="#156082 [3204]" strokeweight=".5pt">
                <v:stroke endarrow="block" joinstyle="miter"/>
              </v:shape>
            </w:pict>
          </mc:Fallback>
        </mc:AlternateContent>
      </w:r>
      <w:r>
        <w:rPr>
          <w:rFonts w:asciiTheme="majorBidi" w:hAnsiTheme="majorBidi" w:cstheme="majorBidi"/>
          <w:noProof/>
        </w:rPr>
        <mc:AlternateContent>
          <mc:Choice Requires="wps">
            <w:drawing>
              <wp:anchor distT="0" distB="0" distL="114300" distR="114300" simplePos="0" relativeHeight="251667456" behindDoc="0" locked="0" layoutInCell="1" allowOverlap="1" wp14:anchorId="00E2EF45" wp14:editId="1D01E33D">
                <wp:simplePos x="0" y="0"/>
                <wp:positionH relativeFrom="column">
                  <wp:posOffset>1907496</wp:posOffset>
                </wp:positionH>
                <wp:positionV relativeFrom="paragraph">
                  <wp:posOffset>1550779</wp:posOffset>
                </wp:positionV>
                <wp:extent cx="1876228" cy="1040130"/>
                <wp:effectExtent l="0" t="38100" r="48260" b="26670"/>
                <wp:wrapNone/>
                <wp:docPr id="9" name="Straight Arrow Connector 9"/>
                <wp:cNvGraphicFramePr/>
                <a:graphic xmlns:a="http://schemas.openxmlformats.org/drawingml/2006/main">
                  <a:graphicData uri="http://schemas.microsoft.com/office/word/2010/wordprocessingShape">
                    <wps:wsp>
                      <wps:cNvCnPr/>
                      <wps:spPr>
                        <a:xfrm flipV="1">
                          <a:off x="0" y="0"/>
                          <a:ext cx="1876228" cy="10401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16F55F" id="Straight Arrow Connector 9" o:spid="_x0000_s1026" type="#_x0000_t32" style="position:absolute;margin-left:150.2pt;margin-top:122.1pt;width:147.75pt;height:81.9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" strokecolor="#156082 [3204]" strokeweight=".5pt">
                <v:stroke endarrow="block" joinstyle="miter"/>
              </v:shape>
            </w:pict>
          </mc:Fallback>
        </mc:AlternateContent>
      </w:r>
      <w:r>
        <w:rPr>
          <w:rFonts w:asciiTheme="majorBidi" w:hAnsiTheme="majorBidi" w:cstheme="majorBidi"/>
          <w:noProof/>
        </w:rPr>
        <mc:AlternateContent>
          <mc:Choice Requires="wps">
            <w:drawing>
              <wp:anchor distT="0" distB="0" distL="114300" distR="114300" simplePos="0" relativeHeight="251665408" behindDoc="0" locked="0" layoutInCell="1" allowOverlap="1" wp14:anchorId="6C776557" wp14:editId="3B779934">
                <wp:simplePos x="0" y="0"/>
                <wp:positionH relativeFrom="column">
                  <wp:posOffset>1986236</wp:posOffset>
                </wp:positionH>
                <wp:positionV relativeFrom="paragraph">
                  <wp:posOffset>1298684</wp:posOffset>
                </wp:positionV>
                <wp:extent cx="1797488" cy="252249"/>
                <wp:effectExtent l="0" t="0" r="69850" b="90805"/>
                <wp:wrapNone/>
                <wp:docPr id="7" name="Straight Arrow Connector 7"/>
                <wp:cNvGraphicFramePr/>
                <a:graphic xmlns:a="http://schemas.openxmlformats.org/drawingml/2006/main">
                  <a:graphicData uri="http://schemas.microsoft.com/office/word/2010/wordprocessingShape">
                    <wps:wsp>
                      <wps:cNvCnPr/>
                      <wps:spPr>
                        <a:xfrm>
                          <a:off x="0" y="0"/>
                          <a:ext cx="1797488" cy="2522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0F3ECF" id="Straight Arrow Connector 7" o:spid="_x0000_s1026" type="#_x0000_t32" style="position:absolute;margin-left:156.4pt;margin-top:102.25pt;width:141.55pt;height:19.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" strokecolor="#156082 [3204]" strokeweight=".5pt">
                <v:stroke endarrow="block" joinstyle="miter"/>
              </v:shape>
            </w:pict>
          </mc:Fallback>
        </mc:AlternateContent>
      </w:r>
      <w:r>
        <w:rPr>
          <w:rFonts w:asciiTheme="majorBidi" w:hAnsiTheme="majorBidi" w:cstheme="majorBidi"/>
          <w:noProof/>
        </w:rPr>
        <mc:AlternateContent>
          <mc:Choice Requires="wps">
            <w:drawing>
              <wp:anchor distT="0" distB="0" distL="114300" distR="114300" simplePos="0" relativeHeight="251661312" behindDoc="0" locked="0" layoutInCell="1" allowOverlap="1" wp14:anchorId="763D32FC" wp14:editId="24D9D83F">
                <wp:simplePos x="0" y="0"/>
                <wp:positionH relativeFrom="column">
                  <wp:posOffset>646385</wp:posOffset>
                </wp:positionH>
                <wp:positionV relativeFrom="paragraph">
                  <wp:posOffset>904547</wp:posOffset>
                </wp:positionV>
                <wp:extent cx="1340069" cy="898525"/>
                <wp:effectExtent l="0" t="0" r="12700" b="15875"/>
                <wp:wrapNone/>
                <wp:docPr id="3" name="Oval 3"/>
                <wp:cNvGraphicFramePr/>
                <a:graphic xmlns:a="http://schemas.openxmlformats.org/drawingml/2006/main">
                  <a:graphicData uri="http://schemas.microsoft.com/office/word/2010/wordprocessingShape">
                    <wps:wsp>
                      <wps:cNvSpPr/>
                      <wps:spPr>
                        <a:xfrm>
                          <a:off x="0" y="0"/>
                          <a:ext cx="1340069" cy="898525"/>
                        </a:xfrm>
                        <a:prstGeom prst="ellipse">
                          <a:avLst/>
                        </a:prstGeom>
                        <a:solidFill>
                          <a:schemeClr val="tx1">
                            <a:lumMod val="50000"/>
                            <a:lumOff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A45C8C" w14:textId="77777777" w:rsidR="009326E0" w:rsidRPr="007A52EF" w:rsidRDefault="009326E0" w:rsidP="009326E0">
                            <w:pPr>
                              <w:jc w:val="center"/>
                              <w:rPr>
                                <w:b/>
                                <w:bCs/>
                                <w:color w:val="000000" w:themeColor="text1"/>
                              </w:rPr>
                            </w:pPr>
                            <w:r w:rsidRPr="007A52EF">
                              <w:rPr>
                                <w:rFonts w:asciiTheme="majorBidi" w:hAnsiTheme="majorBidi" w:cstheme="majorBidi"/>
                                <w:b/>
                                <w:bCs/>
                                <w:color w:val="000000" w:themeColor="text1"/>
                              </w:rPr>
                              <w:t>Emotional Exhaustion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63D32FC" id="Oval 3" o:spid="_x0000_s1028" style="position:absolute;left:0;text-align:left;margin-left:50.9pt;margin-top:71.2pt;width:105.5pt;height:70.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" fillcolor="gray [1629]" strokecolor="#0a2f40 [1604]" strokeweight="1pt">
                <v:stroke joinstyle="miter"/>
                <v:textbox>
                  <w:txbxContent>
                    <w:p w14:paraId="4EA45C8C" w14:textId="77777777" w:rsidR="009326E0" w:rsidRPr="007A52EF" w:rsidRDefault="009326E0" w:rsidP="009326E0">
                      <w:pPr>
                        <w:jc w:val="center"/>
                        <w:rPr>
                          <w:b/>
                          <w:bCs/>
                          <w:color w:val="000000" w:themeColor="text1"/>
                        </w:rPr>
                      </w:pPr>
                      <w:r w:rsidRPr="007A52EF">
                        <w:rPr>
                          <w:rFonts w:asciiTheme="majorBidi" w:hAnsiTheme="majorBidi" w:cstheme="majorBidi"/>
                          <w:b/>
                          <w:bCs/>
                          <w:color w:val="000000" w:themeColor="text1"/>
                        </w:rPr>
                        <w:t>Emotional Exhaustion</w:t>
                      </w:r>
                    </w:p>
                  </w:txbxContent>
                </v:textbox>
              </v:oval>
            </w:pict>
          </mc:Fallback>
        </mc:AlternateContent>
      </w:r>
      <w:r>
        <w:rPr>
          <w:rFonts w:asciiTheme="majorBidi" w:hAnsiTheme="majorBidi" w:cstheme="majorBidi"/>
          <w:noProof/>
        </w:rPr>
        <mc:AlternateContent>
          <mc:Choice Requires="wps">
            <w:drawing>
              <wp:anchor distT="0" distB="0" distL="114300" distR="114300" simplePos="0" relativeHeight="251664384" behindDoc="0" locked="0" layoutInCell="1" allowOverlap="1" wp14:anchorId="5449B58A" wp14:editId="2AC64201">
                <wp:simplePos x="0" y="0"/>
                <wp:positionH relativeFrom="column">
                  <wp:posOffset>3783724</wp:posOffset>
                </wp:positionH>
                <wp:positionV relativeFrom="paragraph">
                  <wp:posOffset>2339210</wp:posOffset>
                </wp:positionV>
                <wp:extent cx="1844566" cy="898634"/>
                <wp:effectExtent l="0" t="0" r="22860" b="15875"/>
                <wp:wrapNone/>
                <wp:docPr id="6" name="Oval 6"/>
                <wp:cNvGraphicFramePr/>
                <a:graphic xmlns:a="http://schemas.openxmlformats.org/drawingml/2006/main">
                  <a:graphicData uri="http://schemas.microsoft.com/office/word/2010/wordprocessingShape">
                    <wps:wsp>
                      <wps:cNvSpPr/>
                      <wps:spPr>
                        <a:xfrm>
                          <a:off x="0" y="0"/>
                          <a:ext cx="1844566" cy="898634"/>
                        </a:xfrm>
                        <a:prstGeom prst="ellipse">
                          <a:avLst/>
                        </a:prstGeom>
                        <a:solidFill>
                          <a:schemeClr val="tx1">
                            <a:lumMod val="50000"/>
                            <a:lumOff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7F465C" w14:textId="77777777" w:rsidR="009326E0" w:rsidRPr="007A52EF" w:rsidRDefault="009326E0" w:rsidP="009326E0">
                            <w:pPr>
                              <w:jc w:val="center"/>
                              <w:rPr>
                                <w:b/>
                                <w:bCs/>
                                <w:color w:val="000000" w:themeColor="text1"/>
                              </w:rPr>
                            </w:pPr>
                            <w:r w:rsidRPr="007A52EF">
                              <w:rPr>
                                <w:rFonts w:asciiTheme="majorBidi" w:hAnsiTheme="majorBidi" w:cstheme="majorBidi"/>
                                <w:b/>
                                <w:bCs/>
                                <w:color w:val="000000" w:themeColor="text1"/>
                              </w:rPr>
                              <w:t>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49B58A" id="Oval 6" o:spid="_x0000_s1029" style="position:absolute;left:0;text-align:left;margin-left:297.95pt;margin-top:184.2pt;width:145.25pt;height:7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" fillcolor="gray [1629]" strokecolor="#0a2f40 [1604]" strokeweight="1pt">
                <v:stroke joinstyle="miter"/>
                <v:textbox>
                  <w:txbxContent>
                    <w:p w14:paraId="127F465C" w14:textId="77777777" w:rsidR="009326E0" w:rsidRPr="007A52EF" w:rsidRDefault="009326E0" w:rsidP="009326E0">
                      <w:pPr>
                        <w:jc w:val="center"/>
                        <w:rPr>
                          <w:b/>
                          <w:bCs/>
                          <w:color w:val="000000" w:themeColor="text1"/>
                        </w:rPr>
                      </w:pPr>
                      <w:r w:rsidRPr="007A52EF">
                        <w:rPr>
                          <w:rFonts w:asciiTheme="majorBidi" w:hAnsiTheme="majorBidi" w:cstheme="majorBidi"/>
                          <w:b/>
                          <w:bCs/>
                          <w:color w:val="000000" w:themeColor="text1"/>
                        </w:rPr>
                        <w:t>Communication</w:t>
                      </w:r>
                    </w:p>
                  </w:txbxContent>
                </v:textbox>
              </v:oval>
            </w:pict>
          </mc:Fallback>
        </mc:AlternateContent>
      </w:r>
      <w:r>
        <w:rPr>
          <w:rFonts w:asciiTheme="majorBidi" w:hAnsiTheme="majorBidi" w:cstheme="majorBidi"/>
          <w:noProof/>
        </w:rPr>
        <mc:AlternateContent>
          <mc:Choice Requires="wps">
            <w:drawing>
              <wp:anchor distT="0" distB="0" distL="114300" distR="114300" simplePos="0" relativeHeight="251663360" behindDoc="0" locked="0" layoutInCell="1" allowOverlap="1" wp14:anchorId="12DEF629" wp14:editId="0E96358D">
                <wp:simplePos x="0" y="0"/>
                <wp:positionH relativeFrom="column">
                  <wp:posOffset>3783724</wp:posOffset>
                </wp:positionH>
                <wp:positionV relativeFrom="paragraph">
                  <wp:posOffset>1062202</wp:posOffset>
                </wp:positionV>
                <wp:extent cx="1513490" cy="898525"/>
                <wp:effectExtent l="0" t="0" r="10795" b="15875"/>
                <wp:wrapNone/>
                <wp:docPr id="5" name="Oval 5"/>
                <wp:cNvGraphicFramePr/>
                <a:graphic xmlns:a="http://schemas.openxmlformats.org/drawingml/2006/main">
                  <a:graphicData uri="http://schemas.microsoft.com/office/word/2010/wordprocessingShape">
                    <wps:wsp>
                      <wps:cNvSpPr/>
                      <wps:spPr>
                        <a:xfrm>
                          <a:off x="0" y="0"/>
                          <a:ext cx="1513490" cy="898525"/>
                        </a:xfrm>
                        <a:prstGeom prst="ellipse">
                          <a:avLst/>
                        </a:prstGeom>
                        <a:solidFill>
                          <a:schemeClr val="tx1">
                            <a:lumMod val="50000"/>
                            <a:lumOff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BAEAF9" w14:textId="77777777" w:rsidR="009326E0" w:rsidRPr="007A52EF" w:rsidRDefault="009326E0" w:rsidP="009326E0">
                            <w:pPr>
                              <w:jc w:val="center"/>
                              <w:rPr>
                                <w:b/>
                                <w:bCs/>
                                <w:color w:val="000000" w:themeColor="text1"/>
                              </w:rPr>
                            </w:pPr>
                            <w:r w:rsidRPr="007A52EF">
                              <w:rPr>
                                <w:rFonts w:asciiTheme="majorBidi" w:hAnsiTheme="majorBidi" w:cstheme="majorBidi"/>
                                <w:b/>
                                <w:bCs/>
                                <w:color w:val="000000" w:themeColor="text1"/>
                              </w:rPr>
                              <w:t>Workplace interactions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2DEF629" id="Oval 5" o:spid="_x0000_s1030" style="position:absolute;left:0;text-align:left;margin-left:297.95pt;margin-top:83.65pt;width:119.15pt;height:70.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" fillcolor="gray [1629]" strokecolor="#0a2f40 [1604]" strokeweight="1pt">
                <v:stroke joinstyle="miter"/>
                <v:textbox>
                  <w:txbxContent>
                    <w:p w14:paraId="37BAEAF9" w14:textId="77777777" w:rsidR="009326E0" w:rsidRPr="007A52EF" w:rsidRDefault="009326E0" w:rsidP="009326E0">
                      <w:pPr>
                        <w:jc w:val="center"/>
                        <w:rPr>
                          <w:b/>
                          <w:bCs/>
                          <w:color w:val="000000" w:themeColor="text1"/>
                        </w:rPr>
                      </w:pPr>
                      <w:r w:rsidRPr="007A52EF">
                        <w:rPr>
                          <w:rFonts w:asciiTheme="majorBidi" w:hAnsiTheme="majorBidi" w:cstheme="majorBidi"/>
                          <w:b/>
                          <w:bCs/>
                          <w:color w:val="000000" w:themeColor="text1"/>
                        </w:rPr>
                        <w:t>Workplace interactions</w:t>
                      </w:r>
                    </w:p>
                  </w:txbxContent>
                </v:textbox>
              </v:oval>
            </w:pict>
          </mc:Fallback>
        </mc:AlternateContent>
      </w:r>
      <w:r>
        <w:rPr>
          <w:rFonts w:asciiTheme="majorBidi" w:hAnsiTheme="majorBidi" w:cstheme="majorBidi"/>
          <w:noProof/>
        </w:rPr>
        <mc:AlternateContent>
          <mc:Choice Requires="wps">
            <w:drawing>
              <wp:anchor distT="0" distB="0" distL="114300" distR="114300" simplePos="0" relativeHeight="251662336" behindDoc="0" locked="0" layoutInCell="1" allowOverlap="1" wp14:anchorId="33910D9B" wp14:editId="5EC3D3AA">
                <wp:simplePos x="0" y="0"/>
                <wp:positionH relativeFrom="column">
                  <wp:posOffset>646387</wp:posOffset>
                </wp:positionH>
                <wp:positionV relativeFrom="paragraph">
                  <wp:posOffset>2197319</wp:posOffset>
                </wp:positionV>
                <wp:extent cx="1261242" cy="961697"/>
                <wp:effectExtent l="0" t="0" r="15240" b="10160"/>
                <wp:wrapNone/>
                <wp:docPr id="4" name="Oval 4"/>
                <wp:cNvGraphicFramePr/>
                <a:graphic xmlns:a="http://schemas.openxmlformats.org/drawingml/2006/main">
                  <a:graphicData uri="http://schemas.microsoft.com/office/word/2010/wordprocessingShape">
                    <wps:wsp>
                      <wps:cNvSpPr/>
                      <wps:spPr>
                        <a:xfrm>
                          <a:off x="0" y="0"/>
                          <a:ext cx="1261242" cy="961697"/>
                        </a:xfrm>
                        <a:prstGeom prst="ellipse">
                          <a:avLst/>
                        </a:prstGeom>
                        <a:solidFill>
                          <a:schemeClr val="tx1">
                            <a:lumMod val="50000"/>
                            <a:lumOff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D52B1A" w14:textId="77777777" w:rsidR="009326E0" w:rsidRPr="007A52EF" w:rsidRDefault="009326E0" w:rsidP="009326E0">
                            <w:pPr>
                              <w:jc w:val="center"/>
                              <w:rPr>
                                <w:color w:val="000000" w:themeColor="text1"/>
                              </w:rPr>
                            </w:pPr>
                            <w:r w:rsidRPr="007A52EF">
                              <w:rPr>
                                <w:rStyle w:val="Strong"/>
                                <w:rFonts w:asciiTheme="majorBidi" w:hAnsiTheme="majorBidi"/>
                                <w:color w:val="000000" w:themeColor="text1"/>
                              </w:rPr>
                              <w:t>Depersonalization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910D9B" id="Oval 4" o:spid="_x0000_s1031" style="position:absolute;left:0;text-align:left;margin-left:50.9pt;margin-top:173pt;width:99.3pt;height:7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" fillcolor="gray [1629]" strokecolor="#0a2f40 [1604]" strokeweight="1pt">
                <v:stroke joinstyle="miter"/>
                <v:textbox>
                  <w:txbxContent>
                    <w:p w14:paraId="18D52B1A" w14:textId="77777777" w:rsidR="009326E0" w:rsidRPr="007A52EF" w:rsidRDefault="009326E0" w:rsidP="009326E0">
                      <w:pPr>
                        <w:jc w:val="center"/>
                        <w:rPr>
                          <w:color w:val="000000" w:themeColor="text1"/>
                        </w:rPr>
                      </w:pPr>
                      <w:r w:rsidRPr="007A52EF">
                        <w:rPr>
                          <w:rStyle w:val="Strong"/>
                          <w:rFonts w:asciiTheme="majorBidi" w:hAnsiTheme="majorBidi"/>
                          <w:color w:val="000000" w:themeColor="text1"/>
                        </w:rPr>
                        <w:t>Depersonalization</w:t>
                      </w:r>
                    </w:p>
                  </w:txbxContent>
                </v:textbox>
              </v:oval>
            </w:pict>
          </mc:Fallback>
        </mc:AlternateContent>
      </w:r>
    </w:p>
    <w:p w14:paraId="6D4F3196" w14:textId="77777777" w:rsidR="009326E0" w:rsidRPr="00B87747" w:rsidRDefault="009326E0" w:rsidP="009326E0">
      <w:pPr>
        <w:spacing w:after="0" w:line="480" w:lineRule="auto"/>
        <w:rPr>
          <w:rFonts w:asciiTheme="majorBidi" w:hAnsiTheme="majorBidi" w:cstheme="majorBidi"/>
        </w:rPr>
      </w:pPr>
    </w:p>
    <w:p w14:paraId="122E27B4" w14:textId="77777777" w:rsidR="009326E0" w:rsidRPr="00B87747" w:rsidRDefault="009326E0" w:rsidP="009326E0">
      <w:pPr>
        <w:spacing w:after="0" w:line="480" w:lineRule="auto"/>
        <w:rPr>
          <w:rFonts w:asciiTheme="majorBidi" w:hAnsiTheme="majorBidi" w:cstheme="majorBidi"/>
        </w:rPr>
      </w:pPr>
    </w:p>
    <w:p w14:paraId="0FB5E090" w14:textId="77777777" w:rsidR="009326E0" w:rsidRPr="00B87747" w:rsidRDefault="009326E0" w:rsidP="009326E0">
      <w:pPr>
        <w:spacing w:after="0" w:line="480" w:lineRule="auto"/>
        <w:rPr>
          <w:rFonts w:asciiTheme="majorBidi" w:hAnsiTheme="majorBidi" w:cstheme="majorBidi"/>
        </w:rPr>
      </w:pPr>
    </w:p>
    <w:p w14:paraId="4F74A251" w14:textId="77777777" w:rsidR="009326E0" w:rsidRPr="00B87747" w:rsidRDefault="009326E0" w:rsidP="009326E0">
      <w:pPr>
        <w:spacing w:after="0" w:line="480" w:lineRule="auto"/>
        <w:rPr>
          <w:rFonts w:asciiTheme="majorBidi" w:hAnsiTheme="majorBidi" w:cstheme="majorBidi"/>
        </w:rPr>
      </w:pPr>
    </w:p>
    <w:p w14:paraId="4883EB7F" w14:textId="77777777" w:rsidR="009326E0" w:rsidRPr="00B87747" w:rsidRDefault="009326E0" w:rsidP="009326E0">
      <w:pPr>
        <w:spacing w:after="0" w:line="480" w:lineRule="auto"/>
        <w:rPr>
          <w:rFonts w:asciiTheme="majorBidi" w:hAnsiTheme="majorBidi" w:cstheme="majorBidi"/>
        </w:rPr>
      </w:pPr>
    </w:p>
    <w:p w14:paraId="07EE3A76" w14:textId="77777777" w:rsidR="009326E0" w:rsidRPr="00B87747" w:rsidRDefault="009326E0" w:rsidP="009326E0">
      <w:pPr>
        <w:spacing w:after="0" w:line="480" w:lineRule="auto"/>
        <w:rPr>
          <w:rFonts w:asciiTheme="majorBidi" w:hAnsiTheme="majorBidi" w:cstheme="majorBidi"/>
        </w:rPr>
      </w:pPr>
    </w:p>
    <w:p w14:paraId="594573BE" w14:textId="77777777" w:rsidR="009326E0" w:rsidRDefault="009326E0" w:rsidP="009326E0">
      <w:pPr>
        <w:spacing w:after="0" w:line="480" w:lineRule="auto"/>
        <w:rPr>
          <w:rStyle w:val="Strong"/>
          <w:b w:val="0"/>
          <w:bCs w:val="0"/>
        </w:rPr>
      </w:pPr>
    </w:p>
    <w:p w14:paraId="587626AD" w14:textId="77777777" w:rsidR="009326E0" w:rsidRDefault="009326E0" w:rsidP="009326E0">
      <w:pPr>
        <w:spacing w:after="0" w:line="480" w:lineRule="auto"/>
        <w:rPr>
          <w:rStyle w:val="Strong"/>
          <w:b w:val="0"/>
          <w:bCs w:val="0"/>
        </w:rPr>
      </w:pPr>
      <w:r>
        <w:rPr>
          <w:noProof/>
        </w:rPr>
        <w:lastRenderedPageBreak/>
        <mc:AlternateContent>
          <mc:Choice Requires="wps">
            <w:drawing>
              <wp:anchor distT="0" distB="0" distL="114300" distR="114300" simplePos="0" relativeHeight="251669504" behindDoc="0" locked="0" layoutInCell="1" allowOverlap="1" wp14:anchorId="199C113A" wp14:editId="134DAA33">
                <wp:simplePos x="0" y="0"/>
                <wp:positionH relativeFrom="margin">
                  <wp:align>center</wp:align>
                </wp:positionH>
                <wp:positionV relativeFrom="paragraph">
                  <wp:posOffset>60126</wp:posOffset>
                </wp:positionV>
                <wp:extent cx="1844040" cy="635"/>
                <wp:effectExtent l="0" t="0" r="3810" b="2540"/>
                <wp:wrapNone/>
                <wp:docPr id="1558259125" name="Text Box 1"/>
                <wp:cNvGraphicFramePr/>
                <a:graphic xmlns:a="http://schemas.openxmlformats.org/drawingml/2006/main">
                  <a:graphicData uri="http://schemas.microsoft.com/office/word/2010/wordprocessingShape">
                    <wps:wsp>
                      <wps:cNvSpPr txBox="1"/>
                      <wps:spPr>
                        <a:xfrm>
                          <a:off x="0" y="0"/>
                          <a:ext cx="1844040" cy="635"/>
                        </a:xfrm>
                        <a:prstGeom prst="rect">
                          <a:avLst/>
                        </a:prstGeom>
                        <a:solidFill>
                          <a:prstClr val="white"/>
                        </a:solidFill>
                        <a:ln>
                          <a:noFill/>
                        </a:ln>
                      </wps:spPr>
                      <wps:txbx>
                        <w:txbxContent>
                          <w:p w14:paraId="44E3335A" w14:textId="77777777" w:rsidR="009326E0" w:rsidRPr="00873091" w:rsidRDefault="009326E0" w:rsidP="009326E0">
                            <w:pPr>
                              <w:pStyle w:val="Caption"/>
                              <w:rPr>
                                <w:rFonts w:asciiTheme="majorBidi" w:hAnsiTheme="majorBidi" w:cstheme="majorBidi"/>
                                <w:b/>
                                <w:bCs/>
                                <w:i w:val="0"/>
                                <w:iCs w:val="0"/>
                                <w:noProof/>
                                <w:color w:val="auto"/>
                                <w:sz w:val="24"/>
                                <w:szCs w:val="24"/>
                              </w:rPr>
                            </w:pPr>
                            <w:bookmarkStart w:id="9" w:name="_Toc203741733"/>
                            <w:r w:rsidRPr="00873091">
                              <w:rPr>
                                <w:rFonts w:asciiTheme="majorBidi" w:hAnsiTheme="majorBidi" w:cstheme="majorBidi"/>
                                <w:b/>
                                <w:bCs/>
                                <w:i w:val="0"/>
                                <w:iCs w:val="0"/>
                                <w:color w:val="auto"/>
                                <w:sz w:val="24"/>
                                <w:szCs w:val="24"/>
                              </w:rPr>
                              <w:t xml:space="preserve">Figure </w:t>
                            </w:r>
                            <w:r w:rsidRPr="00873091">
                              <w:rPr>
                                <w:rFonts w:asciiTheme="majorBidi" w:hAnsiTheme="majorBidi" w:cstheme="majorBidi"/>
                                <w:b/>
                                <w:bCs/>
                                <w:i w:val="0"/>
                                <w:iCs w:val="0"/>
                                <w:color w:val="auto"/>
                                <w:sz w:val="24"/>
                                <w:szCs w:val="24"/>
                              </w:rPr>
                              <w:fldChar w:fldCharType="begin"/>
                            </w:r>
                            <w:r w:rsidRPr="00873091">
                              <w:rPr>
                                <w:rFonts w:asciiTheme="majorBidi" w:hAnsiTheme="majorBidi" w:cstheme="majorBidi"/>
                                <w:b/>
                                <w:bCs/>
                                <w:i w:val="0"/>
                                <w:iCs w:val="0"/>
                                <w:color w:val="auto"/>
                                <w:sz w:val="24"/>
                                <w:szCs w:val="24"/>
                              </w:rPr>
                              <w:instrText xml:space="preserve"> SEQ Figure \* ARABIC </w:instrText>
                            </w:r>
                            <w:r w:rsidRPr="00873091">
                              <w:rPr>
                                <w:rFonts w:asciiTheme="majorBidi" w:hAnsiTheme="majorBidi" w:cstheme="majorBidi"/>
                                <w:b/>
                                <w:bCs/>
                                <w:i w:val="0"/>
                                <w:iCs w:val="0"/>
                                <w:color w:val="auto"/>
                                <w:sz w:val="24"/>
                                <w:szCs w:val="24"/>
                              </w:rPr>
                              <w:fldChar w:fldCharType="separate"/>
                            </w:r>
                            <w:r>
                              <w:rPr>
                                <w:rFonts w:asciiTheme="majorBidi" w:hAnsiTheme="majorBidi" w:cstheme="majorBidi"/>
                                <w:b/>
                                <w:bCs/>
                                <w:i w:val="0"/>
                                <w:iCs w:val="0"/>
                                <w:noProof/>
                                <w:color w:val="auto"/>
                                <w:sz w:val="24"/>
                                <w:szCs w:val="24"/>
                              </w:rPr>
                              <w:t>1</w:t>
                            </w:r>
                            <w:r w:rsidRPr="00873091">
                              <w:rPr>
                                <w:rFonts w:asciiTheme="majorBidi" w:hAnsiTheme="majorBidi" w:cstheme="majorBidi"/>
                                <w:b/>
                                <w:bCs/>
                                <w:i w:val="0"/>
                                <w:iCs w:val="0"/>
                                <w:color w:val="auto"/>
                                <w:sz w:val="24"/>
                                <w:szCs w:val="24"/>
                              </w:rPr>
                              <w:fldChar w:fldCharType="end"/>
                            </w:r>
                            <w:r w:rsidRPr="00873091">
                              <w:rPr>
                                <w:rFonts w:asciiTheme="majorBidi" w:hAnsiTheme="majorBidi" w:cstheme="majorBidi"/>
                                <w:b/>
                                <w:bCs/>
                                <w:i w:val="0"/>
                                <w:iCs w:val="0"/>
                                <w:color w:val="auto"/>
                                <w:sz w:val="24"/>
                                <w:szCs w:val="24"/>
                              </w:rPr>
                              <w:t xml:space="preserve"> Variables of Study</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9C113A" id="_x0000_t202" coordsize="21600,21600" o:spt="202" path="m,l,21600r21600,l21600,xe">
                <v:stroke joinstyle="miter"/>
                <v:path gradientshapeok="t" o:connecttype="rect"/>
              </v:shapetype>
              <v:shape id="Text Box 1" o:spid="_x0000_s1032" type="#_x0000_t202" style="position:absolute;margin-left:0;margin-top:4.75pt;width:145.2pt;height:.05pt;z-index:2516695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" stroked="f">
                <v:textbox style="mso-fit-shape-to-text:t" inset="0,0,0,0">
                  <w:txbxContent>
                    <w:p w14:paraId="44E3335A" w14:textId="77777777" w:rsidR="009326E0" w:rsidRPr="00873091" w:rsidRDefault="009326E0" w:rsidP="009326E0">
                      <w:pPr>
                        <w:pStyle w:val="Caption"/>
                        <w:rPr>
                          <w:rFonts w:asciiTheme="majorBidi" w:hAnsiTheme="majorBidi" w:cstheme="majorBidi"/>
                          <w:b/>
                          <w:bCs/>
                          <w:i w:val="0"/>
                          <w:iCs w:val="0"/>
                          <w:noProof/>
                          <w:color w:val="auto"/>
                          <w:sz w:val="24"/>
                          <w:szCs w:val="24"/>
                        </w:rPr>
                      </w:pPr>
                      <w:bookmarkStart w:id="10" w:name="_Toc203741733"/>
                      <w:r w:rsidRPr="00873091">
                        <w:rPr>
                          <w:rFonts w:asciiTheme="majorBidi" w:hAnsiTheme="majorBidi" w:cstheme="majorBidi"/>
                          <w:b/>
                          <w:bCs/>
                          <w:i w:val="0"/>
                          <w:iCs w:val="0"/>
                          <w:color w:val="auto"/>
                          <w:sz w:val="24"/>
                          <w:szCs w:val="24"/>
                        </w:rPr>
                        <w:t xml:space="preserve">Figure </w:t>
                      </w:r>
                      <w:r w:rsidRPr="00873091">
                        <w:rPr>
                          <w:rFonts w:asciiTheme="majorBidi" w:hAnsiTheme="majorBidi" w:cstheme="majorBidi"/>
                          <w:b/>
                          <w:bCs/>
                          <w:i w:val="0"/>
                          <w:iCs w:val="0"/>
                          <w:color w:val="auto"/>
                          <w:sz w:val="24"/>
                          <w:szCs w:val="24"/>
                        </w:rPr>
                        <w:fldChar w:fldCharType="begin"/>
                      </w:r>
                      <w:r w:rsidRPr="00873091">
                        <w:rPr>
                          <w:rFonts w:asciiTheme="majorBidi" w:hAnsiTheme="majorBidi" w:cstheme="majorBidi"/>
                          <w:b/>
                          <w:bCs/>
                          <w:i w:val="0"/>
                          <w:iCs w:val="0"/>
                          <w:color w:val="auto"/>
                          <w:sz w:val="24"/>
                          <w:szCs w:val="24"/>
                        </w:rPr>
                        <w:instrText xml:space="preserve"> SEQ Figure \* ARABIC </w:instrText>
                      </w:r>
                      <w:r w:rsidRPr="00873091">
                        <w:rPr>
                          <w:rFonts w:asciiTheme="majorBidi" w:hAnsiTheme="majorBidi" w:cstheme="majorBidi"/>
                          <w:b/>
                          <w:bCs/>
                          <w:i w:val="0"/>
                          <w:iCs w:val="0"/>
                          <w:color w:val="auto"/>
                          <w:sz w:val="24"/>
                          <w:szCs w:val="24"/>
                        </w:rPr>
                        <w:fldChar w:fldCharType="separate"/>
                      </w:r>
                      <w:r>
                        <w:rPr>
                          <w:rFonts w:asciiTheme="majorBidi" w:hAnsiTheme="majorBidi" w:cstheme="majorBidi"/>
                          <w:b/>
                          <w:bCs/>
                          <w:i w:val="0"/>
                          <w:iCs w:val="0"/>
                          <w:noProof/>
                          <w:color w:val="auto"/>
                          <w:sz w:val="24"/>
                          <w:szCs w:val="24"/>
                        </w:rPr>
                        <w:t>1</w:t>
                      </w:r>
                      <w:r w:rsidRPr="00873091">
                        <w:rPr>
                          <w:rFonts w:asciiTheme="majorBidi" w:hAnsiTheme="majorBidi" w:cstheme="majorBidi"/>
                          <w:b/>
                          <w:bCs/>
                          <w:i w:val="0"/>
                          <w:iCs w:val="0"/>
                          <w:color w:val="auto"/>
                          <w:sz w:val="24"/>
                          <w:szCs w:val="24"/>
                        </w:rPr>
                        <w:fldChar w:fldCharType="end"/>
                      </w:r>
                      <w:r w:rsidRPr="00873091">
                        <w:rPr>
                          <w:rFonts w:asciiTheme="majorBidi" w:hAnsiTheme="majorBidi" w:cstheme="majorBidi"/>
                          <w:b/>
                          <w:bCs/>
                          <w:i w:val="0"/>
                          <w:iCs w:val="0"/>
                          <w:color w:val="auto"/>
                          <w:sz w:val="24"/>
                          <w:szCs w:val="24"/>
                        </w:rPr>
                        <w:t xml:space="preserve"> Variables of Study</w:t>
                      </w:r>
                      <w:bookmarkEnd w:id="10"/>
                    </w:p>
                  </w:txbxContent>
                </v:textbox>
                <w10:wrap anchorx="margin"/>
              </v:shape>
            </w:pict>
          </mc:Fallback>
        </mc:AlternateContent>
      </w:r>
    </w:p>
    <w:p w14:paraId="47B68ED8" w14:textId="77777777" w:rsidR="009326E0" w:rsidRPr="0003138F" w:rsidRDefault="009326E0" w:rsidP="009326E0">
      <w:pPr>
        <w:pStyle w:val="Heading2"/>
        <w:numPr>
          <w:ilvl w:val="1"/>
          <w:numId w:val="1"/>
        </w:numPr>
        <w:tabs>
          <w:tab w:val="num" w:pos="360"/>
        </w:tabs>
        <w:ind w:left="0" w:firstLine="0"/>
        <w:rPr>
          <w:rFonts w:asciiTheme="majorBidi" w:hAnsiTheme="majorBidi"/>
          <w:color w:val="auto"/>
          <w:sz w:val="28"/>
          <w:szCs w:val="28"/>
          <w:u w:val="single"/>
        </w:rPr>
      </w:pPr>
      <w:bookmarkStart w:id="11" w:name="_Toc203853249"/>
      <w:r w:rsidRPr="0003138F">
        <w:rPr>
          <w:rStyle w:val="Strong"/>
          <w:rFonts w:asciiTheme="majorBidi" w:hAnsiTheme="majorBidi"/>
          <w:color w:val="auto"/>
          <w:sz w:val="28"/>
          <w:szCs w:val="28"/>
          <w:u w:val="single"/>
        </w:rPr>
        <w:t>Research Hypotheses</w:t>
      </w:r>
      <w:bookmarkEnd w:id="11"/>
    </w:p>
    <w:p w14:paraId="4192BFB2" w14:textId="77777777" w:rsidR="009326E0" w:rsidRPr="00B87747" w:rsidRDefault="009326E0" w:rsidP="009326E0">
      <w:pPr>
        <w:pStyle w:val="NormalWeb"/>
        <w:numPr>
          <w:ilvl w:val="0"/>
          <w:numId w:val="5"/>
        </w:numPr>
        <w:spacing w:before="0" w:beforeAutospacing="0" w:after="0" w:afterAutospacing="0" w:line="480" w:lineRule="auto"/>
        <w:jc w:val="both"/>
      </w:pPr>
      <w:r w:rsidRPr="00B87747">
        <w:rPr>
          <w:rStyle w:val="Strong"/>
          <w:rFonts w:eastAsiaTheme="majorEastAsia"/>
        </w:rPr>
        <w:t>H₁:</w:t>
      </w:r>
      <w:r w:rsidRPr="00B87747">
        <w:t xml:space="preserve"> There is a statistically significant negative relationship betwee</w:t>
      </w:r>
      <w:r w:rsidRPr="00B87747">
        <w:rPr>
          <w:b/>
          <w:bCs/>
        </w:rPr>
        <w:t xml:space="preserve">n </w:t>
      </w:r>
      <w:r w:rsidRPr="00B87747">
        <w:rPr>
          <w:rStyle w:val="Strong"/>
          <w:rFonts w:eastAsiaTheme="majorEastAsia"/>
        </w:rPr>
        <w:t>emotional exhaustion</w:t>
      </w:r>
      <w:r w:rsidRPr="00B87747">
        <w:rPr>
          <w:b/>
          <w:bCs/>
        </w:rPr>
        <w:t xml:space="preserve"> </w:t>
      </w:r>
      <w:r w:rsidRPr="00B87747">
        <w:t>and</w:t>
      </w:r>
      <w:r w:rsidRPr="00B87747">
        <w:rPr>
          <w:b/>
          <w:bCs/>
        </w:rPr>
        <w:t xml:space="preserve"> </w:t>
      </w:r>
      <w:r w:rsidRPr="00B87747">
        <w:rPr>
          <w:rStyle w:val="Strong"/>
          <w:rFonts w:eastAsiaTheme="majorEastAsia"/>
        </w:rPr>
        <w:t>employee relations</w:t>
      </w:r>
      <w:r w:rsidRPr="00B87747">
        <w:t xml:space="preserve"> in the Saudi Arabian healthcare sector.</w:t>
      </w:r>
    </w:p>
    <w:p w14:paraId="35D0F797" w14:textId="77777777" w:rsidR="009326E0" w:rsidRPr="00B87747" w:rsidRDefault="009326E0" w:rsidP="009326E0">
      <w:pPr>
        <w:pStyle w:val="NormalWeb"/>
        <w:numPr>
          <w:ilvl w:val="0"/>
          <w:numId w:val="5"/>
        </w:numPr>
        <w:spacing w:before="0" w:beforeAutospacing="0" w:after="0" w:afterAutospacing="0" w:line="480" w:lineRule="auto"/>
        <w:jc w:val="both"/>
      </w:pPr>
      <w:r w:rsidRPr="00B87747">
        <w:rPr>
          <w:rStyle w:val="Strong"/>
          <w:rFonts w:eastAsiaTheme="majorEastAsia"/>
        </w:rPr>
        <w:t>H₂:</w:t>
      </w:r>
      <w:r w:rsidRPr="00B87747">
        <w:t xml:space="preserve"> </w:t>
      </w:r>
      <w:r w:rsidRPr="00B87747">
        <w:rPr>
          <w:rStyle w:val="Strong"/>
          <w:rFonts w:eastAsiaTheme="majorEastAsia"/>
        </w:rPr>
        <w:t>Depersonalization</w:t>
      </w:r>
      <w:r w:rsidRPr="00B87747">
        <w:t xml:space="preserve"> has a statistically significant negative impact on </w:t>
      </w:r>
      <w:r w:rsidRPr="00B87747">
        <w:rPr>
          <w:rStyle w:val="Strong"/>
          <w:rFonts w:eastAsiaTheme="majorEastAsia"/>
        </w:rPr>
        <w:t>workplace interactions, teamwork, and communication</w:t>
      </w:r>
      <w:r w:rsidRPr="00B87747">
        <w:t xml:space="preserve"> among healthcare professionals.</w:t>
      </w:r>
    </w:p>
    <w:p w14:paraId="2CB73339" w14:textId="77777777" w:rsidR="009326E0" w:rsidRPr="00B87747" w:rsidRDefault="009326E0" w:rsidP="009326E0">
      <w:pPr>
        <w:pStyle w:val="NormalWeb"/>
        <w:numPr>
          <w:ilvl w:val="0"/>
          <w:numId w:val="5"/>
        </w:numPr>
        <w:spacing w:before="0" w:beforeAutospacing="0" w:after="0" w:afterAutospacing="0" w:line="480" w:lineRule="auto"/>
        <w:jc w:val="both"/>
      </w:pPr>
      <w:r w:rsidRPr="00B87747">
        <w:rPr>
          <w:rStyle w:val="Strong"/>
          <w:rFonts w:eastAsiaTheme="majorEastAsia"/>
        </w:rPr>
        <w:t>H₃:</w:t>
      </w:r>
      <w:r w:rsidRPr="00B87747">
        <w:rPr>
          <w:b/>
          <w:bCs/>
        </w:rPr>
        <w:t xml:space="preserve"> </w:t>
      </w:r>
      <w:r w:rsidRPr="00B87747">
        <w:rPr>
          <w:rStyle w:val="Strong"/>
          <w:rFonts w:eastAsiaTheme="majorEastAsia"/>
        </w:rPr>
        <w:t>Reduced personal accomplishment</w:t>
      </w:r>
      <w:r w:rsidRPr="00B87747">
        <w:t xml:space="preserve"> is statistically significantly associated with </w:t>
      </w:r>
      <w:r w:rsidRPr="00B87747">
        <w:rPr>
          <w:rStyle w:val="Strong"/>
          <w:rFonts w:eastAsiaTheme="majorEastAsia"/>
        </w:rPr>
        <w:t>lower employee engagement and job satisfaction</w:t>
      </w:r>
      <w:r w:rsidRPr="00B87747">
        <w:t xml:space="preserve"> in healthcare institutions.</w:t>
      </w:r>
    </w:p>
    <w:p w14:paraId="0B34E39B" w14:textId="77777777" w:rsidR="009326E0" w:rsidRPr="0003138F" w:rsidRDefault="009326E0" w:rsidP="009326E0">
      <w:pPr>
        <w:pStyle w:val="ListParagraph"/>
        <w:numPr>
          <w:ilvl w:val="1"/>
          <w:numId w:val="1"/>
        </w:numPr>
        <w:spacing w:after="0" w:line="480" w:lineRule="auto"/>
        <w:jc w:val="both"/>
        <w:rPr>
          <w:rFonts w:asciiTheme="majorBidi" w:hAnsiTheme="majorBidi" w:cstheme="majorBidi"/>
          <w:b/>
          <w:bCs/>
          <w:sz w:val="28"/>
          <w:szCs w:val="28"/>
          <w:u w:val="single"/>
        </w:rPr>
      </w:pPr>
      <w:r w:rsidRPr="0003138F">
        <w:rPr>
          <w:rFonts w:asciiTheme="majorBidi" w:hAnsiTheme="majorBidi" w:cstheme="majorBidi"/>
          <w:b/>
          <w:bCs/>
          <w:sz w:val="28"/>
          <w:szCs w:val="28"/>
          <w:u w:val="single"/>
        </w:rPr>
        <w:t>Study Limitations</w:t>
      </w:r>
    </w:p>
    <w:p w14:paraId="070C793E" w14:textId="77777777" w:rsidR="009326E0" w:rsidRPr="007E3D41" w:rsidRDefault="009326E0" w:rsidP="009326E0">
      <w:pPr>
        <w:numPr>
          <w:ilvl w:val="0"/>
          <w:numId w:val="6"/>
        </w:numPr>
        <w:tabs>
          <w:tab w:val="left" w:pos="1341"/>
        </w:tabs>
        <w:spacing w:after="0" w:line="480" w:lineRule="auto"/>
        <w:jc w:val="both"/>
        <w:rPr>
          <w:rFonts w:asciiTheme="majorBidi" w:hAnsiTheme="majorBidi" w:cstheme="majorBidi"/>
          <w:color w:val="000000" w:themeColor="text1"/>
          <w:shd w:val="clear" w:color="auto" w:fill="FFFFFF"/>
        </w:rPr>
      </w:pPr>
      <w:r w:rsidRPr="007E3D41">
        <w:rPr>
          <w:rFonts w:asciiTheme="majorBidi" w:hAnsiTheme="majorBidi" w:cstheme="majorBidi"/>
          <w:color w:val="000000" w:themeColor="text1"/>
          <w:shd w:val="clear" w:color="auto" w:fill="FFFFFF"/>
        </w:rPr>
        <w:t>Sample Size and Generalizability – The study may have limitations in sample size, which could affect the generalizability of the findings across different healthcare institutions in Saudi Arabia. Workplace environments, job roles, and hospital policies vary, making it difficult to apply the results universally to all healthcare professionals in the region.</w:t>
      </w:r>
    </w:p>
    <w:p w14:paraId="04940164" w14:textId="77777777" w:rsidR="009326E0" w:rsidRPr="007E3D41" w:rsidRDefault="009326E0" w:rsidP="009326E0">
      <w:pPr>
        <w:numPr>
          <w:ilvl w:val="0"/>
          <w:numId w:val="6"/>
        </w:numPr>
        <w:tabs>
          <w:tab w:val="left" w:pos="1341"/>
        </w:tabs>
        <w:spacing w:after="0" w:line="480" w:lineRule="auto"/>
        <w:jc w:val="both"/>
        <w:rPr>
          <w:rFonts w:asciiTheme="majorBidi" w:hAnsiTheme="majorBidi" w:cstheme="majorBidi"/>
          <w:color w:val="000000" w:themeColor="text1"/>
          <w:shd w:val="clear" w:color="auto" w:fill="FFFFFF"/>
        </w:rPr>
      </w:pPr>
      <w:r w:rsidRPr="007E3D41">
        <w:rPr>
          <w:rFonts w:asciiTheme="majorBidi" w:hAnsiTheme="majorBidi" w:cstheme="majorBidi"/>
          <w:color w:val="000000" w:themeColor="text1"/>
          <w:shd w:val="clear" w:color="auto" w:fill="FFFFFF"/>
        </w:rPr>
        <w:t>Cross-Sectional Design and Self-Reported Data – Since the study is cross-sectional, it captures data at a single point in time, limiting the ability to establish causality between burnout factors and employee relations. Additionally, reliance on self-reported questionnaire data introduces the possibility of response bias, as participants may overstate or understate their experiences due to social desirability concerns.</w:t>
      </w:r>
    </w:p>
    <w:p w14:paraId="3D05FFD7" w14:textId="77777777" w:rsidR="009326E0" w:rsidRPr="007E3D41" w:rsidRDefault="009326E0" w:rsidP="009326E0">
      <w:pPr>
        <w:numPr>
          <w:ilvl w:val="0"/>
          <w:numId w:val="6"/>
        </w:numPr>
        <w:tabs>
          <w:tab w:val="left" w:pos="1341"/>
        </w:tabs>
        <w:spacing w:after="0" w:line="480" w:lineRule="auto"/>
        <w:jc w:val="both"/>
        <w:rPr>
          <w:rFonts w:asciiTheme="majorBidi" w:hAnsiTheme="majorBidi" w:cstheme="majorBidi"/>
          <w:color w:val="000000" w:themeColor="text1"/>
          <w:shd w:val="clear" w:color="auto" w:fill="FFFFFF"/>
        </w:rPr>
      </w:pPr>
      <w:r w:rsidRPr="007E3D41">
        <w:rPr>
          <w:rFonts w:asciiTheme="majorBidi" w:hAnsiTheme="majorBidi" w:cstheme="majorBidi"/>
          <w:color w:val="000000" w:themeColor="text1"/>
          <w:shd w:val="clear" w:color="auto" w:fill="FFFFFF"/>
        </w:rPr>
        <w:t>Cultural and External Influences – The research is conducted within the cultural and institutional context of Saudi Arabia, where workplace hierarchies and leadership styles may influence burnout differently compared to other regions. Moreover, external factors such as government healthcare policies and economic conditions are not directly accounted for, which could affect employee relations and well-being.</w:t>
      </w:r>
    </w:p>
    <w:p w14:paraId="2A34C2E2" w14:textId="77777777" w:rsidR="009326E0" w:rsidRPr="009C6A18" w:rsidRDefault="009326E0" w:rsidP="009326E0">
      <w:pPr>
        <w:numPr>
          <w:ilvl w:val="0"/>
          <w:numId w:val="6"/>
        </w:numPr>
        <w:tabs>
          <w:tab w:val="left" w:pos="1341"/>
        </w:tabs>
        <w:spacing w:after="0" w:line="480" w:lineRule="auto"/>
        <w:jc w:val="both"/>
        <w:rPr>
          <w:rFonts w:asciiTheme="majorBidi" w:hAnsiTheme="majorBidi" w:cstheme="majorBidi"/>
          <w:color w:val="000000" w:themeColor="text1"/>
          <w:shd w:val="clear" w:color="auto" w:fill="FFFFFF"/>
        </w:rPr>
      </w:pPr>
      <w:r w:rsidRPr="007E3D41">
        <w:rPr>
          <w:rFonts w:asciiTheme="majorBidi" w:hAnsiTheme="majorBidi" w:cstheme="majorBidi"/>
          <w:color w:val="000000" w:themeColor="text1"/>
          <w:shd w:val="clear" w:color="auto" w:fill="FFFFFF"/>
        </w:rPr>
        <w:lastRenderedPageBreak/>
        <w:t>Measurement and Scope Limitations – While validated statistical tools will be used, subjective interpretations of questionnaire items may impact the accuracy of results. Additionally, the study focuses only on healthcare professionals, excluding administrators and policymakers, whose perspectives on burnout and workplace challenges could provide a more comprehensive understanding of the issue.</w:t>
      </w:r>
    </w:p>
    <w:bookmarkEnd w:id="0"/>
    <w:p w14:paraId="13D60748" w14:textId="77777777" w:rsidR="00977178" w:rsidRDefault="00977178" w:rsidP="00977178">
      <w:pPr>
        <w:rPr>
          <w:rFonts w:asciiTheme="majorBidi" w:hAnsiTheme="majorBidi" w:cstheme="majorBidi"/>
        </w:rPr>
      </w:pPr>
    </w:p>
    <w:p w14:paraId="0F99B879" w14:textId="77777777" w:rsidR="009326E0" w:rsidRDefault="009326E0" w:rsidP="00977178">
      <w:pPr>
        <w:rPr>
          <w:rFonts w:asciiTheme="majorBidi" w:hAnsiTheme="majorBidi" w:cstheme="majorBidi"/>
        </w:rPr>
      </w:pPr>
    </w:p>
    <w:p w14:paraId="0D1C5123" w14:textId="77777777" w:rsidR="009326E0" w:rsidRDefault="009326E0" w:rsidP="00977178">
      <w:pPr>
        <w:rPr>
          <w:rFonts w:asciiTheme="majorBidi" w:hAnsiTheme="majorBidi" w:cstheme="majorBidi"/>
        </w:rPr>
      </w:pPr>
    </w:p>
    <w:p w14:paraId="3F005048" w14:textId="77777777" w:rsidR="009326E0" w:rsidRDefault="009326E0" w:rsidP="00977178">
      <w:pPr>
        <w:rPr>
          <w:rFonts w:asciiTheme="majorBidi" w:hAnsiTheme="majorBidi" w:cstheme="majorBidi"/>
        </w:rPr>
      </w:pPr>
    </w:p>
    <w:p w14:paraId="54D1ABC2" w14:textId="77777777" w:rsidR="009326E0" w:rsidRDefault="009326E0" w:rsidP="00977178">
      <w:pPr>
        <w:rPr>
          <w:rFonts w:asciiTheme="majorBidi" w:hAnsiTheme="majorBidi" w:cstheme="majorBidi"/>
        </w:rPr>
      </w:pPr>
    </w:p>
    <w:p w14:paraId="2ECC0AF9" w14:textId="77777777" w:rsidR="009326E0" w:rsidRDefault="009326E0" w:rsidP="00977178">
      <w:pPr>
        <w:rPr>
          <w:rFonts w:asciiTheme="majorBidi" w:hAnsiTheme="majorBidi" w:cstheme="majorBidi"/>
        </w:rPr>
      </w:pPr>
    </w:p>
    <w:p w14:paraId="45265CA9" w14:textId="77777777" w:rsidR="009326E0" w:rsidRDefault="009326E0" w:rsidP="00977178">
      <w:pPr>
        <w:rPr>
          <w:rFonts w:asciiTheme="majorBidi" w:hAnsiTheme="majorBidi" w:cstheme="majorBidi"/>
        </w:rPr>
      </w:pPr>
    </w:p>
    <w:p w14:paraId="6636073D" w14:textId="77777777" w:rsidR="009326E0" w:rsidRDefault="009326E0" w:rsidP="00977178">
      <w:pPr>
        <w:rPr>
          <w:rFonts w:asciiTheme="majorBidi" w:hAnsiTheme="majorBidi" w:cstheme="majorBidi"/>
        </w:rPr>
      </w:pPr>
    </w:p>
    <w:p w14:paraId="166AE79A" w14:textId="77777777" w:rsidR="009326E0" w:rsidRDefault="009326E0" w:rsidP="00977178">
      <w:pPr>
        <w:rPr>
          <w:rFonts w:asciiTheme="majorBidi" w:hAnsiTheme="majorBidi" w:cstheme="majorBidi"/>
        </w:rPr>
      </w:pPr>
    </w:p>
    <w:p w14:paraId="2579F269" w14:textId="77777777" w:rsidR="009326E0" w:rsidRDefault="009326E0" w:rsidP="00977178">
      <w:pPr>
        <w:rPr>
          <w:rFonts w:asciiTheme="majorBidi" w:hAnsiTheme="majorBidi" w:cstheme="majorBidi"/>
        </w:rPr>
      </w:pPr>
    </w:p>
    <w:p w14:paraId="309DEBF3" w14:textId="77777777" w:rsidR="009326E0" w:rsidRDefault="009326E0" w:rsidP="00977178">
      <w:pPr>
        <w:rPr>
          <w:rFonts w:asciiTheme="majorBidi" w:hAnsiTheme="majorBidi" w:cstheme="majorBidi"/>
        </w:rPr>
      </w:pPr>
    </w:p>
    <w:p w14:paraId="634C4A6A" w14:textId="77777777" w:rsidR="009326E0" w:rsidRDefault="009326E0" w:rsidP="00977178">
      <w:pPr>
        <w:rPr>
          <w:rFonts w:asciiTheme="majorBidi" w:hAnsiTheme="majorBidi" w:cstheme="majorBidi"/>
        </w:rPr>
      </w:pPr>
    </w:p>
    <w:p w14:paraId="39FFF6BA" w14:textId="77777777" w:rsidR="009326E0" w:rsidRDefault="009326E0" w:rsidP="00977178">
      <w:pPr>
        <w:rPr>
          <w:rFonts w:asciiTheme="majorBidi" w:hAnsiTheme="majorBidi" w:cstheme="majorBidi"/>
        </w:rPr>
      </w:pPr>
    </w:p>
    <w:p w14:paraId="0EF44B4E" w14:textId="77777777" w:rsidR="009326E0" w:rsidRDefault="009326E0" w:rsidP="00977178">
      <w:pPr>
        <w:rPr>
          <w:rFonts w:asciiTheme="majorBidi" w:hAnsiTheme="majorBidi" w:cstheme="majorBidi"/>
        </w:rPr>
      </w:pPr>
    </w:p>
    <w:p w14:paraId="1F553DD5" w14:textId="77777777" w:rsidR="009326E0" w:rsidRDefault="009326E0" w:rsidP="00977178">
      <w:pPr>
        <w:rPr>
          <w:rFonts w:asciiTheme="majorBidi" w:hAnsiTheme="majorBidi" w:cstheme="majorBidi"/>
        </w:rPr>
      </w:pPr>
    </w:p>
    <w:p w14:paraId="277BEF53" w14:textId="77777777" w:rsidR="009326E0" w:rsidRDefault="009326E0" w:rsidP="00977178">
      <w:pPr>
        <w:rPr>
          <w:rFonts w:asciiTheme="majorBidi" w:hAnsiTheme="majorBidi" w:cstheme="majorBidi"/>
        </w:rPr>
      </w:pPr>
    </w:p>
    <w:p w14:paraId="01091B58" w14:textId="77777777" w:rsidR="009326E0" w:rsidRDefault="009326E0" w:rsidP="00977178">
      <w:pPr>
        <w:rPr>
          <w:rFonts w:asciiTheme="majorBidi" w:hAnsiTheme="majorBidi" w:cstheme="majorBidi"/>
        </w:rPr>
      </w:pPr>
    </w:p>
    <w:p w14:paraId="77894563" w14:textId="77777777" w:rsidR="009326E0" w:rsidRDefault="009326E0" w:rsidP="00977178">
      <w:pPr>
        <w:rPr>
          <w:rFonts w:asciiTheme="majorBidi" w:hAnsiTheme="majorBidi" w:cstheme="majorBidi"/>
        </w:rPr>
      </w:pPr>
    </w:p>
    <w:p w14:paraId="448C6448" w14:textId="77777777" w:rsidR="009326E0" w:rsidRDefault="009326E0" w:rsidP="00977178">
      <w:pPr>
        <w:rPr>
          <w:rFonts w:asciiTheme="majorBidi" w:hAnsiTheme="majorBidi" w:cstheme="majorBidi"/>
        </w:rPr>
      </w:pPr>
    </w:p>
    <w:p w14:paraId="07D63126" w14:textId="77777777" w:rsidR="009326E0" w:rsidRDefault="009326E0" w:rsidP="00977178">
      <w:pPr>
        <w:rPr>
          <w:rFonts w:asciiTheme="majorBidi" w:hAnsiTheme="majorBidi" w:cstheme="majorBidi"/>
        </w:rPr>
      </w:pPr>
    </w:p>
    <w:p w14:paraId="304BC0DF" w14:textId="77777777" w:rsidR="009326E0" w:rsidRDefault="009326E0" w:rsidP="00977178">
      <w:pPr>
        <w:rPr>
          <w:rFonts w:asciiTheme="majorBidi" w:hAnsiTheme="majorBidi" w:cstheme="majorBidi"/>
        </w:rPr>
      </w:pPr>
    </w:p>
    <w:p w14:paraId="1E3275B9" w14:textId="77777777" w:rsidR="009326E0" w:rsidRPr="00687BF0" w:rsidRDefault="009326E0" w:rsidP="009326E0">
      <w:pPr>
        <w:pStyle w:val="Heading1"/>
        <w:jc w:val="center"/>
        <w:rPr>
          <w:rFonts w:asciiTheme="majorBidi" w:hAnsiTheme="majorBidi"/>
          <w:b/>
          <w:bCs/>
          <w:color w:val="auto"/>
        </w:rPr>
      </w:pPr>
      <w:bookmarkStart w:id="12" w:name="_Hlk203852658"/>
      <w:bookmarkStart w:id="13" w:name="_Toc203853250"/>
      <w:r w:rsidRPr="00687BF0">
        <w:rPr>
          <w:rFonts w:asciiTheme="majorBidi" w:hAnsiTheme="majorBidi"/>
          <w:b/>
          <w:bCs/>
          <w:color w:val="auto"/>
        </w:rPr>
        <w:lastRenderedPageBreak/>
        <w:t xml:space="preserve">Chapter </w:t>
      </w:r>
      <w:r>
        <w:rPr>
          <w:rFonts w:asciiTheme="majorBidi" w:hAnsiTheme="majorBidi"/>
          <w:b/>
          <w:bCs/>
          <w:color w:val="auto"/>
        </w:rPr>
        <w:t>2</w:t>
      </w:r>
      <w:r w:rsidRPr="00687BF0">
        <w:rPr>
          <w:rFonts w:asciiTheme="majorBidi" w:hAnsiTheme="majorBidi"/>
          <w:b/>
          <w:bCs/>
          <w:color w:val="auto"/>
        </w:rPr>
        <w:t>: Literature Review</w:t>
      </w:r>
      <w:bookmarkEnd w:id="13"/>
    </w:p>
    <w:p w14:paraId="10DAEDC3" w14:textId="77777777" w:rsidR="009326E0" w:rsidRPr="0003138F" w:rsidRDefault="009326E0" w:rsidP="009326E0">
      <w:pPr>
        <w:pStyle w:val="ListParagraph"/>
        <w:numPr>
          <w:ilvl w:val="1"/>
          <w:numId w:val="7"/>
        </w:numPr>
        <w:spacing w:line="480" w:lineRule="auto"/>
        <w:jc w:val="both"/>
        <w:outlineLvl w:val="1"/>
        <w:rPr>
          <w:rFonts w:asciiTheme="majorBidi" w:hAnsiTheme="majorBidi" w:cstheme="majorBidi"/>
          <w:b/>
          <w:bCs/>
          <w:sz w:val="28"/>
          <w:szCs w:val="28"/>
        </w:rPr>
      </w:pPr>
      <w:bookmarkStart w:id="14" w:name="_Toc203853251"/>
      <w:r w:rsidRPr="0003138F">
        <w:rPr>
          <w:rFonts w:asciiTheme="majorBidi" w:hAnsiTheme="majorBidi" w:cstheme="majorBidi"/>
          <w:b/>
          <w:bCs/>
          <w:sz w:val="28"/>
          <w:szCs w:val="28"/>
        </w:rPr>
        <w:t>Introduction</w:t>
      </w:r>
      <w:bookmarkEnd w:id="14"/>
    </w:p>
    <w:p w14:paraId="39E0041E" w14:textId="77777777" w:rsidR="009326E0" w:rsidRDefault="009326E0" w:rsidP="009326E0">
      <w:pPr>
        <w:spacing w:line="480" w:lineRule="auto"/>
        <w:ind w:firstLine="720"/>
        <w:jc w:val="both"/>
        <w:rPr>
          <w:rFonts w:asciiTheme="majorBidi" w:hAnsiTheme="majorBidi" w:cstheme="majorBidi"/>
        </w:rPr>
      </w:pPr>
      <w:r w:rsidRPr="0003138F">
        <w:rPr>
          <w:rFonts w:asciiTheme="majorBidi" w:hAnsiTheme="majorBidi" w:cstheme="majorBidi"/>
        </w:rPr>
        <w:t>This chapter provides a comprehensive review of the existing literature related to burnout and employee relations, with a particular focus on their interconnection in the context of the Saudi Arabian healthcare sector. Given the growing concerns over staff well-being, high turnover rates, and declining job satisfaction among healthcare professionals, particularly nurses, understanding the causes and consequences of burnout has become increasingly critical for healthcare administrators and policymakers. The review explores key theoretical foundations and models that explain the development of burnout and the dynamics of workplace relationships. It examines the major factors contributing to burnout, including workload, leadership, recognition, and organizational culture—and how these factors influence employee relations. Additionally, it investigates how poor employee relations may exacerbate burnout symptoms, and conversely, how strong interpersonal and managerial support can buffer its effects. The chapter also includes an analysis of empirical studies conducted both internationally and within the Saudi context, highlighting common findings, contextual differences, and gaps in the research. Special attention is given to cultural and demographic variables—such as religion, gender, and nationality—that may influence how healthcare workers perceive and respond to burnout. Ultimately, this literature review lays the theoretical and empirical groundwork for the current study by identifying what is already known, what remains underexplored, and why examining the relationship between burnout factors and employee relations is particularly relevant to the Saudi Arabian healthcare sector.</w:t>
      </w:r>
    </w:p>
    <w:p w14:paraId="620AC82A" w14:textId="77777777" w:rsidR="009326E0" w:rsidRDefault="009326E0" w:rsidP="009326E0">
      <w:pPr>
        <w:pStyle w:val="ListParagraph"/>
        <w:numPr>
          <w:ilvl w:val="1"/>
          <w:numId w:val="7"/>
        </w:numPr>
        <w:spacing w:line="480" w:lineRule="auto"/>
        <w:jc w:val="both"/>
        <w:outlineLvl w:val="1"/>
        <w:rPr>
          <w:rFonts w:asciiTheme="majorBidi" w:hAnsiTheme="majorBidi" w:cstheme="majorBidi"/>
          <w:b/>
          <w:bCs/>
          <w:sz w:val="28"/>
          <w:szCs w:val="28"/>
        </w:rPr>
      </w:pPr>
      <w:bookmarkStart w:id="15" w:name="_Toc203853252"/>
      <w:r w:rsidRPr="00735509">
        <w:rPr>
          <w:rFonts w:asciiTheme="majorBidi" w:hAnsiTheme="majorBidi" w:cstheme="majorBidi"/>
          <w:b/>
          <w:bCs/>
          <w:sz w:val="28"/>
          <w:szCs w:val="28"/>
        </w:rPr>
        <w:t>Literature review</w:t>
      </w:r>
      <w:bookmarkEnd w:id="15"/>
      <w:r w:rsidRPr="00735509">
        <w:rPr>
          <w:rFonts w:asciiTheme="majorBidi" w:hAnsiTheme="majorBidi" w:cstheme="majorBidi"/>
          <w:b/>
          <w:bCs/>
          <w:sz w:val="28"/>
          <w:szCs w:val="28"/>
        </w:rPr>
        <w:t xml:space="preserve"> </w:t>
      </w:r>
    </w:p>
    <w:p w14:paraId="52ADE838" w14:textId="77777777" w:rsidR="009326E0" w:rsidRPr="00017ED5" w:rsidRDefault="009326E0" w:rsidP="009326E0">
      <w:pPr>
        <w:spacing w:after="0" w:line="480" w:lineRule="auto"/>
        <w:ind w:firstLine="360"/>
        <w:jc w:val="both"/>
        <w:rPr>
          <w:rFonts w:asciiTheme="majorBidi" w:hAnsiTheme="majorBidi" w:cstheme="majorBidi"/>
        </w:rPr>
      </w:pPr>
      <w:r w:rsidRPr="00017ED5">
        <w:rPr>
          <w:rFonts w:asciiTheme="majorBidi" w:hAnsiTheme="majorBidi" w:cstheme="majorBidi"/>
        </w:rPr>
        <w:lastRenderedPageBreak/>
        <w:t>Siraj et al. (2023) conducted a national cross-sectional survey to examine the relationship between burnout, resilience, supervisory support, and quitting intention among healthcare professionals in Saudi Arabia. The study found that burnout was significantly associated with an increased likelihood of quitting, indicating that healthcare professionals experiencing high levels of emotional exhaustion and depersonalization were more inclined to leave their jobs. However, the research also highlighted the role of resilience and supervisory support in reducing burnout effects. Employees who reported higher levels of supervisory support demonstrated greater resilience and were less likely to consider quitting. The study emphasized the importance of leadership involvement in fostering a supportive work environment, implementing stress management programs, and promoting resilience-building initiatives to retain healthcare professionals and enhance workplace well-being.</w:t>
      </w:r>
    </w:p>
    <w:p w14:paraId="74B29AEF" w14:textId="77777777" w:rsidR="009326E0" w:rsidRPr="00017ED5" w:rsidRDefault="009326E0" w:rsidP="009326E0">
      <w:pPr>
        <w:spacing w:after="0" w:line="480" w:lineRule="auto"/>
        <w:ind w:firstLine="720"/>
        <w:jc w:val="both"/>
        <w:rPr>
          <w:rFonts w:asciiTheme="majorBidi" w:hAnsiTheme="majorBidi" w:cstheme="majorBidi"/>
        </w:rPr>
      </w:pPr>
      <w:r w:rsidRPr="00017ED5">
        <w:rPr>
          <w:rFonts w:asciiTheme="majorBidi" w:hAnsiTheme="majorBidi" w:cstheme="majorBidi"/>
        </w:rPr>
        <w:t>Elbarazi et al. (2017) conducted a systematic review analyzing the prevalence and contributing factors of burnout among healthcare professionals in Arab countries. The review synthesized findings from multiple studies and concluded that burnout levels were alarmingly high in the region, primarily due to excessive workloads, prolonged working hours, emotional exhaustion, and insufficient institutional support. The study found that factors such as job dissatisfaction, lack of autonomy, and work-related stress significantly contributed to burnout. Moreover, the review suggested that healthcare institutions in Arab countries need to implement organizational changes, such as providing mental health support, promoting work-life balance, and offering professional development opportunities to mitigate burnout. It is also recommended that policymakers focus on creating better working conditions and enforcing policies that prioritize employee well-being to ensure a sustainable healthcare workforce.</w:t>
      </w:r>
    </w:p>
    <w:p w14:paraId="02EEC6ED" w14:textId="77777777" w:rsidR="009326E0" w:rsidRPr="00017ED5" w:rsidRDefault="009326E0" w:rsidP="009326E0">
      <w:pPr>
        <w:spacing w:after="0" w:line="480" w:lineRule="auto"/>
        <w:ind w:firstLine="720"/>
        <w:jc w:val="both"/>
        <w:rPr>
          <w:rFonts w:asciiTheme="majorBidi" w:hAnsiTheme="majorBidi" w:cstheme="majorBidi"/>
        </w:rPr>
      </w:pPr>
      <w:r w:rsidRPr="00017ED5">
        <w:rPr>
          <w:rFonts w:asciiTheme="majorBidi" w:hAnsiTheme="majorBidi" w:cstheme="majorBidi"/>
        </w:rPr>
        <w:lastRenderedPageBreak/>
        <w:t>Al-Omari et al. (2019) examined the predictors of burnout among healthcare providers working in private hospitals in Saudi Arabia and the United Arab Emirates. Using a cross-sectional study design, the researchers identified long working hours, job insecurity, and inadequate workplace support as major contributors to burnout. The study found that healthcare providers in private hospitals faced significant challenges related to workload intensity, high patient demands, and limited professional autonomy, which exacerbated stress and led to higher burnout rates. Furthermore, the study suggested that private healthcare institutions should adopt proactive measures, such as flexible work arrangements, mental health support programs, and leadership training to help reduce burnout. By implementing these strategies, hospitals can improve employee retention, job satisfaction, and overall workplace productivity.</w:t>
      </w:r>
    </w:p>
    <w:p w14:paraId="1D522E91" w14:textId="77777777" w:rsidR="009326E0" w:rsidRPr="00A172F0" w:rsidRDefault="009326E0" w:rsidP="009326E0">
      <w:pPr>
        <w:spacing w:after="0" w:line="480" w:lineRule="auto"/>
        <w:ind w:firstLine="720"/>
        <w:jc w:val="both"/>
        <w:rPr>
          <w:rFonts w:asciiTheme="majorBidi" w:hAnsiTheme="majorBidi" w:cstheme="majorBidi"/>
          <w:sz w:val="28"/>
          <w:szCs w:val="28"/>
        </w:rPr>
      </w:pPr>
      <w:r w:rsidRPr="00A172F0">
        <w:rPr>
          <w:rFonts w:asciiTheme="majorBidi" w:hAnsiTheme="majorBidi" w:cstheme="majorBidi"/>
        </w:rPr>
        <w:t xml:space="preserve">Almeneessier and Azer (2023) explored the relationship between burnout and emotional intelligence among academics and clinicians at King Saud University. The study found that individuals with higher levels of emotional intelligence experienced lower levels of burnout, indicating that emotional regulation and interpersonal skills played a crucial role in mitigating workplace stress. The research emphasized that healthcare professionals and academics who were able to manage their emotions effectively were more resilient to the pressures of their work environment. The authors recommended integrating emotional intelligence training into medical and academic curricula to equip professionals with essential skills for handling stress, improving communication, and maintaining job engagement. The study concluded that fostering emotional intelligence could be a key strategy in reducing burnout and enhancing both personal </w:t>
      </w:r>
      <w:r w:rsidRPr="00A172F0">
        <w:rPr>
          <w:rFonts w:asciiTheme="majorBidi" w:hAnsiTheme="majorBidi" w:cstheme="majorBidi"/>
          <w:sz w:val="28"/>
          <w:szCs w:val="28"/>
        </w:rPr>
        <w:t>and professional well-being among healthcare professionals</w:t>
      </w:r>
    </w:p>
    <w:p w14:paraId="74D13A8E" w14:textId="77777777" w:rsidR="009326E0" w:rsidRDefault="009326E0" w:rsidP="009326E0">
      <w:pPr>
        <w:pStyle w:val="ListParagraph"/>
        <w:numPr>
          <w:ilvl w:val="1"/>
          <w:numId w:val="7"/>
        </w:numPr>
        <w:spacing w:line="480" w:lineRule="auto"/>
        <w:jc w:val="both"/>
        <w:outlineLvl w:val="1"/>
        <w:rPr>
          <w:rFonts w:asciiTheme="majorBidi" w:hAnsiTheme="majorBidi"/>
          <w:b/>
          <w:bCs/>
          <w:sz w:val="28"/>
          <w:szCs w:val="28"/>
        </w:rPr>
      </w:pPr>
      <w:bookmarkStart w:id="16" w:name="_Toc203853253"/>
      <w:r w:rsidRPr="00735509">
        <w:rPr>
          <w:rFonts w:asciiTheme="majorBidi" w:hAnsiTheme="majorBidi"/>
          <w:b/>
          <w:bCs/>
          <w:sz w:val="28"/>
          <w:szCs w:val="28"/>
        </w:rPr>
        <w:t>Definition and Dimensions of Burnout</w:t>
      </w:r>
      <w:bookmarkEnd w:id="16"/>
    </w:p>
    <w:p w14:paraId="19C04E2D" w14:textId="77777777" w:rsidR="009326E0" w:rsidRPr="007F1E23" w:rsidRDefault="009326E0" w:rsidP="009326E0">
      <w:pPr>
        <w:spacing w:line="480" w:lineRule="auto"/>
        <w:ind w:firstLine="720"/>
        <w:jc w:val="both"/>
        <w:rPr>
          <w:rFonts w:asciiTheme="majorBidi" w:hAnsiTheme="majorBidi"/>
        </w:rPr>
      </w:pPr>
      <w:r w:rsidRPr="007F1E23">
        <w:rPr>
          <w:rFonts w:asciiTheme="majorBidi" w:hAnsiTheme="majorBidi"/>
        </w:rPr>
        <w:lastRenderedPageBreak/>
        <w:t>Burnout is a psychological syndrome that arises as a prolonged response to chronic interpersonal and emotional stressors in the workplace, particularly in professions that involve intense human interaction such as healthcare. It is most commonly defined through the work of Maslach and Jackson (1981), who conceptualized burnout as a multi-dimensional construct comprising three core components: emotional exhaustion, depersonalization, and reduced personal accomplishment. Emotional exhaustion refers to feelings of being emotionally drained and depleted of one’s emotional resources, often caused by the overwhelming demands of patient care, long working hours, and inadequate rest. This is typically the first and most prominent symptom of burnout and is especially prevalent among nurses and frontline healthcare workers.</w:t>
      </w:r>
    </w:p>
    <w:p w14:paraId="0183E01B" w14:textId="77777777" w:rsidR="009326E0" w:rsidRPr="007F1E23" w:rsidRDefault="009326E0" w:rsidP="009326E0">
      <w:pPr>
        <w:spacing w:line="480" w:lineRule="auto"/>
        <w:ind w:firstLine="720"/>
        <w:jc w:val="both"/>
        <w:rPr>
          <w:rFonts w:asciiTheme="majorBidi" w:hAnsiTheme="majorBidi"/>
        </w:rPr>
      </w:pPr>
      <w:r w:rsidRPr="007F1E23">
        <w:rPr>
          <w:rFonts w:asciiTheme="majorBidi" w:hAnsiTheme="majorBidi"/>
        </w:rPr>
        <w:t xml:space="preserve"> Depersonalization, the second dimension, involves a detached and impersonal response toward patients or colleagues. Healthcare professionals experiencing this may develop a cynical attitude or treat patients as objects rather than individuals, often as a coping mechanism to shield themselves from emotional overload. The third dimension, reduced personal accomplishment, is characterized by a diminished sense of efficacy and a belief that one's work is no longer meaningful or impactful. Individuals suffering from this aspect of burnout often feel incompetent, ineffective, or unsuccessful in their roles, which further undermines their motivation and job satisfaction.</w:t>
      </w:r>
    </w:p>
    <w:p w14:paraId="3B39116C" w14:textId="77777777" w:rsidR="009326E0" w:rsidRPr="007F1E23" w:rsidRDefault="009326E0" w:rsidP="009326E0">
      <w:pPr>
        <w:spacing w:line="480" w:lineRule="auto"/>
        <w:ind w:firstLine="720"/>
        <w:jc w:val="both"/>
        <w:rPr>
          <w:rFonts w:asciiTheme="majorBidi" w:hAnsiTheme="majorBidi"/>
        </w:rPr>
      </w:pPr>
      <w:r w:rsidRPr="007F1E23">
        <w:rPr>
          <w:rFonts w:asciiTheme="majorBidi" w:hAnsiTheme="majorBidi"/>
        </w:rPr>
        <w:t xml:space="preserve">Burnout has been widely recognized as an occupational hazard in healthcare settings worldwide due to the high-pressure, emotionally intense, and life-critical nature of the work. In hospitals, especially in environments like those in Saudi Arabia with rapidly growing healthcare demands, understaffing, administrative burdens, and lack of institutional support can exacerbate the burnout experience. Importantly, burnout is not merely an individual psychological issue—it has organizational consequences, including reduced productivity, increased absenteeism, high turnover rates, poor quality of patient care, and even medical errors. The recognition of burnout as </w:t>
      </w:r>
      <w:r w:rsidRPr="007F1E23">
        <w:rPr>
          <w:rFonts w:asciiTheme="majorBidi" w:hAnsiTheme="majorBidi"/>
        </w:rPr>
        <w:lastRenderedPageBreak/>
        <w:t>an occupational syndrome by the World Health Organization (WHO) in the International Classification of Diseases (ICD-11) further underscores its significance and the urgent need for health systems to address it proactively. Understanding its dimensions is essential for diagnosing the problem accurately and developing targeted interventions to support employee well-being and maintain the quality and safety of healthcare services.</w:t>
      </w:r>
    </w:p>
    <w:p w14:paraId="175E3D1F" w14:textId="77777777" w:rsidR="009326E0" w:rsidRPr="007F1E23" w:rsidRDefault="009326E0" w:rsidP="009326E0">
      <w:pPr>
        <w:pStyle w:val="ListParagraph"/>
        <w:numPr>
          <w:ilvl w:val="1"/>
          <w:numId w:val="7"/>
        </w:numPr>
        <w:spacing w:line="480" w:lineRule="auto"/>
        <w:jc w:val="both"/>
        <w:outlineLvl w:val="1"/>
        <w:rPr>
          <w:rFonts w:asciiTheme="majorBidi" w:hAnsiTheme="majorBidi"/>
          <w:b/>
          <w:bCs/>
        </w:rPr>
      </w:pPr>
      <w:bookmarkStart w:id="17" w:name="_Toc203853254"/>
      <w:r w:rsidRPr="007F1E23">
        <w:rPr>
          <w:rFonts w:asciiTheme="majorBidi" w:hAnsiTheme="majorBidi" w:cstheme="majorBidi"/>
          <w:b/>
          <w:bCs/>
        </w:rPr>
        <w:t>Theoretical Foundations of Burnout and Employee Relations</w:t>
      </w:r>
      <w:bookmarkEnd w:id="17"/>
    </w:p>
    <w:p w14:paraId="155B87E2" w14:textId="77777777" w:rsidR="009326E0" w:rsidRPr="007F1E23" w:rsidRDefault="009326E0" w:rsidP="009326E0">
      <w:pPr>
        <w:spacing w:line="480" w:lineRule="auto"/>
        <w:ind w:firstLine="720"/>
        <w:jc w:val="both"/>
        <w:rPr>
          <w:rFonts w:asciiTheme="majorBidi" w:hAnsiTheme="majorBidi"/>
        </w:rPr>
      </w:pPr>
      <w:r w:rsidRPr="007F1E23">
        <w:rPr>
          <w:rFonts w:asciiTheme="majorBidi" w:hAnsiTheme="majorBidi"/>
        </w:rPr>
        <w:t>Understanding the complex interplay between burnout and employee relations in the healthcare sector requires grounding in established psychological and organizational theories. These theories help explain how employees perceive their work environment, how stress develops, and how interpersonal dynamics can either alleviate or aggravate emotional exhaustion. The following key theoretical models provide insight into this relationship: the Job Demands-Resources (JD-R) Model, Social Exchange Theory, Herzberg’s Two-Factor Theory, and Maslow’s Hierarchy of Needs</w:t>
      </w:r>
      <w:r>
        <w:rPr>
          <w:rFonts w:asciiTheme="majorBidi" w:hAnsiTheme="majorBidi"/>
        </w:rPr>
        <w:t xml:space="preserve"> (</w:t>
      </w:r>
      <w:r w:rsidRPr="00A669D7">
        <w:rPr>
          <w:rFonts w:asciiTheme="majorBidi" w:hAnsiTheme="majorBidi" w:cstheme="majorBidi"/>
          <w:color w:val="000000" w:themeColor="text1"/>
        </w:rPr>
        <w:t>Muthuswamy</w:t>
      </w:r>
      <w:r>
        <w:rPr>
          <w:rFonts w:asciiTheme="majorBidi" w:hAnsiTheme="majorBidi" w:cstheme="majorBidi"/>
          <w:color w:val="000000" w:themeColor="text1"/>
        </w:rPr>
        <w:t>,2023).</w:t>
      </w:r>
    </w:p>
    <w:p w14:paraId="7378B6B9" w14:textId="77777777" w:rsidR="009326E0" w:rsidRPr="00687BF0" w:rsidRDefault="009326E0" w:rsidP="009326E0">
      <w:pPr>
        <w:pStyle w:val="ListParagraph"/>
        <w:numPr>
          <w:ilvl w:val="2"/>
          <w:numId w:val="7"/>
        </w:numPr>
        <w:spacing w:line="480" w:lineRule="auto"/>
        <w:jc w:val="both"/>
        <w:outlineLvl w:val="2"/>
        <w:rPr>
          <w:rFonts w:asciiTheme="majorBidi" w:hAnsiTheme="majorBidi"/>
          <w:b/>
          <w:bCs/>
        </w:rPr>
      </w:pPr>
      <w:r w:rsidRPr="00687BF0">
        <w:rPr>
          <w:rFonts w:asciiTheme="majorBidi" w:hAnsiTheme="majorBidi"/>
          <w:b/>
          <w:bCs/>
        </w:rPr>
        <w:t xml:space="preserve"> </w:t>
      </w:r>
      <w:bookmarkStart w:id="18" w:name="_Toc203853255"/>
      <w:r w:rsidRPr="00687BF0">
        <w:rPr>
          <w:rFonts w:asciiTheme="majorBidi" w:hAnsiTheme="majorBidi"/>
          <w:b/>
          <w:bCs/>
        </w:rPr>
        <w:t>Job Demands-Resources (JD-R) Model</w:t>
      </w:r>
      <w:bookmarkEnd w:id="18"/>
    </w:p>
    <w:p w14:paraId="7906DE4D" w14:textId="77777777" w:rsidR="009326E0" w:rsidRPr="00735509" w:rsidRDefault="009326E0" w:rsidP="009326E0">
      <w:pPr>
        <w:spacing w:line="480" w:lineRule="auto"/>
        <w:ind w:firstLine="720"/>
        <w:jc w:val="both"/>
        <w:rPr>
          <w:rFonts w:asciiTheme="majorBidi" w:hAnsiTheme="majorBidi"/>
          <w:sz w:val="28"/>
          <w:szCs w:val="28"/>
        </w:rPr>
      </w:pPr>
      <w:r w:rsidRPr="007F1E23">
        <w:rPr>
          <w:rFonts w:asciiTheme="majorBidi" w:hAnsiTheme="majorBidi"/>
        </w:rPr>
        <w:t xml:space="preserve">The JD-R Model, developed by Demerouti et al. (2001), is one of the most widely applied frameworks in burnout research. It categorizes workplace conditions into two core components: job demands and job resources. Job demands include physical, emotional, and cognitive efforts required in a role, such as high patient loads, administrative burden, and emotional strain. When these demands become excessive and are not balanced by adequate job resources—such as supervisor support, autonomy, performance feedback, and peer collaboration, employees are at increased risk of burnout. In contrast, job resources serve as a motivational function, helping employees remain engaged and resilient. The model is especially relevant in healthcare settings, </w:t>
      </w:r>
      <w:r w:rsidRPr="007F1E23">
        <w:rPr>
          <w:rFonts w:asciiTheme="majorBidi" w:hAnsiTheme="majorBidi"/>
        </w:rPr>
        <w:lastRenderedPageBreak/>
        <w:t>where demands are inherently high and the availability of supportive resources can vary widely. Positive employee relations, such as respectful communication, mentoring, and shared decision-making, function</w:t>
      </w:r>
      <w:r w:rsidRPr="00735509">
        <w:rPr>
          <w:rFonts w:asciiTheme="majorBidi" w:hAnsiTheme="majorBidi"/>
          <w:sz w:val="28"/>
          <w:szCs w:val="28"/>
        </w:rPr>
        <w:t xml:space="preserve"> as protective resources that can mitigate the effects of stress and prevent burnout</w:t>
      </w:r>
      <w:r>
        <w:rPr>
          <w:rFonts w:asciiTheme="majorBidi" w:hAnsiTheme="majorBidi"/>
          <w:sz w:val="28"/>
          <w:szCs w:val="28"/>
        </w:rPr>
        <w:t xml:space="preserve"> (</w:t>
      </w:r>
      <w:r w:rsidRPr="00A669D7">
        <w:rPr>
          <w:rFonts w:asciiTheme="majorBidi" w:hAnsiTheme="majorBidi" w:cstheme="majorBidi"/>
          <w:color w:val="000000" w:themeColor="text1"/>
          <w:shd w:val="clear" w:color="auto" w:fill="FFFFFF"/>
        </w:rPr>
        <w:t>Siraj</w:t>
      </w:r>
      <w:r>
        <w:rPr>
          <w:rFonts w:asciiTheme="majorBidi" w:hAnsiTheme="majorBidi" w:cstheme="majorBidi"/>
          <w:color w:val="000000" w:themeColor="text1"/>
          <w:shd w:val="clear" w:color="auto" w:fill="FFFFFF"/>
        </w:rPr>
        <w:t xml:space="preserve"> et al.,2023).</w:t>
      </w:r>
    </w:p>
    <w:p w14:paraId="178B1CFF" w14:textId="77777777" w:rsidR="009326E0" w:rsidRPr="00687BF0" w:rsidRDefault="009326E0" w:rsidP="009326E0">
      <w:pPr>
        <w:pStyle w:val="ListParagraph"/>
        <w:numPr>
          <w:ilvl w:val="2"/>
          <w:numId w:val="7"/>
        </w:numPr>
        <w:spacing w:line="480" w:lineRule="auto"/>
        <w:jc w:val="both"/>
        <w:outlineLvl w:val="2"/>
        <w:rPr>
          <w:rFonts w:asciiTheme="majorBidi" w:hAnsiTheme="majorBidi"/>
          <w:b/>
          <w:bCs/>
          <w:sz w:val="28"/>
          <w:szCs w:val="28"/>
        </w:rPr>
      </w:pPr>
      <w:r w:rsidRPr="00687BF0">
        <w:rPr>
          <w:rFonts w:asciiTheme="majorBidi" w:hAnsiTheme="majorBidi"/>
          <w:b/>
          <w:bCs/>
          <w:sz w:val="28"/>
          <w:szCs w:val="28"/>
        </w:rPr>
        <w:t xml:space="preserve"> </w:t>
      </w:r>
      <w:bookmarkStart w:id="19" w:name="_Toc203853256"/>
      <w:r w:rsidRPr="00687BF0">
        <w:rPr>
          <w:rFonts w:asciiTheme="majorBidi" w:hAnsiTheme="majorBidi"/>
          <w:b/>
          <w:bCs/>
          <w:sz w:val="28"/>
          <w:szCs w:val="28"/>
        </w:rPr>
        <w:t>Social Exchange Theory (SET)</w:t>
      </w:r>
      <w:bookmarkEnd w:id="19"/>
    </w:p>
    <w:p w14:paraId="4EE42134" w14:textId="77777777" w:rsidR="009326E0" w:rsidRPr="007F1E23" w:rsidRDefault="009326E0" w:rsidP="009326E0">
      <w:pPr>
        <w:spacing w:line="480" w:lineRule="auto"/>
        <w:ind w:firstLine="720"/>
        <w:jc w:val="both"/>
        <w:rPr>
          <w:rFonts w:asciiTheme="majorBidi" w:hAnsiTheme="majorBidi"/>
        </w:rPr>
      </w:pPr>
      <w:r w:rsidRPr="007F1E23">
        <w:rPr>
          <w:rFonts w:asciiTheme="majorBidi" w:hAnsiTheme="majorBidi"/>
        </w:rPr>
        <w:t>Social Exchange Theory, introduced by Blau (1964), emphasizes the role of reciprocal relationships between employees and their organizations. According to this theory, when employees perceive fairness, respect, and emotional support from supervisors and colleagues, they respond with loyalty, trust, and higher performance. In contrast, when the organizational exchange is perceived as one-sided or exploitative, employees may withdraw, disengage, or even leave. This dynamic is closely linked to the development of burnout, as employees who feel unsupported or disrespected are more likely to experience emotional exhaustion and detachment. In healthcare institutions, where teamwork and trust are essential to patient care, poor employee relations can have a direct negative impact on morale and staff well-being. SET thus reinforces the idea that improving interpersonal relationships and fostering a culture of fairness and recognition are essential components of any strategy to prevent burnout</w:t>
      </w:r>
      <w:r>
        <w:rPr>
          <w:rFonts w:asciiTheme="majorBidi" w:hAnsiTheme="majorBidi"/>
        </w:rPr>
        <w:t xml:space="preserve"> (</w:t>
      </w:r>
      <w:r w:rsidRPr="00A669D7">
        <w:rPr>
          <w:rFonts w:asciiTheme="majorBidi" w:hAnsiTheme="majorBidi" w:cstheme="majorBidi"/>
          <w:color w:val="000000" w:themeColor="text1"/>
          <w:shd w:val="clear" w:color="auto" w:fill="FFFFFF"/>
        </w:rPr>
        <w:t>Elbarazi</w:t>
      </w:r>
      <w:r>
        <w:rPr>
          <w:rFonts w:asciiTheme="majorBidi" w:hAnsiTheme="majorBidi" w:cstheme="majorBidi"/>
          <w:color w:val="000000" w:themeColor="text1"/>
          <w:shd w:val="clear" w:color="auto" w:fill="FFFFFF"/>
        </w:rPr>
        <w:t xml:space="preserve"> et al.,2017).</w:t>
      </w:r>
    </w:p>
    <w:p w14:paraId="20DA9512" w14:textId="77777777" w:rsidR="009326E0" w:rsidRPr="00687BF0" w:rsidRDefault="009326E0" w:rsidP="009326E0">
      <w:pPr>
        <w:pStyle w:val="ListParagraph"/>
        <w:numPr>
          <w:ilvl w:val="2"/>
          <w:numId w:val="7"/>
        </w:numPr>
        <w:spacing w:line="480" w:lineRule="auto"/>
        <w:jc w:val="both"/>
        <w:outlineLvl w:val="2"/>
        <w:rPr>
          <w:rFonts w:asciiTheme="majorBidi" w:hAnsiTheme="majorBidi"/>
          <w:b/>
          <w:bCs/>
        </w:rPr>
      </w:pPr>
      <w:r w:rsidRPr="00687BF0">
        <w:rPr>
          <w:rFonts w:asciiTheme="majorBidi" w:hAnsiTheme="majorBidi"/>
          <w:b/>
          <w:bCs/>
        </w:rPr>
        <w:t xml:space="preserve"> </w:t>
      </w:r>
      <w:bookmarkStart w:id="20" w:name="_Toc203853257"/>
      <w:r w:rsidRPr="00687BF0">
        <w:rPr>
          <w:rFonts w:asciiTheme="majorBidi" w:hAnsiTheme="majorBidi"/>
          <w:b/>
          <w:bCs/>
        </w:rPr>
        <w:t>Herzberg’s Two-Factor Theory</w:t>
      </w:r>
      <w:bookmarkEnd w:id="20"/>
    </w:p>
    <w:p w14:paraId="7C958A75" w14:textId="77777777" w:rsidR="009326E0" w:rsidRPr="007F1E23" w:rsidRDefault="009326E0" w:rsidP="009326E0">
      <w:pPr>
        <w:spacing w:line="480" w:lineRule="auto"/>
        <w:ind w:firstLine="720"/>
        <w:jc w:val="both"/>
        <w:rPr>
          <w:rFonts w:asciiTheme="majorBidi" w:hAnsiTheme="majorBidi"/>
        </w:rPr>
      </w:pPr>
      <w:r w:rsidRPr="007F1E23">
        <w:rPr>
          <w:rFonts w:asciiTheme="majorBidi" w:hAnsiTheme="majorBidi"/>
        </w:rPr>
        <w:t xml:space="preserve">Herzberg’s Two-Factor Theory distinguishes between motivators and hygiene factors in the workplace. Motivators are intrinsic elements such as achievement, recognition, and opportunities for advancement that lead to job satisfaction and increased engagement. Hygiene factors, on the other hand, include salary, company policies, supervision quality, and working conditions—factors that, when inadequate, cause dissatisfaction but do not necessarily motivate </w:t>
      </w:r>
      <w:r w:rsidRPr="007F1E23">
        <w:rPr>
          <w:rFonts w:asciiTheme="majorBidi" w:hAnsiTheme="majorBidi"/>
        </w:rPr>
        <w:lastRenderedPageBreak/>
        <w:t>when improved. In relation to burnout, this theory helps explain why healthcare workers may feel emotionally drained even if basic needs like salary are met—because the absence of motivating factors like professional growth and appreciation can result in a loss of purpose and personal accomplishment. Employee relations are strongly tied to both categories: poor supervision and lack of recognition (hygiene and motivator failures) can create a breeding ground for dissatisfaction and burnout</w:t>
      </w:r>
      <w:r>
        <w:rPr>
          <w:rFonts w:asciiTheme="majorBidi" w:hAnsiTheme="majorBidi"/>
        </w:rPr>
        <w:t xml:space="preserve"> (</w:t>
      </w:r>
      <w:r w:rsidRPr="00A669D7">
        <w:rPr>
          <w:rFonts w:asciiTheme="majorBidi" w:hAnsiTheme="majorBidi" w:cstheme="majorBidi"/>
          <w:color w:val="000000" w:themeColor="text1"/>
          <w:shd w:val="clear" w:color="auto" w:fill="FFFFFF"/>
        </w:rPr>
        <w:t>Al-Omari</w:t>
      </w:r>
      <w:r>
        <w:rPr>
          <w:rFonts w:asciiTheme="majorBidi" w:hAnsiTheme="majorBidi" w:cstheme="majorBidi"/>
          <w:color w:val="000000" w:themeColor="text1"/>
          <w:shd w:val="clear" w:color="auto" w:fill="FFFFFF"/>
        </w:rPr>
        <w:t xml:space="preserve"> et al.,2019).</w:t>
      </w:r>
    </w:p>
    <w:p w14:paraId="0FEDB02E" w14:textId="77777777" w:rsidR="009326E0" w:rsidRPr="00687BF0" w:rsidRDefault="009326E0" w:rsidP="009326E0">
      <w:pPr>
        <w:pStyle w:val="ListParagraph"/>
        <w:numPr>
          <w:ilvl w:val="2"/>
          <w:numId w:val="7"/>
        </w:numPr>
        <w:spacing w:line="480" w:lineRule="auto"/>
        <w:jc w:val="both"/>
        <w:outlineLvl w:val="2"/>
        <w:rPr>
          <w:rFonts w:asciiTheme="majorBidi" w:hAnsiTheme="majorBidi"/>
          <w:b/>
          <w:bCs/>
        </w:rPr>
      </w:pPr>
      <w:r w:rsidRPr="00687BF0">
        <w:rPr>
          <w:rFonts w:asciiTheme="majorBidi" w:hAnsiTheme="majorBidi"/>
          <w:b/>
          <w:bCs/>
        </w:rPr>
        <w:t xml:space="preserve"> </w:t>
      </w:r>
      <w:bookmarkStart w:id="21" w:name="_Toc203853258"/>
      <w:r w:rsidRPr="00687BF0">
        <w:rPr>
          <w:rFonts w:asciiTheme="majorBidi" w:hAnsiTheme="majorBidi"/>
          <w:b/>
          <w:bCs/>
        </w:rPr>
        <w:t>Maslow’s Hierarchy of Needs</w:t>
      </w:r>
      <w:bookmarkEnd w:id="21"/>
    </w:p>
    <w:p w14:paraId="2C8C89FD" w14:textId="77777777" w:rsidR="009326E0" w:rsidRPr="007F1E23" w:rsidRDefault="009326E0" w:rsidP="009326E0">
      <w:pPr>
        <w:spacing w:line="480" w:lineRule="auto"/>
        <w:ind w:firstLine="720"/>
        <w:jc w:val="both"/>
        <w:rPr>
          <w:rFonts w:asciiTheme="majorBidi" w:hAnsiTheme="majorBidi"/>
        </w:rPr>
      </w:pPr>
      <w:r w:rsidRPr="007F1E23">
        <w:rPr>
          <w:rFonts w:asciiTheme="majorBidi" w:hAnsiTheme="majorBidi"/>
        </w:rPr>
        <w:t>Maslow’s Hierarchy of Needs provides a psychological lens for understanding burnout by examining how unmet human needs at various levels contribute to stress and disengagement. The</w:t>
      </w:r>
      <w:r>
        <w:rPr>
          <w:rFonts w:asciiTheme="majorBidi" w:hAnsiTheme="majorBidi"/>
        </w:rPr>
        <w:t xml:space="preserve"> </w:t>
      </w:r>
      <w:r w:rsidRPr="007F1E23">
        <w:rPr>
          <w:rFonts w:asciiTheme="majorBidi" w:hAnsiTheme="majorBidi"/>
        </w:rPr>
        <w:t xml:space="preserve">hierarchy includes physiological needs, safety, belonging, esteem, and self-actualization. In a healthcare setting, nurses and other professionals must have </w:t>
      </w:r>
      <w:r w:rsidRPr="00735509">
        <w:rPr>
          <w:rFonts w:asciiTheme="majorBidi" w:hAnsiTheme="majorBidi"/>
          <w:sz w:val="28"/>
          <w:szCs w:val="28"/>
        </w:rPr>
        <w:t>their basic needs met—such a</w:t>
      </w:r>
      <w:r>
        <w:rPr>
          <w:rFonts w:asciiTheme="majorBidi" w:hAnsiTheme="majorBidi"/>
          <w:sz w:val="28"/>
          <w:szCs w:val="28"/>
        </w:rPr>
        <w:t xml:space="preserve"> </w:t>
      </w:r>
      <w:r w:rsidRPr="00735509">
        <w:rPr>
          <w:rFonts w:asciiTheme="majorBidi" w:hAnsiTheme="majorBidi"/>
          <w:sz w:val="28"/>
          <w:szCs w:val="28"/>
        </w:rPr>
        <w:t xml:space="preserve">fair compensation, </w:t>
      </w:r>
      <w:r w:rsidRPr="007F1E23">
        <w:rPr>
          <w:rFonts w:asciiTheme="majorBidi" w:hAnsiTheme="majorBidi"/>
        </w:rPr>
        <w:t>physical safety, and emotional security—before they can thrive in their roles. If needs such as belonging and esteem are neglected due to poor communication, exclusion from decision-making, or lack of recognition, individuals may feel undervalued and isolated, eventually leading to emotional exhaustion. Strong employee relations, including collaboration, inclusion, and feedback, fulfill several of these psychological needs and are therefore essential for preventing burnout</w:t>
      </w:r>
      <w:r>
        <w:rPr>
          <w:rFonts w:asciiTheme="majorBidi" w:hAnsiTheme="majorBidi"/>
        </w:rPr>
        <w:t xml:space="preserve"> (</w:t>
      </w:r>
      <w:r w:rsidRPr="00A669D7">
        <w:rPr>
          <w:rFonts w:asciiTheme="majorBidi" w:hAnsiTheme="majorBidi" w:cstheme="majorBidi"/>
          <w:color w:val="000000" w:themeColor="text1"/>
          <w:shd w:val="clear" w:color="auto" w:fill="FFFFFF"/>
        </w:rPr>
        <w:t>Almeneessier</w:t>
      </w:r>
      <w:r>
        <w:rPr>
          <w:rFonts w:asciiTheme="majorBidi" w:hAnsiTheme="majorBidi" w:cstheme="majorBidi"/>
          <w:color w:val="000000" w:themeColor="text1"/>
          <w:shd w:val="clear" w:color="auto" w:fill="FFFFFF"/>
        </w:rPr>
        <w:t xml:space="preserve"> et al.,2023).</w:t>
      </w:r>
    </w:p>
    <w:p w14:paraId="26966802" w14:textId="77777777" w:rsidR="009326E0" w:rsidRPr="00687BF0" w:rsidRDefault="009326E0" w:rsidP="009326E0">
      <w:pPr>
        <w:pStyle w:val="ListParagraph"/>
        <w:numPr>
          <w:ilvl w:val="2"/>
          <w:numId w:val="7"/>
        </w:numPr>
        <w:spacing w:line="480" w:lineRule="auto"/>
        <w:jc w:val="both"/>
        <w:outlineLvl w:val="2"/>
        <w:rPr>
          <w:rFonts w:asciiTheme="majorBidi" w:hAnsiTheme="majorBidi"/>
          <w:b/>
          <w:bCs/>
        </w:rPr>
      </w:pPr>
      <w:r w:rsidRPr="00687BF0">
        <w:rPr>
          <w:rFonts w:asciiTheme="majorBidi" w:hAnsiTheme="majorBidi"/>
          <w:b/>
          <w:bCs/>
        </w:rPr>
        <w:t xml:space="preserve"> </w:t>
      </w:r>
      <w:bookmarkStart w:id="22" w:name="_Toc203853259"/>
      <w:r w:rsidRPr="00687BF0">
        <w:rPr>
          <w:rFonts w:asciiTheme="majorBidi" w:hAnsiTheme="majorBidi"/>
          <w:b/>
          <w:bCs/>
        </w:rPr>
        <w:t>Integrative Perspective</w:t>
      </w:r>
      <w:bookmarkEnd w:id="22"/>
    </w:p>
    <w:p w14:paraId="7320D7EF" w14:textId="77777777" w:rsidR="009326E0" w:rsidRPr="007F1E23" w:rsidRDefault="009326E0" w:rsidP="009326E0">
      <w:pPr>
        <w:spacing w:line="480" w:lineRule="auto"/>
        <w:ind w:firstLine="720"/>
        <w:jc w:val="both"/>
        <w:rPr>
          <w:rFonts w:asciiTheme="majorBidi" w:hAnsiTheme="majorBidi"/>
        </w:rPr>
      </w:pPr>
      <w:r w:rsidRPr="007F1E23">
        <w:rPr>
          <w:rFonts w:asciiTheme="majorBidi" w:hAnsiTheme="majorBidi"/>
        </w:rPr>
        <w:t xml:space="preserve">Taken together, these theories offer a comprehensive view of how structural, psychological, and relational factors contribute to burnout and shape employee experiences in the workplace. The JD-R model emphasizes the balance between demands and resources, SET highlights the importance of reciprocal relationships, Herzberg focuses on motivation and job content, and </w:t>
      </w:r>
      <w:r w:rsidRPr="007F1E23">
        <w:rPr>
          <w:rFonts w:asciiTheme="majorBidi" w:hAnsiTheme="majorBidi"/>
        </w:rPr>
        <w:lastRenderedPageBreak/>
        <w:t>Maslow addresses core human needs. In the context of the Saudi Arabian healthcare sector, where cultural expectations and organizational hierarchies influence communication and leadership styles, applying these theories can help healthcare institutions better understand and respond to the underlying causes of burnout. By adopting a multidimensional framework, the current study aims to explore how employee relations function not just as a workplace dynamic but as a critical determinant of emotional well-being and professional sustainability</w:t>
      </w:r>
      <w:r>
        <w:rPr>
          <w:rFonts w:asciiTheme="majorBidi" w:hAnsiTheme="majorBidi"/>
        </w:rPr>
        <w:t xml:space="preserve"> (</w:t>
      </w:r>
      <w:r w:rsidRPr="00A669D7">
        <w:rPr>
          <w:rFonts w:asciiTheme="majorBidi" w:hAnsiTheme="majorBidi" w:cstheme="majorBidi"/>
          <w:color w:val="000000" w:themeColor="text1"/>
          <w:shd w:val="clear" w:color="auto" w:fill="FFFFFF"/>
        </w:rPr>
        <w:t>Bhatti</w:t>
      </w:r>
      <w:r>
        <w:rPr>
          <w:rFonts w:asciiTheme="majorBidi" w:hAnsiTheme="majorBidi" w:cstheme="majorBidi"/>
          <w:color w:val="000000" w:themeColor="text1"/>
          <w:shd w:val="clear" w:color="auto" w:fill="FFFFFF"/>
        </w:rPr>
        <w:t>,2023).</w:t>
      </w:r>
    </w:p>
    <w:p w14:paraId="4E08E967" w14:textId="77777777" w:rsidR="009326E0" w:rsidRPr="007F1E23" w:rsidRDefault="009326E0" w:rsidP="009326E0">
      <w:pPr>
        <w:pStyle w:val="ListParagraph"/>
        <w:numPr>
          <w:ilvl w:val="1"/>
          <w:numId w:val="7"/>
        </w:numPr>
        <w:spacing w:line="480" w:lineRule="auto"/>
        <w:jc w:val="both"/>
        <w:outlineLvl w:val="1"/>
        <w:rPr>
          <w:rFonts w:asciiTheme="majorBidi" w:hAnsiTheme="majorBidi"/>
          <w:b/>
          <w:bCs/>
          <w:sz w:val="28"/>
          <w:szCs w:val="28"/>
        </w:rPr>
      </w:pPr>
      <w:bookmarkStart w:id="23" w:name="_Toc203853260"/>
      <w:r w:rsidRPr="00735509">
        <w:rPr>
          <w:rFonts w:asciiTheme="majorBidi" w:hAnsiTheme="majorBidi" w:cstheme="majorBidi"/>
          <w:b/>
          <w:bCs/>
          <w:sz w:val="28"/>
          <w:szCs w:val="28"/>
        </w:rPr>
        <w:t>Factors Contributing to Burnout in Healthcare Settings</w:t>
      </w:r>
      <w:bookmarkEnd w:id="23"/>
    </w:p>
    <w:p w14:paraId="46EEFEBE"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sz w:val="28"/>
          <w:szCs w:val="28"/>
        </w:rPr>
        <w:t>Bur</w:t>
      </w:r>
      <w:r w:rsidRPr="007F1E23">
        <w:rPr>
          <w:rFonts w:asciiTheme="majorBidi" w:hAnsiTheme="majorBidi"/>
        </w:rPr>
        <w:t>nout in healthcare settings is a multifaceted phenomenon influenced by a range of organizational, interpersonal, and individual factors. Due to the emotionally charged and high-pressure nature of healthcare environments, professionals—particularly nurses, physicians, and frontline staff—are especially vulnerable to chronic stress that can lead to emotional exhaustion, depersonalization, and reduced personal accomplishment. This section outlines the key factors that contribute to burnout in healthcare, with specific attention to the Saudi Arabian context</w:t>
      </w:r>
      <w:r>
        <w:rPr>
          <w:rFonts w:asciiTheme="majorBidi" w:hAnsiTheme="majorBidi"/>
        </w:rPr>
        <w:t xml:space="preserve"> (</w:t>
      </w:r>
      <w:r w:rsidRPr="00A669D7">
        <w:rPr>
          <w:rFonts w:asciiTheme="majorBidi" w:hAnsiTheme="majorBidi" w:cstheme="majorBidi"/>
          <w:color w:val="000000" w:themeColor="text1"/>
          <w:shd w:val="clear" w:color="auto" w:fill="FFFFFF"/>
        </w:rPr>
        <w:t>Alzoubi</w:t>
      </w:r>
      <w:r>
        <w:rPr>
          <w:rFonts w:asciiTheme="majorBidi" w:hAnsiTheme="majorBidi" w:cstheme="majorBidi"/>
          <w:color w:val="000000" w:themeColor="text1"/>
          <w:shd w:val="clear" w:color="auto" w:fill="FFFFFF"/>
        </w:rPr>
        <w:t xml:space="preserve"> et al.,2024).</w:t>
      </w:r>
    </w:p>
    <w:p w14:paraId="59AF8F32" w14:textId="77777777" w:rsidR="009326E0" w:rsidRPr="00687BF0" w:rsidRDefault="009326E0" w:rsidP="009326E0">
      <w:pPr>
        <w:pStyle w:val="ListParagraph"/>
        <w:numPr>
          <w:ilvl w:val="2"/>
          <w:numId w:val="7"/>
        </w:numPr>
        <w:spacing w:after="0" w:line="480" w:lineRule="auto"/>
        <w:jc w:val="both"/>
        <w:outlineLvl w:val="2"/>
        <w:rPr>
          <w:rFonts w:asciiTheme="majorBidi" w:hAnsiTheme="majorBidi"/>
          <w:b/>
          <w:bCs/>
        </w:rPr>
      </w:pPr>
      <w:r w:rsidRPr="00687BF0">
        <w:rPr>
          <w:rFonts w:asciiTheme="majorBidi" w:hAnsiTheme="majorBidi"/>
          <w:b/>
          <w:bCs/>
        </w:rPr>
        <w:t xml:space="preserve"> </w:t>
      </w:r>
      <w:bookmarkStart w:id="24" w:name="_Toc203853261"/>
      <w:r w:rsidRPr="00687BF0">
        <w:rPr>
          <w:rFonts w:asciiTheme="majorBidi" w:hAnsiTheme="majorBidi"/>
          <w:b/>
          <w:bCs/>
        </w:rPr>
        <w:t>Workload and Staffing Shortages</w:t>
      </w:r>
      <w:bookmarkEnd w:id="24"/>
    </w:p>
    <w:p w14:paraId="3F1558A4"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 xml:space="preserve">One of the most frequently cited causes of burnout in healthcare is excessive workload resulting from inadequate staffing levels. Nurses and doctors often handle more patients than is considered safe or manageable, particularly in emergency and critical care units. This overburdening not only leads to physical exhaustion but also increases the likelihood of medical errors and moral distress. In Saudi Arabia, the growing demand for healthcare services, coupled with a shortage of national healthcare workers, has placed significant strain on existing staff. Almodaimegh (2020) noted that heavy workloads were among the top contributors to burnout </w:t>
      </w:r>
      <w:r w:rsidRPr="007F1E23">
        <w:rPr>
          <w:rFonts w:asciiTheme="majorBidi" w:hAnsiTheme="majorBidi"/>
        </w:rPr>
        <w:lastRenderedPageBreak/>
        <w:t>among hospital pharmacists at National Guard hospitals, a trend that likely extends across other clinical roles.</w:t>
      </w:r>
    </w:p>
    <w:p w14:paraId="30F65F80" w14:textId="77777777" w:rsidR="009326E0" w:rsidRPr="00687BF0" w:rsidRDefault="009326E0" w:rsidP="009326E0">
      <w:pPr>
        <w:pStyle w:val="ListParagraph"/>
        <w:numPr>
          <w:ilvl w:val="2"/>
          <w:numId w:val="7"/>
        </w:numPr>
        <w:spacing w:after="0" w:line="480" w:lineRule="auto"/>
        <w:jc w:val="both"/>
        <w:outlineLvl w:val="2"/>
        <w:rPr>
          <w:rFonts w:asciiTheme="majorBidi" w:hAnsiTheme="majorBidi"/>
          <w:b/>
          <w:bCs/>
        </w:rPr>
      </w:pPr>
      <w:r w:rsidRPr="00687BF0">
        <w:rPr>
          <w:rFonts w:asciiTheme="majorBidi" w:hAnsiTheme="majorBidi"/>
          <w:b/>
          <w:bCs/>
        </w:rPr>
        <w:t xml:space="preserve"> </w:t>
      </w:r>
      <w:bookmarkStart w:id="25" w:name="_Toc203853262"/>
      <w:r w:rsidRPr="00687BF0">
        <w:rPr>
          <w:rFonts w:asciiTheme="majorBidi" w:hAnsiTheme="majorBidi"/>
          <w:b/>
          <w:bCs/>
        </w:rPr>
        <w:t>Lack of Managerial and Peer Support</w:t>
      </w:r>
      <w:bookmarkEnd w:id="25"/>
    </w:p>
    <w:p w14:paraId="76BA75C2"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A supportive work environment is critical for reducing stress and fostering emotional resilience. However, when leadership is unsupportive, communication is poor, or supervisors fail to recognize staff efforts, healthcare professionals may feel undervalued and isolated. This lack of managerial support often correlates with emotional exhaustion and disengagement. Similarly, poor peer relationships, workplace conflict, or bullying can heighten stress levels and reduce job satisfaction. Studies by Zaw (2023) and Wali et al. (2023) emphasize the importance of strong interpersonal relationships in mitigating burnout and promoting staff morale.</w:t>
      </w:r>
    </w:p>
    <w:p w14:paraId="6A447F85" w14:textId="77777777" w:rsidR="009326E0" w:rsidRPr="00687BF0" w:rsidRDefault="009326E0" w:rsidP="009326E0">
      <w:pPr>
        <w:pStyle w:val="ListParagraph"/>
        <w:numPr>
          <w:ilvl w:val="2"/>
          <w:numId w:val="7"/>
        </w:numPr>
        <w:spacing w:after="0" w:line="480" w:lineRule="auto"/>
        <w:jc w:val="both"/>
        <w:outlineLvl w:val="2"/>
        <w:rPr>
          <w:rFonts w:asciiTheme="majorBidi" w:hAnsiTheme="majorBidi"/>
          <w:b/>
          <w:bCs/>
        </w:rPr>
      </w:pPr>
      <w:r w:rsidRPr="00687BF0">
        <w:rPr>
          <w:rFonts w:asciiTheme="majorBidi" w:hAnsiTheme="majorBidi"/>
          <w:b/>
          <w:bCs/>
        </w:rPr>
        <w:t xml:space="preserve"> </w:t>
      </w:r>
      <w:bookmarkStart w:id="26" w:name="_Toc203853263"/>
      <w:r w:rsidRPr="00687BF0">
        <w:rPr>
          <w:rFonts w:asciiTheme="majorBidi" w:hAnsiTheme="majorBidi"/>
          <w:b/>
          <w:bCs/>
        </w:rPr>
        <w:t>Role Ambiguity and Role Conflict</w:t>
      </w:r>
      <w:bookmarkEnd w:id="26"/>
    </w:p>
    <w:p w14:paraId="60DD0ED2"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Role ambiguity occurs when healthcare workers are uncertain about their job responsibilities or expectations, while role conflict arises when they receive contradictory instructions or are expected to perform incompatible tasks. Both conditions are significant stressors that can lead to frustration and psychological fatigue. In hierarchical and rapidly evolving healthcare systems like those in Saudi Arabia, where job roles may change frequently or lack clear communication, these issues are particularly prevalent and contribute to feelings of inadequacy and burnout.</w:t>
      </w:r>
    </w:p>
    <w:p w14:paraId="1B8E71A6" w14:textId="77777777" w:rsidR="009326E0" w:rsidRPr="00687BF0" w:rsidRDefault="009326E0" w:rsidP="009326E0">
      <w:pPr>
        <w:pStyle w:val="ListParagraph"/>
        <w:numPr>
          <w:ilvl w:val="2"/>
          <w:numId w:val="7"/>
        </w:numPr>
        <w:spacing w:after="0" w:line="480" w:lineRule="auto"/>
        <w:jc w:val="both"/>
        <w:outlineLvl w:val="2"/>
        <w:rPr>
          <w:rFonts w:asciiTheme="majorBidi" w:hAnsiTheme="majorBidi"/>
          <w:b/>
          <w:bCs/>
        </w:rPr>
      </w:pPr>
      <w:r w:rsidRPr="00687BF0">
        <w:rPr>
          <w:rFonts w:asciiTheme="majorBidi" w:hAnsiTheme="majorBidi"/>
          <w:b/>
          <w:bCs/>
        </w:rPr>
        <w:t xml:space="preserve"> </w:t>
      </w:r>
      <w:bookmarkStart w:id="27" w:name="_Toc203853264"/>
      <w:r w:rsidRPr="00687BF0">
        <w:rPr>
          <w:rFonts w:asciiTheme="majorBidi" w:hAnsiTheme="majorBidi"/>
          <w:b/>
          <w:bCs/>
        </w:rPr>
        <w:t>Limited Opportunities for Career Development</w:t>
      </w:r>
      <w:bookmarkEnd w:id="27"/>
    </w:p>
    <w:p w14:paraId="42AA9B3C"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 xml:space="preserve">Burnout is often associated not only with what is present in the work environment but also with what is lacking, such as growth and development opportunities. When nurses and other healthcare staff perceive that there are few chances for advancement, skill enhancement, or professional recognition, they may begin to feel stagnant and unmotivated. Almansour (2017) and </w:t>
      </w:r>
      <w:r w:rsidRPr="007F1E23">
        <w:rPr>
          <w:rFonts w:asciiTheme="majorBidi" w:hAnsiTheme="majorBidi"/>
        </w:rPr>
        <w:lastRenderedPageBreak/>
        <w:t>Haron (2020) both highlight that limited career mobility contributes significantly to employee dissatisfaction and turnover intention, which are closely related to burnout.</w:t>
      </w:r>
    </w:p>
    <w:p w14:paraId="261233E6"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rPr>
      </w:pPr>
      <w:r w:rsidRPr="00EF5AA3">
        <w:rPr>
          <w:rFonts w:asciiTheme="majorBidi" w:hAnsiTheme="majorBidi"/>
          <w:b/>
          <w:bCs/>
        </w:rPr>
        <w:t xml:space="preserve"> </w:t>
      </w:r>
      <w:bookmarkStart w:id="28" w:name="_Toc203853265"/>
      <w:r w:rsidRPr="00EF5AA3">
        <w:rPr>
          <w:rFonts w:asciiTheme="majorBidi" w:hAnsiTheme="majorBidi"/>
          <w:b/>
          <w:bCs/>
        </w:rPr>
        <w:t>Recognition and Reward Deficiencies</w:t>
      </w:r>
      <w:bookmarkEnd w:id="28"/>
    </w:p>
    <w:p w14:paraId="235DD600"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Feeling unrecognized or unrewarded for one’s efforts is another major driver of burnout. In healthcare, where the emotional and physical toll is high, intrinsic and extrinsic rewards play a critical role in maintaining morale. When institutions fail to provide adequate financial compensation, praise, or opportunities for public recognition, staff may become disillusioned and emotionally detached. Haron (2020) observed that even in cases where salaries were low, intrinsic motivators such as religious values and community service ethos helped buffer burnout, suggesting that recognition in all its forms is a vital protective factor.</w:t>
      </w:r>
    </w:p>
    <w:p w14:paraId="61E77080"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rtl/>
        </w:rPr>
      </w:pPr>
      <w:r w:rsidRPr="00EF5AA3">
        <w:rPr>
          <w:rFonts w:asciiTheme="majorBidi" w:hAnsiTheme="majorBidi"/>
          <w:b/>
          <w:bCs/>
        </w:rPr>
        <w:t xml:space="preserve"> </w:t>
      </w:r>
      <w:bookmarkStart w:id="29" w:name="_Toc203853266"/>
      <w:r w:rsidRPr="00EF5AA3">
        <w:rPr>
          <w:rFonts w:asciiTheme="majorBidi" w:hAnsiTheme="majorBidi"/>
          <w:b/>
          <w:bCs/>
        </w:rPr>
        <w:t>Work-Life Imbalance</w:t>
      </w:r>
      <w:bookmarkEnd w:id="29"/>
    </w:p>
    <w:p w14:paraId="06D3C8AD" w14:textId="77777777" w:rsidR="009326E0" w:rsidRPr="00724231" w:rsidRDefault="009326E0" w:rsidP="009326E0">
      <w:pPr>
        <w:spacing w:after="0" w:line="480" w:lineRule="auto"/>
        <w:ind w:firstLine="720"/>
        <w:jc w:val="both"/>
        <w:rPr>
          <w:rFonts w:asciiTheme="majorBidi" w:hAnsiTheme="majorBidi"/>
        </w:rPr>
      </w:pPr>
      <w:r w:rsidRPr="00724231">
        <w:rPr>
          <w:rFonts w:asciiTheme="majorBidi" w:hAnsiTheme="majorBidi"/>
        </w:rPr>
        <w:t>Maintaining a healthy work-life balance is essential for emotional well-being. However, healthcare workers often face irregular shifts, mandatory overtime, and night duties, which can disrupt personal routines and family responsibilities. Chronic imbalance between work and personal life can lead to fatigue, stress, and resentment. In the Saudi context, where social and family obligations are culturally significant, the inability to balance professional and personal life may further intensify burnout symptoms (Wali et al., 2023).</w:t>
      </w:r>
    </w:p>
    <w:p w14:paraId="05C65717" w14:textId="77777777" w:rsidR="009326E0" w:rsidRPr="00EF5AA3" w:rsidRDefault="009326E0" w:rsidP="009326E0">
      <w:pPr>
        <w:pStyle w:val="ListParagraph"/>
        <w:numPr>
          <w:ilvl w:val="2"/>
          <w:numId w:val="7"/>
        </w:numPr>
        <w:spacing w:line="480" w:lineRule="auto"/>
        <w:jc w:val="both"/>
        <w:outlineLvl w:val="2"/>
        <w:rPr>
          <w:rFonts w:asciiTheme="majorBidi" w:hAnsiTheme="majorBidi"/>
          <w:b/>
          <w:bCs/>
        </w:rPr>
      </w:pPr>
      <w:r w:rsidRPr="00EF5AA3">
        <w:rPr>
          <w:rFonts w:asciiTheme="majorBidi" w:hAnsiTheme="majorBidi"/>
          <w:b/>
          <w:bCs/>
        </w:rPr>
        <w:t xml:space="preserve"> </w:t>
      </w:r>
      <w:bookmarkStart w:id="30" w:name="_Toc203853267"/>
      <w:r w:rsidRPr="00EF5AA3">
        <w:rPr>
          <w:rFonts w:asciiTheme="majorBidi" w:hAnsiTheme="majorBidi"/>
          <w:b/>
          <w:bCs/>
        </w:rPr>
        <w:t>Exposure to Trauma and Patient Suffering</w:t>
      </w:r>
      <w:bookmarkEnd w:id="30"/>
    </w:p>
    <w:p w14:paraId="2507B059" w14:textId="77777777" w:rsidR="009326E0" w:rsidRPr="00687BF0" w:rsidRDefault="009326E0" w:rsidP="009326E0">
      <w:pPr>
        <w:spacing w:line="480" w:lineRule="auto"/>
        <w:ind w:firstLine="720"/>
        <w:jc w:val="both"/>
        <w:rPr>
          <w:rFonts w:asciiTheme="majorBidi" w:hAnsiTheme="majorBidi"/>
        </w:rPr>
      </w:pPr>
      <w:r w:rsidRPr="007F1E23">
        <w:rPr>
          <w:rFonts w:asciiTheme="majorBidi" w:hAnsiTheme="majorBidi"/>
        </w:rPr>
        <w:t xml:space="preserve">Repeated exposure to traumatic events, patient suffering, and death—especially in oncology, emergency, and palliative care units—can have a profound emotional impact on healthcare professionals. Without proper psychological support, such exposure can lead to emotional numbness, compassion fatigue, and eventually burnout. Liu et al. (2019) reported that workplace violence and emotionally distressing conditions in Chinese hospitals contributed </w:t>
      </w:r>
      <w:r w:rsidRPr="007F1E23">
        <w:rPr>
          <w:rFonts w:asciiTheme="majorBidi" w:hAnsiTheme="majorBidi"/>
        </w:rPr>
        <w:lastRenderedPageBreak/>
        <w:t>significantly to nurse burnout, a situation likely mirrored in high-acuity Saudi hospitals. The factors contributing to burnout in healthcare are interrelated and often cumulative. Workload pressures, lack of support, ambiguous roles, poor recognition, and emotional strain all interact to undermine the mental and emotional resilience of healthcare staff. In Saudi Arabia, these challenges are further intensified by systemic, cultural, and demographic complexities. Understanding these contributing factors is essential for designing targeted interventions that enhance employee well-being and preserve the quality of patient care</w:t>
      </w:r>
      <w:r>
        <w:rPr>
          <w:rFonts w:asciiTheme="majorBidi" w:hAnsiTheme="majorBidi"/>
        </w:rPr>
        <w:t xml:space="preserve"> (</w:t>
      </w:r>
      <w:r w:rsidRPr="00A669D7">
        <w:rPr>
          <w:rFonts w:asciiTheme="majorBidi" w:hAnsiTheme="majorBidi" w:cstheme="majorBidi"/>
          <w:color w:val="000000" w:themeColor="text1"/>
          <w:shd w:val="clear" w:color="auto" w:fill="FFFFFF"/>
        </w:rPr>
        <w:t>Asfahani</w:t>
      </w:r>
      <w:r>
        <w:rPr>
          <w:rFonts w:asciiTheme="majorBidi" w:hAnsiTheme="majorBidi" w:cstheme="majorBidi"/>
          <w:color w:val="000000" w:themeColor="text1"/>
          <w:shd w:val="clear" w:color="auto" w:fill="FFFFFF"/>
        </w:rPr>
        <w:t>,2024).</w:t>
      </w:r>
    </w:p>
    <w:p w14:paraId="33051981" w14:textId="77777777" w:rsidR="009326E0" w:rsidRPr="007F1E23" w:rsidRDefault="009326E0" w:rsidP="009326E0">
      <w:pPr>
        <w:pStyle w:val="ListParagraph"/>
        <w:numPr>
          <w:ilvl w:val="1"/>
          <w:numId w:val="7"/>
        </w:numPr>
        <w:spacing w:line="480" w:lineRule="auto"/>
        <w:jc w:val="both"/>
        <w:outlineLvl w:val="1"/>
        <w:rPr>
          <w:rFonts w:asciiTheme="majorBidi" w:hAnsiTheme="majorBidi"/>
          <w:b/>
          <w:bCs/>
          <w:sz w:val="28"/>
          <w:szCs w:val="28"/>
        </w:rPr>
      </w:pPr>
      <w:bookmarkStart w:id="31" w:name="_Toc203853268"/>
      <w:r w:rsidRPr="00735509">
        <w:rPr>
          <w:rFonts w:asciiTheme="majorBidi" w:hAnsiTheme="majorBidi" w:cstheme="majorBidi"/>
          <w:b/>
          <w:bCs/>
          <w:sz w:val="28"/>
          <w:szCs w:val="28"/>
        </w:rPr>
        <w:t>Employee Relations in the Healthcare Context</w:t>
      </w:r>
      <w:bookmarkEnd w:id="31"/>
    </w:p>
    <w:p w14:paraId="65B0352A" w14:textId="77777777" w:rsidR="009326E0" w:rsidRDefault="009326E0" w:rsidP="009326E0">
      <w:pPr>
        <w:spacing w:after="0" w:line="480" w:lineRule="auto"/>
        <w:ind w:firstLine="720"/>
        <w:jc w:val="both"/>
        <w:rPr>
          <w:rFonts w:asciiTheme="majorBidi" w:hAnsiTheme="majorBidi"/>
        </w:rPr>
      </w:pPr>
      <w:r w:rsidRPr="007F1E23">
        <w:rPr>
          <w:rFonts w:asciiTheme="majorBidi" w:hAnsiTheme="majorBidi"/>
        </w:rPr>
        <w:t>Employee relations refer to the quality of the interactions, communication, trust, and mutual respect between employees and their supervisors, peers, and the broader organization. In the healthcare context, employee relations encompass how healthcare workers—such as nurses, physicians, and support staff—experience and respond to management practices, organizational culture, teamwork, conflict resolution, and leadership engagement. Strong, positive employee relations are fundamental to ensuring a collaborative work environment, high levels of job satisfaction, and effective patient care. Conversely, strained or toxic employee relations can lead to workplace dissatisfaction, disengagement, and, ultimately, burnout and turnover</w:t>
      </w:r>
      <w:r>
        <w:rPr>
          <w:rFonts w:asciiTheme="majorBidi" w:hAnsiTheme="majorBidi"/>
        </w:rPr>
        <w:t xml:space="preserve"> (</w:t>
      </w:r>
      <w:r w:rsidRPr="00A669D7">
        <w:rPr>
          <w:rFonts w:asciiTheme="majorBidi" w:hAnsiTheme="majorBidi" w:cstheme="majorBidi"/>
          <w:color w:val="000000" w:themeColor="text1"/>
        </w:rPr>
        <w:t>Muthuswamy</w:t>
      </w:r>
      <w:r>
        <w:rPr>
          <w:rFonts w:asciiTheme="majorBidi" w:hAnsiTheme="majorBidi" w:cstheme="majorBidi"/>
          <w:color w:val="000000" w:themeColor="text1"/>
        </w:rPr>
        <w:t>,2024).</w:t>
      </w:r>
    </w:p>
    <w:p w14:paraId="33F47B27" w14:textId="77777777" w:rsidR="009326E0" w:rsidRDefault="009326E0" w:rsidP="009326E0">
      <w:pPr>
        <w:spacing w:after="0" w:line="480" w:lineRule="auto"/>
        <w:ind w:firstLine="720"/>
        <w:jc w:val="both"/>
        <w:rPr>
          <w:rFonts w:asciiTheme="majorBidi" w:hAnsiTheme="majorBidi"/>
        </w:rPr>
      </w:pPr>
      <w:r w:rsidRPr="007F1E23">
        <w:rPr>
          <w:rFonts w:asciiTheme="majorBidi" w:hAnsiTheme="majorBidi"/>
        </w:rPr>
        <w:t xml:space="preserve">In healthcare, where coordination, responsiveness, and communication are critical to patient safety and outcomes, the role of employee relations becomes even more pronounced. Hospitals and health systems depend heavily on interdisciplinary collaboration, particularly in high-stakes environments like emergency rooms, operating theaters, and intensive care units. Effective employee relations in such settings promote mutual trust, psychological safety, and open communication, which are essential for reducing errors, managing crises, and ensuring continuity </w:t>
      </w:r>
      <w:r w:rsidRPr="007F1E23">
        <w:rPr>
          <w:rFonts w:asciiTheme="majorBidi" w:hAnsiTheme="majorBidi"/>
        </w:rPr>
        <w:lastRenderedPageBreak/>
        <w:t>of care. When healthcare workers feel respected, supported, and included in decision-making, they are more likely to exhibit organizational commitment and go beyond their formal job roles—a concept known as organizational citizenship behavior (OCB)</w:t>
      </w:r>
      <w:r>
        <w:rPr>
          <w:rFonts w:asciiTheme="majorBidi" w:hAnsiTheme="majorBidi"/>
        </w:rPr>
        <w:t xml:space="preserve"> (</w:t>
      </w:r>
      <w:r w:rsidRPr="00A669D7">
        <w:rPr>
          <w:rFonts w:asciiTheme="majorBidi" w:hAnsiTheme="majorBidi" w:cs="Times New Roman"/>
          <w:color w:val="000000" w:themeColor="text1"/>
        </w:rPr>
        <w:t>Ayyashi</w:t>
      </w:r>
      <w:r>
        <w:rPr>
          <w:rFonts w:asciiTheme="majorBidi" w:hAnsiTheme="majorBidi" w:cs="Times New Roman"/>
          <w:color w:val="000000" w:themeColor="text1"/>
        </w:rPr>
        <w:t xml:space="preserve"> et al.,2024).</w:t>
      </w:r>
    </w:p>
    <w:p w14:paraId="45255A6A" w14:textId="77777777" w:rsidR="009326E0" w:rsidRDefault="009326E0" w:rsidP="009326E0">
      <w:pPr>
        <w:spacing w:after="0" w:line="480" w:lineRule="auto"/>
        <w:ind w:firstLine="720"/>
        <w:jc w:val="both"/>
        <w:rPr>
          <w:rFonts w:asciiTheme="majorBidi" w:hAnsiTheme="majorBidi"/>
        </w:rPr>
      </w:pPr>
      <w:r w:rsidRPr="007F1E23">
        <w:rPr>
          <w:rFonts w:asciiTheme="majorBidi" w:hAnsiTheme="majorBidi"/>
        </w:rPr>
        <w:t>However, poor employee relations—manifested in lack of supervisor support, unclear communication, favoritism, micromanagement, or absence of recognition—can erode morale and contribute significantly to stress and dissatisfaction. For instance, studies have shown that healthcare workers who report feeling isolated from management or ignored in policy decisions are more likely to experience emotional exhaustion, depersonalization, and thoughts of quitting. Wali et al. (2023) found that in primary healthcare centers in Saudi Arabia, interpersonal relationships among team members were a key source of satisfaction, while dissatisfaction stemmed largely from a perceived lack of career development and reward. Similarly, Zaw (2023) emphasized that organizational support and positive peer relationships were crucial to sustaining job satisfaction among military nurses in Myanmar.</w:t>
      </w:r>
    </w:p>
    <w:p w14:paraId="450A66C7" w14:textId="77777777" w:rsidR="009326E0" w:rsidRDefault="009326E0" w:rsidP="009326E0">
      <w:pPr>
        <w:spacing w:after="0" w:line="480" w:lineRule="auto"/>
        <w:ind w:firstLine="720"/>
        <w:jc w:val="both"/>
        <w:rPr>
          <w:rFonts w:asciiTheme="majorBidi" w:hAnsiTheme="majorBidi"/>
        </w:rPr>
      </w:pPr>
      <w:r w:rsidRPr="007F1E23">
        <w:rPr>
          <w:rFonts w:asciiTheme="majorBidi" w:hAnsiTheme="majorBidi"/>
        </w:rPr>
        <w:t xml:space="preserve">In the Saudi healthcare sector specifically, employee relations are influenced by additional factors such as cultural diversity, hierarchical leadership structures, and gender-based dynamics. Many hospitals in the Kingdom, particularly those under the Ministry of National Guard Health Affairs (MNGHA), employ a multicultural workforce consisting of both Saudi and expatriate nurses and doctors. This diversity can enrich workplace learning and broaden clinical perspectives, but it can also lead to communication barriers, cultural misunderstandings, and perceived inequities in workload, benefits, or promotion opportunities. Almansour (2017) found that nationality significantly impacted job satisfaction and turnover intentions, with non-Saudi nurses often reporting lower satisfaction due to limited support and perceived discrimination. This </w:t>
      </w:r>
      <w:r w:rsidRPr="007F1E23">
        <w:rPr>
          <w:rFonts w:asciiTheme="majorBidi" w:hAnsiTheme="majorBidi"/>
        </w:rPr>
        <w:lastRenderedPageBreak/>
        <w:t>highlights the need for culturally sensitive employee relation strategies that promote inclusion, transparency, and equal opportunity for all staff members.</w:t>
      </w:r>
    </w:p>
    <w:p w14:paraId="3B15CB11" w14:textId="77777777" w:rsidR="009326E0" w:rsidRDefault="009326E0" w:rsidP="009326E0">
      <w:pPr>
        <w:spacing w:after="0" w:line="480" w:lineRule="auto"/>
        <w:ind w:firstLine="720"/>
        <w:jc w:val="both"/>
        <w:rPr>
          <w:rFonts w:asciiTheme="majorBidi" w:hAnsiTheme="majorBidi"/>
        </w:rPr>
      </w:pPr>
      <w:r w:rsidRPr="007F1E23">
        <w:rPr>
          <w:rFonts w:asciiTheme="majorBidi" w:hAnsiTheme="majorBidi"/>
        </w:rPr>
        <w:t>Furthermore, employee relations are closely tied to leadership styles. In hierarchical systems like those prevalent in Saudi healthcare institutions, the presence or absence of transformational leadership—characterized by inspiration, individualized consideration, and participative decision-making—can shape the entire work climate. Leaders who engage positively with their teams, provide constructive feedback, and actively address staff concerns foster an environment where employee relations thrive and burnout is minimized. On the other hand, authoritarian leadership approaches that discourage dialogue and feedback often result in mistrust and professional disengagement</w:t>
      </w:r>
      <w:r>
        <w:rPr>
          <w:rFonts w:asciiTheme="majorBidi" w:hAnsiTheme="majorBidi"/>
        </w:rPr>
        <w:t xml:space="preserve"> (</w:t>
      </w:r>
      <w:r w:rsidRPr="00A669D7">
        <w:rPr>
          <w:rFonts w:asciiTheme="majorBidi" w:hAnsiTheme="majorBidi" w:cstheme="majorBidi"/>
          <w:color w:val="000000" w:themeColor="text1"/>
        </w:rPr>
        <w:t>Alharbi</w:t>
      </w:r>
      <w:r>
        <w:rPr>
          <w:rFonts w:asciiTheme="majorBidi" w:hAnsiTheme="majorBidi" w:cstheme="majorBidi"/>
          <w:color w:val="000000" w:themeColor="text1"/>
        </w:rPr>
        <w:t xml:space="preserve"> et al.,2023).</w:t>
      </w:r>
    </w:p>
    <w:p w14:paraId="4E1C1ECC" w14:textId="77777777" w:rsidR="009326E0" w:rsidRPr="00687BF0" w:rsidRDefault="009326E0" w:rsidP="009326E0">
      <w:pPr>
        <w:spacing w:after="0" w:line="480" w:lineRule="auto"/>
        <w:ind w:firstLine="720"/>
        <w:jc w:val="both"/>
        <w:rPr>
          <w:rFonts w:asciiTheme="majorBidi" w:hAnsiTheme="majorBidi"/>
        </w:rPr>
      </w:pPr>
      <w:r>
        <w:rPr>
          <w:rFonts w:asciiTheme="majorBidi" w:hAnsiTheme="majorBidi"/>
        </w:rPr>
        <w:t>i</w:t>
      </w:r>
      <w:r w:rsidRPr="007F1E23">
        <w:rPr>
          <w:rFonts w:asciiTheme="majorBidi" w:hAnsiTheme="majorBidi"/>
        </w:rPr>
        <w:t>n conclusion, employee relations are a critical organizational component that directly affects healthcare workers’ psychological well-being, job performance, and patient outcomes. In a sector as dynamic and demanding as healthcare—especially within the Saudi Arabian context—investing in strong, inclusive, and responsive employee relations is not merely a human resources function but a strategic imperative. Understanding the relational dynamics between staff, supervisors, and management is essential for creating a supportive culture that not only prevents burnout but also enhances job satisfaction, staff retention, and healthcare quality</w:t>
      </w:r>
      <w:r>
        <w:rPr>
          <w:rFonts w:asciiTheme="majorBidi" w:hAnsiTheme="majorBidi"/>
        </w:rPr>
        <w:t xml:space="preserve"> (</w:t>
      </w:r>
      <w:r w:rsidRPr="00F96194">
        <w:rPr>
          <w:rFonts w:asciiTheme="majorBidi" w:hAnsiTheme="majorBidi" w:cstheme="majorBidi"/>
          <w:color w:val="000000" w:themeColor="text1"/>
        </w:rPr>
        <w:t>Hall</w:t>
      </w:r>
      <w:r>
        <w:rPr>
          <w:rFonts w:asciiTheme="majorBidi" w:hAnsiTheme="majorBidi" w:cstheme="majorBidi"/>
          <w:color w:val="000000" w:themeColor="text1"/>
        </w:rPr>
        <w:t>,2019).</w:t>
      </w:r>
    </w:p>
    <w:p w14:paraId="27D646DC" w14:textId="77777777" w:rsidR="009326E0" w:rsidRPr="007F1E23" w:rsidRDefault="009326E0" w:rsidP="009326E0">
      <w:pPr>
        <w:pStyle w:val="ListParagraph"/>
        <w:numPr>
          <w:ilvl w:val="1"/>
          <w:numId w:val="7"/>
        </w:numPr>
        <w:spacing w:line="480" w:lineRule="auto"/>
        <w:jc w:val="both"/>
        <w:outlineLvl w:val="1"/>
        <w:rPr>
          <w:rFonts w:asciiTheme="majorBidi" w:hAnsiTheme="majorBidi"/>
          <w:b/>
          <w:bCs/>
          <w:sz w:val="28"/>
          <w:szCs w:val="28"/>
        </w:rPr>
      </w:pPr>
      <w:bookmarkStart w:id="32" w:name="_Toc203853269"/>
      <w:r w:rsidRPr="00735509">
        <w:rPr>
          <w:rFonts w:asciiTheme="majorBidi" w:hAnsiTheme="majorBidi" w:cstheme="majorBidi"/>
          <w:b/>
          <w:bCs/>
          <w:sz w:val="28"/>
          <w:szCs w:val="28"/>
        </w:rPr>
        <w:t>Impact of Burnout on Organizational Outcomes</w:t>
      </w:r>
      <w:bookmarkEnd w:id="32"/>
    </w:p>
    <w:p w14:paraId="62693C16"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 xml:space="preserve">Burnout among healthcare professionals is not only a threat to individual well-being, but also a serious organizational issue with far-reaching consequences. When left unaddressed, burnout can significantly impair healthcare institutions’ capacity to deliver safe, effective, and patient-centered care. It affects productivity, workforce stability, patient outcomes, financial performance, and the overall organizational climate. This section explores the various ways in </w:t>
      </w:r>
      <w:r w:rsidRPr="007F1E23">
        <w:rPr>
          <w:rFonts w:asciiTheme="majorBidi" w:hAnsiTheme="majorBidi"/>
        </w:rPr>
        <w:lastRenderedPageBreak/>
        <w:t>which burnout among healthcare staff—particularly nurses and frontline workers—impacts the broader operations of healthcare organizations, with a specific lens on the Saudi Arabian context.</w:t>
      </w:r>
    </w:p>
    <w:p w14:paraId="7A3313D8"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sz w:val="28"/>
          <w:szCs w:val="28"/>
        </w:rPr>
      </w:pPr>
      <w:r w:rsidRPr="00EF5AA3">
        <w:rPr>
          <w:rFonts w:asciiTheme="majorBidi" w:hAnsiTheme="majorBidi"/>
          <w:b/>
          <w:bCs/>
          <w:sz w:val="28"/>
          <w:szCs w:val="28"/>
        </w:rPr>
        <w:t xml:space="preserve"> </w:t>
      </w:r>
      <w:bookmarkStart w:id="33" w:name="_Toc203853270"/>
      <w:r w:rsidRPr="00EF5AA3">
        <w:rPr>
          <w:rFonts w:asciiTheme="majorBidi" w:hAnsiTheme="majorBidi"/>
          <w:b/>
          <w:bCs/>
          <w:sz w:val="28"/>
          <w:szCs w:val="28"/>
        </w:rPr>
        <w:t>Decreased Productivity and Performance</w:t>
      </w:r>
      <w:bookmarkEnd w:id="33"/>
    </w:p>
    <w:p w14:paraId="148D4F57"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Burnout is associated with physical fatigue, mental exhaustion, and diminished motivation, all of which impair work efficiency and attention to detail. Healthcare workers experiencing emotional exhaustion are less likely to perform at optimal levels, make informed clinical decisions, or sustain the level of focus required in high-stress situations. According to Liu et al. (2019), burnout directly undermines clinical performance by increasing cognitive errors and reducing responsiveness to patient needs. In high-demand environments such as hospitals under the Ministry of National Guard Health Affairs (MNGHA), this decline in productivity can compromise service delivery and patient flow</w:t>
      </w:r>
      <w:r>
        <w:rPr>
          <w:rFonts w:asciiTheme="majorBidi" w:hAnsiTheme="majorBidi"/>
        </w:rPr>
        <w:t xml:space="preserve"> (</w:t>
      </w:r>
      <w:r w:rsidRPr="00F96194">
        <w:rPr>
          <w:rFonts w:asciiTheme="majorBidi" w:hAnsiTheme="majorBidi" w:cstheme="majorBidi"/>
          <w:color w:val="000000" w:themeColor="text1"/>
        </w:rPr>
        <w:t>Anthony</w:t>
      </w:r>
      <w:r>
        <w:rPr>
          <w:rFonts w:asciiTheme="majorBidi" w:hAnsiTheme="majorBidi" w:cstheme="majorBidi"/>
          <w:color w:val="000000" w:themeColor="text1"/>
        </w:rPr>
        <w:t xml:space="preserve"> et al.,2017).</w:t>
      </w:r>
    </w:p>
    <w:p w14:paraId="0C29787A"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rPr>
      </w:pPr>
      <w:r w:rsidRPr="00EF5AA3">
        <w:rPr>
          <w:rFonts w:asciiTheme="majorBidi" w:hAnsiTheme="majorBidi"/>
          <w:b/>
          <w:bCs/>
          <w:sz w:val="28"/>
          <w:szCs w:val="28"/>
        </w:rPr>
        <w:t xml:space="preserve"> </w:t>
      </w:r>
      <w:bookmarkStart w:id="34" w:name="_Toc203853271"/>
      <w:r w:rsidRPr="00EF5AA3">
        <w:rPr>
          <w:rFonts w:asciiTheme="majorBidi" w:hAnsiTheme="majorBidi"/>
          <w:b/>
          <w:bCs/>
        </w:rPr>
        <w:t>Increased Absenteeism and Presenteeism</w:t>
      </w:r>
      <w:bookmarkEnd w:id="34"/>
    </w:p>
    <w:p w14:paraId="2DFF98D1"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One of the most immediate organizational outcomes of burnout is increased absenteeism—staff taking frequent sick days or time off due to physical or mental exhaustion. More subtly, burnout also leads to presenteeism, where employees are physically present but mentally disengaged, resulting in reduced quality of work. This not only burdens coworkers who must compensate for absent colleagues but also increases the likelihood of clinical mistakes and care delays. Over time, patterns of absenteeism and presenteeism disrupt workflow, erode team morale, and increase operational inefficiencies</w:t>
      </w:r>
      <w:r>
        <w:rPr>
          <w:rFonts w:asciiTheme="majorBidi" w:hAnsiTheme="majorBidi"/>
        </w:rPr>
        <w:t xml:space="preserve"> (</w:t>
      </w:r>
      <w:r w:rsidRPr="00F96194">
        <w:rPr>
          <w:rFonts w:asciiTheme="majorBidi" w:hAnsiTheme="majorBidi" w:cstheme="majorBidi"/>
          <w:color w:val="000000" w:themeColor="text1"/>
        </w:rPr>
        <w:t>Shirtaheri</w:t>
      </w:r>
      <w:r>
        <w:rPr>
          <w:rFonts w:asciiTheme="majorBidi" w:hAnsiTheme="majorBidi" w:cstheme="majorBidi"/>
          <w:color w:val="000000" w:themeColor="text1"/>
        </w:rPr>
        <w:t xml:space="preserve"> et al.,2020).</w:t>
      </w:r>
    </w:p>
    <w:p w14:paraId="4196621E"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rPr>
      </w:pPr>
      <w:r w:rsidRPr="00EF5AA3">
        <w:rPr>
          <w:rFonts w:asciiTheme="majorBidi" w:hAnsiTheme="majorBidi"/>
          <w:b/>
          <w:bCs/>
        </w:rPr>
        <w:t xml:space="preserve"> </w:t>
      </w:r>
      <w:bookmarkStart w:id="35" w:name="_Toc203853272"/>
      <w:r w:rsidRPr="00EF5AA3">
        <w:rPr>
          <w:rFonts w:asciiTheme="majorBidi" w:hAnsiTheme="majorBidi"/>
          <w:b/>
          <w:bCs/>
        </w:rPr>
        <w:t>High Turnover Rates and Staffing Instability</w:t>
      </w:r>
      <w:bookmarkEnd w:id="35"/>
    </w:p>
    <w:p w14:paraId="413EEAB8"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 xml:space="preserve">Burnout is a well-documented precursor to turnover intention and actual job departure. When healthcare professionals feel unsupported, unrecognized, or emotionally depleted, they are more likely to seek employment elsewhere or exit the profession altogether. High turnover creates </w:t>
      </w:r>
      <w:r w:rsidRPr="007F1E23">
        <w:rPr>
          <w:rFonts w:asciiTheme="majorBidi" w:hAnsiTheme="majorBidi"/>
        </w:rPr>
        <w:lastRenderedPageBreak/>
        <w:t>staffing instability, increases recruitment and training costs, and weakens institutional knowledge. In the Saudi context, studies by Almansour (2017) and Almodaimegh (2020) confirm that burnout-related turnover is rising among both Saudi and expatriate nurses, placing added strain on an already overburdened workforce. The departure of skilled personnel also reduces team cohesion and increases the pressure on remaining staff, contributing to a vicious cycle of burnout and turnover.</w:t>
      </w:r>
    </w:p>
    <w:p w14:paraId="25BF7C2C" w14:textId="77777777" w:rsidR="009326E0" w:rsidRPr="00EF5AA3" w:rsidRDefault="009326E0" w:rsidP="009326E0">
      <w:pPr>
        <w:pStyle w:val="ListParagraph"/>
        <w:numPr>
          <w:ilvl w:val="2"/>
          <w:numId w:val="7"/>
        </w:numPr>
        <w:spacing w:after="0" w:line="480" w:lineRule="auto"/>
        <w:jc w:val="both"/>
        <w:rPr>
          <w:rFonts w:asciiTheme="majorBidi" w:hAnsiTheme="majorBidi"/>
          <w:b/>
          <w:bCs/>
        </w:rPr>
      </w:pPr>
      <w:r w:rsidRPr="00EF5AA3">
        <w:rPr>
          <w:rFonts w:asciiTheme="majorBidi" w:hAnsiTheme="majorBidi"/>
          <w:b/>
          <w:bCs/>
        </w:rPr>
        <w:t xml:space="preserve"> Decline in Patient Safety and Quality of Care</w:t>
      </w:r>
    </w:p>
    <w:p w14:paraId="3E0B69F8"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One of the most critical impacts of burnout is its negative effect on patient safety and healthcare quality. Burnout can impair clinical judgment, delay response times, and reduce empathy—all of which increase the risk of medical errors, adverse events, and compromised patient outcomes. Liu et al. (2019) demonstrated that hospitals with higher nurse burnout rates reported poorer patient safety scores and increased incident reports. In environments where patient safety is paramount, such as surgical wards or intensive care units, even minor lapses can have life-threatening consequences. Additionally, patients often perceive emotional disengagement or depersonalization from burned-out staff, which affects trust and satisfaction.</w:t>
      </w:r>
    </w:p>
    <w:p w14:paraId="56ED1B98" w14:textId="77777777" w:rsidR="009326E0" w:rsidRPr="00EF5AA3" w:rsidRDefault="009326E0" w:rsidP="009326E0">
      <w:pPr>
        <w:pStyle w:val="ListParagraph"/>
        <w:numPr>
          <w:ilvl w:val="2"/>
          <w:numId w:val="7"/>
        </w:numPr>
        <w:spacing w:after="0" w:line="480" w:lineRule="auto"/>
        <w:jc w:val="both"/>
        <w:rPr>
          <w:rFonts w:asciiTheme="majorBidi" w:hAnsiTheme="majorBidi"/>
          <w:b/>
          <w:bCs/>
        </w:rPr>
      </w:pPr>
      <w:r w:rsidRPr="00EF5AA3">
        <w:rPr>
          <w:rFonts w:asciiTheme="majorBidi" w:hAnsiTheme="majorBidi"/>
          <w:b/>
          <w:bCs/>
        </w:rPr>
        <w:t xml:space="preserve"> Financial and Strategic Implications</w:t>
      </w:r>
    </w:p>
    <w:p w14:paraId="61488184" w14:textId="77777777" w:rsidR="009326E0" w:rsidRDefault="009326E0" w:rsidP="009326E0">
      <w:pPr>
        <w:spacing w:after="0" w:line="480" w:lineRule="auto"/>
        <w:ind w:firstLine="720"/>
        <w:jc w:val="both"/>
        <w:rPr>
          <w:rFonts w:asciiTheme="majorBidi" w:hAnsiTheme="majorBidi" w:cstheme="majorBidi"/>
          <w:color w:val="000000" w:themeColor="text1"/>
        </w:rPr>
      </w:pPr>
      <w:r w:rsidRPr="007F1E23">
        <w:rPr>
          <w:rFonts w:asciiTheme="majorBidi" w:hAnsiTheme="majorBidi"/>
        </w:rPr>
        <w:t xml:space="preserve">Burnout has measurable financial costs to healthcare institutions. These include increased expenditure on recruitment, onboarding, and retraining to replace staff who resign due to burnout. Indirect costs stem from reduced efficiency, absenteeism, medical errors, litigation, and reputational damage. In the long term, burnout affects strategic goals related to staff development, patient satisfaction, and clinical excellence. Institutions that fail to address burnout risk losing their competitive edge and may struggle to meet national healthcare quality benchmarks or accreditation standards. In Saudi Arabia, where Vision 2030 emphasizes excellence and sustainability in </w:t>
      </w:r>
      <w:r w:rsidRPr="007F1E23">
        <w:rPr>
          <w:rFonts w:asciiTheme="majorBidi" w:hAnsiTheme="majorBidi"/>
        </w:rPr>
        <w:lastRenderedPageBreak/>
        <w:t>healthcare delivery, unmitigated burnout stands as a barrier to policy implementation and sectoral growth</w:t>
      </w:r>
      <w:r>
        <w:rPr>
          <w:rFonts w:asciiTheme="majorBidi" w:hAnsiTheme="majorBidi"/>
        </w:rPr>
        <w:t xml:space="preserve"> (</w:t>
      </w:r>
      <w:r w:rsidRPr="00F96194">
        <w:rPr>
          <w:rFonts w:asciiTheme="majorBidi" w:hAnsiTheme="majorBidi" w:cstheme="majorBidi"/>
          <w:color w:val="000000" w:themeColor="text1"/>
        </w:rPr>
        <w:t>Harder</w:t>
      </w:r>
      <w:r>
        <w:rPr>
          <w:rFonts w:asciiTheme="majorBidi" w:hAnsiTheme="majorBidi" w:cstheme="majorBidi"/>
          <w:color w:val="000000" w:themeColor="text1"/>
        </w:rPr>
        <w:t xml:space="preserve"> et al.,2015).</w:t>
      </w:r>
    </w:p>
    <w:p w14:paraId="359D82FD" w14:textId="77777777" w:rsidR="009326E0" w:rsidRPr="007F1E23" w:rsidRDefault="009326E0" w:rsidP="009326E0">
      <w:pPr>
        <w:spacing w:after="0" w:line="480" w:lineRule="auto"/>
        <w:ind w:firstLine="720"/>
        <w:jc w:val="both"/>
        <w:rPr>
          <w:rFonts w:asciiTheme="majorBidi" w:hAnsiTheme="majorBidi"/>
        </w:rPr>
      </w:pPr>
    </w:p>
    <w:p w14:paraId="76B6FC2C"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rPr>
      </w:pPr>
      <w:r w:rsidRPr="00EF5AA3">
        <w:rPr>
          <w:rFonts w:asciiTheme="majorBidi" w:hAnsiTheme="majorBidi"/>
          <w:b/>
          <w:bCs/>
        </w:rPr>
        <w:t xml:space="preserve"> </w:t>
      </w:r>
      <w:bookmarkStart w:id="36" w:name="_Toc203853273"/>
      <w:r w:rsidRPr="00EF5AA3">
        <w:rPr>
          <w:rFonts w:asciiTheme="majorBidi" w:hAnsiTheme="majorBidi"/>
          <w:b/>
          <w:bCs/>
        </w:rPr>
        <w:t>Organizational Culture and Employee Morale</w:t>
      </w:r>
      <w:bookmarkEnd w:id="36"/>
    </w:p>
    <w:p w14:paraId="64F52323"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Finally, burnout erodes organizational culture. It fosters a work environment marked by cynicism, mistrust, emotional detachment, and low morale. Teams become fragmented, communication weakens, and collaboration deteriorates. Over time, this toxic atmosphere can lead to a collective decline in commitment and innovation, making it difficult to introduce new practices, retain high-performing staff, or achieve performance targets. A healthy work culture is essential for resilience in the face of challenges; burnout, if ignored, can dismantle this foundation entirely.</w:t>
      </w:r>
      <w:r>
        <w:rPr>
          <w:rFonts w:asciiTheme="majorBidi" w:hAnsiTheme="majorBidi"/>
        </w:rPr>
        <w:t xml:space="preserve"> </w:t>
      </w:r>
      <w:r w:rsidRPr="007F1E23">
        <w:rPr>
          <w:rFonts w:asciiTheme="majorBidi" w:hAnsiTheme="majorBidi"/>
        </w:rPr>
        <w:t>In sum, burnout has a multidimensional and deeply damaging impact on healthcare organizations. From reduced productivity and rising turnover to deteriorating patient safety and organizational culture, the consequences of burnout extend far beyond the individual. In the context of the Saudi healthcare sector, where demand for quality care continues to grow, addressing burnout is both a human and institutional imperative. Healthcare leaders must recognize burnout as a systemic risk and implement evidence-based strategies to foster a healthier, more sustainable workforce—one that can deliver safe, compassionate, and effective care.</w:t>
      </w:r>
    </w:p>
    <w:p w14:paraId="2B51D8FF" w14:textId="77777777" w:rsidR="009326E0" w:rsidRPr="007F1E23" w:rsidRDefault="009326E0" w:rsidP="009326E0">
      <w:pPr>
        <w:pStyle w:val="ListParagraph"/>
        <w:numPr>
          <w:ilvl w:val="1"/>
          <w:numId w:val="7"/>
        </w:numPr>
        <w:spacing w:line="480" w:lineRule="auto"/>
        <w:jc w:val="both"/>
        <w:outlineLvl w:val="1"/>
        <w:rPr>
          <w:rFonts w:asciiTheme="majorBidi" w:hAnsiTheme="majorBidi"/>
          <w:b/>
          <w:bCs/>
          <w:sz w:val="28"/>
          <w:szCs w:val="28"/>
        </w:rPr>
      </w:pPr>
      <w:bookmarkStart w:id="37" w:name="_Toc203853274"/>
      <w:r w:rsidRPr="00735509">
        <w:rPr>
          <w:rFonts w:asciiTheme="majorBidi" w:hAnsiTheme="majorBidi" w:cstheme="majorBidi"/>
          <w:b/>
          <w:bCs/>
          <w:sz w:val="28"/>
          <w:szCs w:val="28"/>
        </w:rPr>
        <w:t>Cultural and Religious Influence</w:t>
      </w:r>
      <w:bookmarkEnd w:id="37"/>
    </w:p>
    <w:p w14:paraId="7DFE7BF6" w14:textId="77777777" w:rsidR="009326E0" w:rsidRDefault="009326E0" w:rsidP="009326E0">
      <w:pPr>
        <w:spacing w:after="0" w:line="480" w:lineRule="auto"/>
        <w:ind w:firstLine="720"/>
        <w:jc w:val="both"/>
        <w:rPr>
          <w:rFonts w:asciiTheme="majorBidi" w:hAnsiTheme="majorBidi"/>
        </w:rPr>
      </w:pPr>
      <w:r w:rsidRPr="007F1E23">
        <w:rPr>
          <w:rFonts w:asciiTheme="majorBidi" w:hAnsiTheme="majorBidi"/>
        </w:rPr>
        <w:t xml:space="preserve">Cultural and religious contexts play a significant role in shaping how healthcare professionals perceive, experience, and cope with workplace stress and burnout. In a multicultural healthcare environment—such as that found in Saudi Arabia—nurses and medical staff often come from diverse national, ethnic, and religious backgrounds. These factors influence not only communication and teamwork but also personal values, coping mechanisms, and professional </w:t>
      </w:r>
      <w:r w:rsidRPr="007F1E23">
        <w:rPr>
          <w:rFonts w:asciiTheme="majorBidi" w:hAnsiTheme="majorBidi"/>
        </w:rPr>
        <w:lastRenderedPageBreak/>
        <w:t>expectations. Understanding the cultural and religious dimensions of burnout is therefore essential for designing effective, culturally sensitive strategies for workforce well-being and retention.</w:t>
      </w:r>
    </w:p>
    <w:p w14:paraId="26E67797" w14:textId="77777777" w:rsidR="009326E0" w:rsidRDefault="009326E0" w:rsidP="009326E0">
      <w:pPr>
        <w:spacing w:after="0" w:line="480" w:lineRule="auto"/>
        <w:ind w:firstLine="720"/>
        <w:jc w:val="both"/>
        <w:rPr>
          <w:rFonts w:asciiTheme="majorBidi" w:hAnsiTheme="majorBidi"/>
        </w:rPr>
      </w:pPr>
    </w:p>
    <w:p w14:paraId="7286B2FF" w14:textId="77777777" w:rsidR="009326E0" w:rsidRPr="007F1E23" w:rsidRDefault="009326E0" w:rsidP="009326E0">
      <w:pPr>
        <w:spacing w:after="0" w:line="480" w:lineRule="auto"/>
        <w:ind w:firstLine="720"/>
        <w:jc w:val="both"/>
        <w:rPr>
          <w:rFonts w:asciiTheme="majorBidi" w:hAnsiTheme="majorBidi"/>
        </w:rPr>
      </w:pPr>
    </w:p>
    <w:p w14:paraId="348DC3FE" w14:textId="77777777" w:rsidR="009326E0" w:rsidRPr="003E2793" w:rsidRDefault="009326E0" w:rsidP="009326E0">
      <w:pPr>
        <w:spacing w:after="0" w:line="480" w:lineRule="auto"/>
        <w:jc w:val="both"/>
        <w:rPr>
          <w:rFonts w:asciiTheme="majorBidi" w:hAnsiTheme="majorBidi"/>
          <w:b/>
          <w:bCs/>
        </w:rPr>
      </w:pPr>
      <w:r w:rsidRPr="00687BF0">
        <w:rPr>
          <w:rFonts w:asciiTheme="majorBidi" w:hAnsiTheme="majorBidi"/>
          <w:b/>
          <w:bCs/>
        </w:rPr>
        <w:t xml:space="preserve"> 2.8.1 Cultural Diversity and Workplace Dynamics</w:t>
      </w:r>
    </w:p>
    <w:p w14:paraId="3DA4BBB8"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Saudi Arabian healthcare institutions employ a large proportion of expatriate healthcare professionals, particularly nurses from countries such as the Philippines, India, Egypt, and Sudan. While this multicultural workforce enhances diversity and global competence, it also introduces challenges such as language barriers, cultural misunderstandings, and differing professional norms. These issues can contribute to role conflict, feelings of exclusion, and workplace tension, all of which may heighten stress and emotional fatigue. Almansour (2017) found that nationality significantly influenced job satisfaction and intention to leave, with non-Saudi nurses often reporting lower satisfaction due to perceived inequities in opportunities for advancement, housing, or benefits. These perceptions, if unaddressed, can exacerbate emotional exhaustion and depersonalization—two core dimensions of burnout.</w:t>
      </w:r>
      <w:r>
        <w:rPr>
          <w:rFonts w:asciiTheme="majorBidi" w:hAnsiTheme="majorBidi"/>
        </w:rPr>
        <w:t xml:space="preserve"> </w:t>
      </w:r>
      <w:r w:rsidRPr="007F1E23">
        <w:rPr>
          <w:rFonts w:asciiTheme="majorBidi" w:hAnsiTheme="majorBidi"/>
        </w:rPr>
        <w:t>Moreover, in some cultures, particularly collectivist societies, there may be a tendency to avoid open conflict or suppress emotional expression, which can mask underlying stress until it becomes overwhelming. In such settings, burnout may remain underreported or misinterpreted by management, further delaying intervention. Effective employee relations in culturally diverse teams therefore require strong intercultural communication, inclusive leadership, and clear, equitable organizational policies that promote fairness and belonging across all staff groups.</w:t>
      </w:r>
    </w:p>
    <w:p w14:paraId="73C25084" w14:textId="77777777" w:rsidR="009326E0" w:rsidRPr="00687BF0" w:rsidRDefault="009326E0" w:rsidP="009326E0">
      <w:pPr>
        <w:spacing w:after="0" w:line="480" w:lineRule="auto"/>
        <w:jc w:val="both"/>
        <w:rPr>
          <w:rFonts w:asciiTheme="majorBidi" w:hAnsiTheme="majorBidi"/>
          <w:b/>
          <w:bCs/>
        </w:rPr>
      </w:pPr>
      <w:r w:rsidRPr="00687BF0">
        <w:rPr>
          <w:rFonts w:asciiTheme="majorBidi" w:hAnsiTheme="majorBidi"/>
          <w:b/>
          <w:bCs/>
        </w:rPr>
        <w:t xml:space="preserve"> 2.8.2 Religious Beliefs as a Coping Mechanism</w:t>
      </w:r>
    </w:p>
    <w:p w14:paraId="0097CD85"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lastRenderedPageBreak/>
        <w:t>In Saudi Arabia, Islam is a central part of social and professional life, and religious values often influence how individuals approach hardship, stress, and workplace dissatisfaction. For many healthcare workers—both Saudi nationals and Muslim expatriates—faith serves as a powerful internal coping mechanism that promotes patience, resilience, and acceptance. Religious practices such as prayer, supplication, and community support can provide emotional comfort during times of distress and help individuals maintain a sense of meaning in their work.</w:t>
      </w:r>
      <w:r>
        <w:rPr>
          <w:rFonts w:asciiTheme="majorBidi" w:hAnsiTheme="majorBidi"/>
        </w:rPr>
        <w:t xml:space="preserve"> </w:t>
      </w:r>
      <w:r w:rsidRPr="007F1E23">
        <w:rPr>
          <w:rFonts w:asciiTheme="majorBidi" w:hAnsiTheme="majorBidi"/>
        </w:rPr>
        <w:t>Haron (2020) explored the moderating effect of religious beliefs on the relationship between employee rewards and turnover intentions among healthcare workers in Kenyan private hospitals. The study revealed that employees with strong religious convictions were more likely to remain in their jobs, even when extrinsic rewards were lacking, suggesting that intrinsic motivations rooted in faith can buffer the negative effects of organizational stress. This finding is particularly relevant in the Saudi context, where many workers may view their profession as a form of service or moral duty aligned with religious principles such as compassion, altruism, and patience.</w:t>
      </w:r>
      <w:r>
        <w:rPr>
          <w:rFonts w:asciiTheme="majorBidi" w:hAnsiTheme="majorBidi"/>
        </w:rPr>
        <w:t xml:space="preserve"> </w:t>
      </w:r>
      <w:r w:rsidRPr="007F1E23">
        <w:rPr>
          <w:rFonts w:asciiTheme="majorBidi" w:hAnsiTheme="majorBidi"/>
        </w:rPr>
        <w:t>However, while religion can act as a protective factor, it is not a substitute for organizational support. Relying solely on individual coping strategies may lead to the normalization of overwork and discourage institutional change. Therefore, it is crucial for healthcare leaders to acknowledge and respect the role of religion while simultaneously providing structural solutions such as fair workloads, recognition, and mental health support.</w:t>
      </w:r>
    </w:p>
    <w:p w14:paraId="5AB41AA4" w14:textId="77777777" w:rsidR="009326E0" w:rsidRPr="00687BF0" w:rsidRDefault="009326E0" w:rsidP="009326E0">
      <w:pPr>
        <w:spacing w:after="0" w:line="480" w:lineRule="auto"/>
        <w:jc w:val="both"/>
        <w:rPr>
          <w:rFonts w:asciiTheme="majorBidi" w:hAnsiTheme="majorBidi"/>
          <w:b/>
          <w:bCs/>
        </w:rPr>
      </w:pPr>
      <w:r w:rsidRPr="00687BF0">
        <w:rPr>
          <w:rFonts w:asciiTheme="majorBidi" w:hAnsiTheme="majorBidi"/>
          <w:b/>
          <w:bCs/>
        </w:rPr>
        <w:t xml:space="preserve"> 2.8.3 Gender and Cultural Norms</w:t>
      </w:r>
    </w:p>
    <w:p w14:paraId="4A6EEFAD"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 xml:space="preserve">Cultural expectations related to gender roles can also impact burnout risk, particularly for female healthcare workers. In traditional societies, women may carry dual responsibilities—professional duties and family caregiving—which can intensify work-life conflict. In Saudi Arabia, where women make up a growing segment of the healthcare workforce, especially in </w:t>
      </w:r>
      <w:r w:rsidRPr="007F1E23">
        <w:rPr>
          <w:rFonts w:asciiTheme="majorBidi" w:hAnsiTheme="majorBidi"/>
        </w:rPr>
        <w:lastRenderedPageBreak/>
        <w:t>nursing, cultural expectations regarding modesty, family obligations, and mobility may affect their work schedules, stress levels, and support systems. Without appropriate policies such as flexible shifts, childcare options, or gender-sensitive leadership, these factors can contribute to emotional strain and higher turnover.</w:t>
      </w:r>
    </w:p>
    <w:p w14:paraId="1CEDACF2" w14:textId="77777777" w:rsidR="009326E0" w:rsidRPr="007F1E23" w:rsidRDefault="009326E0" w:rsidP="009326E0">
      <w:pPr>
        <w:pStyle w:val="ListParagraph"/>
        <w:numPr>
          <w:ilvl w:val="1"/>
          <w:numId w:val="7"/>
        </w:numPr>
        <w:spacing w:line="480" w:lineRule="auto"/>
        <w:jc w:val="both"/>
        <w:outlineLvl w:val="1"/>
        <w:rPr>
          <w:rFonts w:asciiTheme="majorBidi" w:hAnsiTheme="majorBidi"/>
          <w:b/>
          <w:bCs/>
          <w:sz w:val="28"/>
          <w:szCs w:val="28"/>
        </w:rPr>
      </w:pPr>
      <w:bookmarkStart w:id="38" w:name="_Toc203853275"/>
      <w:r w:rsidRPr="00735509">
        <w:rPr>
          <w:rFonts w:asciiTheme="majorBidi" w:hAnsiTheme="majorBidi" w:cstheme="majorBidi"/>
          <w:b/>
          <w:bCs/>
          <w:sz w:val="28"/>
          <w:szCs w:val="28"/>
        </w:rPr>
        <w:t>Gender and Nationality as Moderators</w:t>
      </w:r>
      <w:bookmarkEnd w:id="38"/>
    </w:p>
    <w:p w14:paraId="6510855F"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t>Gender and nationality are critical demographic variables that can moderate the relationship between occupational stressors, burnout, and job-related outcomes in healthcare settings. In the context of Saudi Arabia’s healthcare sector—where the workforce is characterized by both gender-specific cultural expectations and a high degree of multinational representation—these factors play a pivotal role in shaping how healthcare professionals experience, interpret, and respond to burnout. Recognizing the moderating influence of gender and nationality is essential for tailoring burnout prevention strategies and promoting equity in workforce management.</w:t>
      </w:r>
    </w:p>
    <w:p w14:paraId="45D975F6" w14:textId="77777777" w:rsidR="009326E0" w:rsidRPr="00687BF0" w:rsidRDefault="009326E0" w:rsidP="009326E0">
      <w:pPr>
        <w:spacing w:after="0" w:line="480" w:lineRule="auto"/>
        <w:jc w:val="both"/>
        <w:rPr>
          <w:rFonts w:asciiTheme="majorBidi" w:hAnsiTheme="majorBidi"/>
          <w:b/>
          <w:bCs/>
        </w:rPr>
      </w:pPr>
      <w:r w:rsidRPr="00687BF0">
        <w:rPr>
          <w:rFonts w:asciiTheme="majorBidi" w:hAnsiTheme="majorBidi"/>
          <w:b/>
          <w:bCs/>
        </w:rPr>
        <w:t xml:space="preserve"> 2.9.1 Gender as a Moderating Factor</w:t>
      </w:r>
    </w:p>
    <w:p w14:paraId="428F4026" w14:textId="77777777" w:rsidR="009326E0" w:rsidRDefault="009326E0" w:rsidP="009326E0">
      <w:pPr>
        <w:spacing w:after="0" w:line="480" w:lineRule="auto"/>
        <w:ind w:firstLine="720"/>
        <w:jc w:val="both"/>
        <w:rPr>
          <w:rFonts w:asciiTheme="majorBidi" w:hAnsiTheme="majorBidi"/>
        </w:rPr>
      </w:pPr>
      <w:r w:rsidRPr="007F1E23">
        <w:rPr>
          <w:rFonts w:asciiTheme="majorBidi" w:hAnsiTheme="majorBidi"/>
        </w:rPr>
        <w:t>Gender differences in burnout levels and coping mechanisms have been widely documented in the literature. Numerous studies suggest that female healthcare workers are more prone to emotional exhaustion, the most prevalent dimension of burnout, due to their dual responsibilities in both professional and family spheres. In conservative societies such as Saudi Arabia, women—particularly nurses—may face additional pressures related to social expectations, mobility limitations, or family obligations, all of which may amplify work-life imbalance and psychological fatigue. For example, women working night shifts or in mixed-gender environments may encounter stressors not experienced by their male counterparts, including increased vulnerability to harassment, cultural scrutiny, or constraints in career progression.</w:t>
      </w:r>
    </w:p>
    <w:p w14:paraId="0C9CCD38" w14:textId="77777777" w:rsidR="009326E0" w:rsidRPr="007F1E23" w:rsidRDefault="009326E0" w:rsidP="009326E0">
      <w:pPr>
        <w:spacing w:after="0" w:line="480" w:lineRule="auto"/>
        <w:ind w:firstLine="720"/>
        <w:jc w:val="both"/>
        <w:rPr>
          <w:rFonts w:asciiTheme="majorBidi" w:hAnsiTheme="majorBidi"/>
        </w:rPr>
      </w:pPr>
      <w:r w:rsidRPr="007F1E23">
        <w:rPr>
          <w:rFonts w:asciiTheme="majorBidi" w:hAnsiTheme="majorBidi"/>
        </w:rPr>
        <w:lastRenderedPageBreak/>
        <w:t>Conversely, male healthcare professionals may report higher levels of depersonalization, potentially due to societal norms that discourage emotional expression or emphasize stoicism in professional roles. These gendered patterns suggest that burnout is experienced differently across genders, requiring tailored support interventions. Providing flexible scheduling, promoting gender-sensitive leadership, and ensuring workplace protections for female staff can help mitigate gender-related stressors that contribute to burnout.</w:t>
      </w:r>
    </w:p>
    <w:p w14:paraId="7679A7E5" w14:textId="77777777" w:rsidR="009326E0" w:rsidRPr="00687BF0" w:rsidRDefault="009326E0" w:rsidP="009326E0">
      <w:pPr>
        <w:spacing w:after="0" w:line="480" w:lineRule="auto"/>
        <w:jc w:val="both"/>
        <w:rPr>
          <w:rFonts w:asciiTheme="majorBidi" w:hAnsiTheme="majorBidi"/>
          <w:b/>
          <w:bCs/>
        </w:rPr>
      </w:pPr>
      <w:r w:rsidRPr="00687BF0">
        <w:rPr>
          <w:rFonts w:asciiTheme="majorBidi" w:hAnsiTheme="majorBidi"/>
          <w:b/>
          <w:bCs/>
        </w:rPr>
        <w:t xml:space="preserve"> 2.9.2 Nationality as a Moderating Factor</w:t>
      </w:r>
    </w:p>
    <w:p w14:paraId="342AF221" w14:textId="77777777" w:rsidR="009326E0" w:rsidRPr="00ED5B8E" w:rsidRDefault="009326E0" w:rsidP="009326E0">
      <w:pPr>
        <w:spacing w:after="0" w:line="480" w:lineRule="auto"/>
        <w:ind w:firstLine="720"/>
        <w:jc w:val="both"/>
        <w:rPr>
          <w:rFonts w:asciiTheme="majorBidi" w:hAnsiTheme="majorBidi"/>
        </w:rPr>
      </w:pPr>
      <w:r w:rsidRPr="00ED5B8E">
        <w:rPr>
          <w:rFonts w:asciiTheme="majorBidi" w:hAnsiTheme="majorBidi"/>
        </w:rPr>
        <w:t>In Saudi Arabia, the healthcare system relies heavily on a diverse expatriate workforce, particularly in nursing, pharmacy, and technical roles. While this diversity contributes to service delivery capacity and cross-cultural knowledge exchange, it also introduces inequities in workplace treatment, recognition, and opportunity. Expatriate healthcare workers, especially from countries like the Philippines, India, and Egypt, may face challenges related to cultural adjustment, language barriers, perceived discrimination, or limited access to promotions and benefits. These challenges can heighten feelings of alienation, stress, and undervaluation which contribute to burnout.</w:t>
      </w:r>
    </w:p>
    <w:p w14:paraId="6E97B23A" w14:textId="77777777" w:rsidR="009326E0" w:rsidRPr="00ED5B8E" w:rsidRDefault="009326E0" w:rsidP="009326E0">
      <w:pPr>
        <w:spacing w:after="0" w:line="480" w:lineRule="auto"/>
        <w:ind w:firstLine="720"/>
        <w:jc w:val="both"/>
        <w:rPr>
          <w:rFonts w:asciiTheme="majorBidi" w:hAnsiTheme="majorBidi"/>
        </w:rPr>
      </w:pPr>
      <w:r w:rsidRPr="00ED5B8E">
        <w:rPr>
          <w:rFonts w:asciiTheme="majorBidi" w:hAnsiTheme="majorBidi"/>
        </w:rPr>
        <w:t>Almansour (2017) found significant differences in job satisfaction and turnover intention between Saudi and non-Saudi nurses working in government hospitals. Non-Saudi nurses often reported lower satisfaction levels due to restricted mobility, fewer advancement opportunities, and exclusion from decision-making processes. These conditions not only affect morale but also intensify emotional exhaustion and disengagement. When nationality influences how employees are treated or perceive their value within an organization, it becomes a moderating variable that shapes the overall impact of job stressors.</w:t>
      </w:r>
    </w:p>
    <w:p w14:paraId="4C9D5DE5" w14:textId="77777777" w:rsidR="009326E0" w:rsidRPr="00ED5B8E" w:rsidRDefault="009326E0" w:rsidP="009326E0">
      <w:pPr>
        <w:spacing w:after="0" w:line="480" w:lineRule="auto"/>
        <w:ind w:firstLine="720"/>
        <w:jc w:val="both"/>
        <w:rPr>
          <w:rFonts w:asciiTheme="majorBidi" w:hAnsiTheme="majorBidi"/>
        </w:rPr>
      </w:pPr>
      <w:r w:rsidRPr="00ED5B8E">
        <w:rPr>
          <w:rFonts w:asciiTheme="majorBidi" w:hAnsiTheme="majorBidi"/>
        </w:rPr>
        <w:lastRenderedPageBreak/>
        <w:t>Additionally, expatriate workers may have fewer support networks in the host country, making them more vulnerable to isolation and less likely to report burnout symptoms. They may also refrain from expressing dissatisfaction out of fear of job insecurity or visa restrictions. These factors underscore the need for inclusive employee relations policies, equitable benefit structures, and cultural orientation programs to support foreign staff members.</w:t>
      </w:r>
    </w:p>
    <w:p w14:paraId="4C27F9B9" w14:textId="77777777" w:rsidR="009326E0" w:rsidRPr="00ED5B8E" w:rsidRDefault="009326E0" w:rsidP="009326E0">
      <w:pPr>
        <w:spacing w:after="0" w:line="480" w:lineRule="auto"/>
        <w:jc w:val="both"/>
        <w:rPr>
          <w:rFonts w:asciiTheme="majorBidi" w:hAnsiTheme="majorBidi"/>
        </w:rPr>
      </w:pPr>
      <w:r w:rsidRPr="00ED5B8E">
        <w:rPr>
          <w:rFonts w:asciiTheme="majorBidi" w:hAnsiTheme="majorBidi"/>
        </w:rPr>
        <w:t xml:space="preserve"> 2.9.3 </w:t>
      </w:r>
      <w:r w:rsidRPr="00687BF0">
        <w:rPr>
          <w:rFonts w:asciiTheme="majorBidi" w:hAnsiTheme="majorBidi"/>
          <w:b/>
          <w:bCs/>
        </w:rPr>
        <w:t>Intersectionality</w:t>
      </w:r>
      <w:r w:rsidRPr="00ED5B8E">
        <w:rPr>
          <w:rFonts w:asciiTheme="majorBidi" w:hAnsiTheme="majorBidi"/>
        </w:rPr>
        <w:t xml:space="preserve"> of Gender and Nationality</w:t>
      </w:r>
    </w:p>
    <w:p w14:paraId="34A41EC0" w14:textId="77777777" w:rsidR="009326E0" w:rsidRPr="00ED5B8E" w:rsidRDefault="009326E0" w:rsidP="009326E0">
      <w:pPr>
        <w:spacing w:after="0" w:line="480" w:lineRule="auto"/>
        <w:ind w:firstLine="360"/>
        <w:jc w:val="both"/>
        <w:rPr>
          <w:rFonts w:asciiTheme="majorBidi" w:hAnsiTheme="majorBidi"/>
        </w:rPr>
      </w:pPr>
      <w:r w:rsidRPr="00ED5B8E">
        <w:rPr>
          <w:rFonts w:asciiTheme="majorBidi" w:hAnsiTheme="majorBidi"/>
        </w:rPr>
        <w:t>Importantly, the intersection of gender and nationality may produce compounded effects on how burnout is experienced. For instance, female expatriate nurses may face both gender-specific cultural constraints and nationality-based inequities, placing them at even greater risk for burnout. Such intersecting vulnerabilities highlight the importance of analyzing workforce dynamics through an intersectional lens rather than treating gender and nationality as isolated variables.</w:t>
      </w:r>
    </w:p>
    <w:p w14:paraId="173C7ED9" w14:textId="77777777" w:rsidR="009326E0" w:rsidRPr="00ED5B8E" w:rsidRDefault="009326E0" w:rsidP="009326E0">
      <w:pPr>
        <w:pStyle w:val="ListParagraph"/>
        <w:numPr>
          <w:ilvl w:val="1"/>
          <w:numId w:val="7"/>
        </w:numPr>
        <w:spacing w:line="480" w:lineRule="auto"/>
        <w:jc w:val="both"/>
        <w:outlineLvl w:val="1"/>
        <w:rPr>
          <w:rFonts w:asciiTheme="majorBidi" w:hAnsiTheme="majorBidi"/>
          <w:b/>
          <w:bCs/>
        </w:rPr>
      </w:pPr>
      <w:bookmarkStart w:id="39" w:name="_Toc203853276"/>
      <w:r w:rsidRPr="00ED5B8E">
        <w:rPr>
          <w:rFonts w:ascii="Times New Roman" w:eastAsia="Times New Roman" w:hAnsi="Times New Roman" w:cs="Times New Roman"/>
          <w:b/>
          <w:bCs/>
        </w:rPr>
        <w:t>Role of Leadership in Mitigating Burnout</w:t>
      </w:r>
      <w:bookmarkEnd w:id="39"/>
    </w:p>
    <w:p w14:paraId="06DB0F2C" w14:textId="77777777" w:rsidR="009326E0" w:rsidRPr="00ED5B8E" w:rsidRDefault="009326E0" w:rsidP="009326E0">
      <w:pPr>
        <w:spacing w:line="480" w:lineRule="auto"/>
        <w:ind w:firstLine="720"/>
        <w:jc w:val="both"/>
        <w:rPr>
          <w:rFonts w:asciiTheme="majorBidi" w:hAnsiTheme="majorBidi"/>
        </w:rPr>
      </w:pPr>
      <w:r w:rsidRPr="00ED5B8E">
        <w:rPr>
          <w:rFonts w:asciiTheme="majorBidi" w:hAnsiTheme="majorBidi"/>
        </w:rPr>
        <w:t>Leadership plays a crucial role in shaping the work environment, influencing organizational culture, and directly affecting employee well-being. In healthcare settings—where stress, emotional intensity, and life-or-death decisions are part of daily routines—the quality of leadership can be a determining factor in whether staff thrive or burn out. Effective leadership not only improves team performance and patient outcomes but also serves as a buffer against workplace stressors that contribute to burnout. This section explores how different leadership styles and practices influence burnout levels among healthcare professionals, particularly within the Saudi Arabian healthcare system.</w:t>
      </w:r>
    </w:p>
    <w:p w14:paraId="1CE1B146" w14:textId="77777777" w:rsidR="009326E0" w:rsidRPr="00EF5AA3" w:rsidRDefault="009326E0" w:rsidP="009326E0">
      <w:pPr>
        <w:pStyle w:val="ListParagraph"/>
        <w:numPr>
          <w:ilvl w:val="2"/>
          <w:numId w:val="7"/>
        </w:numPr>
        <w:spacing w:line="480" w:lineRule="auto"/>
        <w:jc w:val="both"/>
        <w:outlineLvl w:val="2"/>
        <w:rPr>
          <w:rFonts w:asciiTheme="majorBidi" w:hAnsiTheme="majorBidi"/>
          <w:b/>
          <w:bCs/>
        </w:rPr>
      </w:pPr>
      <w:r w:rsidRPr="00EF5AA3">
        <w:rPr>
          <w:rFonts w:asciiTheme="majorBidi" w:hAnsiTheme="majorBidi"/>
          <w:b/>
          <w:bCs/>
        </w:rPr>
        <w:t xml:space="preserve"> </w:t>
      </w:r>
      <w:bookmarkStart w:id="40" w:name="_Toc203853277"/>
      <w:r w:rsidRPr="00EF5AA3">
        <w:rPr>
          <w:rFonts w:asciiTheme="majorBidi" w:hAnsiTheme="majorBidi"/>
          <w:b/>
          <w:bCs/>
        </w:rPr>
        <w:t>Leadership Styles and Their Impact</w:t>
      </w:r>
      <w:bookmarkEnd w:id="40"/>
    </w:p>
    <w:p w14:paraId="195A9D4E" w14:textId="77777777" w:rsidR="009326E0" w:rsidRPr="00ED5B8E" w:rsidRDefault="009326E0" w:rsidP="009326E0">
      <w:pPr>
        <w:spacing w:line="480" w:lineRule="auto"/>
        <w:ind w:firstLine="720"/>
        <w:jc w:val="both"/>
        <w:rPr>
          <w:rFonts w:asciiTheme="majorBidi" w:hAnsiTheme="majorBidi"/>
        </w:rPr>
      </w:pPr>
      <w:r w:rsidRPr="00ED5B8E">
        <w:rPr>
          <w:rFonts w:asciiTheme="majorBidi" w:hAnsiTheme="majorBidi"/>
        </w:rPr>
        <w:t xml:space="preserve">Research consistently shows that transformational leadership is one of the most effective styles for reducing burnout in healthcare environments. Transformational leaders inspire and </w:t>
      </w:r>
      <w:r w:rsidRPr="00ED5B8E">
        <w:rPr>
          <w:rFonts w:asciiTheme="majorBidi" w:hAnsiTheme="majorBidi"/>
        </w:rPr>
        <w:lastRenderedPageBreak/>
        <w:t>motivate their teams by fostering a shared vision, encouraging innovation, recognizing individual contributions, and showing genuine concern for employees’ personal and professional growth. This leadership style enhances trust, morale, and job satisfaction—factors that are inversely related to burnout. Studies have found that employees who report to transformational leaders experience lower levels of emotional exhaustion and depersonalization, and higher levels of engagement and resilience. In contrast, transactional leadership, which emphasizes routine tasks, performance monitoring, and rewards or punishments, may maintain order but does little to support emotional well-being. Similarly, autocratic or authoritarian leadership styles, which are more prevalent in some hierarchical healthcare systems, including parts of the Saudi healthcare sector, can exacerbate feelings of powerlessness, stress, and alienation among staff. Such environments often lack open communication, psychological safety, and participatory decision-making, all of which are essential to preventing burnout.</w:t>
      </w:r>
    </w:p>
    <w:p w14:paraId="445168C4" w14:textId="77777777" w:rsidR="009326E0" w:rsidRPr="00EF5AA3" w:rsidRDefault="009326E0" w:rsidP="009326E0">
      <w:pPr>
        <w:pStyle w:val="ListParagraph"/>
        <w:numPr>
          <w:ilvl w:val="2"/>
          <w:numId w:val="7"/>
        </w:numPr>
        <w:spacing w:line="480" w:lineRule="auto"/>
        <w:jc w:val="both"/>
        <w:rPr>
          <w:rFonts w:asciiTheme="majorBidi" w:hAnsiTheme="majorBidi"/>
          <w:b/>
          <w:bCs/>
        </w:rPr>
      </w:pPr>
      <w:r w:rsidRPr="00EF5AA3">
        <w:rPr>
          <w:rFonts w:asciiTheme="majorBidi" w:hAnsiTheme="majorBidi"/>
          <w:b/>
          <w:bCs/>
        </w:rPr>
        <w:t xml:space="preserve"> Supervisor Support and Emotional Safety</w:t>
      </w:r>
    </w:p>
    <w:p w14:paraId="022D0039" w14:textId="77777777" w:rsidR="009326E0" w:rsidRPr="00ED5B8E" w:rsidRDefault="009326E0" w:rsidP="009326E0">
      <w:pPr>
        <w:spacing w:line="480" w:lineRule="auto"/>
        <w:ind w:firstLine="720"/>
        <w:jc w:val="both"/>
        <w:rPr>
          <w:rFonts w:asciiTheme="majorBidi" w:hAnsiTheme="majorBidi"/>
        </w:rPr>
      </w:pPr>
      <w:r w:rsidRPr="00ED5B8E">
        <w:rPr>
          <w:rFonts w:asciiTheme="majorBidi" w:hAnsiTheme="majorBidi"/>
        </w:rPr>
        <w:t>One of the strongest predictors of employee burnout is perceived supervisor support. Leaders who are approachable, empathetic, and responsive to employee concerns foster a sense of emotional safety, which is essential for psychological well-being. This includes acknowledging workloads, offering flexible solutions, intervening in cases of conflict, and advocating for staff needs. When leaders are distant or dismissive, employees may feel isolated and undervalued, increasing the risk of emotional exhaustion and withdrawal. In the Saudi context, where healthcare organizations are large and bureaucratically structured, the presence of visible, accessible, and emotionally intelligent leaders can make a substantial difference. Leadership training that emphasizes emotional intelligence, cultural competence, and inclusive practices is therefore critical in equipping supervisors to mitigate burnout among diverse healthcare teams.</w:t>
      </w:r>
    </w:p>
    <w:p w14:paraId="136E3618" w14:textId="77777777" w:rsidR="009326E0" w:rsidRPr="00EF5AA3" w:rsidRDefault="009326E0" w:rsidP="009326E0">
      <w:pPr>
        <w:pStyle w:val="ListParagraph"/>
        <w:numPr>
          <w:ilvl w:val="2"/>
          <w:numId w:val="7"/>
        </w:numPr>
        <w:spacing w:line="480" w:lineRule="auto"/>
        <w:jc w:val="both"/>
        <w:rPr>
          <w:rFonts w:asciiTheme="majorBidi" w:hAnsiTheme="majorBidi"/>
          <w:b/>
          <w:bCs/>
        </w:rPr>
      </w:pPr>
      <w:r w:rsidRPr="00EF5AA3">
        <w:rPr>
          <w:rFonts w:asciiTheme="majorBidi" w:hAnsiTheme="majorBidi"/>
          <w:b/>
          <w:bCs/>
        </w:rPr>
        <w:lastRenderedPageBreak/>
        <w:t xml:space="preserve"> Communication and Transparency</w:t>
      </w:r>
    </w:p>
    <w:p w14:paraId="061DF0B8" w14:textId="77777777" w:rsidR="009326E0" w:rsidRPr="00ED5B8E" w:rsidRDefault="009326E0" w:rsidP="009326E0">
      <w:pPr>
        <w:spacing w:line="480" w:lineRule="auto"/>
        <w:ind w:firstLine="720"/>
        <w:jc w:val="both"/>
        <w:rPr>
          <w:rFonts w:asciiTheme="majorBidi" w:hAnsiTheme="majorBidi"/>
        </w:rPr>
      </w:pPr>
      <w:r w:rsidRPr="00ED5B8E">
        <w:rPr>
          <w:rFonts w:asciiTheme="majorBidi" w:hAnsiTheme="majorBidi"/>
        </w:rPr>
        <w:t>Clear, consistent, and honest communication from leadership reduces uncertainty and builds trust, especially during times of organizational change or crisis. Transparent communication helps employees feel included, reduces ambiguity, and allows concerns to be addressed before they escalate into chronic stress. Open-door policies, regular team meetings, and inclusive decision-making processes contribute to a supportive atmosphere that protects against burnout.</w:t>
      </w:r>
      <w:r>
        <w:rPr>
          <w:rFonts w:asciiTheme="majorBidi" w:hAnsiTheme="majorBidi"/>
        </w:rPr>
        <w:t xml:space="preserve"> </w:t>
      </w:r>
      <w:r w:rsidRPr="00ED5B8E">
        <w:rPr>
          <w:rFonts w:asciiTheme="majorBidi" w:hAnsiTheme="majorBidi"/>
        </w:rPr>
        <w:t>In healthcare settings where the pace is fast and the stakes are high, poor communication can lead to misinformation, errors, and frustration. Conversely, proactive and participatory leadership communication improves clarity of roles, strengthens professional relationships, and helps staff feel heard factors known to reduce burnout symptoms.</w:t>
      </w:r>
    </w:p>
    <w:p w14:paraId="45A87D96" w14:textId="77777777" w:rsidR="009326E0" w:rsidRPr="00EF5AA3" w:rsidRDefault="009326E0" w:rsidP="009326E0">
      <w:pPr>
        <w:pStyle w:val="ListParagraph"/>
        <w:numPr>
          <w:ilvl w:val="2"/>
          <w:numId w:val="7"/>
        </w:numPr>
        <w:spacing w:line="480" w:lineRule="auto"/>
        <w:jc w:val="both"/>
        <w:rPr>
          <w:rFonts w:asciiTheme="majorBidi" w:hAnsiTheme="majorBidi"/>
          <w:b/>
          <w:bCs/>
        </w:rPr>
      </w:pPr>
      <w:r w:rsidRPr="00EF5AA3">
        <w:rPr>
          <w:rFonts w:asciiTheme="majorBidi" w:hAnsiTheme="majorBidi"/>
          <w:b/>
          <w:bCs/>
        </w:rPr>
        <w:t xml:space="preserve"> Recognition, Empowerment, and Professional Development</w:t>
      </w:r>
    </w:p>
    <w:p w14:paraId="6BE6CCEA" w14:textId="77777777" w:rsidR="009326E0" w:rsidRPr="00ED5B8E" w:rsidRDefault="009326E0" w:rsidP="009326E0">
      <w:pPr>
        <w:spacing w:line="480" w:lineRule="auto"/>
        <w:ind w:firstLine="360"/>
        <w:jc w:val="both"/>
        <w:rPr>
          <w:rFonts w:asciiTheme="majorBidi" w:hAnsiTheme="majorBidi"/>
        </w:rPr>
      </w:pPr>
      <w:r w:rsidRPr="00ED5B8E">
        <w:rPr>
          <w:rFonts w:asciiTheme="majorBidi" w:hAnsiTheme="majorBidi"/>
        </w:rPr>
        <w:t xml:space="preserve">Leaders play a pivotal role in ensuring that healthcare staff feel recognized, empowered, and valued. Regular recognition of effort, achievements, and improvement, whether through verbal praise, formal awards, or career progression opportunities reinforces a positive work environment and boosts morale. Empowering staff by involving them in clinical decision-making or quality improvement initiatives enhances their sense of control and professional worth. Moreover, leaders who invest in staff development—through continuing education, mentoring, and coaching—demonstrate commitment to employee growth. This reduces feelings of stagnation and increases job satisfaction, which in turn lowers the risk of burnout. In Saudi Arabia, where many expatriate and national staff may face limited career mobility, strong leadership advocacy for equitable access to development opportunities is especially critical. Leadership is not just a management function; it is a core determinant of staff well-being in healthcare settings. Transformational and emotionally intelligent leadership styles can significantly reduce burnout by fostering supportive relationships, </w:t>
      </w:r>
      <w:r w:rsidRPr="00ED5B8E">
        <w:rPr>
          <w:rFonts w:asciiTheme="majorBidi" w:hAnsiTheme="majorBidi"/>
        </w:rPr>
        <w:lastRenderedPageBreak/>
        <w:t>improving communication, promoting empowerment, and recognizing the human needs of healthcare professionals. In the context of the Saudi Arabian healthcare sector, where workforce diversity and hierarchical structures present additional challenges, leadership must be culturally aware, inclusive, and proactive. Effective leadership is thus essential not only for organizational success but for sustaining a resilient, motivated, and emotionally healthy workforce.</w:t>
      </w:r>
    </w:p>
    <w:p w14:paraId="10501CA7" w14:textId="77777777" w:rsidR="009326E0" w:rsidRPr="00ED5B8E" w:rsidRDefault="009326E0" w:rsidP="009326E0">
      <w:pPr>
        <w:pStyle w:val="ListParagraph"/>
        <w:numPr>
          <w:ilvl w:val="1"/>
          <w:numId w:val="7"/>
        </w:numPr>
        <w:spacing w:line="480" w:lineRule="auto"/>
        <w:jc w:val="both"/>
        <w:outlineLvl w:val="1"/>
        <w:rPr>
          <w:rFonts w:asciiTheme="majorBidi" w:hAnsiTheme="majorBidi"/>
          <w:b/>
          <w:bCs/>
          <w:sz w:val="28"/>
          <w:szCs w:val="28"/>
        </w:rPr>
      </w:pPr>
      <w:bookmarkStart w:id="41" w:name="_Toc203853278"/>
      <w:r w:rsidRPr="00735509">
        <w:rPr>
          <w:rFonts w:asciiTheme="majorBidi" w:hAnsiTheme="majorBidi" w:cstheme="majorBidi"/>
          <w:b/>
          <w:bCs/>
          <w:sz w:val="28"/>
          <w:szCs w:val="28"/>
        </w:rPr>
        <w:t>Global Perspectives on Burnout and Employee Relations</w:t>
      </w:r>
      <w:bookmarkEnd w:id="41"/>
    </w:p>
    <w:p w14:paraId="6C67FF04" w14:textId="77777777" w:rsidR="009326E0" w:rsidRPr="00ED5B8E" w:rsidRDefault="009326E0" w:rsidP="009326E0">
      <w:pPr>
        <w:spacing w:after="0" w:line="480" w:lineRule="auto"/>
        <w:ind w:firstLine="720"/>
        <w:jc w:val="both"/>
        <w:rPr>
          <w:rFonts w:asciiTheme="majorBidi" w:hAnsiTheme="majorBidi"/>
        </w:rPr>
      </w:pPr>
      <w:r w:rsidRPr="00ED5B8E">
        <w:rPr>
          <w:rFonts w:asciiTheme="majorBidi" w:hAnsiTheme="majorBidi"/>
        </w:rPr>
        <w:t>Burnout and employee relations are global concerns that transcend cultural and national boundaries, particularly within the healthcare sector. While the specific stressors and organizational dynamics may vary by region, healthcare workers worldwide face similar challenges related to emotional exhaustion, poor leadership, limited recognition, and communication breakdowns. Understanding how different countries and health systems address these issues provides valuable insight into effective and ineffective strategies, as well as the role of cultural, economic, and policy factors in shaping outcomes. This section explores global perspectives on burnout and employee relations, drawing on evidence from various healthcare systems across developed and developing countries.</w:t>
      </w:r>
    </w:p>
    <w:p w14:paraId="6CAF402D"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rPr>
      </w:pPr>
      <w:r w:rsidRPr="00EF5AA3">
        <w:rPr>
          <w:rFonts w:asciiTheme="majorBidi" w:hAnsiTheme="majorBidi"/>
          <w:b/>
          <w:bCs/>
        </w:rPr>
        <w:t xml:space="preserve"> </w:t>
      </w:r>
      <w:bookmarkStart w:id="42" w:name="_Toc203853279"/>
      <w:r w:rsidRPr="00EF5AA3">
        <w:rPr>
          <w:rFonts w:asciiTheme="majorBidi" w:hAnsiTheme="majorBidi"/>
          <w:b/>
          <w:bCs/>
        </w:rPr>
        <w:t>Burnout in Developed Healthcare Systems</w:t>
      </w:r>
      <w:bookmarkEnd w:id="42"/>
    </w:p>
    <w:p w14:paraId="1A3DE4C7" w14:textId="77777777" w:rsidR="009326E0" w:rsidRDefault="009326E0" w:rsidP="009326E0">
      <w:pPr>
        <w:spacing w:after="0" w:line="480" w:lineRule="auto"/>
        <w:ind w:firstLine="720"/>
        <w:jc w:val="both"/>
        <w:rPr>
          <w:rFonts w:asciiTheme="majorBidi" w:hAnsiTheme="majorBidi"/>
        </w:rPr>
      </w:pPr>
      <w:r w:rsidRPr="00ED5B8E">
        <w:rPr>
          <w:rFonts w:asciiTheme="majorBidi" w:hAnsiTheme="majorBidi"/>
        </w:rPr>
        <w:t xml:space="preserve">In high-income countries such as the United States, Canada, the United Kingdom, and Australia, burnout has been identified as a critical risk to healthcare quality and workforce sustainability. Factors such as electronic health record (EHR) burden, bureaucratic overload, and patient volume pressure have contributed to rising levels of stress among healthcare professionals. In the United States, for example, studies have shown that over 40% of physicians and nurses report symptoms of burnout, with emotional exhaustion and depersonalization being the most </w:t>
      </w:r>
      <w:r w:rsidRPr="00ED5B8E">
        <w:rPr>
          <w:rFonts w:asciiTheme="majorBidi" w:hAnsiTheme="majorBidi"/>
        </w:rPr>
        <w:lastRenderedPageBreak/>
        <w:t>common (Shanafelt et al., 2015). Efforts to mitigate burnout have focused on improving workplace flexibility, peer support programs, resilience training, and leadership development.</w:t>
      </w:r>
    </w:p>
    <w:p w14:paraId="537E6575" w14:textId="77777777" w:rsidR="009326E0" w:rsidRPr="00ED5B8E" w:rsidRDefault="009326E0" w:rsidP="009326E0">
      <w:pPr>
        <w:spacing w:after="0" w:line="480" w:lineRule="auto"/>
        <w:ind w:firstLine="720"/>
        <w:jc w:val="both"/>
        <w:rPr>
          <w:rFonts w:asciiTheme="majorBidi" w:hAnsiTheme="majorBidi"/>
        </w:rPr>
      </w:pPr>
      <w:r w:rsidRPr="00ED5B8E">
        <w:rPr>
          <w:rFonts w:asciiTheme="majorBidi" w:hAnsiTheme="majorBidi"/>
        </w:rPr>
        <w:t>The United Kingdom's National Health Service (NHS) has recognized burnout as a systemic issue, especially after the COVID-19 pandemic, and has invested in well-being initiatives, including counseling services, mental health hotlines, and “restorative supervision” programs aimed at reducing emotional strain. These examples illustrate how institutional acknowledgment and policy-driven support are essential in addressing burnout in advanced health systems.</w:t>
      </w:r>
    </w:p>
    <w:p w14:paraId="33071811"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rPr>
      </w:pPr>
      <w:r w:rsidRPr="00EF5AA3">
        <w:rPr>
          <w:rFonts w:asciiTheme="majorBidi" w:hAnsiTheme="majorBidi"/>
          <w:b/>
          <w:bCs/>
        </w:rPr>
        <w:t xml:space="preserve"> </w:t>
      </w:r>
      <w:bookmarkStart w:id="43" w:name="_Toc203853280"/>
      <w:r w:rsidRPr="00EF5AA3">
        <w:rPr>
          <w:rFonts w:asciiTheme="majorBidi" w:hAnsiTheme="majorBidi"/>
          <w:b/>
          <w:bCs/>
        </w:rPr>
        <w:t>Burnout in Low- and Middle-Income Countries (LMICs)</w:t>
      </w:r>
      <w:bookmarkEnd w:id="43"/>
    </w:p>
    <w:p w14:paraId="3233007F" w14:textId="77777777" w:rsidR="009326E0" w:rsidRPr="00ED5B8E" w:rsidRDefault="009326E0" w:rsidP="009326E0">
      <w:pPr>
        <w:spacing w:after="0" w:line="480" w:lineRule="auto"/>
        <w:ind w:firstLine="720"/>
        <w:jc w:val="both"/>
        <w:rPr>
          <w:rFonts w:asciiTheme="majorBidi" w:hAnsiTheme="majorBidi"/>
        </w:rPr>
      </w:pPr>
      <w:r w:rsidRPr="00ED5B8E">
        <w:rPr>
          <w:rFonts w:asciiTheme="majorBidi" w:hAnsiTheme="majorBidi"/>
        </w:rPr>
        <w:t>In contrast, healthcare professionals in low- and middle-income countries (LMICs) face additional layers of complexity such as resource constraints, staffing shortages, political instability, and infrastructure deficiencies. These challenges often lead to chronic overwork, unsafe working conditions, and weak employee relations. In sub-Saharan Africa, for example, nurses and midwives frequently report burnout due to overwhelming patient loads, lack of basic supplies, and limited professional recognition (Kabunga &amp; Anyango, 2022).</w:t>
      </w:r>
    </w:p>
    <w:p w14:paraId="69A6C414" w14:textId="77777777" w:rsidR="009326E0" w:rsidRPr="00ED5B8E" w:rsidRDefault="009326E0" w:rsidP="009326E0">
      <w:pPr>
        <w:spacing w:after="0" w:line="480" w:lineRule="auto"/>
        <w:jc w:val="both"/>
        <w:rPr>
          <w:rFonts w:asciiTheme="majorBidi" w:hAnsiTheme="majorBidi"/>
        </w:rPr>
      </w:pPr>
      <w:r w:rsidRPr="00ED5B8E">
        <w:rPr>
          <w:rFonts w:asciiTheme="majorBidi" w:hAnsiTheme="majorBidi"/>
        </w:rPr>
        <w:t>In Kenya, Haron (2020) found that while low compensation contributed to turnover intention, religious beliefs served as a moderating factor, encouraging employees to remain despite poor working conditions. This highlights the importance of intrinsic motivation and cultural values in influencing how employees perceive organizational shortcomings. However, in many LMICs, institutional support systems for stress management or leadership training are often underdeveloped or nonexistent.</w:t>
      </w:r>
    </w:p>
    <w:p w14:paraId="3DBD1918"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rPr>
      </w:pPr>
      <w:r w:rsidRPr="00EF5AA3">
        <w:rPr>
          <w:rFonts w:asciiTheme="majorBidi" w:hAnsiTheme="majorBidi"/>
          <w:b/>
          <w:bCs/>
        </w:rPr>
        <w:t xml:space="preserve"> </w:t>
      </w:r>
      <w:bookmarkStart w:id="44" w:name="_Toc203853281"/>
      <w:r w:rsidRPr="00EF5AA3">
        <w:rPr>
          <w:rFonts w:asciiTheme="majorBidi" w:hAnsiTheme="majorBidi"/>
          <w:b/>
          <w:bCs/>
        </w:rPr>
        <w:t>Asia and the Role of Hierarchical Culture</w:t>
      </w:r>
      <w:bookmarkEnd w:id="44"/>
    </w:p>
    <w:p w14:paraId="1A7881CA" w14:textId="77777777" w:rsidR="009326E0" w:rsidRPr="00ED5B8E" w:rsidRDefault="009326E0" w:rsidP="009326E0">
      <w:pPr>
        <w:spacing w:after="0" w:line="480" w:lineRule="auto"/>
        <w:ind w:firstLine="720"/>
        <w:jc w:val="both"/>
        <w:rPr>
          <w:rFonts w:asciiTheme="majorBidi" w:hAnsiTheme="majorBidi"/>
        </w:rPr>
      </w:pPr>
      <w:r w:rsidRPr="00ED5B8E">
        <w:rPr>
          <w:rFonts w:asciiTheme="majorBidi" w:hAnsiTheme="majorBidi"/>
        </w:rPr>
        <w:lastRenderedPageBreak/>
        <w:t>In Asian healthcare systems, such as those in China, South Korea, and Japan, hierarchical organizational cultures and societal expectations of deference can exacerbate burnout by limiting employee voice and autonomy. Liu et al. (2019) conducted a study in Chinese hospitals and found that workplace violence, long shifts, and poor communication with superiors were major contributors to nurse burnout. The study also linked high burnout levels with lower perceptions of patient safety, suggesting a direct relationship between employee relations and healthcare quality.</w:t>
      </w:r>
      <w:r>
        <w:rPr>
          <w:rFonts w:asciiTheme="majorBidi" w:hAnsiTheme="majorBidi"/>
        </w:rPr>
        <w:t xml:space="preserve"> </w:t>
      </w:r>
      <w:r w:rsidRPr="00ED5B8E">
        <w:rPr>
          <w:rFonts w:asciiTheme="majorBidi" w:hAnsiTheme="majorBidi"/>
        </w:rPr>
        <w:t>In these systems, interventions are increasingly focusing on flattening hierarchies, improving leadership engagement, and implementing staff feedback mechanisms to strengthen employee relations and reduce stress.</w:t>
      </w:r>
    </w:p>
    <w:p w14:paraId="1C17F495" w14:textId="77777777" w:rsidR="009326E0" w:rsidRPr="00EF5AA3" w:rsidRDefault="009326E0" w:rsidP="009326E0">
      <w:pPr>
        <w:pStyle w:val="ListParagraph"/>
        <w:numPr>
          <w:ilvl w:val="2"/>
          <w:numId w:val="7"/>
        </w:numPr>
        <w:spacing w:after="0" w:line="480" w:lineRule="auto"/>
        <w:jc w:val="both"/>
        <w:outlineLvl w:val="2"/>
        <w:rPr>
          <w:rFonts w:asciiTheme="majorBidi" w:hAnsiTheme="majorBidi"/>
          <w:b/>
          <w:bCs/>
        </w:rPr>
      </w:pPr>
      <w:r w:rsidRPr="00EF5AA3">
        <w:rPr>
          <w:rFonts w:asciiTheme="majorBidi" w:hAnsiTheme="majorBidi"/>
          <w:b/>
          <w:bCs/>
        </w:rPr>
        <w:t xml:space="preserve"> </w:t>
      </w:r>
      <w:bookmarkStart w:id="45" w:name="_Toc203853282"/>
      <w:r w:rsidRPr="00EF5AA3">
        <w:rPr>
          <w:rFonts w:asciiTheme="majorBidi" w:hAnsiTheme="majorBidi"/>
          <w:b/>
          <w:bCs/>
        </w:rPr>
        <w:t>Middle East and Gulf Cooperation Council (GCC) Context</w:t>
      </w:r>
      <w:bookmarkEnd w:id="45"/>
    </w:p>
    <w:p w14:paraId="5E0EB592" w14:textId="77777777" w:rsidR="009326E0" w:rsidRPr="00017ED5" w:rsidRDefault="009326E0" w:rsidP="009326E0">
      <w:pPr>
        <w:spacing w:after="0" w:line="480" w:lineRule="auto"/>
        <w:ind w:firstLine="720"/>
        <w:jc w:val="both"/>
        <w:rPr>
          <w:rFonts w:asciiTheme="majorBidi" w:hAnsiTheme="majorBidi"/>
        </w:rPr>
      </w:pPr>
      <w:r w:rsidRPr="00ED5B8E">
        <w:rPr>
          <w:rFonts w:asciiTheme="majorBidi" w:hAnsiTheme="majorBidi"/>
        </w:rPr>
        <w:t>In the Middle East, and particularly the Gulf region, including Saudi Arabia, the United Arab Emirates, and Qatar, healthcare systems rely heavily on a multicultural and expatriate workforce. This introduces unique challenges in managing cultural diversity, language barriers, and unequal power dynamics. As seen in studies by Almansour (2017) and Wali et al. (2023), nationality-based disparities in recognition, promotion, and workload allocation contribute to dissatisfaction and burnout among non-national staff.</w:t>
      </w:r>
      <w:r>
        <w:rPr>
          <w:rFonts w:asciiTheme="majorBidi" w:hAnsiTheme="majorBidi"/>
        </w:rPr>
        <w:t xml:space="preserve"> </w:t>
      </w:r>
      <w:r w:rsidRPr="00ED5B8E">
        <w:rPr>
          <w:rFonts w:asciiTheme="majorBidi" w:hAnsiTheme="majorBidi"/>
        </w:rPr>
        <w:t>While some institutions in the GCC have made strides in addressing staff well-being—such as offering wellness programs, housing allowances, or retention incentives, the need for inclusive leadership, intercultural communication training, and standardized HR policies remains pressing. The Saudi Vision 2030 emphasizes healthcare transformation and workforce localization, making employee well-being and satisfaction central to sustainable reform.</w:t>
      </w:r>
    </w:p>
    <w:p w14:paraId="755879C7" w14:textId="77777777" w:rsidR="009326E0" w:rsidRPr="00EF5AA3" w:rsidRDefault="009326E0" w:rsidP="009326E0">
      <w:pPr>
        <w:pStyle w:val="ListParagraph"/>
        <w:numPr>
          <w:ilvl w:val="2"/>
          <w:numId w:val="7"/>
        </w:numPr>
        <w:spacing w:line="480" w:lineRule="auto"/>
        <w:outlineLvl w:val="2"/>
        <w:rPr>
          <w:rFonts w:asciiTheme="majorBidi" w:hAnsiTheme="majorBidi"/>
          <w:b/>
          <w:bCs/>
          <w:sz w:val="28"/>
          <w:szCs w:val="28"/>
        </w:rPr>
      </w:pPr>
      <w:r w:rsidRPr="00EF5AA3">
        <w:rPr>
          <w:rFonts w:asciiTheme="majorBidi" w:hAnsiTheme="majorBidi"/>
          <w:b/>
          <w:bCs/>
          <w:sz w:val="28"/>
          <w:szCs w:val="28"/>
        </w:rPr>
        <w:t xml:space="preserve"> </w:t>
      </w:r>
      <w:bookmarkStart w:id="46" w:name="_Toc203853283"/>
      <w:r w:rsidRPr="00EF5AA3">
        <w:rPr>
          <w:rFonts w:asciiTheme="majorBidi" w:hAnsiTheme="majorBidi"/>
          <w:b/>
          <w:bCs/>
          <w:sz w:val="28"/>
          <w:szCs w:val="28"/>
        </w:rPr>
        <w:t>Universal Lessons and Best Practices</w:t>
      </w:r>
      <w:bookmarkEnd w:id="46"/>
    </w:p>
    <w:p w14:paraId="5E44BC08" w14:textId="77777777" w:rsidR="009326E0" w:rsidRPr="00882852" w:rsidRDefault="009326E0" w:rsidP="009326E0">
      <w:pPr>
        <w:spacing w:after="0" w:line="480" w:lineRule="auto"/>
        <w:ind w:firstLine="720"/>
        <w:jc w:val="both"/>
        <w:rPr>
          <w:rFonts w:asciiTheme="majorBidi" w:hAnsiTheme="majorBidi"/>
        </w:rPr>
      </w:pPr>
      <w:r w:rsidRPr="00882852">
        <w:rPr>
          <w:rFonts w:asciiTheme="majorBidi" w:hAnsiTheme="majorBidi"/>
        </w:rPr>
        <w:t>Across global contexts, certain lessons stand out:</w:t>
      </w:r>
    </w:p>
    <w:p w14:paraId="0DEE58C0" w14:textId="77777777" w:rsidR="009326E0" w:rsidRPr="00882852" w:rsidRDefault="009326E0" w:rsidP="009326E0">
      <w:pPr>
        <w:pStyle w:val="ListParagraph"/>
        <w:numPr>
          <w:ilvl w:val="0"/>
          <w:numId w:val="8"/>
        </w:numPr>
        <w:spacing w:after="0" w:line="480" w:lineRule="auto"/>
        <w:jc w:val="both"/>
        <w:rPr>
          <w:rFonts w:asciiTheme="majorBidi" w:hAnsiTheme="majorBidi"/>
        </w:rPr>
      </w:pPr>
      <w:r w:rsidRPr="00882852">
        <w:rPr>
          <w:rFonts w:asciiTheme="majorBidi" w:hAnsiTheme="majorBidi"/>
        </w:rPr>
        <w:lastRenderedPageBreak/>
        <w:t>Leadership quality and emotional intelligence are among the strongest predictors of employee well-being.</w:t>
      </w:r>
    </w:p>
    <w:p w14:paraId="0BCF6910" w14:textId="77777777" w:rsidR="009326E0" w:rsidRPr="00882852" w:rsidRDefault="009326E0" w:rsidP="009326E0">
      <w:pPr>
        <w:pStyle w:val="ListParagraph"/>
        <w:numPr>
          <w:ilvl w:val="0"/>
          <w:numId w:val="8"/>
        </w:numPr>
        <w:spacing w:after="0" w:line="480" w:lineRule="auto"/>
        <w:jc w:val="both"/>
        <w:rPr>
          <w:rFonts w:asciiTheme="majorBidi" w:hAnsiTheme="majorBidi"/>
        </w:rPr>
      </w:pPr>
      <w:r w:rsidRPr="00882852">
        <w:rPr>
          <w:rFonts w:asciiTheme="majorBidi" w:hAnsiTheme="majorBidi"/>
        </w:rPr>
        <w:t>Supportive work environments, where employees feel heard and valued, significantly reduce burnout risk.</w:t>
      </w:r>
    </w:p>
    <w:p w14:paraId="2EFE3DD7" w14:textId="77777777" w:rsidR="009326E0" w:rsidRPr="00882852" w:rsidRDefault="009326E0" w:rsidP="009326E0">
      <w:pPr>
        <w:pStyle w:val="ListParagraph"/>
        <w:numPr>
          <w:ilvl w:val="0"/>
          <w:numId w:val="8"/>
        </w:numPr>
        <w:spacing w:after="0" w:line="480" w:lineRule="auto"/>
        <w:jc w:val="both"/>
        <w:rPr>
          <w:rFonts w:asciiTheme="majorBidi" w:hAnsiTheme="majorBidi"/>
        </w:rPr>
      </w:pPr>
      <w:r w:rsidRPr="00882852">
        <w:rPr>
          <w:rFonts w:asciiTheme="majorBidi" w:hAnsiTheme="majorBidi"/>
        </w:rPr>
        <w:t>Cultural sensitivity and equity in employee treatment are critical in multicultural healthcare environments.</w:t>
      </w:r>
    </w:p>
    <w:p w14:paraId="6A972F54" w14:textId="77777777" w:rsidR="009326E0" w:rsidRPr="00687BF0" w:rsidRDefault="009326E0" w:rsidP="009326E0">
      <w:pPr>
        <w:pStyle w:val="ListParagraph"/>
        <w:numPr>
          <w:ilvl w:val="0"/>
          <w:numId w:val="8"/>
        </w:numPr>
        <w:spacing w:after="0" w:line="480" w:lineRule="auto"/>
        <w:jc w:val="both"/>
        <w:rPr>
          <w:rFonts w:asciiTheme="majorBidi" w:hAnsiTheme="majorBidi"/>
          <w:sz w:val="28"/>
          <w:szCs w:val="28"/>
        </w:rPr>
      </w:pPr>
      <w:r w:rsidRPr="00882852">
        <w:rPr>
          <w:rFonts w:asciiTheme="majorBidi" w:hAnsiTheme="majorBidi"/>
        </w:rPr>
        <w:t>Proactive mental health interventions, such as counseling, peer support, and resilience training, are increasingly recognized as necessary, not optional</w:t>
      </w:r>
      <w:r w:rsidRPr="00687BF0">
        <w:rPr>
          <w:rFonts w:asciiTheme="majorBidi" w:hAnsiTheme="majorBidi"/>
          <w:sz w:val="28"/>
          <w:szCs w:val="28"/>
        </w:rPr>
        <w:t>.</w:t>
      </w:r>
    </w:p>
    <w:p w14:paraId="44FF9BA2" w14:textId="77777777" w:rsidR="009326E0" w:rsidRPr="00687BF0" w:rsidRDefault="009326E0" w:rsidP="009326E0">
      <w:pPr>
        <w:spacing w:after="0" w:line="480" w:lineRule="auto"/>
        <w:jc w:val="both"/>
        <w:rPr>
          <w:rFonts w:asciiTheme="majorBidi" w:hAnsiTheme="majorBidi"/>
        </w:rPr>
      </w:pPr>
      <w:r w:rsidRPr="00687BF0">
        <w:rPr>
          <w:rFonts w:asciiTheme="majorBidi" w:hAnsiTheme="majorBidi"/>
        </w:rPr>
        <w:t>Organizations that successfully reduce burnout often take a system-wide approach, aligning leadership, HR, clinical processes, and policy to create a culture of care—not just for patients, but for providers as well.</w:t>
      </w:r>
    </w:p>
    <w:p w14:paraId="1D0261D5" w14:textId="77777777" w:rsidR="009326E0" w:rsidRPr="00F03157" w:rsidRDefault="009326E0" w:rsidP="009326E0">
      <w:pPr>
        <w:spacing w:after="0" w:line="480" w:lineRule="auto"/>
        <w:ind w:firstLine="360"/>
        <w:jc w:val="both"/>
        <w:rPr>
          <w:rFonts w:asciiTheme="majorBidi" w:hAnsiTheme="majorBidi"/>
          <w:sz w:val="28"/>
          <w:szCs w:val="28"/>
        </w:rPr>
      </w:pPr>
      <w:r w:rsidRPr="00687BF0">
        <w:rPr>
          <w:rFonts w:asciiTheme="majorBidi" w:hAnsiTheme="majorBidi"/>
        </w:rPr>
        <w:t>Burnout and employee relations are global challenges that manifest in varied ways across different healthcare systems. Whether in resource-rich Western institutions or under-resourced LMICs, the core issues—workload, recognition, communication, and leadership—remain consistent. However, cultural, economic, and political contexts shape how these issues are experienced and addressed. For Saudi Arabia and other GCC nations, understanding global best practices and adapting them to local realities—especially in culturally diverse workplaces—is essential. Learning from both high-income and developing healthcare systems can guide Saudi institutions in designing inclusive, effective, and culturally aware strategies to reduce burnout and strengthen employee relations</w:t>
      </w:r>
      <w:r w:rsidRPr="00ED5B8E">
        <w:rPr>
          <w:rFonts w:asciiTheme="majorBidi" w:hAnsiTheme="majorBidi"/>
          <w:sz w:val="28"/>
          <w:szCs w:val="28"/>
        </w:rPr>
        <w:t>.</w:t>
      </w:r>
    </w:p>
    <w:p w14:paraId="7F6FE2E5" w14:textId="77777777" w:rsidR="009326E0" w:rsidRPr="00ED5B8E" w:rsidRDefault="009326E0" w:rsidP="009326E0">
      <w:pPr>
        <w:pStyle w:val="ListParagraph"/>
        <w:numPr>
          <w:ilvl w:val="1"/>
          <w:numId w:val="7"/>
        </w:numPr>
        <w:spacing w:after="0" w:line="480" w:lineRule="auto"/>
        <w:jc w:val="both"/>
        <w:outlineLvl w:val="1"/>
        <w:rPr>
          <w:rFonts w:asciiTheme="majorBidi" w:hAnsiTheme="majorBidi"/>
          <w:b/>
          <w:bCs/>
          <w:sz w:val="28"/>
          <w:szCs w:val="28"/>
        </w:rPr>
      </w:pPr>
      <w:bookmarkStart w:id="47" w:name="_Toc203853284"/>
      <w:r w:rsidRPr="00735509">
        <w:rPr>
          <w:rFonts w:asciiTheme="majorBidi" w:hAnsiTheme="majorBidi" w:cstheme="majorBidi"/>
          <w:b/>
          <w:bCs/>
          <w:sz w:val="28"/>
          <w:szCs w:val="28"/>
        </w:rPr>
        <w:t>Research Gaps and Justification for the Current Study</w:t>
      </w:r>
      <w:bookmarkEnd w:id="47"/>
    </w:p>
    <w:p w14:paraId="02606614" w14:textId="77777777" w:rsidR="009326E0" w:rsidRDefault="009326E0" w:rsidP="009326E0">
      <w:pPr>
        <w:spacing w:after="0" w:line="480" w:lineRule="auto"/>
        <w:ind w:firstLine="720"/>
        <w:jc w:val="both"/>
        <w:rPr>
          <w:rFonts w:asciiTheme="majorBidi" w:hAnsiTheme="majorBidi" w:cstheme="majorBidi"/>
        </w:rPr>
      </w:pPr>
      <w:r w:rsidRPr="00ED5B8E">
        <w:rPr>
          <w:rFonts w:asciiTheme="majorBidi" w:hAnsiTheme="majorBidi" w:cstheme="majorBidi"/>
        </w:rPr>
        <w:t xml:space="preserve">Despite the growing body of literature addressing burnout and employee relations in healthcare, several critical research gaps remain—particularly within the context of the Saudi </w:t>
      </w:r>
      <w:r w:rsidRPr="00ED5B8E">
        <w:rPr>
          <w:rFonts w:asciiTheme="majorBidi" w:hAnsiTheme="majorBidi" w:cstheme="majorBidi"/>
        </w:rPr>
        <w:lastRenderedPageBreak/>
        <w:t>Arabian healthcare system. Most existing studies have focused either on clinical outcomes related to burnout or on generalized job satisfaction metrics, with limited integration of both organizational behavior frameworks and demographic moderators such as gender, nationality, and cultural background. Moreover, while global studies have examined the effects of leadership and institutional support on burnout, relatively few have addressed these dynamics within the unique operational environment of Ministry of National Guard Health Affairs (MNGHA) hospitals in Saudi Arabia.</w:t>
      </w:r>
    </w:p>
    <w:p w14:paraId="4738BC8C" w14:textId="77777777" w:rsidR="009326E0" w:rsidRDefault="009326E0" w:rsidP="009326E0">
      <w:pPr>
        <w:spacing w:after="0" w:line="480" w:lineRule="auto"/>
        <w:ind w:firstLine="720"/>
        <w:jc w:val="both"/>
        <w:rPr>
          <w:rFonts w:asciiTheme="majorBidi" w:hAnsiTheme="majorBidi" w:cstheme="majorBidi"/>
        </w:rPr>
      </w:pPr>
      <w:r w:rsidRPr="00ED5B8E">
        <w:rPr>
          <w:rFonts w:asciiTheme="majorBidi" w:hAnsiTheme="majorBidi" w:cstheme="majorBidi"/>
        </w:rPr>
        <w:t>One major gap lies in the lack of localized, empirical investigations into how burnout manifests among healthcare workers in Saudi Arabia's public hospitals, particularly in institutions with a high concentration of multinational staff. Most Saudi-based studies tend to focus on medical errors or turnover rates without fully exploring the interpersonal and organizational factors—such as communication breakdown, leadership deficiencies, or emotional support systems—that contribute to burnout. Additionally, many studies treat burnout as a homogenous experience without accounting for moderating variables like gender or nationality, which are highly relevant in culturally diverse healthcare settings such as those in Saudi Arabia. As research by Almansour (2017) and Almodaimegh (2020) has shown, disparities in recognition, workload, and advancement opportunities between Saudi and non-Saudi employees are closely linked to job dissatisfaction and burnout risk, yet remain under-theorized and under-studied.</w:t>
      </w:r>
    </w:p>
    <w:p w14:paraId="66A611F0" w14:textId="77777777" w:rsidR="009326E0" w:rsidRDefault="009326E0" w:rsidP="009326E0">
      <w:pPr>
        <w:spacing w:after="0" w:line="480" w:lineRule="auto"/>
        <w:ind w:firstLine="720"/>
        <w:jc w:val="both"/>
        <w:rPr>
          <w:rFonts w:asciiTheme="majorBidi" w:hAnsiTheme="majorBidi" w:cstheme="majorBidi"/>
        </w:rPr>
      </w:pPr>
      <w:r w:rsidRPr="00ED5B8E">
        <w:rPr>
          <w:rFonts w:asciiTheme="majorBidi" w:hAnsiTheme="majorBidi" w:cstheme="majorBidi"/>
        </w:rPr>
        <w:t xml:space="preserve">Furthermore, there is a limited understanding of how cultural and religious factors might buffer or exacerbate burnout symptoms among healthcare professionals in Saudi Arabia. Haron’s (2020) work in Kenya demonstrated the moderating effect of religious belief on turnover intention, suggesting that similar sociocultural dynamics could be at play in Saudi Arabia. However, few </w:t>
      </w:r>
      <w:r w:rsidRPr="00ED5B8E">
        <w:rPr>
          <w:rFonts w:asciiTheme="majorBidi" w:hAnsiTheme="majorBidi" w:cstheme="majorBidi"/>
        </w:rPr>
        <w:lastRenderedPageBreak/>
        <w:t>studies have examined this potential interaction within the context of Islamic organizational culture and Saudi work ethics.</w:t>
      </w:r>
    </w:p>
    <w:p w14:paraId="0C0B152F" w14:textId="77777777" w:rsidR="009326E0" w:rsidRDefault="009326E0" w:rsidP="009326E0">
      <w:pPr>
        <w:spacing w:after="0" w:line="480" w:lineRule="auto"/>
        <w:ind w:firstLine="720"/>
        <w:jc w:val="both"/>
        <w:rPr>
          <w:rFonts w:asciiTheme="majorBidi" w:hAnsiTheme="majorBidi" w:cstheme="majorBidi"/>
        </w:rPr>
      </w:pPr>
      <w:r w:rsidRPr="00ED5B8E">
        <w:rPr>
          <w:rFonts w:asciiTheme="majorBidi" w:hAnsiTheme="majorBidi" w:cstheme="majorBidi"/>
        </w:rPr>
        <w:t>Another key gap involves the insufficient exploration of leadership roles in mitigating burnout. While global literature has established the effectiveness of transformational and emotionally intelligent leadership styles, Saudi-specific studies often lack detailed assessments of how leadership behaviors directly impact burnout, morale, and retention in high-stress hospital environments such as MNGHA.</w:t>
      </w:r>
      <w:r w:rsidRPr="00ED5B8E">
        <w:rPr>
          <w:rFonts w:asciiTheme="majorBidi" w:hAnsiTheme="majorBidi" w:cstheme="majorBidi" w:hint="cs"/>
          <w:rtl/>
        </w:rPr>
        <w:t xml:space="preserve"> </w:t>
      </w:r>
      <w:r w:rsidRPr="00ED5B8E">
        <w:rPr>
          <w:rFonts w:asciiTheme="majorBidi" w:hAnsiTheme="majorBidi" w:cstheme="majorBidi"/>
        </w:rPr>
        <w:t>Given these gaps, the current study is both timely and necessary. It seeks to examine the complex relationship between burnout factors and employee relations in Saudi healthcare, incorporating demographic moderators and leadership variables. By focusing on the MNGHA system, this research aims to generate actionable insights for policymakers and administrators who are striving to align workforce sustainability with the broader goals of Saudi Vision 2030. Ultimately, the study is justified by its potential to fill empirical and theoretical voids, inform culturally appropriate interventions, and contribute to a more resilient and supported healthcare workforce in Saudi Arabia.</w:t>
      </w:r>
    </w:p>
    <w:bookmarkEnd w:id="12"/>
    <w:p w14:paraId="6C96A72E" w14:textId="77777777" w:rsidR="009326E0" w:rsidRPr="00977178" w:rsidRDefault="009326E0" w:rsidP="00977178">
      <w:pPr>
        <w:rPr>
          <w:rFonts w:asciiTheme="majorBidi" w:hAnsiTheme="majorBidi" w:cstheme="majorBidi"/>
        </w:rPr>
      </w:pPr>
    </w:p>
    <w:sectPr w:rsidR="009326E0" w:rsidRPr="009771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2AF"/>
    <w:multiLevelType w:val="hybridMultilevel"/>
    <w:tmpl w:val="4BA6AC22"/>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A30EA5"/>
    <w:multiLevelType w:val="multilevel"/>
    <w:tmpl w:val="ABEA9AEC"/>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BD577F"/>
    <w:multiLevelType w:val="multilevel"/>
    <w:tmpl w:val="E70E9778"/>
    <w:lvl w:ilvl="0">
      <w:start w:val="1"/>
      <w:numFmt w:val="decimal"/>
      <w:lvlText w:val="%1."/>
      <w:lvlJc w:val="left"/>
      <w:pPr>
        <w:ind w:left="432" w:hanging="432"/>
      </w:pPr>
      <w:rPr>
        <w:rFonts w:hint="default"/>
      </w:rPr>
    </w:lvl>
    <w:lvl w:ilvl="1">
      <w:start w:val="2"/>
      <w:numFmt w:val="decimal"/>
      <w:suff w:val="space"/>
      <w:lvlText w:val="%1.%2."/>
      <w:lvlJc w:val="left"/>
      <w:pPr>
        <w:ind w:left="720" w:hanging="720"/>
      </w:pPr>
      <w:rPr>
        <w:rFonts w:hint="default"/>
      </w:rPr>
    </w:lvl>
    <w:lvl w:ilvl="2">
      <w:start w:val="1"/>
      <w:numFmt w:val="decimal"/>
      <w:suff w:val="space"/>
      <w:lvlText w:val="%1.%2.%3."/>
      <w:lvlJc w:val="left"/>
      <w:pPr>
        <w:ind w:left="720" w:hanging="720"/>
      </w:pPr>
      <w:rPr>
        <w:rFonts w:asciiTheme="majorBidi" w:hAnsiTheme="majorBidi" w:cstheme="majorBidi" w:hint="default"/>
        <w:b/>
        <w:bCs/>
        <w:sz w:val="28"/>
        <w:szCs w:val="28"/>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D5363A2"/>
    <w:multiLevelType w:val="multilevel"/>
    <w:tmpl w:val="594C2266"/>
    <w:lvl w:ilvl="0">
      <w:start w:val="2"/>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EF75DF3"/>
    <w:multiLevelType w:val="multilevel"/>
    <w:tmpl w:val="E7B0E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BD7D80"/>
    <w:multiLevelType w:val="multilevel"/>
    <w:tmpl w:val="692C2EA8"/>
    <w:lvl w:ilvl="0">
      <w:start w:val="1"/>
      <w:numFmt w:val="decimal"/>
      <w:lvlText w:val="%1."/>
      <w:lvlJc w:val="left"/>
      <w:pPr>
        <w:ind w:left="720" w:hanging="360"/>
      </w:pPr>
      <w:rPr>
        <w:rFonts w:hint="default"/>
      </w:rPr>
    </w:lvl>
    <w:lvl w:ilvl="1">
      <w:start w:val="4"/>
      <w:numFmt w:val="decimal"/>
      <w:isLgl/>
      <w:suff w:val="space"/>
      <w:lvlText w:val="%1.%2."/>
      <w:lvlJc w:val="left"/>
      <w:pPr>
        <w:ind w:left="45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721134"/>
    <w:multiLevelType w:val="multilevel"/>
    <w:tmpl w:val="50D44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9B303F"/>
    <w:multiLevelType w:val="multilevel"/>
    <w:tmpl w:val="F36AD382"/>
    <w:lvl w:ilvl="0">
      <w:start w:val="1"/>
      <w:numFmt w:val="decimal"/>
      <w:lvlText w:val="%1."/>
      <w:lvlJc w:val="left"/>
      <w:pPr>
        <w:ind w:left="450" w:hanging="450"/>
      </w:pPr>
      <w:rPr>
        <w:rFonts w:hint="default"/>
      </w:rPr>
    </w:lvl>
    <w:lvl w:ilvl="1">
      <w:start w:val="1"/>
      <w:numFmt w:val="decimal"/>
      <w:suff w:val="space"/>
      <w:lvlText w:val="%1.%2."/>
      <w:lvlJc w:val="left"/>
      <w:pPr>
        <w:ind w:left="720" w:hanging="720"/>
      </w:pPr>
      <w:rPr>
        <w:rFonts w:hint="default"/>
        <w:b/>
        <w:bCs/>
      </w:rPr>
    </w:lvl>
    <w:lvl w:ilvl="2">
      <w:start w:val="1"/>
      <w:numFmt w:val="decimal"/>
      <w:suff w:val="space"/>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98557341">
    <w:abstractNumId w:val="7"/>
  </w:num>
  <w:num w:numId="2" w16cid:durableId="1269702912">
    <w:abstractNumId w:val="4"/>
  </w:num>
  <w:num w:numId="3" w16cid:durableId="128404448">
    <w:abstractNumId w:val="5"/>
  </w:num>
  <w:num w:numId="4" w16cid:durableId="2124692467">
    <w:abstractNumId w:val="0"/>
  </w:num>
  <w:num w:numId="5" w16cid:durableId="1464614468">
    <w:abstractNumId w:val="6"/>
  </w:num>
  <w:num w:numId="6" w16cid:durableId="1954552961">
    <w:abstractNumId w:val="1"/>
  </w:num>
  <w:num w:numId="7" w16cid:durableId="1126388578">
    <w:abstractNumId w:val="3"/>
  </w:num>
  <w:num w:numId="8" w16cid:durableId="8978568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178"/>
    <w:rsid w:val="00580DDB"/>
    <w:rsid w:val="009326E0"/>
    <w:rsid w:val="00977178"/>
    <w:rsid w:val="00C551FA"/>
    <w:rsid w:val="00D92E7C"/>
    <w:rsid w:val="00E81D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820D7"/>
  <w15:chartTrackingRefBased/>
  <w15:docId w15:val="{721C645A-49DF-4F35-87C6-DCB7B316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1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7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1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1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1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1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1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1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1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1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771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1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1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1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1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1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1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178"/>
    <w:rPr>
      <w:rFonts w:eastAsiaTheme="majorEastAsia" w:cstheme="majorBidi"/>
      <w:color w:val="272727" w:themeColor="text1" w:themeTint="D8"/>
    </w:rPr>
  </w:style>
  <w:style w:type="paragraph" w:styleId="Title">
    <w:name w:val="Title"/>
    <w:basedOn w:val="Normal"/>
    <w:next w:val="Normal"/>
    <w:link w:val="TitleChar"/>
    <w:uiPriority w:val="10"/>
    <w:qFormat/>
    <w:rsid w:val="009771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1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1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1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178"/>
    <w:pPr>
      <w:spacing w:before="160"/>
      <w:jc w:val="center"/>
    </w:pPr>
    <w:rPr>
      <w:i/>
      <w:iCs/>
      <w:color w:val="404040" w:themeColor="text1" w:themeTint="BF"/>
    </w:rPr>
  </w:style>
  <w:style w:type="character" w:customStyle="1" w:styleId="QuoteChar">
    <w:name w:val="Quote Char"/>
    <w:basedOn w:val="DefaultParagraphFont"/>
    <w:link w:val="Quote"/>
    <w:uiPriority w:val="29"/>
    <w:rsid w:val="00977178"/>
    <w:rPr>
      <w:i/>
      <w:iCs/>
      <w:color w:val="404040" w:themeColor="text1" w:themeTint="BF"/>
    </w:rPr>
  </w:style>
  <w:style w:type="paragraph" w:styleId="ListParagraph">
    <w:name w:val="List Paragraph"/>
    <w:basedOn w:val="Normal"/>
    <w:link w:val="ListParagraphChar"/>
    <w:uiPriority w:val="34"/>
    <w:qFormat/>
    <w:rsid w:val="00977178"/>
    <w:pPr>
      <w:ind w:left="720"/>
      <w:contextualSpacing/>
    </w:pPr>
  </w:style>
  <w:style w:type="character" w:styleId="IntenseEmphasis">
    <w:name w:val="Intense Emphasis"/>
    <w:basedOn w:val="DefaultParagraphFont"/>
    <w:uiPriority w:val="21"/>
    <w:qFormat/>
    <w:rsid w:val="00977178"/>
    <w:rPr>
      <w:i/>
      <w:iCs/>
      <w:color w:val="0F4761" w:themeColor="accent1" w:themeShade="BF"/>
    </w:rPr>
  </w:style>
  <w:style w:type="paragraph" w:styleId="IntenseQuote">
    <w:name w:val="Intense Quote"/>
    <w:basedOn w:val="Normal"/>
    <w:next w:val="Normal"/>
    <w:link w:val="IntenseQuoteChar"/>
    <w:uiPriority w:val="30"/>
    <w:qFormat/>
    <w:rsid w:val="009771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178"/>
    <w:rPr>
      <w:i/>
      <w:iCs/>
      <w:color w:val="0F4761" w:themeColor="accent1" w:themeShade="BF"/>
    </w:rPr>
  </w:style>
  <w:style w:type="character" w:styleId="IntenseReference">
    <w:name w:val="Intense Reference"/>
    <w:basedOn w:val="DefaultParagraphFont"/>
    <w:uiPriority w:val="32"/>
    <w:qFormat/>
    <w:rsid w:val="00977178"/>
    <w:rPr>
      <w:b/>
      <w:bCs/>
      <w:smallCaps/>
      <w:color w:val="0F4761" w:themeColor="accent1" w:themeShade="BF"/>
      <w:spacing w:val="5"/>
    </w:rPr>
  </w:style>
  <w:style w:type="character" w:styleId="Strong">
    <w:name w:val="Strong"/>
    <w:basedOn w:val="DefaultParagraphFont"/>
    <w:uiPriority w:val="22"/>
    <w:qFormat/>
    <w:rsid w:val="00977178"/>
    <w:rPr>
      <w:b/>
      <w:bCs/>
    </w:rPr>
  </w:style>
  <w:style w:type="paragraph" w:styleId="NormalWeb">
    <w:name w:val="Normal (Web)"/>
    <w:basedOn w:val="Normal"/>
    <w:uiPriority w:val="99"/>
    <w:unhideWhenUsed/>
    <w:rsid w:val="0097717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ListParagraphChar">
    <w:name w:val="List Paragraph Char"/>
    <w:basedOn w:val="DefaultParagraphFont"/>
    <w:link w:val="ListParagraph"/>
    <w:uiPriority w:val="34"/>
    <w:locked/>
    <w:rsid w:val="00977178"/>
  </w:style>
  <w:style w:type="paragraph" w:styleId="Caption">
    <w:name w:val="caption"/>
    <w:basedOn w:val="Normal"/>
    <w:next w:val="Normal"/>
    <w:uiPriority w:val="35"/>
    <w:unhideWhenUsed/>
    <w:qFormat/>
    <w:rsid w:val="00977178"/>
    <w:pPr>
      <w:spacing w:after="200" w:line="240" w:lineRule="auto"/>
    </w:pPr>
    <w:rPr>
      <w:i/>
      <w:iCs/>
      <w:color w:val="0E2841" w:themeColor="text2"/>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d258917-277f-42cd-a3cd-14c4e9ee58bc}" enabled="1" method="Standard" siteId="{38ae3bcd-9579-4fd4-adda-b42e1495d55a}"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37</Pages>
  <Words>10002</Words>
  <Characters>57014</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Bukhari, Firas (SMO SWE RC-ES CS PE-INT KSA)</dc:creator>
  <cp:keywords/>
  <dc:description/>
  <cp:lastModifiedBy>Bukhari, Firas (SMO SWE RC-ES CS PE-INT KSA)</cp:lastModifiedBy>
  <cp:revision>1</cp:revision>
  <dcterms:created xsi:type="dcterms:W3CDTF">2025-07-19T18:18:00Z</dcterms:created>
  <dcterms:modified xsi:type="dcterms:W3CDTF">2025-07-19T18:36:00Z</dcterms:modified>
</cp:coreProperties>
</file>