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4D75C" w14:textId="77777777" w:rsidR="00E92BDF" w:rsidRDefault="00E92BDF" w:rsidP="00E92BDF">
      <w:pPr>
        <w:rPr>
          <w:rFonts w:ascii="Sakkal Majalla" w:hAnsi="Sakkal Majalla" w:cs="Sakkal Majalla"/>
          <w:sz w:val="28"/>
          <w:szCs w:val="28"/>
          <w:rtl/>
        </w:rPr>
      </w:pPr>
    </w:p>
    <w:p w14:paraId="73E6D855" w14:textId="77777777" w:rsidR="00E92BDF" w:rsidRDefault="00E92BDF" w:rsidP="00E92BDF">
      <w:pPr>
        <w:rPr>
          <w:rFonts w:ascii="Sakkal Majalla" w:hAnsi="Sakkal Majalla" w:cs="Sakkal Majalla"/>
          <w:sz w:val="28"/>
          <w:szCs w:val="28"/>
          <w:rtl/>
        </w:rPr>
      </w:pPr>
      <w:bookmarkStart w:id="0" w:name="_Hlk191140068"/>
    </w:p>
    <w:p w14:paraId="7A063501" w14:textId="77777777" w:rsidR="00E92BDF" w:rsidRDefault="00E92BDF" w:rsidP="00E92BDF">
      <w:pPr>
        <w:rPr>
          <w:rFonts w:ascii="Sakkal Majalla" w:hAnsi="Sakkal Majalla" w:cs="Sakkal Majalla"/>
          <w:sz w:val="28"/>
          <w:szCs w:val="28"/>
          <w:rtl/>
        </w:rPr>
      </w:pPr>
    </w:p>
    <w:p w14:paraId="5B2C5894" w14:textId="77777777" w:rsidR="00E92BDF" w:rsidRDefault="00E92BDF" w:rsidP="00E92BDF">
      <w:pPr>
        <w:rPr>
          <w:rFonts w:ascii="Sakkal Majalla" w:hAnsi="Sakkal Majalla" w:cs="Sakkal Majalla"/>
          <w:sz w:val="28"/>
          <w:szCs w:val="28"/>
          <w:rtl/>
        </w:rPr>
      </w:pPr>
    </w:p>
    <w:p w14:paraId="4F4F114A" w14:textId="77777777" w:rsidR="00E92BDF" w:rsidRDefault="00E92BDF" w:rsidP="00E92BDF">
      <w:pPr>
        <w:rPr>
          <w:rFonts w:ascii="Sakkal Majalla" w:hAnsi="Sakkal Majalla" w:cs="Sakkal Majalla"/>
          <w:sz w:val="28"/>
          <w:szCs w:val="28"/>
          <w:rtl/>
        </w:rPr>
      </w:pPr>
    </w:p>
    <w:p w14:paraId="27571076" w14:textId="77777777" w:rsidR="00E92BDF" w:rsidRDefault="00E92BDF" w:rsidP="00E92BDF">
      <w:pPr>
        <w:rPr>
          <w:rFonts w:ascii="Sakkal Majalla" w:hAnsi="Sakkal Majalla" w:cs="Sakkal Majalla"/>
          <w:sz w:val="28"/>
          <w:szCs w:val="28"/>
          <w:rtl/>
        </w:rPr>
      </w:pPr>
    </w:p>
    <w:p w14:paraId="521F4AC5" w14:textId="77777777" w:rsidR="00E92BDF" w:rsidRDefault="00E92BDF" w:rsidP="00E92BDF">
      <w:pPr>
        <w:rPr>
          <w:rFonts w:ascii="Sakkal Majalla" w:hAnsi="Sakkal Majalla" w:cs="Sakkal Majalla"/>
          <w:sz w:val="28"/>
          <w:szCs w:val="28"/>
          <w:u w:val="single"/>
          <w:rtl/>
        </w:rPr>
      </w:pPr>
    </w:p>
    <w:p w14:paraId="1584417C" w14:textId="77777777" w:rsidR="00E92BDF" w:rsidRPr="009F738B" w:rsidRDefault="00E92BDF" w:rsidP="00E92BDF">
      <w:pPr>
        <w:pStyle w:val="Heading1"/>
        <w:jc w:val="center"/>
        <w:rPr>
          <w:rFonts w:ascii="Simplified Arabic" w:hAnsi="Simplified Arabic" w:cs="Simplified Arabic"/>
          <w:b/>
          <w:bCs/>
          <w:color w:val="000000" w:themeColor="text1"/>
          <w:rtl/>
        </w:rPr>
      </w:pPr>
      <w:bookmarkStart w:id="1" w:name="_Toc172397775"/>
      <w:bookmarkStart w:id="2" w:name="_Toc172746088"/>
      <w:bookmarkStart w:id="3" w:name="_Toc191138768"/>
      <w:r w:rsidRPr="009F738B">
        <w:rPr>
          <w:rFonts w:ascii="Simplified Arabic" w:hAnsi="Simplified Arabic" w:cs="Simplified Arabic"/>
          <w:b/>
          <w:bCs/>
          <w:color w:val="000000" w:themeColor="text1"/>
          <w:rtl/>
        </w:rPr>
        <w:t>الفصل الأول</w:t>
      </w:r>
      <w:bookmarkEnd w:id="1"/>
      <w:bookmarkEnd w:id="2"/>
      <w:bookmarkEnd w:id="3"/>
    </w:p>
    <w:p w14:paraId="0DD0E454" w14:textId="77777777" w:rsidR="00E92BDF" w:rsidRDefault="00E92BDF" w:rsidP="00E92BDF">
      <w:pPr>
        <w:rPr>
          <w:rFonts w:ascii="Sakkal Majalla" w:hAnsi="Sakkal Majalla" w:cs="Sakkal Majalla"/>
          <w:sz w:val="28"/>
          <w:szCs w:val="28"/>
          <w:u w:val="single"/>
          <w:rtl/>
        </w:rPr>
      </w:pPr>
    </w:p>
    <w:p w14:paraId="21D4196C" w14:textId="77777777" w:rsidR="00E92BDF" w:rsidRDefault="00E92BDF" w:rsidP="00E92BDF">
      <w:pPr>
        <w:rPr>
          <w:rFonts w:ascii="Sakkal Majalla" w:hAnsi="Sakkal Majalla" w:cs="Sakkal Majalla"/>
          <w:sz w:val="28"/>
          <w:szCs w:val="28"/>
          <w:u w:val="single"/>
          <w:rtl/>
        </w:rPr>
      </w:pPr>
    </w:p>
    <w:p w14:paraId="60E012D5" w14:textId="77777777" w:rsidR="00E92BDF" w:rsidRDefault="00E92BDF" w:rsidP="00E92BDF">
      <w:pPr>
        <w:rPr>
          <w:rFonts w:ascii="Sakkal Majalla" w:hAnsi="Sakkal Majalla" w:cs="Sakkal Majalla"/>
          <w:sz w:val="28"/>
          <w:szCs w:val="28"/>
          <w:u w:val="single"/>
          <w:rtl/>
        </w:rPr>
      </w:pPr>
    </w:p>
    <w:p w14:paraId="0F3F63FA" w14:textId="77777777" w:rsidR="00E92BDF" w:rsidRDefault="00E92BDF" w:rsidP="00E92BDF">
      <w:pPr>
        <w:rPr>
          <w:rFonts w:ascii="Sakkal Majalla" w:hAnsi="Sakkal Majalla" w:cs="Sakkal Majalla"/>
          <w:sz w:val="28"/>
          <w:szCs w:val="28"/>
          <w:u w:val="single"/>
          <w:rtl/>
        </w:rPr>
      </w:pPr>
    </w:p>
    <w:p w14:paraId="0DEB2532" w14:textId="77777777" w:rsidR="00E92BDF" w:rsidRDefault="00E92BDF" w:rsidP="00E92BDF">
      <w:pPr>
        <w:rPr>
          <w:rFonts w:ascii="Sakkal Majalla" w:hAnsi="Sakkal Majalla" w:cs="Sakkal Majalla"/>
          <w:sz w:val="28"/>
          <w:szCs w:val="28"/>
          <w:u w:val="single"/>
          <w:rtl/>
        </w:rPr>
      </w:pPr>
    </w:p>
    <w:p w14:paraId="10FEAB8F" w14:textId="77777777" w:rsidR="00E92BDF" w:rsidRDefault="00E92BDF" w:rsidP="00E92BDF">
      <w:pPr>
        <w:rPr>
          <w:rFonts w:ascii="Sakkal Majalla" w:hAnsi="Sakkal Majalla" w:cs="Sakkal Majalla"/>
          <w:sz w:val="28"/>
          <w:szCs w:val="28"/>
          <w:u w:val="single"/>
          <w:rtl/>
        </w:rPr>
      </w:pPr>
    </w:p>
    <w:p w14:paraId="15084FDD" w14:textId="77777777" w:rsidR="00E92BDF" w:rsidRDefault="00E92BDF" w:rsidP="00E92BDF">
      <w:pPr>
        <w:rPr>
          <w:rFonts w:ascii="Sakkal Majalla" w:hAnsi="Sakkal Majalla" w:cs="Sakkal Majalla"/>
          <w:sz w:val="28"/>
          <w:szCs w:val="28"/>
          <w:u w:val="single"/>
          <w:rtl/>
        </w:rPr>
      </w:pPr>
    </w:p>
    <w:p w14:paraId="7AEC8CA0" w14:textId="77777777" w:rsidR="00E92BDF" w:rsidRDefault="00E92BDF" w:rsidP="00E92BDF">
      <w:pPr>
        <w:rPr>
          <w:rFonts w:ascii="Sakkal Majalla" w:hAnsi="Sakkal Majalla" w:cs="Sakkal Majalla"/>
          <w:sz w:val="28"/>
          <w:szCs w:val="28"/>
          <w:u w:val="single"/>
          <w:rtl/>
        </w:rPr>
      </w:pPr>
    </w:p>
    <w:p w14:paraId="5FDBD0EE" w14:textId="77777777" w:rsidR="00E92BDF" w:rsidRDefault="00E92BDF" w:rsidP="00E92BDF">
      <w:pPr>
        <w:rPr>
          <w:rFonts w:ascii="Sakkal Majalla" w:hAnsi="Sakkal Majalla" w:cs="Sakkal Majalla"/>
          <w:sz w:val="28"/>
          <w:szCs w:val="28"/>
          <w:u w:val="single"/>
          <w:rtl/>
        </w:rPr>
      </w:pPr>
    </w:p>
    <w:p w14:paraId="0EEB2F94" w14:textId="77777777" w:rsidR="00E92BDF" w:rsidRDefault="00E92BDF" w:rsidP="00E92BDF">
      <w:pPr>
        <w:rPr>
          <w:rFonts w:ascii="Sakkal Majalla" w:hAnsi="Sakkal Majalla" w:cs="Sakkal Majalla"/>
          <w:sz w:val="28"/>
          <w:szCs w:val="28"/>
          <w:u w:val="single"/>
          <w:rtl/>
        </w:rPr>
      </w:pPr>
    </w:p>
    <w:p w14:paraId="6F8CF091" w14:textId="77777777" w:rsidR="00E92BDF" w:rsidRDefault="00E92BDF" w:rsidP="00E92BDF">
      <w:pPr>
        <w:rPr>
          <w:rFonts w:ascii="Sakkal Majalla" w:hAnsi="Sakkal Majalla" w:cs="Sakkal Majalla"/>
          <w:sz w:val="28"/>
          <w:szCs w:val="28"/>
          <w:u w:val="single"/>
          <w:rtl/>
        </w:rPr>
      </w:pPr>
    </w:p>
    <w:p w14:paraId="0CF5E689" w14:textId="77777777" w:rsidR="00E92BDF" w:rsidRDefault="00E92BDF" w:rsidP="00E92BDF">
      <w:pPr>
        <w:pStyle w:val="Heading2"/>
        <w:rPr>
          <w:rtl/>
        </w:rPr>
      </w:pPr>
      <w:bookmarkStart w:id="4" w:name="_Toc172397776"/>
      <w:bookmarkStart w:id="5" w:name="_Toc172746089"/>
      <w:bookmarkStart w:id="6" w:name="_Toc191138769"/>
      <w:r w:rsidRPr="009F738B">
        <w:rPr>
          <w:rtl/>
        </w:rPr>
        <w:t>المقدمة</w:t>
      </w:r>
      <w:bookmarkEnd w:id="4"/>
      <w:bookmarkEnd w:id="5"/>
      <w:bookmarkEnd w:id="6"/>
    </w:p>
    <w:p w14:paraId="5099D2FC" w14:textId="77777777" w:rsidR="00E92BDF" w:rsidRPr="00DE4904" w:rsidRDefault="00E92BDF" w:rsidP="00E92BDF">
      <w:pPr>
        <w:pStyle w:val="NoSpacing"/>
        <w:rPr>
          <w:rtl/>
        </w:rPr>
      </w:pPr>
      <w:r w:rsidRPr="00DE4904">
        <w:rPr>
          <w:rtl/>
          <w:lang w:bidi="ar-EG"/>
        </w:rPr>
        <w:t>مع التقدم التكنولوجي السريع، أصبح من الضروري للقطاعات الحيوية، مثل قطاع الرعاية الصحية، الذي يشهد ثورة شاملة، أن تتكيف مع التحول الرقمي. يُعد هذا مطلبًا استراتيجيًا يهدف إلى إعادة النظر كليًا في مفهوم تقديم الخدمات الطبية، بدلًا من مجرد ترف تقني. في هذا المجال، يُمثل التحول الرقمي نقلة نوعية تتجاوز مجرد تحسين الممارسات الحالية، إلى إرساء نموذج رعاية صحية أكثر استباقية وتخصيصًا واستدامة</w:t>
      </w:r>
      <w:sdt>
        <w:sdtPr>
          <w:rPr>
            <w:rtl/>
          </w:rPr>
          <w:id w:val="36862511"/>
          <w:citation/>
        </w:sdtPr>
        <w:sdtContent>
          <w:r w:rsidRPr="00DE4904">
            <w:rPr>
              <w:rtl/>
            </w:rPr>
            <w:fldChar w:fldCharType="begin"/>
          </w:r>
          <w:r w:rsidRPr="00DE4904">
            <w:instrText xml:space="preserve"> CITATION Sto231 \l 1033 </w:instrText>
          </w:r>
          <w:r w:rsidRPr="00DE4904">
            <w:rPr>
              <w:rtl/>
            </w:rPr>
            <w:fldChar w:fldCharType="separate"/>
          </w:r>
          <w:r>
            <w:rPr>
              <w:noProof/>
            </w:rPr>
            <w:t xml:space="preserve"> (Stoumpos, 2023)</w:t>
          </w:r>
          <w:r w:rsidRPr="00DE4904">
            <w:rPr>
              <w:rtl/>
            </w:rPr>
            <w:fldChar w:fldCharType="end"/>
          </w:r>
        </w:sdtContent>
      </w:sdt>
      <w:r w:rsidRPr="00DE4904">
        <w:rPr>
          <w:rtl/>
          <w:lang w:bidi="ar-EG"/>
        </w:rPr>
        <w:t>.</w:t>
      </w:r>
    </w:p>
    <w:p w14:paraId="383FF6BF" w14:textId="77777777" w:rsidR="00E92BDF" w:rsidRPr="00DE4904" w:rsidRDefault="00E92BDF" w:rsidP="00E92BDF">
      <w:pPr>
        <w:pStyle w:val="NoSpacing"/>
        <w:rPr>
          <w:rtl/>
        </w:rPr>
      </w:pPr>
      <w:r w:rsidRPr="00DE4904">
        <w:rPr>
          <w:rtl/>
          <w:lang w:bidi="ar-EG"/>
        </w:rPr>
        <w:lastRenderedPageBreak/>
        <w:t xml:space="preserve"> فمن خلال تقليل الأخطاء البشرية وتوفير بيانات دقيقة، يُحسّن هذا التحول كفاءة الأداء من خلال أتمتة المهام الإدارية، ويُخفض التكاليف من خلال منع الإجراءات غير الضرورية وتحسين إدارة الموارد، ويجعل الرعاية الصحية في متناول جميع شرائح المجتمع، ويُمكّن المرضى من القيام بدور فاعل في إدارة صحتهم. وقد تبنت المملكة العربية السعودية هذا النهج بحزم، حيث أطلقت استراتيجيات طموحة لجعل مستشفياتها العامة والخاصة نماذج رائدة في هذا التحول. وفي هذا السياق العالمي، برزت تقنيات الصحة الرقمية كحجر أساس في إعادة تشكيل النظم الصحية</w:t>
      </w:r>
      <w:sdt>
        <w:sdtPr>
          <w:rPr>
            <w:rtl/>
          </w:rPr>
          <w:id w:val="1910568895"/>
          <w:citation/>
        </w:sdtPr>
        <w:sdtContent>
          <w:r w:rsidRPr="00DE4904">
            <w:rPr>
              <w:rtl/>
            </w:rPr>
            <w:fldChar w:fldCharType="begin"/>
          </w:r>
          <w:r w:rsidRPr="00DE4904">
            <w:instrText xml:space="preserve"> CITATION Nwo241 \l 1033 </w:instrText>
          </w:r>
          <w:r w:rsidRPr="00DE4904">
            <w:rPr>
              <w:rtl/>
            </w:rPr>
            <w:fldChar w:fldCharType="separate"/>
          </w:r>
          <w:r>
            <w:rPr>
              <w:noProof/>
            </w:rPr>
            <w:t xml:space="preserve"> (Nwosu, 2024)</w:t>
          </w:r>
          <w:r w:rsidRPr="00DE4904">
            <w:rPr>
              <w:rtl/>
            </w:rPr>
            <w:fldChar w:fldCharType="end"/>
          </w:r>
        </w:sdtContent>
      </w:sdt>
      <w:r w:rsidRPr="00DE4904">
        <w:rPr>
          <w:rtl/>
          <w:lang w:bidi="ar-EG"/>
        </w:rPr>
        <w:t>.</w:t>
      </w:r>
    </w:p>
    <w:p w14:paraId="08E9D821" w14:textId="77777777" w:rsidR="00E92BDF" w:rsidRPr="00DE4904" w:rsidRDefault="00E92BDF" w:rsidP="00E92BDF">
      <w:pPr>
        <w:pStyle w:val="NoSpacing"/>
        <w:rPr>
          <w:rtl/>
        </w:rPr>
      </w:pPr>
      <w:r w:rsidRPr="00DE4904">
        <w:rPr>
          <w:rtl/>
          <w:lang w:bidi="ar-EG"/>
        </w:rPr>
        <w:t xml:space="preserve"> ويتمثل العنصر الأساسي للصحة الرقمية في التكامل الوثيق بين التقنيات الرقمية المتطورة والرعاية الصحية. على سبيل المثال، تطور الذكاء الاصطناعي من مجرد فكرة نظرية إلى أداة فعّالة قادرة على تحليل الصور الطبية، بما في ذلك صور الرنين المغناطيسي والأشعة السينية، بدقة تتجاوز أحيانًا دقة العين البشرية، مما يُساعد في التشخيص المبكر للأورام وغيرها من الأمراض. بالإضافة إلى ذلك، تُستخدم خوارزمياته للتنبؤ مُسبقًا بموعد تفاقم حالة المرضى في العناية المركزة</w:t>
      </w:r>
      <w:sdt>
        <w:sdtPr>
          <w:rPr>
            <w:rtl/>
          </w:rPr>
          <w:id w:val="-1585293580"/>
          <w:citation/>
        </w:sdtPr>
        <w:sdtContent>
          <w:r w:rsidRPr="00DE4904">
            <w:rPr>
              <w:rtl/>
            </w:rPr>
            <w:fldChar w:fldCharType="begin"/>
          </w:r>
          <w:r w:rsidRPr="00DE4904">
            <w:instrText xml:space="preserve"> CITATION Sai24 \l 1033 </w:instrText>
          </w:r>
          <w:r w:rsidRPr="00DE4904">
            <w:rPr>
              <w:rtl/>
            </w:rPr>
            <w:fldChar w:fldCharType="separate"/>
          </w:r>
          <w:r>
            <w:rPr>
              <w:noProof/>
            </w:rPr>
            <w:t xml:space="preserve"> (Sai, 2024)</w:t>
          </w:r>
          <w:r w:rsidRPr="00DE4904">
            <w:rPr>
              <w:rtl/>
            </w:rPr>
            <w:fldChar w:fldCharType="end"/>
          </w:r>
        </w:sdtContent>
      </w:sdt>
      <w:r w:rsidRPr="00DE4904">
        <w:rPr>
          <w:rtl/>
          <w:lang w:bidi="ar-EG"/>
        </w:rPr>
        <w:t>.</w:t>
      </w:r>
    </w:p>
    <w:p w14:paraId="0E151C32" w14:textId="77777777" w:rsidR="00E92BDF" w:rsidRPr="00DE4904" w:rsidRDefault="00E92BDF" w:rsidP="00E92BDF">
      <w:pPr>
        <w:pStyle w:val="NoSpacing"/>
        <w:rPr>
          <w:rtl/>
        </w:rPr>
      </w:pPr>
      <w:r w:rsidRPr="00DE4904">
        <w:rPr>
          <w:rtl/>
          <w:lang w:bidi="ar-EG"/>
        </w:rPr>
        <w:t xml:space="preserve"> ومن الأمثلة على تقنيات إنترنت الأشياء (</w:t>
      </w:r>
      <w:r w:rsidRPr="00DE4904">
        <w:rPr>
          <w:lang w:bidi="ar-EG"/>
        </w:rPr>
        <w:t>IoT</w:t>
      </w:r>
      <w:r w:rsidRPr="00DE4904">
        <w:rPr>
          <w:rtl/>
          <w:lang w:bidi="ar-EG"/>
        </w:rPr>
        <w:t>) الأسِرّة الذكية التي تُعدّل موضعها تلقائيًا لمنع تقرحات الفراش، والتكنولوجيا القابلة للارتداء التي تُمكّن المرضى المصابين بأمراض مزمنة من مُتابعة حالتهم من المنزل، وأجهزة المراقبة الحيوية الذكية التي تُرسل بيانات مُعدل ضربات القلب ومستوى الأكسجين في الوقت الفعلي إلى فرق التمريض</w:t>
      </w:r>
      <w:sdt>
        <w:sdtPr>
          <w:rPr>
            <w:rtl/>
          </w:rPr>
          <w:id w:val="111714415"/>
          <w:citation/>
        </w:sdtPr>
        <w:sdtContent>
          <w:r w:rsidRPr="00DE4904">
            <w:rPr>
              <w:rtl/>
            </w:rPr>
            <w:fldChar w:fldCharType="begin"/>
          </w:r>
          <w:r w:rsidRPr="00DE4904">
            <w:instrText xml:space="preserve"> CITATION Put191 \l 1033 </w:instrText>
          </w:r>
          <w:r w:rsidRPr="00DE4904">
            <w:rPr>
              <w:rtl/>
            </w:rPr>
            <w:fldChar w:fldCharType="separate"/>
          </w:r>
          <w:r>
            <w:rPr>
              <w:noProof/>
            </w:rPr>
            <w:t xml:space="preserve"> (Putri, 2019)</w:t>
          </w:r>
          <w:r w:rsidRPr="00DE4904">
            <w:rPr>
              <w:rtl/>
            </w:rPr>
            <w:fldChar w:fldCharType="end"/>
          </w:r>
        </w:sdtContent>
      </w:sdt>
      <w:r w:rsidRPr="00DE4904">
        <w:rPr>
          <w:rtl/>
          <w:lang w:bidi="ar-EG"/>
        </w:rPr>
        <w:t xml:space="preserve">. </w:t>
      </w:r>
    </w:p>
    <w:p w14:paraId="5AE75219" w14:textId="77777777" w:rsidR="00E92BDF" w:rsidRPr="00DE4904" w:rsidRDefault="00E92BDF" w:rsidP="00E92BDF">
      <w:pPr>
        <w:pStyle w:val="NoSpacing"/>
        <w:rPr>
          <w:rtl/>
        </w:rPr>
      </w:pPr>
      <w:r w:rsidRPr="00DE4904">
        <w:rPr>
          <w:rtl/>
          <w:lang w:bidi="ar-EG"/>
        </w:rPr>
        <w:t>ويرتكز هذا التغيير على السجل الصحي الإلكتروني المُوحّد (</w:t>
      </w:r>
      <w:r w:rsidRPr="00DE4904">
        <w:rPr>
          <w:lang w:bidi="ar-EG"/>
        </w:rPr>
        <w:t>EHR</w:t>
      </w:r>
      <w:r w:rsidRPr="00DE4904">
        <w:rPr>
          <w:rtl/>
          <w:lang w:bidi="ar-EG"/>
        </w:rPr>
        <w:t>)، الذي يُوفر سجلًا طبيًا شاملًا ومتكاملًا للمريض، يُمكن الوصول إليه من أي منشأة طبية، ويُجنّب إجراء الفحوصات المُكررة، ويُجنّب التفاعلات الدوائية الضارة. وقد سلّطت جائحة كوفيد-19، التي سرّعت من نشر حلول الطب عن بُعد، وأظهرت كيف يُمكن للأنظمة الرقمية الاستجابة بسرعة لحالات الطوارئ الصحية الدولية، الضوء على قدرة هذه الأدوات على التكيف بشكل استثنائي.</w:t>
      </w:r>
    </w:p>
    <w:p w14:paraId="7745822A" w14:textId="77777777" w:rsidR="00E92BDF" w:rsidRPr="00DE4904" w:rsidRDefault="00E92BDF" w:rsidP="00E92BDF">
      <w:pPr>
        <w:pStyle w:val="NoSpacing"/>
        <w:rPr>
          <w:rtl/>
        </w:rPr>
      </w:pPr>
      <w:r w:rsidRPr="00DE4904">
        <w:rPr>
          <w:rtl/>
          <w:lang w:bidi="ar-EG"/>
        </w:rPr>
        <w:t xml:space="preserve"> وضعت المملكة العربية السعودية التحول الرقمي في قطاع الرعاية الصحية على رأس أولوياتها، تماشياً مع رؤية 2030. ويعمل المركز الوطني للمعلومات الصحية، ووزارة الصحة، وجهات أخرى على بناء بنية تحتية رقمية متينة ومترابطة. ومن الأمثلة البارزة على هذه الاستراتيجية منصة "صحتي". فهي بوابة موحدة تتيح للمواطنين والمقيمين الوصول إلى معلوماتهم الطبية، ونتائج فحوصاتهم المخبرية، ووصفاتهم الطبية الإلكترونية، وخدمات الطب عن بُعد عبر شبكة واسعة من المستشفيات ومرافق الرعاية الصحية، وليست مجرد تطبيق لحجز المواعيد. بالإضافة إلى أهميته في إدارة الجائحة، تطور تطبيق "توكلنا" منذ ذلك الحين ليصبح منصة خدمات حكومية متكاملة تتضمن "المحفظة الصحية الرقمية". ويجري </w:t>
      </w:r>
      <w:r w:rsidRPr="00DE4904">
        <w:rPr>
          <w:rtl/>
          <w:lang w:bidi="ar-EG"/>
        </w:rPr>
        <w:lastRenderedPageBreak/>
        <w:t>حالياً تطبيق نظام معلومات صحية موحد على مستوى المستشفيات لربط جميع الأقسام - من الصيدلية إلى غرف الطوارئ - في شبكة واحدة تضمن تبادلاً فعالاً للمعلومات</w:t>
      </w:r>
      <w:r w:rsidRPr="00DE4904">
        <w:rPr>
          <w:rFonts w:hint="cs"/>
          <w:rtl/>
        </w:rPr>
        <w:t xml:space="preserve"> </w:t>
      </w:r>
      <w:sdt>
        <w:sdtPr>
          <w:rPr>
            <w:rFonts w:hint="cs"/>
            <w:rtl/>
          </w:rPr>
          <w:id w:val="-1473131979"/>
          <w:citation/>
        </w:sdtPr>
        <w:sdtContent>
          <w:r w:rsidRPr="00DE4904">
            <w:rPr>
              <w:rtl/>
            </w:rPr>
            <w:fldChar w:fldCharType="begin"/>
          </w:r>
          <w:r w:rsidRPr="00DE4904">
            <w:instrText xml:space="preserve"> CITATION Zam24 \l 1033 </w:instrText>
          </w:r>
          <w:r w:rsidRPr="00DE4904">
            <w:rPr>
              <w:rtl/>
            </w:rPr>
            <w:fldChar w:fldCharType="separate"/>
          </w:r>
          <w:r>
            <w:rPr>
              <w:noProof/>
            </w:rPr>
            <w:t>(Zamstein, 2024)</w:t>
          </w:r>
          <w:r w:rsidRPr="00DE4904">
            <w:rPr>
              <w:rtl/>
            </w:rPr>
            <w:fldChar w:fldCharType="end"/>
          </w:r>
        </w:sdtContent>
      </w:sdt>
      <w:r w:rsidRPr="00DE4904">
        <w:rPr>
          <w:rtl/>
          <w:lang w:bidi="ar-EG"/>
        </w:rPr>
        <w:t>.</w:t>
      </w:r>
      <w:r w:rsidRPr="00DE4904">
        <w:rPr>
          <w:rFonts w:hint="cs"/>
          <w:rtl/>
        </w:rPr>
        <w:t xml:space="preserve"> </w:t>
      </w:r>
    </w:p>
    <w:p w14:paraId="409F737A" w14:textId="77777777" w:rsidR="00E92BDF" w:rsidRDefault="00E92BDF" w:rsidP="00E92BDF">
      <w:pPr>
        <w:pStyle w:val="NoSpacing"/>
        <w:rPr>
          <w:rtl/>
          <w:lang w:bidi="ar-EG"/>
        </w:rPr>
      </w:pPr>
      <w:r w:rsidRPr="00DE4904">
        <w:rPr>
          <w:rtl/>
          <w:lang w:bidi="ar-EG"/>
        </w:rPr>
        <w:t xml:space="preserve"> كما ازداد استخدام أنظمة المراقبة عن بُعد. على سبيل المثال، يمكن الآن مراقبة مرضى السكري باستخدام أداة تنقل قراءات سكر الدم مباشرة إلى عيادة الطبيب، مما يتيح لهم إجراء التعديلات اللازمة على خطة علاجهم قبل ظهور الصعوبات. إن القدرة على تقديم أفضل خدمة في أسرع وقت وبأقل تكلفة هي مقياس لمدى كفاءة الرعاية الصحية بفضل هذه التقنيات. بالإضافة إلى تقليل أوقات انتظار المرضى في العيادات، تساعد أنظمة الحجز الإلكتروني المستشفيات على إدارة جداول الأطباء وتخصيص الموارد بشكل أفضل. </w:t>
      </w:r>
    </w:p>
    <w:p w14:paraId="401DF0A7" w14:textId="77777777" w:rsidR="00E92BDF" w:rsidRPr="00DE4904" w:rsidRDefault="00E92BDF" w:rsidP="00E92BDF">
      <w:pPr>
        <w:pStyle w:val="NoSpacing"/>
        <w:rPr>
          <w:rtl/>
        </w:rPr>
      </w:pPr>
      <w:r w:rsidRPr="00DE4904">
        <w:rPr>
          <w:rtl/>
          <w:lang w:bidi="ar-EG"/>
        </w:rPr>
        <w:t>بالإضافة إلى ذلك، تتيح رقمنة المعلومات الطبية للأطباء الوصول الفوري إلى تاريخ المريض الكامل، مما يسهل التشخيص السريع واتخاذ قرارات مستنيرة. تعمل أنظمة الذكاء الاصطناعي كمساعدين أذكياء للأطباء، حيث تقوم بتقييم البيانات وتقديم توصيات للتشخيص والعلاج بناءً على أحدث الأبحاث الطبية، مما يحسن هذا الدعم. بالإضافة إلى ذلك، توفر المراقبة عن بُعد للمرضى عناء النقل وتوفر أسرّة المستشفيات للحالات الأكثر إلحاحًا. نظرًا لأن تقنيات الواقع الافتراضي (</w:t>
      </w:r>
      <w:r w:rsidRPr="00DE4904">
        <w:rPr>
          <w:lang w:bidi="ar-EG"/>
        </w:rPr>
        <w:t>VR</w:t>
      </w:r>
      <w:r w:rsidRPr="00DE4904">
        <w:rPr>
          <w:rtl/>
          <w:lang w:bidi="ar-EG"/>
        </w:rPr>
        <w:t>) والواقع المعزز (</w:t>
      </w:r>
      <w:r w:rsidRPr="00DE4904">
        <w:rPr>
          <w:lang w:bidi="ar-EG"/>
        </w:rPr>
        <w:t>AR</w:t>
      </w:r>
      <w:r w:rsidRPr="00DE4904">
        <w:rPr>
          <w:rtl/>
          <w:lang w:bidi="ar-EG"/>
        </w:rPr>
        <w:t>) توفر بيئات تدريب آمنة وواقعية للجراحين لإجراء عمليات معقدة ومساعدي الأطباء لمحاكاة التعامل مع حالات الطوارئ، فإن التأثير يتجاوز رعاية المرضى ليشمل الممارسة المهنية</w:t>
      </w:r>
      <w:sdt>
        <w:sdtPr>
          <w:rPr>
            <w:rtl/>
          </w:rPr>
          <w:id w:val="789627866"/>
          <w:citation/>
        </w:sdtPr>
        <w:sdtContent>
          <w:r w:rsidRPr="00DE4904">
            <w:rPr>
              <w:rtl/>
            </w:rPr>
            <w:fldChar w:fldCharType="begin"/>
          </w:r>
          <w:r w:rsidRPr="00DE4904">
            <w:instrText xml:space="preserve"> CITATION Rgh20 \l 1033 </w:instrText>
          </w:r>
          <w:r w:rsidRPr="00DE4904">
            <w:rPr>
              <w:rtl/>
            </w:rPr>
            <w:fldChar w:fldCharType="separate"/>
          </w:r>
          <w:r>
            <w:rPr>
              <w:noProof/>
            </w:rPr>
            <w:t xml:space="preserve"> (Rghioui, 2020)</w:t>
          </w:r>
          <w:r w:rsidRPr="00DE4904">
            <w:rPr>
              <w:rtl/>
            </w:rPr>
            <w:fldChar w:fldCharType="end"/>
          </w:r>
        </w:sdtContent>
      </w:sdt>
      <w:r w:rsidRPr="00DE4904">
        <w:rPr>
          <w:rtl/>
          <w:lang w:bidi="ar-EG"/>
        </w:rPr>
        <w:t>.</w:t>
      </w:r>
    </w:p>
    <w:p w14:paraId="57A60EA2" w14:textId="77777777" w:rsidR="00E92BDF" w:rsidRPr="00DE4904" w:rsidRDefault="00E92BDF" w:rsidP="00E92BDF">
      <w:pPr>
        <w:pStyle w:val="NoSpacing"/>
        <w:rPr>
          <w:rtl/>
        </w:rPr>
      </w:pPr>
      <w:r w:rsidRPr="00DE4904">
        <w:rPr>
          <w:rtl/>
        </w:rPr>
        <w:t xml:space="preserve"> </w:t>
      </w:r>
      <w:r w:rsidRPr="00DE4904">
        <w:rPr>
          <w:rtl/>
          <w:lang w:bidi="ar-EG"/>
        </w:rPr>
        <w:t>التطور النهائي لمتخصصي الرعاية الصحية. ومع ذلك، لا تزال هناك عدة عقبات تحول دون الاستخدام الكامل لتقنيات الصحة الرقمية في المستشفيات السعودية، على الرغم من هذه الآفاق المشجعة. ولضمان الاتصال الموثوق والسريع اللازم لهذه الأنظمة، قد لا تزال البنية التحتية التكنولوجية في المناطق النائية بحاجة إلى تعزيز، على الرغم من تطورها الجيد في المدن الكبرى. ويمثل العامل البشري العائق الأكبر؛ إذ يجب على العاملين في مجال الرعاية الصحية الخضوع لبرامج تدريب مكثفة ومتواصلة تغطي استخدام الأدوات وتغيير ثقافة مكان العمل لدمج التقنيات الجديدة في العمليات الروتينية. كما تُمثل قابلية التشغيل البيني، أو ضمان سهولة تبادل البيانات بين مختلف الأنظمة من مختلف الشركات المصنعة، صعوبة أخرى. وتتطلب المخاوف المتزايدة بشأن أمن المعلومات وحماية خصوصية بيانات المرضى شديدة الحساسية نفقات كبيرة على حلول الأمن السيبراني، بالإضافة إلى إرشادات صارمة لحوكمة البيانات</w:t>
      </w:r>
      <w:sdt>
        <w:sdtPr>
          <w:rPr>
            <w:rtl/>
          </w:rPr>
          <w:id w:val="1561903358"/>
          <w:citation/>
        </w:sdtPr>
        <w:sdtContent>
          <w:r w:rsidRPr="00DE4904">
            <w:rPr>
              <w:rtl/>
            </w:rPr>
            <w:fldChar w:fldCharType="begin"/>
          </w:r>
          <w:r w:rsidRPr="00DE4904">
            <w:instrText xml:space="preserve"> CITATION Pau23 \l 1033 </w:instrText>
          </w:r>
          <w:r w:rsidRPr="00DE4904">
            <w:rPr>
              <w:rtl/>
            </w:rPr>
            <w:fldChar w:fldCharType="separate"/>
          </w:r>
          <w:r>
            <w:rPr>
              <w:noProof/>
            </w:rPr>
            <w:t xml:space="preserve"> (Paul, 2023)</w:t>
          </w:r>
          <w:r w:rsidRPr="00DE4904">
            <w:rPr>
              <w:rtl/>
            </w:rPr>
            <w:fldChar w:fldCharType="end"/>
          </w:r>
        </w:sdtContent>
      </w:sdt>
      <w:r w:rsidRPr="00DE4904">
        <w:rPr>
          <w:rtl/>
          <w:lang w:bidi="ar-EG"/>
        </w:rPr>
        <w:t xml:space="preserve">. </w:t>
      </w:r>
    </w:p>
    <w:p w14:paraId="188C4022" w14:textId="77777777" w:rsidR="00E92BDF" w:rsidRPr="00DE4904" w:rsidRDefault="00E92BDF" w:rsidP="00E92BDF">
      <w:pPr>
        <w:pStyle w:val="NoSpacing"/>
        <w:rPr>
          <w:rtl/>
        </w:rPr>
      </w:pPr>
      <w:r w:rsidRPr="00DE4904">
        <w:rPr>
          <w:rtl/>
          <w:lang w:bidi="ar-EG"/>
        </w:rPr>
        <w:t xml:space="preserve">وأخيرًا، لا تزال هناك حاجة إلى زيادة ثقة المرضى في الخدمات الرقمية واعتمادهم للتقنيات الجديدة، وخاصةً بين كبار السن. ومع ذلك، تتمتع المملكة بآفاق مستقبلية واعدة ستجعلها مركزًا إقليميًا رئيسيًا للصحة الرقمية. تشمل العناصر المهمة جيلاً شاباً متجاوباً، وموارد وفيرة، ودعماً حكومياً قوياً. هذا التغيير مدفوع بالتكنولوجيا. من الممكن استشراف مستقبل تُعدّ </w:t>
      </w:r>
      <w:r w:rsidRPr="00DE4904">
        <w:rPr>
          <w:rtl/>
          <w:lang w:bidi="ar-EG"/>
        </w:rPr>
        <w:lastRenderedPageBreak/>
        <w:t>فيه الرعاية الصحية مكوناً أساسياً من نسيج المدن الذكية بفضل مشاريع عملاقة مثل نيوم. سيتم محاكاة الاستجابة للأدوية بواسطة التوائم الرقمية للمواطنين، وستنقل الطائرات بدون طيار الأدوية، وسيحلل الذكاء الاصطناعي البيانات الصحية على مستوى السكان لتشخيص السرطان والأمراض المزمنة مبكراً.</w:t>
      </w:r>
    </w:p>
    <w:p w14:paraId="578525AD" w14:textId="77777777" w:rsidR="00E92BDF" w:rsidRPr="00DE4904" w:rsidRDefault="00E92BDF" w:rsidP="00E92BDF">
      <w:pPr>
        <w:pStyle w:val="NoSpacing"/>
        <w:rPr>
          <w:rtl/>
          <w:lang w:bidi="ar-EG"/>
        </w:rPr>
      </w:pPr>
      <w:r w:rsidRPr="00DE4904">
        <w:rPr>
          <w:rtl/>
          <w:lang w:bidi="ar-EG"/>
        </w:rPr>
        <w:t xml:space="preserve"> سيتم استخدام تحليلات البيانات الضخمة لتوقع الأوبئة وتخصيص الموارد الصحية بشكل استباقي، وستُستخدم الروبوتات الجراحية الدقيقة في الإجراءات المعقدة، وستُستخدم تقنية البلوك تشين لإنشاء سجلات طبية آمنة وغير قابلة للتغيير. إذا استُغلت هذه الفرص بشكل صحيح، فستعزز الصحة العامة وترسّخ مكانة المملكة كلاعب رئيسي في تطوير الرعاية الصحية الدولية</w:t>
      </w:r>
      <w:sdt>
        <w:sdtPr>
          <w:rPr>
            <w:rtl/>
          </w:rPr>
          <w:id w:val="929619264"/>
          <w:citation/>
        </w:sdtPr>
        <w:sdtContent>
          <w:r w:rsidRPr="00DE4904">
            <w:rPr>
              <w:rtl/>
            </w:rPr>
            <w:fldChar w:fldCharType="begin"/>
          </w:r>
          <w:r w:rsidRPr="00DE4904">
            <w:instrText xml:space="preserve"> CITATION Igw24 \l 1033 </w:instrText>
          </w:r>
          <w:r w:rsidRPr="00DE4904">
            <w:rPr>
              <w:rtl/>
            </w:rPr>
            <w:fldChar w:fldCharType="separate"/>
          </w:r>
          <w:r>
            <w:rPr>
              <w:noProof/>
            </w:rPr>
            <w:t xml:space="preserve"> (Igwama, 2024)</w:t>
          </w:r>
          <w:r w:rsidRPr="00DE4904">
            <w:rPr>
              <w:rtl/>
            </w:rPr>
            <w:fldChar w:fldCharType="end"/>
          </w:r>
        </w:sdtContent>
      </w:sdt>
      <w:r w:rsidRPr="00DE4904">
        <w:rPr>
          <w:rtl/>
          <w:lang w:bidi="ar-EG"/>
        </w:rPr>
        <w:t>.</w:t>
      </w:r>
    </w:p>
    <w:p w14:paraId="2A034912" w14:textId="77777777" w:rsidR="00E92BDF" w:rsidRDefault="00E92BDF" w:rsidP="00E92BDF">
      <w:pPr>
        <w:pStyle w:val="NoSpacing"/>
        <w:rPr>
          <w:rtl/>
        </w:rPr>
      </w:pPr>
    </w:p>
    <w:p w14:paraId="5B170E9B" w14:textId="77777777" w:rsidR="00E92BDF" w:rsidRDefault="00E92BDF" w:rsidP="00E92BDF">
      <w:pPr>
        <w:rPr>
          <w:rtl/>
        </w:rPr>
      </w:pPr>
      <w:bookmarkStart w:id="7" w:name="_Toc169370865"/>
      <w:bookmarkStart w:id="8" w:name="_Toc169565909"/>
      <w:bookmarkStart w:id="9" w:name="_Toc171440855"/>
      <w:bookmarkStart w:id="10" w:name="_Toc191138770"/>
    </w:p>
    <w:p w14:paraId="1E982CB3" w14:textId="77777777" w:rsidR="00E92BDF" w:rsidRDefault="00E92BDF" w:rsidP="00E92BDF">
      <w:pPr>
        <w:pStyle w:val="Heading1"/>
        <w:spacing w:before="0" w:line="360" w:lineRule="auto"/>
        <w:rPr>
          <w:rFonts w:ascii="Simplified Arabic" w:hAnsi="Simplified Arabic" w:cs="Simplified Arabic"/>
          <w:b/>
          <w:bCs/>
          <w:color w:val="000000" w:themeColor="text1"/>
          <w:sz w:val="28"/>
          <w:szCs w:val="28"/>
          <w:rtl/>
          <w:lang w:bidi="ar-EG"/>
        </w:rPr>
      </w:pPr>
      <w:r w:rsidRPr="00DE5E70">
        <w:rPr>
          <w:rFonts w:ascii="Simplified Arabic" w:hAnsi="Simplified Arabic" w:cs="Simplified Arabic"/>
          <w:b/>
          <w:bCs/>
          <w:color w:val="000000" w:themeColor="text1"/>
          <w:sz w:val="28"/>
          <w:szCs w:val="28"/>
          <w:rtl/>
        </w:rPr>
        <w:t>مشكلة الدراسة</w:t>
      </w:r>
      <w:r w:rsidRPr="00DE5E70">
        <w:rPr>
          <w:rFonts w:ascii="Simplified Arabic" w:hAnsi="Simplified Arabic" w:cs="Simplified Arabic"/>
          <w:b/>
          <w:bCs/>
          <w:color w:val="000000" w:themeColor="text1"/>
          <w:sz w:val="28"/>
          <w:szCs w:val="28"/>
          <w:rtl/>
          <w:lang w:bidi="ar-EG"/>
        </w:rPr>
        <w:t>:</w:t>
      </w:r>
      <w:bookmarkEnd w:id="7"/>
      <w:bookmarkEnd w:id="8"/>
      <w:bookmarkEnd w:id="9"/>
      <w:bookmarkEnd w:id="10"/>
    </w:p>
    <w:p w14:paraId="4EF78114" w14:textId="77777777" w:rsidR="00E92BDF" w:rsidRPr="00CA0A2C" w:rsidRDefault="00E92BDF" w:rsidP="00E92BDF">
      <w:pPr>
        <w:pStyle w:val="Style1"/>
        <w:numPr>
          <w:ilvl w:val="0"/>
          <w:numId w:val="2"/>
        </w:numPr>
      </w:pPr>
      <w:r w:rsidRPr="00CA0A2C">
        <w:rPr>
          <w:rtl/>
        </w:rPr>
        <w:t>أولًا: المشكلة الرئيسية للدراسة</w:t>
      </w:r>
    </w:p>
    <w:p w14:paraId="081FC2FF" w14:textId="77777777" w:rsidR="00E92BDF" w:rsidRPr="006970FF" w:rsidRDefault="00E92BDF" w:rsidP="00E92BDF">
      <w:pPr>
        <w:pStyle w:val="NoSpacing"/>
        <w:rPr>
          <w:lang w:bidi="ar-EG"/>
        </w:rPr>
      </w:pPr>
      <w:r w:rsidRPr="006970FF">
        <w:rPr>
          <w:rtl/>
        </w:rPr>
        <w:t>في ظل التوجه الاستراتيجي للمملكة العربية السعودية نحو التحول الرقمي ضمن رؤية 2030، تم استثمار موارد كبيرة في تطبيق تقنيات الصحة الرقمية بالمستشفيات بهدف تعزيز جودة وكفاءة الرعاية الصحية. على الرغم من هذا التقدم وطرح العديد من المبادرات الرقمية، لا تزال هناك فجوة معرفية حول الأثر الفعلي لهذه التقنيات على المؤشرات التشغيلية والطبية. إذ تظهر نتائج متباينة بين المستشفيات؛ فبينما تحقق بعضها تحسنًا ملحوظًا في الأداء، تواجه أخرى تحديات تعيق استفادتها الكاملة من هذه الأدوات</w:t>
      </w:r>
      <w:r w:rsidRPr="006970FF">
        <w:rPr>
          <w:lang w:bidi="ar-EG"/>
        </w:rPr>
        <w:t>. </w:t>
      </w:r>
      <w:r w:rsidRPr="006970FF">
        <w:rPr>
          <w:rtl/>
        </w:rPr>
        <w:t>لذلك، تكمن المشكلة الرئيسية في عدم وجود فهم واضح وموثق لمدى مساهمة تقنيات الصحة الرقمية المطبقة في المستشفيات السعودية في تحسين كفاءة الرعاية الصحية بشكل ملموس، وتحديد العقبات الرئيسية (التقنية، الإدارية، البشرية) التي تحول دون تحقيق الأثر المرجو منها</w:t>
      </w:r>
      <w:sdt>
        <w:sdtPr>
          <w:rPr>
            <w:rFonts w:hint="cs"/>
            <w:rtl/>
          </w:rPr>
          <w:id w:val="2127113801"/>
          <w:citation/>
        </w:sdtPr>
        <w:sdtContent>
          <w:r>
            <w:rPr>
              <w:rtl/>
            </w:rPr>
            <w:fldChar w:fldCharType="begin"/>
          </w:r>
          <w:r>
            <w:instrText xml:space="preserve"> CITATION Man243 \l 1033 </w:instrText>
          </w:r>
          <w:r>
            <w:rPr>
              <w:rtl/>
            </w:rPr>
            <w:fldChar w:fldCharType="separate"/>
          </w:r>
          <w:r>
            <w:rPr>
              <w:noProof/>
            </w:rPr>
            <w:t xml:space="preserve"> (Mani, 2024)</w:t>
          </w:r>
          <w:r>
            <w:rPr>
              <w:rtl/>
            </w:rPr>
            <w:fldChar w:fldCharType="end"/>
          </w:r>
        </w:sdtContent>
      </w:sdt>
      <w:r>
        <w:rPr>
          <w:rFonts w:hint="cs"/>
          <w:rtl/>
        </w:rPr>
        <w:t xml:space="preserve"> </w:t>
      </w:r>
      <w:r w:rsidRPr="006970FF">
        <w:rPr>
          <w:lang w:bidi="ar-EG"/>
        </w:rPr>
        <w:t>.</w:t>
      </w:r>
    </w:p>
    <w:p w14:paraId="4588653D" w14:textId="77777777" w:rsidR="00E92BDF" w:rsidRPr="00CA0A2C" w:rsidRDefault="00E92BDF" w:rsidP="00E92BDF">
      <w:pPr>
        <w:pStyle w:val="Style1"/>
        <w:numPr>
          <w:ilvl w:val="0"/>
          <w:numId w:val="2"/>
        </w:numPr>
        <w:rPr>
          <w:lang w:bidi="ar-EG"/>
        </w:rPr>
      </w:pPr>
      <w:r w:rsidRPr="00CA0A2C">
        <w:rPr>
          <w:rtl/>
        </w:rPr>
        <w:t>ثانيًا: المشاكل الفرعية للدراسة</w:t>
      </w:r>
    </w:p>
    <w:p w14:paraId="1CA09C45" w14:textId="77777777" w:rsidR="00E92BDF" w:rsidRDefault="00E92BDF" w:rsidP="00E92BDF">
      <w:pPr>
        <w:pStyle w:val="Style1"/>
        <w:rPr>
          <w:rtl/>
          <w:lang w:bidi="ar-EG"/>
        </w:rPr>
      </w:pPr>
      <w:r w:rsidRPr="00CA0A2C">
        <w:rPr>
          <w:rtl/>
        </w:rPr>
        <w:t>واقع تقنيات الصحة الرقمية المستخدمة في المستشفيات السعودية ومدى نضجها</w:t>
      </w:r>
    </w:p>
    <w:p w14:paraId="5897C501" w14:textId="77777777" w:rsidR="00E92BDF" w:rsidRPr="00CA0A2C" w:rsidRDefault="00E92BDF" w:rsidP="00E92BDF">
      <w:pPr>
        <w:pStyle w:val="NoSpacing"/>
        <w:rPr>
          <w:lang w:bidi="ar-EG"/>
        </w:rPr>
      </w:pPr>
      <w:r w:rsidRPr="00CA0A2C">
        <w:rPr>
          <w:rtl/>
        </w:rPr>
        <w:t>تتبنى المستشفيات طيفًا متنوعًا من التقنيات، بدءًا من السجلات الصحية الإلكترونية وتطبيقات المرضى، وصولًا إلى الذكاء الاصطناعي وإنترنت الأشياء. تسعى هذه النقطة إلى حصر وتصنيف هذه التقنيات وتحديد مدى انتشارها وتكاملها داخل النظام الصحي، لفهم الأدوات المتاحة حاليًا في الميدان</w:t>
      </w:r>
      <w:r w:rsidRPr="00CA0A2C">
        <w:rPr>
          <w:lang w:bidi="ar-EG"/>
        </w:rPr>
        <w:t>.</w:t>
      </w:r>
    </w:p>
    <w:p w14:paraId="516D8B35" w14:textId="77777777" w:rsidR="00E92BDF" w:rsidRDefault="00E92BDF" w:rsidP="00E92BDF">
      <w:pPr>
        <w:pStyle w:val="Style1"/>
        <w:rPr>
          <w:rtl/>
          <w:lang w:bidi="ar-EG"/>
        </w:rPr>
      </w:pPr>
      <w:r w:rsidRPr="00CA0A2C">
        <w:rPr>
          <w:rtl/>
        </w:rPr>
        <w:lastRenderedPageBreak/>
        <w:t>قياس أثر تقنيات الصحة الرقمية على كفاءة تقديم الخدمات الطبية</w:t>
      </w:r>
    </w:p>
    <w:p w14:paraId="728253E8" w14:textId="77777777" w:rsidR="00E92BDF" w:rsidRPr="00CA0A2C" w:rsidRDefault="00E92BDF" w:rsidP="00E92BDF">
      <w:pPr>
        <w:pStyle w:val="NoSpacing"/>
        <w:rPr>
          <w:lang w:bidi="ar-EG"/>
        </w:rPr>
      </w:pPr>
      <w:r w:rsidRPr="00CA0A2C">
        <w:rPr>
          <w:rtl/>
        </w:rPr>
        <w:t>يُفترض أن تساهم الرقمنة في تقليل أوقات الانتظار، وتحسين دقة التشخيص، ودعم القرار الطبي. تهدف هذه المشكلة الفرعية إلى قياس هذا الأثر بشكل عملي، من خلال تحليل مؤشرات الأداء الرئيسية</w:t>
      </w:r>
      <w:r w:rsidRPr="00CA0A2C">
        <w:rPr>
          <w:lang w:bidi="ar-EG"/>
        </w:rPr>
        <w:t xml:space="preserve"> (KPIs) </w:t>
      </w:r>
      <w:r w:rsidRPr="00CA0A2C">
        <w:rPr>
          <w:rtl/>
        </w:rPr>
        <w:t>مثل زمن تقديم الخدمة، ومعدل الأخطاء الطبية، ومستوى رضا المرضى، لتقييم ما إذا كان التحول الرقمي قد أدى إلى تحسن حقيقي</w:t>
      </w:r>
      <w:sdt>
        <w:sdtPr>
          <w:rPr>
            <w:rFonts w:hint="cs"/>
            <w:rtl/>
          </w:rPr>
          <w:id w:val="1631976793"/>
          <w:citation/>
        </w:sdtPr>
        <w:sdtContent>
          <w:r>
            <w:rPr>
              <w:rtl/>
            </w:rPr>
            <w:fldChar w:fldCharType="begin"/>
          </w:r>
          <w:r>
            <w:instrText xml:space="preserve"> CITATION Var24 \l 1033 </w:instrText>
          </w:r>
          <w:r>
            <w:rPr>
              <w:rtl/>
            </w:rPr>
            <w:fldChar w:fldCharType="separate"/>
          </w:r>
          <w:r>
            <w:rPr>
              <w:noProof/>
            </w:rPr>
            <w:t xml:space="preserve"> (Varnosfaderani, 2024)</w:t>
          </w:r>
          <w:r>
            <w:rPr>
              <w:rtl/>
            </w:rPr>
            <w:fldChar w:fldCharType="end"/>
          </w:r>
        </w:sdtContent>
      </w:sdt>
      <w:r>
        <w:rPr>
          <w:rFonts w:hint="cs"/>
          <w:rtl/>
        </w:rPr>
        <w:t xml:space="preserve"> </w:t>
      </w:r>
      <w:r w:rsidRPr="00CA0A2C">
        <w:rPr>
          <w:lang w:bidi="ar-EG"/>
        </w:rPr>
        <w:t>.</w:t>
      </w:r>
    </w:p>
    <w:p w14:paraId="0CD9DB74" w14:textId="77777777" w:rsidR="00E92BDF" w:rsidRDefault="00E92BDF" w:rsidP="00E92BDF">
      <w:pPr>
        <w:pStyle w:val="Style1"/>
        <w:rPr>
          <w:rtl/>
          <w:lang w:bidi="ar-EG"/>
        </w:rPr>
      </w:pPr>
      <w:r w:rsidRPr="00CA0A2C">
        <w:rPr>
          <w:rtl/>
        </w:rPr>
        <w:t>تحديد التحديات التي تواجه التطبيق الفعّال للصحة الرقمية</w:t>
      </w:r>
    </w:p>
    <w:p w14:paraId="1CC4A179" w14:textId="77777777" w:rsidR="00E92BDF" w:rsidRPr="00CA0A2C" w:rsidRDefault="00E92BDF" w:rsidP="00E92BDF">
      <w:pPr>
        <w:pStyle w:val="NoSpacing"/>
        <w:rPr>
          <w:lang w:bidi="ar-EG"/>
        </w:rPr>
      </w:pPr>
      <w:r w:rsidRPr="00CA0A2C">
        <w:rPr>
          <w:rtl/>
        </w:rPr>
        <w:t>يواجه التطبيق معوقات متعددة. تبحث هذه النقطة في تحديد وتحليل هذه التحديات، سواء كانت متعلقة بضعف البنية التحتية في بعض المناطق، أو نقص الكوادر البشرية المدربة، أو مخاوف أمن المعلومات والخصوصية، أو مقاومة التغيير لدى بعض العاملين، لفهم أسباب تعثر التطبيق في بعض الحالات</w:t>
      </w:r>
      <w:r w:rsidRPr="00CA0A2C">
        <w:rPr>
          <w:lang w:bidi="ar-EG"/>
        </w:rPr>
        <w:t>.</w:t>
      </w:r>
    </w:p>
    <w:p w14:paraId="3E735881" w14:textId="77777777" w:rsidR="00E92BDF" w:rsidRDefault="00E92BDF" w:rsidP="00E92BDF">
      <w:pPr>
        <w:pStyle w:val="Style1"/>
        <w:rPr>
          <w:rtl/>
          <w:lang w:bidi="ar-EG"/>
        </w:rPr>
      </w:pPr>
      <w:r w:rsidRPr="00CA0A2C">
        <w:rPr>
          <w:rtl/>
        </w:rPr>
        <w:t>تحليل الفروقات بين المستشفيات الحكومية والخاصة في تبني الصحة الرقمية</w:t>
      </w:r>
    </w:p>
    <w:p w14:paraId="6A171385" w14:textId="77777777" w:rsidR="00E92BDF" w:rsidRPr="00CA0A2C" w:rsidRDefault="00E92BDF" w:rsidP="00E92BDF">
      <w:pPr>
        <w:pStyle w:val="NoSpacing"/>
        <w:rPr>
          <w:lang w:bidi="ar-EG"/>
        </w:rPr>
      </w:pPr>
      <w:r w:rsidRPr="00CA0A2C">
        <w:rPr>
          <w:rtl/>
        </w:rPr>
        <w:t>تختلف آليات العمل والموارد بين القطاعين الحكومي والخاص، مما قد يؤثر على سرعة وقدرة تبني التقنيات الحديثة. تسعى هذه المشكلة إلى مقارنة التجربتين، وتحليل الفروقات في مستوى الرقمنة، والتحديات الخاصة بكل قطاع، والأثر المترتب على جودة الخدمة المقدمة</w:t>
      </w:r>
      <w:sdt>
        <w:sdtPr>
          <w:rPr>
            <w:rFonts w:hint="cs"/>
            <w:rtl/>
          </w:rPr>
          <w:id w:val="981743434"/>
          <w:citation/>
        </w:sdtPr>
        <w:sdtContent>
          <w:r>
            <w:rPr>
              <w:rtl/>
            </w:rPr>
            <w:fldChar w:fldCharType="begin"/>
          </w:r>
          <w:r>
            <w:instrText xml:space="preserve"> CITATION Kha251 \l 1033 </w:instrText>
          </w:r>
          <w:r>
            <w:rPr>
              <w:rtl/>
            </w:rPr>
            <w:fldChar w:fldCharType="separate"/>
          </w:r>
          <w:r>
            <w:rPr>
              <w:noProof/>
            </w:rPr>
            <w:t xml:space="preserve"> (Khan, 2025)</w:t>
          </w:r>
          <w:r>
            <w:rPr>
              <w:rtl/>
            </w:rPr>
            <w:fldChar w:fldCharType="end"/>
          </w:r>
        </w:sdtContent>
      </w:sdt>
      <w:r>
        <w:rPr>
          <w:rFonts w:hint="cs"/>
          <w:rtl/>
        </w:rPr>
        <w:t xml:space="preserve"> </w:t>
      </w:r>
      <w:r w:rsidRPr="00CA0A2C">
        <w:rPr>
          <w:lang w:bidi="ar-EG"/>
        </w:rPr>
        <w:t>.</w:t>
      </w:r>
    </w:p>
    <w:p w14:paraId="1254BA2C" w14:textId="77777777" w:rsidR="00E92BDF" w:rsidRDefault="00E92BDF" w:rsidP="00E92BDF">
      <w:pPr>
        <w:pStyle w:val="Style1"/>
        <w:rPr>
          <w:rtl/>
          <w:lang w:bidi="ar-EG"/>
        </w:rPr>
      </w:pPr>
      <w:r w:rsidRPr="00CA0A2C">
        <w:rPr>
          <w:rtl/>
        </w:rPr>
        <w:t>دراسة مدى تقبل الكوادر الصحية والمرضى للتقنيات الرقمية</w:t>
      </w:r>
    </w:p>
    <w:p w14:paraId="5776F031" w14:textId="77777777" w:rsidR="00E92BDF" w:rsidRPr="00CA0A2C" w:rsidRDefault="00E92BDF" w:rsidP="00E92BDF">
      <w:pPr>
        <w:pStyle w:val="NoSpacing"/>
        <w:rPr>
          <w:lang w:bidi="ar-EG"/>
        </w:rPr>
      </w:pPr>
      <w:r w:rsidRPr="00CA0A2C">
        <w:rPr>
          <w:rtl/>
        </w:rPr>
        <w:t>يعتمد نجاح أي نظام جديد على قبول مستخدميه. تستكشف هذه النقطة العوامل النفسية والسلوكية التي تؤثر على تفاعل الأطباء والممرضين والمرضى مع الأدوات الرقمية، وقياس مستوى رضاهم وثقتهم بها، حيث يُعد هذا الجانب حاسمًا لضمان استدامة وفعالية التحول الرقمي</w:t>
      </w:r>
      <w:r w:rsidRPr="00CA0A2C">
        <w:rPr>
          <w:lang w:bidi="ar-EG"/>
        </w:rPr>
        <w:t>.</w:t>
      </w:r>
    </w:p>
    <w:p w14:paraId="08E96936" w14:textId="77777777" w:rsidR="00E92BDF" w:rsidRDefault="00E92BDF" w:rsidP="00E92BDF">
      <w:pPr>
        <w:pStyle w:val="Style1"/>
        <w:rPr>
          <w:rtl/>
        </w:rPr>
      </w:pPr>
      <w:r w:rsidRPr="00CA0A2C">
        <w:rPr>
          <w:rtl/>
        </w:rPr>
        <w:t>تقييم الأثر الاقتصادي لتقنيات الصحة الرقمية على التكاليف التشغيلية</w:t>
      </w:r>
    </w:p>
    <w:p w14:paraId="7D75F52F" w14:textId="77777777" w:rsidR="00E92BDF" w:rsidRPr="00CA0A2C" w:rsidRDefault="00E92BDF" w:rsidP="00E92BDF">
      <w:pPr>
        <w:pStyle w:val="NoSpacing"/>
        <w:rPr>
          <w:lang w:bidi="ar-EG"/>
        </w:rPr>
      </w:pPr>
      <w:r w:rsidRPr="00CA0A2C">
        <w:rPr>
          <w:rtl/>
        </w:rPr>
        <w:t>إلى جانب تحسين جودة الرعاية، يُتوقع من الرقمنة أن تحقق وفورات مالية. تركز هذه المشكلة على تقييم ما إذا كانت هذه التقنيات قد ساهمت بالفعل في تقليل التكاليف الناتجة عن الأخطاء، أو تكرار الفحوصات، أو الأعباء الإدارية والورقية، وبالتالي تحسين الكفاءة المالية للمستشفيات</w:t>
      </w:r>
      <w:sdt>
        <w:sdtPr>
          <w:rPr>
            <w:rFonts w:hint="cs"/>
            <w:rtl/>
          </w:rPr>
          <w:id w:val="-913007825"/>
          <w:citation/>
        </w:sdtPr>
        <w:sdtContent>
          <w:r>
            <w:rPr>
              <w:rtl/>
            </w:rPr>
            <w:fldChar w:fldCharType="begin"/>
          </w:r>
          <w:r>
            <w:instrText xml:space="preserve"> CITATION Irg25 \l 1033 </w:instrText>
          </w:r>
          <w:r>
            <w:rPr>
              <w:rtl/>
            </w:rPr>
            <w:fldChar w:fldCharType="separate"/>
          </w:r>
          <w:r>
            <w:rPr>
              <w:noProof/>
            </w:rPr>
            <w:t xml:space="preserve"> (Irgang, 2025)</w:t>
          </w:r>
          <w:r>
            <w:rPr>
              <w:rtl/>
            </w:rPr>
            <w:fldChar w:fldCharType="end"/>
          </w:r>
        </w:sdtContent>
      </w:sdt>
      <w:r>
        <w:rPr>
          <w:rFonts w:hint="cs"/>
          <w:rtl/>
        </w:rPr>
        <w:t xml:space="preserve"> </w:t>
      </w:r>
      <w:r>
        <w:rPr>
          <w:lang w:bidi="ar-EG"/>
        </w:rPr>
        <w:t xml:space="preserve"> </w:t>
      </w:r>
      <w:r w:rsidRPr="00CA0A2C">
        <w:rPr>
          <w:lang w:bidi="ar-EG"/>
        </w:rPr>
        <w:t>.</w:t>
      </w:r>
    </w:p>
    <w:p w14:paraId="314C1199" w14:textId="77777777" w:rsidR="00E92BDF" w:rsidRPr="00E06C68" w:rsidRDefault="00E92BDF" w:rsidP="00E92BDF">
      <w:pPr>
        <w:spacing w:after="0" w:line="360" w:lineRule="auto"/>
        <w:rPr>
          <w:rFonts w:ascii="Sakkal Majalla" w:hAnsi="Sakkal Majalla" w:cs="Sakkal Majalla"/>
          <w:sz w:val="28"/>
          <w:szCs w:val="28"/>
          <w:rtl/>
          <w:lang w:bidi="ar-EG"/>
        </w:rPr>
      </w:pPr>
    </w:p>
    <w:p w14:paraId="4E4BE86F" w14:textId="77777777" w:rsidR="00E92BDF" w:rsidRDefault="00E92BDF" w:rsidP="00E92BDF">
      <w:pPr>
        <w:pStyle w:val="Heading1"/>
        <w:spacing w:before="0" w:line="360" w:lineRule="auto"/>
        <w:rPr>
          <w:rFonts w:ascii="Simplified Arabic" w:hAnsi="Simplified Arabic" w:cs="Simplified Arabic"/>
          <w:b/>
          <w:bCs/>
          <w:color w:val="auto"/>
          <w:sz w:val="28"/>
          <w:szCs w:val="28"/>
          <w:rtl/>
          <w:lang w:bidi="ar-EG"/>
        </w:rPr>
      </w:pPr>
      <w:bookmarkStart w:id="11" w:name="_Toc169565910"/>
      <w:bookmarkStart w:id="12" w:name="_Toc171440856"/>
      <w:bookmarkStart w:id="13" w:name="_Toc191138771"/>
      <w:r w:rsidRPr="00DE5E70">
        <w:rPr>
          <w:rFonts w:ascii="Simplified Arabic" w:hAnsi="Simplified Arabic" w:cs="Simplified Arabic"/>
          <w:b/>
          <w:bCs/>
          <w:color w:val="auto"/>
          <w:sz w:val="28"/>
          <w:szCs w:val="28"/>
          <w:rtl/>
          <w:lang w:bidi="ar-EG"/>
        </w:rPr>
        <w:t>أهمية الدراسة:</w:t>
      </w:r>
      <w:bookmarkEnd w:id="11"/>
      <w:bookmarkEnd w:id="12"/>
      <w:bookmarkEnd w:id="13"/>
    </w:p>
    <w:p w14:paraId="5120B999" w14:textId="77777777" w:rsidR="00E92BDF" w:rsidRPr="00033BD6" w:rsidRDefault="00E92BDF" w:rsidP="00E92BDF">
      <w:pPr>
        <w:pStyle w:val="NoSpacing"/>
        <w:numPr>
          <w:ilvl w:val="0"/>
          <w:numId w:val="3"/>
        </w:numPr>
        <w:rPr>
          <w:sz w:val="28"/>
          <w:szCs w:val="28"/>
          <w:lang w:bidi="ar-EG"/>
        </w:rPr>
      </w:pPr>
      <w:r w:rsidRPr="00033BD6">
        <w:rPr>
          <w:b/>
          <w:bCs/>
          <w:sz w:val="28"/>
          <w:szCs w:val="28"/>
          <w:rtl/>
        </w:rPr>
        <w:t>أولًا: الأهمية العلمية</w:t>
      </w:r>
    </w:p>
    <w:p w14:paraId="6F7D0329" w14:textId="77777777" w:rsidR="00E92BDF" w:rsidRDefault="00E92BDF" w:rsidP="00E92BDF">
      <w:pPr>
        <w:pStyle w:val="Style1"/>
        <w:rPr>
          <w:rtl/>
          <w:lang w:bidi="ar-EG"/>
        </w:rPr>
      </w:pPr>
      <w:r w:rsidRPr="00033BD6">
        <w:rPr>
          <w:rtl/>
        </w:rPr>
        <w:t>إثراء الأدب البحثي العربي في مجال الصحة الرقمية</w:t>
      </w:r>
    </w:p>
    <w:p w14:paraId="29EF4145" w14:textId="77777777" w:rsidR="00E92BDF" w:rsidRPr="00033BD6" w:rsidRDefault="00E92BDF" w:rsidP="00E92BDF">
      <w:pPr>
        <w:pStyle w:val="NoSpacing"/>
        <w:rPr>
          <w:lang w:bidi="ar-EG"/>
        </w:rPr>
      </w:pPr>
      <w:r w:rsidRPr="00033BD6">
        <w:rPr>
          <w:rtl/>
        </w:rPr>
        <w:t xml:space="preserve">تنبع الأهمية العلمية لهذه الدراسة من كونها تسهم في سد فجوة بحثية واضحة في الأدبيات العربية والسعودية المتعلقة بالصحة الرقمية. فهذا المجال، رغم حيويته عالميًا، لا يزال حديثًا نسبيًا على الساحة البحثية في المنطقة. معظم الدراسات المتاحة غالبًا ما تكون مترجمة أو تستعرض تجارب دولية تختلف في سياقها الاجتماعي والاقتصادي والتنظيمي عن المملكة. أما الدراسات المحلية، فغالبًا ما تركز على الجوانب التقنية البحتة للأنظمة أو تقتصر على قياس مستوى الرضا العام، دون التعمق في تحليل الأثر الفعلي لهذه التقنيات على مؤشرات الكفاءة التشغيلية والطبية داخل المستشفيات. لذلك، تقدم هذه الدراسة إضافة نوعية من خلال توفير تحليل أصيل ومُعمّق ينطلق من واقع النظام الصحي </w:t>
      </w:r>
      <w:r>
        <w:rPr>
          <w:rFonts w:hint="cs"/>
          <w:rtl/>
        </w:rPr>
        <w:t>السعودية</w:t>
      </w:r>
      <w:r>
        <w:rPr>
          <w:lang w:bidi="ar-EG"/>
        </w:rPr>
        <w:t xml:space="preserve">. </w:t>
      </w:r>
      <w:sdt>
        <w:sdtPr>
          <w:rPr>
            <w:rtl/>
            <w:lang w:bidi="ar-EG"/>
          </w:rPr>
          <w:id w:val="-1471047321"/>
          <w:citation/>
        </w:sdtPr>
        <w:sdtContent>
          <w:r>
            <w:rPr>
              <w:rtl/>
              <w:lang w:bidi="ar-EG"/>
            </w:rPr>
            <w:fldChar w:fldCharType="begin"/>
          </w:r>
          <w:r>
            <w:rPr>
              <w:lang w:bidi="ar-EG"/>
            </w:rPr>
            <w:instrText xml:space="preserve"> CITATION Kas25 \l 1033 </w:instrText>
          </w:r>
          <w:r>
            <w:rPr>
              <w:rtl/>
              <w:lang w:bidi="ar-EG"/>
            </w:rPr>
            <w:fldChar w:fldCharType="separate"/>
          </w:r>
          <w:r>
            <w:rPr>
              <w:noProof/>
              <w:lang w:bidi="ar-EG"/>
            </w:rPr>
            <w:t>(Kashef, 2025)</w:t>
          </w:r>
          <w:r>
            <w:rPr>
              <w:rtl/>
              <w:lang w:bidi="ar-EG"/>
            </w:rPr>
            <w:fldChar w:fldCharType="end"/>
          </w:r>
        </w:sdtContent>
      </w:sdt>
    </w:p>
    <w:p w14:paraId="5AA7B3D4" w14:textId="77777777" w:rsidR="00E92BDF" w:rsidRDefault="00E92BDF" w:rsidP="00E92BDF">
      <w:pPr>
        <w:pStyle w:val="Style1"/>
        <w:rPr>
          <w:rtl/>
          <w:lang w:bidi="ar-EG"/>
        </w:rPr>
      </w:pPr>
      <w:r w:rsidRPr="00033BD6">
        <w:rPr>
          <w:rtl/>
        </w:rPr>
        <w:t>بناء إطار تحليلي شامل يربط بين التكنولوجيا والأداء</w:t>
      </w:r>
    </w:p>
    <w:p w14:paraId="6EAABBF5" w14:textId="77777777" w:rsidR="00E92BDF" w:rsidRPr="00033BD6" w:rsidRDefault="00E92BDF" w:rsidP="00E92BDF">
      <w:pPr>
        <w:pStyle w:val="NoSpacing"/>
        <w:rPr>
          <w:lang w:bidi="ar-EG"/>
        </w:rPr>
      </w:pPr>
      <w:r w:rsidRPr="00033BD6">
        <w:rPr>
          <w:rtl/>
        </w:rPr>
        <w:t>تبرز أهمية الدراسة أيضًا في أنها لا تكتفي بوصف التقنيات المستخدمة، بل تتجاوز ذلك لبناء إطار تحليلي متكامل يربط بين تطبيق التقنيات الرقمية (المتغير المستقل) ومؤشرات الأداء الفعلية في المستشفيات (المتغير التابع). هذا الربط المنهجي يساهم في الانتقال من مجرد التساؤل "ماذا نستخدم؟" إلى السؤال الأعمق "ما مدى فعالية ما نستخدمه؟". من خلال هذا الإطار، يمكن بناء قاعدة معرفية رصينة تكون مرجعًا للباحثين والدارسين في تخصصات متعددة مثل الإدارة الصحية، ونظم المعلومات الإدارية، والسياسات العامة، مما يفتح آفاقًا جديدة لفهم العلاقة المعقدة بين الاستثمار التكنولوجي والعائد على مستوى جودة الخدمة</w:t>
      </w:r>
      <w:sdt>
        <w:sdtPr>
          <w:rPr>
            <w:rFonts w:hint="cs"/>
            <w:rtl/>
          </w:rPr>
          <w:id w:val="1819843950"/>
          <w:citation/>
        </w:sdtPr>
        <w:sdtContent>
          <w:r>
            <w:rPr>
              <w:rtl/>
            </w:rPr>
            <w:fldChar w:fldCharType="begin"/>
          </w:r>
          <w:r>
            <w:instrText xml:space="preserve"> CITATION Wan222 \l 1033 </w:instrText>
          </w:r>
          <w:r>
            <w:rPr>
              <w:rtl/>
            </w:rPr>
            <w:fldChar w:fldCharType="separate"/>
          </w:r>
          <w:r>
            <w:rPr>
              <w:noProof/>
            </w:rPr>
            <w:t xml:space="preserve"> (Wang, 2022)</w:t>
          </w:r>
          <w:r>
            <w:rPr>
              <w:rtl/>
            </w:rPr>
            <w:fldChar w:fldCharType="end"/>
          </w:r>
        </w:sdtContent>
      </w:sdt>
      <w:r>
        <w:rPr>
          <w:rFonts w:hint="cs"/>
          <w:rtl/>
        </w:rPr>
        <w:t xml:space="preserve"> </w:t>
      </w:r>
      <w:r w:rsidRPr="00033BD6">
        <w:rPr>
          <w:lang w:bidi="ar-EG"/>
        </w:rPr>
        <w:t>.</w:t>
      </w:r>
    </w:p>
    <w:p w14:paraId="26F98E15" w14:textId="77777777" w:rsidR="00E92BDF" w:rsidRDefault="00E92BDF" w:rsidP="00E92BDF">
      <w:pPr>
        <w:pStyle w:val="Style1"/>
        <w:rPr>
          <w:rtl/>
        </w:rPr>
      </w:pPr>
      <w:r w:rsidRPr="00033BD6">
        <w:rPr>
          <w:rtl/>
        </w:rPr>
        <w:t>توسيع النقاش الأكاديمي حول التحديات الواقعية للتطبيق</w:t>
      </w:r>
    </w:p>
    <w:p w14:paraId="4ECC7AA5" w14:textId="77777777" w:rsidR="00E92BDF" w:rsidRPr="00033BD6" w:rsidRDefault="00E92BDF" w:rsidP="00E92BDF">
      <w:pPr>
        <w:pStyle w:val="NoSpacing"/>
        <w:rPr>
          <w:lang w:bidi="ar-EG"/>
        </w:rPr>
      </w:pPr>
      <w:r w:rsidRPr="00033BD6">
        <w:rPr>
          <w:rtl/>
        </w:rPr>
        <w:t xml:space="preserve">تتجاوز الدراسة التحليل التقني لتفتح الباب أمام نقاش أكاديمي أعمق حول التحديات غير التقنية التي تصاحب التحول الرقمي. فغالبًا ما يتم التركيز على الحلول البرمجية والأجهزة، بينما يتم إغفال العوائق البشرية والتنظيمية التي قد تكون السبب الرئيسي في فشل أو نجاح هذه المشاريع. من خلال تحليل قضايا مثل مقاومة التغيير لدى الكوادر الطبية، وأثر الثقافة </w:t>
      </w:r>
      <w:r w:rsidRPr="00033BD6">
        <w:rPr>
          <w:rtl/>
        </w:rPr>
        <w:lastRenderedPageBreak/>
        <w:t>التنظيمية، وأهمية التدريب المستمر، والتحديات المتعلقة بأمن البيانات والخصوصية، تقدم الدراسة مادة ثرية للنقاش الأكاديمي وتساهم في فهم التحول الرقمي كعملية اجتماعية تقنية</w:t>
      </w:r>
      <w:r w:rsidRPr="00033BD6">
        <w:rPr>
          <w:lang w:bidi="ar-EG"/>
        </w:rPr>
        <w:t xml:space="preserve"> (Socio-technical) </w:t>
      </w:r>
      <w:r w:rsidRPr="00033BD6">
        <w:rPr>
          <w:rtl/>
        </w:rPr>
        <w:t>معقدة وليست مجرد عملية شراء وتركيب</w:t>
      </w:r>
      <w:sdt>
        <w:sdtPr>
          <w:rPr>
            <w:rFonts w:hint="cs"/>
            <w:rtl/>
          </w:rPr>
          <w:id w:val="1902258436"/>
          <w:citation/>
        </w:sdtPr>
        <w:sdtContent>
          <w:r>
            <w:rPr>
              <w:rtl/>
            </w:rPr>
            <w:fldChar w:fldCharType="begin"/>
          </w:r>
          <w:r>
            <w:instrText xml:space="preserve"> CITATION Ayd22 \l 1033 </w:instrText>
          </w:r>
          <w:r>
            <w:rPr>
              <w:rtl/>
            </w:rPr>
            <w:fldChar w:fldCharType="separate"/>
          </w:r>
          <w:r>
            <w:rPr>
              <w:noProof/>
            </w:rPr>
            <w:t xml:space="preserve"> (Aydın, 2022)</w:t>
          </w:r>
          <w:r>
            <w:rPr>
              <w:rtl/>
            </w:rPr>
            <w:fldChar w:fldCharType="end"/>
          </w:r>
        </w:sdtContent>
      </w:sdt>
      <w:r>
        <w:rPr>
          <w:rFonts w:hint="cs"/>
          <w:rtl/>
        </w:rPr>
        <w:t xml:space="preserve"> </w:t>
      </w:r>
      <w:r>
        <w:rPr>
          <w:lang w:bidi="ar-EG"/>
        </w:rPr>
        <w:t xml:space="preserve"> </w:t>
      </w:r>
      <w:r w:rsidRPr="00033BD6">
        <w:rPr>
          <w:lang w:bidi="ar-EG"/>
        </w:rPr>
        <w:t>.</w:t>
      </w:r>
    </w:p>
    <w:p w14:paraId="1589DC91" w14:textId="77777777" w:rsidR="00E92BDF" w:rsidRDefault="00E92BDF" w:rsidP="00E92BDF">
      <w:pPr>
        <w:pStyle w:val="Style1"/>
        <w:rPr>
          <w:rtl/>
          <w:lang w:bidi="ar-EG"/>
        </w:rPr>
      </w:pPr>
      <w:r w:rsidRPr="00033BD6">
        <w:rPr>
          <w:rtl/>
        </w:rPr>
        <w:t>تأسيس أرضية علمية لبحوث مستقبلية</w:t>
      </w:r>
    </w:p>
    <w:p w14:paraId="64DF6B3C" w14:textId="77777777" w:rsidR="00E92BDF" w:rsidRPr="001B36AC" w:rsidRDefault="00E92BDF" w:rsidP="00E92BDF">
      <w:pPr>
        <w:pStyle w:val="NoSpacing"/>
        <w:rPr>
          <w:lang w:bidi="ar-EG"/>
        </w:rPr>
      </w:pPr>
      <w:r w:rsidRPr="001B36AC">
        <w:rPr>
          <w:rtl/>
        </w:rPr>
        <w:t>أخيرًا، يمكن لنتائج هذه الدراسة أن تشكل أساسًا علميًا متينًا تنطلق منه بحوث مستقبلية أكثر تخصصًا. فعلى سبيل المثال، يمكن أن تُستخدم خلاصاتها في بناء نموذج علمي لتقييم "مستوى النضج الرقمي</w:t>
      </w:r>
      <w:r w:rsidRPr="001B36AC">
        <w:rPr>
          <w:lang w:bidi="ar-EG"/>
        </w:rPr>
        <w:t xml:space="preserve">" (Digital Maturity) </w:t>
      </w:r>
      <w:r w:rsidRPr="001B36AC">
        <w:rPr>
          <w:rtl/>
        </w:rPr>
        <w:t>للمستشفيات، والذي يمكن للمؤسسات استخدامه كأداة للتقييم الذاتي. كما قد تمهد الطريق لدراسات لاحقة تتناول بالتفصيل جوانب محددة مثل الأثر طويل المدى للتطبيب عن بعد على العلاقة بين الطبيب والمريض، أو التأثير النفسي للاعتماد على التكنولوجيا لدى كبار السن، أو الجدوى الاقتصادية لنوع معين من التقنيات</w:t>
      </w:r>
      <w:r w:rsidRPr="001B36AC">
        <w:rPr>
          <w:lang w:bidi="ar-EG"/>
        </w:rPr>
        <w:t>.</w:t>
      </w:r>
    </w:p>
    <w:p w14:paraId="6A21BE5A" w14:textId="77777777" w:rsidR="00E92BDF" w:rsidRPr="00033BD6" w:rsidRDefault="00E92BDF" w:rsidP="00E92BDF">
      <w:pPr>
        <w:pStyle w:val="NoSpacing"/>
        <w:rPr>
          <w:lang w:bidi="ar-EG"/>
        </w:rPr>
      </w:pPr>
    </w:p>
    <w:p w14:paraId="2B906F91" w14:textId="77777777" w:rsidR="00E92BDF" w:rsidRPr="00033BD6" w:rsidRDefault="00E92BDF" w:rsidP="00E92BDF">
      <w:pPr>
        <w:pStyle w:val="NoSpacing"/>
        <w:numPr>
          <w:ilvl w:val="0"/>
          <w:numId w:val="4"/>
        </w:numPr>
        <w:rPr>
          <w:sz w:val="28"/>
          <w:szCs w:val="28"/>
          <w:lang w:bidi="ar-EG"/>
        </w:rPr>
      </w:pPr>
      <w:r w:rsidRPr="00033BD6">
        <w:rPr>
          <w:b/>
          <w:bCs/>
          <w:sz w:val="28"/>
          <w:szCs w:val="28"/>
          <w:rtl/>
        </w:rPr>
        <w:t>ثانيًا: الأهمية العملية</w:t>
      </w:r>
    </w:p>
    <w:p w14:paraId="5F14E497" w14:textId="77777777" w:rsidR="00E92BDF" w:rsidRPr="00033BD6" w:rsidRDefault="00E92BDF" w:rsidP="00E92BDF">
      <w:pPr>
        <w:pStyle w:val="NoSpacing"/>
        <w:rPr>
          <w:lang w:bidi="ar-EG"/>
        </w:rPr>
      </w:pPr>
      <w:r w:rsidRPr="00033BD6">
        <w:rPr>
          <w:rtl/>
        </w:rPr>
        <w:t>على الصعيد العملي، تكمن أهمية الدراسة في كونها تقدم مخرجات تطبيقية مباشرة يمكن أن يستفيد منها صُنّاع القرار والجهات الفاعلة في القطاع الصحي لتحسين الواقع العملي</w:t>
      </w:r>
      <w:r w:rsidRPr="00033BD6">
        <w:rPr>
          <w:lang w:bidi="ar-EG"/>
        </w:rPr>
        <w:t>:</w:t>
      </w:r>
    </w:p>
    <w:p w14:paraId="3F9269AB" w14:textId="77777777" w:rsidR="00E92BDF" w:rsidRDefault="00E92BDF" w:rsidP="00E92BDF">
      <w:pPr>
        <w:pStyle w:val="Style1"/>
        <w:rPr>
          <w:rtl/>
          <w:lang w:bidi="ar-EG"/>
        </w:rPr>
      </w:pPr>
      <w:r w:rsidRPr="00033BD6">
        <w:rPr>
          <w:rtl/>
        </w:rPr>
        <w:t>دعم صناعة القرار وتوجيه الاستثمارات التقنية</w:t>
      </w:r>
    </w:p>
    <w:p w14:paraId="6EECA5C7" w14:textId="77777777" w:rsidR="00E92BDF" w:rsidRPr="00033BD6" w:rsidRDefault="00E92BDF" w:rsidP="00E92BDF">
      <w:pPr>
        <w:pStyle w:val="NoSpacing"/>
        <w:rPr>
          <w:lang w:bidi="ar-EG"/>
        </w:rPr>
      </w:pPr>
      <w:r w:rsidRPr="00033BD6">
        <w:rPr>
          <w:rtl/>
        </w:rPr>
        <w:t>تتجلى الأهمية العملية الكبرى للدراسة في أنها تقدم بيانات ورؤى مبنية على الأدلة يمكن لصناع القرار في وزارة الصحة وإدارات المستشفيات الاعتماد عليها. فبدلاً من اتخاذ قرارات باهظة التكلفة بشأن شراء وتطبيق تقنيات جديدة بناءً على التوجهات العالمية فقط، يمكنهم الاستناد إلى نتائج هذه الدراسة لتحديد أي التقنيات تحقق الأثر الأكبر على الكفاءة والإنتاجية في السياق المحلي. هذا الأمر يساعد في توجيه الاستثمارات بشكل أكثر دقة نحو الحلول التي أثبتت فعاليتها، وتجنب الإنفاق على أنظمة قد لا تكون مناسبة أو لا تحقق العائد المأمول</w:t>
      </w:r>
      <w:sdt>
        <w:sdtPr>
          <w:rPr>
            <w:rFonts w:hint="cs"/>
            <w:rtl/>
            <w:lang w:bidi="ar-EG"/>
          </w:rPr>
          <w:id w:val="-200860117"/>
          <w:citation/>
        </w:sdtPr>
        <w:sdtContent>
          <w:r>
            <w:rPr>
              <w:rtl/>
              <w:lang w:bidi="ar-EG"/>
            </w:rPr>
            <w:fldChar w:fldCharType="begin"/>
          </w:r>
          <w:r>
            <w:rPr>
              <w:lang w:bidi="ar-EG"/>
            </w:rPr>
            <w:instrText xml:space="preserve"> CITATION Ahu23 \l 1033 </w:instrText>
          </w:r>
          <w:r>
            <w:rPr>
              <w:rtl/>
              <w:lang w:bidi="ar-EG"/>
            </w:rPr>
            <w:fldChar w:fldCharType="separate"/>
          </w:r>
          <w:r>
            <w:rPr>
              <w:noProof/>
              <w:lang w:bidi="ar-EG"/>
            </w:rPr>
            <w:t xml:space="preserve"> (Ahumada-Canale, 2023)</w:t>
          </w:r>
          <w:r>
            <w:rPr>
              <w:rtl/>
              <w:lang w:bidi="ar-EG"/>
            </w:rPr>
            <w:fldChar w:fldCharType="end"/>
          </w:r>
        </w:sdtContent>
      </w:sdt>
      <w:r>
        <w:rPr>
          <w:rFonts w:hint="cs"/>
          <w:rtl/>
          <w:lang w:bidi="ar-EG"/>
        </w:rPr>
        <w:t xml:space="preserve"> </w:t>
      </w:r>
      <w:r w:rsidRPr="00033BD6">
        <w:rPr>
          <w:lang w:bidi="ar-EG"/>
        </w:rPr>
        <w:t>.</w:t>
      </w:r>
    </w:p>
    <w:p w14:paraId="07A0A946" w14:textId="77777777" w:rsidR="00E92BDF" w:rsidRDefault="00E92BDF" w:rsidP="00E92BDF">
      <w:pPr>
        <w:pStyle w:val="Style1"/>
        <w:rPr>
          <w:rtl/>
          <w:lang w:bidi="ar-EG"/>
        </w:rPr>
      </w:pPr>
      <w:r w:rsidRPr="00033BD6">
        <w:rPr>
          <w:rtl/>
        </w:rPr>
        <w:t>تحسين جودة الرعاية الصحية وتعزيز رضا المرضى</w:t>
      </w:r>
    </w:p>
    <w:p w14:paraId="398A9E26" w14:textId="77777777" w:rsidR="00E92BDF" w:rsidRPr="00033BD6" w:rsidRDefault="00E92BDF" w:rsidP="00E92BDF">
      <w:pPr>
        <w:pStyle w:val="NoSpacing"/>
        <w:rPr>
          <w:rFonts w:hint="cs"/>
          <w:rtl/>
          <w:lang w:bidi="ar-EG"/>
        </w:rPr>
      </w:pPr>
      <w:r w:rsidRPr="00033BD6">
        <w:rPr>
          <w:rtl/>
        </w:rPr>
        <w:t xml:space="preserve">من خلال تسليط الضوء على نقاط القوة والضعف في تطبيق الصحة الرقمية، تساهم الدراسة بشكل مباشر في تحسين جودة الخدمة المقدمة للمريض. فعندما يتم تحديد أن نظامًا معينًا يقلل من أوقات الانتظار أو يخفض من احتمالية حدوث خطأ </w:t>
      </w:r>
      <w:r w:rsidRPr="00033BD6">
        <w:rPr>
          <w:rtl/>
        </w:rPr>
        <w:lastRenderedPageBreak/>
        <w:t>دوائي، يمكن التوسع في تطبيقه. وعندما يتم الكشف عن أن تطبيقًا ما معقد ويسبب إحباطًا للمرضى، يمكن العمل على تبسيطه وتحسين تجربة المستخدم. في المحصلة، تهدف المخرجات العملية إلى جعل رحلة المريض داخل النظام الصحي أكثر سلاسة وأمانًا، مما يرفع من مستوى رضاه وثقته</w:t>
      </w:r>
      <w:sdt>
        <w:sdtPr>
          <w:rPr>
            <w:rtl/>
          </w:rPr>
          <w:id w:val="1341352751"/>
          <w:citation/>
        </w:sdtPr>
        <w:sdtContent>
          <w:r>
            <w:rPr>
              <w:rtl/>
            </w:rPr>
            <w:fldChar w:fldCharType="begin"/>
          </w:r>
          <w:r>
            <w:instrText xml:space="preserve"> CITATION AlA24 \l 1033 </w:instrText>
          </w:r>
          <w:r>
            <w:rPr>
              <w:rtl/>
            </w:rPr>
            <w:fldChar w:fldCharType="separate"/>
          </w:r>
          <w:r>
            <w:rPr>
              <w:noProof/>
            </w:rPr>
            <w:t xml:space="preserve"> (Al-Assaf, 2024)</w:t>
          </w:r>
          <w:r>
            <w:rPr>
              <w:rtl/>
            </w:rPr>
            <w:fldChar w:fldCharType="end"/>
          </w:r>
        </w:sdtContent>
      </w:sdt>
      <w:r>
        <w:rPr>
          <w:rFonts w:hint="cs"/>
          <w:rtl/>
        </w:rPr>
        <w:t xml:space="preserve"> </w:t>
      </w:r>
      <w:r w:rsidRPr="00033BD6">
        <w:rPr>
          <w:lang w:bidi="ar-EG"/>
        </w:rPr>
        <w:t>.</w:t>
      </w:r>
    </w:p>
    <w:p w14:paraId="15E1E8BB" w14:textId="77777777" w:rsidR="00E92BDF" w:rsidRDefault="00E92BDF" w:rsidP="00E92BDF">
      <w:pPr>
        <w:pStyle w:val="Style1"/>
        <w:rPr>
          <w:rtl/>
          <w:lang w:bidi="ar-EG"/>
        </w:rPr>
      </w:pPr>
      <w:r w:rsidRPr="00033BD6">
        <w:rPr>
          <w:rtl/>
        </w:rPr>
        <w:t>تطوير الكفاءات البشرية وتصميم برامج تدريبية هادفة</w:t>
      </w:r>
    </w:p>
    <w:p w14:paraId="16AA0802" w14:textId="77777777" w:rsidR="00E92BDF" w:rsidRPr="00033BD6" w:rsidRDefault="00E92BDF" w:rsidP="00E92BDF">
      <w:pPr>
        <w:pStyle w:val="NoSpacing"/>
        <w:rPr>
          <w:lang w:bidi="ar-EG"/>
        </w:rPr>
      </w:pPr>
      <w:r w:rsidRPr="00033BD6">
        <w:rPr>
          <w:rtl/>
        </w:rPr>
        <w:t>تساعد نتائج الدراسة في تحديد الفجوات في المهارات الرقمية لدى الكوادر الطبية والإدارية. فبدلاً من تقديم برامج تدريبية عامة، يمكن تصميم ورش عمل مخصصة تستهدف معالجة الصعوبات التي تم رصدها في الدراسة، مثل كيفية التعامل مع السجل الصحي الإلكتروني بفاعلية، أو أفضل الممارسات في إجراء استشارة عن بعد. هذا النهج يضمن أن يكون التدريب عمليًا وموجهًا نحو حل مشاكل حقيقية، مما يرفع من كفاءة الأداء المهني ويعزز من تبني التقنيات الجديدة</w:t>
      </w:r>
      <w:r w:rsidRPr="00033BD6">
        <w:rPr>
          <w:lang w:bidi="ar-EG"/>
        </w:rPr>
        <w:t>.</w:t>
      </w:r>
    </w:p>
    <w:p w14:paraId="1401DF70" w14:textId="77777777" w:rsidR="00E92BDF" w:rsidRDefault="00E92BDF" w:rsidP="00E92BDF">
      <w:pPr>
        <w:pStyle w:val="Style1"/>
        <w:rPr>
          <w:rtl/>
          <w:lang w:bidi="ar-EG"/>
        </w:rPr>
      </w:pPr>
      <w:r w:rsidRPr="00033BD6">
        <w:rPr>
          <w:rtl/>
        </w:rPr>
        <w:t>دعم المؤسسات المتأخرة وتحقيق التكافؤ في الخدمات</w:t>
      </w:r>
    </w:p>
    <w:p w14:paraId="26E593B2" w14:textId="77777777" w:rsidR="00E92BDF" w:rsidRPr="00201BD2" w:rsidRDefault="00E92BDF" w:rsidP="00E92BDF">
      <w:pPr>
        <w:pStyle w:val="NoSpacing"/>
        <w:rPr>
          <w:rFonts w:hint="cs"/>
          <w:lang w:bidi="ar-EG"/>
        </w:rPr>
      </w:pPr>
      <w:r w:rsidRPr="00033BD6">
        <w:rPr>
          <w:rtl/>
        </w:rPr>
        <w:t>من خلال المقارنة بين أداء المستشفيات المختلفة (العامة والخاصة، أو تلك الواقعة في المدن الكبرى مقابل المناطق الطرفية)، تكشف الدراسة عن الفروقات في مستوى التقدم الرقمي. هذه المعلومات قيمة للغاية للجهات الرقابية والتخطيطية، حيث يمكن استخدامها لتوجيه الدعم الفني والمالي للمؤسسات المتأخرة، والمساهمة في سد الفجوة الرقمية، والسعي نحو تحقيق مستوى متكافئ من جودة الرعاية الصحية الرقمية في جميع أنحاء المملكة، بما يتماشى مع أهداف رؤية 2030 في تحقيق التنمية الشاملة والمستدامة</w:t>
      </w:r>
      <w:sdt>
        <w:sdtPr>
          <w:rPr>
            <w:rFonts w:hint="cs"/>
            <w:rtl/>
            <w:lang w:bidi="ar-EG"/>
          </w:rPr>
          <w:id w:val="-748579898"/>
          <w:citation/>
        </w:sdtPr>
        <w:sdtContent>
          <w:r>
            <w:rPr>
              <w:rtl/>
              <w:lang w:bidi="ar-EG"/>
            </w:rPr>
            <w:fldChar w:fldCharType="begin"/>
          </w:r>
          <w:r>
            <w:rPr>
              <w:lang w:bidi="ar-EG"/>
            </w:rPr>
            <w:instrText xml:space="preserve"> CITATION Pan23 \l 1033 </w:instrText>
          </w:r>
          <w:r>
            <w:rPr>
              <w:rtl/>
              <w:lang w:bidi="ar-EG"/>
            </w:rPr>
            <w:fldChar w:fldCharType="separate"/>
          </w:r>
          <w:r>
            <w:rPr>
              <w:noProof/>
              <w:lang w:bidi="ar-EG"/>
            </w:rPr>
            <w:t xml:space="preserve"> (Pan, 2023)</w:t>
          </w:r>
          <w:r>
            <w:rPr>
              <w:rtl/>
              <w:lang w:bidi="ar-EG"/>
            </w:rPr>
            <w:fldChar w:fldCharType="end"/>
          </w:r>
        </w:sdtContent>
      </w:sdt>
      <w:r>
        <w:rPr>
          <w:rFonts w:hint="cs"/>
          <w:rtl/>
          <w:lang w:bidi="ar-EG"/>
        </w:rPr>
        <w:t xml:space="preserve"> </w:t>
      </w:r>
      <w:r w:rsidRPr="00033BD6">
        <w:rPr>
          <w:lang w:bidi="ar-EG"/>
        </w:rPr>
        <w:t>.</w:t>
      </w:r>
    </w:p>
    <w:p w14:paraId="505FDC7E" w14:textId="77777777" w:rsidR="00E92BDF" w:rsidRDefault="00E92BDF" w:rsidP="00E92BDF">
      <w:pPr>
        <w:pStyle w:val="Heading1"/>
        <w:spacing w:before="0" w:line="360" w:lineRule="auto"/>
        <w:rPr>
          <w:rFonts w:ascii="Simplified Arabic" w:hAnsi="Simplified Arabic" w:cs="Simplified Arabic"/>
          <w:b/>
          <w:bCs/>
          <w:color w:val="000000" w:themeColor="text1"/>
          <w:sz w:val="28"/>
          <w:szCs w:val="28"/>
          <w:rtl/>
        </w:rPr>
      </w:pPr>
      <w:bookmarkStart w:id="14" w:name="_Toc169370867"/>
      <w:bookmarkStart w:id="15" w:name="_Toc169565911"/>
      <w:bookmarkStart w:id="16" w:name="_Toc171440857"/>
      <w:bookmarkStart w:id="17" w:name="_Toc191138772"/>
      <w:r w:rsidRPr="00DE5E70">
        <w:rPr>
          <w:rFonts w:ascii="Simplified Arabic" w:hAnsi="Simplified Arabic" w:cs="Simplified Arabic"/>
          <w:b/>
          <w:bCs/>
          <w:color w:val="000000" w:themeColor="text1"/>
          <w:sz w:val="28"/>
          <w:szCs w:val="28"/>
          <w:rtl/>
        </w:rPr>
        <w:t>أهداف الدراسة:</w:t>
      </w:r>
      <w:bookmarkStart w:id="18" w:name="_Toc169370868"/>
      <w:bookmarkStart w:id="19" w:name="_Toc169565912"/>
      <w:bookmarkEnd w:id="14"/>
      <w:bookmarkEnd w:id="15"/>
      <w:bookmarkEnd w:id="16"/>
      <w:bookmarkEnd w:id="17"/>
    </w:p>
    <w:p w14:paraId="089ABCE5" w14:textId="77777777" w:rsidR="00E92BDF" w:rsidRPr="0072553C" w:rsidRDefault="00E92BDF" w:rsidP="00E92BDF">
      <w:pPr>
        <w:pStyle w:val="Style1"/>
      </w:pPr>
      <w:r w:rsidRPr="0072553C">
        <w:rPr>
          <w:rtl/>
        </w:rPr>
        <w:t>أولًا: الهدف الأساسي</w:t>
      </w:r>
    </w:p>
    <w:p w14:paraId="334D5EFB" w14:textId="77777777" w:rsidR="00E92BDF" w:rsidRPr="0072553C" w:rsidRDefault="00E92BDF" w:rsidP="00E92BDF">
      <w:pPr>
        <w:pStyle w:val="NoSpacing"/>
        <w:numPr>
          <w:ilvl w:val="0"/>
          <w:numId w:val="6"/>
        </w:numPr>
      </w:pPr>
      <w:r w:rsidRPr="0072553C">
        <w:rPr>
          <w:rtl/>
        </w:rPr>
        <w:t xml:space="preserve">تهدف هذه الدراسة إلى تحليل دور تقنيات الصحة الرقمية في تحسين كفاءة الرعاية الصحية داخل المستشفيات السعودية، من خلال استكشاف مدى فاعلية هذه التقنيات في تطوير جودة الخدمات الطبية، وتقليل التكاليف التشغيلية، وتحسين تجربة المرضى، مع التعرف على التحديات التي تعيق تحقيق الاستفادة القصوى منها داخل مختلف أنواع المستشفيات في </w:t>
      </w:r>
      <w:r w:rsidRPr="0072553C">
        <w:rPr>
          <w:rFonts w:hint="cs"/>
          <w:rtl/>
        </w:rPr>
        <w:t>المملكة</w:t>
      </w:r>
      <w:r>
        <w:t xml:space="preserve">. </w:t>
      </w:r>
      <w:sdt>
        <w:sdtPr>
          <w:rPr>
            <w:rtl/>
          </w:rPr>
          <w:id w:val="2035602927"/>
          <w:citation/>
        </w:sdtPr>
        <w:sdtContent>
          <w:r>
            <w:rPr>
              <w:rtl/>
            </w:rPr>
            <w:fldChar w:fldCharType="begin"/>
          </w:r>
          <w:r>
            <w:instrText xml:space="preserve"> CITATION AlW24 \l 1033 </w:instrText>
          </w:r>
          <w:r>
            <w:rPr>
              <w:rtl/>
            </w:rPr>
            <w:fldChar w:fldCharType="separate"/>
          </w:r>
          <w:r>
            <w:rPr>
              <w:noProof/>
            </w:rPr>
            <w:t>(AlWatban, 2024)</w:t>
          </w:r>
          <w:r>
            <w:rPr>
              <w:rtl/>
            </w:rPr>
            <w:fldChar w:fldCharType="end"/>
          </w:r>
        </w:sdtContent>
      </w:sdt>
    </w:p>
    <w:p w14:paraId="3A418918" w14:textId="77777777" w:rsidR="00E92BDF" w:rsidRPr="0072553C" w:rsidRDefault="00E92BDF" w:rsidP="00E92BDF">
      <w:pPr>
        <w:pStyle w:val="NoSpacing"/>
      </w:pPr>
    </w:p>
    <w:p w14:paraId="7F352340" w14:textId="77777777" w:rsidR="00E92BDF" w:rsidRPr="0072553C" w:rsidRDefault="00E92BDF" w:rsidP="00E92BDF">
      <w:pPr>
        <w:pStyle w:val="Style1"/>
      </w:pPr>
      <w:r w:rsidRPr="0072553C">
        <w:rPr>
          <w:rtl/>
        </w:rPr>
        <w:t>ثانيًا: الأهداف الفرعية</w:t>
      </w:r>
    </w:p>
    <w:p w14:paraId="34963DAB" w14:textId="77777777" w:rsidR="00E92BDF" w:rsidRPr="00CD7661" w:rsidRDefault="00E92BDF" w:rsidP="00E92BDF">
      <w:pPr>
        <w:pStyle w:val="NoSpacing"/>
        <w:numPr>
          <w:ilvl w:val="0"/>
          <w:numId w:val="5"/>
        </w:numPr>
      </w:pPr>
      <w:r w:rsidRPr="00CD7661">
        <w:rPr>
          <w:rtl/>
        </w:rPr>
        <w:lastRenderedPageBreak/>
        <w:t>تحديد أبرز تقنيات الصحة الرقمية المستخدمة حاليًا في المستشفيات السعودية، سواء في القطاعين الحكومي أو الخاص، ومعرفة طبيعة الخدمات التي تقدمها</w:t>
      </w:r>
      <w:r w:rsidRPr="00CD7661">
        <w:t>.</w:t>
      </w:r>
    </w:p>
    <w:p w14:paraId="02C8A6DC" w14:textId="77777777" w:rsidR="00E92BDF" w:rsidRPr="00CD7661" w:rsidRDefault="00E92BDF" w:rsidP="00E92BDF">
      <w:pPr>
        <w:pStyle w:val="NoSpacing"/>
        <w:numPr>
          <w:ilvl w:val="0"/>
          <w:numId w:val="5"/>
        </w:numPr>
      </w:pPr>
      <w:r w:rsidRPr="00CD7661">
        <w:rPr>
          <w:rtl/>
        </w:rPr>
        <w:t>تحليل تأثير هذه التقنيات على كفاءة الأداء الصحي من حيث سرعة تقديم الخدمة، دقة التشخيص، وتقليل الأخطاء الطبية وتحسين التنسيق بين أقسام المستشفى</w:t>
      </w:r>
      <w:r w:rsidRPr="00CD7661">
        <w:t>.</w:t>
      </w:r>
    </w:p>
    <w:p w14:paraId="66B60250" w14:textId="77777777" w:rsidR="00E92BDF" w:rsidRPr="00CD7661" w:rsidRDefault="00E92BDF" w:rsidP="00E92BDF">
      <w:pPr>
        <w:pStyle w:val="NoSpacing"/>
        <w:numPr>
          <w:ilvl w:val="0"/>
          <w:numId w:val="5"/>
        </w:numPr>
      </w:pPr>
      <w:r w:rsidRPr="00CD7661">
        <w:rPr>
          <w:rtl/>
        </w:rPr>
        <w:t>رصد التحديات التقنية والإدارية والبشرية التي تواجه المستشفيات السعودية في تطبيق تقنيات الصحة الرقمية بشكل فعّال</w:t>
      </w:r>
      <w:r w:rsidRPr="00CD7661">
        <w:t>.</w:t>
      </w:r>
    </w:p>
    <w:p w14:paraId="6F83A056" w14:textId="77777777" w:rsidR="00E92BDF" w:rsidRPr="00CD7661" w:rsidRDefault="00E92BDF" w:rsidP="00E92BDF">
      <w:pPr>
        <w:pStyle w:val="NoSpacing"/>
        <w:numPr>
          <w:ilvl w:val="0"/>
          <w:numId w:val="5"/>
        </w:numPr>
      </w:pPr>
      <w:r w:rsidRPr="00CD7661">
        <w:rPr>
          <w:rtl/>
        </w:rPr>
        <w:t>مقارنة مستوى تبني وتطبيق تقنيات الصحة الرقمية بين المستشفيات العامة والخاصة، وتحليل أوجه الاختلاف في الإمكانيات، والجاهزية، وأثر ذلك على الكفاءة العامة للخدمة الصحية</w:t>
      </w:r>
      <w:r w:rsidRPr="00CD7661">
        <w:t>.</w:t>
      </w:r>
    </w:p>
    <w:p w14:paraId="27AAFBF4" w14:textId="77777777" w:rsidR="00E92BDF" w:rsidRPr="00CD7661" w:rsidRDefault="00E92BDF" w:rsidP="00E92BDF">
      <w:pPr>
        <w:pStyle w:val="NoSpacing"/>
        <w:numPr>
          <w:ilvl w:val="0"/>
          <w:numId w:val="5"/>
        </w:numPr>
      </w:pPr>
      <w:r w:rsidRPr="00CD7661">
        <w:rPr>
          <w:rtl/>
        </w:rPr>
        <w:t>دراسة مدى تقبّل العاملين في القطاع الصحي والمرضى لاستخدام الأنظمة الرقمية، وتحديد العوامل التي تؤثر في مستوى التفاعل والرضا لديهم</w:t>
      </w:r>
      <w:r w:rsidRPr="00CD7661">
        <w:t>.</w:t>
      </w:r>
    </w:p>
    <w:p w14:paraId="65908B17" w14:textId="77777777" w:rsidR="00E92BDF" w:rsidRPr="00CD7661" w:rsidRDefault="00E92BDF" w:rsidP="00E92BDF">
      <w:pPr>
        <w:pStyle w:val="NoSpacing"/>
        <w:numPr>
          <w:ilvl w:val="0"/>
          <w:numId w:val="5"/>
        </w:numPr>
      </w:pPr>
      <w:r w:rsidRPr="00CD7661">
        <w:rPr>
          <w:rtl/>
        </w:rPr>
        <w:t>تقييم الأثر الاقتصادي لتطبيق تقنيات الصحة الرقمية في المستشفيات، من حيث خفض التكاليف التشغيلية، وزيادة الكفاءة في إدارة الموارد</w:t>
      </w:r>
      <w:r w:rsidRPr="00CD7661">
        <w:t>.</w:t>
      </w:r>
    </w:p>
    <w:p w14:paraId="7534EE2F" w14:textId="77777777" w:rsidR="00E92BDF" w:rsidRPr="0072553C" w:rsidRDefault="00E92BDF" w:rsidP="00E92BDF">
      <w:pPr>
        <w:pStyle w:val="NoSpacing"/>
        <w:rPr>
          <w:rtl/>
        </w:rPr>
      </w:pPr>
    </w:p>
    <w:p w14:paraId="0AA27272" w14:textId="77777777" w:rsidR="00E92BDF" w:rsidRPr="00F86C08" w:rsidRDefault="00E92BDF" w:rsidP="00E92BDF">
      <w:pPr>
        <w:pStyle w:val="NoSpacing"/>
        <w:rPr>
          <w:rtl/>
        </w:rPr>
      </w:pPr>
    </w:p>
    <w:p w14:paraId="150D2C26" w14:textId="77777777" w:rsidR="00E92BDF" w:rsidRDefault="00E92BDF" w:rsidP="00E92BDF">
      <w:pPr>
        <w:pStyle w:val="Heading2"/>
        <w:rPr>
          <w:rtl/>
        </w:rPr>
      </w:pPr>
      <w:bookmarkStart w:id="20" w:name="_Toc171440858"/>
      <w:bookmarkStart w:id="21" w:name="_Toc191138773"/>
      <w:r w:rsidRPr="00DE5E70">
        <w:rPr>
          <w:rtl/>
        </w:rPr>
        <w:t>تساؤلات الدراسة:</w:t>
      </w:r>
      <w:bookmarkEnd w:id="18"/>
      <w:bookmarkEnd w:id="19"/>
      <w:bookmarkEnd w:id="20"/>
      <w:bookmarkEnd w:id="21"/>
    </w:p>
    <w:p w14:paraId="35637224" w14:textId="77777777" w:rsidR="00E92BDF" w:rsidRPr="002D1B90" w:rsidRDefault="00E92BDF" w:rsidP="00E92BDF">
      <w:pPr>
        <w:pStyle w:val="NoSpacing"/>
        <w:numPr>
          <w:ilvl w:val="0"/>
          <w:numId w:val="7"/>
        </w:numPr>
        <w:rPr>
          <w:b/>
          <w:bCs/>
          <w:sz w:val="28"/>
          <w:szCs w:val="28"/>
          <w:lang w:bidi="ar-EG"/>
        </w:rPr>
      </w:pPr>
      <w:r w:rsidRPr="002D1B90">
        <w:rPr>
          <w:b/>
          <w:bCs/>
          <w:sz w:val="28"/>
          <w:szCs w:val="28"/>
          <w:rtl/>
        </w:rPr>
        <w:t>أولًا: السؤال الأساسي</w:t>
      </w:r>
    </w:p>
    <w:p w14:paraId="431E9BBB" w14:textId="77777777" w:rsidR="00E92BDF" w:rsidRPr="002D1B90" w:rsidRDefault="00E92BDF" w:rsidP="00E92BDF">
      <w:pPr>
        <w:pStyle w:val="NoSpacing"/>
        <w:numPr>
          <w:ilvl w:val="0"/>
          <w:numId w:val="8"/>
        </w:numPr>
        <w:rPr>
          <w:lang w:bidi="ar-EG"/>
        </w:rPr>
      </w:pPr>
      <w:r w:rsidRPr="002D1B90">
        <w:rPr>
          <w:rtl/>
        </w:rPr>
        <w:t>إلى أي مدى تسهم تقنيات الصحة الرقمية في تحسين كفاءة الرعاية الصحية في المستشفيات السعودية، وما أبرز العوامل التي تؤثر في فاعلية تطبيقها واستفادة المستشفيات منها؟</w:t>
      </w:r>
    </w:p>
    <w:p w14:paraId="084927CF" w14:textId="77777777" w:rsidR="00E92BDF" w:rsidRPr="002D1B90" w:rsidRDefault="00E92BDF" w:rsidP="00E92BDF">
      <w:pPr>
        <w:pStyle w:val="NoSpacing"/>
        <w:rPr>
          <w:lang w:bidi="ar-EG"/>
        </w:rPr>
      </w:pPr>
    </w:p>
    <w:p w14:paraId="7988DFA0" w14:textId="77777777" w:rsidR="00E92BDF" w:rsidRPr="002D1B90" w:rsidRDefault="00E92BDF" w:rsidP="00E92BDF">
      <w:pPr>
        <w:pStyle w:val="NoSpacing"/>
        <w:numPr>
          <w:ilvl w:val="0"/>
          <w:numId w:val="7"/>
        </w:numPr>
        <w:rPr>
          <w:b/>
          <w:bCs/>
          <w:sz w:val="28"/>
          <w:szCs w:val="28"/>
          <w:lang w:bidi="ar-EG"/>
        </w:rPr>
      </w:pPr>
      <w:r w:rsidRPr="002D1B90">
        <w:rPr>
          <w:b/>
          <w:bCs/>
          <w:sz w:val="28"/>
          <w:szCs w:val="28"/>
          <w:rtl/>
        </w:rPr>
        <w:t>ثانيًا: الأسئلة الفرعية</w:t>
      </w:r>
    </w:p>
    <w:p w14:paraId="12F7FC82" w14:textId="77777777" w:rsidR="00E92BDF" w:rsidRPr="002D1B90" w:rsidRDefault="00E92BDF" w:rsidP="00E92BDF">
      <w:pPr>
        <w:pStyle w:val="NoSpacing"/>
        <w:numPr>
          <w:ilvl w:val="0"/>
          <w:numId w:val="8"/>
        </w:numPr>
        <w:rPr>
          <w:lang w:bidi="ar-EG"/>
        </w:rPr>
      </w:pPr>
      <w:r w:rsidRPr="002D1B90">
        <w:rPr>
          <w:rtl/>
        </w:rPr>
        <w:t>ما أبرز تقنيات الصحة الرقمية المستخدمة حاليًا في المستشفيات السعودية، وما مجالات استخدامها الفعلي في تقديم الرعاية الصحية؟</w:t>
      </w:r>
    </w:p>
    <w:p w14:paraId="4E9EB29C" w14:textId="77777777" w:rsidR="00E92BDF" w:rsidRPr="002D1B90" w:rsidRDefault="00E92BDF" w:rsidP="00E92BDF">
      <w:pPr>
        <w:pStyle w:val="NoSpacing"/>
        <w:numPr>
          <w:ilvl w:val="0"/>
          <w:numId w:val="8"/>
        </w:numPr>
        <w:rPr>
          <w:lang w:bidi="ar-EG"/>
        </w:rPr>
      </w:pPr>
      <w:r w:rsidRPr="002D1B90">
        <w:rPr>
          <w:rtl/>
        </w:rPr>
        <w:lastRenderedPageBreak/>
        <w:t>كيف تؤثر هذه التقنيات على جودة وكفاءة الخدمات الصحية المقدمة، مثل سرعة التشخيص، تقليل الأخطاء الطبية، وتحسين تجربة المريض؟</w:t>
      </w:r>
    </w:p>
    <w:p w14:paraId="3936EB08" w14:textId="77777777" w:rsidR="00E92BDF" w:rsidRPr="002D1B90" w:rsidRDefault="00E92BDF" w:rsidP="00E92BDF">
      <w:pPr>
        <w:pStyle w:val="NoSpacing"/>
        <w:numPr>
          <w:ilvl w:val="0"/>
          <w:numId w:val="8"/>
        </w:numPr>
        <w:rPr>
          <w:lang w:bidi="ar-EG"/>
        </w:rPr>
      </w:pPr>
      <w:r w:rsidRPr="002D1B90">
        <w:rPr>
          <w:rtl/>
        </w:rPr>
        <w:t>ما التحديات التقنية أو الإدارية أو البشرية التي تواجه المستشفيات السعودية عند تطبيق تقنيات الصحة الرقمية؟</w:t>
      </w:r>
    </w:p>
    <w:p w14:paraId="0AE35C04" w14:textId="77777777" w:rsidR="00E92BDF" w:rsidRPr="002D1B90" w:rsidRDefault="00E92BDF" w:rsidP="00E92BDF">
      <w:pPr>
        <w:pStyle w:val="NoSpacing"/>
        <w:numPr>
          <w:ilvl w:val="0"/>
          <w:numId w:val="8"/>
        </w:numPr>
        <w:rPr>
          <w:lang w:bidi="ar-EG"/>
        </w:rPr>
      </w:pPr>
      <w:r w:rsidRPr="002D1B90">
        <w:rPr>
          <w:rtl/>
        </w:rPr>
        <w:t>ما أوجه الاختلاف في تطبيق تقنيات الصحة الرقمية بين المستشفيات الحكومية والخاصة في المملكة، وما مدى تأثير ذلك على مستوى الكفاءة؟</w:t>
      </w:r>
    </w:p>
    <w:p w14:paraId="4F4DAB37" w14:textId="77777777" w:rsidR="00E92BDF" w:rsidRPr="002D1B90" w:rsidRDefault="00E92BDF" w:rsidP="00E92BDF">
      <w:pPr>
        <w:pStyle w:val="NoSpacing"/>
        <w:numPr>
          <w:ilvl w:val="0"/>
          <w:numId w:val="8"/>
        </w:numPr>
        <w:rPr>
          <w:lang w:bidi="ar-EG"/>
        </w:rPr>
      </w:pPr>
      <w:r w:rsidRPr="002D1B90">
        <w:rPr>
          <w:rtl/>
        </w:rPr>
        <w:t>إلى أي مدى يتقبل العاملون في القطاع الصحي والمرضى في السعودية استخدام تقنيات الصحة الرقمية، وما العوامل المؤثرة في هذا التقبل؟</w:t>
      </w:r>
    </w:p>
    <w:p w14:paraId="71AE4BCC" w14:textId="77777777" w:rsidR="00E92BDF" w:rsidRPr="002D1B90" w:rsidRDefault="00E92BDF" w:rsidP="00E92BDF">
      <w:pPr>
        <w:pStyle w:val="NoSpacing"/>
        <w:numPr>
          <w:ilvl w:val="0"/>
          <w:numId w:val="8"/>
        </w:numPr>
        <w:rPr>
          <w:lang w:bidi="ar-EG"/>
        </w:rPr>
      </w:pPr>
      <w:r w:rsidRPr="002D1B90">
        <w:rPr>
          <w:rtl/>
        </w:rPr>
        <w:t>هل أدت تقنيات الصحة الرقمية إلى خفض التكاليف التشغيلية وزيادة كفاءة إدارة الموارد داخل المستشفيات السعودية؟</w:t>
      </w:r>
    </w:p>
    <w:p w14:paraId="469EC3C0" w14:textId="77777777" w:rsidR="00E92BDF" w:rsidRPr="002D1B90" w:rsidRDefault="00E92BDF" w:rsidP="00E92BDF">
      <w:pPr>
        <w:pStyle w:val="NoSpacing"/>
        <w:rPr>
          <w:rtl/>
          <w:lang w:bidi="ar-EG"/>
        </w:rPr>
      </w:pPr>
    </w:p>
    <w:p w14:paraId="53C8734B" w14:textId="77777777" w:rsidR="00E92BDF" w:rsidRDefault="00E92BDF" w:rsidP="00E92BDF">
      <w:pPr>
        <w:pStyle w:val="Heading1"/>
        <w:spacing w:before="0" w:line="360" w:lineRule="auto"/>
        <w:rPr>
          <w:rFonts w:ascii="Simplified Arabic" w:hAnsi="Simplified Arabic" w:cs="Simplified Arabic"/>
          <w:b/>
          <w:bCs/>
          <w:color w:val="000000" w:themeColor="text1"/>
          <w:sz w:val="28"/>
          <w:szCs w:val="28"/>
          <w:rtl/>
        </w:rPr>
      </w:pPr>
      <w:bookmarkStart w:id="22" w:name="_Toc169370869"/>
      <w:bookmarkStart w:id="23" w:name="_Toc169565913"/>
      <w:bookmarkStart w:id="24" w:name="_Toc171440859"/>
      <w:bookmarkStart w:id="25" w:name="_Toc191138774"/>
      <w:r w:rsidRPr="00DE5E70">
        <w:rPr>
          <w:rFonts w:ascii="Simplified Arabic" w:hAnsi="Simplified Arabic" w:cs="Simplified Arabic"/>
          <w:b/>
          <w:bCs/>
          <w:color w:val="000000" w:themeColor="text1"/>
          <w:sz w:val="28"/>
          <w:szCs w:val="28"/>
          <w:rtl/>
        </w:rPr>
        <w:t>فروض الدراسة:</w:t>
      </w:r>
      <w:bookmarkEnd w:id="22"/>
      <w:bookmarkEnd w:id="23"/>
      <w:bookmarkEnd w:id="24"/>
      <w:bookmarkEnd w:id="25"/>
    </w:p>
    <w:p w14:paraId="4BFBD638" w14:textId="77777777" w:rsidR="00E92BDF" w:rsidRPr="00875383" w:rsidRDefault="00E92BDF" w:rsidP="00E92BDF">
      <w:pPr>
        <w:pStyle w:val="Style1"/>
      </w:pPr>
      <w:r w:rsidRPr="00875383">
        <w:rPr>
          <w:rtl/>
        </w:rPr>
        <w:t>الفرضية الأساسية</w:t>
      </w:r>
      <w:r w:rsidRPr="00875383">
        <w:t>:</w:t>
      </w:r>
    </w:p>
    <w:p w14:paraId="1755F13F" w14:textId="77777777" w:rsidR="00E92BDF" w:rsidRPr="00875383" w:rsidRDefault="00E92BDF" w:rsidP="00E92BDF">
      <w:pPr>
        <w:pStyle w:val="NoSpacing"/>
        <w:numPr>
          <w:ilvl w:val="0"/>
          <w:numId w:val="9"/>
        </w:numPr>
      </w:pPr>
      <w:r w:rsidRPr="00875383">
        <w:rPr>
          <w:rtl/>
        </w:rPr>
        <w:t>تسهم تقنيات الصحة الرقمية بشكل دال إحصائيًا في تحسين كفاءة الرعاية الصحية داخل المستشفيات السعودية</w:t>
      </w:r>
      <w:r w:rsidRPr="00875383">
        <w:t>.</w:t>
      </w:r>
    </w:p>
    <w:p w14:paraId="5714BBA0" w14:textId="77777777" w:rsidR="00E92BDF" w:rsidRPr="00875383" w:rsidRDefault="00E92BDF" w:rsidP="00E92BDF">
      <w:pPr>
        <w:pStyle w:val="Style1"/>
      </w:pPr>
      <w:r w:rsidRPr="00875383">
        <w:t xml:space="preserve"> </w:t>
      </w:r>
      <w:r w:rsidRPr="00875383">
        <w:rPr>
          <w:rtl/>
        </w:rPr>
        <w:t>الفرضيات الفرعية</w:t>
      </w:r>
      <w:r w:rsidRPr="00875383">
        <w:t>:</w:t>
      </w:r>
    </w:p>
    <w:p w14:paraId="516EDCBD" w14:textId="77777777" w:rsidR="00E92BDF" w:rsidRPr="00875383" w:rsidRDefault="00E92BDF" w:rsidP="00E92BDF">
      <w:pPr>
        <w:pStyle w:val="NoSpacing"/>
        <w:numPr>
          <w:ilvl w:val="0"/>
          <w:numId w:val="10"/>
        </w:numPr>
      </w:pPr>
      <w:r w:rsidRPr="00875383">
        <w:rPr>
          <w:rtl/>
        </w:rPr>
        <w:t>تستخدم المستشفيات السعودية مجموعة من تقنيات الصحة الرقمية في مجالات مختلفة من تقديم الخدمات الصحية</w:t>
      </w:r>
      <w:r w:rsidRPr="00875383">
        <w:t>.</w:t>
      </w:r>
    </w:p>
    <w:p w14:paraId="251722EB" w14:textId="77777777" w:rsidR="00E92BDF" w:rsidRPr="00875383" w:rsidRDefault="00E92BDF" w:rsidP="00E92BDF">
      <w:pPr>
        <w:pStyle w:val="NoSpacing"/>
        <w:numPr>
          <w:ilvl w:val="0"/>
          <w:numId w:val="10"/>
        </w:numPr>
      </w:pPr>
      <w:r w:rsidRPr="00875383">
        <w:rPr>
          <w:rtl/>
        </w:rPr>
        <w:t>تؤدي تقنيات الصحة الرقمية إلى تحسين جودة الأداء الطبي من خلال تسريع الخدمة، رفع دقة التشخيص، وتقليل الأخطاء الطبية</w:t>
      </w:r>
      <w:r w:rsidRPr="00875383">
        <w:t>.</w:t>
      </w:r>
    </w:p>
    <w:p w14:paraId="03A34633" w14:textId="77777777" w:rsidR="00E92BDF" w:rsidRPr="00875383" w:rsidRDefault="00E92BDF" w:rsidP="00E92BDF">
      <w:pPr>
        <w:pStyle w:val="NoSpacing"/>
        <w:numPr>
          <w:ilvl w:val="0"/>
          <w:numId w:val="10"/>
        </w:numPr>
      </w:pPr>
      <w:r w:rsidRPr="00875383">
        <w:rPr>
          <w:rtl/>
        </w:rPr>
        <w:t>توجد تحديات تقنية وإدارية وبشرية تحد من التطبيق الفعّال لتقنيات الصحة الرقمية في المستشفيات السعودية</w:t>
      </w:r>
      <w:r w:rsidRPr="00875383">
        <w:t>.</w:t>
      </w:r>
    </w:p>
    <w:p w14:paraId="29C8C82D" w14:textId="77777777" w:rsidR="00E92BDF" w:rsidRPr="00875383" w:rsidRDefault="00E92BDF" w:rsidP="00E92BDF">
      <w:pPr>
        <w:pStyle w:val="NoSpacing"/>
        <w:numPr>
          <w:ilvl w:val="0"/>
          <w:numId w:val="10"/>
        </w:numPr>
      </w:pPr>
      <w:r w:rsidRPr="00875383">
        <w:rPr>
          <w:rtl/>
        </w:rPr>
        <w:t>يوجد تفاوت بين المستشفيات الحكومية والخاصة في مستوى تبني وتفعيل تقنيات الصحة الرقمية، يؤثر على كفاءة تقديم الخدمة</w:t>
      </w:r>
      <w:r w:rsidRPr="00875383">
        <w:t>.</w:t>
      </w:r>
    </w:p>
    <w:p w14:paraId="16B4424A" w14:textId="77777777" w:rsidR="00E92BDF" w:rsidRPr="00875383" w:rsidRDefault="00E92BDF" w:rsidP="00E92BDF">
      <w:pPr>
        <w:pStyle w:val="NoSpacing"/>
        <w:numPr>
          <w:ilvl w:val="0"/>
          <w:numId w:val="10"/>
        </w:numPr>
      </w:pPr>
      <w:r w:rsidRPr="00875383">
        <w:rPr>
          <w:rtl/>
        </w:rPr>
        <w:t>يُظهر العاملون في القطاع الصحي والمرضى مستوى إيجابيًا من التقبّل لاستخدام تقنيات الصحة الرقمية</w:t>
      </w:r>
      <w:r w:rsidRPr="00875383">
        <w:t>.</w:t>
      </w:r>
    </w:p>
    <w:p w14:paraId="1C5FBF7E" w14:textId="77777777" w:rsidR="00E92BDF" w:rsidRPr="00875383" w:rsidRDefault="00E92BDF" w:rsidP="00E92BDF">
      <w:pPr>
        <w:pStyle w:val="NoSpacing"/>
        <w:numPr>
          <w:ilvl w:val="0"/>
          <w:numId w:val="10"/>
        </w:numPr>
      </w:pPr>
      <w:r w:rsidRPr="00875383">
        <w:rPr>
          <w:rtl/>
        </w:rPr>
        <w:lastRenderedPageBreak/>
        <w:t>تُسهم تقنيات الصحة الرقمية في تقليل التكاليف التشغيلية وتحسين إدارة الموارد داخل المستشفيات السعودية</w:t>
      </w:r>
      <w:r w:rsidRPr="00875383">
        <w:t>.</w:t>
      </w:r>
    </w:p>
    <w:p w14:paraId="2041F781" w14:textId="77777777" w:rsidR="00E92BDF" w:rsidRPr="00875383" w:rsidRDefault="00E92BDF" w:rsidP="00E92BDF">
      <w:pPr>
        <w:pStyle w:val="NoSpacing"/>
        <w:rPr>
          <w:rtl/>
        </w:rPr>
      </w:pPr>
    </w:p>
    <w:p w14:paraId="1DC0C238" w14:textId="77777777" w:rsidR="00E92BDF" w:rsidRPr="00DC28DB" w:rsidRDefault="00E92BDF" w:rsidP="00E92BDF">
      <w:pPr>
        <w:pStyle w:val="Heading2"/>
        <w:rPr>
          <w:rtl/>
        </w:rPr>
      </w:pPr>
      <w:bookmarkStart w:id="26" w:name="_Toc191138775"/>
      <w:r w:rsidRPr="008A269C">
        <w:rPr>
          <w:rtl/>
        </w:rPr>
        <w:t>النظرية العلمية المتبعة لإعداد البحث</w:t>
      </w:r>
      <w:bookmarkEnd w:id="26"/>
      <w:r w:rsidRPr="00DC28DB">
        <w:rPr>
          <w:rtl/>
        </w:rPr>
        <w:t>.</w:t>
      </w:r>
    </w:p>
    <w:p w14:paraId="06E79439" w14:textId="77777777" w:rsidR="00E92BDF" w:rsidRPr="001A7F47" w:rsidRDefault="00E92BDF" w:rsidP="00E92BDF">
      <w:pPr>
        <w:pStyle w:val="NoSpacing"/>
        <w:rPr>
          <w:lang w:bidi="ar-EG"/>
        </w:rPr>
      </w:pPr>
      <w:r w:rsidRPr="001A7F47">
        <w:rPr>
          <w:rtl/>
        </w:rPr>
        <w:t>يعتمد هذا البحث في إطاره النظري على نظرية انتشار الابتكار</w:t>
      </w:r>
      <w:r w:rsidRPr="001A7F47">
        <w:rPr>
          <w:lang w:bidi="ar-EG"/>
        </w:rPr>
        <w:t xml:space="preserve"> (Diffusion of Innovation Theory) </w:t>
      </w:r>
      <w:r w:rsidRPr="001A7F47">
        <w:rPr>
          <w:rtl/>
        </w:rPr>
        <w:t>التي وضعها العالم الأمريكي إيفريت روجرز عام 1962، والتي تُعد من أبرز النظريات العلمية التي تفسر الآلية التي يتم من خلالها تبني الأفكار أو التقنيات الجديدة وانتشارها بين الأفراد والمؤسسات داخل نظام اجتماعي معين. تنطلق هذه النظرية من فرضية أساسية مفادها أن تبني أي ابتكار ليس حدثًا فجائيًا وفوريًا، بل هو عملية اجتماعية تدريجية تمر عبر مراحل زمنية محددة. وتتأثر هذه العملية بمجموعة من العوامل المتداخلة، مثل درجة وعي المستخدمين بالتقنية الجديدة، وإدراكهم للفوائد المترتبة عليها، وسهولة استخدامها، بالإضافة إلى مدى توافقها مع القيم الثقافية والمؤسسية السائدة وطبيعة النظام التنظيمي الذي يحتضنها</w:t>
      </w:r>
      <w:r w:rsidRPr="001A7F47">
        <w:t xml:space="preserve">  . </w:t>
      </w:r>
      <w:sdt>
        <w:sdtPr>
          <w:rPr>
            <w:rtl/>
          </w:rPr>
          <w:id w:val="1844737138"/>
          <w:citation/>
        </w:sdtPr>
        <w:sdtContent>
          <w:r w:rsidRPr="001A7F47">
            <w:rPr>
              <w:rtl/>
            </w:rPr>
            <w:fldChar w:fldCharType="begin"/>
          </w:r>
          <w:r w:rsidRPr="001A7F47">
            <w:instrText xml:space="preserve"> CITATION Mil151 \l 1033 </w:instrText>
          </w:r>
          <w:r w:rsidRPr="001A7F47">
            <w:rPr>
              <w:rtl/>
            </w:rPr>
            <w:fldChar w:fldCharType="separate"/>
          </w:r>
          <w:r>
            <w:rPr>
              <w:noProof/>
            </w:rPr>
            <w:t>(Miller, 2015)</w:t>
          </w:r>
          <w:r w:rsidRPr="001A7F47">
            <w:rPr>
              <w:rtl/>
            </w:rPr>
            <w:fldChar w:fldCharType="end"/>
          </w:r>
        </w:sdtContent>
      </w:sdt>
    </w:p>
    <w:p w14:paraId="7D2DF2D2" w14:textId="77777777" w:rsidR="00E92BDF" w:rsidRPr="00B43033" w:rsidRDefault="00E92BDF" w:rsidP="00E92BDF">
      <w:pPr>
        <w:pStyle w:val="NoSpacing"/>
        <w:rPr>
          <w:lang w:bidi="ar-EG"/>
        </w:rPr>
      </w:pPr>
      <w:r w:rsidRPr="00B43033">
        <w:rPr>
          <w:rtl/>
        </w:rPr>
        <w:t>وفي سياق هذا البحث، تقدم نظرية روجرز عدسة تحليلية قوية لفهم الآلية التي تتبنى بها المستشفيات السعودية تقنيات الصحة الرقمية، وتفسير التفاوت في سرعة وكفاءة هذا التبني. فالنظرية تساعد في تحليل العوامل التي تسهل أو تعيق هذه العملية داخل البيئة الصحية، مثل قابلية الكوادر الطبية لتعلم الأنظمة الجديدة وتكييف ممارساتهم معها، وطبيعة البيئة التنظيمية في المستشفى وما إذا كانت تشجع على التجربة والابتكار أم تقاوم التغيير، وحجم الدعم المؤسسي والمالي المقدم لتوفير البنية التحتية والتدريب اللازمين، بالإضافة إلى عامل حاسم يتمثل في مدى رضا المرضى وتقبلهم لاستخدام هذه التقنيات كجزء من رحلتهم العلاجية</w:t>
      </w:r>
      <w:sdt>
        <w:sdtPr>
          <w:rPr>
            <w:rFonts w:hint="cs"/>
            <w:rtl/>
          </w:rPr>
          <w:id w:val="1240144743"/>
          <w:citation/>
        </w:sdtPr>
        <w:sdtContent>
          <w:r>
            <w:rPr>
              <w:rtl/>
            </w:rPr>
            <w:fldChar w:fldCharType="begin"/>
          </w:r>
          <w:r>
            <w:instrText xml:space="preserve"> CITATION AlR19 \l 1033 </w:instrText>
          </w:r>
          <w:r>
            <w:rPr>
              <w:rtl/>
            </w:rPr>
            <w:fldChar w:fldCharType="separate"/>
          </w:r>
          <w:r>
            <w:rPr>
              <w:noProof/>
            </w:rPr>
            <w:t xml:space="preserve"> (Al-Rayes, 2019)</w:t>
          </w:r>
          <w:r>
            <w:rPr>
              <w:rtl/>
            </w:rPr>
            <w:fldChar w:fldCharType="end"/>
          </w:r>
        </w:sdtContent>
      </w:sdt>
      <w:r>
        <w:rPr>
          <w:rFonts w:hint="cs"/>
          <w:rtl/>
        </w:rPr>
        <w:t xml:space="preserve"> </w:t>
      </w:r>
      <w:r w:rsidRPr="00B43033">
        <w:rPr>
          <w:lang w:bidi="ar-EG"/>
        </w:rPr>
        <w:t>.</w:t>
      </w:r>
    </w:p>
    <w:p w14:paraId="66C95141" w14:textId="77777777" w:rsidR="00E92BDF" w:rsidRPr="00B43033" w:rsidRDefault="00E92BDF" w:rsidP="00E92BDF">
      <w:pPr>
        <w:pStyle w:val="NoSpacing"/>
        <w:rPr>
          <w:rFonts w:hint="cs"/>
          <w:rtl/>
          <w:lang w:bidi="ar-EG"/>
        </w:rPr>
      </w:pPr>
      <w:r w:rsidRPr="00B43033">
        <w:rPr>
          <w:rtl/>
        </w:rPr>
        <w:t>وبذلك، تساعد نظرية "انتشار الابتكار" في توضيح العلاقة المعقدة بين متغيرات البحث؛ ففي حين يمثل تطبيق تقنيات الصحة الرقمية (المتغير المستقل)، فإن الهدف هو قياس أثره على كفاءة الرعاية الصحية (المتغير التابع). إلا أن هذا الأثر ليس مباشرًا، بل يتأثر، وفقًا للنظرية، بمجموعة من المتغيرات الوسيطة التي تشمل درجة تقبّل المستخدمين من أطباء ومرضى، وجودة البنية التحتية التقنية، ومستوى التدريب المقدم، وحجم الدعم الإداري</w:t>
      </w:r>
      <w:r w:rsidRPr="00B43033">
        <w:rPr>
          <w:lang w:bidi="ar-EG"/>
        </w:rPr>
        <w:t xml:space="preserve">. </w:t>
      </w:r>
      <w:r w:rsidRPr="00B43033">
        <w:rPr>
          <w:rtl/>
        </w:rPr>
        <w:t xml:space="preserve">وبذلك، توفر النظرية الأساس النظري لتفسير التفاوت الملحوظ بين المستشفيات في درجة استفادتها من التقنيات، وتمنح الباحث إطارًا منهجيًا لتحليل المعوقات التي قد تعرقل تحقيق الأثر المأمول، مما يجعلها خيارًا مثاليًا لهذا النوع من البحوث التطبيقية في قطاع الرعاية </w:t>
      </w:r>
      <w:r w:rsidRPr="00B43033">
        <w:rPr>
          <w:rFonts w:hint="cs"/>
          <w:rtl/>
        </w:rPr>
        <w:t>الصحية</w:t>
      </w:r>
      <w:r>
        <w:rPr>
          <w:lang w:bidi="ar-EG"/>
        </w:rPr>
        <w:t xml:space="preserve">. </w:t>
      </w:r>
      <w:sdt>
        <w:sdtPr>
          <w:rPr>
            <w:rtl/>
            <w:lang w:bidi="ar-EG"/>
          </w:rPr>
          <w:id w:val="478506509"/>
          <w:citation/>
        </w:sdtPr>
        <w:sdtContent>
          <w:r>
            <w:rPr>
              <w:rtl/>
              <w:lang w:bidi="ar-EG"/>
            </w:rPr>
            <w:fldChar w:fldCharType="begin"/>
          </w:r>
          <w:r>
            <w:rPr>
              <w:lang w:bidi="ar-EG"/>
            </w:rPr>
            <w:instrText xml:space="preserve"> CITATION Hua25 \l 1033 </w:instrText>
          </w:r>
          <w:r>
            <w:rPr>
              <w:rtl/>
              <w:lang w:bidi="ar-EG"/>
            </w:rPr>
            <w:fldChar w:fldCharType="separate"/>
          </w:r>
          <w:r>
            <w:rPr>
              <w:noProof/>
              <w:lang w:bidi="ar-EG"/>
            </w:rPr>
            <w:t>(Huang, 2025)</w:t>
          </w:r>
          <w:r>
            <w:rPr>
              <w:rtl/>
              <w:lang w:bidi="ar-EG"/>
            </w:rPr>
            <w:fldChar w:fldCharType="end"/>
          </w:r>
        </w:sdtContent>
      </w:sdt>
    </w:p>
    <w:p w14:paraId="543F2B44" w14:textId="77777777" w:rsidR="00E92BDF" w:rsidRPr="00B43033" w:rsidRDefault="00E92BDF" w:rsidP="00E92BDF">
      <w:pPr>
        <w:pStyle w:val="NoSpacing"/>
        <w:rPr>
          <w:rtl/>
          <w:lang w:bidi="ar-EG"/>
        </w:rPr>
      </w:pPr>
    </w:p>
    <w:p w14:paraId="166BA4D3" w14:textId="77777777" w:rsidR="00E92BDF" w:rsidRDefault="00E92BDF" w:rsidP="00E92BDF">
      <w:pPr>
        <w:spacing w:after="0" w:line="360" w:lineRule="auto"/>
        <w:rPr>
          <w:rFonts w:ascii="Simplified Arabic" w:hAnsi="Simplified Arabic" w:cs="Simplified Arabic"/>
          <w:b/>
          <w:bCs/>
          <w:sz w:val="28"/>
          <w:szCs w:val="28"/>
          <w:rtl/>
        </w:rPr>
      </w:pPr>
    </w:p>
    <w:p w14:paraId="3A9EF351" w14:textId="77777777" w:rsidR="00E92BDF" w:rsidRDefault="00E92BDF" w:rsidP="00E92BDF">
      <w:pPr>
        <w:spacing w:after="0" w:line="360" w:lineRule="auto"/>
        <w:rPr>
          <w:rFonts w:ascii="Simplified Arabic" w:hAnsi="Simplified Arabic" w:cs="Simplified Arabic"/>
          <w:b/>
          <w:bCs/>
          <w:sz w:val="28"/>
          <w:szCs w:val="28"/>
          <w:rtl/>
        </w:rPr>
      </w:pPr>
    </w:p>
    <w:p w14:paraId="7EE93AE5" w14:textId="77777777" w:rsidR="00E92BDF" w:rsidRDefault="00E92BDF" w:rsidP="00E92BDF">
      <w:pPr>
        <w:spacing w:after="0" w:line="360" w:lineRule="auto"/>
        <w:rPr>
          <w:rFonts w:ascii="Simplified Arabic" w:hAnsi="Simplified Arabic" w:cs="Simplified Arabic"/>
          <w:b/>
          <w:bCs/>
          <w:sz w:val="28"/>
          <w:szCs w:val="28"/>
          <w:rtl/>
        </w:rPr>
      </w:pPr>
    </w:p>
    <w:p w14:paraId="5485668A" w14:textId="77777777" w:rsidR="00E92BDF" w:rsidRDefault="00E92BDF" w:rsidP="00E92BDF">
      <w:pPr>
        <w:spacing w:after="0" w:line="360" w:lineRule="auto"/>
        <w:rPr>
          <w:rFonts w:ascii="Simplified Arabic" w:hAnsi="Simplified Arabic" w:cs="Simplified Arabic"/>
          <w:b/>
          <w:bCs/>
          <w:sz w:val="28"/>
          <w:szCs w:val="28"/>
          <w:rtl/>
        </w:rPr>
      </w:pPr>
    </w:p>
    <w:p w14:paraId="1CBBA602" w14:textId="77777777" w:rsidR="00E92BDF" w:rsidRDefault="00E92BDF" w:rsidP="00E92BDF">
      <w:pPr>
        <w:spacing w:after="0" w:line="360" w:lineRule="auto"/>
        <w:rPr>
          <w:rFonts w:ascii="Simplified Arabic" w:hAnsi="Simplified Arabic" w:cs="Simplified Arabic"/>
          <w:b/>
          <w:bCs/>
          <w:sz w:val="28"/>
          <w:szCs w:val="28"/>
          <w:rtl/>
        </w:rPr>
      </w:pPr>
    </w:p>
    <w:p w14:paraId="65DC6773" w14:textId="77777777" w:rsidR="00E92BDF" w:rsidRDefault="00E92BDF" w:rsidP="00E92BDF">
      <w:pPr>
        <w:spacing w:after="0" w:line="360" w:lineRule="auto"/>
        <w:rPr>
          <w:rFonts w:ascii="Simplified Arabic" w:hAnsi="Simplified Arabic" w:cs="Simplified Arabic"/>
          <w:b/>
          <w:bCs/>
          <w:sz w:val="28"/>
          <w:szCs w:val="28"/>
          <w:rtl/>
        </w:rPr>
      </w:pPr>
    </w:p>
    <w:p w14:paraId="5379A6FB" w14:textId="77777777" w:rsidR="00E92BDF" w:rsidRDefault="00E92BDF" w:rsidP="00E92BDF">
      <w:pPr>
        <w:spacing w:after="0" w:line="360" w:lineRule="auto"/>
        <w:rPr>
          <w:rFonts w:ascii="Simplified Arabic" w:hAnsi="Simplified Arabic" w:cs="Simplified Arabic"/>
          <w:b/>
          <w:bCs/>
          <w:sz w:val="28"/>
          <w:szCs w:val="28"/>
          <w:rtl/>
        </w:rPr>
      </w:pPr>
    </w:p>
    <w:p w14:paraId="7D07BCDA" w14:textId="77777777" w:rsidR="00E92BDF" w:rsidRDefault="00E92BDF" w:rsidP="00E92BDF">
      <w:pPr>
        <w:spacing w:after="0" w:line="360" w:lineRule="auto"/>
        <w:rPr>
          <w:rFonts w:ascii="Simplified Arabic" w:hAnsi="Simplified Arabic" w:cs="Simplified Arabic"/>
          <w:b/>
          <w:bCs/>
          <w:sz w:val="28"/>
          <w:szCs w:val="28"/>
          <w:rtl/>
        </w:rPr>
      </w:pPr>
    </w:p>
    <w:p w14:paraId="2CE4F6F3" w14:textId="77777777" w:rsidR="00E92BDF" w:rsidRDefault="00E92BDF" w:rsidP="00E92BDF">
      <w:pPr>
        <w:spacing w:after="0" w:line="360" w:lineRule="auto"/>
        <w:rPr>
          <w:rFonts w:ascii="Simplified Arabic" w:hAnsi="Simplified Arabic" w:cs="Simplified Arabic"/>
          <w:b/>
          <w:bCs/>
          <w:sz w:val="28"/>
          <w:szCs w:val="28"/>
          <w:rtl/>
        </w:rPr>
      </w:pPr>
    </w:p>
    <w:p w14:paraId="66E29693" w14:textId="77777777" w:rsidR="00E92BDF" w:rsidRDefault="00E92BDF" w:rsidP="00E92BDF">
      <w:pPr>
        <w:spacing w:after="0" w:line="360" w:lineRule="auto"/>
        <w:rPr>
          <w:rFonts w:ascii="Simplified Arabic" w:hAnsi="Simplified Arabic" w:cs="Simplified Arabic"/>
          <w:b/>
          <w:bCs/>
          <w:sz w:val="28"/>
          <w:szCs w:val="28"/>
          <w:rtl/>
        </w:rPr>
      </w:pPr>
    </w:p>
    <w:p w14:paraId="1DB77E7D" w14:textId="77777777" w:rsidR="00E92BDF" w:rsidRDefault="00E92BDF" w:rsidP="00E92BDF">
      <w:pPr>
        <w:spacing w:after="0" w:line="360" w:lineRule="auto"/>
        <w:rPr>
          <w:rFonts w:ascii="Simplified Arabic" w:hAnsi="Simplified Arabic" w:cs="Simplified Arabic"/>
          <w:b/>
          <w:bCs/>
          <w:sz w:val="28"/>
          <w:szCs w:val="28"/>
          <w:rtl/>
        </w:rPr>
      </w:pPr>
    </w:p>
    <w:p w14:paraId="237C4945" w14:textId="77777777" w:rsidR="00E92BDF" w:rsidRDefault="00E92BDF" w:rsidP="00E92BDF">
      <w:pPr>
        <w:spacing w:after="0" w:line="360" w:lineRule="auto"/>
        <w:rPr>
          <w:rFonts w:ascii="Simplified Arabic" w:hAnsi="Simplified Arabic" w:cs="Simplified Arabic"/>
          <w:b/>
          <w:bCs/>
          <w:sz w:val="28"/>
          <w:szCs w:val="28"/>
          <w:rtl/>
        </w:rPr>
      </w:pPr>
    </w:p>
    <w:p w14:paraId="721396F5" w14:textId="77777777" w:rsidR="00E92BDF" w:rsidRDefault="00E92BDF" w:rsidP="00E92BDF">
      <w:pPr>
        <w:spacing w:after="0" w:line="360" w:lineRule="auto"/>
        <w:rPr>
          <w:rFonts w:ascii="Simplified Arabic" w:hAnsi="Simplified Arabic" w:cs="Simplified Arabic"/>
          <w:b/>
          <w:bCs/>
          <w:sz w:val="28"/>
          <w:szCs w:val="28"/>
          <w:rtl/>
        </w:rPr>
      </w:pPr>
    </w:p>
    <w:p w14:paraId="74932C5D" w14:textId="77777777" w:rsidR="00E92BDF" w:rsidRPr="009F738B" w:rsidRDefault="00E92BDF" w:rsidP="00E92BDF">
      <w:pPr>
        <w:pStyle w:val="Heading1"/>
        <w:jc w:val="center"/>
        <w:rPr>
          <w:rFonts w:ascii="Simplified Arabic" w:hAnsi="Simplified Arabic" w:cs="Simplified Arabic"/>
          <w:b/>
          <w:bCs/>
          <w:color w:val="000000" w:themeColor="text1"/>
          <w:rtl/>
        </w:rPr>
      </w:pPr>
      <w:bookmarkStart w:id="27" w:name="_Toc172397783"/>
      <w:bookmarkStart w:id="28" w:name="_Toc172746096"/>
      <w:bookmarkStart w:id="29" w:name="_Toc191138776"/>
      <w:r w:rsidRPr="009F738B">
        <w:rPr>
          <w:rFonts w:ascii="Simplified Arabic" w:hAnsi="Simplified Arabic" w:cs="Simplified Arabic"/>
          <w:b/>
          <w:bCs/>
          <w:color w:val="000000" w:themeColor="text1"/>
          <w:rtl/>
        </w:rPr>
        <w:t>الفصل الثاني</w:t>
      </w:r>
      <w:bookmarkEnd w:id="27"/>
      <w:bookmarkEnd w:id="28"/>
      <w:bookmarkEnd w:id="29"/>
    </w:p>
    <w:p w14:paraId="4D19D343" w14:textId="77777777" w:rsidR="00E92BDF" w:rsidRPr="009F738B" w:rsidRDefault="00E92BDF" w:rsidP="00E92BDF">
      <w:pPr>
        <w:pStyle w:val="Heading1"/>
        <w:jc w:val="center"/>
        <w:rPr>
          <w:rFonts w:ascii="Simplified Arabic" w:hAnsi="Simplified Arabic" w:cs="Simplified Arabic"/>
          <w:b/>
          <w:bCs/>
          <w:color w:val="000000" w:themeColor="text1"/>
          <w:rtl/>
        </w:rPr>
      </w:pPr>
      <w:bookmarkStart w:id="30" w:name="_Toc172397784"/>
      <w:bookmarkStart w:id="31" w:name="_Toc172746097"/>
      <w:bookmarkStart w:id="32" w:name="_Toc191138777"/>
      <w:r w:rsidRPr="009F738B">
        <w:rPr>
          <w:rFonts w:ascii="Simplified Arabic" w:hAnsi="Simplified Arabic" w:cs="Simplified Arabic"/>
          <w:b/>
          <w:bCs/>
          <w:color w:val="000000" w:themeColor="text1"/>
          <w:rtl/>
        </w:rPr>
        <w:t>الدراسات السابقة</w:t>
      </w:r>
      <w:bookmarkEnd w:id="30"/>
      <w:bookmarkEnd w:id="31"/>
      <w:bookmarkEnd w:id="32"/>
    </w:p>
    <w:p w14:paraId="72CA8555" w14:textId="77777777" w:rsidR="00E92BDF" w:rsidRDefault="00E92BDF" w:rsidP="00E92BDF">
      <w:pPr>
        <w:rPr>
          <w:b/>
          <w:bCs/>
          <w:rtl/>
        </w:rPr>
      </w:pPr>
    </w:p>
    <w:p w14:paraId="5E69FF78" w14:textId="77777777" w:rsidR="00E92BDF" w:rsidRPr="003B5A4D" w:rsidRDefault="00E92BDF" w:rsidP="00E92BDF">
      <w:pPr>
        <w:rPr>
          <w:b/>
          <w:bCs/>
          <w:rtl/>
        </w:rPr>
      </w:pPr>
    </w:p>
    <w:p w14:paraId="237A8685" w14:textId="77777777" w:rsidR="00E92BDF" w:rsidRPr="003B5A4D" w:rsidRDefault="00E92BDF" w:rsidP="00E92BDF">
      <w:pPr>
        <w:rPr>
          <w:rFonts w:ascii="Sakkal Majalla" w:hAnsi="Sakkal Majalla" w:cs="Sakkal Majalla"/>
          <w:b/>
          <w:bCs/>
          <w:sz w:val="28"/>
          <w:szCs w:val="28"/>
          <w:u w:val="single"/>
          <w:rtl/>
        </w:rPr>
      </w:pPr>
    </w:p>
    <w:p w14:paraId="2E8773AF" w14:textId="77777777" w:rsidR="00E92BDF" w:rsidRPr="003B5A4D" w:rsidRDefault="00E92BDF" w:rsidP="00E92BDF">
      <w:pPr>
        <w:rPr>
          <w:rFonts w:ascii="Sakkal Majalla" w:hAnsi="Sakkal Majalla" w:cs="Sakkal Majalla"/>
          <w:b/>
          <w:bCs/>
          <w:sz w:val="28"/>
          <w:szCs w:val="28"/>
          <w:u w:val="single"/>
          <w:rtl/>
        </w:rPr>
      </w:pPr>
    </w:p>
    <w:p w14:paraId="1D6DD279" w14:textId="77777777" w:rsidR="00E92BDF" w:rsidRPr="003B5A4D" w:rsidRDefault="00E92BDF" w:rsidP="00E92BDF">
      <w:pPr>
        <w:rPr>
          <w:rFonts w:ascii="Sakkal Majalla" w:hAnsi="Sakkal Majalla" w:cs="Sakkal Majalla"/>
          <w:b/>
          <w:bCs/>
          <w:sz w:val="28"/>
          <w:szCs w:val="28"/>
          <w:u w:val="single"/>
          <w:rtl/>
        </w:rPr>
      </w:pPr>
    </w:p>
    <w:p w14:paraId="193033E4" w14:textId="77777777" w:rsidR="00E92BDF" w:rsidRDefault="00E92BDF" w:rsidP="00E92BDF">
      <w:pPr>
        <w:rPr>
          <w:rFonts w:ascii="Sakkal Majalla" w:hAnsi="Sakkal Majalla" w:cs="Sakkal Majalla"/>
          <w:sz w:val="28"/>
          <w:szCs w:val="28"/>
          <w:u w:val="single"/>
          <w:rtl/>
        </w:rPr>
      </w:pPr>
    </w:p>
    <w:p w14:paraId="694373B0" w14:textId="77777777" w:rsidR="00E92BDF" w:rsidRDefault="00E92BDF" w:rsidP="00E92BDF">
      <w:pPr>
        <w:rPr>
          <w:rFonts w:ascii="Sakkal Majalla" w:hAnsi="Sakkal Majalla" w:cs="Sakkal Majalla"/>
          <w:sz w:val="28"/>
          <w:szCs w:val="28"/>
          <w:u w:val="single"/>
          <w:rtl/>
        </w:rPr>
      </w:pPr>
    </w:p>
    <w:p w14:paraId="5BBA1A2D" w14:textId="77777777" w:rsidR="00E92BDF" w:rsidRDefault="00E92BDF" w:rsidP="00E92BDF">
      <w:pPr>
        <w:rPr>
          <w:rFonts w:ascii="Sakkal Majalla" w:hAnsi="Sakkal Majalla" w:cs="Sakkal Majalla"/>
          <w:sz w:val="28"/>
          <w:szCs w:val="28"/>
          <w:u w:val="single"/>
          <w:rtl/>
        </w:rPr>
      </w:pPr>
    </w:p>
    <w:p w14:paraId="0D8B1820" w14:textId="77777777" w:rsidR="00E92BDF" w:rsidRDefault="00E92BDF" w:rsidP="00E92BDF">
      <w:pPr>
        <w:rPr>
          <w:rFonts w:ascii="Sakkal Majalla" w:hAnsi="Sakkal Majalla" w:cs="Sakkal Majalla"/>
          <w:sz w:val="28"/>
          <w:szCs w:val="28"/>
          <w:u w:val="single"/>
          <w:rtl/>
        </w:rPr>
      </w:pPr>
    </w:p>
    <w:p w14:paraId="2C294D0E" w14:textId="77777777" w:rsidR="00E92BDF" w:rsidRDefault="00E92BDF" w:rsidP="00E92BDF">
      <w:pPr>
        <w:rPr>
          <w:rFonts w:ascii="Sakkal Majalla" w:hAnsi="Sakkal Majalla" w:cs="Sakkal Majalla"/>
          <w:sz w:val="28"/>
          <w:szCs w:val="28"/>
          <w:u w:val="single"/>
          <w:rtl/>
        </w:rPr>
      </w:pPr>
    </w:p>
    <w:p w14:paraId="477DEC39" w14:textId="77777777" w:rsidR="00E92BDF" w:rsidRDefault="00E92BDF" w:rsidP="00E92BDF">
      <w:pPr>
        <w:rPr>
          <w:rFonts w:ascii="Sakkal Majalla" w:hAnsi="Sakkal Majalla" w:cs="Sakkal Majalla"/>
          <w:sz w:val="28"/>
          <w:szCs w:val="28"/>
          <w:u w:val="single"/>
          <w:rtl/>
        </w:rPr>
      </w:pPr>
    </w:p>
    <w:p w14:paraId="44DC3441" w14:textId="77777777" w:rsidR="00E92BDF" w:rsidRDefault="00E92BDF" w:rsidP="00E92BDF">
      <w:pPr>
        <w:rPr>
          <w:rFonts w:ascii="Sakkal Majalla" w:hAnsi="Sakkal Majalla" w:cs="Sakkal Majalla"/>
          <w:sz w:val="28"/>
          <w:szCs w:val="28"/>
          <w:u w:val="single"/>
          <w:rtl/>
        </w:rPr>
      </w:pPr>
    </w:p>
    <w:p w14:paraId="4ECD6A85" w14:textId="77777777" w:rsidR="00E92BDF" w:rsidRDefault="00E92BDF" w:rsidP="00E92BDF">
      <w:pPr>
        <w:rPr>
          <w:rFonts w:ascii="Sakkal Majalla" w:hAnsi="Sakkal Majalla" w:cs="Sakkal Majalla"/>
          <w:sz w:val="28"/>
          <w:szCs w:val="28"/>
          <w:u w:val="single"/>
        </w:rPr>
      </w:pPr>
    </w:p>
    <w:p w14:paraId="397C400A" w14:textId="77777777" w:rsidR="00E92BDF" w:rsidRDefault="00E92BDF" w:rsidP="00E92BDF">
      <w:pPr>
        <w:rPr>
          <w:rFonts w:ascii="Sakkal Majalla" w:hAnsi="Sakkal Majalla" w:cs="Sakkal Majalla"/>
          <w:sz w:val="28"/>
          <w:szCs w:val="28"/>
          <w:u w:val="single"/>
          <w:rtl/>
          <w:lang w:bidi="ar-EG"/>
        </w:rPr>
      </w:pPr>
    </w:p>
    <w:p w14:paraId="6EB1A3A9" w14:textId="77777777" w:rsidR="00E92BDF" w:rsidRPr="0048136D" w:rsidRDefault="00E92BDF" w:rsidP="00E92BDF">
      <w:pPr>
        <w:pStyle w:val="Heading2"/>
        <w:rPr>
          <w:rtl/>
        </w:rPr>
      </w:pPr>
      <w:bookmarkStart w:id="33" w:name="_Toc172397785"/>
      <w:bookmarkStart w:id="34" w:name="_Toc172746098"/>
      <w:bookmarkStart w:id="35" w:name="_Toc191138778"/>
      <w:r>
        <w:rPr>
          <w:rFonts w:hint="cs"/>
          <w:rtl/>
        </w:rPr>
        <w:t>ال</w:t>
      </w:r>
      <w:r w:rsidRPr="0048136D">
        <w:rPr>
          <w:rtl/>
        </w:rPr>
        <w:t>مقدمة</w:t>
      </w:r>
      <w:bookmarkEnd w:id="33"/>
      <w:bookmarkEnd w:id="34"/>
      <w:bookmarkEnd w:id="35"/>
    </w:p>
    <w:p w14:paraId="2FE0770B" w14:textId="77777777" w:rsidR="00E92BDF" w:rsidRPr="00AA6173" w:rsidRDefault="00E92BDF" w:rsidP="00E92BDF">
      <w:pPr>
        <w:pStyle w:val="NoSpacing"/>
      </w:pPr>
      <w:r w:rsidRPr="00AA6173">
        <w:rPr>
          <w:rtl/>
        </w:rPr>
        <w:t>يُعد استعراض الدراسات السابقة والإطار النظري خطوة أساسية لتأطير هذه الدراسة ضمن سياقها العلمي، ويهدف هذا الفصل إلى تسليط الضوء على مجموعة مختارة من البحوث التي تناولت متغيرات الدراسة الأساسية، والمتمثلة في تقنيات الصحة الرقمية كمتغير مستقل، وأثرها على كفاءة الرعاية الصحية في المستشفيات كمتغير تابع. وسيتم ذلك من خلال تحليل نقدي لما توصلت إليه هذه الدراسات من نتائج ومنهجيات، مع مقارنة الفروقات بين السياقات المختلفة، لا سيما بين السياقين المحلي والعالمي، بهدف تحديد الثغرات المعرفية التي لا تزال بحاجة إلى مزيد من الاستكشاف. وإلى جانب ذلك، يستعرض الفصل الإطار النظري الذي ترتكز عليه الدراسة، وهو نظرية انتشار الابتكار لإيفريت روجرز، والتي تُستخدم كعدسة تحليلية لفهم كيفية تبني المستشفيات والعاملين فيها للتقنيات الحديثة، وتفسير العلاقة بين المتغيرات وتشكيل خلفية معرفية تساند بناء الفرضيات. وبناءً على ذلك، سيتم تنظيم هذا العرض في محاور تتناول الدراسات السابقة المتعلقة بكل متغير، ثم تقديم الإطار النظري، وصولًا إلى الهدف النهائي المتمثل في وضع الأساس العلمي الذي يبرز أصالة البحث وأهميته من خلال الكشف الدقيق عن الفجوات التي يسعى لسدها في الأدبيات المتاحة</w:t>
      </w:r>
      <w:r w:rsidRPr="00AA6173">
        <w:t>.</w:t>
      </w:r>
    </w:p>
    <w:p w14:paraId="5143A328" w14:textId="77777777" w:rsidR="00E92BDF" w:rsidRPr="00AA6173" w:rsidRDefault="00E92BDF" w:rsidP="00E92BDF">
      <w:pPr>
        <w:pStyle w:val="NoSpacing"/>
        <w:rPr>
          <w:rtl/>
        </w:rPr>
      </w:pPr>
    </w:p>
    <w:p w14:paraId="2AD71E48" w14:textId="77777777" w:rsidR="00E92BDF" w:rsidRDefault="00E92BDF" w:rsidP="00E92BDF">
      <w:pPr>
        <w:spacing w:line="360" w:lineRule="auto"/>
        <w:rPr>
          <w:rFonts w:ascii="Sakkal Majalla" w:hAnsi="Sakkal Majalla" w:cs="Sakkal Majalla"/>
          <w:sz w:val="28"/>
          <w:szCs w:val="28"/>
          <w:rtl/>
        </w:rPr>
      </w:pPr>
    </w:p>
    <w:p w14:paraId="19B18773" w14:textId="77777777" w:rsidR="00E92BDF" w:rsidRDefault="00E92BDF" w:rsidP="00E92BDF">
      <w:pPr>
        <w:spacing w:line="360" w:lineRule="auto"/>
        <w:rPr>
          <w:rFonts w:ascii="Sakkal Majalla" w:hAnsi="Sakkal Majalla" w:cs="Sakkal Majalla"/>
          <w:sz w:val="28"/>
          <w:szCs w:val="28"/>
          <w:rtl/>
        </w:rPr>
      </w:pPr>
    </w:p>
    <w:p w14:paraId="4AA611B5" w14:textId="77777777" w:rsidR="00E92BDF" w:rsidRDefault="00E92BDF" w:rsidP="00E92BDF">
      <w:pPr>
        <w:spacing w:line="360" w:lineRule="auto"/>
        <w:rPr>
          <w:rFonts w:ascii="Sakkal Majalla" w:hAnsi="Sakkal Majalla" w:cs="Sakkal Majalla"/>
          <w:sz w:val="28"/>
          <w:szCs w:val="28"/>
          <w:rtl/>
        </w:rPr>
      </w:pPr>
    </w:p>
    <w:p w14:paraId="600218CE" w14:textId="77777777" w:rsidR="00E92BDF" w:rsidRDefault="00E92BDF" w:rsidP="00E92BDF">
      <w:pPr>
        <w:spacing w:line="360" w:lineRule="auto"/>
        <w:rPr>
          <w:rFonts w:ascii="Sakkal Majalla" w:hAnsi="Sakkal Majalla" w:cs="Sakkal Majalla"/>
          <w:sz w:val="28"/>
          <w:szCs w:val="28"/>
          <w:rtl/>
        </w:rPr>
      </w:pPr>
    </w:p>
    <w:p w14:paraId="4B7E7EB0" w14:textId="77777777" w:rsidR="00E92BDF" w:rsidRDefault="00E92BDF" w:rsidP="00E92BDF">
      <w:pPr>
        <w:spacing w:line="360" w:lineRule="auto"/>
        <w:rPr>
          <w:rFonts w:ascii="Sakkal Majalla" w:hAnsi="Sakkal Majalla" w:cs="Sakkal Majalla"/>
          <w:sz w:val="28"/>
          <w:szCs w:val="28"/>
          <w:rtl/>
        </w:rPr>
      </w:pPr>
    </w:p>
    <w:p w14:paraId="4ECEF656" w14:textId="77777777" w:rsidR="00E92BDF" w:rsidRDefault="00E92BDF" w:rsidP="00E92BDF">
      <w:pPr>
        <w:spacing w:line="360" w:lineRule="auto"/>
        <w:rPr>
          <w:rFonts w:ascii="Sakkal Majalla" w:hAnsi="Sakkal Majalla" w:cs="Sakkal Majalla"/>
          <w:sz w:val="28"/>
          <w:szCs w:val="28"/>
          <w:rtl/>
        </w:rPr>
      </w:pPr>
    </w:p>
    <w:p w14:paraId="74CD1742" w14:textId="77777777" w:rsidR="00E92BDF" w:rsidRDefault="00E92BDF" w:rsidP="00E92BDF">
      <w:pPr>
        <w:spacing w:line="360" w:lineRule="auto"/>
        <w:rPr>
          <w:rFonts w:ascii="Sakkal Majalla" w:hAnsi="Sakkal Majalla" w:cs="Sakkal Majalla"/>
          <w:sz w:val="28"/>
          <w:szCs w:val="28"/>
          <w:rtl/>
        </w:rPr>
      </w:pPr>
    </w:p>
    <w:p w14:paraId="7B022CE5" w14:textId="77777777" w:rsidR="00E92BDF" w:rsidRDefault="00E92BDF" w:rsidP="00E92BDF">
      <w:pPr>
        <w:spacing w:line="360" w:lineRule="auto"/>
        <w:rPr>
          <w:rFonts w:ascii="Sakkal Majalla" w:hAnsi="Sakkal Majalla" w:cs="Sakkal Majalla"/>
          <w:sz w:val="28"/>
          <w:szCs w:val="28"/>
          <w:rtl/>
        </w:rPr>
      </w:pPr>
    </w:p>
    <w:p w14:paraId="1D813904" w14:textId="77777777" w:rsidR="00E92BDF" w:rsidRDefault="00E92BDF" w:rsidP="00E92BDF">
      <w:pPr>
        <w:spacing w:line="360" w:lineRule="auto"/>
        <w:rPr>
          <w:rFonts w:ascii="Sakkal Majalla" w:hAnsi="Sakkal Majalla" w:cs="Sakkal Majalla"/>
          <w:sz w:val="28"/>
          <w:szCs w:val="28"/>
          <w:rtl/>
        </w:rPr>
      </w:pPr>
    </w:p>
    <w:p w14:paraId="0175109E" w14:textId="77777777" w:rsidR="00E92BDF" w:rsidRDefault="00E92BDF" w:rsidP="00E92BDF">
      <w:pPr>
        <w:pStyle w:val="Heading2"/>
        <w:rPr>
          <w:rtl/>
        </w:rPr>
      </w:pPr>
      <w:bookmarkStart w:id="36" w:name="_Toc191138779"/>
      <w:r>
        <w:rPr>
          <w:rFonts w:hint="cs"/>
          <w:rtl/>
        </w:rPr>
        <w:t>متغيرات الدراسة</w:t>
      </w:r>
      <w:bookmarkEnd w:id="36"/>
    </w:p>
    <w:p w14:paraId="030B3FCA" w14:textId="77777777" w:rsidR="00E92BDF" w:rsidRDefault="00E92BDF" w:rsidP="00E92BDF">
      <w:pPr>
        <w:pStyle w:val="NoSpacing"/>
        <w:rPr>
          <w:rtl/>
          <w:lang w:bidi="ar-EG"/>
        </w:rPr>
      </w:pPr>
      <w:r w:rsidRPr="0041588E">
        <w:rPr>
          <w:rtl/>
        </w:rPr>
        <w:t>يوضح نموذج</w:t>
      </w:r>
      <w:r>
        <w:rPr>
          <w:rFonts w:hint="cs"/>
          <w:rtl/>
        </w:rPr>
        <w:t xml:space="preserve"> المتغيرات الدراسية</w:t>
      </w:r>
      <w:r w:rsidRPr="0041588E">
        <w:rPr>
          <w:rtl/>
        </w:rPr>
        <w:t xml:space="preserve"> العلاقة المحورية بين متغيرات الدراسة، حيث يمثل تطبيق تقنيات الصحة الرقمية المتغير المستقل، أي أنه العامل الأساسي الذي يُفترض أن يُحدث تغييرًا في المتغيرات الأخرى. وينعكس تأثير هذا المتغير المستقل بشكل مباشر على مجموعة من المتغيرات التابعة التي تُعد مؤشرات رئيسية لقياس كفاءة الرعاية الصحية. أولًا، يؤدي التحول الرقمي إلى تحسين إدارة ملفات المرضى من خلال رقمنة السجلات وتسهيل الوصول إليها، مما يتبعه تحسين في تبادل المعلومات بسلاسة ودقة بين مختلف الأقسام والكوادر الطبية. وكنتيجة منطقية لهذين التحسينين، يسهم ذلك في تحقيق الهدف الثالث وهو تقليل نسبة الأخطاء الطبية والإدارية. وبذلك، يفترض النموذج أن تبني الصحة الرقمية لا يؤثر على هذه الجوانب بشكل منفصل، بل يُحدث أثرًا متسلسلًا ومتكاملًا، حيث أن تحسين إدارة البيانات وتبادلها هو الآلية التي تؤدي في النهاية إلى رعاية صحية أكثر أمانًا وكفاءة</w:t>
      </w:r>
      <w:r w:rsidRPr="0041588E">
        <w:rPr>
          <w:lang w:bidi="ar-EG"/>
        </w:rPr>
        <w:t>.</w:t>
      </w:r>
    </w:p>
    <w:p w14:paraId="619AD94F" w14:textId="77777777" w:rsidR="00E92BDF" w:rsidRDefault="00E92BDF" w:rsidP="00E92BDF">
      <w:pPr>
        <w:pStyle w:val="NoSpacing"/>
        <w:rPr>
          <w:rtl/>
          <w:lang w:bidi="ar-EG"/>
        </w:rPr>
      </w:pPr>
    </w:p>
    <w:p w14:paraId="0C8FA87E" w14:textId="77777777" w:rsidR="00E92BDF" w:rsidRDefault="00E92BDF" w:rsidP="00E92BDF">
      <w:pPr>
        <w:pStyle w:val="NoSpacing"/>
        <w:rPr>
          <w:rtl/>
          <w:lang w:bidi="ar-EG"/>
        </w:rPr>
      </w:pPr>
    </w:p>
    <w:p w14:paraId="7E3FAD81" w14:textId="77777777" w:rsidR="00E92BDF" w:rsidRDefault="00E92BDF" w:rsidP="00E92BDF">
      <w:pPr>
        <w:pStyle w:val="NoSpacing"/>
        <w:rPr>
          <w:rtl/>
          <w:lang w:bidi="ar-EG"/>
        </w:rPr>
      </w:pPr>
    </w:p>
    <w:p w14:paraId="6BF035DB" w14:textId="77777777" w:rsidR="00E92BDF" w:rsidRDefault="00E92BDF" w:rsidP="00E92BDF">
      <w:pPr>
        <w:pStyle w:val="NoSpacing"/>
        <w:rPr>
          <w:rtl/>
          <w:lang w:bidi="ar-EG"/>
        </w:rPr>
      </w:pPr>
    </w:p>
    <w:p w14:paraId="794F0678" w14:textId="77777777" w:rsidR="00E92BDF" w:rsidRDefault="00E92BDF" w:rsidP="00E92BDF">
      <w:pPr>
        <w:pStyle w:val="NoSpacing"/>
        <w:rPr>
          <w:rtl/>
          <w:lang w:bidi="ar-EG"/>
        </w:rPr>
      </w:pPr>
    </w:p>
    <w:p w14:paraId="67B829CB" w14:textId="77777777" w:rsidR="00E92BDF" w:rsidRDefault="00E92BDF" w:rsidP="00E92BDF">
      <w:pPr>
        <w:pStyle w:val="NoSpacing"/>
        <w:rPr>
          <w:rtl/>
          <w:lang w:bidi="ar-EG"/>
        </w:rPr>
      </w:pPr>
    </w:p>
    <w:p w14:paraId="1F2848DC" w14:textId="77777777" w:rsidR="00E92BDF" w:rsidRDefault="00E92BDF" w:rsidP="00E92BDF">
      <w:pPr>
        <w:pStyle w:val="NoSpacing"/>
        <w:rPr>
          <w:rtl/>
          <w:lang w:bidi="ar-EG"/>
        </w:rPr>
      </w:pPr>
    </w:p>
    <w:p w14:paraId="677FD9EA" w14:textId="77777777" w:rsidR="00E92BDF" w:rsidRDefault="00E92BDF" w:rsidP="00E92BDF">
      <w:pPr>
        <w:pStyle w:val="NoSpacing"/>
        <w:rPr>
          <w:rtl/>
          <w:lang w:bidi="ar-EG"/>
        </w:rPr>
      </w:pPr>
    </w:p>
    <w:p w14:paraId="2ED7D67A" w14:textId="77777777" w:rsidR="00E92BDF" w:rsidRDefault="00E92BDF" w:rsidP="00E92BDF">
      <w:pPr>
        <w:pStyle w:val="NoSpacing"/>
        <w:rPr>
          <w:rtl/>
          <w:lang w:bidi="ar-EG"/>
        </w:rPr>
      </w:pPr>
    </w:p>
    <w:p w14:paraId="294BD273" w14:textId="77777777" w:rsidR="00E92BDF" w:rsidRDefault="00E92BDF" w:rsidP="00E92BDF">
      <w:pPr>
        <w:pStyle w:val="NoSpacing"/>
        <w:rPr>
          <w:rtl/>
          <w:lang w:bidi="ar-EG"/>
        </w:rPr>
      </w:pPr>
    </w:p>
    <w:p w14:paraId="5CD54E3B" w14:textId="77777777" w:rsidR="00E92BDF" w:rsidRPr="0041588E" w:rsidRDefault="00E92BDF" w:rsidP="00E92BDF">
      <w:pPr>
        <w:pStyle w:val="NoSpacing"/>
        <w:rPr>
          <w:lang w:bidi="ar-EG"/>
        </w:rPr>
      </w:pPr>
    </w:p>
    <w:p w14:paraId="7E272012" w14:textId="77777777" w:rsidR="00E92BDF" w:rsidRPr="0041588E" w:rsidRDefault="00E92BDF" w:rsidP="00E92BDF">
      <w:pPr>
        <w:rPr>
          <w:rtl/>
          <w:lang w:bidi="ar-EG"/>
        </w:rPr>
      </w:pPr>
    </w:p>
    <w:p w14:paraId="3E064F4C" w14:textId="77777777" w:rsidR="00E92BDF" w:rsidRDefault="00E92BDF" w:rsidP="00E92BDF">
      <w:pPr>
        <w:pStyle w:val="Heading2"/>
        <w:rPr>
          <w:rtl/>
        </w:rPr>
      </w:pPr>
      <w:bookmarkStart w:id="37" w:name="_Toc172397786"/>
      <w:bookmarkStart w:id="38" w:name="_Toc172746099"/>
      <w:bookmarkStart w:id="39" w:name="_Toc191138780"/>
      <w:r w:rsidRPr="0048136D">
        <w:rPr>
          <w:rtl/>
        </w:rPr>
        <w:t>الدراسات السابقة</w:t>
      </w:r>
      <w:bookmarkStart w:id="40" w:name="_Toc172397787"/>
      <w:bookmarkStart w:id="41" w:name="_Toc172746100"/>
      <w:bookmarkEnd w:id="37"/>
      <w:bookmarkEnd w:id="38"/>
      <w:bookmarkEnd w:id="39"/>
    </w:p>
    <w:p w14:paraId="131CDAB9" w14:textId="77777777" w:rsidR="00E92BDF" w:rsidRDefault="00E92BDF" w:rsidP="00E92BDF">
      <w:pPr>
        <w:pStyle w:val="NoSpacing"/>
        <w:rPr>
          <w:rtl/>
          <w:lang w:bidi="ar-EG"/>
        </w:rPr>
      </w:pPr>
      <w:r w:rsidRPr="00995A9F">
        <w:rPr>
          <w:rtl/>
        </w:rPr>
        <w:t>في المملكة العربية السعودية، تلتزم المراكز الطبية الأكاديمية بتقديم رعاية صحية عالية الجودة للمرضى والنهوض بصحة ورفاهية سكانها. كما تُجري أبحاثًا في مجموعة متنوعة من التخصصات السريرية، وتُقدم تعليمًا طبيًا. وفي إطار سعيها لتعزيز الإنتاجية وتحسين رعاية المرضى، بدأت المؤسسات الأكاديمية ذات اللوائح التنظيمية المماثلة لتلك المعمول بها في المملكة العربية السعودية مؤخرًا بتطبيق تقنيات الصحة الرقمية. ويهدف هذا البحث إلى ضرورة استفادة مراكز الطب الأكاديمي في المملكة العربية السعودية من أدوات الصحة الرقمية هذه. ويمكن للمراكز الطبية الأكاديمية تقديم رعاية صحية أفضل للمرضى من خلال استخدام الوصول إلى السجلات الصحية الإلكترونية عبر الهاتف المحمول، والهواتف المحمولة، وتقنية تصوير الفيديو، والبنى التحتية لسطح المكتب الافتراضي، والأسرة الذكية، والسجلات الصحية الإلكترونية. ومن خلال استخدام أدوات الرعاية الذاتية الافتراضية، يُمكن لسكان المناطق الريفية التواصل مع مستشاري المراكز. ويمكن تعزيز فهم طلاب الطب للصحة الرقمية من خلال التحقق من صحة أجهزة الصحة الرقمية الجديدة بالتعاون مع شركاء الصحة الرقمية. وتهدف هذه المراجعة إلى مساعدة الجهات المعنية على فهم الحاجة إلى دمج تقنيات الصحة الرقمية في مراكز الطب الأكاديمي في المملكة العربية السعودية من أجل تحسين جودة الرعاية الصحية</w:t>
      </w:r>
      <w:sdt>
        <w:sdtPr>
          <w:rPr>
            <w:rtl/>
          </w:rPr>
          <w:id w:val="2011403197"/>
          <w:citation/>
        </w:sdtPr>
        <w:sdtContent>
          <w:r>
            <w:rPr>
              <w:rtl/>
            </w:rPr>
            <w:fldChar w:fldCharType="begin"/>
          </w:r>
          <w:r>
            <w:instrText xml:space="preserve"> CITATION Kuw18 \l 1033 </w:instrText>
          </w:r>
          <w:r>
            <w:rPr>
              <w:rtl/>
            </w:rPr>
            <w:fldChar w:fldCharType="separate"/>
          </w:r>
          <w:r>
            <w:rPr>
              <w:noProof/>
            </w:rPr>
            <w:t xml:space="preserve"> (Kuwaiti, 2018)</w:t>
          </w:r>
          <w:r>
            <w:rPr>
              <w:rtl/>
            </w:rPr>
            <w:fldChar w:fldCharType="end"/>
          </w:r>
        </w:sdtContent>
      </w:sdt>
      <w:r w:rsidRPr="00995A9F">
        <w:rPr>
          <w:rtl/>
        </w:rPr>
        <w:t>.</w:t>
      </w:r>
    </w:p>
    <w:p w14:paraId="54FFA2F4" w14:textId="77777777" w:rsidR="00E92BDF" w:rsidRDefault="00E92BDF" w:rsidP="00E92BDF">
      <w:pPr>
        <w:pStyle w:val="NoSpacing"/>
        <w:rPr>
          <w:rtl/>
          <w:lang w:bidi="ar-EG"/>
        </w:rPr>
      </w:pPr>
      <w:r w:rsidRPr="00963CAA">
        <w:rPr>
          <w:rtl/>
          <w:lang w:bidi="ar-EG"/>
        </w:rPr>
        <w:t xml:space="preserve">تمت دراسة آثار جائحة كوفيد-19 على إدارة خدمات الرعاية الصحية وتوافرها وتقديمها من عدة زوايا. ولكن بسبب آثار جائحة كوفيد-19 على خدمات الرعاية الصحية، أصبحت تكنولوجيا الصحة الرقمية مستخدمة على نطاق واسع، ويرجع ذلك في المقام الأول إلى الضرورة والحاجة. تستكشف هذه الدراسة تأثير تكنولوجيا الصحة الرقمية من وجهة نظر الأفراد وصانعي السياسات، مع التركيز على الظروف الحالية (الاعتماد المتزايد على خدمات الصحة الرقمية). تم استخدام استراتيجية مختلطة الأساليب. من أجل تقييم التأثير من وجهة نظر صانعي السياسات، تم إجراء سبعة وعشرين مقابلة شبه </w:t>
      </w:r>
      <w:r w:rsidRPr="00963CAA">
        <w:rPr>
          <w:rtl/>
          <w:lang w:bidi="ar-EG"/>
        </w:rPr>
        <w:lastRenderedPageBreak/>
        <w:t>منظمة عبر الإنترنت مع خبراء وصانعي سياسات. تم جمع ردود من 1698 مقيمًا في المملكة العربية السعودية بشأن الجوانب المختلفة لتطبيقات الصحة الرقمية من خلال استبيان عبر الإنترنت. نتيجة لارتفاع تكاليف الرعاية الصحية خلال جائحة كوفيد-19، تم تقديم عدد من تطبيقات الصحة الرقمية. بينما حافظ المشرّعون على موقفهم بشأن تحسين خدمات الرعاية الصحية وإمكانية الوصول إليها، أعرب المواطنون عن استيائهم من غياب الرعاية المُخصّصة (المتوسط ​​= 2.9) وعدم القدرة على جدولة الأدوية والمعدات الطبية الشخصية إلكترونيًا (المتوسط ​​= 2.4) من خلال تطبيقات الصحة الرقمية. علاوة على ذلك، هناك اختلافات بين فئات السكان من حيث كيفية إدراك تقنيات الصحة الرقمية واستخدامها وإمكانية الوصول إليها. عند وضع وتطبيق القواعد المتعلقة بالصحة الرقمية، يجب على واضعي السياسات مراعاة هذه الاختلافات</w:t>
      </w:r>
      <w:sdt>
        <w:sdtPr>
          <w:rPr>
            <w:rtl/>
            <w:lang w:bidi="ar-EG"/>
          </w:rPr>
          <w:id w:val="-1246571875"/>
          <w:citation/>
        </w:sdtPr>
        <w:sdtContent>
          <w:r>
            <w:rPr>
              <w:rtl/>
              <w:lang w:bidi="ar-EG"/>
            </w:rPr>
            <w:fldChar w:fldCharType="begin"/>
          </w:r>
          <w:r>
            <w:rPr>
              <w:lang w:bidi="ar-EG"/>
            </w:rPr>
            <w:instrText xml:space="preserve"> CITATION Alh211 \l 1033 </w:instrText>
          </w:r>
          <w:r>
            <w:rPr>
              <w:rtl/>
              <w:lang w:bidi="ar-EG"/>
            </w:rPr>
            <w:fldChar w:fldCharType="separate"/>
          </w:r>
          <w:r>
            <w:rPr>
              <w:noProof/>
              <w:lang w:bidi="ar-EG"/>
            </w:rPr>
            <w:t xml:space="preserve"> (Alhodaib, 2021)</w:t>
          </w:r>
          <w:r>
            <w:rPr>
              <w:rtl/>
              <w:lang w:bidi="ar-EG"/>
            </w:rPr>
            <w:fldChar w:fldCharType="end"/>
          </w:r>
        </w:sdtContent>
      </w:sdt>
      <w:r w:rsidRPr="00963CAA">
        <w:rPr>
          <w:rtl/>
          <w:lang w:bidi="ar-EG"/>
        </w:rPr>
        <w:t>.</w:t>
      </w:r>
    </w:p>
    <w:p w14:paraId="6E1B49DF" w14:textId="77777777" w:rsidR="00E92BDF" w:rsidRDefault="00E92BDF" w:rsidP="00E92BDF">
      <w:pPr>
        <w:pStyle w:val="NoSpacing"/>
        <w:rPr>
          <w:rFonts w:hint="cs"/>
          <w:rtl/>
          <w:lang w:bidi="ar-EG"/>
        </w:rPr>
      </w:pPr>
      <w:r w:rsidRPr="00966FC9">
        <w:rPr>
          <w:rtl/>
          <w:lang w:bidi="ar-EG"/>
        </w:rPr>
        <w:t>مع التركيز على التأثير المعتدل للكفاءة الرقمية والدور الوسيط للكفاءة التشغيلية، فإن هدف هذه الدراسة هو دراسة كيف يمكن لاستخدام تقنية الذكاء الاصطناعي في المستشفيات العاملة في دول مجلس التعاون الخليجي أن يحسن سلامة المرضى. التقنيات: تم جمع البيانات من 300 متخصص طبي في خمسة مستشفيات في منطقة دول مجلس التعاون الخليجي باستخدام منهجية دراسة كمية ومقطعية وتفسيرية. تشير النتائج إلى أن تدخلات الذكاء الاصطناعي تزيد من الكفاءة التشغيلية، مما يحسن بدوره سلامة المرضى. بالإضافة إلى ذلك، يتم تعزيز فعالية تدخلات الذكاء الاصطناعي بشكل أكبر من خلال الكفاءة الرقمية لموظفي الرعاية الصحية. تُظهر النتائج أن تدخلات الذكاء الاصطناعي تعمل على تحسين سلامة المرضى من خلال الجمع بين أخطاء دوائية منخفضة بنسبة 1.8٪ وتدخلات فعالة في الوقت المناسب بنسبة 92.4٪ ودقة تشخيصية عالية بنسبة 95.2٪. وفقًا للدراسات السابقة، تعمل الطريقة المقترحة على تحسين التدخلات في الوقت المناسب بنسبة 4.9٪ وتحسن دقة التشخيص بنسبة 5.7٪ وتقلل أخطاء الأدوية بنسبة 1.4٪. الاستنتاجات والآثار المترتبة: لتعزيز الكفاءة التشغيلية وضمان تقديم رعاية صحية أكثر أمانًا، تُؤكد هذه النتائج على أهمية تطبيق تقنيات الذكاء الاصطناعي وتحسين الكفاءة الرقمية لدى العاملين في مجال الرعاية الصحية. يُسلّط هذا التقرير الضوء على ضرورة مبادرات التدريب القائمة على الذكاء الاصطناعي ونفقات البنية التحتية، مُزوّدًا القائمين على الرعاية الصحية وصانعي السياسات برؤى عملية</w:t>
      </w:r>
      <w:sdt>
        <w:sdtPr>
          <w:rPr>
            <w:rtl/>
            <w:lang w:bidi="ar-EG"/>
          </w:rPr>
          <w:id w:val="-686283614"/>
          <w:citation/>
        </w:sdtPr>
        <w:sdtContent>
          <w:r>
            <w:rPr>
              <w:rtl/>
              <w:lang w:bidi="ar-EG"/>
            </w:rPr>
            <w:fldChar w:fldCharType="begin"/>
          </w:r>
          <w:r>
            <w:rPr>
              <w:lang w:bidi="ar-EG"/>
            </w:rPr>
            <w:instrText xml:space="preserve"> CITATION AlD25 \l 1033 </w:instrText>
          </w:r>
          <w:r>
            <w:rPr>
              <w:rtl/>
              <w:lang w:bidi="ar-EG"/>
            </w:rPr>
            <w:fldChar w:fldCharType="separate"/>
          </w:r>
          <w:r>
            <w:rPr>
              <w:noProof/>
              <w:lang w:bidi="ar-EG"/>
            </w:rPr>
            <w:t xml:space="preserve"> (AlDhaen, 2025)</w:t>
          </w:r>
          <w:r>
            <w:rPr>
              <w:rtl/>
              <w:lang w:bidi="ar-EG"/>
            </w:rPr>
            <w:fldChar w:fldCharType="end"/>
          </w:r>
        </w:sdtContent>
      </w:sdt>
      <w:r w:rsidRPr="00966FC9">
        <w:rPr>
          <w:rtl/>
          <w:lang w:bidi="ar-EG"/>
        </w:rPr>
        <w:t>.</w:t>
      </w:r>
    </w:p>
    <w:p w14:paraId="27EDEB0C" w14:textId="77777777" w:rsidR="00E92BDF" w:rsidRDefault="00E92BDF" w:rsidP="00E92BDF">
      <w:pPr>
        <w:pStyle w:val="NoSpacing"/>
        <w:rPr>
          <w:rtl/>
          <w:lang w:bidi="ar-EG"/>
        </w:rPr>
      </w:pPr>
      <w:r w:rsidRPr="00C90282">
        <w:rPr>
          <w:rtl/>
          <w:lang w:bidi="ar-EG"/>
        </w:rPr>
        <w:t xml:space="preserve">تأثرت الرعاية الصحية العالمية بشكل كبير بالثورة الرقمية. يمكن تحسين دقة التشخيص والعلاج والنتائج الصحية وكفاءة الرعاية وسير عمليات الرعاية الصحية بشكل كبير من خلال التكنولوجيا الرقمية. ستتحسن نتائج المرضى بشكل كبير مع استخدام تكنولوجيا المعلومات الصحية. استنادًا إلى الأبعاد الأربعة التي اعتمدتها جمعية أنظمة معلومات وإدارة الرعاية الصحية - التحليلات التنبؤية، والحوكمة والقوى العاملة، والتوافق التشغيلي، والصحة التي تمكن الشخص - تحاول هذه </w:t>
      </w:r>
      <w:r w:rsidRPr="00C90282">
        <w:rPr>
          <w:rtl/>
          <w:lang w:bidi="ar-EG"/>
        </w:rPr>
        <w:lastRenderedPageBreak/>
        <w:t>الدراسة تقييم مدى الاستعداد للتحول الصحي الرقمي في مختلف المستشفيات في المنطقة الشرقية بالمملكة العربية السعودية، فيما يتعلق برؤية السعودية 2030. تم تضمين مؤشرات الصحة الرقمية الأربعة في استبيان عبر الإنترنت تم استخدامه لجمع البيانات من عشرة مواقع للرعاية الصحية للتحقيق المقطعي. أنشأت جمعية أنظمة معلومات وإدارة الرعاية الصحية هذا الاستطلاع لقياس درجة النضج الرقمي في بيئات الرعاية الصحية. شملت الدراسة عشرة مرافق رعاية صحية حكومية وخاصة في المنطقة الشرقية. حصلت مرافق الرعاية الصحية الخاصة على أعلى الدرجات الإجمالية للتحول الصحي الرقمي (متوسط ​​​​الدرجات للمرافق الخاصة = 77، متوسط ​​​​الدرجات للمرافق العامة = 71). من بين مرافق الرعاية الصحية المشمولة بالدراسة، كان بُعد "الحوكمة والقوى العاملة" الأكثر تطبيقًا (المتوسط ​​= 80)، بينما كان التحليلات التنبؤية الأقل تطبيقًا (المتوسط ​​= 70). علاوة على ذلك، وبالمقارنة مع مؤسسات الرعاية الصحية الأولية والثانوية المشمولة بالدراسة، سجلت المستشفيات الجامعية أدنى درجة في جاهزية التحول الرقمي (المتوسط ​​= 74). ووفقًا لنتائج الدراسة، كان أداء مرافق الرعاية الصحية الخاصة أفضل في المقاييس المتعلقة بالتحول الرقمي في مجال الصحة. وستساعد هذه النتائج في وضع خطة عمل استراتيجية ومساعدة صانعي السياسات على فهم مدى ثورة الصحة الرقمية في المنطقة الشرقية</w:t>
      </w:r>
      <w:sdt>
        <w:sdtPr>
          <w:rPr>
            <w:rtl/>
            <w:lang w:bidi="ar-EG"/>
          </w:rPr>
          <w:id w:val="12273811"/>
          <w:citation/>
        </w:sdtPr>
        <w:sdtContent>
          <w:r>
            <w:rPr>
              <w:rtl/>
              <w:lang w:bidi="ar-EG"/>
            </w:rPr>
            <w:fldChar w:fldCharType="begin"/>
          </w:r>
          <w:r>
            <w:rPr>
              <w:lang w:bidi="ar-EG"/>
            </w:rPr>
            <w:instrText xml:space="preserve"> CITATION AlK22 \l 1033 </w:instrText>
          </w:r>
          <w:r>
            <w:rPr>
              <w:rtl/>
              <w:lang w:bidi="ar-EG"/>
            </w:rPr>
            <w:fldChar w:fldCharType="separate"/>
          </w:r>
          <w:r>
            <w:rPr>
              <w:noProof/>
              <w:lang w:bidi="ar-EG"/>
            </w:rPr>
            <w:t xml:space="preserve"> (Al-Kahtani, 2022)</w:t>
          </w:r>
          <w:r>
            <w:rPr>
              <w:rtl/>
              <w:lang w:bidi="ar-EG"/>
            </w:rPr>
            <w:fldChar w:fldCharType="end"/>
          </w:r>
        </w:sdtContent>
      </w:sdt>
      <w:r w:rsidRPr="00C90282">
        <w:rPr>
          <w:rtl/>
          <w:lang w:bidi="ar-EG"/>
        </w:rPr>
        <w:t>.</w:t>
      </w:r>
    </w:p>
    <w:p w14:paraId="6D5EE8B9" w14:textId="77777777" w:rsidR="00E92BDF" w:rsidRDefault="00E92BDF" w:rsidP="00E92BDF">
      <w:pPr>
        <w:pStyle w:val="NoSpacing"/>
        <w:rPr>
          <w:rtl/>
          <w:lang w:bidi="ar-EG"/>
        </w:rPr>
      </w:pPr>
      <w:r w:rsidRPr="002E0333">
        <w:rPr>
          <w:rtl/>
          <w:lang w:bidi="ar-EG"/>
        </w:rPr>
        <w:t>هدفت دراسة</w:t>
      </w:r>
      <w:sdt>
        <w:sdtPr>
          <w:rPr>
            <w:rtl/>
            <w:lang w:bidi="ar-EG"/>
          </w:rPr>
          <w:id w:val="-150366915"/>
          <w:citation/>
        </w:sdtPr>
        <w:sdtContent>
          <w:r>
            <w:rPr>
              <w:rtl/>
              <w:lang w:bidi="ar-EG"/>
            </w:rPr>
            <w:fldChar w:fldCharType="begin"/>
          </w:r>
          <w:r>
            <w:rPr>
              <w:lang w:bidi="ar-EG"/>
            </w:rPr>
            <w:instrText xml:space="preserve"> CITATION Tas24 \l 1033 </w:instrText>
          </w:r>
          <w:r>
            <w:rPr>
              <w:rtl/>
              <w:lang w:bidi="ar-EG"/>
            </w:rPr>
            <w:fldChar w:fldCharType="separate"/>
          </w:r>
          <w:r>
            <w:rPr>
              <w:noProof/>
              <w:lang w:bidi="ar-EG"/>
            </w:rPr>
            <w:t xml:space="preserve"> (Tasnime, 2024)</w:t>
          </w:r>
          <w:r>
            <w:rPr>
              <w:rtl/>
              <w:lang w:bidi="ar-EG"/>
            </w:rPr>
            <w:fldChar w:fldCharType="end"/>
          </w:r>
        </w:sdtContent>
      </w:sdt>
      <w:r w:rsidRPr="002E0333">
        <w:rPr>
          <w:rtl/>
          <w:lang w:bidi="ar-EG"/>
        </w:rPr>
        <w:t xml:space="preserve"> إلى معرفة كيفية تعزيز تطبيقات الصحة الرقمية لخدمات الرعاية الصحية في المملكة العربية السعودية. وقد اعتمدت الدراسة على المنهج الوصفي والتحليلي، ومن خلال دراسة الكتب والتقارير والأوراق البحثية الدولية والمواقع الإلكترونية الرسمية وغيرها من المصادر، تمكنا من جمع البيانات والمعلومات وتحليلها بما يتوافق مع متطلبات الدراسة. ومن أهم استنتاجات الدراسة العديدة أن تطبيقات الصحة الرقمية قادرة على تحسين نتائج المرضى وكفاءة النظام من خلال تطوير طريقة تقديم الرعاية الصحية، وتسهيل التواصل بين المرضى والأطباء، وتحسين تجربة المريض، لا سيما فيما يتعلق بالوصول إلى المعلومات الصحية. ناهيك عن كيفية استفادة المستخدمين والجهات المعنية بالرعاية الصحية من توفير مؤشرات الصحة العامة. وقد ساهمت تطبيقات الهواتف الذكية للصحة الرقمية في زيادة الوعي بالقضايا الصحية، وتعزيز التواصل الصحي، ونشر معلومات طبية كافية في المملكة العربية السعودية. بفضل التحول الرقمي في المؤسسات الصحية، فإن الأعمال الإلكترونية - ممثلة في الأنظمة والبرامج والتطبيقات الإلكترونية مثل وصفتي، وموعد، ورصد، وصحة، والطب الإلكتروني، وغيرها - مكنت المملكة من تعزيز جودة وفعالية الخدمات الصحية، وزيادة جاهزية مرافق الرعاية الصحية، وتعزيز رضا المستفيدين.</w:t>
      </w:r>
    </w:p>
    <w:p w14:paraId="6D12F857" w14:textId="77777777" w:rsidR="00E92BDF" w:rsidRDefault="00E92BDF" w:rsidP="00E92BDF">
      <w:pPr>
        <w:pStyle w:val="NoSpacing"/>
        <w:rPr>
          <w:rtl/>
          <w:lang w:bidi="ar-EG"/>
        </w:rPr>
      </w:pPr>
      <w:r w:rsidRPr="0096440E">
        <w:rPr>
          <w:rtl/>
          <w:lang w:bidi="ar-EG"/>
        </w:rPr>
        <w:t xml:space="preserve">شهد تقديم الرعاية الصحية في المملكة العربية السعودية تحولاً كبيراً بفضل التقدم في تكنولوجيا الرعاية الصحية، مما حسّن فعالية وجودة الرعاية الطبية. وفي إطار جهودها لتحديث نظام الرعاية الصحية، استثمرت الحكومة بشكل كبير في تقنيات </w:t>
      </w:r>
      <w:r w:rsidRPr="0096440E">
        <w:rPr>
          <w:rtl/>
          <w:lang w:bidi="ar-EG"/>
        </w:rPr>
        <w:lastRenderedPageBreak/>
        <w:t>الطب عن بُعد والصحة الرقمية في إطار مبادرتها لرؤية 2030. ويتمتع المرضى الآن بإمكانية وصول أفضل إلى الرعاية الصحية بفضل التقنيات المتطورة مثل السجلات الصحية الإلكترونية (</w:t>
      </w:r>
      <w:r w:rsidRPr="0096440E">
        <w:rPr>
          <w:lang w:bidi="ar-EG"/>
        </w:rPr>
        <w:t>EHR</w:t>
      </w:r>
      <w:r w:rsidRPr="0096440E">
        <w:rPr>
          <w:rtl/>
          <w:lang w:bidi="ar-EG"/>
        </w:rPr>
        <w:t>) والاستشارات عن بُعد وتطبيقات الصحة عبر الهاتف المحمول، لا سيما في المناطق الريفية ذات المرافق الطبية الأقل. وبالإضافة إلى تبسيط تجربة المريض، يُسهّل هذا التغيير إدارة البيانات، مما يُمكّن المهنيين الطبيين من اتخاذ قرارات أفضل وتعزيز نتائج المرضى. علاوة على ذلك، يشهد نهج المملكة للوقاية من الأمراض وإدارة الصحة تحولاً كاملاً من خلال دمج التقنيات المتطورة مثل الذكاء الاصطناعي (</w:t>
      </w:r>
      <w:r w:rsidRPr="0096440E">
        <w:rPr>
          <w:lang w:bidi="ar-EG"/>
        </w:rPr>
        <w:t>AI</w:t>
      </w:r>
      <w:r w:rsidRPr="0096440E">
        <w:rPr>
          <w:rtl/>
          <w:lang w:bidi="ar-EG"/>
        </w:rPr>
        <w:t>) وتحليلات البيانات الضخمة. ويمكن لتقنيات التشخيص المدعومة بالذكاء الاصطناعي تقييم بيانات المريض والصور الطبية بشكل أسرع وأكثر دقة، مما يتيح التدخل المبكر والعلاج. كما تُساعد تحليلات البيانات الضخمة في إدارة تفشي الأمراض وتتبع اتجاهات الصحة العامة، وكلاهما بالغ الأهمية لدولة تشهد توسعًا حضريًا سريعًا وتحولات ديموغرافية. وبالنظر إلى جميع الجوانب، فإن التطورات المستمرة في المملكة العربية السعودية في التكنولوجيا الطبية تفتح الباب أمام نظام رعاية صحية أكثر فعالية وتركيزًا على المرضى، مما سيؤدي في نهاية المطاف إلى رفع معايير الصحة الوطنية</w:t>
      </w:r>
      <w:sdt>
        <w:sdtPr>
          <w:rPr>
            <w:rtl/>
            <w:lang w:bidi="ar-EG"/>
          </w:rPr>
          <w:id w:val="-362515096"/>
          <w:citation/>
        </w:sdtPr>
        <w:sdtContent>
          <w:r>
            <w:rPr>
              <w:rtl/>
              <w:lang w:bidi="ar-EG"/>
            </w:rPr>
            <w:fldChar w:fldCharType="begin"/>
          </w:r>
          <w:r>
            <w:rPr>
              <w:lang w:bidi="ar-EG"/>
            </w:rPr>
            <w:instrText xml:space="preserve"> CITATION MUT24 \l 1033 </w:instrText>
          </w:r>
          <w:r>
            <w:rPr>
              <w:rtl/>
              <w:lang w:bidi="ar-EG"/>
            </w:rPr>
            <w:fldChar w:fldCharType="separate"/>
          </w:r>
          <w:r>
            <w:rPr>
              <w:noProof/>
              <w:lang w:bidi="ar-EG"/>
            </w:rPr>
            <w:t xml:space="preserve"> (MUTARED, 2024)</w:t>
          </w:r>
          <w:r>
            <w:rPr>
              <w:rtl/>
              <w:lang w:bidi="ar-EG"/>
            </w:rPr>
            <w:fldChar w:fldCharType="end"/>
          </w:r>
        </w:sdtContent>
      </w:sdt>
      <w:r w:rsidRPr="0096440E">
        <w:rPr>
          <w:rtl/>
          <w:lang w:bidi="ar-EG"/>
        </w:rPr>
        <w:t>.</w:t>
      </w:r>
    </w:p>
    <w:p w14:paraId="0BCE1A9E" w14:textId="77777777" w:rsidR="00E92BDF" w:rsidRPr="001A7F47" w:rsidRDefault="00E92BDF" w:rsidP="00E92BDF">
      <w:pPr>
        <w:pStyle w:val="NoSpacing"/>
        <w:rPr>
          <w:rtl/>
        </w:rPr>
      </w:pPr>
      <w:r w:rsidRPr="001A7F47">
        <w:rPr>
          <w:rtl/>
          <w:lang w:bidi="ar-EG"/>
        </w:rPr>
        <w:t xml:space="preserve">مع التقدم الملحوظ الذي أحرزته المملكة العربية السعودية في دمج التقنيات الرقمية في نظام الرعاية الصحية، اكتسب التحول الرقمي للرعاية الصحية اهتمامًا دوليًا. مع التركيز على الأبحاث التدخلية والتجارب السريرية، تسعى هذه المراجعة المنهجية إلى تقييم تطور وأهمية وصعوبات تدخلات الصحة الرقمية في المملكة العربية السعودية على مدى السنوات الخمس الماضية، وذلك لتحديد مدى فعاليتها في تحسين نتائج المرضى وتقديم الرعاية الصحية. مع التركيز على الأبحاث المنشورة بين عامي 2017 و2022، أُجري بحث شامل في قواعد بيانات مثل </w:t>
      </w:r>
      <w:r w:rsidRPr="001A7F47">
        <w:rPr>
          <w:lang w:bidi="ar-EG"/>
        </w:rPr>
        <w:t>PubMed</w:t>
      </w:r>
      <w:r w:rsidRPr="001A7F47">
        <w:rPr>
          <w:rtl/>
          <w:lang w:bidi="ar-EG"/>
        </w:rPr>
        <w:t xml:space="preserve"> و</w:t>
      </w:r>
      <w:r w:rsidRPr="001A7F47">
        <w:rPr>
          <w:lang w:bidi="ar-EG"/>
        </w:rPr>
        <w:t>Web of Science</w:t>
      </w:r>
      <w:r w:rsidRPr="001A7F47">
        <w:rPr>
          <w:rtl/>
          <w:lang w:bidi="ar-EG"/>
        </w:rPr>
        <w:t xml:space="preserve"> و</w:t>
      </w:r>
      <w:r w:rsidRPr="001A7F47">
        <w:rPr>
          <w:lang w:bidi="ar-EG"/>
        </w:rPr>
        <w:t>Scopus</w:t>
      </w:r>
      <w:r w:rsidRPr="001A7F47">
        <w:rPr>
          <w:rtl/>
          <w:lang w:bidi="ar-EG"/>
        </w:rPr>
        <w:t xml:space="preserve"> ومكتبة كوكرين. اقتصرت معايير الإدراج على الدراسات التدخلية التي خضعت لمراجعة الأقران والتي وثقت استخدام ونتائج تكنولوجيا الصحة الرقمية في نظام الرعاية الصحية السعودي. كانت مصطلحات البحث الرئيسية التالية: "الصحة الإلكترونية"، و"الطب عن بُعد"، و"التحول الرقمي"، و"السجلات الصحية الإلكترونية"، و"تكنولوجيا المعلومات الصحية". تم فحص العناوين والملخصات كجزء من عملية الاختيار، ثم أُجريت تقييمات للنصوص الكاملة للتأكد من أهلية الدراسة بناءً على معايير الإدراج والاستبعاد المحددة مسبقًا. أظهرت تسع دراسات مجموعة متنوعة من التدخلات الرقمية، بما في ذلك التطبيب عن بُعد والسجلات الصحية الإلكترونية وتطبيقات الصحة المحمولة ومنصات التثقيف الرقمي للمرضى، استوفت متطلبات الإدراج. تشمل النتائج الرئيسية انخفاضًا بنسبة 25٪ في أخطاء الأدوية بعد تطبيق السجلات الصحية الإلكترونية، وتحسينات في التحكم في نسبة السكر في الدم لدى مرضى السكري الذين يستخدمون تطبيقات الصحة المحمولة (متوسط ​​الفرق في مستويات </w:t>
      </w:r>
      <w:r w:rsidRPr="001A7F47">
        <w:rPr>
          <w:lang w:bidi="ar-EG"/>
        </w:rPr>
        <w:t>HbA1c</w:t>
      </w:r>
      <w:r w:rsidRPr="001A7F47">
        <w:rPr>
          <w:rtl/>
          <w:lang w:bidi="ar-EG"/>
        </w:rPr>
        <w:t xml:space="preserve"> بنسبة -0.5٪)، وانخفاضًا في معدلات إعادة دخول المستشفى بين مرضى قصور </w:t>
      </w:r>
      <w:r w:rsidRPr="001A7F47">
        <w:rPr>
          <w:rtl/>
          <w:lang w:bidi="ar-EG"/>
        </w:rPr>
        <w:lastRenderedPageBreak/>
        <w:t>القلب المزمن من خلال تدخلات التطبيب عن بُعد (</w:t>
      </w:r>
      <w:r w:rsidRPr="001A7F47">
        <w:rPr>
          <w:lang w:bidi="ar-EG"/>
        </w:rPr>
        <w:t>RR 0.75</w:t>
      </w:r>
      <w:r w:rsidRPr="001A7F47">
        <w:rPr>
          <w:rtl/>
          <w:lang w:bidi="ar-EG"/>
        </w:rPr>
        <w:t xml:space="preserve">، 95٪ </w:t>
      </w:r>
      <w:r w:rsidRPr="001A7F47">
        <w:rPr>
          <w:lang w:bidi="ar-EG"/>
        </w:rPr>
        <w:t>CI 0.65</w:t>
      </w:r>
      <w:r w:rsidRPr="001A7F47">
        <w:rPr>
          <w:rtl/>
          <w:lang w:bidi="ar-EG"/>
        </w:rPr>
        <w:t xml:space="preserve"> إلى 0.86). تسلط هذه النتائج الضوء على مدى قدرة التقنيات الرقمية على تحسين سلامة المرضى والنتائج الطبية. وفقًا للدراسة المنهجية، فإن للتدخلات الصحية الرقمية تأثيرًا إيجابيًا على نظام الرعاية الصحية السعودي ولديها القدرة على تحسين كل من نتائج المرضى وكفاءة النظام بشكل كبير. وتدعم النتائج أهمية الاستثمار المستمر في تقنيات الصحة الرقمية، على الرغم من العقبات مثل قضايا خصوصية البيانات والحاجة إلى أن يكون العاملون في مجال الرعاية الصحية أكثر دراية بالمجال الرقمي</w:t>
      </w:r>
      <w:sdt>
        <w:sdtPr>
          <w:rPr>
            <w:rtl/>
          </w:rPr>
          <w:id w:val="-176275750"/>
          <w:citation/>
        </w:sdtPr>
        <w:sdtContent>
          <w:r w:rsidRPr="001A7F47">
            <w:rPr>
              <w:rtl/>
            </w:rPr>
            <w:fldChar w:fldCharType="begin"/>
          </w:r>
          <w:r w:rsidRPr="001A7F47">
            <w:instrText xml:space="preserve"> CITATION Muh22 \l 1033 </w:instrText>
          </w:r>
          <w:r w:rsidRPr="001A7F47">
            <w:rPr>
              <w:rtl/>
            </w:rPr>
            <w:fldChar w:fldCharType="separate"/>
          </w:r>
          <w:r>
            <w:rPr>
              <w:noProof/>
            </w:rPr>
            <w:t xml:space="preserve"> (Muhri, 2022)</w:t>
          </w:r>
          <w:r w:rsidRPr="001A7F47">
            <w:rPr>
              <w:rtl/>
            </w:rPr>
            <w:fldChar w:fldCharType="end"/>
          </w:r>
        </w:sdtContent>
      </w:sdt>
      <w:r w:rsidRPr="001A7F47">
        <w:rPr>
          <w:rtl/>
          <w:lang w:bidi="ar-EG"/>
        </w:rPr>
        <w:t>.</w:t>
      </w:r>
    </w:p>
    <w:p w14:paraId="7CDFE05C" w14:textId="77777777" w:rsidR="00E92BDF" w:rsidRPr="001A7F47" w:rsidRDefault="00E92BDF" w:rsidP="00E92BDF">
      <w:pPr>
        <w:pStyle w:val="NoSpacing"/>
        <w:rPr>
          <w:rtl/>
        </w:rPr>
      </w:pPr>
      <w:r w:rsidRPr="001A7F47">
        <w:rPr>
          <w:rtl/>
          <w:lang w:bidi="ar-EG"/>
        </w:rPr>
        <w:t>مع استخدام التقنيات الرقمية والإجراءات المعتمدة على البيانات، أصبحت المعلوماتية الصحية قوة دافعة في قطاع الرعاية الصحية في المملكة العربية السعودية، مما أحدث نقلة نوعية في رعاية المرضى. تتناول هذه المراجعة للأدبيات حالة المعلوماتية الصحية في المملكة اليوم، بما في ذلك مجموعة من المواضيع مثل استخدام الأدوات الرقمية، وإجراءات إدارة البيانات، وتبني التكنولوجيا. ويتم التأكيد على أهمية المعلومات الصحية وفائدتها في المملكة العربية السعودية، مع إيلاء اهتمام خاص لمدى توافقها مع الخطط الوطنية مثل رؤية السعودية 2030 وكيف يمكن أن تُحسّن فعالية الرعاية الصحية وإمكانية الوصول إليها وجودتها. كما يتم دراسة تأثير تطبيقات المعلوماتية الصحية الرئيسية على رعاية المرضى، وتنسيق الرعاية، واستخدام موارد الرعاية الصحية. وتشمل هذه التطبيقات السجلات الصحية الإلكترونية (</w:t>
      </w:r>
      <w:r w:rsidRPr="001A7F47">
        <w:rPr>
          <w:lang w:bidi="ar-EG"/>
        </w:rPr>
        <w:t>EHRs</w:t>
      </w:r>
      <w:r w:rsidRPr="001A7F47">
        <w:rPr>
          <w:rtl/>
          <w:lang w:bidi="ar-EG"/>
        </w:rPr>
        <w:t>)، والتطبيب عن بُعد، وتبادل المعلومات الصحية (</w:t>
      </w:r>
      <w:r w:rsidRPr="001A7F47">
        <w:rPr>
          <w:lang w:bidi="ar-EG"/>
        </w:rPr>
        <w:t>HIE</w:t>
      </w:r>
      <w:r w:rsidRPr="001A7F47">
        <w:rPr>
          <w:rtl/>
          <w:lang w:bidi="ar-EG"/>
        </w:rPr>
        <w:t>)، وتطبيقات الصحة المتنقلة (</w:t>
      </w:r>
      <w:r w:rsidRPr="001A7F47">
        <w:rPr>
          <w:lang w:bidi="ar-EG"/>
        </w:rPr>
        <w:t>mHealth</w:t>
      </w:r>
      <w:r w:rsidRPr="001A7F47">
        <w:rPr>
          <w:rtl/>
          <w:lang w:bidi="ar-EG"/>
        </w:rPr>
        <w:t>). إلى جانب برامج وسياسات الحكومة لمعالجة هذه الصعوبات، يتم تغطية التحديات والاعتبارات المتعلقة بتدريب القوى العاملة، والتوافق التشغيلي، وخصوصية البيانات وأمنها، والعوامل المالية. يستكشف التقييم أيضًا إمكانيات المعلوماتية الصحية في المملكة العربية السعودية، مسلطًا الضوء على التزام المملكة بتحويل الرعاية الصحية الرقمية، والاستثمارات الكبيرة في البحث والتطوير، والطب الدقيق. باختصار، تتمتع المملكة بمكانة متميزة تؤهلها لقيادة التطورات في هذا المجال على المستويين الإقليمي والدولي من خلال معالجة القضايا الراهنة واغتنام الفرص الجديدة. وتتمتع المعلوماتية الصحية بإمكانيات هائلة لإحداث نقلة نوعية في الرعاية الصحية في المملكة العربية السعودية</w:t>
      </w:r>
      <w:sdt>
        <w:sdtPr>
          <w:rPr>
            <w:rtl/>
          </w:rPr>
          <w:id w:val="2104527681"/>
          <w:citation/>
        </w:sdtPr>
        <w:sdtContent>
          <w:r w:rsidRPr="001A7F47">
            <w:rPr>
              <w:rtl/>
            </w:rPr>
            <w:fldChar w:fldCharType="begin"/>
          </w:r>
          <w:r w:rsidRPr="001A7F47">
            <w:instrText xml:space="preserve"> CITATION Alo241 \l 1033 </w:instrText>
          </w:r>
          <w:r w:rsidRPr="001A7F47">
            <w:rPr>
              <w:rtl/>
            </w:rPr>
            <w:fldChar w:fldCharType="separate"/>
          </w:r>
          <w:r>
            <w:rPr>
              <w:noProof/>
            </w:rPr>
            <w:t xml:space="preserve"> (Alotaibi, 2024)</w:t>
          </w:r>
          <w:r w:rsidRPr="001A7F47">
            <w:rPr>
              <w:rtl/>
            </w:rPr>
            <w:fldChar w:fldCharType="end"/>
          </w:r>
        </w:sdtContent>
      </w:sdt>
      <w:r w:rsidRPr="001A7F47">
        <w:rPr>
          <w:rtl/>
          <w:lang w:bidi="ar-EG"/>
        </w:rPr>
        <w:t>.</w:t>
      </w:r>
    </w:p>
    <w:p w14:paraId="33AF15C5" w14:textId="77777777" w:rsidR="00E92BDF" w:rsidRPr="00D9746A" w:rsidRDefault="00E92BDF" w:rsidP="00E92BDF">
      <w:pPr>
        <w:pStyle w:val="NoSpacing"/>
        <w:rPr>
          <w:rFonts w:hint="cs"/>
          <w:rtl/>
          <w:lang w:bidi="ar-EG"/>
        </w:rPr>
      </w:pPr>
      <w:r w:rsidRPr="00D9746A">
        <w:rPr>
          <w:rtl/>
        </w:rPr>
        <w:t xml:space="preserve">يُسلّط ظهور الرعاية الصحية الافتراضية الضوء على كيفية إحداث التقنيات الرقمية ثورةً في قطاع الرعاية الصحية. يشهد قطاع الرعاية الصحية الافتراضية نموًا غير مسبوق نتيجةً للتقدم التكنولوجي والحاجة المتزايدة لخدمات رعاية صحية سهلة الوصول ومريحة في جميع أنحاء العالم. تتبنى المملكة العربية السعودية بنشاط الابتكار الرقمي في قطاع الرعاية الصحية كجزء من مشروعها الطموح "رؤية 2030". تناولنا في هذه المراجعة السردية العوامل الرئيسية الكامنة وراء الرعاية الصحية الافتراضية في المملكة العربية السعودية وإمكانياتها المستقبلية، مُركّزين على كيفية تحسين نتائج المرضى </w:t>
      </w:r>
      <w:r w:rsidRPr="00D9746A">
        <w:rPr>
          <w:rtl/>
        </w:rPr>
        <w:lastRenderedPageBreak/>
        <w:t>وجودة الخدمات وإمكانية الوصول إليها. كما قدّمنا لمحةً عامة عن كيفية مساهمة جائحة كوفيد-19 في التحوّل الرقمي لنظام الرعاية الصحية في البلاد. كما تم شرح الخدمات الطبية التي يُقدّمها مستشفى "صحة" الافتراضي في المملكة العربية السعودية، وهو أكبر وأول مستشفى افتراضي في الشرق الأوسط. وأخيرًا، وضعنا خطةً للنمو المستقبلي لقطاع الصحة الافتراضية في البلاد. إنّ تحسين تجارب المرضى، وتحسين النتائج، وتعزيز رفاهية السكان، كلها أمورٌ ممكنةٌ من خلال دمج الرعاية الصحية الافتراضية في نظام الرعاية الصحية الحالي. ولكن للتغلب على العقبات وضمان النشر الفعال والاستمرارية الطويلة الأجل للرعاية الصحية الافتراضية في البلاد، فإن الإعداد الدقيق والتعاون والتمويل أمر ضروري</w:t>
      </w:r>
      <w:sdt>
        <w:sdtPr>
          <w:rPr>
            <w:rtl/>
          </w:rPr>
          <w:id w:val="616026710"/>
          <w:citation/>
        </w:sdtPr>
        <w:sdtContent>
          <w:r>
            <w:rPr>
              <w:rtl/>
            </w:rPr>
            <w:fldChar w:fldCharType="begin"/>
          </w:r>
          <w:r>
            <w:instrText xml:space="preserve"> CITATION She242 \l 1033 </w:instrText>
          </w:r>
          <w:r>
            <w:rPr>
              <w:rtl/>
            </w:rPr>
            <w:fldChar w:fldCharType="separate"/>
          </w:r>
          <w:r>
            <w:rPr>
              <w:noProof/>
            </w:rPr>
            <w:t xml:space="preserve"> (Sheerah, 2024)</w:t>
          </w:r>
          <w:r>
            <w:rPr>
              <w:rtl/>
            </w:rPr>
            <w:fldChar w:fldCharType="end"/>
          </w:r>
        </w:sdtContent>
      </w:sdt>
      <w:r w:rsidRPr="00D9746A">
        <w:rPr>
          <w:rtl/>
        </w:rPr>
        <w:t>.</w:t>
      </w:r>
    </w:p>
    <w:p w14:paraId="5EE2F337" w14:textId="77777777" w:rsidR="00E92BDF" w:rsidRPr="001A7F47" w:rsidRDefault="00E92BDF" w:rsidP="00E92BDF">
      <w:pPr>
        <w:pStyle w:val="NoSpacing"/>
        <w:rPr>
          <w:rtl/>
        </w:rPr>
      </w:pPr>
      <w:r w:rsidRPr="001A7F47">
        <w:rPr>
          <w:rFonts w:hint="cs"/>
          <w:rtl/>
          <w:lang w:bidi="ar"/>
        </w:rPr>
        <w:t xml:space="preserve">تُحدث الخطة الوطنية لرؤية 2030، التي تسعى إلى رفع مستوى خدمات الرعاية الصحية وإمكانية الوصول إليها وفعاليتها، إصلاحًا شاملاً لنظام الرعاية الصحية في المملكة العربية السعودية. ويُعزى هذا التغيير في الغالب إلى تكنولوجيا الصحة الرقمية، بما في ذلك التطبيب عن بُعد وتطبيقات الصحة عبر الهاتف المحمول والسجلات الصحية الإلكترونية. تبحث هذه الدراسة في مجموعة الأبحاث المتعلقة بتكامل الصحة الرقمية في المملكة العربية السعودية وكيف يؤثر ذلك على إدارة المستشفيات وعلاج طب الأسنان وممارسة التمريض في ضوء رؤية 2030. بالنسبة للدراسات المنشورة بين عامي 2018 و2024، تم إجراء بحث شامل في قواعد بيانات </w:t>
      </w:r>
      <w:r w:rsidRPr="001A7F47">
        <w:rPr>
          <w:rFonts w:hint="cs"/>
          <w:lang w:bidi="ar-EG"/>
        </w:rPr>
        <w:t>PubMed</w:t>
      </w:r>
      <w:r w:rsidRPr="001A7F47">
        <w:rPr>
          <w:rFonts w:hint="cs"/>
          <w:rtl/>
          <w:lang w:bidi="ar"/>
        </w:rPr>
        <w:t xml:space="preserve"> و</w:t>
      </w:r>
      <w:r w:rsidRPr="001A7F47">
        <w:rPr>
          <w:rFonts w:hint="cs"/>
          <w:lang w:bidi="ar-EG"/>
        </w:rPr>
        <w:t>Scopus</w:t>
      </w:r>
      <w:r w:rsidRPr="001A7F47">
        <w:rPr>
          <w:rFonts w:hint="cs"/>
          <w:rtl/>
          <w:lang w:bidi="ar"/>
        </w:rPr>
        <w:t xml:space="preserve"> و</w:t>
      </w:r>
      <w:r w:rsidRPr="001A7F47">
        <w:rPr>
          <w:rFonts w:hint="cs"/>
          <w:lang w:bidi="ar-EG"/>
        </w:rPr>
        <w:t>Web of Science</w:t>
      </w:r>
      <w:r w:rsidRPr="001A7F47">
        <w:rPr>
          <w:rFonts w:hint="cs"/>
          <w:rtl/>
          <w:lang w:bidi="ar"/>
        </w:rPr>
        <w:t xml:space="preserve"> باستخدام كلمات رئيسية مثل "الصحة الرقمية" و"الصحة الإلكترونية" و"التمريض" و"إدارة المستشفيات" و"رعاية الأسنان" و"المملكة العربية السعودية". تتضمن المراجعة ما مجموعه 28 دراسة استوفت معايير الإدراج. ووفقًا للنتائج، أصبحت تقنيات الصحة الرقمية أكثر شيوعًا في المملكة العربية السعودية؛ ومع ذلك، هناك عدد من العوائق التي تحول دون تبنيها، بما في ذلك نقص البنية التحتية، ونقص الكوادر، ومعارضة التغيير. ومن بين التبعات المترتبة على ممارسة التمريض الرعايةُ المتمركزة حول المريض، والعمل الجماعي متعدد التخصصات، وكفاءات الصحة الرقمية. وتشمل التبعات على إدارة المستشفيات ضرورةَ اتخاذ القرارات القائمة على البيانات، وإدارة التغيير، والتخطيط الاستراتيجي. كما يُعد التصوير الرقمي، وتثقيف المرضى، وطب الأسنان عن بُعد من التبعات المترتبة على رعاية الأسنان. ويؤكد التقييم على الحاجة إلى دراسة إضافية لتحديد أفضل أساليب نشرها واستدامتها، بالإضافة إلى آثار تكامل الصحة الرقمية على نتائج الرعاية الصحية، وتكاليفها، ورضا المرضى في المملكة العربية السعودية</w:t>
      </w:r>
      <w:sdt>
        <w:sdtPr>
          <w:rPr>
            <w:rFonts w:hint="cs"/>
            <w:rtl/>
          </w:rPr>
          <w:id w:val="771755953"/>
          <w:citation/>
        </w:sdtPr>
        <w:sdtContent>
          <w:r w:rsidRPr="001A7F47">
            <w:rPr>
              <w:rtl/>
            </w:rPr>
            <w:fldChar w:fldCharType="begin"/>
          </w:r>
          <w:r w:rsidRPr="001A7F47">
            <w:instrText xml:space="preserve"> CITATION Ala242 \l 1033 </w:instrText>
          </w:r>
          <w:r w:rsidRPr="001A7F47">
            <w:rPr>
              <w:rtl/>
            </w:rPr>
            <w:fldChar w:fldCharType="separate"/>
          </w:r>
          <w:r>
            <w:rPr>
              <w:noProof/>
            </w:rPr>
            <w:t xml:space="preserve"> (Alanazi, 2024)</w:t>
          </w:r>
          <w:r w:rsidRPr="001A7F47">
            <w:rPr>
              <w:rtl/>
            </w:rPr>
            <w:fldChar w:fldCharType="end"/>
          </w:r>
        </w:sdtContent>
      </w:sdt>
      <w:r w:rsidRPr="001A7F47">
        <w:rPr>
          <w:rFonts w:hint="cs"/>
          <w:rtl/>
          <w:lang w:bidi="ar"/>
        </w:rPr>
        <w:t>.</w:t>
      </w:r>
    </w:p>
    <w:p w14:paraId="43997E37" w14:textId="77777777" w:rsidR="00E92BDF" w:rsidRPr="00883DE8" w:rsidRDefault="00E92BDF" w:rsidP="00E92BDF">
      <w:pPr>
        <w:pStyle w:val="NoSpacing"/>
        <w:rPr>
          <w:rFonts w:hint="cs"/>
          <w:rtl/>
          <w:lang w:bidi="ar-EG"/>
        </w:rPr>
      </w:pPr>
    </w:p>
    <w:p w14:paraId="728BD9C5" w14:textId="77777777" w:rsidR="00E92BDF" w:rsidRPr="00883DE8" w:rsidRDefault="00E92BDF" w:rsidP="00E92BDF">
      <w:pPr>
        <w:pStyle w:val="NoSpacing"/>
        <w:rPr>
          <w:rFonts w:hint="cs"/>
          <w:rtl/>
          <w:lang w:bidi="ar-EG"/>
        </w:rPr>
      </w:pPr>
    </w:p>
    <w:p w14:paraId="7A2E59F1" w14:textId="77777777" w:rsidR="00E92BDF" w:rsidRDefault="00E92BDF" w:rsidP="00E92BDF">
      <w:pPr>
        <w:pStyle w:val="NoSpacing"/>
        <w:rPr>
          <w:rFonts w:hint="cs"/>
          <w:rtl/>
          <w:lang w:bidi="ar-EG"/>
        </w:rPr>
      </w:pPr>
    </w:p>
    <w:p w14:paraId="5F3D6AA9" w14:textId="77777777" w:rsidR="00E92BDF" w:rsidRDefault="00E92BDF" w:rsidP="00E92BDF">
      <w:pPr>
        <w:spacing w:line="360" w:lineRule="auto"/>
        <w:rPr>
          <w:rFonts w:ascii="Sakkal Majalla" w:hAnsi="Sakkal Majalla" w:cs="Sakkal Majalla"/>
          <w:sz w:val="28"/>
          <w:szCs w:val="28"/>
          <w:rtl/>
        </w:rPr>
      </w:pPr>
    </w:p>
    <w:p w14:paraId="5231B5D4" w14:textId="77777777" w:rsidR="00E92BDF" w:rsidRPr="00847E70" w:rsidRDefault="00E92BDF" w:rsidP="00E92BDF">
      <w:pPr>
        <w:spacing w:line="360" w:lineRule="auto"/>
        <w:rPr>
          <w:rFonts w:ascii="Sakkal Majalla" w:hAnsi="Sakkal Majalla" w:cs="Sakkal Majalla"/>
          <w:sz w:val="28"/>
          <w:szCs w:val="28"/>
          <w:rtl/>
        </w:rPr>
      </w:pPr>
    </w:p>
    <w:p w14:paraId="58195716" w14:textId="77777777" w:rsidR="00E92BDF" w:rsidRPr="00365FB4" w:rsidRDefault="00E92BDF" w:rsidP="00E92BDF">
      <w:pPr>
        <w:pStyle w:val="Heading2"/>
        <w:rPr>
          <w:rtl/>
        </w:rPr>
      </w:pPr>
      <w:bookmarkStart w:id="42" w:name="_Toc191138781"/>
      <w:r w:rsidRPr="00365FB4">
        <w:rPr>
          <w:rtl/>
        </w:rPr>
        <w:t>الإطار النظري</w:t>
      </w:r>
      <w:bookmarkEnd w:id="40"/>
      <w:bookmarkEnd w:id="41"/>
      <w:bookmarkEnd w:id="42"/>
    </w:p>
    <w:p w14:paraId="5F2ED55C" w14:textId="77777777" w:rsidR="00E92BDF" w:rsidRPr="008C6507" w:rsidRDefault="00E92BDF" w:rsidP="00E92BDF">
      <w:pPr>
        <w:spacing w:after="0" w:line="360" w:lineRule="auto"/>
      </w:pPr>
    </w:p>
    <w:p w14:paraId="22BC199E" w14:textId="77777777" w:rsidR="00E92BDF" w:rsidRDefault="00E92BDF" w:rsidP="00E92BDF">
      <w:pPr>
        <w:spacing w:after="0" w:line="360" w:lineRule="auto"/>
        <w:rPr>
          <w:rtl/>
        </w:rPr>
      </w:pPr>
      <w:r>
        <w:object w:dxaOrig="8805" w:dyaOrig="2505" w14:anchorId="78C99D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125.25pt" o:ole="">
            <v:imagedata r:id="rId6" o:title=""/>
          </v:shape>
          <o:OLEObject Type="Embed" ProgID="Visio.Drawing.15" ShapeID="_x0000_i1025" DrawAspect="Content" ObjectID="_1813749968" r:id="rId7"/>
        </w:object>
      </w:r>
    </w:p>
    <w:p w14:paraId="252F8B28" w14:textId="77777777" w:rsidR="00E92BDF" w:rsidRDefault="00E92BDF" w:rsidP="00E92BDF">
      <w:pPr>
        <w:pStyle w:val="Caption"/>
        <w:rPr>
          <w:rtl/>
          <w:lang w:bidi="ar-EG"/>
        </w:rPr>
      </w:pPr>
      <w:bookmarkStart w:id="43" w:name="_Toc203137198"/>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w:t>
      </w:r>
      <w:r w:rsidRPr="006C66D5">
        <w:rPr>
          <w:rFonts w:cs="Arial" w:hint="eastAsia"/>
          <w:noProof/>
          <w:rtl/>
          <w:lang w:bidi="ar-EG"/>
        </w:rPr>
        <w:t>الإطار</w:t>
      </w:r>
      <w:r w:rsidRPr="006C66D5">
        <w:rPr>
          <w:rFonts w:cs="Arial"/>
          <w:noProof/>
          <w:rtl/>
          <w:lang w:bidi="ar-EG"/>
        </w:rPr>
        <w:t xml:space="preserve"> </w:t>
      </w:r>
      <w:r w:rsidRPr="006C66D5">
        <w:rPr>
          <w:rFonts w:cs="Arial" w:hint="eastAsia"/>
          <w:noProof/>
          <w:rtl/>
          <w:lang w:bidi="ar-EG"/>
        </w:rPr>
        <w:t>النظري</w:t>
      </w:r>
      <w:r w:rsidRPr="006C66D5">
        <w:rPr>
          <w:rFonts w:cs="Arial"/>
          <w:noProof/>
          <w:rtl/>
          <w:lang w:bidi="ar-EG"/>
        </w:rPr>
        <w:t xml:space="preserve"> </w:t>
      </w:r>
      <w:r w:rsidRPr="006C66D5">
        <w:rPr>
          <w:rFonts w:cs="Arial" w:hint="eastAsia"/>
          <w:noProof/>
          <w:rtl/>
          <w:lang w:bidi="ar-EG"/>
        </w:rPr>
        <w:t>للدراسة</w:t>
      </w:r>
      <w:bookmarkEnd w:id="43"/>
      <w:r>
        <w:rPr>
          <w:rFonts w:cs="Arial" w:hint="cs"/>
          <w:noProof/>
          <w:rtl/>
          <w:lang w:bidi="ar-EG"/>
        </w:rPr>
        <w:t xml:space="preserve"> </w:t>
      </w:r>
    </w:p>
    <w:p w14:paraId="2BFA3F52" w14:textId="77777777" w:rsidR="00E92BDF" w:rsidRDefault="00E92BDF" w:rsidP="00E92BDF">
      <w:pPr>
        <w:pStyle w:val="NoSpacing"/>
        <w:rPr>
          <w:rtl/>
        </w:rPr>
      </w:pPr>
      <w:r>
        <w:rPr>
          <w:rtl/>
        </w:rPr>
        <w:t>تصف النظريات العلمية التي تدعم هذه الدراسة كيفية تبنّي التكنولوجيا واستخدامها في الشركات، وخاصةً في قطاع الرعاية الصحية، وكيف يُمكنها تعزيز فعالية وجودة تقديم خدمات الرعاية الصحية. تُبرهن هذه الفرضيات الخمس على وجود جوانب سلوكية وإدارية وثقافية وتقنية للعلاقة بين الصحة الرقمية وكفاءة الرعاية الصحية، وليست مجرد علاقة ميكانيكية مباشرة. بالإضافة إلى ذلك، تُقدم هذه النظريات إطارًا شاملاً يُساعد في تفسير النتائج، وتوجيه أدوات البحث، ودراسة المتغيرات التي تؤثر على نجاح أو فشل استخدام تكنولوجيا الصحة الرقمية في المستشفيات السعودية.</w:t>
      </w:r>
    </w:p>
    <w:p w14:paraId="3A5BF2B3" w14:textId="77777777" w:rsidR="00E92BDF" w:rsidRDefault="00E92BDF" w:rsidP="00E92BDF">
      <w:pPr>
        <w:pStyle w:val="NoSpacing"/>
        <w:rPr>
          <w:rtl/>
        </w:rPr>
      </w:pPr>
    </w:p>
    <w:p w14:paraId="747A828F" w14:textId="77777777" w:rsidR="00E92BDF" w:rsidRDefault="00E92BDF" w:rsidP="00E92BDF">
      <w:pPr>
        <w:pStyle w:val="NoSpacing"/>
        <w:rPr>
          <w:rtl/>
        </w:rPr>
      </w:pPr>
    </w:p>
    <w:p w14:paraId="1AEF975F" w14:textId="77777777" w:rsidR="00E92BDF" w:rsidRDefault="00E92BDF" w:rsidP="00E92BDF">
      <w:pPr>
        <w:pStyle w:val="NoSpacing"/>
        <w:rPr>
          <w:rtl/>
        </w:rPr>
      </w:pPr>
    </w:p>
    <w:p w14:paraId="748ECEE1" w14:textId="77777777" w:rsidR="00E92BDF" w:rsidRDefault="00E92BDF" w:rsidP="00E92BDF">
      <w:pPr>
        <w:pStyle w:val="NoSpacing"/>
        <w:rPr>
          <w:rtl/>
        </w:rPr>
      </w:pPr>
    </w:p>
    <w:p w14:paraId="25A396DC" w14:textId="77777777" w:rsidR="00E92BDF" w:rsidRDefault="00E92BDF" w:rsidP="00E92BDF">
      <w:pPr>
        <w:pStyle w:val="NoSpacing"/>
        <w:rPr>
          <w:rtl/>
        </w:rPr>
      </w:pPr>
    </w:p>
    <w:p w14:paraId="0FDF38FC" w14:textId="77777777" w:rsidR="00E92BDF" w:rsidRDefault="00E92BDF" w:rsidP="00E92BDF">
      <w:pPr>
        <w:pStyle w:val="NoSpacing"/>
        <w:rPr>
          <w:rtl/>
        </w:rPr>
      </w:pPr>
    </w:p>
    <w:p w14:paraId="0199E4D5" w14:textId="77777777" w:rsidR="00E92BDF" w:rsidRDefault="00E92BDF" w:rsidP="00E92BDF">
      <w:pPr>
        <w:pStyle w:val="NoSpacing"/>
        <w:rPr>
          <w:rtl/>
        </w:rPr>
      </w:pPr>
    </w:p>
    <w:p w14:paraId="07EC6539" w14:textId="77777777" w:rsidR="00E92BDF" w:rsidRDefault="00E92BDF" w:rsidP="00E92BDF">
      <w:pPr>
        <w:pStyle w:val="NoSpacing"/>
        <w:rPr>
          <w:rtl/>
        </w:rPr>
      </w:pPr>
    </w:p>
    <w:p w14:paraId="12F3E4C6" w14:textId="77777777" w:rsidR="00E92BDF" w:rsidRDefault="00E92BDF" w:rsidP="00E92BDF">
      <w:pPr>
        <w:pStyle w:val="NoSpacing"/>
        <w:rPr>
          <w:rtl/>
        </w:rPr>
      </w:pPr>
    </w:p>
    <w:p w14:paraId="319C2D3A" w14:textId="77777777" w:rsidR="00E92BDF" w:rsidRDefault="00E92BDF" w:rsidP="00E92BDF">
      <w:pPr>
        <w:pStyle w:val="NoSpacing"/>
        <w:rPr>
          <w:rtl/>
        </w:rPr>
      </w:pPr>
    </w:p>
    <w:p w14:paraId="4F7FC91F" w14:textId="77777777" w:rsidR="00E92BDF" w:rsidRDefault="00E92BDF" w:rsidP="00E92BDF">
      <w:pPr>
        <w:pStyle w:val="Style1"/>
        <w:rPr>
          <w:rtl/>
        </w:rPr>
      </w:pPr>
      <w:r>
        <w:rPr>
          <w:rtl/>
        </w:rPr>
        <w:t xml:space="preserve"> نظرية انتشار الابتكار لإيفرت روجرز</w:t>
      </w:r>
    </w:p>
    <w:p w14:paraId="7453918C" w14:textId="77777777" w:rsidR="00E92BDF" w:rsidRDefault="00E92BDF" w:rsidP="00E92BDF">
      <w:pPr>
        <w:pStyle w:val="NoSpacing"/>
        <w:rPr>
          <w:rtl/>
        </w:rPr>
      </w:pPr>
      <w:r>
        <w:rPr>
          <w:rtl/>
        </w:rPr>
        <w:t>تُعدّ هذه الفرضية من أهم الأسس النظرية لفهم كيفية تبنّي الأفراد والمؤسسات للأفكار الجديدة. ووفقًا لروجرز، فإن المراحل الخمس الرئيسية لانتشار الابتكار هي: المعرفة، والإقناع، واتخاذ القرار، والتنفيذ، والتأكيد. كما يُسلّط الضوء على كيفية تأثير جوانب مثل سهولة الاستخدام والتجريب والقدرات الرصدية على قبول التكنولوجيا. تُوضّح هذه الفرضية أسباب نجاح أو فشل المستشفيات السعودية في نشر تكنولوجيا الصحة الرقمية بنجاح لزيادة كفاءة الرعاية الصحية، وتُساعد في فهم الاختلافات في التبني بين هذه المستشفيات</w:t>
      </w:r>
      <w:sdt>
        <w:sdtPr>
          <w:rPr>
            <w:rtl/>
          </w:rPr>
          <w:id w:val="-579222679"/>
          <w:citation/>
        </w:sdtPr>
        <w:sdtContent>
          <w:r>
            <w:rPr>
              <w:rtl/>
            </w:rPr>
            <w:fldChar w:fldCharType="begin"/>
          </w:r>
          <w:r>
            <w:instrText xml:space="preserve"> CITATION Guo243 \l 1033 </w:instrText>
          </w:r>
          <w:r>
            <w:rPr>
              <w:rtl/>
            </w:rPr>
            <w:fldChar w:fldCharType="separate"/>
          </w:r>
          <w:r>
            <w:rPr>
              <w:noProof/>
            </w:rPr>
            <w:t xml:space="preserve"> (Guo, 2024)</w:t>
          </w:r>
          <w:r>
            <w:rPr>
              <w:rtl/>
            </w:rPr>
            <w:fldChar w:fldCharType="end"/>
          </w:r>
        </w:sdtContent>
      </w:sdt>
      <w:r>
        <w:rPr>
          <w:rtl/>
        </w:rPr>
        <w:t>.</w:t>
      </w:r>
    </w:p>
    <w:p w14:paraId="4503A3F1" w14:textId="77777777" w:rsidR="00E92BDF" w:rsidRDefault="00E92BDF" w:rsidP="00E92BDF">
      <w:pPr>
        <w:pStyle w:val="Style1"/>
        <w:rPr>
          <w:rtl/>
        </w:rPr>
      </w:pPr>
      <w:r>
        <w:rPr>
          <w:rtl/>
        </w:rPr>
        <w:t xml:space="preserve"> نموذج قبول التكنولوجيا (</w:t>
      </w:r>
      <w:r>
        <w:t>TAM</w:t>
      </w:r>
      <w:r>
        <w:rPr>
          <w:rtl/>
        </w:rPr>
        <w:t>)</w:t>
      </w:r>
    </w:p>
    <w:p w14:paraId="37B52699" w14:textId="77777777" w:rsidR="00E92BDF" w:rsidRDefault="00E92BDF" w:rsidP="00E92BDF">
      <w:pPr>
        <w:pStyle w:val="NoSpacing"/>
        <w:rPr>
          <w:rtl/>
        </w:rPr>
      </w:pPr>
      <w:r>
        <w:rPr>
          <w:rtl/>
        </w:rPr>
        <w:t>تُركّز هذه الفكرة على كيفية تبنّي المستخدمين للتكنولوجيا، وتُطبّق بكثرة في دراسات التكنولوجيا. وتفترض أن "الفائدة المتوقعة" و"سهولة الاستخدام المتوقعة" هما العاملان الرئيسيان المُحدّدان لنية الشخص في استخدام أي تكنولوجيا جديدة. تنصّ هذه الفكرة على أن مدى اعتقاد الأطباء والممرضين والمرضى بأن تكنولوجيا الصحة الرقمية ستُسهّل عملهم وتُضيف قيمةً سيُحدّد مدى قبولهم لهذه الأنظمة. ونتيجةً لذلك، تُعدّ هذه الفرضية بالغة الأهمية لتوضيح جانب مُحدّد من جوانب البحث حول تبنّي المستخدمين للتقنيات الصحية</w:t>
      </w:r>
      <w:sdt>
        <w:sdtPr>
          <w:rPr>
            <w:rtl/>
          </w:rPr>
          <w:id w:val="-986861894"/>
          <w:citation/>
        </w:sdtPr>
        <w:sdtContent>
          <w:r>
            <w:rPr>
              <w:rtl/>
            </w:rPr>
            <w:fldChar w:fldCharType="begin"/>
          </w:r>
          <w:r>
            <w:rPr>
              <w:lang w:bidi="ar-EG"/>
            </w:rPr>
            <w:instrText xml:space="preserve"> CITATION Nat22 \l 1033 </w:instrText>
          </w:r>
          <w:r>
            <w:rPr>
              <w:rtl/>
            </w:rPr>
            <w:fldChar w:fldCharType="separate"/>
          </w:r>
          <w:r>
            <w:rPr>
              <w:noProof/>
              <w:lang w:bidi="ar-EG"/>
            </w:rPr>
            <w:t xml:space="preserve"> (Natasia, 2022)</w:t>
          </w:r>
          <w:r>
            <w:rPr>
              <w:rtl/>
            </w:rPr>
            <w:fldChar w:fldCharType="end"/>
          </w:r>
        </w:sdtContent>
      </w:sdt>
      <w:r>
        <w:rPr>
          <w:rtl/>
        </w:rPr>
        <w:t>.</w:t>
      </w:r>
    </w:p>
    <w:p w14:paraId="3B969173" w14:textId="77777777" w:rsidR="00E92BDF" w:rsidRDefault="00E92BDF" w:rsidP="00E92BDF">
      <w:pPr>
        <w:pStyle w:val="Style1"/>
        <w:rPr>
          <w:rtl/>
        </w:rPr>
      </w:pPr>
      <w:r>
        <w:rPr>
          <w:rtl/>
        </w:rPr>
        <w:t xml:space="preserve"> نظرية النظم الاجتماعية-التقنية</w:t>
      </w:r>
    </w:p>
    <w:p w14:paraId="1A56C8C3" w14:textId="77777777" w:rsidR="00E92BDF" w:rsidRPr="001A7F47" w:rsidRDefault="00E92BDF" w:rsidP="00E92BDF">
      <w:pPr>
        <w:pStyle w:val="NoSpacing"/>
        <w:rPr>
          <w:rtl/>
        </w:rPr>
      </w:pPr>
      <w:r w:rsidRPr="001A7F47">
        <w:rPr>
          <w:rtl/>
        </w:rPr>
        <w:t>وفقًا لهذه النظرية، تُعتبر المؤسسات أنظمةً مكونةً من جزأين مترابطين: الجانب الاجتماعي (الأفراد، الثقافة، العلاقات) والجانب التقني (الأنظمة، الأجهزة، البرمجيات). ووفقًا لهذا الرأي، لا يمكن لأي تقنية أن تنجح إلا إذا كانت متوافقة مع السياق الاجتماعي والثقافي الذي تُستخدم فيه. وفي ضوء الدراسة الحالية، تُؤكد هذه النظرية على أهمية تحقيق التوازن بين الاستثمار في البنية التحتية الرقمية للمستشفيات والمهارات المهنية والثقافية للموارد البشرية من أجل استخدامها بفعالية. كما تُساعد في تحليل القضايا المتعلقة بالتدريب المهني، وقبول التغيير، وثقافة مكان العمل</w:t>
      </w:r>
      <w:sdt>
        <w:sdtPr>
          <w:rPr>
            <w:rtl/>
          </w:rPr>
          <w:id w:val="554900494"/>
          <w:citation/>
        </w:sdtPr>
        <w:sdtContent>
          <w:r w:rsidRPr="001A7F47">
            <w:rPr>
              <w:rtl/>
            </w:rPr>
            <w:fldChar w:fldCharType="begin"/>
          </w:r>
          <w:r w:rsidRPr="001A7F47">
            <w:instrText xml:space="preserve"> CITATION Gov231 \l 1033 </w:instrText>
          </w:r>
          <w:r w:rsidRPr="001A7F47">
            <w:rPr>
              <w:rtl/>
            </w:rPr>
            <w:fldChar w:fldCharType="separate"/>
          </w:r>
          <w:r>
            <w:rPr>
              <w:noProof/>
            </w:rPr>
            <w:t xml:space="preserve"> (Govers, 2023)</w:t>
          </w:r>
          <w:r w:rsidRPr="001A7F47">
            <w:rPr>
              <w:rtl/>
            </w:rPr>
            <w:fldChar w:fldCharType="end"/>
          </w:r>
        </w:sdtContent>
      </w:sdt>
      <w:r w:rsidRPr="001A7F47">
        <w:rPr>
          <w:rtl/>
        </w:rPr>
        <w:t>.</w:t>
      </w:r>
    </w:p>
    <w:p w14:paraId="0E60AE78" w14:textId="77777777" w:rsidR="00E92BDF" w:rsidRDefault="00E92BDF" w:rsidP="00E92BDF">
      <w:pPr>
        <w:pStyle w:val="Style1"/>
        <w:rPr>
          <w:rtl/>
        </w:rPr>
      </w:pPr>
      <w:r>
        <w:rPr>
          <w:rtl/>
        </w:rPr>
        <w:t xml:space="preserve"> نظرية إدارة الجودة الشاملة (</w:t>
      </w:r>
      <w:r>
        <w:t>TQM</w:t>
      </w:r>
      <w:r>
        <w:rPr>
          <w:rtl/>
        </w:rPr>
        <w:t>)</w:t>
      </w:r>
    </w:p>
    <w:p w14:paraId="2E11EBF7" w14:textId="77777777" w:rsidR="00E92BDF" w:rsidRPr="001A7F47" w:rsidRDefault="00E92BDF" w:rsidP="00E92BDF">
      <w:pPr>
        <w:pStyle w:val="NoSpacing"/>
        <w:rPr>
          <w:rtl/>
        </w:rPr>
      </w:pPr>
      <w:r w:rsidRPr="001A7F47">
        <w:rPr>
          <w:rtl/>
        </w:rPr>
        <w:lastRenderedPageBreak/>
        <w:t>تتمحور فلسفة الإدارة المعروفة باسم إدارة الجودة الشاملة (</w:t>
      </w:r>
      <w:r w:rsidRPr="001A7F47">
        <w:t>TQM</w:t>
      </w:r>
      <w:r w:rsidRPr="001A7F47">
        <w:rPr>
          <w:rtl/>
        </w:rPr>
        <w:t>) حول التحسين المستمر لجودة الخدمات والإجراءات التي تُقدمها المؤسسات. وترى هذه النظرية أن التكنولوجيا أداةٌ حيويةٌ للوصول إلى أعلى مستويات الجودة. تدعم هذه الفكرة استخدام أنظمة الصحة الرقمية في قطاع الرعاية الصحية ليس فقط لتوفير المال أو الوقت، ولكن أيضًا لضمان رضا المرضى وتحقيق درجة عالية من السلامة والدقة. تدعم هذه الفكرة العلاقة بين استخدام التكنولوجيا لتحسين جودة الخدمة الشاملة والكفاءة التشغيلية، والتي تهدف الدراسة إلى قياسها ودراستها في المستشفيات السعودية</w:t>
      </w:r>
      <w:sdt>
        <w:sdtPr>
          <w:rPr>
            <w:rtl/>
          </w:rPr>
          <w:id w:val="-1512212438"/>
          <w:citation/>
        </w:sdtPr>
        <w:sdtContent>
          <w:r w:rsidRPr="001A7F47">
            <w:rPr>
              <w:rtl/>
            </w:rPr>
            <w:fldChar w:fldCharType="begin"/>
          </w:r>
          <w:r w:rsidRPr="001A7F47">
            <w:instrText xml:space="preserve"> CITATION Dan18 \l 1033 </w:instrText>
          </w:r>
          <w:r w:rsidRPr="001A7F47">
            <w:rPr>
              <w:rtl/>
            </w:rPr>
            <w:fldChar w:fldCharType="separate"/>
          </w:r>
          <w:r>
            <w:rPr>
              <w:noProof/>
            </w:rPr>
            <w:t xml:space="preserve"> (Daniel, 2018)</w:t>
          </w:r>
          <w:r w:rsidRPr="001A7F47">
            <w:rPr>
              <w:rtl/>
            </w:rPr>
            <w:fldChar w:fldCharType="end"/>
          </w:r>
        </w:sdtContent>
      </w:sdt>
      <w:r w:rsidRPr="001A7F47">
        <w:rPr>
          <w:rtl/>
        </w:rPr>
        <w:t>.</w:t>
      </w:r>
    </w:p>
    <w:p w14:paraId="00962951" w14:textId="77777777" w:rsidR="00E92BDF" w:rsidRDefault="00E92BDF" w:rsidP="00E92BDF">
      <w:pPr>
        <w:pStyle w:val="Style1"/>
        <w:rPr>
          <w:rtl/>
        </w:rPr>
      </w:pPr>
      <w:r>
        <w:rPr>
          <w:rtl/>
        </w:rPr>
        <w:t xml:space="preserve"> نظرية التحول الرقمي</w:t>
      </w:r>
    </w:p>
    <w:p w14:paraId="1BBBBFF3" w14:textId="77777777" w:rsidR="00E92BDF" w:rsidRPr="001A7F47" w:rsidRDefault="00E92BDF" w:rsidP="00E92BDF">
      <w:pPr>
        <w:pStyle w:val="NoSpacing"/>
        <w:rPr>
          <w:rtl/>
        </w:rPr>
      </w:pPr>
      <w:r w:rsidRPr="001A7F47">
        <w:rPr>
          <w:rtl/>
        </w:rPr>
        <w:t>تناقش هذه النظرية كيفية تحول الشركات من نماذج الأعمال التقليدية إلى نماذج رقمية تتمحور حول التكنولوجيا. وتشير إلى أن التحول الرقمي الفعال يستلزم إعادة تنظيم شاملة للأنشطة، وتغييرًا في الثقافة التنظيمية، واكتساب مهارات جديدة بدلًا من مجرد استبدال التقنيات الرقمية بالتقنيات اليدوية. وتشرح هذه النظرية كيف يمكن للمستشفيات السعودية أن تنتقل بنجاح إلى نماذج الرعاية الصحية الرقمية المتكاملة، والمتطلبات الأساسية لنجاح هذا التحول، سواء على مستوى القيادة أو التنظيم أو التدريب. ونتيجة لذلك، فهي قابلة للتطبيق بشكل مباشر على الدراسة الحالية</w:t>
      </w:r>
      <w:sdt>
        <w:sdtPr>
          <w:rPr>
            <w:rtl/>
          </w:rPr>
          <w:id w:val="-1753658553"/>
          <w:citation/>
        </w:sdtPr>
        <w:sdtContent>
          <w:r w:rsidRPr="001A7F47">
            <w:rPr>
              <w:rtl/>
            </w:rPr>
            <w:fldChar w:fldCharType="begin"/>
          </w:r>
          <w:r w:rsidRPr="001A7F47">
            <w:instrText xml:space="preserve"> CITATION Tan22 \l 1033 </w:instrText>
          </w:r>
          <w:r w:rsidRPr="001A7F47">
            <w:rPr>
              <w:rtl/>
            </w:rPr>
            <w:fldChar w:fldCharType="separate"/>
          </w:r>
          <w:r>
            <w:rPr>
              <w:noProof/>
            </w:rPr>
            <w:t xml:space="preserve"> (Tanushev, 2022)</w:t>
          </w:r>
          <w:r w:rsidRPr="001A7F47">
            <w:rPr>
              <w:rtl/>
            </w:rPr>
            <w:fldChar w:fldCharType="end"/>
          </w:r>
        </w:sdtContent>
      </w:sdt>
      <w:r w:rsidRPr="001A7F47">
        <w:rPr>
          <w:rtl/>
        </w:rPr>
        <w:t>.</w:t>
      </w:r>
      <w:bookmarkEnd w:id="0"/>
    </w:p>
    <w:p w14:paraId="0CBF979C" w14:textId="77777777" w:rsidR="00E92BDF" w:rsidRPr="00365FB4" w:rsidRDefault="00E92BDF" w:rsidP="00E92BDF">
      <w:pPr>
        <w:spacing w:line="240" w:lineRule="auto"/>
        <w:jc w:val="both"/>
        <w:rPr>
          <w:rFonts w:ascii="Simplified Arabic" w:hAnsi="Simplified Arabic" w:cs="Simplified Arabic"/>
          <w:sz w:val="28"/>
          <w:szCs w:val="28"/>
          <w:rtl/>
        </w:rPr>
      </w:pPr>
    </w:p>
    <w:p w14:paraId="2D2801D8" w14:textId="77777777" w:rsidR="00E92BDF" w:rsidRPr="00365FB4" w:rsidRDefault="00E92BDF" w:rsidP="00E92BDF">
      <w:pPr>
        <w:spacing w:line="240" w:lineRule="auto"/>
        <w:jc w:val="both"/>
        <w:rPr>
          <w:rFonts w:ascii="Simplified Arabic" w:hAnsi="Simplified Arabic" w:cs="Simplified Arabic"/>
          <w:sz w:val="28"/>
          <w:szCs w:val="28"/>
          <w:rtl/>
        </w:rPr>
      </w:pPr>
    </w:p>
    <w:p w14:paraId="72DB8635" w14:textId="77777777" w:rsidR="00E92BDF" w:rsidRPr="00365FB4" w:rsidRDefault="00E92BDF" w:rsidP="00E92BDF">
      <w:pPr>
        <w:spacing w:line="240" w:lineRule="auto"/>
        <w:jc w:val="both"/>
        <w:rPr>
          <w:rFonts w:ascii="Simplified Arabic" w:hAnsi="Simplified Arabic" w:cs="Simplified Arabic"/>
          <w:sz w:val="28"/>
          <w:szCs w:val="28"/>
          <w:rtl/>
        </w:rPr>
      </w:pPr>
    </w:p>
    <w:p w14:paraId="6AB8936E" w14:textId="77777777" w:rsidR="00E92BDF" w:rsidRPr="00365FB4" w:rsidRDefault="00E92BDF" w:rsidP="00E92BDF">
      <w:pPr>
        <w:spacing w:line="240" w:lineRule="auto"/>
        <w:jc w:val="both"/>
        <w:rPr>
          <w:rFonts w:ascii="Simplified Arabic" w:hAnsi="Simplified Arabic" w:cs="Simplified Arabic"/>
          <w:sz w:val="28"/>
          <w:szCs w:val="28"/>
          <w:rtl/>
        </w:rPr>
      </w:pPr>
    </w:p>
    <w:p w14:paraId="45FCC20B" w14:textId="77777777" w:rsidR="00E92BDF" w:rsidRPr="00365FB4" w:rsidRDefault="00E92BDF" w:rsidP="00E92BDF">
      <w:pPr>
        <w:spacing w:line="240" w:lineRule="auto"/>
        <w:jc w:val="both"/>
        <w:rPr>
          <w:rFonts w:ascii="Simplified Arabic" w:hAnsi="Simplified Arabic" w:cs="Simplified Arabic"/>
          <w:sz w:val="28"/>
          <w:szCs w:val="28"/>
          <w:rtl/>
        </w:rPr>
      </w:pPr>
    </w:p>
    <w:p w14:paraId="0CAD0D18" w14:textId="77777777" w:rsidR="00E92BDF" w:rsidRPr="00365FB4" w:rsidRDefault="00E92BDF" w:rsidP="00E92BDF">
      <w:pPr>
        <w:spacing w:line="240" w:lineRule="auto"/>
        <w:jc w:val="both"/>
        <w:rPr>
          <w:rFonts w:ascii="Simplified Arabic" w:hAnsi="Simplified Arabic" w:cs="Simplified Arabic"/>
          <w:sz w:val="28"/>
          <w:szCs w:val="28"/>
          <w:rtl/>
        </w:rPr>
      </w:pPr>
    </w:p>
    <w:p w14:paraId="65DC172D" w14:textId="77777777" w:rsidR="00E92BDF" w:rsidRPr="00365FB4" w:rsidRDefault="00E92BDF" w:rsidP="00E92BDF">
      <w:pPr>
        <w:spacing w:line="240" w:lineRule="auto"/>
        <w:jc w:val="both"/>
        <w:rPr>
          <w:rFonts w:ascii="Simplified Arabic" w:hAnsi="Simplified Arabic" w:cs="Simplified Arabic"/>
          <w:sz w:val="28"/>
          <w:szCs w:val="28"/>
          <w:rtl/>
        </w:rPr>
      </w:pPr>
    </w:p>
    <w:p w14:paraId="477201CC" w14:textId="77777777" w:rsidR="00E92BDF" w:rsidRDefault="00E92BDF" w:rsidP="00E92BDF">
      <w:pPr>
        <w:rPr>
          <w:rtl/>
        </w:rPr>
      </w:pPr>
    </w:p>
    <w:p w14:paraId="7BBBD0E3" w14:textId="77777777" w:rsidR="00E92BDF" w:rsidRDefault="00E92BDF" w:rsidP="00E92BDF">
      <w:pPr>
        <w:rPr>
          <w:rtl/>
        </w:rPr>
      </w:pPr>
    </w:p>
    <w:p w14:paraId="6F49963D" w14:textId="77777777" w:rsidR="00E92BDF" w:rsidRDefault="00E92BDF" w:rsidP="00E92BDF">
      <w:pPr>
        <w:rPr>
          <w:rtl/>
        </w:rPr>
      </w:pPr>
    </w:p>
    <w:p w14:paraId="017AD4F0" w14:textId="77777777" w:rsidR="000364AD" w:rsidRDefault="000364AD"/>
    <w:sectPr w:rsidR="000364AD" w:rsidSect="000364AD">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B6CDC"/>
    <w:multiLevelType w:val="hybridMultilevel"/>
    <w:tmpl w:val="485678C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7537CDA"/>
    <w:multiLevelType w:val="hybridMultilevel"/>
    <w:tmpl w:val="F02ED24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ADB443A"/>
    <w:multiLevelType w:val="hybridMultilevel"/>
    <w:tmpl w:val="355091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F70199"/>
    <w:multiLevelType w:val="hybridMultilevel"/>
    <w:tmpl w:val="105CF3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80331F"/>
    <w:multiLevelType w:val="hybridMultilevel"/>
    <w:tmpl w:val="DFA0B8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F0776C"/>
    <w:multiLevelType w:val="hybridMultilevel"/>
    <w:tmpl w:val="83FCC1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D823F2"/>
    <w:multiLevelType w:val="hybridMultilevel"/>
    <w:tmpl w:val="2EE8EC3A"/>
    <w:lvl w:ilvl="0" w:tplc="568A7280">
      <w:start w:val="1"/>
      <w:numFmt w:val="bullet"/>
      <w:pStyle w:val="Style1"/>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9485CDF"/>
    <w:multiLevelType w:val="hybridMultilevel"/>
    <w:tmpl w:val="4718B8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0030ED"/>
    <w:multiLevelType w:val="hybridMultilevel"/>
    <w:tmpl w:val="836C61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9200412"/>
    <w:multiLevelType w:val="hybridMultilevel"/>
    <w:tmpl w:val="92F2E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0097152">
    <w:abstractNumId w:val="6"/>
  </w:num>
  <w:num w:numId="2" w16cid:durableId="188375619">
    <w:abstractNumId w:val="1"/>
  </w:num>
  <w:num w:numId="3" w16cid:durableId="1065102591">
    <w:abstractNumId w:val="8"/>
  </w:num>
  <w:num w:numId="4" w16cid:durableId="1424494664">
    <w:abstractNumId w:val="4"/>
  </w:num>
  <w:num w:numId="5" w16cid:durableId="1891653673">
    <w:abstractNumId w:val="5"/>
  </w:num>
  <w:num w:numId="6" w16cid:durableId="1026369570">
    <w:abstractNumId w:val="7"/>
  </w:num>
  <w:num w:numId="7" w16cid:durableId="151412786">
    <w:abstractNumId w:val="2"/>
  </w:num>
  <w:num w:numId="8" w16cid:durableId="644895563">
    <w:abstractNumId w:val="3"/>
  </w:num>
  <w:num w:numId="9" w16cid:durableId="1770813891">
    <w:abstractNumId w:val="9"/>
  </w:num>
  <w:num w:numId="10" w16cid:durableId="76023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801"/>
    <w:rsid w:val="000364AD"/>
    <w:rsid w:val="002E45BD"/>
    <w:rsid w:val="00331F56"/>
    <w:rsid w:val="00463801"/>
    <w:rsid w:val="004978DA"/>
    <w:rsid w:val="004F6740"/>
    <w:rsid w:val="008A3771"/>
    <w:rsid w:val="00983978"/>
    <w:rsid w:val="00A35F68"/>
    <w:rsid w:val="00D74C8E"/>
    <w:rsid w:val="00E92BDF"/>
    <w:rsid w:val="00F77B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DA3CE9-B279-4354-A5A8-50ABF8D5E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BDF"/>
    <w:pPr>
      <w:bidi/>
      <w:spacing w:line="259" w:lineRule="auto"/>
    </w:pPr>
    <w:rPr>
      <w:sz w:val="22"/>
      <w:szCs w:val="22"/>
    </w:rPr>
  </w:style>
  <w:style w:type="paragraph" w:styleId="Heading1">
    <w:name w:val="heading 1"/>
    <w:basedOn w:val="Normal"/>
    <w:next w:val="Normal"/>
    <w:link w:val="Heading1Char"/>
    <w:uiPriority w:val="9"/>
    <w:qFormat/>
    <w:rsid w:val="004638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638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38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38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38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38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38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38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38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801"/>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463801"/>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463801"/>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463801"/>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463801"/>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463801"/>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463801"/>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463801"/>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463801"/>
    <w:rPr>
      <w:rFonts w:eastAsiaTheme="majorEastAsia" w:cstheme="majorBidi"/>
      <w:noProof/>
      <w:color w:val="272727" w:themeColor="text1" w:themeTint="D8"/>
    </w:rPr>
  </w:style>
  <w:style w:type="paragraph" w:styleId="Title">
    <w:name w:val="Title"/>
    <w:basedOn w:val="Normal"/>
    <w:next w:val="Normal"/>
    <w:link w:val="TitleChar"/>
    <w:uiPriority w:val="10"/>
    <w:qFormat/>
    <w:rsid w:val="004638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3801"/>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4638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3801"/>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463801"/>
    <w:pPr>
      <w:spacing w:before="160"/>
      <w:jc w:val="center"/>
    </w:pPr>
    <w:rPr>
      <w:i/>
      <w:iCs/>
      <w:color w:val="404040" w:themeColor="text1" w:themeTint="BF"/>
    </w:rPr>
  </w:style>
  <w:style w:type="character" w:customStyle="1" w:styleId="QuoteChar">
    <w:name w:val="Quote Char"/>
    <w:basedOn w:val="DefaultParagraphFont"/>
    <w:link w:val="Quote"/>
    <w:uiPriority w:val="29"/>
    <w:rsid w:val="00463801"/>
    <w:rPr>
      <w:i/>
      <w:iCs/>
      <w:noProof/>
      <w:color w:val="404040" w:themeColor="text1" w:themeTint="BF"/>
    </w:rPr>
  </w:style>
  <w:style w:type="paragraph" w:styleId="ListParagraph">
    <w:name w:val="List Paragraph"/>
    <w:basedOn w:val="Normal"/>
    <w:uiPriority w:val="34"/>
    <w:qFormat/>
    <w:rsid w:val="00463801"/>
    <w:pPr>
      <w:ind w:left="720"/>
      <w:contextualSpacing/>
    </w:pPr>
  </w:style>
  <w:style w:type="character" w:styleId="IntenseEmphasis">
    <w:name w:val="Intense Emphasis"/>
    <w:basedOn w:val="DefaultParagraphFont"/>
    <w:uiPriority w:val="21"/>
    <w:qFormat/>
    <w:rsid w:val="00463801"/>
    <w:rPr>
      <w:i/>
      <w:iCs/>
      <w:color w:val="0F4761" w:themeColor="accent1" w:themeShade="BF"/>
    </w:rPr>
  </w:style>
  <w:style w:type="paragraph" w:styleId="IntenseQuote">
    <w:name w:val="Intense Quote"/>
    <w:basedOn w:val="Normal"/>
    <w:next w:val="Normal"/>
    <w:link w:val="IntenseQuoteChar"/>
    <w:uiPriority w:val="30"/>
    <w:qFormat/>
    <w:rsid w:val="004638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3801"/>
    <w:rPr>
      <w:i/>
      <w:iCs/>
      <w:noProof/>
      <w:color w:val="0F4761" w:themeColor="accent1" w:themeShade="BF"/>
    </w:rPr>
  </w:style>
  <w:style w:type="character" w:styleId="IntenseReference">
    <w:name w:val="Intense Reference"/>
    <w:basedOn w:val="DefaultParagraphFont"/>
    <w:uiPriority w:val="32"/>
    <w:qFormat/>
    <w:rsid w:val="00463801"/>
    <w:rPr>
      <w:b/>
      <w:bCs/>
      <w:smallCaps/>
      <w:color w:val="0F4761" w:themeColor="accent1" w:themeShade="BF"/>
      <w:spacing w:val="5"/>
    </w:rPr>
  </w:style>
  <w:style w:type="paragraph" w:styleId="Caption">
    <w:name w:val="caption"/>
    <w:basedOn w:val="Normal"/>
    <w:next w:val="Normal"/>
    <w:uiPriority w:val="35"/>
    <w:unhideWhenUsed/>
    <w:qFormat/>
    <w:rsid w:val="00E92BDF"/>
    <w:pPr>
      <w:spacing w:after="200" w:line="240" w:lineRule="auto"/>
      <w:jc w:val="center"/>
    </w:pPr>
    <w:rPr>
      <w:i/>
      <w:iCs/>
      <w:color w:val="0E2841" w:themeColor="text2"/>
      <w:sz w:val="18"/>
      <w:szCs w:val="18"/>
    </w:rPr>
  </w:style>
  <w:style w:type="paragraph" w:styleId="NoSpacing">
    <w:name w:val="No Spacing"/>
    <w:basedOn w:val="Normal"/>
    <w:link w:val="NoSpacingChar"/>
    <w:uiPriority w:val="1"/>
    <w:qFormat/>
    <w:rsid w:val="00E92BDF"/>
    <w:pPr>
      <w:spacing w:line="480" w:lineRule="auto"/>
      <w:jc w:val="both"/>
    </w:pPr>
    <w:rPr>
      <w:rFonts w:ascii="Arial" w:hAnsi="Arial" w:cs="Arial"/>
      <w:sz w:val="24"/>
      <w:szCs w:val="24"/>
    </w:rPr>
  </w:style>
  <w:style w:type="paragraph" w:customStyle="1" w:styleId="Style1">
    <w:name w:val="Style1"/>
    <w:basedOn w:val="NoSpacing"/>
    <w:link w:val="Style1Char"/>
    <w:qFormat/>
    <w:rsid w:val="00E92BDF"/>
    <w:pPr>
      <w:numPr>
        <w:numId w:val="1"/>
      </w:numPr>
    </w:pPr>
    <w:rPr>
      <w:b/>
      <w:bCs/>
      <w:sz w:val="28"/>
      <w:szCs w:val="28"/>
    </w:rPr>
  </w:style>
  <w:style w:type="character" w:customStyle="1" w:styleId="NoSpacingChar">
    <w:name w:val="No Spacing Char"/>
    <w:basedOn w:val="DefaultParagraphFont"/>
    <w:link w:val="NoSpacing"/>
    <w:uiPriority w:val="1"/>
    <w:rsid w:val="00E92BDF"/>
    <w:rPr>
      <w:rFonts w:ascii="Arial" w:hAnsi="Arial" w:cs="Arial"/>
    </w:rPr>
  </w:style>
  <w:style w:type="character" w:customStyle="1" w:styleId="Style1Char">
    <w:name w:val="Style1 Char"/>
    <w:basedOn w:val="NoSpacingChar"/>
    <w:link w:val="Style1"/>
    <w:rsid w:val="00E92BDF"/>
    <w:rPr>
      <w:rFonts w:ascii="Arial" w:hAnsi="Arial" w:cs="Arial"/>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Sto231</b:Tag>
    <b:SourceType>JournalArticle</b:SourceType>
    <b:Guid>{1AEEEFF6-5A16-49F5-BA37-3F80884A475A}</b:Guid>
    <b:Author>
      <b:Author>
        <b:NameList>
          <b:Person>
            <b:Last>Stoumpos</b:Last>
            <b:First>Angelos</b:First>
            <b:Middle>I</b:Middle>
          </b:Person>
        </b:NameList>
      </b:Author>
    </b:Author>
    <b:Title>Digital Transformation in Healthcare: Technology Acceptance and Its Applications</b:Title>
    <b:Year>2023</b:Year>
    <b:URL>https://pmc.ncbi.nlm.nih.gov/articles/PMC9963556/</b:URL>
    <b:RefOrder>1</b:RefOrder>
  </b:Source>
  <b:Source>
    <b:Tag>Nwo241</b:Tag>
    <b:SourceType>JournalArticle</b:SourceType>
    <b:Guid>{98234A15-7296-4245-B91C-42DF5E572AB0}</b:Guid>
    <b:Author>
      <b:Author>
        <b:NameList>
          <b:Person>
            <b:Last>Nwosu</b:Last>
            <b:First>Nelly</b:First>
          </b:Person>
        </b:NameList>
      </b:Author>
    </b:Author>
    <b:Title>Reducing operational costs in healthcare through advanced BI tools and data integration</b:Title>
    <b:Year>2024</b:Year>
    <b:URL>https://www.researchgate.net/publication/381845640_Reducing_operational_costs_in_healthcare_through_advanced_BI_tools_and_data_integration</b:URL>
    <b:RefOrder>2</b:RefOrder>
  </b:Source>
  <b:Source>
    <b:Tag>Sai24</b:Tag>
    <b:SourceType>JournalArticle</b:SourceType>
    <b:Guid>{0535946B-D450-4399-94C1-FC519AE6ED98}</b:Guid>
    <b:Author>
      <b:Author>
        <b:NameList>
          <b:Person>
            <b:Last>Sai</b:Last>
            <b:First>Siva</b:First>
          </b:Person>
        </b:NameList>
      </b:Author>
    </b:Author>
    <b:Title>Generative AI for Transformative Healthcare: A Comprehensive Study of Emerging Models, Applications, Case Studies and Limitations</b:Title>
    <b:Year>2024</b:Year>
    <b:URL>https://www.researchgate.net/publication/378354823_Generative_AI_for_Transformative_Healthcare_A_Comprehensive_Study_of_Emerging_Models_Applications_Case_Studies_and_Limitations</b:URL>
    <b:RefOrder>3</b:RefOrder>
  </b:Source>
  <b:Source>
    <b:Tag>Put191</b:Tag>
    <b:SourceType>JournalArticle</b:SourceType>
    <b:Guid>{0C1552FA-7902-40DA-BE58-0A7077AD8DA6}</b:Guid>
    <b:Author>
      <b:Author>
        <b:NameList>
          <b:Person>
            <b:Last>Putri</b:Last>
            <b:First>Arisa</b:First>
            <b:Middle>Olivia</b:Middle>
          </b:Person>
        </b:NameList>
      </b:Author>
    </b:Author>
    <b:Title>Wearable Sensor and Internet of Things Technology for Better Medical Science: A Review</b:Title>
    <b:Year>2019</b:Year>
    <b:URL>https://www.researchgate.net/publication/328273211_Wearable_Sensor_and_Internet_of_Things_Technology_for_Better_Medical_Science_A_Review</b:URL>
    <b:RefOrder>4</b:RefOrder>
  </b:Source>
  <b:Source>
    <b:Tag>Zam24</b:Tag>
    <b:SourceType>JournalArticle</b:SourceType>
    <b:Guid>{E9A859E1-2B90-47DE-9BDB-48E1EC53FEBC}</b:Guid>
    <b:Author>
      <b:Author>
        <b:NameList>
          <b:Person>
            <b:Last>Zamstein</b:Last>
            <b:First>Noa</b:First>
          </b:Person>
        </b:NameList>
      </b:Author>
    </b:Author>
    <b:Title>Future Developments of Digital Health and Considerations on Sustainability</b:Title>
    <b:Year>2024</b:Year>
    <b:URL>https://www.researchgate.net/publication/383587622_Future_Developments_of_Digital_Health_and_Considerations_on_Sustainability</b:URL>
    <b:RefOrder>5</b:RefOrder>
  </b:Source>
  <b:Source>
    <b:Tag>Rgh20</b:Tag>
    <b:SourceType>JournalArticle</b:SourceType>
    <b:Guid>{FCCF4614-DD9B-414D-BD6B-01E35AC8E4C8}</b:Guid>
    <b:Author>
      <b:Author>
        <b:NameList>
          <b:Person>
            <b:Last>Rghioui</b:Last>
            <b:First>Amine</b:First>
          </b:Person>
        </b:NameList>
      </b:Author>
    </b:Author>
    <b:Title>A Smart Glucose Monitoring System for Diabetic Patient</b:Title>
    <b:Year>2020</b:Year>
    <b:URL>https://www.researchgate.net/publication/383587622_Future_Developments_of_Digital_Health_and_Considerations_on_Sustainability</b:URL>
    <b:RefOrder>6</b:RefOrder>
  </b:Source>
  <b:Source>
    <b:Tag>Pau23</b:Tag>
    <b:SourceType>JournalArticle</b:SourceType>
    <b:Guid>{12D32074-35BB-440E-8B72-36E18F55757F}</b:Guid>
    <b:Author>
      <b:Author>
        <b:NameList>
          <b:Person>
            <b:Last>Paul</b:Last>
            <b:First>Metty</b:First>
          </b:Person>
        </b:NameList>
      </b:Author>
    </b:Author>
    <b:Title>Digitization of healthcare sector: A study on privacy and security concerns</b:Title>
    <b:Year>2023</b:Year>
    <b:URL>https://www.sciencedirect.com/science/article/pii/S2405959523000243</b:URL>
    <b:RefOrder>7</b:RefOrder>
  </b:Source>
  <b:Source>
    <b:Tag>Igw24</b:Tag>
    <b:SourceType>JournalArticle</b:SourceType>
    <b:Guid>{3BC9DCC9-F3C9-4398-ABC9-2F1A47D0A459}</b:Guid>
    <b:Author>
      <b:Author>
        <b:NameList>
          <b:Person>
            <b:Last>Igwama</b:Last>
            <b:First>Olaboye</b:First>
          </b:Person>
        </b:NameList>
      </b:Author>
    </b:Author>
    <b:Title>Big data analytics for epidemic forecasting: Policy Frameworks and technical approaches</b:Title>
    <b:Year>2024</b:Year>
    <b:URL>https://www.researchgate.net/publication/382466518_Big_data_analytics_for_epidemic_forecasting_Policy_Frameworks_and_technical_approaches</b:URL>
    <b:RefOrder>8</b:RefOrder>
  </b:Source>
  <b:Source>
    <b:Tag>Man243</b:Tag>
    <b:SourceType>JournalArticle</b:SourceType>
    <b:Guid>{7286546C-B4FB-4BA0-A7D1-0B41743668DF}</b:Guid>
    <b:Author>
      <b:Author>
        <b:NameList>
          <b:Person>
            <b:Last>Mani</b:Last>
            <b:First>Zakaria</b:First>
            <b:Middle>Ahmed</b:Middle>
          </b:Person>
        </b:NameList>
      </b:Author>
    </b:Author>
    <b:Title>Transforming Healthcare in Saudi Arabia: A Comprehensive Evaluation of Vision 2030’s Impact</b:Title>
    <b:Year>2024</b:Year>
    <b:URL>https://www.researchgate.net/publication/379824388_Transforming_Healthcare_in_Saudi_Arabia_A_Comprehensive_Evaluation_of_Vision_2030's_Impact</b:URL>
    <b:RefOrder>9</b:RefOrder>
  </b:Source>
  <b:Source>
    <b:Tag>Var24</b:Tag>
    <b:SourceType>JournalArticle</b:SourceType>
    <b:Guid>{2E4CFD1B-347E-489D-8929-DD89F078CAB0}</b:Guid>
    <b:Author>
      <b:Author>
        <b:NameList>
          <b:Person>
            <b:Last>Varnosfaderani</b:Last>
            <b:First>Shiva</b:First>
            <b:Middle>Maleki</b:Middle>
          </b:Person>
        </b:NameList>
      </b:Author>
    </b:Author>
    <b:Title>The Role of AI in Hospitals and Clinics: Transforming Healthcare in the 21st Century</b:Title>
    <b:Year>2024</b:Year>
    <b:URL>https://pmc.ncbi.nlm.nih.gov/articles/PMC11047988/</b:URL>
    <b:RefOrder>10</b:RefOrder>
  </b:Source>
  <b:Source>
    <b:Tag>Kha251</b:Tag>
    <b:SourceType>JournalArticle</b:SourceType>
    <b:Guid>{951CFCF1-1C8C-4DD4-981F-D65520190EA6}</b:Guid>
    <b:Author>
      <b:Author>
        <b:NameList>
          <b:Person>
            <b:Last>Khan</b:Last>
            <b:First>Ruby</b:First>
          </b:Person>
        </b:NameList>
      </b:Author>
    </b:Author>
    <b:Title>Utilization, challenges, and training needs of digital health technologies: Perspectives from healthcare professionals</b:Title>
    <b:Year>2025</b:Year>
    <b:URL>https://www.sciencedirect.com/science/article/pii/S1386505625000504</b:URL>
    <b:RefOrder>11</b:RefOrder>
  </b:Source>
  <b:Source>
    <b:Tag>Irg25</b:Tag>
    <b:SourceType>JournalArticle</b:SourceType>
    <b:Guid>{CE2B8A17-8C1D-4384-931A-5B1E33A54C5F}</b:Guid>
    <b:Author>
      <b:Author>
        <b:NameList>
          <b:Person>
            <b:Last>Irgang</b:Last>
            <b:First>Luís</b:First>
          </b:Person>
        </b:NameList>
      </b:Author>
    </b:Author>
    <b:Title>Healthcare workers' adoption of and satisfaction with artificial intelligence: The counterintuitive role of paradoxical tensions and paradoxical mindset</b:Title>
    <b:Year>2025</b:Year>
    <b:URL>https://www.sciencedirect.com/science/article/pii/S0040162524007650</b:URL>
    <b:RefOrder>12</b:RefOrder>
  </b:Source>
  <b:Source>
    <b:Tag>Kas25</b:Tag>
    <b:SourceType>JournalArticle</b:SourceType>
    <b:Guid>{1B487341-04D3-4E6C-A943-54D5CD8368E8}</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13</b:RefOrder>
  </b:Source>
  <b:Source>
    <b:Tag>Wan222</b:Tag>
    <b:SourceType>JournalArticle</b:SourceType>
    <b:Guid>{37197EEF-23D3-427A-8FD9-59D37EF4E392}</b:Guid>
    <b:Author>
      <b:Author>
        <b:NameList>
          <b:Person>
            <b:Last>Wang</b:Last>
            <b:First>Xuan</b:First>
          </b:Person>
        </b:NameList>
      </b:Author>
    </b:Author>
    <b:Title>Impact of Digital Technology on Supply Chain Efficiency in Manufacturing Industry</b:Title>
    <b:Year>2022</b:Year>
    <b:URL>https://www.researchgate.net/publication/360113375_Impact_of_Digital_Technology_on_Supply_Chain_Efficiency_in_Manufacturing_Industry</b:URL>
    <b:RefOrder>14</b:RefOrder>
  </b:Source>
  <b:Source>
    <b:Tag>Ayd22</b:Tag>
    <b:SourceType>JournalArticle</b:SourceType>
    <b:Guid>{A78EB679-0A34-48D4-8588-A9BD1F518DEB}</b:Guid>
    <b:Author>
      <b:Author>
        <b:NameList>
          <b:Person>
            <b:Last>Aydın</b:Last>
            <b:First>Ömer</b:First>
          </b:Person>
        </b:NameList>
      </b:Author>
    </b:Author>
    <b:Title>The Impacts of Digital Transformation</b:Title>
    <b:Year>2022</b:Year>
    <b:URL>https://www.researchgate.net/publication/360630985_The_Impacts_of_Digital_Transformation</b:URL>
    <b:RefOrder>15</b:RefOrder>
  </b:Source>
  <b:Source>
    <b:Tag>Ahu23</b:Tag>
    <b:SourceType>JournalArticle</b:SourceType>
    <b:Guid>{08344206-5F1C-4292-B392-FF63DD1AA18E}</b:Guid>
    <b:Author>
      <b:Author>
        <b:NameList>
          <b:Person>
            <b:Last>Ahumada-Canale</b:Last>
            <b:First>Antonio</b:First>
          </b:Person>
        </b:NameList>
      </b:Author>
    </b:Author>
    <b:Title>Barriers and facilitators to implementing priority setting and resource allocation tools in hospital decisions: A systematic review</b:Title>
    <b:Year>2023</b:Year>
    <b:URL>https://www.sciencedirect.com/science/article/pii/S0277953623001478</b:URL>
    <b:RefOrder>16</b:RefOrder>
  </b:Source>
  <b:Source>
    <b:Tag>AlA24</b:Tag>
    <b:SourceType>JournalArticle</b:SourceType>
    <b:Guid>{7525D89C-B383-45AB-A292-718C79776EAA}</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17</b:RefOrder>
  </b:Source>
  <b:Source>
    <b:Tag>Pan23</b:Tag>
    <b:SourceType>JournalArticle</b:SourceType>
    <b:Guid>{F513005E-CC3E-4948-9268-F17D38FD7767}</b:Guid>
    <b:Author>
      <b:Author>
        <b:NameList>
          <b:Person>
            <b:Last>Pan</b:Last>
            <b:First>Jay</b:First>
          </b:Person>
        </b:NameList>
      </b:Author>
    </b:Author>
    <b:Title>Location-allocation modelling for rational health planning: Applying a two-step optimization approach to evaluate the spatial accessibility improvement of newly added tertiary hospitals in a metropolitan city of China</b:Title>
    <b:Year>2023</b:Year>
    <b:URL>https://www.researchgate.net/publication/374843382_Location-allocation_modelling_for_rational_health_planning_Applying_a_two-step_optimization_approach_to_evaluate_the_spatial_accessibility_improvement_of_newly_added_tertiary_hospitals_in_a_metropolit</b:URL>
    <b:RefOrder>18</b:RefOrder>
  </b:Source>
  <b:Source>
    <b:Tag>AlW24</b:Tag>
    <b:SourceType>JournalArticle</b:SourceType>
    <b:Guid>{9D87E24F-0B6D-45DD-BC8D-8A2030C2BB4F}</b:Guid>
    <b:Author>
      <b:Author>
        <b:NameList>
          <b:Person>
            <b:Last>AlWatban</b:Last>
            <b:First>Noof</b:First>
          </b:Person>
        </b:NameList>
      </b:Author>
    </b:Author>
    <b:Title>The Emergence and Growth of Digital Health in Saudi Arabia: A Success Story</b:Title>
    <b:Year>2024</b:Year>
    <b:URL>https://www.researchgate.net/publication/383590889_The_Emergence_and_Growth_of_Digital_Health_in_Saudi_Arabia_A_Success_Story</b:URL>
    <b:RefOrder>19</b:RefOrder>
  </b:Source>
  <b:Source>
    <b:Tag>Mil151</b:Tag>
    <b:SourceType>JournalArticle</b:SourceType>
    <b:Guid>{463BB61E-0429-475B-A597-D4D4FC40D972}</b:Guid>
    <b:Author>
      <b:Author>
        <b:NameList>
          <b:Person>
            <b:Last>Miller</b:Last>
            <b:First>Rebecca</b:First>
            <b:Middle>L.</b:Middle>
          </b:Person>
        </b:NameList>
      </b:Author>
    </b:Author>
    <b:Title>Rogers' Innovation Diffusion Theory (1962, 1995)</b:Title>
    <b:Year>2015</b:Year>
    <b:URL>https://www.researchgate.net/publication/285171917_Rogers'_Innovation_Diffusion_Theory_1962_1995</b:URL>
    <b:RefOrder>20</b:RefOrder>
  </b:Source>
  <b:Source>
    <b:Tag>AlR19</b:Tag>
    <b:SourceType>JournalArticle</b:SourceType>
    <b:Guid>{9FBE23D7-A50B-4D36-9372-FA0FE54F8764}</b:Guid>
    <b:Author>
      <b:Author>
        <b:NameList>
          <b:Person>
            <b:Last>Al-Rayes</b:Last>
            <b:First>Dr</b:First>
            <b:Middle>Saja A.</b:Middle>
          </b:Person>
        </b:NameList>
      </b:Author>
    </b:Author>
    <b:Title>The Adoption of the Electronic Health Record by Physicians</b:Title>
    <b:Year>2019</b:Year>
    <b:URL>https://www.researchgate.net/publication/335780049_The_Adoption_of_the_Electronic_Health_Record_by_Physicians</b:URL>
    <b:RefOrder>21</b:RefOrder>
  </b:Source>
  <b:Source>
    <b:Tag>Hua25</b:Tag>
    <b:SourceType>JournalArticle</b:SourceType>
    <b:Guid>{1EB56009-1E91-4F2F-B88C-E0F48BE81CE6}</b:Guid>
    <b:Author>
      <b:Author>
        <b:NameList>
          <b:Person>
            <b:Last>Huang</b:Last>
            <b:First>Zhuo</b:First>
          </b:Person>
        </b:NameList>
      </b:Author>
    </b:Author>
    <b:Title>Can the Digital Economy Really Narrow the Innovation Efficiency Gap Among Cities in China?—A Study from the Perspective of Triple Networks</b:Title>
    <b:Year>2025</b:Year>
    <b:URL>https://www.mdpi.com/2071-1050/17/9/4058</b:URL>
    <b:RefOrder>22</b:RefOrder>
  </b:Source>
  <b:Source>
    <b:Tag>Kuw18</b:Tag>
    <b:SourceType>JournalArticle</b:SourceType>
    <b:Guid>{1C27103B-3716-4C53-B377-0BA9BA4F7D12}</b:Guid>
    <b:Author>
      <b:Author>
        <b:NameList>
          <b:Person>
            <b:Last>Kuwaiti</b:Last>
            <b:First>Ahmed</b:First>
            <b:Middle>Al</b:Middle>
          </b:Person>
        </b:NameList>
      </b:Author>
    </b:Author>
    <b:Title>Implementation of Digital Health Technology at Academic Medical Centers in Saudi Arabia</b:Title>
    <b:Year>2018</b:Year>
    <b:URL>https://pmc.ncbi.nlm.nih.gov/articles/PMC6131920/</b:URL>
    <b:RefOrder>23</b:RefOrder>
  </b:Source>
  <b:Source>
    <b:Tag>Alh211</b:Tag>
    <b:SourceType>JournalArticle</b:SourceType>
    <b:Guid>{38597AF5-3B3B-4F21-A959-548AA7D7AC1F}</b:Guid>
    <b:Author>
      <b:Author>
        <b:NameList>
          <b:Person>
            <b:Last>Alhodaib</b:Last>
            <b:First>Hala</b:First>
          </b:Person>
        </b:NameList>
      </b:Author>
    </b:Author>
    <b:Title>Understanding the Impact of Digital Health Strategies During the COVID-19 Outbreak in Saudi Arabia</b:Title>
    <b:Year>2021</b:Year>
    <b:URL>https://www.tandfonline.com/doi/full/10.2147/RMHP.S331084</b:URL>
    <b:RefOrder>24</b:RefOrder>
  </b:Source>
  <b:Source>
    <b:Tag>AlD25</b:Tag>
    <b:SourceType>JournalArticle</b:SourceType>
    <b:Guid>{88BB360B-D5AB-4035-8F99-8180DFED0417}</b:Guid>
    <b:Author>
      <b:Author>
        <b:NameList>
          <b:Person>
            <b:Last>AlDhaen</b:Last>
            <b:First>Fatema</b:First>
            <b:Middle>Saleh</b:Middle>
          </b:Person>
        </b:NameList>
      </b:Author>
    </b:Author>
    <b:Title>AI-Powered Transformation of Healthcare: Enhancing Patient Safety Through AI Interventions with the Mediating Role of Operational Efficiency and Moderating Role of Digital Competence—Insights from the Gulf Cooperation Council Region</b:Title>
    <b:Year>2025</b:Year>
    <b:URL>https://www.mdpi.com/2227-9032/13/6/614</b:URL>
    <b:RefOrder>25</b:RefOrder>
  </b:Source>
  <b:Source>
    <b:Tag>AlK22</b:Tag>
    <b:SourceType>JournalArticle</b:SourceType>
    <b:Guid>{E93AE06A-09E5-4519-B33F-10AF19F85304}</b:Guid>
    <b:Author>
      <b:Author>
        <b:NameList>
          <b:Person>
            <b:Last>Al-Kahtani</b:Last>
            <b:First>Nouf</b:First>
          </b:Person>
        </b:NameList>
      </b:Author>
    </b:Author>
    <b:Title>Digital health transformation in Saudi Arabia: A cross-sectional analysis using Healthcare Information and Management Systems Society’ digital health indicators</b:Title>
    <b:Year>2022</b:Year>
    <b:URL>https://journals.sagepub.com/doi/full/10.1177/20552076221117742</b:URL>
    <b:RefOrder>26</b:RefOrder>
  </b:Source>
  <b:Source>
    <b:Tag>Tas24</b:Tag>
    <b:SourceType>JournalArticle</b:SourceType>
    <b:Guid>{93766D88-AA29-417B-9572-3351D51B3DC4}</b:Guid>
    <b:Author>
      <b:Author>
        <b:NameList>
          <b:Person>
            <b:Last>Tasnime</b:Last>
            <b:First>Benchikh</b:First>
          </b:Person>
        </b:NameList>
      </b:Author>
    </b:Author>
    <b:Title>DIGITAL HEALTH APPLICATIONS AND THEIR ROLE IN IMPROVING THE QUALITY OF HEALTH CARE SERVICES STUDY THE EXPERIENCE OF SAUDI ARABIA</b:Title>
    <b:Year>2024</b:Year>
    <b:URL>https://dspace.univ-bba.dz/items/341d2244-dede-4813-8fe5-42114ca5dcbc</b:URL>
    <b:RefOrder>27</b:RefOrder>
  </b:Source>
  <b:Source>
    <b:Tag>MUT24</b:Tag>
    <b:SourceType>JournalArticle</b:SourceType>
    <b:Guid>{14B86167-FA09-4CFF-8650-714CE86B7D68}</b:Guid>
    <b:Author>
      <b:Author>
        <b:NameList>
          <b:Person>
            <b:Last>MUTARED</b:Last>
            <b:First>MOHAMMED</b:First>
            <b:Middle>AJAIM NASSER AL</b:Middle>
          </b:Person>
        </b:NameList>
      </b:Author>
    </b:Author>
    <b:Title>Development of health technology Its impact on healthcare provision in Saudi Arabia</b:Title>
    <b:Year>2024</b:Year>
    <b:URL>https://www.proquest.com/openview/077952bf00690b27876a1bdf7b116c58/1?pq-origsite=gscholar&amp;cbl=6480378</b:URL>
    <b:RefOrder>28</b:RefOrder>
  </b:Source>
  <b:Source>
    <b:Tag>Muh22</b:Tag>
    <b:SourceType>JournalArticle</b:SourceType>
    <b:Guid>{0E70B322-5598-4986-8D1F-D6B04914E5DF}</b:Guid>
    <b:Author>
      <b:Author>
        <b:NameList>
          <b:Person>
            <b:Last>Muhri</b:Last>
            <b:First>Hatim</b:First>
            <b:Middle>Saleh Mohammed Al</b:Middle>
          </b:Person>
        </b:NameList>
      </b:Author>
    </b:Author>
    <b:Title>Digital Transformation in the Area of Health in Saudi Arabia</b:Title>
    <b:Year>2022</b:Year>
    <b:URL>https://www.journal.yemdd.org/index.php/acamj/article/view/253</b:URL>
    <b:RefOrder>29</b:RefOrder>
  </b:Source>
  <b:Source>
    <b:Tag>Alo241</b:Tag>
    <b:SourceType>JournalArticle</b:SourceType>
    <b:Guid>{5774D71C-A768-46BB-9470-BA11016A0B48}</b:Guid>
    <b:Author>
      <b:Author>
        <b:NameList>
          <b:Person>
            <b:Last>Alotaibi</b:Last>
            <b:First>Saad</b:First>
            <b:Middle>Fadel</b:Middle>
          </b:Person>
        </b:NameList>
      </b:Author>
    </b:Author>
    <b:Title>Health Informatics in Saudi Arabia: Transforming  Patient Care through Technology</b:Title>
    <b:Year>2024</b:Year>
    <b:URL>https://www.proquest.com/openview/09f3da17f1cc48d0bcdf32ba48e98138/1?pq-origsite=gscholar&amp;cbl=6480378</b:URL>
    <b:RefOrder>30</b:RefOrder>
  </b:Source>
  <b:Source>
    <b:Tag>She242</b:Tag>
    <b:SourceType>JournalArticle</b:SourceType>
    <b:Guid>{831EB8CF-25AE-4212-A15E-3920A37A0AB0}</b:Guid>
    <b:Author>
      <b:Author>
        <b:NameList>
          <b:Person>
            <b:Last>Sheerah</b:Last>
            <b:First>Haytham</b:First>
            <b:Middle>A.</b:Middle>
          </b:Person>
        </b:NameList>
      </b:Author>
    </b:Author>
    <b:Title>The Rise of Virtual Health Care: Transforming the Health Care Landscape in the Kingdom of Saudi Arabia: A Review Article</b:Title>
    <b:Year>2024</b:Year>
    <b:URL>https://www.liebertpub.com/doi/abs/10.1089/tmj.2024.0114</b:URL>
    <b:RefOrder>31</b:RefOrder>
  </b:Source>
  <b:Source>
    <b:Tag>Ala242</b:Tag>
    <b:SourceType>JournalArticle</b:SourceType>
    <b:Guid>{C78FBC5B-112A-4E79-ADF2-146B9F9056B9}</b:Guid>
    <b:Author>
      <b:Author>
        <b:NameList>
          <b:Person>
            <b:Last>Alanazi</b:Last>
            <b:First>Abdulaziz</b:First>
            <b:Middle>Naif Tamash</b:Middle>
          </b:Person>
        </b:NameList>
      </b:Author>
    </b:Author>
    <b:Title>Digital Health Integration in Saudi Arabia: Implications for Nursing Practice, Hospital Management, and Dental Care Under Vision 2030</b:Title>
    <b:Year>2024</b:Year>
    <b:URL>https://www.proquest.com/openview/f34c49ef4406d1931cb4a89895d7c301/1?pq-origsite=gscholar&amp;cbl=6480378</b:URL>
    <b:RefOrder>32</b:RefOrder>
  </b:Source>
  <b:Source>
    <b:Tag>Guo243</b:Tag>
    <b:SourceType>JournalArticle</b:SourceType>
    <b:Guid>{359EF4F5-1FFB-48D0-B8FA-35F3666B642B}</b:Guid>
    <b:Author>
      <b:Author>
        <b:NameList>
          <b:Person>
            <b:Last>Guo</b:Last>
            <b:First>Qin</b:First>
          </b:Person>
        </b:NameList>
      </b:Author>
    </b:Author>
    <b:Title>Analyzing the Diffusion of Innovations Theory</b:Title>
    <b:Year>2024</b:Year>
    <b:URL>https://www.researchgate.net/publication/387746866_Analyzing_the_Diffusion_of_Innovations_Theory</b:URL>
    <b:RefOrder>33</b:RefOrder>
  </b:Source>
  <b:Source>
    <b:Tag>Nat22</b:Tag>
    <b:SourceType>JournalArticle</b:SourceType>
    <b:Guid>{BC3FF7BB-68CD-4187-A481-6F8467958FD0}</b:Guid>
    <b:Author>
      <b:Author>
        <b:NameList>
          <b:Person>
            <b:Last>Natasia</b:Last>
            <b:First>Sri</b:First>
            <b:Middle>Rahayu</b:Middle>
          </b:Person>
        </b:NameList>
      </b:Author>
    </b:Author>
    <b:Title>Acceptance analysis of NUADU as e-learning platform using the Technology Acceptance Model (TAM) approach</b:Title>
    <b:Year>2022</b:Year>
    <b:URL>https://www.researchgate.net/publication/357815765_Acceptance_analysis_of_NUADU_as_e-learning_platform_using_the_Technology_Acceptance_Model_TAM_approach</b:URL>
    <b:RefOrder>34</b:RefOrder>
  </b:Source>
  <b:Source>
    <b:Tag>Gov231</b:Tag>
    <b:SourceType>JournalArticle</b:SourceType>
    <b:Guid>{7B79500E-B409-437E-96D5-E8A1436A48B9}</b:Guid>
    <b:Author>
      <b:Author>
        <b:NameList>
          <b:Person>
            <b:Last>Govers</b:Last>
            <b:First>Mark</b:First>
          </b:Person>
        </b:NameList>
      </b:Author>
    </b:Author>
    <b:Title>A theoretical essay on socio-technical systems design thinking in the era of digital transformation</b:Title>
    <b:Year>2023</b:Year>
    <b:URL>https://www.researchgate.net/publication/369791285_A_theoretical_essay_on_socio-technical_systems_design_thinking_in_the_era_of_digital_transformation</b:URL>
    <b:RefOrder>35</b:RefOrder>
  </b:Source>
  <b:Source>
    <b:Tag>Dan18</b:Tag>
    <b:SourceType>JournalArticle</b:SourceType>
    <b:Guid>{9742B088-BA6A-4E51-B462-44B38AE793C2}</b:Guid>
    <b:Author>
      <b:Author>
        <b:NameList>
          <b:Person>
            <b:Last>Daniel</b:Last>
            <b:First>Cross</b:First>
            <b:Middle>Ogohi</b:Middle>
          </b:Person>
        </b:NameList>
      </b:Author>
    </b:Author>
    <b:Title>Total Quality Management as a Tool for Achieving Organisational Performance</b:Title>
    <b:Year>2018</b:Year>
    <b:URL>https://www.researchgate.net/publication/342069226_Total_Quality_Management_as_a_Tool_for_Achieving_Organisational_Performance</b:URL>
    <b:RefOrder>36</b:RefOrder>
  </b:Source>
  <b:Source>
    <b:Tag>Tan22</b:Tag>
    <b:SourceType>JournalArticle</b:SourceType>
    <b:Guid>{6D8E0C2E-8F77-4FA7-A10F-7ACCAC36883C}</b:Guid>
    <b:Author>
      <b:Author>
        <b:NameList>
          <b:Person>
            <b:Last>Tanushev</b:Last>
            <b:First>Christian</b:First>
          </b:Person>
        </b:NameList>
      </b:Author>
    </b:Author>
    <b:Title>Digital Transformation: The Impact on Corporate Strategy</b:Title>
    <b:Year>2022</b:Year>
    <b:URL>https://www.researchgate.net/publication/364165362_Digital_Transformation_The_Impact_on_Corporate_Strategy</b:URL>
    <b:RefOrder>37</b:RefOrder>
  </b:Source>
</b:Sources>
</file>

<file path=customXml/itemProps1.xml><?xml version="1.0" encoding="utf-8"?>
<ds:datastoreItem xmlns:ds="http://schemas.openxmlformats.org/officeDocument/2006/customXml" ds:itemID="{89B814B9-BC09-4EA5-B41F-A45A11447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5894</Words>
  <Characters>33599</Characters>
  <Application>Microsoft Office Word</Application>
  <DocSecurity>0</DocSecurity>
  <Lines>279</Lines>
  <Paragraphs>78</Paragraphs>
  <ScaleCrop>false</ScaleCrop>
  <Company/>
  <LinksUpToDate>false</LinksUpToDate>
  <CharactersWithSpaces>39415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sherifelmetwaly18@gmail.com</dc:creator>
  <cp:keywords/>
  <dc:description/>
  <cp:lastModifiedBy>sherifelmetwaly18@gmail.com</cp:lastModifiedBy>
  <cp:revision>2</cp:revision>
  <dcterms:created xsi:type="dcterms:W3CDTF">2025-07-11T11:38:00Z</dcterms:created>
  <dcterms:modified xsi:type="dcterms:W3CDTF">2025-07-11T11:39:00Z</dcterms:modified>
</cp:coreProperties>
</file>