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4F062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F0620">
        <w:rPr>
          <w:rFonts w:ascii="Times New Roman" w:hAnsi="Times New Roman" w:cs="Traditional Arabic" w:hint="cs"/>
          <w:b/>
          <w:bCs/>
          <w:sz w:val="28"/>
          <w:szCs w:val="28"/>
          <w:rtl/>
          <w:lang w:bidi="ar-EG"/>
        </w:rPr>
        <w:t>جامعة ميد اوشن</w:t>
      </w:r>
    </w:p>
    <w:p w14:paraId="1D62B67A"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4F0620">
        <w:rPr>
          <w:rFonts w:ascii="Times New Roman" w:hAnsi="Times New Roman" w:cs="Traditional Arabic" w:hint="cs"/>
          <w:b/>
          <w:bCs/>
          <w:sz w:val="28"/>
          <w:szCs w:val="28"/>
          <w:rtl/>
          <w:lang w:bidi="ar-EG"/>
        </w:rPr>
        <w:t>كلية الإدارة</w:t>
      </w:r>
    </w:p>
    <w:p w14:paraId="6EFF3960" w14:textId="77777777" w:rsidR="00761E9B" w:rsidRPr="004F0620" w:rsidRDefault="00761E9B" w:rsidP="00761E9B">
      <w:pPr>
        <w:spacing w:before="100" w:beforeAutospacing="1" w:after="100" w:afterAutospacing="1" w:line="360" w:lineRule="auto"/>
        <w:ind w:left="-2"/>
        <w:jc w:val="both"/>
        <w:rPr>
          <w:rFonts w:ascii="Times New Roman" w:hAnsi="Times New Roman" w:cs="Traditional Arabic"/>
          <w:b/>
          <w:bCs/>
          <w:sz w:val="40"/>
          <w:szCs w:val="40"/>
          <w:rtl/>
        </w:rPr>
      </w:pPr>
    </w:p>
    <w:p w14:paraId="6C052E78" w14:textId="66862370" w:rsidR="008D2A48" w:rsidRDefault="008D2A48" w:rsidP="00110FA8">
      <w:pPr>
        <w:bidi w:val="0"/>
        <w:spacing w:before="100" w:beforeAutospacing="1" w:after="100" w:afterAutospacing="1" w:line="360" w:lineRule="auto"/>
        <w:ind w:left="-2"/>
        <w:jc w:val="center"/>
        <w:rPr>
          <w:rFonts w:ascii="Times New Roman" w:hAnsi="Times New Roman" w:cs="Traditional Arabic"/>
          <w:b/>
          <w:bCs/>
        </w:rPr>
      </w:pPr>
      <w:r w:rsidRPr="008D2A48">
        <w:rPr>
          <w:rFonts w:ascii="Times New Roman" w:hAnsi="Times New Roman" w:cs="Traditional Arabic"/>
          <w:b/>
          <w:bCs/>
          <w:noProof/>
          <w:kern w:val="0"/>
          <w:sz w:val="44"/>
          <w:szCs w:val="44"/>
          <w:rtl/>
          <w14:ligatures w14:val="none"/>
        </w:rPr>
        <w:t xml:space="preserve">أثر التزام الإدارة العليا بمعايير الحوكمة الرقمية على نجاح مشاريع التحول الرقمي  </w:t>
      </w:r>
      <w:r>
        <w:rPr>
          <w:rFonts w:ascii="Times New Roman" w:hAnsi="Times New Roman" w:cs="Traditional Arabic" w:hint="cs"/>
          <w:b/>
          <w:bCs/>
          <w:noProof/>
          <w:kern w:val="0"/>
          <w:sz w:val="44"/>
          <w:szCs w:val="44"/>
          <w:rtl/>
          <w14:ligatures w14:val="none"/>
        </w:rPr>
        <w:t xml:space="preserve">دراسة ميدانية على شركات الاتصالات السعودية </w:t>
      </w:r>
    </w:p>
    <w:p w14:paraId="5E4EF7DA" w14:textId="168759D0" w:rsidR="005B513B" w:rsidRDefault="005B513B" w:rsidP="006220A5">
      <w:pPr>
        <w:shd w:val="clear" w:color="auto" w:fill="FFFF00"/>
        <w:spacing w:before="100" w:beforeAutospacing="1" w:after="100" w:afterAutospacing="1" w:line="360" w:lineRule="auto"/>
        <w:ind w:left="-2"/>
        <w:jc w:val="center"/>
        <w:rPr>
          <w:rFonts w:ascii="Times New Roman" w:hAnsi="Times New Roman" w:cs="Traditional Arabic"/>
          <w:b/>
          <w:bCs/>
          <w:lang w:bidi="ar-EG"/>
        </w:rPr>
      </w:pPr>
      <w:r w:rsidRPr="005B513B">
        <w:rPr>
          <w:rFonts w:ascii="Times New Roman" w:hAnsi="Times New Roman" w:cs="Traditional Arabic"/>
          <w:b/>
          <w:bCs/>
          <w:lang w:bidi="ar-EG"/>
        </w:rPr>
        <w:t>The Impact of Top Management Commitment to Digital Governance Standards on the Success of Digital Transformation Projects: A Field Study on Saudi Telecommunications Companies</w:t>
      </w:r>
    </w:p>
    <w:p w14:paraId="1E4EC300" w14:textId="0F6ECEEF" w:rsidR="00761E9B" w:rsidRPr="004F0620" w:rsidRDefault="00761E9B" w:rsidP="008D2A48">
      <w:pPr>
        <w:spacing w:before="100" w:beforeAutospacing="1" w:after="100" w:afterAutospacing="1" w:line="360" w:lineRule="auto"/>
        <w:ind w:left="-2"/>
        <w:jc w:val="center"/>
        <w:rPr>
          <w:rFonts w:ascii="Times New Roman" w:hAnsi="Times New Roman" w:cs="Traditional Arabic"/>
          <w:b/>
          <w:bCs/>
          <w:rtl/>
          <w:lang w:bidi="ar-EG"/>
        </w:rPr>
      </w:pPr>
      <w:r w:rsidRPr="004F0620">
        <w:rPr>
          <w:rFonts w:ascii="Times New Roman" w:hAnsi="Times New Roman" w:cs="Traditional Arabic" w:hint="cs"/>
          <w:b/>
          <w:bCs/>
          <w:rtl/>
        </w:rPr>
        <w:t>مشروع خطة أطروحة للتسجيل لدرجة الدكتوراه</w:t>
      </w:r>
    </w:p>
    <w:p w14:paraId="4E9B99FC" w14:textId="77777777" w:rsidR="00761E9B" w:rsidRPr="004F0620" w:rsidRDefault="00761E9B" w:rsidP="00761E9B">
      <w:pPr>
        <w:pStyle w:val="NormalWeb"/>
        <w:bidi/>
        <w:spacing w:line="360" w:lineRule="auto"/>
        <w:ind w:left="-2"/>
        <w:jc w:val="center"/>
        <w:rPr>
          <w:rFonts w:eastAsiaTheme="minorHAnsi" w:cs="Traditional Arabic"/>
          <w:b/>
          <w:bCs/>
          <w:noProof/>
          <w:sz w:val="36"/>
          <w:szCs w:val="36"/>
          <w:rtl/>
          <w:lang w:bidi="ar-EG"/>
        </w:rPr>
      </w:pPr>
    </w:p>
    <w:p w14:paraId="405A84CD" w14:textId="16EA9B87" w:rsidR="003F0DEE" w:rsidRDefault="00761E9B" w:rsidP="00571EBF">
      <w:pPr>
        <w:pStyle w:val="NormalWeb"/>
        <w:bidi/>
        <w:spacing w:line="360" w:lineRule="auto"/>
        <w:ind w:left="-2"/>
        <w:jc w:val="center"/>
        <w:rPr>
          <w:rFonts w:eastAsiaTheme="minorHAnsi" w:cs="Traditional Arabic"/>
          <w:b/>
          <w:bCs/>
          <w:noProof/>
          <w:sz w:val="36"/>
          <w:szCs w:val="36"/>
        </w:rPr>
      </w:pPr>
      <w:r w:rsidRPr="004F0620">
        <w:rPr>
          <w:rFonts w:eastAsiaTheme="minorHAnsi" w:cs="Traditional Arabic" w:hint="cs"/>
          <w:b/>
          <w:bCs/>
          <w:noProof/>
          <w:sz w:val="36"/>
          <w:szCs w:val="36"/>
          <w:rtl/>
        </w:rPr>
        <w:t>إعداد الباحث:</w:t>
      </w:r>
    </w:p>
    <w:p w14:paraId="3FA350FD" w14:textId="77777777" w:rsidR="00571EBF" w:rsidRDefault="00571EBF" w:rsidP="00571EBF">
      <w:pPr>
        <w:pStyle w:val="NormalWeb"/>
        <w:bidi/>
        <w:spacing w:line="360" w:lineRule="auto"/>
        <w:ind w:left="-2"/>
        <w:jc w:val="center"/>
        <w:rPr>
          <w:rFonts w:eastAsiaTheme="minorHAnsi" w:cs="Traditional Arabic"/>
          <w:b/>
          <w:bCs/>
          <w:noProof/>
          <w:sz w:val="36"/>
          <w:szCs w:val="36"/>
        </w:rPr>
      </w:pPr>
      <w:r>
        <w:rPr>
          <w:rFonts w:eastAsiaTheme="minorHAnsi" w:cs="Traditional Arabic"/>
          <w:b/>
          <w:bCs/>
          <w:noProof/>
          <w:sz w:val="36"/>
          <w:szCs w:val="36"/>
          <w:rtl/>
        </w:rPr>
        <w:t>د. أحمد يوسف محبوب</w:t>
      </w:r>
    </w:p>
    <w:p w14:paraId="28CE4801" w14:textId="52E53EB4" w:rsidR="00761E9B" w:rsidRPr="00571EBF" w:rsidRDefault="00571EBF" w:rsidP="00571EBF">
      <w:pPr>
        <w:pStyle w:val="NormalWeb"/>
        <w:bidi/>
        <w:spacing w:line="360" w:lineRule="auto"/>
        <w:ind w:left="-2"/>
        <w:jc w:val="center"/>
        <w:rPr>
          <w:rFonts w:eastAsiaTheme="minorHAnsi" w:cs="Traditional Arabic"/>
          <w:b/>
          <w:bCs/>
          <w:noProof/>
          <w:sz w:val="36"/>
          <w:szCs w:val="36"/>
        </w:rPr>
      </w:pPr>
      <w:r>
        <w:rPr>
          <w:rFonts w:eastAsiaTheme="minorHAnsi" w:cs="Traditional Arabic"/>
          <w:b/>
          <w:bCs/>
          <w:noProof/>
          <w:sz w:val="36"/>
          <w:szCs w:val="36"/>
          <w:rtl/>
        </w:rPr>
        <w:t xml:space="preserve"> 252001794</w:t>
      </w:r>
    </w:p>
    <w:p w14:paraId="00A8D996" w14:textId="4655B952" w:rsidR="00761E9B" w:rsidRPr="004F0620" w:rsidRDefault="00761E9B" w:rsidP="00761E9B">
      <w:pPr>
        <w:pStyle w:val="NormalWeb"/>
        <w:spacing w:line="360" w:lineRule="auto"/>
        <w:ind w:left="-2"/>
        <w:jc w:val="center"/>
        <w:rPr>
          <w:rFonts w:cs="Traditional Arabic"/>
          <w:b/>
          <w:bCs/>
          <w:rtl/>
        </w:rPr>
      </w:pPr>
      <w:r w:rsidRPr="004F0620">
        <w:rPr>
          <w:rFonts w:cs="Traditional Arabic" w:hint="cs"/>
          <w:b/>
          <w:bCs/>
          <w:rtl/>
        </w:rPr>
        <w:t>144</w:t>
      </w:r>
      <w:r w:rsidR="008F4DEA">
        <w:rPr>
          <w:rFonts w:cs="Traditional Arabic" w:hint="cs"/>
          <w:b/>
          <w:bCs/>
          <w:rtl/>
          <w:lang w:bidi="ar-EG"/>
        </w:rPr>
        <w:t>8</w:t>
      </w:r>
      <w:r w:rsidRPr="004F0620">
        <w:rPr>
          <w:rFonts w:cs="Traditional Arabic" w:hint="cs"/>
          <w:b/>
          <w:bCs/>
          <w:rtl/>
        </w:rPr>
        <w:t xml:space="preserve">هـ/ </w:t>
      </w:r>
      <w:r w:rsidR="008F4DEA">
        <w:rPr>
          <w:rFonts w:cs="Traditional Arabic" w:hint="cs"/>
          <w:b/>
          <w:bCs/>
          <w:rtl/>
        </w:rPr>
        <w:t xml:space="preserve"> </w:t>
      </w:r>
      <w:r w:rsidRPr="004F0620">
        <w:rPr>
          <w:rFonts w:cs="Traditional Arabic" w:hint="cs"/>
          <w:b/>
          <w:bCs/>
          <w:rtl/>
        </w:rPr>
        <w:t>202</w:t>
      </w:r>
      <w:r w:rsidR="008F4DEA">
        <w:rPr>
          <w:rFonts w:cs="Traditional Arabic" w:hint="cs"/>
          <w:b/>
          <w:bCs/>
          <w:rtl/>
        </w:rPr>
        <w:t>6</w:t>
      </w:r>
    </w:p>
    <w:p w14:paraId="68B00E21" w14:textId="5DB100A2" w:rsidR="00761E9B" w:rsidRDefault="00761E9B" w:rsidP="00761E9B">
      <w:pPr>
        <w:spacing w:after="200" w:line="276" w:lineRule="auto"/>
        <w:rPr>
          <w:rFonts w:ascii="Times New Roman" w:hAnsi="Times New Roman" w:cs="Traditional Arabic"/>
          <w:b/>
          <w:bCs/>
          <w:sz w:val="2"/>
          <w:szCs w:val="2"/>
          <w:rtl/>
        </w:rPr>
      </w:pPr>
      <w:r w:rsidRPr="004F0620">
        <w:rPr>
          <w:rFonts w:ascii="Times New Roman" w:hAnsi="Times New Roman" w:cs="Traditional Arabic"/>
          <w:b/>
          <w:bCs/>
          <w:sz w:val="2"/>
          <w:szCs w:val="2"/>
          <w:rtl/>
        </w:rPr>
        <w:br w:type="page"/>
      </w:r>
    </w:p>
    <w:p w14:paraId="5986CA45" w14:textId="77777777" w:rsidR="008F4DEA" w:rsidRDefault="008F4DEA" w:rsidP="00761E9B">
      <w:pPr>
        <w:spacing w:after="200" w:line="276" w:lineRule="auto"/>
        <w:rPr>
          <w:rFonts w:ascii="Times New Roman" w:hAnsi="Times New Roman" w:cs="Traditional Arabic"/>
          <w:b/>
          <w:bCs/>
          <w:sz w:val="2"/>
          <w:szCs w:val="2"/>
          <w:rtl/>
        </w:rPr>
      </w:pPr>
    </w:p>
    <w:p w14:paraId="670EC753" w14:textId="77777777" w:rsidR="008F4DEA" w:rsidRDefault="008F4DEA" w:rsidP="00761E9B">
      <w:pPr>
        <w:spacing w:after="200" w:line="276" w:lineRule="auto"/>
        <w:rPr>
          <w:rFonts w:ascii="Times New Roman" w:hAnsi="Times New Roman" w:cs="Traditional Arabic"/>
          <w:b/>
          <w:bCs/>
          <w:sz w:val="2"/>
          <w:szCs w:val="2"/>
          <w:rtl/>
        </w:rPr>
      </w:pPr>
    </w:p>
    <w:p w14:paraId="769B4CFC" w14:textId="2ABE1025" w:rsidR="00806D0F" w:rsidRDefault="005C5DF8">
      <w:pPr>
        <w:bidi w:val="0"/>
        <w:rPr>
          <w:rFonts w:ascii="Times New Roman" w:hAnsi="Times New Roman" w:cs="Traditional Arabic"/>
          <w:b/>
          <w:bCs/>
          <w:sz w:val="2"/>
          <w:szCs w:val="2"/>
        </w:rPr>
      </w:pPr>
      <w:r>
        <w:rPr>
          <w:rFonts w:ascii="Times New Roman" w:hAnsi="Times New Roman" w:cs="Traditional Arabic"/>
          <w:b/>
          <w:bCs/>
          <w:noProof/>
          <w:sz w:val="2"/>
          <w:szCs w:val="2"/>
        </w:rPr>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Pr>
          <w:rFonts w:ascii="Times New Roman" w:hAnsi="Times New Roman" w:cs="Traditional Arabic"/>
          <w:b/>
          <w:bCs/>
          <w:sz w:val="2"/>
          <w:szCs w:val="2"/>
          <w:rtl/>
        </w:rPr>
        <w:br w:type="page"/>
      </w: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Pr="005C5DF8" w:rsidRDefault="00D439AC">
          <w:pPr>
            <w:pStyle w:val="TOCHeading"/>
            <w:rPr>
              <w:rFonts w:ascii="Simplified Arabic" w:hAnsi="Simplified Arabic" w:cs="Simplified Arabic"/>
              <w:color w:val="auto"/>
            </w:rPr>
          </w:pPr>
          <w:r w:rsidRPr="008F4DEA">
            <w:rPr>
              <w:rFonts w:ascii="Simplified Arabic" w:hAnsi="Simplified Arabic" w:cs="Simplified Arabic" w:hint="cs"/>
              <w:color w:val="auto"/>
              <w:sz w:val="28"/>
              <w:szCs w:val="28"/>
              <w:lang w:val="ar-SA"/>
            </w:rPr>
            <w:t>ا</w:t>
          </w:r>
          <w:r w:rsidRPr="005C5DF8">
            <w:rPr>
              <w:rFonts w:ascii="Simplified Arabic" w:hAnsi="Simplified Arabic" w:cs="Simplified Arabic" w:hint="cs"/>
              <w:color w:val="auto"/>
              <w:lang w:val="ar-SA"/>
            </w:rPr>
            <w:t>لمحتويات</w:t>
          </w:r>
        </w:p>
        <w:p w14:paraId="7EA222DA" w14:textId="77B23072" w:rsidR="005C5DF8" w:rsidRPr="005C5DF8" w:rsidRDefault="00D439AC">
          <w:pPr>
            <w:pStyle w:val="TOC1"/>
            <w:tabs>
              <w:tab w:val="right" w:leader="dot" w:pos="9016"/>
            </w:tabs>
            <w:rPr>
              <w:rFonts w:ascii="Simplified Arabic" w:eastAsiaTheme="minorEastAsia" w:hAnsi="Simplified Arabic" w:cs="Simplified Arabic"/>
              <w:noProof/>
              <w:sz w:val="28"/>
              <w:szCs w:val="28"/>
              <w:rtl/>
            </w:rPr>
          </w:pPr>
          <w:r w:rsidRPr="005C5DF8">
            <w:rPr>
              <w:rFonts w:ascii="Simplified Arabic" w:hAnsi="Simplified Arabic" w:cs="Simplified Arabic" w:hint="cs"/>
              <w:sz w:val="32"/>
              <w:szCs w:val="32"/>
            </w:rPr>
            <w:fldChar w:fldCharType="begin"/>
          </w:r>
          <w:r w:rsidRPr="005C5DF8">
            <w:rPr>
              <w:rFonts w:ascii="Simplified Arabic" w:hAnsi="Simplified Arabic" w:cs="Simplified Arabic" w:hint="cs"/>
              <w:sz w:val="32"/>
              <w:szCs w:val="32"/>
            </w:rPr>
            <w:instrText xml:space="preserve"> TOC \o "1-3" \h \z \u </w:instrText>
          </w:r>
          <w:r w:rsidRPr="005C5DF8">
            <w:rPr>
              <w:rFonts w:ascii="Simplified Arabic" w:hAnsi="Simplified Arabic" w:cs="Simplified Arabic" w:hint="cs"/>
              <w:sz w:val="32"/>
              <w:szCs w:val="32"/>
            </w:rPr>
            <w:fldChar w:fldCharType="separate"/>
          </w:r>
          <w:hyperlink w:anchor="_Toc233187245" w:history="1">
            <w:r w:rsidR="005C5DF8" w:rsidRPr="005C5DF8">
              <w:rPr>
                <w:rStyle w:val="Hyperlink"/>
                <w:rFonts w:ascii="Simplified Arabic" w:hAnsi="Simplified Arabic" w:cs="Simplified Arabic" w:hint="cs"/>
                <w:noProof/>
                <w:sz w:val="28"/>
                <w:szCs w:val="28"/>
                <w:rtl/>
                <w:lang w:bidi="ar-EG"/>
              </w:rPr>
              <w:t>المقدمة:</w:t>
            </w:r>
            <w:r w:rsidR="005C5DF8" w:rsidRPr="005C5DF8">
              <w:rPr>
                <w:rFonts w:ascii="Simplified Arabic" w:hAnsi="Simplified Arabic" w:cs="Simplified Arabic" w:hint="cs"/>
                <w:noProof/>
                <w:webHidden/>
                <w:sz w:val="28"/>
                <w:szCs w:val="28"/>
                <w:rtl/>
              </w:rPr>
              <w:tab/>
            </w:r>
            <w:r w:rsidR="005C5DF8" w:rsidRPr="005C5DF8">
              <w:rPr>
                <w:rStyle w:val="Hyperlink"/>
                <w:rFonts w:ascii="Simplified Arabic" w:hAnsi="Simplified Arabic" w:cs="Simplified Arabic" w:hint="cs"/>
                <w:noProof/>
                <w:sz w:val="28"/>
                <w:szCs w:val="28"/>
                <w:rtl/>
              </w:rPr>
              <w:fldChar w:fldCharType="begin"/>
            </w:r>
            <w:r w:rsidR="005C5DF8" w:rsidRPr="005C5DF8">
              <w:rPr>
                <w:rFonts w:ascii="Simplified Arabic" w:hAnsi="Simplified Arabic" w:cs="Simplified Arabic" w:hint="cs"/>
                <w:noProof/>
                <w:webHidden/>
                <w:sz w:val="28"/>
                <w:szCs w:val="28"/>
                <w:rtl/>
              </w:rPr>
              <w:instrText xml:space="preserve"> </w:instrText>
            </w:r>
            <w:r w:rsidR="005C5DF8" w:rsidRPr="005C5DF8">
              <w:rPr>
                <w:rFonts w:ascii="Simplified Arabic" w:hAnsi="Simplified Arabic" w:cs="Simplified Arabic" w:hint="cs"/>
                <w:noProof/>
                <w:webHidden/>
                <w:sz w:val="28"/>
                <w:szCs w:val="28"/>
              </w:rPr>
              <w:instrText>PAGEREF</w:instrText>
            </w:r>
            <w:r w:rsidR="005C5DF8" w:rsidRPr="005C5DF8">
              <w:rPr>
                <w:rFonts w:ascii="Simplified Arabic" w:hAnsi="Simplified Arabic" w:cs="Simplified Arabic" w:hint="cs"/>
                <w:noProof/>
                <w:webHidden/>
                <w:sz w:val="28"/>
                <w:szCs w:val="28"/>
                <w:rtl/>
              </w:rPr>
              <w:instrText xml:space="preserve"> _</w:instrText>
            </w:r>
            <w:r w:rsidR="005C5DF8" w:rsidRPr="005C5DF8">
              <w:rPr>
                <w:rFonts w:ascii="Simplified Arabic" w:hAnsi="Simplified Arabic" w:cs="Simplified Arabic" w:hint="cs"/>
                <w:noProof/>
                <w:webHidden/>
                <w:sz w:val="28"/>
                <w:szCs w:val="28"/>
              </w:rPr>
              <w:instrText>Toc233187245 \h</w:instrText>
            </w:r>
            <w:r w:rsidR="005C5DF8" w:rsidRPr="005C5DF8">
              <w:rPr>
                <w:rFonts w:ascii="Simplified Arabic" w:hAnsi="Simplified Arabic" w:cs="Simplified Arabic" w:hint="cs"/>
                <w:noProof/>
                <w:webHidden/>
                <w:sz w:val="28"/>
                <w:szCs w:val="28"/>
                <w:rtl/>
              </w:rPr>
              <w:instrText xml:space="preserve"> </w:instrText>
            </w:r>
            <w:r w:rsidR="005C5DF8" w:rsidRPr="005C5DF8">
              <w:rPr>
                <w:rStyle w:val="Hyperlink"/>
                <w:rFonts w:ascii="Simplified Arabic" w:hAnsi="Simplified Arabic" w:cs="Simplified Arabic" w:hint="cs"/>
                <w:noProof/>
                <w:sz w:val="28"/>
                <w:szCs w:val="28"/>
                <w:rtl/>
              </w:rPr>
            </w:r>
            <w:r w:rsidR="005C5DF8" w:rsidRPr="005C5DF8">
              <w:rPr>
                <w:rStyle w:val="Hyperlink"/>
                <w:rFonts w:ascii="Simplified Arabic" w:hAnsi="Simplified Arabic" w:cs="Simplified Arabic" w:hint="cs"/>
                <w:noProof/>
                <w:sz w:val="28"/>
                <w:szCs w:val="28"/>
                <w:rtl/>
              </w:rPr>
              <w:fldChar w:fldCharType="separate"/>
            </w:r>
            <w:r w:rsidR="005C5DF8" w:rsidRPr="005C5DF8">
              <w:rPr>
                <w:rFonts w:ascii="Simplified Arabic" w:hAnsi="Simplified Arabic" w:cs="Simplified Arabic" w:hint="cs"/>
                <w:noProof/>
                <w:webHidden/>
                <w:sz w:val="28"/>
                <w:szCs w:val="28"/>
                <w:rtl/>
              </w:rPr>
              <w:t>3</w:t>
            </w:r>
            <w:r w:rsidR="005C5DF8" w:rsidRPr="005C5DF8">
              <w:rPr>
                <w:rStyle w:val="Hyperlink"/>
                <w:rFonts w:ascii="Simplified Arabic" w:hAnsi="Simplified Arabic" w:cs="Simplified Arabic" w:hint="cs"/>
                <w:noProof/>
                <w:sz w:val="28"/>
                <w:szCs w:val="28"/>
                <w:rtl/>
              </w:rPr>
              <w:fldChar w:fldCharType="end"/>
            </w:r>
          </w:hyperlink>
        </w:p>
        <w:p w14:paraId="2D200194" w14:textId="45A18379"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6" w:history="1">
            <w:r w:rsidRPr="005C5DF8">
              <w:rPr>
                <w:rStyle w:val="Hyperlink"/>
                <w:rFonts w:ascii="Simplified Arabic" w:hAnsi="Simplified Arabic" w:cs="Simplified Arabic" w:hint="cs"/>
                <w:noProof/>
                <w:sz w:val="28"/>
                <w:szCs w:val="28"/>
                <w:rtl/>
                <w:lang w:bidi="ar-EG"/>
              </w:rPr>
              <w:t>مشكلة الدراسة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Toc233187246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5</w:t>
            </w:r>
            <w:r w:rsidRPr="005C5DF8">
              <w:rPr>
                <w:rStyle w:val="Hyperlink"/>
                <w:rFonts w:ascii="Simplified Arabic" w:hAnsi="Simplified Arabic" w:cs="Simplified Arabic" w:hint="cs"/>
                <w:noProof/>
                <w:sz w:val="28"/>
                <w:szCs w:val="28"/>
                <w:rtl/>
              </w:rPr>
              <w:fldChar w:fldCharType="end"/>
            </w:r>
          </w:hyperlink>
        </w:p>
        <w:p w14:paraId="3FE95253" w14:textId="33276573"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7" w:history="1">
            <w:r w:rsidRPr="005C5DF8">
              <w:rPr>
                <w:rStyle w:val="Hyperlink"/>
                <w:rFonts w:ascii="Simplified Arabic" w:hAnsi="Simplified Arabic" w:cs="Simplified Arabic" w:hint="cs"/>
                <w:noProof/>
                <w:sz w:val="28"/>
                <w:szCs w:val="28"/>
                <w:rtl/>
                <w:lang w:bidi="ar-EG"/>
              </w:rPr>
              <w:t>أهمية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Toc233187247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8</w:t>
            </w:r>
            <w:r w:rsidRPr="005C5DF8">
              <w:rPr>
                <w:rStyle w:val="Hyperlink"/>
                <w:rFonts w:ascii="Simplified Arabic" w:hAnsi="Simplified Arabic" w:cs="Simplified Arabic" w:hint="cs"/>
                <w:noProof/>
                <w:sz w:val="28"/>
                <w:szCs w:val="28"/>
                <w:rtl/>
              </w:rPr>
              <w:fldChar w:fldCharType="end"/>
            </w:r>
          </w:hyperlink>
        </w:p>
        <w:p w14:paraId="7507FF88" w14:textId="04A7247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8" w:history="1">
            <w:r w:rsidRPr="005C5DF8">
              <w:rPr>
                <w:rStyle w:val="Hyperlink"/>
                <w:rFonts w:ascii="Simplified Arabic" w:hAnsi="Simplified Arabic" w:cs="Simplified Arabic" w:hint="cs"/>
                <w:noProof/>
                <w:sz w:val="28"/>
                <w:szCs w:val="28"/>
                <w:rtl/>
                <w:lang w:bidi="ar-EG"/>
              </w:rPr>
              <w:t>أهداف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Toc233187248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9</w:t>
            </w:r>
            <w:r w:rsidRPr="005C5DF8">
              <w:rPr>
                <w:rStyle w:val="Hyperlink"/>
                <w:rFonts w:ascii="Simplified Arabic" w:hAnsi="Simplified Arabic" w:cs="Simplified Arabic" w:hint="cs"/>
                <w:noProof/>
                <w:sz w:val="28"/>
                <w:szCs w:val="28"/>
                <w:rtl/>
              </w:rPr>
              <w:fldChar w:fldCharType="end"/>
            </w:r>
          </w:hyperlink>
        </w:p>
        <w:p w14:paraId="4EE30C40" w14:textId="7FB8D7F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49" w:history="1">
            <w:r w:rsidRPr="005C5DF8">
              <w:rPr>
                <w:rStyle w:val="Hyperlink"/>
                <w:rFonts w:ascii="Simplified Arabic" w:hAnsi="Simplified Arabic" w:cs="Simplified Arabic" w:hint="cs"/>
                <w:noProof/>
                <w:sz w:val="28"/>
                <w:szCs w:val="28"/>
                <w:rtl/>
                <w:lang w:bidi="ar-EG"/>
              </w:rPr>
              <w:t>فرضيات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Toc233187249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10</w:t>
            </w:r>
            <w:r w:rsidRPr="005C5DF8">
              <w:rPr>
                <w:rStyle w:val="Hyperlink"/>
                <w:rFonts w:ascii="Simplified Arabic" w:hAnsi="Simplified Arabic" w:cs="Simplified Arabic" w:hint="cs"/>
                <w:noProof/>
                <w:sz w:val="28"/>
                <w:szCs w:val="28"/>
                <w:rtl/>
              </w:rPr>
              <w:fldChar w:fldCharType="end"/>
            </w:r>
          </w:hyperlink>
        </w:p>
        <w:p w14:paraId="7759D939" w14:textId="29158F5D"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0" w:history="1">
            <w:r w:rsidRPr="005C5DF8">
              <w:rPr>
                <w:rStyle w:val="Hyperlink"/>
                <w:rFonts w:ascii="Simplified Arabic" w:hAnsi="Simplified Arabic" w:cs="Simplified Arabic" w:hint="cs"/>
                <w:noProof/>
                <w:sz w:val="28"/>
                <w:szCs w:val="28"/>
                <w:rtl/>
              </w:rPr>
              <w:t>النظرية التي تعتمد عليها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Toc233187250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11</w:t>
            </w:r>
            <w:r w:rsidRPr="005C5DF8">
              <w:rPr>
                <w:rStyle w:val="Hyperlink"/>
                <w:rFonts w:ascii="Simplified Arabic" w:hAnsi="Simplified Arabic" w:cs="Simplified Arabic" w:hint="cs"/>
                <w:noProof/>
                <w:sz w:val="28"/>
                <w:szCs w:val="28"/>
                <w:rtl/>
              </w:rPr>
              <w:fldChar w:fldCharType="end"/>
            </w:r>
          </w:hyperlink>
        </w:p>
        <w:p w14:paraId="4CEF6813" w14:textId="498CAAF0"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1" w:history="1">
            <w:r w:rsidRPr="005C5DF8">
              <w:rPr>
                <w:rStyle w:val="Hyperlink"/>
                <w:rFonts w:ascii="Simplified Arabic" w:hAnsi="Simplified Arabic" w:cs="Simplified Arabic" w:hint="cs"/>
                <w:noProof/>
                <w:sz w:val="28"/>
                <w:szCs w:val="28"/>
                <w:rtl/>
                <w:lang w:bidi="ar-EG"/>
              </w:rPr>
              <w:t>نموذج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Toc233187251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13</w:t>
            </w:r>
            <w:r w:rsidRPr="005C5DF8">
              <w:rPr>
                <w:rStyle w:val="Hyperlink"/>
                <w:rFonts w:ascii="Simplified Arabic" w:hAnsi="Simplified Arabic" w:cs="Simplified Arabic" w:hint="cs"/>
                <w:noProof/>
                <w:sz w:val="28"/>
                <w:szCs w:val="28"/>
                <w:rtl/>
              </w:rPr>
              <w:fldChar w:fldCharType="end"/>
            </w:r>
          </w:hyperlink>
        </w:p>
        <w:p w14:paraId="17789139" w14:textId="291C8CB8"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2" w:history="1">
            <w:r w:rsidRPr="005C5DF8">
              <w:rPr>
                <w:rStyle w:val="Hyperlink"/>
                <w:rFonts w:ascii="Simplified Arabic" w:hAnsi="Simplified Arabic" w:cs="Simplified Arabic" w:hint="cs"/>
                <w:noProof/>
                <w:sz w:val="28"/>
                <w:szCs w:val="28"/>
                <w:rtl/>
                <w:lang w:bidi="ar-EG"/>
              </w:rPr>
              <w:t>مصطلحات الدراسة وتعريفاتها الإجرائية: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Toc233187252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14</w:t>
            </w:r>
            <w:r w:rsidRPr="005C5DF8">
              <w:rPr>
                <w:rStyle w:val="Hyperlink"/>
                <w:rFonts w:ascii="Simplified Arabic" w:hAnsi="Simplified Arabic" w:cs="Simplified Arabic" w:hint="cs"/>
                <w:noProof/>
                <w:sz w:val="28"/>
                <w:szCs w:val="28"/>
                <w:rtl/>
              </w:rPr>
              <w:fldChar w:fldCharType="end"/>
            </w:r>
          </w:hyperlink>
        </w:p>
        <w:p w14:paraId="0767F5E7" w14:textId="432666FA"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3" w:history="1">
            <w:r w:rsidRPr="005C5DF8">
              <w:rPr>
                <w:rStyle w:val="Hyperlink"/>
                <w:rFonts w:ascii="Simplified Arabic" w:hAnsi="Simplified Arabic" w:cs="Simplified Arabic" w:hint="cs"/>
                <w:noProof/>
                <w:sz w:val="28"/>
                <w:szCs w:val="28"/>
                <w:rtl/>
                <w:lang w:bidi="ar-EG"/>
              </w:rPr>
              <w:t>منهج الدراسة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Toc233187253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16</w:t>
            </w:r>
            <w:r w:rsidRPr="005C5DF8">
              <w:rPr>
                <w:rStyle w:val="Hyperlink"/>
                <w:rFonts w:ascii="Simplified Arabic" w:hAnsi="Simplified Arabic" w:cs="Simplified Arabic" w:hint="cs"/>
                <w:noProof/>
                <w:sz w:val="28"/>
                <w:szCs w:val="28"/>
                <w:rtl/>
              </w:rPr>
              <w:fldChar w:fldCharType="end"/>
            </w:r>
          </w:hyperlink>
        </w:p>
        <w:p w14:paraId="3A514941" w14:textId="20820DEA"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4" w:history="1">
            <w:r w:rsidRPr="005C5DF8">
              <w:rPr>
                <w:rStyle w:val="Hyperlink"/>
                <w:rFonts w:ascii="Simplified Arabic" w:hAnsi="Simplified Arabic" w:cs="Simplified Arabic" w:hint="cs"/>
                <w:noProof/>
                <w:sz w:val="28"/>
                <w:szCs w:val="28"/>
                <w:rtl/>
                <w:lang w:bidi="ar-EG"/>
              </w:rPr>
              <w:t>أداة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Toc233187254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17</w:t>
            </w:r>
            <w:r w:rsidRPr="005C5DF8">
              <w:rPr>
                <w:rStyle w:val="Hyperlink"/>
                <w:rFonts w:ascii="Simplified Arabic" w:hAnsi="Simplified Arabic" w:cs="Simplified Arabic" w:hint="cs"/>
                <w:noProof/>
                <w:sz w:val="28"/>
                <w:szCs w:val="28"/>
                <w:rtl/>
              </w:rPr>
              <w:fldChar w:fldCharType="end"/>
            </w:r>
          </w:hyperlink>
        </w:p>
        <w:p w14:paraId="5B740E24" w14:textId="514C3870"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5" w:history="1">
            <w:r w:rsidRPr="005C5DF8">
              <w:rPr>
                <w:rStyle w:val="Hyperlink"/>
                <w:rFonts w:ascii="Simplified Arabic" w:hAnsi="Simplified Arabic" w:cs="Simplified Arabic" w:hint="cs"/>
                <w:noProof/>
                <w:sz w:val="28"/>
                <w:szCs w:val="28"/>
                <w:rtl/>
                <w:lang w:bidi="ar-EG"/>
              </w:rPr>
              <w:t>مجتمع وعينة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Toc233187255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18</w:t>
            </w:r>
            <w:r w:rsidRPr="005C5DF8">
              <w:rPr>
                <w:rStyle w:val="Hyperlink"/>
                <w:rFonts w:ascii="Simplified Arabic" w:hAnsi="Simplified Arabic" w:cs="Simplified Arabic" w:hint="cs"/>
                <w:noProof/>
                <w:sz w:val="28"/>
                <w:szCs w:val="28"/>
                <w:rtl/>
              </w:rPr>
              <w:fldChar w:fldCharType="end"/>
            </w:r>
          </w:hyperlink>
        </w:p>
        <w:p w14:paraId="0E4F5884" w14:textId="40E0F385"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6" w:history="1">
            <w:r w:rsidRPr="005C5DF8">
              <w:rPr>
                <w:rStyle w:val="Hyperlink"/>
                <w:rFonts w:ascii="Simplified Arabic" w:hAnsi="Simplified Arabic" w:cs="Simplified Arabic" w:hint="cs"/>
                <w:noProof/>
                <w:sz w:val="28"/>
                <w:szCs w:val="28"/>
                <w:rtl/>
                <w:lang w:bidi="ar-EG"/>
              </w:rPr>
              <w:t>مصادر البيانات في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Toc233187256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18</w:t>
            </w:r>
            <w:r w:rsidRPr="005C5DF8">
              <w:rPr>
                <w:rStyle w:val="Hyperlink"/>
                <w:rFonts w:ascii="Simplified Arabic" w:hAnsi="Simplified Arabic" w:cs="Simplified Arabic" w:hint="cs"/>
                <w:noProof/>
                <w:sz w:val="28"/>
                <w:szCs w:val="28"/>
                <w:rtl/>
              </w:rPr>
              <w:fldChar w:fldCharType="end"/>
            </w:r>
          </w:hyperlink>
        </w:p>
        <w:p w14:paraId="150386D7" w14:textId="25523BF6"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7" w:history="1">
            <w:r w:rsidRPr="005C5DF8">
              <w:rPr>
                <w:rStyle w:val="Hyperlink"/>
                <w:rFonts w:ascii="Simplified Arabic" w:hAnsi="Simplified Arabic" w:cs="Simplified Arabic" w:hint="cs"/>
                <w:noProof/>
                <w:sz w:val="28"/>
                <w:szCs w:val="28"/>
                <w:rtl/>
                <w:lang w:bidi="ar-EG"/>
              </w:rPr>
              <w:t>المعالجات الإحصائية المقترحة: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Toc233187257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19</w:t>
            </w:r>
            <w:r w:rsidRPr="005C5DF8">
              <w:rPr>
                <w:rStyle w:val="Hyperlink"/>
                <w:rFonts w:ascii="Simplified Arabic" w:hAnsi="Simplified Arabic" w:cs="Simplified Arabic" w:hint="cs"/>
                <w:noProof/>
                <w:sz w:val="28"/>
                <w:szCs w:val="28"/>
                <w:rtl/>
              </w:rPr>
              <w:fldChar w:fldCharType="end"/>
            </w:r>
          </w:hyperlink>
        </w:p>
        <w:p w14:paraId="43589323" w14:textId="654552BC"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8" w:history="1">
            <w:r w:rsidRPr="005C5DF8">
              <w:rPr>
                <w:rStyle w:val="Hyperlink"/>
                <w:rFonts w:ascii="Simplified Arabic" w:hAnsi="Simplified Arabic" w:cs="Simplified Arabic" w:hint="cs"/>
                <w:noProof/>
                <w:sz w:val="28"/>
                <w:szCs w:val="28"/>
                <w:rtl/>
                <w:lang w:bidi="ar-EG"/>
              </w:rPr>
              <w:t>حدود الدراسة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Toc233187258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20</w:t>
            </w:r>
            <w:r w:rsidRPr="005C5DF8">
              <w:rPr>
                <w:rStyle w:val="Hyperlink"/>
                <w:rFonts w:ascii="Simplified Arabic" w:hAnsi="Simplified Arabic" w:cs="Simplified Arabic" w:hint="cs"/>
                <w:noProof/>
                <w:sz w:val="28"/>
                <w:szCs w:val="28"/>
                <w:rtl/>
              </w:rPr>
              <w:fldChar w:fldCharType="end"/>
            </w:r>
          </w:hyperlink>
        </w:p>
        <w:p w14:paraId="381185EC" w14:textId="71A8FFCB"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59" w:history="1">
            <w:r w:rsidRPr="005C5DF8">
              <w:rPr>
                <w:rStyle w:val="Hyperlink"/>
                <w:rFonts w:ascii="Simplified Arabic" w:hAnsi="Simplified Arabic" w:cs="Simplified Arabic" w:hint="cs"/>
                <w:noProof/>
                <w:sz w:val="28"/>
                <w:szCs w:val="28"/>
                <w:rtl/>
                <w:lang w:bidi="ar-EG"/>
              </w:rPr>
              <w:t>الدراسات السابقة :</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Toc233187259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20</w:t>
            </w:r>
            <w:r w:rsidRPr="005C5DF8">
              <w:rPr>
                <w:rStyle w:val="Hyperlink"/>
                <w:rFonts w:ascii="Simplified Arabic" w:hAnsi="Simplified Arabic" w:cs="Simplified Arabic" w:hint="cs"/>
                <w:noProof/>
                <w:sz w:val="28"/>
                <w:szCs w:val="28"/>
                <w:rtl/>
              </w:rPr>
              <w:fldChar w:fldCharType="end"/>
            </w:r>
          </w:hyperlink>
        </w:p>
        <w:p w14:paraId="2D1715FE" w14:textId="0BA908A2"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63" w:history="1">
            <w:r w:rsidRPr="005C5DF8">
              <w:rPr>
                <w:rStyle w:val="Hyperlink"/>
                <w:rFonts w:ascii="Simplified Arabic" w:hAnsi="Simplified Arabic" w:cs="Simplified Arabic" w:hint="cs"/>
                <w:noProof/>
                <w:sz w:val="28"/>
                <w:szCs w:val="28"/>
                <w:rtl/>
                <w:lang w:bidi="ar-EG"/>
              </w:rPr>
              <w:t>الفجوة البحثية</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Toc233187263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41</w:t>
            </w:r>
            <w:r w:rsidRPr="005C5DF8">
              <w:rPr>
                <w:rStyle w:val="Hyperlink"/>
                <w:rFonts w:ascii="Simplified Arabic" w:hAnsi="Simplified Arabic" w:cs="Simplified Arabic" w:hint="cs"/>
                <w:noProof/>
                <w:sz w:val="28"/>
                <w:szCs w:val="28"/>
                <w:rtl/>
              </w:rPr>
              <w:fldChar w:fldCharType="end"/>
            </w:r>
          </w:hyperlink>
        </w:p>
        <w:p w14:paraId="69B38A83" w14:textId="60D5F015" w:rsidR="005C5DF8" w:rsidRPr="005C5DF8" w:rsidRDefault="005C5DF8">
          <w:pPr>
            <w:pStyle w:val="TOC1"/>
            <w:tabs>
              <w:tab w:val="right" w:leader="dot" w:pos="9016"/>
            </w:tabs>
            <w:rPr>
              <w:rFonts w:ascii="Simplified Arabic" w:eastAsiaTheme="minorEastAsia" w:hAnsi="Simplified Arabic" w:cs="Simplified Arabic"/>
              <w:noProof/>
              <w:sz w:val="28"/>
              <w:szCs w:val="28"/>
              <w:rtl/>
            </w:rPr>
          </w:pPr>
          <w:hyperlink w:anchor="_Toc233187264" w:history="1">
            <w:r w:rsidRPr="005C5DF8">
              <w:rPr>
                <w:rStyle w:val="Hyperlink"/>
                <w:rFonts w:ascii="Simplified Arabic" w:hAnsi="Simplified Arabic" w:cs="Simplified Arabic" w:hint="cs"/>
                <w:noProof/>
                <w:sz w:val="28"/>
                <w:szCs w:val="28"/>
                <w:rtl/>
                <w:lang w:bidi="ar-EG"/>
              </w:rPr>
              <w:t>قائمة المراجع:</w:t>
            </w:r>
            <w:r w:rsidRPr="005C5DF8">
              <w:rPr>
                <w:rFonts w:ascii="Simplified Arabic" w:hAnsi="Simplified Arabic" w:cs="Simplified Arabic" w:hint="cs"/>
                <w:noProof/>
                <w:webHidden/>
                <w:sz w:val="28"/>
                <w:szCs w:val="28"/>
                <w:rtl/>
              </w:rPr>
              <w:tab/>
            </w:r>
            <w:r w:rsidRPr="005C5DF8">
              <w:rPr>
                <w:rStyle w:val="Hyperlink"/>
                <w:rFonts w:ascii="Simplified Arabic" w:hAnsi="Simplified Arabic" w:cs="Simplified Arabic" w:hint="cs"/>
                <w:noProof/>
                <w:sz w:val="28"/>
                <w:szCs w:val="28"/>
                <w:rtl/>
              </w:rPr>
              <w:fldChar w:fldCharType="begin"/>
            </w:r>
            <w:r w:rsidRPr="005C5DF8">
              <w:rPr>
                <w:rFonts w:ascii="Simplified Arabic" w:hAnsi="Simplified Arabic" w:cs="Simplified Arabic" w:hint="cs"/>
                <w:noProof/>
                <w:webHidden/>
                <w:sz w:val="28"/>
                <w:szCs w:val="28"/>
                <w:rtl/>
              </w:rPr>
              <w:instrText xml:space="preserve"> </w:instrText>
            </w:r>
            <w:r w:rsidRPr="005C5DF8">
              <w:rPr>
                <w:rFonts w:ascii="Simplified Arabic" w:hAnsi="Simplified Arabic" w:cs="Simplified Arabic" w:hint="cs"/>
                <w:noProof/>
                <w:webHidden/>
                <w:sz w:val="28"/>
                <w:szCs w:val="28"/>
              </w:rPr>
              <w:instrText>PAGEREF</w:instrText>
            </w:r>
            <w:r w:rsidRPr="005C5DF8">
              <w:rPr>
                <w:rFonts w:ascii="Simplified Arabic" w:hAnsi="Simplified Arabic" w:cs="Simplified Arabic" w:hint="cs"/>
                <w:noProof/>
                <w:webHidden/>
                <w:sz w:val="28"/>
                <w:szCs w:val="28"/>
                <w:rtl/>
              </w:rPr>
              <w:instrText xml:space="preserve"> _</w:instrText>
            </w:r>
            <w:r w:rsidRPr="005C5DF8">
              <w:rPr>
                <w:rFonts w:ascii="Simplified Arabic" w:hAnsi="Simplified Arabic" w:cs="Simplified Arabic" w:hint="cs"/>
                <w:noProof/>
                <w:webHidden/>
                <w:sz w:val="28"/>
                <w:szCs w:val="28"/>
              </w:rPr>
              <w:instrText>Toc233187264 \h</w:instrText>
            </w:r>
            <w:r w:rsidRPr="005C5DF8">
              <w:rPr>
                <w:rFonts w:ascii="Simplified Arabic" w:hAnsi="Simplified Arabic" w:cs="Simplified Arabic" w:hint="cs"/>
                <w:noProof/>
                <w:webHidden/>
                <w:sz w:val="28"/>
                <w:szCs w:val="28"/>
                <w:rtl/>
              </w:rPr>
              <w:instrText xml:space="preserve"> </w:instrText>
            </w:r>
            <w:r w:rsidRPr="005C5DF8">
              <w:rPr>
                <w:rStyle w:val="Hyperlink"/>
                <w:rFonts w:ascii="Simplified Arabic" w:hAnsi="Simplified Arabic" w:cs="Simplified Arabic" w:hint="cs"/>
                <w:noProof/>
                <w:sz w:val="28"/>
                <w:szCs w:val="28"/>
                <w:rtl/>
              </w:rPr>
            </w:r>
            <w:r w:rsidRPr="005C5DF8">
              <w:rPr>
                <w:rStyle w:val="Hyperlink"/>
                <w:rFonts w:ascii="Simplified Arabic" w:hAnsi="Simplified Arabic" w:cs="Simplified Arabic" w:hint="cs"/>
                <w:noProof/>
                <w:sz w:val="28"/>
                <w:szCs w:val="28"/>
                <w:rtl/>
              </w:rPr>
              <w:fldChar w:fldCharType="separate"/>
            </w:r>
            <w:r w:rsidRPr="005C5DF8">
              <w:rPr>
                <w:rFonts w:ascii="Simplified Arabic" w:hAnsi="Simplified Arabic" w:cs="Simplified Arabic" w:hint="cs"/>
                <w:noProof/>
                <w:webHidden/>
                <w:sz w:val="28"/>
                <w:szCs w:val="28"/>
                <w:rtl/>
              </w:rPr>
              <w:t>44</w:t>
            </w:r>
            <w:r w:rsidRPr="005C5DF8">
              <w:rPr>
                <w:rStyle w:val="Hyperlink"/>
                <w:rFonts w:ascii="Simplified Arabic" w:hAnsi="Simplified Arabic" w:cs="Simplified Arabic" w:hint="cs"/>
                <w:noProof/>
                <w:sz w:val="28"/>
                <w:szCs w:val="28"/>
                <w:rtl/>
              </w:rPr>
              <w:fldChar w:fldCharType="end"/>
            </w:r>
          </w:hyperlink>
        </w:p>
        <w:p w14:paraId="45A14A9B" w14:textId="27D5AA3E" w:rsidR="00D439AC" w:rsidRPr="004F0620" w:rsidRDefault="00D439AC">
          <w:r w:rsidRPr="005C5DF8">
            <w:rPr>
              <w:rFonts w:ascii="Simplified Arabic" w:hAnsi="Simplified Arabic" w:cs="Simplified Arabic" w:hint="cs"/>
              <w:b/>
              <w:bCs/>
              <w:sz w:val="32"/>
              <w:szCs w:val="32"/>
              <w:lang w:val="ar-SA"/>
            </w:rPr>
            <w:fldChar w:fldCharType="end"/>
          </w:r>
        </w:p>
      </w:sdtContent>
    </w:sdt>
    <w:p w14:paraId="501DDDC0" w14:textId="77777777" w:rsidR="005C5DF8" w:rsidRDefault="005C5DF8">
      <w:pPr>
        <w:bidi w:val="0"/>
        <w:rPr>
          <w:rFonts w:ascii="Simplified Arabic" w:eastAsiaTheme="majorEastAsia" w:hAnsi="Simplified Arabic" w:cs="Simplified Arabic"/>
          <w:b/>
          <w:bCs/>
          <w:sz w:val="36"/>
          <w:szCs w:val="36"/>
          <w:rtl/>
          <w:lang w:bidi="ar-EG"/>
        </w:rPr>
      </w:pPr>
      <w:bookmarkStart w:id="0" w:name="_Toc233187245"/>
      <w:r>
        <w:rPr>
          <w:rtl/>
        </w:rPr>
        <w:br w:type="page"/>
      </w:r>
    </w:p>
    <w:p w14:paraId="3CDC3DA5" w14:textId="259E9744" w:rsidR="00D8772F" w:rsidRPr="004F0620" w:rsidRDefault="004D35D3" w:rsidP="00D439AC">
      <w:pPr>
        <w:pStyle w:val="Heading1"/>
        <w:rPr>
          <w:rtl/>
        </w:rPr>
      </w:pPr>
      <w:r w:rsidRPr="004F0620">
        <w:rPr>
          <w:rFonts w:hint="cs"/>
          <w:rtl/>
        </w:rPr>
        <w:t>المقدمة:</w:t>
      </w:r>
      <w:bookmarkEnd w:id="0"/>
    </w:p>
    <w:p w14:paraId="64F7ADC1" w14:textId="77777777" w:rsidR="00CF116B" w:rsidRDefault="00CF116B" w:rsidP="00CF116B">
      <w:pPr>
        <w:shd w:val="clear" w:color="auto" w:fill="FFFF00"/>
        <w:ind w:firstLine="720"/>
        <w:jc w:val="both"/>
        <w:rPr>
          <w:rFonts w:ascii="Simplified Arabic" w:hAnsi="Simplified Arabic" w:cs="Simplified Arabic"/>
          <w:sz w:val="28"/>
          <w:szCs w:val="28"/>
          <w:rtl/>
        </w:rPr>
      </w:pPr>
      <w:r w:rsidRPr="00CF116B">
        <w:rPr>
          <w:rFonts w:ascii="Simplified Arabic" w:hAnsi="Simplified Arabic" w:cs="Simplified Arabic"/>
          <w:sz w:val="28"/>
          <w:szCs w:val="28"/>
          <w:rtl/>
        </w:rPr>
        <w:t xml:space="preserve">تتبنّى المملكة العربية السعودية عبر </w:t>
      </w:r>
      <w:r w:rsidRPr="00CF116B">
        <w:rPr>
          <w:rFonts w:ascii="Simplified Arabic" w:hAnsi="Simplified Arabic" w:cs="Simplified Arabic"/>
          <w:b/>
          <w:bCs/>
          <w:sz w:val="28"/>
          <w:szCs w:val="28"/>
          <w:rtl/>
        </w:rPr>
        <w:t>رؤية المملكة 2030</w:t>
      </w:r>
      <w:r w:rsidRPr="00CF116B">
        <w:rPr>
          <w:rFonts w:ascii="Simplified Arabic" w:hAnsi="Simplified Arabic" w:cs="Simplified Arabic"/>
          <w:sz w:val="28"/>
          <w:szCs w:val="28"/>
          <w:rtl/>
        </w:rPr>
        <w:t xml:space="preserve"> توجهاً استراتيجياً شاملاً نحو بناء اقتصاد رقمي متقدم، إذ يُعدّ التحول الرقمي أحد الركائز المحورية لتحقيق مستهدفات الرؤية عبر برامجها التنفيذية، وفي مقدمتها برنامج التحول الوطني وبرنامج تطوير القطاع المالي. وفي هذا السياق، أطلقت هيئة الحكومة الرقمية</w:t>
      </w:r>
      <w:r w:rsidRPr="00CF116B">
        <w:rPr>
          <w:rFonts w:ascii="Simplified Arabic" w:hAnsi="Simplified Arabic" w:cs="Simplified Arabic"/>
          <w:sz w:val="28"/>
          <w:szCs w:val="28"/>
        </w:rPr>
        <w:t xml:space="preserve"> (DGA) </w:t>
      </w:r>
      <w:r w:rsidRPr="00CF116B">
        <w:rPr>
          <w:rFonts w:ascii="Simplified Arabic" w:hAnsi="Simplified Arabic" w:cs="Simplified Arabic"/>
          <w:sz w:val="28"/>
          <w:szCs w:val="28"/>
          <w:rtl/>
        </w:rPr>
        <w:t>الاستراتيجية الوطنية للحكومة الرقمية (2025–2030)، وأصدرت وثيقة "المعايير الأساسية للتحول الرقمي" ومؤشر قياس التحول الرقمي بوصفهما إطاراً مرجعياً للحوكمة الرقمية على مستوى القطاعات كافة، بهدف أن تحتل المملكة مكانة ضمن أفضل ثلاث دول عالمياً في نضج الحكومة الرقمية بحلول عام 2030 (هيئة الحكومة الرقمية، 2025).</w:t>
      </w:r>
    </w:p>
    <w:p w14:paraId="096E95A0" w14:textId="21A2287B" w:rsidR="00CF116B" w:rsidRDefault="00CF116B" w:rsidP="00CF116B">
      <w:pPr>
        <w:shd w:val="clear" w:color="auto" w:fill="FFFF00"/>
        <w:ind w:firstLine="720"/>
        <w:jc w:val="both"/>
        <w:rPr>
          <w:rFonts w:ascii="Simplified Arabic" w:hAnsi="Simplified Arabic" w:cs="Simplified Arabic"/>
          <w:sz w:val="28"/>
          <w:szCs w:val="28"/>
          <w:rtl/>
        </w:rPr>
      </w:pPr>
      <w:r w:rsidRPr="00CF116B">
        <w:rPr>
          <w:rFonts w:ascii="Simplified Arabic" w:hAnsi="Simplified Arabic" w:cs="Simplified Arabic"/>
          <w:sz w:val="28"/>
          <w:szCs w:val="28"/>
          <w:rtl/>
        </w:rPr>
        <w:t xml:space="preserve"> ويأتي قطاع الاتصالات في طليعة القطاعات المستهدفة بهذا التوجه، بوصفه العمود الفقري للاقتصاد الرقمي والمُمكِّن الرئيس لسائر القطاعات في رحلتها نحو التحول الرقمي</w:t>
      </w:r>
      <w:r w:rsidRPr="00CF116B">
        <w:rPr>
          <w:rFonts w:ascii="Simplified Arabic" w:hAnsi="Simplified Arabic" w:cs="Simplified Arabic"/>
          <w:sz w:val="28"/>
          <w:szCs w:val="28"/>
        </w:rPr>
        <w:t>.</w:t>
      </w:r>
    </w:p>
    <w:p w14:paraId="7D26E4D6" w14:textId="726ED9B0" w:rsidR="00FE6448" w:rsidRPr="00FE6448" w:rsidRDefault="00CF116B" w:rsidP="00CF116B">
      <w:pPr>
        <w:shd w:val="clear" w:color="auto" w:fill="FFFF00"/>
        <w:ind w:firstLine="720"/>
        <w:jc w:val="both"/>
        <w:rPr>
          <w:rFonts w:ascii="Simplified Arabic" w:hAnsi="Simplified Arabic"/>
          <w:sz w:val="28"/>
          <w:szCs w:val="28"/>
          <w:rtl/>
          <w:lang w:bidi="ar-EG"/>
        </w:rPr>
      </w:pPr>
      <w:r>
        <w:rPr>
          <w:rFonts w:ascii="Simplified Arabic" w:hAnsi="Simplified Arabic" w:cs="Simplified Arabic" w:hint="cs"/>
          <w:sz w:val="28"/>
          <w:szCs w:val="28"/>
          <w:rtl/>
        </w:rPr>
        <w:t>و</w:t>
      </w:r>
      <w:r w:rsidR="00FE6448" w:rsidRPr="00FE6448">
        <w:rPr>
          <w:rFonts w:ascii="Simplified Arabic" w:hAnsi="Simplified Arabic" w:cs="Simplified Arabic"/>
          <w:sz w:val="28"/>
          <w:szCs w:val="28"/>
          <w:rtl/>
        </w:rPr>
        <w:t>يشهد العالم المعاصر ثورةً رقميةً متسارعةً في إطار ما بات يُعرف بالثورة الصناعية الرابعة، أعادت رسم ملامح بيئة الأعمال على المستويين العالمي والمحلي، وأفرزت تحولات جوهرية في أنماط الإنتاج والاستهلاك، وأساليب التواصل بين المنظمات وأصحاب المصلحة. وقد فرضت هذه التحولات على الحكومات ومنظمات القطاع الخاص ضرورة إعادة صياغة ممارساتها الإدارية والتشغيلية، بما يتواكب مع التسارع التكنولوجي المتصاعد وتغيّر توقعات المستفيدين، إذ لم تعد التقنيات الرقمية أدواتٍ مساعدة، بل تحوّلت إلى ركيزة استراتيجية تُبنى عليها رؤى المنظمات وخططها المستقبلية، وأصبح تبنّي الحلول الرقمية شرطاً حتمياً لضمان البقاء والاستمرارية في بيئة تنافسية ديناميكية متغيرة</w:t>
      </w:r>
      <w:r w:rsidR="00FE6448" w:rsidRPr="00FE6448">
        <w:rPr>
          <w:rFonts w:ascii="Simplified Arabic" w:hAnsi="Simplified Arabic" w:cs="Simplified Arabic"/>
          <w:sz w:val="28"/>
          <w:szCs w:val="28"/>
        </w:rPr>
        <w:t xml:space="preserve"> (</w:t>
      </w:r>
      <w:proofErr w:type="spellStart"/>
      <w:r w:rsidR="00FE6448" w:rsidRPr="00FE6448">
        <w:rPr>
          <w:rFonts w:ascii="Simplified Arabic" w:hAnsi="Simplified Arabic" w:cs="Simplified Arabic"/>
          <w:sz w:val="28"/>
          <w:szCs w:val="28"/>
        </w:rPr>
        <w:t>Vaia</w:t>
      </w:r>
      <w:proofErr w:type="spellEnd"/>
      <w:r w:rsidR="00FE6448" w:rsidRPr="00FE6448">
        <w:rPr>
          <w:rFonts w:ascii="Simplified Arabic" w:hAnsi="Simplified Arabic" w:cs="Simplified Arabic"/>
          <w:sz w:val="28"/>
          <w:szCs w:val="28"/>
        </w:rPr>
        <w:t xml:space="preserve"> et al., 2022). </w:t>
      </w:r>
    </w:p>
    <w:p w14:paraId="5825E1F9" w14:textId="65503C42" w:rsidR="00FE6448" w:rsidRPr="00FE6448" w:rsidRDefault="00FE6448" w:rsidP="00FE6448">
      <w:pPr>
        <w:shd w:val="clear" w:color="auto" w:fill="FFFF00"/>
        <w:ind w:firstLine="720"/>
        <w:jc w:val="both"/>
        <w:rPr>
          <w:rFonts w:ascii="Simplified Arabic" w:hAnsi="Simplified Arabic" w:cs="Simplified Arabic"/>
          <w:sz w:val="28"/>
          <w:szCs w:val="28"/>
        </w:rPr>
      </w:pPr>
      <w:r>
        <w:rPr>
          <w:rFonts w:ascii="Segoe UI Emoji" w:hAnsi="Segoe UI Emoji" w:cs="Arial" w:hint="cs"/>
          <w:sz w:val="28"/>
          <w:szCs w:val="28"/>
          <w:rtl/>
        </w:rPr>
        <w:t>و</w:t>
      </w:r>
      <w:r w:rsidRPr="00FE6448">
        <w:rPr>
          <w:rFonts w:ascii="Simplified Arabic" w:hAnsi="Simplified Arabic" w:cs="Simplified Arabic"/>
          <w:sz w:val="28"/>
          <w:szCs w:val="28"/>
          <w:rtl/>
        </w:rPr>
        <w:t>برزت الحوكمة الرقمية</w:t>
      </w:r>
      <w:r w:rsidRPr="00FE6448">
        <w:rPr>
          <w:rFonts w:ascii="Simplified Arabic" w:hAnsi="Simplified Arabic" w:cs="Simplified Arabic"/>
          <w:sz w:val="28"/>
          <w:szCs w:val="28"/>
        </w:rPr>
        <w:t xml:space="preserve"> (Digital Governance) </w:t>
      </w:r>
      <w:r w:rsidRPr="00FE6448">
        <w:rPr>
          <w:rFonts w:ascii="Simplified Arabic" w:hAnsi="Simplified Arabic" w:cs="Simplified Arabic"/>
          <w:sz w:val="28"/>
          <w:szCs w:val="28"/>
          <w:rtl/>
        </w:rPr>
        <w:t>بوصفها إطاراً تنظيمياً وإدارياً متكاملاً يسعى إلى توجيه الجهود الرقمية للمنظمات بشكل منهجي، وضمان توافقها مع الأهداف الاستراتيجية والمعايير الأخلاقية والقانونية. وتُمثّل الحوكمة الرقمية منظومةً من المبادئ والآليات التي تكفل تحقيق التوازن بين الاستفادة القصوى من الإمكانات التقنية وبين متطلبات الشفافية والمساءلة وحماية البيانات وأمن المعلومات، وتنبثق فاعليتها من أربعة أبعاد جوهرية هي: الشفافية الرقمية، والمساءلة الرقمية، والأمن السيبراني وحماية البيانات، والبنية التحتية الرقمية، وهي أبعاد تُشكّل مجتمعةً الإطار المرجعي الذي يحكم العلاقة بين التقنية والإدارة وأصحاب المصلحة</w:t>
      </w:r>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Manoharan</w:t>
      </w:r>
      <w:proofErr w:type="spellEnd"/>
      <w:r w:rsidRPr="00FE6448">
        <w:rPr>
          <w:rFonts w:ascii="Simplified Arabic" w:hAnsi="Simplified Arabic" w:cs="Simplified Arabic"/>
          <w:sz w:val="28"/>
          <w:szCs w:val="28"/>
        </w:rPr>
        <w:t xml:space="preserve"> et al., 2023). </w:t>
      </w:r>
    </w:p>
    <w:p w14:paraId="405AED97" w14:textId="5221BF9F" w:rsidR="00FE6448" w:rsidRPr="00FE6448" w:rsidRDefault="00FE6448" w:rsidP="00FE6448">
      <w:pPr>
        <w:shd w:val="clear" w:color="auto" w:fill="FFFF00"/>
        <w:ind w:firstLine="720"/>
        <w:jc w:val="both"/>
        <w:rPr>
          <w:rFonts w:ascii="Simplified Arabic" w:hAnsi="Simplified Arabic"/>
          <w:sz w:val="28"/>
          <w:szCs w:val="28"/>
          <w:rtl/>
          <w:lang w:bidi="ar-EG"/>
        </w:rPr>
      </w:pPr>
      <w:r w:rsidRPr="00FE6448">
        <w:rPr>
          <w:rFonts w:ascii="Simplified Arabic" w:hAnsi="Simplified Arabic" w:cs="Simplified Arabic"/>
          <w:sz w:val="28"/>
          <w:szCs w:val="28"/>
          <w:rtl/>
        </w:rPr>
        <w:t>هذه الأبعاد لا يمكن أن تُترجَم إلى ممارسات فعلية دون التزام واضح من الإدارة العليا التي تُعدّ المحرك الرئيسي لأي مبادرة رقمية ناجحة؛ إذ تتولى القيادات العليا مسؤولية رسم الرؤية الاستراتيجية، وتخصيص الموارد المالية والبشرية، وبناء الثقافة التنظيمية الداعمة للتحول الرقمي، وضمان الالتزام بالأطر التشريعية والتنظيمية ذات الصلة، وقد أكدت الأدبيات الحديثة أن التزام الإدارة العليا يُمثّل العامل الحاسم في إنجاح المبادرات الرقمية، فيما يُعدّ غياب هذا الالتزام من أبرز أسباب إخفاق مشاريع التحول الرقمي (الزيادي وشحاتة، 2025)</w:t>
      </w:r>
      <w:r w:rsidRPr="00FE6448">
        <w:rPr>
          <w:rFonts w:ascii="Simplified Arabic" w:hAnsi="Simplified Arabic" w:cs="Simplified Arabic"/>
          <w:sz w:val="28"/>
          <w:szCs w:val="28"/>
        </w:rPr>
        <w:t xml:space="preserve">. </w:t>
      </w:r>
    </w:p>
    <w:p w14:paraId="7B59956A" w14:textId="4F732374" w:rsidR="00FE6448" w:rsidRPr="00FE6448" w:rsidRDefault="00FE6448" w:rsidP="00FE6448">
      <w:pPr>
        <w:shd w:val="clear" w:color="auto" w:fill="FFFF00"/>
        <w:ind w:firstLine="720"/>
        <w:jc w:val="both"/>
        <w:rPr>
          <w:rFonts w:ascii="Simplified Arabic" w:hAnsi="Simplified Arabic" w:cs="Simplified Arabic"/>
          <w:sz w:val="28"/>
          <w:szCs w:val="28"/>
          <w:rtl/>
          <w:lang w:bidi="ar-EG"/>
        </w:rPr>
      </w:pPr>
      <w:r w:rsidRPr="00FE6448">
        <w:rPr>
          <w:rFonts w:ascii="Simplified Arabic" w:hAnsi="Simplified Arabic" w:cs="Simplified Arabic"/>
          <w:sz w:val="28"/>
          <w:szCs w:val="28"/>
          <w:rtl/>
        </w:rPr>
        <w:t>وتُعدّ مشاريع التحول الرقمي من أبرز التوجهات الاستراتيجية التي تتبناها المنظمات المعاصرة لإعادة هندسة عملياتها بتوظيف التقنيات الحديثة، ويستقطب نجاح هذه المشاريع اهتمام الباحثين والممارسين لما تتطلبه من استثمارات ضخمة وما يترتب عليها من انعكاسات مؤسسية عميقة، ويُقاس هذا النجاح بمجموعة من المؤشرات الجوهرية أبرزها: تحقيق الأهداف الاستراتيجية، والالتزام بالوقت والتكلفة المخططة، وجودة المخرجات الرقمية، ومستوى رضا أصحاب المصلحة، غير أن الأدبيات تؤكد أن هذا النجاح لا يتحقق تلقائياً، بل يتطلب تفاعلاً منظماً بين عوامل مؤسسية وإدارية متعددة</w:t>
      </w:r>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Ciric</w:t>
      </w:r>
      <w:proofErr w:type="spellEnd"/>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Lalic</w:t>
      </w:r>
      <w:proofErr w:type="spellEnd"/>
      <w:r w:rsidRPr="00FE6448">
        <w:rPr>
          <w:rFonts w:ascii="Simplified Arabic" w:hAnsi="Simplified Arabic" w:cs="Simplified Arabic"/>
          <w:sz w:val="28"/>
          <w:szCs w:val="28"/>
        </w:rPr>
        <w:t xml:space="preserve"> et al., 2022). </w:t>
      </w:r>
    </w:p>
    <w:p w14:paraId="36C6025D" w14:textId="73F638C8" w:rsidR="00FE6448" w:rsidRPr="00FE6448" w:rsidRDefault="00FE6448" w:rsidP="00FE6448">
      <w:pPr>
        <w:shd w:val="clear" w:color="auto" w:fill="FFFF00"/>
        <w:ind w:firstLine="720"/>
        <w:jc w:val="both"/>
        <w:rPr>
          <w:rFonts w:ascii="Simplified Arabic" w:hAnsi="Simplified Arabic" w:cs="Simplified Arabic"/>
          <w:sz w:val="28"/>
          <w:szCs w:val="28"/>
        </w:rPr>
      </w:pPr>
      <w:r w:rsidRPr="00FE6448">
        <w:rPr>
          <w:rFonts w:ascii="Simplified Arabic" w:hAnsi="Simplified Arabic" w:cs="Simplified Arabic"/>
          <w:sz w:val="28"/>
          <w:szCs w:val="28"/>
          <w:rtl/>
        </w:rPr>
        <w:t xml:space="preserve">وتستند هذه الدراسة في إطارها المفاهيمي إلى </w:t>
      </w:r>
      <w:r w:rsidRPr="00FE6448">
        <w:rPr>
          <w:rFonts w:ascii="Simplified Arabic" w:hAnsi="Simplified Arabic" w:cs="Simplified Arabic"/>
          <w:b/>
          <w:bCs/>
          <w:sz w:val="28"/>
          <w:szCs w:val="28"/>
          <w:rtl/>
        </w:rPr>
        <w:t>نظرية أصحاب المصلحة</w:t>
      </w:r>
      <w:r w:rsidRPr="00FE6448">
        <w:rPr>
          <w:rFonts w:ascii="Simplified Arabic" w:hAnsi="Simplified Arabic" w:cs="Simplified Arabic"/>
          <w:sz w:val="28"/>
          <w:szCs w:val="28"/>
          <w:rtl/>
        </w:rPr>
        <w:t xml:space="preserve"> </w:t>
      </w:r>
      <w:r w:rsidRPr="00FE6448">
        <w:rPr>
          <w:rFonts w:ascii="Simplified Arabic" w:hAnsi="Simplified Arabic" w:cs="Simplified Arabic"/>
          <w:sz w:val="28"/>
          <w:szCs w:val="28"/>
        </w:rPr>
        <w:t xml:space="preserve">(Freeman, 1984) </w:t>
      </w:r>
      <w:r w:rsidRPr="00FE6448">
        <w:rPr>
          <w:rFonts w:ascii="Simplified Arabic" w:hAnsi="Simplified Arabic" w:cs="Simplified Arabic"/>
          <w:sz w:val="28"/>
          <w:szCs w:val="28"/>
          <w:rtl/>
        </w:rPr>
        <w:t>بوصفها العمود الفقري التفسيري، إذ تفترض أن نجاح المنظمة مرهون بقدرتها على إدارة علاقاتها مع الأطراف ذات المصلحة بشفافية ومساءلة ومسؤولية، وهو ما تُجسّده أبعاد الحوكمة الرقمية الأربعة على نحو مباشر؛ فالشفافية تُلبّي حق الاطلاع، والمساءلة تُحقّق مبدأ المحاسبة، والأمن السيبراني يحمي خصوصية البيانات، والبنية التحتية تُمكّن من تقديم خدمات فاعلة. ويعزّز هذا الإطار الرئيس ثلاثُ نظريات مساندة تُثري تفسير العلاقة موضع الدراسة، هي: نظرية الوكالة</w:t>
      </w:r>
      <w:r w:rsidRPr="00FE6448">
        <w:rPr>
          <w:rFonts w:ascii="Simplified Arabic" w:hAnsi="Simplified Arabic" w:cs="Simplified Arabic"/>
          <w:sz w:val="28"/>
          <w:szCs w:val="28"/>
        </w:rPr>
        <w:t xml:space="preserve"> (Jensen &amp; </w:t>
      </w:r>
      <w:proofErr w:type="spellStart"/>
      <w:r w:rsidRPr="00FE6448">
        <w:rPr>
          <w:rFonts w:ascii="Simplified Arabic" w:hAnsi="Simplified Arabic" w:cs="Simplified Arabic"/>
          <w:sz w:val="28"/>
          <w:szCs w:val="28"/>
        </w:rPr>
        <w:t>Meckling</w:t>
      </w:r>
      <w:proofErr w:type="spellEnd"/>
      <w:r w:rsidRPr="00FE6448">
        <w:rPr>
          <w:rFonts w:ascii="Simplified Arabic" w:hAnsi="Simplified Arabic" w:cs="Simplified Arabic"/>
          <w:sz w:val="28"/>
          <w:szCs w:val="28"/>
        </w:rPr>
        <w:t xml:space="preserve">, 1976) </w:t>
      </w:r>
      <w:r w:rsidRPr="00FE6448">
        <w:rPr>
          <w:rFonts w:ascii="Simplified Arabic" w:hAnsi="Simplified Arabic" w:cs="Simplified Arabic"/>
          <w:sz w:val="28"/>
          <w:szCs w:val="28"/>
          <w:rtl/>
        </w:rPr>
        <w:t>التي تُبرر ضرورة التزام الإدارة العليا بآليات الحوكمة لحماية مصالح أصحاب المصلحة، ونظرية الموارد والقدرات</w:t>
      </w:r>
      <w:r w:rsidRPr="00FE6448">
        <w:rPr>
          <w:rFonts w:ascii="Simplified Arabic" w:hAnsi="Simplified Arabic" w:cs="Simplified Arabic"/>
          <w:sz w:val="28"/>
          <w:szCs w:val="28"/>
        </w:rPr>
        <w:t xml:space="preserve"> (Barney, 1991) </w:t>
      </w:r>
      <w:r w:rsidRPr="00FE6448">
        <w:rPr>
          <w:rFonts w:ascii="Simplified Arabic" w:hAnsi="Simplified Arabic" w:cs="Simplified Arabic"/>
          <w:sz w:val="28"/>
          <w:szCs w:val="28"/>
          <w:rtl/>
        </w:rPr>
        <w:t>التي تُوضّح كيف تتحول ممارسات الحوكمة الرقمية إلى موارد استراتيجية داعمة للميزة التنافسية، ونظرية الأنظمة</w:t>
      </w:r>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Bertalanffy</w:t>
      </w:r>
      <w:proofErr w:type="spellEnd"/>
      <w:r w:rsidRPr="00FE6448">
        <w:rPr>
          <w:rFonts w:ascii="Simplified Arabic" w:hAnsi="Simplified Arabic" w:cs="Simplified Arabic"/>
          <w:sz w:val="28"/>
          <w:szCs w:val="28"/>
        </w:rPr>
        <w:t xml:space="preserve">, 1968) </w:t>
      </w:r>
      <w:r w:rsidRPr="00FE6448">
        <w:rPr>
          <w:rFonts w:ascii="Simplified Arabic" w:hAnsi="Simplified Arabic" w:cs="Simplified Arabic"/>
          <w:sz w:val="28"/>
          <w:szCs w:val="28"/>
          <w:rtl/>
        </w:rPr>
        <w:t>التي تُقدّم النظرة الشاملة لتفاعل أبعاد الحوكمة الأربعة بوصفها منظومة متكاملة</w:t>
      </w:r>
      <w:r w:rsidRPr="00FE6448">
        <w:rPr>
          <w:rFonts w:ascii="Simplified Arabic" w:hAnsi="Simplified Arabic" w:cs="Simplified Arabic"/>
          <w:sz w:val="28"/>
          <w:szCs w:val="28"/>
        </w:rPr>
        <w:t xml:space="preserve">. </w:t>
      </w:r>
    </w:p>
    <w:p w14:paraId="65557131" w14:textId="7283C4DC" w:rsidR="00FE6448" w:rsidRPr="00FE6448" w:rsidRDefault="00FE6448" w:rsidP="00FE6448">
      <w:pPr>
        <w:shd w:val="clear" w:color="auto" w:fill="FFFF00"/>
        <w:ind w:firstLine="720"/>
        <w:jc w:val="both"/>
        <w:rPr>
          <w:rFonts w:ascii="Simplified Arabic" w:hAnsi="Simplified Arabic"/>
          <w:sz w:val="28"/>
          <w:szCs w:val="28"/>
          <w:rtl/>
          <w:lang w:bidi="ar-EG"/>
        </w:rPr>
      </w:pPr>
      <w:r w:rsidRPr="00FE6448">
        <w:rPr>
          <w:rFonts w:ascii="Simplified Arabic" w:hAnsi="Simplified Arabic" w:cs="Simplified Arabic"/>
          <w:sz w:val="28"/>
          <w:szCs w:val="28"/>
          <w:rtl/>
        </w:rPr>
        <w:t>وانطلاقاً من هذا التأصيل النظري، ومن العلاقة الوثيقة بين التزام الإدارة العليا بمعايير الحوكمة الرقمية ونجاح مشاريع التحول الرقمي، تأتي هذه الدراسة لاستكشاف هذه العلاقة ميدانياً في قطاع الاتصالات السعودي، الذي يُعدّ قاطرةً رئيسةً للاقتصاد الرقمي في المنطقة ومحوراً استراتيجياً في تحقيق مستهدفات رؤية المملكة 2030</w:t>
      </w:r>
      <w:r w:rsidRPr="00FE6448">
        <w:rPr>
          <w:rFonts w:ascii="Simplified Arabic" w:hAnsi="Simplified Arabic" w:cs="Simplified Arabic"/>
          <w:sz w:val="28"/>
          <w:szCs w:val="28"/>
        </w:rPr>
        <w:t xml:space="preserve">. </w:t>
      </w:r>
    </w:p>
    <w:p w14:paraId="180F5BD5" w14:textId="776BFAA2" w:rsidR="00D8772F" w:rsidRPr="004F0620" w:rsidRDefault="000E0033" w:rsidP="00D439AC">
      <w:pPr>
        <w:pStyle w:val="Heading1"/>
        <w:rPr>
          <w:rtl/>
        </w:rPr>
      </w:pPr>
      <w:bookmarkStart w:id="1" w:name="_Toc233187246"/>
      <w:r w:rsidRPr="004F0620">
        <w:rPr>
          <w:rFonts w:hint="cs"/>
          <w:rtl/>
        </w:rPr>
        <w:t xml:space="preserve">مشكلة الدراسة </w:t>
      </w:r>
      <w:r w:rsidR="00804FE9" w:rsidRPr="004F0620">
        <w:rPr>
          <w:rtl/>
        </w:rPr>
        <w:t>:</w:t>
      </w:r>
      <w:bookmarkEnd w:id="1"/>
    </w:p>
    <w:p w14:paraId="7BBADD48" w14:textId="1246FD3C" w:rsidR="00FE6448" w:rsidRPr="00FE6448" w:rsidRDefault="00FE6448" w:rsidP="00FE6448">
      <w:pPr>
        <w:shd w:val="clear" w:color="auto" w:fill="FFFF00"/>
        <w:jc w:val="both"/>
        <w:rPr>
          <w:rFonts w:ascii="Simplified Arabic" w:hAnsi="Simplified Arabic" w:cs="Simplified Arabic"/>
          <w:sz w:val="28"/>
          <w:szCs w:val="28"/>
          <w:rtl/>
          <w:lang w:bidi="ar-EG"/>
        </w:rPr>
      </w:pPr>
      <w:r w:rsidRPr="00FE6448">
        <w:rPr>
          <w:rFonts w:ascii="Simplified Arabic" w:hAnsi="Simplified Arabic" w:cs="Simplified Arabic"/>
          <w:sz w:val="28"/>
          <w:szCs w:val="28"/>
          <w:rtl/>
        </w:rPr>
        <w:t xml:space="preserve">تُمثّل مشاريع التحول الرقمي في الوقت الراهن إحدى أبرز الاستثمارات الاستراتيجية التي توليها المنظمات اهتماماً متزايداً، نظراً لما تعِد به من تحسين الكفاءة التشغيلية وتعزيز القدرة التنافسية وتقديم قيمة مضافة لأصحاب المصلحة. ومع ذلك، تكشف الإحصائيات العالمية عن فجوة لافتة بين الاستثمارات الضخمة المرصودة لهذه المشاريع والنتائج الفعلية المتحققة؛ إذ تشير دراسة </w:t>
      </w:r>
      <w:r w:rsidRPr="00FE6448">
        <w:rPr>
          <w:rFonts w:ascii="Simplified Arabic" w:hAnsi="Simplified Arabic" w:cs="Simplified Arabic"/>
          <w:b/>
          <w:bCs/>
          <w:sz w:val="28"/>
          <w:szCs w:val="28"/>
          <w:rtl/>
        </w:rPr>
        <w:t>شركة ماكنزي</w:t>
      </w:r>
      <w:r w:rsidRPr="00FE6448">
        <w:rPr>
          <w:rFonts w:ascii="Simplified Arabic" w:hAnsi="Simplified Arabic" w:cs="Simplified Arabic"/>
          <w:b/>
          <w:bCs/>
          <w:sz w:val="28"/>
          <w:szCs w:val="28"/>
        </w:rPr>
        <w:t xml:space="preserve"> (McKinsey, 2023)</w:t>
      </w:r>
      <w:r w:rsidRPr="00FE6448">
        <w:rPr>
          <w:rFonts w:ascii="Simplified Arabic" w:hAnsi="Simplified Arabic" w:cs="Simplified Arabic"/>
          <w:sz w:val="28"/>
          <w:szCs w:val="28"/>
        </w:rPr>
        <w:t xml:space="preserve"> </w:t>
      </w:r>
      <w:r w:rsidRPr="00FE6448">
        <w:rPr>
          <w:rFonts w:ascii="Simplified Arabic" w:hAnsi="Simplified Arabic" w:cs="Simplified Arabic"/>
          <w:sz w:val="28"/>
          <w:szCs w:val="28"/>
          <w:rtl/>
        </w:rPr>
        <w:t xml:space="preserve">إلى أن نحو (70%) من تحولات الأعمال على المستوى العالمي تفشل في تحقيق أهدافها المرسومة، فيما تُشير تقارير </w:t>
      </w:r>
      <w:r w:rsidRPr="00FE6448">
        <w:rPr>
          <w:rFonts w:ascii="Simplified Arabic" w:hAnsi="Simplified Arabic" w:cs="Simplified Arabic"/>
          <w:b/>
          <w:bCs/>
          <w:sz w:val="28"/>
          <w:szCs w:val="28"/>
          <w:rtl/>
        </w:rPr>
        <w:t>مجموعة بوسطن الاستشارية</w:t>
      </w:r>
      <w:r w:rsidRPr="00FE6448">
        <w:rPr>
          <w:rFonts w:ascii="Simplified Arabic" w:hAnsi="Simplified Arabic" w:cs="Simplified Arabic"/>
          <w:b/>
          <w:bCs/>
          <w:sz w:val="28"/>
          <w:szCs w:val="28"/>
        </w:rPr>
        <w:t xml:space="preserve"> (BCG)</w:t>
      </w:r>
      <w:r w:rsidRPr="00FE6448">
        <w:rPr>
          <w:rFonts w:ascii="Simplified Arabic" w:hAnsi="Simplified Arabic" w:cs="Simplified Arabic"/>
          <w:sz w:val="28"/>
          <w:szCs w:val="28"/>
        </w:rPr>
        <w:t xml:space="preserve"> </w:t>
      </w:r>
      <w:r w:rsidRPr="00FE6448">
        <w:rPr>
          <w:rFonts w:ascii="Simplified Arabic" w:hAnsi="Simplified Arabic" w:cs="Simplified Arabic"/>
          <w:sz w:val="28"/>
          <w:szCs w:val="28"/>
          <w:rtl/>
        </w:rPr>
        <w:t>إلى أن (70%) من التحولات الرقمية تفشل في تحقيق القيمة المتوقعة منها، كما قُدِّرت الخسائر العالمية السنوية الناجمة عن إخفاق برامج التحول الرقمي بما يتجاوز (2.3) تريليون دولار أمريكي وفق تقديرات</w:t>
      </w:r>
      <w:r w:rsidRPr="00FE6448">
        <w:rPr>
          <w:rFonts w:ascii="Simplified Arabic" w:hAnsi="Simplified Arabic" w:cs="Simplified Arabic"/>
          <w:sz w:val="28"/>
          <w:szCs w:val="28"/>
        </w:rPr>
        <w:t xml:space="preserve"> IDC (Harkin, 2024). </w:t>
      </w:r>
      <w:r w:rsidRPr="00FE6448">
        <w:rPr>
          <w:rFonts w:ascii="Simplified Arabic" w:hAnsi="Simplified Arabic" w:cs="Simplified Arabic"/>
          <w:sz w:val="28"/>
          <w:szCs w:val="28"/>
          <w:rtl/>
        </w:rPr>
        <w:t>وتعكس هذه الإحصائيات عمق التحديات المؤسسية والإدارية التي تواجه مسيرة التحول الرقمي في المنظمات المعاصرة</w:t>
      </w:r>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Ciric</w:t>
      </w:r>
      <w:proofErr w:type="spellEnd"/>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Lalic</w:t>
      </w:r>
      <w:proofErr w:type="spellEnd"/>
      <w:r w:rsidRPr="00FE6448">
        <w:rPr>
          <w:rFonts w:ascii="Simplified Arabic" w:hAnsi="Simplified Arabic" w:cs="Simplified Arabic"/>
          <w:sz w:val="28"/>
          <w:szCs w:val="28"/>
        </w:rPr>
        <w:t xml:space="preserve"> et al., 2022).</w:t>
      </w:r>
    </w:p>
    <w:p w14:paraId="4AC80DAA" w14:textId="70E813A8" w:rsidR="00FE6448" w:rsidRPr="00FE6448" w:rsidRDefault="00FE6448" w:rsidP="00FE6448">
      <w:pPr>
        <w:shd w:val="clear" w:color="auto" w:fill="FFFF00"/>
        <w:jc w:val="both"/>
        <w:rPr>
          <w:rFonts w:ascii="Simplified Arabic" w:hAnsi="Simplified Arabic"/>
          <w:sz w:val="28"/>
          <w:szCs w:val="28"/>
          <w:rtl/>
          <w:lang w:bidi="ar-EG"/>
        </w:rPr>
      </w:pPr>
      <w:r w:rsidRPr="00FE6448">
        <w:rPr>
          <w:rFonts w:ascii="Simplified Arabic" w:hAnsi="Simplified Arabic" w:cs="Simplified Arabic"/>
          <w:sz w:val="28"/>
          <w:szCs w:val="28"/>
          <w:rtl/>
        </w:rPr>
        <w:t>وتتسع هذه الفجوة في القطاعات كثيفة الاستثمار الرقمي كقطاع الاتصالات، الذي يُعدّ من أكثر القطاعات تعرضاً للمخاطر السيبرانية في الوقت ذاته؛ إذ تشير الإحصائيات الدولية إلى تسجيل أكثر من (30,000) ثغرة أمنية جديدة خلال عام 2024 بمعدل نمو سنوي بلغ (17%) وفق قاعدة بيانات الثغرات الوطنية الأمريكية</w:t>
      </w:r>
      <w:r w:rsidRPr="00FE6448">
        <w:rPr>
          <w:rFonts w:ascii="Simplified Arabic" w:hAnsi="Simplified Arabic" w:cs="Simplified Arabic"/>
          <w:sz w:val="28"/>
          <w:szCs w:val="28"/>
        </w:rPr>
        <w:t xml:space="preserve"> (NVD) </w:t>
      </w:r>
      <w:r w:rsidRPr="00FE6448">
        <w:rPr>
          <w:rFonts w:ascii="Simplified Arabic" w:hAnsi="Simplified Arabic" w:cs="Simplified Arabic"/>
          <w:sz w:val="28"/>
          <w:szCs w:val="28"/>
          <w:rtl/>
        </w:rPr>
        <w:t>وتقرير</w:t>
      </w:r>
      <w:r w:rsidRPr="00FE6448">
        <w:rPr>
          <w:rFonts w:ascii="Simplified Arabic" w:hAnsi="Simplified Arabic" w:cs="Simplified Arabic"/>
          <w:sz w:val="28"/>
          <w:szCs w:val="28"/>
        </w:rPr>
        <w:t xml:space="preserve"> Skybox Security (2024)</w:t>
      </w:r>
      <w:r w:rsidRPr="00FE6448">
        <w:rPr>
          <w:rFonts w:ascii="Simplified Arabic" w:hAnsi="Simplified Arabic" w:cs="Simplified Arabic"/>
          <w:sz w:val="28"/>
          <w:szCs w:val="28"/>
          <w:rtl/>
        </w:rPr>
        <w:t>، فيما صُنّف قطاع الاتصالات بوصفه أحد أكثر القطاعات استهدافاً بالهجمات السيبرانية عالمياً، وهو ما يعكس مدى الحاجة الملحّة إلى تبنّي أُطر متكاملة للحوكمة الرقمية تكفل ضبط مسار التحول الرقمي وحماية البنية التحتية والبيانات وتعزيز ثقة أصحاب المصلحة</w:t>
      </w:r>
      <w:r w:rsidRPr="00FE6448">
        <w:rPr>
          <w:rFonts w:ascii="Simplified Arabic" w:hAnsi="Simplified Arabic" w:cs="Simplified Arabic"/>
          <w:sz w:val="28"/>
          <w:szCs w:val="28"/>
        </w:rPr>
        <w:t xml:space="preserve"> (</w:t>
      </w:r>
      <w:proofErr w:type="spellStart"/>
      <w:r w:rsidRPr="00FE6448">
        <w:rPr>
          <w:rFonts w:ascii="Simplified Arabic" w:hAnsi="Simplified Arabic" w:cs="Simplified Arabic"/>
          <w:sz w:val="28"/>
          <w:szCs w:val="28"/>
        </w:rPr>
        <w:t>Manoharan</w:t>
      </w:r>
      <w:proofErr w:type="spellEnd"/>
      <w:r w:rsidRPr="00FE6448">
        <w:rPr>
          <w:rFonts w:ascii="Simplified Arabic" w:hAnsi="Simplified Arabic" w:cs="Simplified Arabic"/>
          <w:sz w:val="28"/>
          <w:szCs w:val="28"/>
        </w:rPr>
        <w:t xml:space="preserve"> et al., 2023). </w:t>
      </w:r>
    </w:p>
    <w:p w14:paraId="77C10BFF" w14:textId="40CA02CD" w:rsidR="00FE6448" w:rsidRPr="00FE6448" w:rsidRDefault="00FE6448" w:rsidP="00FE6448">
      <w:pPr>
        <w:shd w:val="clear" w:color="auto" w:fill="FFFF00"/>
        <w:jc w:val="both"/>
        <w:rPr>
          <w:rFonts w:ascii="Simplified Arabic" w:hAnsi="Simplified Arabic"/>
          <w:sz w:val="28"/>
          <w:szCs w:val="28"/>
          <w:rtl/>
          <w:lang w:bidi="ar-EG"/>
        </w:rPr>
      </w:pPr>
      <w:r>
        <w:rPr>
          <w:rFonts w:ascii="Segoe UI Emoji" w:hAnsi="Segoe UI Emoji" w:cs="Arial" w:hint="cs"/>
          <w:sz w:val="28"/>
          <w:szCs w:val="28"/>
          <w:rtl/>
        </w:rPr>
        <w:t>و</w:t>
      </w:r>
      <w:r w:rsidRPr="00FE6448">
        <w:rPr>
          <w:rFonts w:ascii="Simplified Arabic" w:hAnsi="Simplified Arabic" w:cs="Simplified Arabic"/>
          <w:sz w:val="28"/>
          <w:szCs w:val="28"/>
          <w:rtl/>
        </w:rPr>
        <w:t xml:space="preserve"> يحتل قطاع الاتصالات في المملكة العربية السعودية مكانة ريادية على المستويين الإقليمي والدولي، إذ بلغت إيرادات شركات القطاع المدرجة نحو (108.4) مليار ريال أي ما يعادل قرابة (28.9) مليار دولار في عام 2025، فيما كشفت هيئة الاتصالات والفضاء والتقنية عن وصول حجم سوق الاتصالات والتقنية</w:t>
      </w:r>
      <w:r w:rsidRPr="00FE6448">
        <w:rPr>
          <w:rFonts w:ascii="Simplified Arabic" w:hAnsi="Simplified Arabic" w:cs="Simplified Arabic"/>
          <w:sz w:val="28"/>
          <w:szCs w:val="28"/>
        </w:rPr>
        <w:t xml:space="preserve"> (ICT) </w:t>
      </w:r>
      <w:r w:rsidRPr="00FE6448">
        <w:rPr>
          <w:rFonts w:ascii="Simplified Arabic" w:hAnsi="Simplified Arabic" w:cs="Simplified Arabic"/>
          <w:sz w:val="28"/>
          <w:szCs w:val="28"/>
          <w:rtl/>
        </w:rPr>
        <w:t>إلى (180) مليار ريال (نحو 45.74 مليار دولار) خلال عام 2024 بنسبة نمو سنوي مركب بلغت (7.5%) خلال السنوات الخمس الماضية (هيئة الاتصالات والفضاء والتقنية، 2025). وفي السياق ذاته، أعلنت الهيئة العامة للإحصاء</w:t>
      </w:r>
      <w:r w:rsidRPr="00FE6448">
        <w:rPr>
          <w:rFonts w:ascii="Simplified Arabic" w:hAnsi="Simplified Arabic" w:cs="Simplified Arabic"/>
          <w:sz w:val="28"/>
          <w:szCs w:val="28"/>
        </w:rPr>
        <w:t xml:space="preserve"> (GASTAT) </w:t>
      </w:r>
      <w:r w:rsidRPr="00FE6448">
        <w:rPr>
          <w:rFonts w:ascii="Simplified Arabic" w:hAnsi="Simplified Arabic" w:cs="Simplified Arabic"/>
          <w:sz w:val="28"/>
          <w:szCs w:val="28"/>
          <w:rtl/>
        </w:rPr>
        <w:t>أن الاقتصاد الرقمي يُسهم بنسبة (15.6%) من الناتج المحلي الإجمالي السعودي (الهيئة العامة للإحصاء، 2025)، وهو ما يعكس حجم التحول الهائل الذي يشهده هذا القطاع الحيوي</w:t>
      </w:r>
      <w:r w:rsidRPr="00FE6448">
        <w:rPr>
          <w:rFonts w:ascii="Simplified Arabic" w:hAnsi="Simplified Arabic" w:cs="Simplified Arabic"/>
          <w:sz w:val="28"/>
          <w:szCs w:val="28"/>
        </w:rPr>
        <w:t xml:space="preserve">. </w:t>
      </w:r>
    </w:p>
    <w:p w14:paraId="43F61C4A" w14:textId="01ECA6D5" w:rsidR="00FE6448" w:rsidRPr="00FE6448" w:rsidRDefault="00FE6448" w:rsidP="00FE6448">
      <w:pPr>
        <w:shd w:val="clear" w:color="auto" w:fill="FFFF00"/>
        <w:jc w:val="both"/>
        <w:rPr>
          <w:rFonts w:ascii="Simplified Arabic" w:hAnsi="Simplified Arabic"/>
          <w:sz w:val="28"/>
          <w:szCs w:val="28"/>
          <w:rtl/>
          <w:lang w:bidi="ar-EG"/>
        </w:rPr>
      </w:pPr>
      <w:r w:rsidRPr="00FE6448">
        <w:rPr>
          <w:rFonts w:ascii="Simplified Arabic" w:hAnsi="Simplified Arabic" w:cs="Simplified Arabic"/>
          <w:sz w:val="28"/>
          <w:szCs w:val="28"/>
          <w:rtl/>
        </w:rPr>
        <w:t>أن هذا النمو المتسارع في الاستثمارات الرقمية رافقته جملة من التحديات الجوهرية المتعلقة بمستوى الالتزام بمعايير الحوكمة الرقمية في شركات الاتصالات، وما يترتب على ذلك من انعكاسات مباشرة على نجاح مشاريع التحول الرقمي. وتؤكد الأدبيات الحديثة أن غياب إطار واضح للحوكمة الرقمية يؤدي إلى تشتت الجهود وضعف فاعلية المبادرات وارتفاع تكاليف التنفيذ وعدم تحقيق الأهداف الاستراتيجية، فضلاً عن تراجع ثقة أصحاب المصلحة في المخرجات الرقمية المقدمة</w:t>
      </w:r>
      <w:r w:rsidRPr="00FE6448">
        <w:rPr>
          <w:rFonts w:ascii="Simplified Arabic" w:hAnsi="Simplified Arabic" w:cs="Simplified Arabic"/>
          <w:sz w:val="28"/>
          <w:szCs w:val="28"/>
        </w:rPr>
        <w:t xml:space="preserve"> (Zahra, 2025). </w:t>
      </w:r>
      <w:r w:rsidRPr="00FE6448">
        <w:rPr>
          <w:rFonts w:ascii="Simplified Arabic" w:hAnsi="Simplified Arabic" w:cs="Simplified Arabic"/>
          <w:sz w:val="28"/>
          <w:szCs w:val="28"/>
          <w:rtl/>
        </w:rPr>
        <w:t>ويُلاحظ كذلك أن الالتزام الحقيقي من قبل الإدارة العليا بتطبيق معايير الحوكمة الرقمية يُمثّل العامل الحاسم في إنجاح مسيرة التحول الرقمي، إذ يُعدّ غياب الالتزام القيادي من أبرز أسباب إخفاق هذه المشاريع (الزيادي وشحاتة، 2025)</w:t>
      </w:r>
      <w:r w:rsidRPr="00FE6448">
        <w:rPr>
          <w:rFonts w:ascii="Simplified Arabic" w:hAnsi="Simplified Arabic" w:cs="Simplified Arabic"/>
          <w:sz w:val="28"/>
          <w:szCs w:val="28"/>
        </w:rPr>
        <w:t xml:space="preserve">. </w:t>
      </w:r>
    </w:p>
    <w:p w14:paraId="53A81707" w14:textId="4B9948DB" w:rsidR="00FE6448" w:rsidRPr="00FE6448" w:rsidRDefault="00FE6448" w:rsidP="00FE6448">
      <w:pPr>
        <w:shd w:val="clear" w:color="auto" w:fill="FFFF00"/>
        <w:jc w:val="both"/>
        <w:rPr>
          <w:rFonts w:ascii="Simplified Arabic" w:hAnsi="Simplified Arabic" w:cs="Simplified Arabic"/>
          <w:sz w:val="28"/>
          <w:szCs w:val="28"/>
        </w:rPr>
      </w:pPr>
      <w:r w:rsidRPr="00FE6448">
        <w:rPr>
          <w:rFonts w:ascii="Simplified Arabic" w:hAnsi="Simplified Arabic" w:cs="Simplified Arabic"/>
          <w:sz w:val="28"/>
          <w:szCs w:val="28"/>
          <w:rtl/>
        </w:rPr>
        <w:t>وعلى الرغم من تعدد الدراسات التي تناولت الحوكمة الرقمية والتحول الرقمي بصورة منفصلة، فقد لاحظ الباحث من خلال استقرائه للأدبيات ندرةً واضحةً في الدراسات التي تتناول العلاقة المباشرة بين التزام الإدارة العليا بمعايير الحوكمة الرقمية ونجاح مشاريع التحول الرقمي، لا سيما في سياق قطاع الاتصالات السعودي الذي يُمثّل قاطرةً رئيسةً للاقتصاد الرقمي في المنطقة. ومن هنا، تتمحور مشكلة الدراسة الحالية حول استكشاف طبيعة هذه العلاقة وقياس أثرها ميدانياً، وتقديم رؤية علمية متكاملة حولها (السيد وسلامة، 2026)</w:t>
      </w:r>
    </w:p>
    <w:p w14:paraId="41218233" w14:textId="77777777" w:rsidR="00592685" w:rsidRPr="00592685" w:rsidRDefault="00592685" w:rsidP="00FE6448">
      <w:pPr>
        <w:shd w:val="clear" w:color="auto" w:fill="FFFF00"/>
        <w:jc w:val="both"/>
        <w:rPr>
          <w:rFonts w:ascii="Simplified Arabic" w:hAnsi="Simplified Arabic" w:cs="Simplified Arabic"/>
          <w:sz w:val="28"/>
          <w:szCs w:val="28"/>
        </w:rPr>
      </w:pPr>
      <w:r w:rsidRPr="00592685">
        <w:rPr>
          <w:rFonts w:ascii="Simplified Arabic" w:hAnsi="Simplified Arabic" w:cs="Simplified Arabic"/>
          <w:sz w:val="28"/>
          <w:szCs w:val="28"/>
          <w:rtl/>
        </w:rPr>
        <w:t>وبناءً على ما تقدّم، يمكن صياغة مشكلة الدراسة في التساؤل الرئيس التالي</w:t>
      </w:r>
      <w:r w:rsidRPr="00592685">
        <w:rPr>
          <w:rFonts w:ascii="Simplified Arabic" w:hAnsi="Simplified Arabic" w:cs="Simplified Arabic"/>
          <w:sz w:val="28"/>
          <w:szCs w:val="28"/>
        </w:rPr>
        <w:t>:</w:t>
      </w:r>
    </w:p>
    <w:p w14:paraId="3D8CAA35" w14:textId="486D9B2C" w:rsidR="00592685" w:rsidRPr="00592685" w:rsidRDefault="00592685" w:rsidP="00FE6448">
      <w:pPr>
        <w:shd w:val="clear" w:color="auto" w:fill="FFFF00"/>
        <w:jc w:val="both"/>
        <w:rPr>
          <w:rFonts w:ascii="Simplified Arabic" w:hAnsi="Simplified Arabic" w:cs="Simplified Arabic"/>
          <w:sz w:val="28"/>
          <w:szCs w:val="28"/>
        </w:rPr>
      </w:pPr>
      <w:r w:rsidRPr="00592685">
        <w:rPr>
          <w:rFonts w:ascii="Simplified Arabic" w:hAnsi="Simplified Arabic" w:cs="Simplified Arabic"/>
          <w:b/>
          <w:bCs/>
          <w:sz w:val="28"/>
          <w:szCs w:val="28"/>
        </w:rPr>
        <w:t>"</w:t>
      </w:r>
      <w:r w:rsidRPr="00592685">
        <w:rPr>
          <w:rFonts w:ascii="Simplified Arabic" w:hAnsi="Simplified Arabic" w:cs="Simplified Arabic"/>
          <w:b/>
          <w:bCs/>
          <w:sz w:val="28"/>
          <w:szCs w:val="28"/>
          <w:rtl/>
        </w:rPr>
        <w:t>ما أثر التزام الإدارة العليا بمعايير الحوكمة الرقمية بأبعاده (الشفافية الرقمية، المساءلة الرقمية، الأمن السيبراني وحماية البيانات، البنية التحتية الرقمية) على نجاح مشاريع التحول الرقمي في شركات الاتصالات العاملة في المملكة العربية السعودية؟</w:t>
      </w:r>
      <w:r w:rsidRPr="00592685">
        <w:rPr>
          <w:rFonts w:ascii="Simplified Arabic" w:hAnsi="Simplified Arabic" w:cs="Simplified Arabic"/>
          <w:b/>
          <w:bCs/>
          <w:sz w:val="28"/>
          <w:szCs w:val="28"/>
        </w:rPr>
        <w:t>"</w:t>
      </w:r>
    </w:p>
    <w:p w14:paraId="1296E733" w14:textId="77777777" w:rsidR="00EC51BE" w:rsidRPr="004F0620" w:rsidRDefault="00EC51BE" w:rsidP="00FE6448">
      <w:pPr>
        <w:shd w:val="clear" w:color="auto" w:fill="FFFF00"/>
        <w:rPr>
          <w:rFonts w:ascii="Simplified Arabic" w:hAnsi="Simplified Arabic" w:cs="Simplified Arabic"/>
          <w:sz w:val="28"/>
          <w:szCs w:val="28"/>
          <w:lang w:bidi="ar-EG"/>
        </w:rPr>
      </w:pPr>
      <w:r w:rsidRPr="004F0620">
        <w:rPr>
          <w:rFonts w:ascii="Simplified Arabic" w:hAnsi="Simplified Arabic" w:cs="Simplified Arabic" w:hint="cs"/>
          <w:sz w:val="28"/>
          <w:szCs w:val="28"/>
          <w:rtl/>
        </w:rPr>
        <w:t>ويتفرع من هذا التساؤل الرئيس الأسئلة الفرعية التالية</w:t>
      </w:r>
      <w:r w:rsidRPr="004F0620">
        <w:rPr>
          <w:rFonts w:ascii="Simplified Arabic" w:hAnsi="Simplified Arabic" w:cs="Simplified Arabic" w:hint="cs"/>
          <w:sz w:val="28"/>
          <w:szCs w:val="28"/>
          <w:lang w:bidi="ar-EG"/>
        </w:rPr>
        <w:t>:</w:t>
      </w:r>
    </w:p>
    <w:p w14:paraId="62EEBFDA"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الأول: ما مستوى التزام الإدارة العليا بمعايير الحوكمة الرقمية بأبعادها الأربعة في شركات الاتصالات السعودية من وجهة نظر المبحوثين؟</w:t>
      </w:r>
    </w:p>
    <w:p w14:paraId="31A94674"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الثاني: ما مستوى نجاح مشاريع التحول الرقمي بأبعاده المختلفة في شركات الاتصالات السعودية من وجهة نظر المبحوثين؟</w:t>
      </w:r>
    </w:p>
    <w:p w14:paraId="22BF5145"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الثالث: ما أثر الشفافية الرقمية على نجاح مشاريع التحول الرقمي في شركات الاتصالات السعودية؟</w:t>
      </w:r>
    </w:p>
    <w:p w14:paraId="58D3E98E"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الرابع: ما أثر المساءلة الرقمية على نجاح مشاريع التحول الرقمي في شركات الاتصالات السعودية؟</w:t>
      </w:r>
    </w:p>
    <w:p w14:paraId="1464E082" w14:textId="77777777" w:rsidR="00592685" w:rsidRPr="00592685" w:rsidRDefault="00592685" w:rsidP="00FE6448">
      <w:pPr>
        <w:pStyle w:val="ListParagraph"/>
        <w:numPr>
          <w:ilvl w:val="0"/>
          <w:numId w:val="3"/>
        </w:numPr>
        <w:shd w:val="clear" w:color="auto" w:fill="FFFF00"/>
        <w:rPr>
          <w:rFonts w:ascii="Simplified Arabic" w:hAnsi="Simplified Arabic" w:cs="Simplified Arabic"/>
          <w:sz w:val="28"/>
          <w:szCs w:val="28"/>
          <w:rtl/>
        </w:rPr>
      </w:pPr>
      <w:r w:rsidRPr="00592685">
        <w:rPr>
          <w:rFonts w:ascii="Simplified Arabic" w:hAnsi="Simplified Arabic" w:cs="Simplified Arabic"/>
          <w:sz w:val="28"/>
          <w:szCs w:val="28"/>
          <w:rtl/>
        </w:rPr>
        <w:t>السؤال الفرعي الخامس: ما أثر الأمن السيبراني وحماية البيانات على نجاح مشاريع التحول الرقمي في شركات الاتصالات السعودية؟</w:t>
      </w:r>
    </w:p>
    <w:p w14:paraId="310799B7" w14:textId="6866673C" w:rsidR="00EC51BE" w:rsidRPr="00592685" w:rsidRDefault="00592685" w:rsidP="00FE6448">
      <w:pPr>
        <w:pStyle w:val="ListParagraph"/>
        <w:numPr>
          <w:ilvl w:val="0"/>
          <w:numId w:val="3"/>
        </w:numPr>
        <w:shd w:val="clear" w:color="auto" w:fill="FFFF00"/>
        <w:rPr>
          <w:rFonts w:ascii="Simplified Arabic" w:hAnsi="Simplified Arabic" w:cs="Simplified Arabic"/>
          <w:sz w:val="28"/>
          <w:szCs w:val="28"/>
          <w:lang w:bidi="ar-EG"/>
        </w:rPr>
      </w:pPr>
      <w:r w:rsidRPr="00592685">
        <w:rPr>
          <w:rFonts w:ascii="Simplified Arabic" w:hAnsi="Simplified Arabic" w:cs="Simplified Arabic"/>
          <w:sz w:val="28"/>
          <w:szCs w:val="28"/>
          <w:rtl/>
        </w:rPr>
        <w:t>السؤال الفرعي السادس: ما أثر البنية التحتية الرقمية على نجاح مشاريع التحول الرقمي في شركات الاتصالات السعودية؟</w:t>
      </w:r>
    </w:p>
    <w:p w14:paraId="552CDDD3" w14:textId="62C20843" w:rsidR="001B43EF" w:rsidRPr="004F0620" w:rsidRDefault="001B43EF" w:rsidP="00D439AC">
      <w:pPr>
        <w:pStyle w:val="Heading1"/>
        <w:rPr>
          <w:rtl/>
        </w:rPr>
      </w:pPr>
      <w:bookmarkStart w:id="2" w:name="_Toc233187247"/>
      <w:r w:rsidRPr="004F0620">
        <w:rPr>
          <w:rtl/>
        </w:rPr>
        <w:t xml:space="preserve">أهمية </w:t>
      </w:r>
      <w:r w:rsidR="00D439AC" w:rsidRPr="004F0620">
        <w:rPr>
          <w:rtl/>
        </w:rPr>
        <w:t>الدراسة</w:t>
      </w:r>
      <w:bookmarkEnd w:id="2"/>
      <w:r w:rsidR="00D439AC" w:rsidRPr="004F0620">
        <w:rPr>
          <w:rtl/>
        </w:rPr>
        <w:t xml:space="preserve"> </w:t>
      </w:r>
    </w:p>
    <w:p w14:paraId="3DEAA493" w14:textId="228CE258" w:rsidR="00EC51BE" w:rsidRPr="004F0620" w:rsidRDefault="005C5DF8" w:rsidP="005C5DF8">
      <w:pPr>
        <w:rPr>
          <w:rFonts w:ascii="Simplified Arabic" w:hAnsi="Simplified Arabic" w:cs="Simplified Arabic"/>
          <w:sz w:val="28"/>
          <w:szCs w:val="28"/>
        </w:rPr>
      </w:pPr>
      <w:r w:rsidRPr="005C5DF8">
        <w:rPr>
          <w:rFonts w:ascii="Simplified Arabic" w:hAnsi="Simplified Arabic" w:cs="Simplified Arabic"/>
          <w:sz w:val="28"/>
          <w:szCs w:val="28"/>
          <w:rtl/>
        </w:rPr>
        <w:t>تستمد هذه الدراسة أهميتها من الدور المحوري الذي تؤديه الحوكمة الرقمية في إنجاح مشاريع التحول الرقمي، وفي ظل التوجهات الاستراتيجية للمملكة العربية السعودية نحو بناء اقتصاد رقمي متقدم وفق رؤية 2030، حيث يُمثّل قطاع الاتصالات أحد أهم القطاعات المُحرّكة لهذا التوجه. وتتجلى أهمية الدراسة في محورين رئيسين هما الأهمية العلمية (النظرية) والأهمية العملية (التطبيقية)، وذلك على النحو الآتي</w:t>
      </w:r>
      <w:r w:rsidR="00EC51BE" w:rsidRPr="004F0620">
        <w:rPr>
          <w:rFonts w:ascii="Simplified Arabic" w:hAnsi="Simplified Arabic" w:cs="Simplified Arabic" w:hint="cs"/>
          <w:sz w:val="28"/>
          <w:szCs w:val="28"/>
        </w:rPr>
        <w:t>:</w:t>
      </w:r>
    </w:p>
    <w:p w14:paraId="6DB8666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أولًا: الأهمية العلمية (النظرية)</w:t>
      </w:r>
    </w:p>
    <w:p w14:paraId="73884FFD"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تُعد هذه الدراسة من الدراسات العربية الحديثة التي تتناول الربط المباشر بين التزام الإدارة العليا بمعايير الحوكمة الرقمية ونجاح مشاريع التحول الرقمي في قطاع الاتصالات السعودي، وهو ما يُمثّل إضافة نوعية للأدبيات العربية التي ما زالت تعاني من شُح الدراسات الميدانية في هذا الموضوع تحديداً.</w:t>
      </w:r>
    </w:p>
    <w:p w14:paraId="51103C76"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تُسهم الدراسة في سدّ فجوة بحثية واضحة، إذ ركّزت معظم الدراسات السابقة على الحوكمة الرقمية في القطاع الحكومي، أو على التحول الرقمي بمعزل عن الحوكمة، بينما تتميز هذه الدراسة بدمج المتغيرين في نموذج واحد متكامل ضمن سياق القطاع الخاص.</w:t>
      </w:r>
    </w:p>
    <w:p w14:paraId="64F3047B"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تُقدّم الدراسة إطاراً نظرياً متكاملاً يجمع بين أربعة أبعاد جوهرية للحوكمة الرقمية (الشفافية الرقمية، المساءلة الرقمية، الأمن السيبراني وحماية البيانات، البنية التحتية الرقمية) مع نموذج أحادي المحور لقياس نجاح مشاريع التحول الرقمي، وهو ما يُثري الأطر المفاهيمية المتاحة في هذا الحقل البحثي.</w:t>
      </w:r>
    </w:p>
    <w:p w14:paraId="48373591" w14:textId="77777777" w:rsidR="005C5DF8" w:rsidRPr="005C5DF8" w:rsidRDefault="005C5DF8">
      <w:pPr>
        <w:pStyle w:val="ListParagraph"/>
        <w:numPr>
          <w:ilvl w:val="0"/>
          <w:numId w:val="2"/>
        </w:numPr>
        <w:jc w:val="both"/>
        <w:rPr>
          <w:rFonts w:ascii="Simplified Arabic" w:hAnsi="Simplified Arabic" w:cs="Simplified Arabic"/>
          <w:sz w:val="28"/>
          <w:szCs w:val="28"/>
          <w:rtl/>
        </w:rPr>
      </w:pPr>
      <w:r w:rsidRPr="005C5DF8">
        <w:rPr>
          <w:rFonts w:ascii="Simplified Arabic" w:hAnsi="Simplified Arabic" w:cs="Simplified Arabic"/>
          <w:sz w:val="28"/>
          <w:szCs w:val="28"/>
          <w:rtl/>
        </w:rPr>
        <w:t>تُثري الدراسة المكتبة العربية بأداة قياس مُختبرة (استبانة) ذات صدق وثبات عاليين، يمكن للباحثين اللاحقين توظيفها أو تطويرها في دراسات مماثلة بقطاعات وبيئات أخرى.</w:t>
      </w:r>
    </w:p>
    <w:p w14:paraId="61423CB7" w14:textId="77777777" w:rsidR="00EC51BE" w:rsidRPr="004F0620" w:rsidRDefault="00EC51BE" w:rsidP="00EC51BE">
      <w:pPr>
        <w:rPr>
          <w:rFonts w:ascii="Simplified Arabic" w:hAnsi="Simplified Arabic" w:cs="Simplified Arabic"/>
          <w:b/>
          <w:bCs/>
          <w:sz w:val="28"/>
          <w:szCs w:val="28"/>
        </w:rPr>
      </w:pPr>
      <w:r w:rsidRPr="004F0620">
        <w:rPr>
          <w:rFonts w:ascii="Simplified Arabic" w:hAnsi="Simplified Arabic" w:cs="Simplified Arabic" w:hint="cs"/>
          <w:b/>
          <w:bCs/>
          <w:sz w:val="28"/>
          <w:szCs w:val="28"/>
          <w:rtl/>
        </w:rPr>
        <w:t>ثانيًا: الأهمية العملية (التطبيقية)</w:t>
      </w:r>
    </w:p>
    <w:p w14:paraId="0008359D" w14:textId="4AAE1BBA" w:rsidR="00FE6448" w:rsidRPr="00FE644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sz w:val="28"/>
          <w:szCs w:val="28"/>
          <w:rtl/>
        </w:rPr>
        <w:t>تُزوّد القيادات العليا في شركات الاتصالات السعودية (</w:t>
      </w:r>
      <w:proofErr w:type="spellStart"/>
      <w:r w:rsidRPr="00FE6448">
        <w:rPr>
          <w:rFonts w:ascii="Simplified Arabic" w:hAnsi="Simplified Arabic" w:cs="Simplified Arabic"/>
          <w:sz w:val="28"/>
          <w:szCs w:val="28"/>
        </w:rPr>
        <w:t>stc</w:t>
      </w:r>
      <w:proofErr w:type="spellEnd"/>
      <w:r w:rsidRPr="00FE6448">
        <w:rPr>
          <w:rFonts w:ascii="Simplified Arabic" w:hAnsi="Simplified Arabic" w:cs="Simplified Arabic"/>
          <w:sz w:val="28"/>
          <w:szCs w:val="28"/>
          <w:rtl/>
        </w:rPr>
        <w:t xml:space="preserve">، موبايلي، زين السعودية) بمؤشرات كمية دقيقة حول واقع الحوكمة الرقمية وأثرها على نجاح المشاريع، بما يُمكّنهم من ترتيب أولويات الاستثمار في الأبعاد الأكثر تأثيراً وترشيد الموارد المالية. </w:t>
      </w:r>
    </w:p>
    <w:p w14:paraId="55FD6C99" w14:textId="6E6F9B84" w:rsidR="00FE6448" w:rsidRPr="00FE644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hint="cs"/>
          <w:sz w:val="28"/>
          <w:szCs w:val="28"/>
          <w:rtl/>
        </w:rPr>
        <w:t>تدعم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مستهدفات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رؤية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المملكة</w:t>
      </w:r>
      <w:r w:rsidRPr="00FE6448">
        <w:rPr>
          <w:rFonts w:ascii="Simplified Arabic" w:hAnsi="Simplified Arabic" w:cs="Simplified Arabic"/>
          <w:sz w:val="28"/>
          <w:szCs w:val="28"/>
          <w:rtl/>
        </w:rPr>
        <w:t xml:space="preserve"> 2030 </w:t>
      </w:r>
      <w:r w:rsidRPr="00FE6448">
        <w:rPr>
          <w:rFonts w:ascii="Simplified Arabic" w:hAnsi="Simplified Arabic" w:cs="Simplified Arabic" w:hint="cs"/>
          <w:sz w:val="28"/>
          <w:szCs w:val="28"/>
          <w:rtl/>
        </w:rPr>
        <w:t>وبرنامج</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الاقتصاد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وتُقدّم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توجيهات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عملية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لهيئة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الاتصالات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والفضاء</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والتقنية</w:t>
      </w:r>
      <w:r w:rsidRPr="00FE6448">
        <w:rPr>
          <w:rFonts w:ascii="Simplified Arabic" w:hAnsi="Simplified Arabic" w:cs="Simplified Arabic"/>
          <w:sz w:val="28"/>
          <w:szCs w:val="28"/>
          <w:rtl/>
        </w:rPr>
        <w:t xml:space="preserve"> (</w:t>
      </w:r>
      <w:r w:rsidRPr="00FE6448">
        <w:rPr>
          <w:rFonts w:ascii="Simplified Arabic" w:hAnsi="Simplified Arabic" w:cs="Simplified Arabic"/>
          <w:sz w:val="28"/>
          <w:szCs w:val="28"/>
        </w:rPr>
        <w:t>CST</w:t>
      </w:r>
      <w:r w:rsidRPr="00FE6448">
        <w:rPr>
          <w:rFonts w:ascii="Simplified Arabic" w:hAnsi="Simplified Arabic" w:cs="Simplified Arabic"/>
          <w:sz w:val="28"/>
          <w:szCs w:val="28"/>
          <w:rtl/>
        </w:rPr>
        <w:t>) وهيئة الحكومة الرقمية (</w:t>
      </w:r>
      <w:r w:rsidRPr="00FE6448">
        <w:rPr>
          <w:rFonts w:ascii="Simplified Arabic" w:hAnsi="Simplified Arabic" w:cs="Simplified Arabic"/>
          <w:sz w:val="28"/>
          <w:szCs w:val="28"/>
        </w:rPr>
        <w:t>DGA</w:t>
      </w:r>
      <w:r w:rsidRPr="00FE6448">
        <w:rPr>
          <w:rFonts w:ascii="Simplified Arabic" w:hAnsi="Simplified Arabic" w:cs="Simplified Arabic"/>
          <w:sz w:val="28"/>
          <w:szCs w:val="28"/>
          <w:rtl/>
        </w:rPr>
        <w:t>) في تطوير السياسات المنظّمة للحوكمة الرقمية استناداً إلى نتائج ميدانية محلية.</w:t>
      </w:r>
    </w:p>
    <w:p w14:paraId="7B0AFB1F" w14:textId="77777777" w:rsidR="00FE6448" w:rsidRPr="00FE6448" w:rsidRDefault="00FE6448" w:rsidP="00FE6448">
      <w:pPr>
        <w:pStyle w:val="ListParagraph"/>
        <w:numPr>
          <w:ilvl w:val="0"/>
          <w:numId w:val="7"/>
        </w:numPr>
        <w:jc w:val="both"/>
        <w:rPr>
          <w:rFonts w:ascii="Simplified Arabic" w:hAnsi="Simplified Arabic" w:cs="Simplified Arabic"/>
          <w:sz w:val="28"/>
          <w:szCs w:val="28"/>
        </w:rPr>
      </w:pPr>
      <w:r w:rsidRPr="00FE6448">
        <w:rPr>
          <w:rFonts w:ascii="Simplified Arabic" w:hAnsi="Simplified Arabic" w:cs="Simplified Arabic"/>
          <w:sz w:val="28"/>
          <w:szCs w:val="28"/>
          <w:rtl/>
        </w:rPr>
        <w:t>تُقدّم توصيات قابلة للتطبيق لتعزيز الأمن السيبراني وحماية البيانات في قطاع الاتصالات الذي يُعدّ من أكثر القطاعات استهدافاً بالهجمات السيبرانية.</w:t>
      </w:r>
    </w:p>
    <w:p w14:paraId="6A411A7D" w14:textId="0C7E9039" w:rsidR="00EC51BE" w:rsidRPr="005C5DF8" w:rsidRDefault="00FE6448" w:rsidP="00FE6448">
      <w:pPr>
        <w:pStyle w:val="ListParagraph"/>
        <w:numPr>
          <w:ilvl w:val="0"/>
          <w:numId w:val="7"/>
        </w:numPr>
        <w:shd w:val="clear" w:color="auto" w:fill="FFFF00"/>
        <w:jc w:val="both"/>
        <w:rPr>
          <w:rFonts w:ascii="Simplified Arabic" w:hAnsi="Simplified Arabic" w:cs="Simplified Arabic"/>
          <w:sz w:val="28"/>
          <w:szCs w:val="28"/>
        </w:rPr>
      </w:pPr>
      <w:r w:rsidRPr="00FE6448">
        <w:rPr>
          <w:rFonts w:ascii="Simplified Arabic" w:hAnsi="Simplified Arabic" w:cs="Simplified Arabic" w:hint="cs"/>
          <w:sz w:val="28"/>
          <w:szCs w:val="28"/>
          <w:rtl/>
        </w:rPr>
        <w:t>تُوفّر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مادة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علمية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داعمة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لصنّاع</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القرار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الأكاديمي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وواضعي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البرامج</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التدريبية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في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مجال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القيادة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والحوكمة،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بما</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يُعزّز</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جاهزية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الكوادر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الوطنية</w:t>
      </w:r>
      <w:r w:rsidRPr="00FE6448">
        <w:rPr>
          <w:rFonts w:ascii="Simplified Arabic" w:hAnsi="Simplified Arabic" w:cs="Simplified Arabic"/>
          <w:sz w:val="28"/>
          <w:szCs w:val="28"/>
          <w:rtl/>
        </w:rPr>
        <w:t xml:space="preserve">. </w:t>
      </w:r>
    </w:p>
    <w:p w14:paraId="328F39B1" w14:textId="244C87D9" w:rsidR="00D42274" w:rsidRPr="004F0620" w:rsidRDefault="00D42274" w:rsidP="00D439AC">
      <w:pPr>
        <w:pStyle w:val="Heading1"/>
        <w:rPr>
          <w:rtl/>
        </w:rPr>
      </w:pPr>
      <w:bookmarkStart w:id="3" w:name="_Toc233187248"/>
      <w:r w:rsidRPr="004F0620">
        <w:rPr>
          <w:rtl/>
        </w:rPr>
        <w:t xml:space="preserve">أهداف </w:t>
      </w:r>
      <w:r w:rsidR="00D439AC" w:rsidRPr="004F0620">
        <w:rPr>
          <w:rtl/>
        </w:rPr>
        <w:t>الدراسة</w:t>
      </w:r>
      <w:bookmarkEnd w:id="3"/>
      <w:r w:rsidR="00D439AC" w:rsidRPr="004F0620">
        <w:rPr>
          <w:rtl/>
        </w:rPr>
        <w:t xml:space="preserve"> </w:t>
      </w:r>
    </w:p>
    <w:p w14:paraId="591E0E56" w14:textId="79F3970F" w:rsidR="00FE6448" w:rsidRPr="00FE6448" w:rsidRDefault="00FE6448" w:rsidP="00FE6448">
      <w:pPr>
        <w:shd w:val="clear" w:color="auto" w:fill="FFFF00"/>
        <w:ind w:left="360"/>
        <w:jc w:val="both"/>
        <w:rPr>
          <w:rFonts w:ascii="Simplified Arabic" w:hAnsi="Simplified Arabic" w:cs="Simplified Arabic"/>
          <w:sz w:val="28"/>
          <w:szCs w:val="28"/>
          <w:rtl/>
        </w:rPr>
      </w:pPr>
      <w:r w:rsidRPr="00FE6448">
        <w:rPr>
          <w:rFonts w:ascii="Simplified Arabic" w:hAnsi="Simplified Arabic" w:cs="Simplified Arabic"/>
          <w:sz w:val="28"/>
          <w:szCs w:val="28"/>
          <w:rtl/>
        </w:rPr>
        <w:t xml:space="preserve">هدف الدراسة الحالية بشكل رئيس إلى دراسة أثر التزام الإدارة العليا بمعايير الحوكمة الرقمية بأبعاده الأربعة على نجاح مشاريع التحول الرقمي في شركات الاتصالات العاملة في المملكة العربية السعودية. ويتفرع من هذا الهدف الرئيس مجموعة من الأهداف الفرعية على النحو التالي: </w:t>
      </w:r>
    </w:p>
    <w:p w14:paraId="7118E7D5" w14:textId="4C82F80D"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hint="cs"/>
          <w:sz w:val="28"/>
          <w:szCs w:val="28"/>
          <w:rtl/>
        </w:rPr>
        <w:t>الهدف</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الأول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قياس</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المستوى</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الفعلي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لالتزام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الإدارة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العليا</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بأبعاد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الحوكمة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الأربعة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الشفافية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المساءلة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الأمن</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السيبراني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وحماية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البيانات،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البنية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التحتية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في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شركات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الاتصالات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السعودية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خلال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عام</w:t>
      </w:r>
      <w:r w:rsidRPr="00FE6448">
        <w:rPr>
          <w:rFonts w:ascii="Simplified Arabic" w:hAnsi="Simplified Arabic" w:cs="Simplified Arabic"/>
          <w:sz w:val="28"/>
          <w:szCs w:val="28"/>
          <w:rtl/>
        </w:rPr>
        <w:t xml:space="preserve"> 2026</w:t>
      </w:r>
      <w:r w:rsidRPr="00FE6448">
        <w:rPr>
          <w:rFonts w:ascii="Simplified Arabic" w:hAnsi="Simplified Arabic" w:cs="Simplified Arabic" w:hint="cs"/>
          <w:sz w:val="28"/>
          <w:szCs w:val="28"/>
          <w:rtl/>
        </w:rPr>
        <w:t>م</w:t>
      </w:r>
      <w:r>
        <w:rPr>
          <w:rFonts w:ascii="Simplified Arabic" w:hAnsi="Simplified Arabic" w:cs="Simplified Arabic" w:hint="cs"/>
          <w:sz w:val="28"/>
          <w:szCs w:val="28"/>
          <w:rtl/>
        </w:rPr>
        <w:t>.</w:t>
      </w:r>
    </w:p>
    <w:p w14:paraId="6382DA7A" w14:textId="649634E2"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hint="cs"/>
          <w:sz w:val="28"/>
          <w:szCs w:val="28"/>
          <w:rtl/>
        </w:rPr>
        <w:t>الهدف</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الثاني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تحديد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مستوى</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نجاح</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مشاريع</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التحول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في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شركات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الاتصالات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السعودية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خلال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العام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ذاته</w:t>
      </w:r>
      <w:r>
        <w:rPr>
          <w:rFonts w:ascii="Simplified Arabic" w:hAnsi="Simplified Arabic" w:cs="Simplified Arabic" w:hint="cs"/>
          <w:sz w:val="28"/>
          <w:szCs w:val="28"/>
          <w:rtl/>
        </w:rPr>
        <w:t>.</w:t>
      </w:r>
    </w:p>
    <w:p w14:paraId="2E045D27" w14:textId="15BA31CF" w:rsidR="00FE6448" w:rsidRPr="00FE644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hint="cs"/>
          <w:sz w:val="28"/>
          <w:szCs w:val="28"/>
          <w:rtl/>
        </w:rPr>
        <w:t>الهدف</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الثالث</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اختبار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العلاقة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السببية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بين</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كل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بُعد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من</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أبعاد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الحوكمة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الأربعة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ونجاح</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مشاريع</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التحول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في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هذه</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الشركات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باستخدام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تحليل</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الانحدار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البسيط</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والمتعدد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عند</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مستوى</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دلالة</w:t>
      </w:r>
      <w:r w:rsidRPr="00FE6448">
        <w:rPr>
          <w:rFonts w:ascii="Simplified Arabic" w:hAnsi="Simplified Arabic" w:cs="Simplified Arabic"/>
          <w:sz w:val="28"/>
          <w:szCs w:val="28"/>
          <w:rtl/>
        </w:rPr>
        <w:t xml:space="preserve"> (</w:t>
      </w:r>
      <w:r w:rsidRPr="00FE6448">
        <w:rPr>
          <w:rFonts w:ascii="Cambria" w:hAnsi="Cambria" w:cs="Cambria"/>
          <w:sz w:val="28"/>
          <w:szCs w:val="28"/>
        </w:rPr>
        <w:t>α</w:t>
      </w:r>
      <w:r w:rsidRPr="00FE6448">
        <w:rPr>
          <w:rFonts w:ascii="Simplified Arabic" w:hAnsi="Simplified Arabic" w:cs="Simplified Arabic"/>
          <w:sz w:val="28"/>
          <w:szCs w:val="28"/>
        </w:rPr>
        <w:t xml:space="preserve"> </w:t>
      </w:r>
      <w:r w:rsidRPr="00FE6448">
        <w:rPr>
          <w:rFonts w:ascii="Cambria Math" w:hAnsi="Cambria Math" w:cs="Cambria Math"/>
          <w:sz w:val="28"/>
          <w:szCs w:val="28"/>
        </w:rPr>
        <w:t>≤</w:t>
      </w:r>
      <w:r w:rsidRPr="00FE6448">
        <w:rPr>
          <w:rFonts w:ascii="Simplified Arabic" w:hAnsi="Simplified Arabic" w:cs="Simplified Arabic"/>
          <w:sz w:val="28"/>
          <w:szCs w:val="28"/>
        </w:rPr>
        <w:t xml:space="preserve"> 0.05</w:t>
      </w:r>
      <w:r w:rsidRPr="00FE6448">
        <w:rPr>
          <w:rFonts w:ascii="Simplified Arabic" w:hAnsi="Simplified Arabic" w:cs="Simplified Arabic"/>
          <w:sz w:val="28"/>
          <w:szCs w:val="28"/>
          <w:rtl/>
        </w:rPr>
        <w:t xml:space="preserve">). </w:t>
      </w:r>
    </w:p>
    <w:p w14:paraId="2B7358C7" w14:textId="23159FC1" w:rsidR="00592685" w:rsidRPr="005C5DF8" w:rsidRDefault="00FE6448" w:rsidP="00FE6448">
      <w:pPr>
        <w:pStyle w:val="ListParagraph"/>
        <w:numPr>
          <w:ilvl w:val="0"/>
          <w:numId w:val="8"/>
        </w:numPr>
        <w:shd w:val="clear" w:color="auto" w:fill="FFFF00"/>
        <w:jc w:val="both"/>
        <w:rPr>
          <w:rFonts w:ascii="Simplified Arabic" w:hAnsi="Simplified Arabic" w:cs="Simplified Arabic"/>
          <w:sz w:val="28"/>
          <w:szCs w:val="28"/>
          <w:rtl/>
        </w:rPr>
      </w:pP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الهدف</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الرابع</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تقديم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توصيات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عملية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قابلة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للتطبيق</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لتطوير</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ممارسات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الحوكمة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الرقمية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في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قطاع</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الاتصالات</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السعودي</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بما</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يدعم</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رؤية</w:t>
      </w:r>
      <w:r w:rsidRPr="00FE6448">
        <w:rPr>
          <w:rFonts w:ascii="Simplified Arabic" w:hAnsi="Simplified Arabic" w:cs="Simplified Arabic"/>
          <w:sz w:val="28"/>
          <w:szCs w:val="28"/>
          <w:rtl/>
        </w:rPr>
        <w:t xml:space="preserve"> </w:t>
      </w:r>
      <w:r w:rsidRPr="00FE6448">
        <w:rPr>
          <w:rFonts w:ascii="Simplified Arabic" w:hAnsi="Simplified Arabic" w:cs="Simplified Arabic" w:hint="cs"/>
          <w:sz w:val="28"/>
          <w:szCs w:val="28"/>
          <w:rtl/>
        </w:rPr>
        <w:t>المملكة</w:t>
      </w:r>
      <w:r w:rsidRPr="00FE6448">
        <w:rPr>
          <w:rFonts w:ascii="Simplified Arabic" w:hAnsi="Simplified Arabic" w:cs="Simplified Arabic"/>
          <w:sz w:val="28"/>
          <w:szCs w:val="28"/>
          <w:rtl/>
        </w:rPr>
        <w:t xml:space="preserve"> 2030. </w:t>
      </w:r>
    </w:p>
    <w:p w14:paraId="62EDF9F6" w14:textId="661E175E" w:rsidR="00D42274" w:rsidRPr="004F0620" w:rsidRDefault="00D42274" w:rsidP="00592685">
      <w:pPr>
        <w:pStyle w:val="Heading1"/>
        <w:rPr>
          <w:rtl/>
          <w:lang w:bidi="ar-SA"/>
        </w:rPr>
      </w:pPr>
      <w:bookmarkStart w:id="4" w:name="_Toc233187249"/>
      <w:r w:rsidRPr="004F0620">
        <w:rPr>
          <w:rtl/>
        </w:rPr>
        <w:t>فرضيات ال</w:t>
      </w:r>
      <w:r w:rsidR="00F41775" w:rsidRPr="004F0620">
        <w:rPr>
          <w:rFonts w:hint="cs"/>
          <w:rtl/>
        </w:rPr>
        <w:t>دراسة</w:t>
      </w:r>
      <w:bookmarkEnd w:id="4"/>
      <w:r w:rsidR="00F41775" w:rsidRPr="004F0620">
        <w:rPr>
          <w:rFonts w:hint="cs"/>
          <w:rtl/>
        </w:rPr>
        <w:t xml:space="preserve"> </w:t>
      </w:r>
    </w:p>
    <w:p w14:paraId="697EC3DF" w14:textId="77777777" w:rsidR="00036AD0" w:rsidRDefault="00036AD0" w:rsidP="00036AD0">
      <w:pPr>
        <w:spacing w:line="276" w:lineRule="auto"/>
        <w:jc w:val="both"/>
        <w:rPr>
          <w:rFonts w:ascii="Simplified Arabic" w:hAnsi="Simplified Arabic" w:cs="Simplified Arabic"/>
          <w:sz w:val="28"/>
          <w:szCs w:val="28"/>
          <w:rtl/>
          <w:lang w:bidi="ar-EG"/>
        </w:rPr>
      </w:pPr>
      <w:r w:rsidRPr="004F0620">
        <w:rPr>
          <w:rFonts w:ascii="Simplified Arabic" w:hAnsi="Simplified Arabic" w:cs="Simplified Arabic"/>
          <w:sz w:val="28"/>
          <w:szCs w:val="28"/>
          <w:rtl/>
        </w:rPr>
        <w:t>بناءً على ما تم عرضه من أهداف الدراسة ومشكلتها وأهميتها، يمكن تحديد فرضيات الدراسة من خلال أربع فرضيات رئيسة، وهي على النحو التالي</w:t>
      </w:r>
      <w:r w:rsidRPr="004F0620">
        <w:rPr>
          <w:rFonts w:ascii="Simplified Arabic" w:hAnsi="Simplified Arabic" w:cs="Simplified Arabic"/>
          <w:sz w:val="28"/>
          <w:szCs w:val="28"/>
          <w:lang w:bidi="ar-EG"/>
        </w:rPr>
        <w:t>:</w:t>
      </w:r>
    </w:p>
    <w:p w14:paraId="7D277DC6" w14:textId="77777777" w:rsidR="00592685" w:rsidRPr="00592685" w:rsidRDefault="00592685" w:rsidP="00FE6448">
      <w:pPr>
        <w:shd w:val="clear" w:color="auto" w:fill="FFFF00"/>
        <w:spacing w:line="276" w:lineRule="auto"/>
        <w:jc w:val="both"/>
        <w:rPr>
          <w:rFonts w:ascii="Simplified Arabic" w:hAnsi="Simplified Arabic" w:cs="Simplified Arabic"/>
          <w:b/>
          <w:bCs/>
          <w:sz w:val="28"/>
          <w:szCs w:val="28"/>
          <w:lang w:bidi="ar-EG"/>
        </w:rPr>
      </w:pPr>
      <w:r w:rsidRPr="00592685">
        <w:rPr>
          <w:rFonts w:ascii="Simplified Arabic" w:hAnsi="Simplified Arabic" w:cs="Simplified Arabic"/>
          <w:b/>
          <w:bCs/>
          <w:sz w:val="28"/>
          <w:szCs w:val="28"/>
          <w:rtl/>
        </w:rPr>
        <w:t>الفرضية الرئيسة الأولى</w:t>
      </w:r>
    </w:p>
    <w:p w14:paraId="38756218" w14:textId="4E86895F"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lang w:bidi="ar-EG"/>
        </w:rPr>
        <w:t>H</w:t>
      </w:r>
      <w:r w:rsidRPr="00FE6448">
        <w:rPr>
          <w:rFonts w:ascii="Cambria Math" w:hAnsi="Cambria Math" w:cs="Cambria Math"/>
          <w:b/>
          <w:bCs/>
          <w:sz w:val="28"/>
          <w:szCs w:val="28"/>
          <w:lang w:bidi="ar-EG"/>
        </w:rPr>
        <w:t>₁</w:t>
      </w:r>
      <w:r w:rsidRPr="00FE6448">
        <w:rPr>
          <w:rFonts w:ascii="Simplified Arabic" w:hAnsi="Simplified Arabic" w:cs="Simplified Arabic"/>
          <w:b/>
          <w:bCs/>
          <w:sz w:val="28"/>
          <w:szCs w:val="28"/>
          <w:rtl/>
          <w:lang w:bidi="ar-EG"/>
        </w:rPr>
        <w:t xml:space="preserve"> (الفرضية البديلة الرئيسة): </w:t>
      </w:r>
    </w:p>
    <w:p w14:paraId="0A40FC4D" w14:textId="439EBC28"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rtl/>
          <w:lang w:bidi="ar-EG"/>
        </w:rPr>
        <w:t>"</w:t>
      </w:r>
      <w:r w:rsidRPr="00FE6448">
        <w:rPr>
          <w:rFonts w:ascii="Simplified Arabic" w:hAnsi="Simplified Arabic" w:cs="Simplified Arabic" w:hint="cs"/>
          <w:b/>
          <w:bCs/>
          <w:sz w:val="28"/>
          <w:szCs w:val="28"/>
          <w:rtl/>
          <w:lang w:bidi="ar-EG"/>
        </w:rPr>
        <w:t>يوجد</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أثر</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ذو</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دلالة</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إحصائية</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عند</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مستوى</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دلالة</w:t>
      </w:r>
      <w:r w:rsidRPr="00FE6448">
        <w:rPr>
          <w:rFonts w:ascii="Simplified Arabic" w:hAnsi="Simplified Arabic" w:cs="Simplified Arabic"/>
          <w:b/>
          <w:bCs/>
          <w:sz w:val="28"/>
          <w:szCs w:val="28"/>
          <w:rtl/>
          <w:lang w:bidi="ar-EG"/>
        </w:rPr>
        <w:t xml:space="preserve"> (</w:t>
      </w:r>
      <w:r w:rsidRPr="00FE6448">
        <w:rPr>
          <w:rFonts w:ascii="Cambria" w:hAnsi="Cambria" w:cs="Cambria"/>
          <w:b/>
          <w:bCs/>
          <w:sz w:val="28"/>
          <w:szCs w:val="28"/>
          <w:lang w:bidi="ar-EG"/>
        </w:rPr>
        <w:t>α</w:t>
      </w:r>
      <w:r w:rsidRPr="00FE6448">
        <w:rPr>
          <w:rFonts w:ascii="Simplified Arabic" w:hAnsi="Simplified Arabic" w:cs="Simplified Arabic"/>
          <w:b/>
          <w:bCs/>
          <w:sz w:val="28"/>
          <w:szCs w:val="28"/>
          <w:lang w:bidi="ar-EG"/>
        </w:rPr>
        <w:t xml:space="preserve"> </w:t>
      </w:r>
      <w:r w:rsidRPr="00FE6448">
        <w:rPr>
          <w:rFonts w:ascii="Cambria Math" w:hAnsi="Cambria Math" w:cs="Cambria Math"/>
          <w:b/>
          <w:bCs/>
          <w:sz w:val="28"/>
          <w:szCs w:val="28"/>
          <w:lang w:bidi="ar-EG"/>
        </w:rPr>
        <w:t>≤</w:t>
      </w:r>
      <w:r w:rsidRPr="00FE6448">
        <w:rPr>
          <w:rFonts w:ascii="Simplified Arabic" w:hAnsi="Simplified Arabic" w:cs="Simplified Arabic"/>
          <w:b/>
          <w:bCs/>
          <w:sz w:val="28"/>
          <w:szCs w:val="28"/>
          <w:lang w:bidi="ar-EG"/>
        </w:rPr>
        <w:t xml:space="preserve"> 0.05</w:t>
      </w:r>
      <w:r w:rsidRPr="00FE6448">
        <w:rPr>
          <w:rFonts w:ascii="Simplified Arabic" w:hAnsi="Simplified Arabic" w:cs="Simplified Arabic"/>
          <w:b/>
          <w:bCs/>
          <w:sz w:val="28"/>
          <w:szCs w:val="28"/>
          <w:rtl/>
          <w:lang w:bidi="ar-EG"/>
        </w:rPr>
        <w:t xml:space="preserve">) لالتزام الإدارة العليا بمعايير الحوكمة الرقمية بأبعادها مجتمعة (الشفافية الرقمية، المساءلة الرقمية، الأمن السيبراني وحماية البيانات، البنية التحتية الرقمية) على نجاح مشاريع التحول الرقمي في شركات الاتصالات السعودية." </w:t>
      </w:r>
    </w:p>
    <w:p w14:paraId="7A1BD7AE" w14:textId="525CC1D2" w:rsidR="00FE6448" w:rsidRPr="00FE6448" w:rsidRDefault="00FE6448" w:rsidP="00FE6448">
      <w:pPr>
        <w:shd w:val="clear" w:color="auto" w:fill="FFFF00"/>
        <w:spacing w:line="276" w:lineRule="auto"/>
        <w:rPr>
          <w:rFonts w:ascii="Simplified Arabic" w:hAnsi="Simplified Arabic" w:cs="Simplified Arabic"/>
          <w:b/>
          <w:bCs/>
          <w:sz w:val="28"/>
          <w:szCs w:val="28"/>
          <w:rtl/>
          <w:lang w:bidi="ar-EG"/>
        </w:rPr>
      </w:pPr>
      <w:r w:rsidRPr="00FE6448">
        <w:rPr>
          <w:rFonts w:ascii="Simplified Arabic" w:hAnsi="Simplified Arabic" w:cs="Simplified Arabic"/>
          <w:b/>
          <w:bCs/>
          <w:sz w:val="28"/>
          <w:szCs w:val="28"/>
          <w:lang w:bidi="ar-EG"/>
        </w:rPr>
        <w:t>H</w:t>
      </w:r>
      <w:r w:rsidRPr="00FE6448">
        <w:rPr>
          <w:rFonts w:ascii="Cambria Math" w:hAnsi="Cambria Math" w:cs="Cambria Math"/>
          <w:b/>
          <w:bCs/>
          <w:sz w:val="28"/>
          <w:szCs w:val="28"/>
          <w:lang w:bidi="ar-EG"/>
        </w:rPr>
        <w:t>₀</w:t>
      </w:r>
      <w:r w:rsidRPr="00FE6448">
        <w:rPr>
          <w:rFonts w:ascii="Simplified Arabic" w:hAnsi="Simplified Arabic" w:cs="Simplified Arabic"/>
          <w:b/>
          <w:bCs/>
          <w:sz w:val="28"/>
          <w:szCs w:val="28"/>
          <w:rtl/>
          <w:lang w:bidi="ar-EG"/>
        </w:rPr>
        <w:t xml:space="preserve"> (الفرضية الصفرية): </w:t>
      </w:r>
    </w:p>
    <w:p w14:paraId="6F1114D4" w14:textId="366B0B56" w:rsidR="00592685" w:rsidRPr="00592685" w:rsidRDefault="00FE6448" w:rsidP="00FE6448">
      <w:pPr>
        <w:shd w:val="clear" w:color="auto" w:fill="FFFF00"/>
        <w:spacing w:line="276" w:lineRule="auto"/>
        <w:jc w:val="both"/>
        <w:rPr>
          <w:rFonts w:ascii="Simplified Arabic" w:hAnsi="Simplified Arabic" w:cs="Simplified Arabic"/>
          <w:sz w:val="28"/>
          <w:szCs w:val="28"/>
          <w:lang w:bidi="ar-EG"/>
        </w:rPr>
      </w:pPr>
      <w:r w:rsidRPr="00FE6448">
        <w:rPr>
          <w:rFonts w:ascii="Simplified Arabic" w:hAnsi="Simplified Arabic" w:cs="Simplified Arabic"/>
          <w:b/>
          <w:bCs/>
          <w:sz w:val="28"/>
          <w:szCs w:val="28"/>
          <w:rtl/>
          <w:lang w:bidi="ar-EG"/>
        </w:rPr>
        <w:t>"</w:t>
      </w:r>
      <w:r w:rsidRPr="00FE6448">
        <w:rPr>
          <w:rFonts w:ascii="Simplified Arabic" w:hAnsi="Simplified Arabic" w:cs="Simplified Arabic" w:hint="cs"/>
          <w:b/>
          <w:bCs/>
          <w:sz w:val="28"/>
          <w:szCs w:val="28"/>
          <w:rtl/>
          <w:lang w:bidi="ar-EG"/>
        </w:rPr>
        <w:t>لا</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يوجد</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أثر</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ذو</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دلالة</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إحصائية</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عند</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مستوى</w:t>
      </w:r>
      <w:r w:rsidRPr="00FE6448">
        <w:rPr>
          <w:rFonts w:ascii="Simplified Arabic" w:hAnsi="Simplified Arabic" w:cs="Simplified Arabic"/>
          <w:b/>
          <w:bCs/>
          <w:sz w:val="28"/>
          <w:szCs w:val="28"/>
          <w:rtl/>
          <w:lang w:bidi="ar-EG"/>
        </w:rPr>
        <w:t xml:space="preserve"> </w:t>
      </w:r>
      <w:r w:rsidRPr="00FE6448">
        <w:rPr>
          <w:rFonts w:ascii="Simplified Arabic" w:hAnsi="Simplified Arabic" w:cs="Simplified Arabic" w:hint="cs"/>
          <w:b/>
          <w:bCs/>
          <w:sz w:val="28"/>
          <w:szCs w:val="28"/>
          <w:rtl/>
          <w:lang w:bidi="ar-EG"/>
        </w:rPr>
        <w:t>دلالة</w:t>
      </w:r>
      <w:r w:rsidRPr="00FE6448">
        <w:rPr>
          <w:rFonts w:ascii="Simplified Arabic" w:hAnsi="Simplified Arabic" w:cs="Simplified Arabic"/>
          <w:b/>
          <w:bCs/>
          <w:sz w:val="28"/>
          <w:szCs w:val="28"/>
          <w:rtl/>
          <w:lang w:bidi="ar-EG"/>
        </w:rPr>
        <w:t xml:space="preserve"> (</w:t>
      </w:r>
      <w:r w:rsidRPr="00FE6448">
        <w:rPr>
          <w:rFonts w:ascii="Cambria" w:hAnsi="Cambria" w:cs="Cambria"/>
          <w:b/>
          <w:bCs/>
          <w:sz w:val="28"/>
          <w:szCs w:val="28"/>
          <w:lang w:bidi="ar-EG"/>
        </w:rPr>
        <w:t>α</w:t>
      </w:r>
      <w:r w:rsidRPr="00FE6448">
        <w:rPr>
          <w:rFonts w:ascii="Simplified Arabic" w:hAnsi="Simplified Arabic" w:cs="Simplified Arabic"/>
          <w:b/>
          <w:bCs/>
          <w:sz w:val="28"/>
          <w:szCs w:val="28"/>
          <w:lang w:bidi="ar-EG"/>
        </w:rPr>
        <w:t xml:space="preserve"> </w:t>
      </w:r>
      <w:r w:rsidRPr="00FE6448">
        <w:rPr>
          <w:rFonts w:ascii="Cambria Math" w:hAnsi="Cambria Math" w:cs="Cambria Math"/>
          <w:b/>
          <w:bCs/>
          <w:sz w:val="28"/>
          <w:szCs w:val="28"/>
          <w:lang w:bidi="ar-EG"/>
        </w:rPr>
        <w:t>≤</w:t>
      </w:r>
      <w:r w:rsidRPr="00FE6448">
        <w:rPr>
          <w:rFonts w:ascii="Simplified Arabic" w:hAnsi="Simplified Arabic" w:cs="Simplified Arabic"/>
          <w:b/>
          <w:bCs/>
          <w:sz w:val="28"/>
          <w:szCs w:val="28"/>
          <w:lang w:bidi="ar-EG"/>
        </w:rPr>
        <w:t xml:space="preserve"> 0.05</w:t>
      </w:r>
      <w:r w:rsidRPr="00FE6448">
        <w:rPr>
          <w:rFonts w:ascii="Simplified Arabic" w:hAnsi="Simplified Arabic" w:cs="Simplified Arabic"/>
          <w:b/>
          <w:bCs/>
          <w:sz w:val="28"/>
          <w:szCs w:val="28"/>
          <w:rtl/>
          <w:lang w:bidi="ar-EG"/>
        </w:rPr>
        <w:t xml:space="preserve">) لالتزام الإدارة العليا بمعايير الحوكمة الرقمية بأبعادها مجتمعة على نجاح مشاريع التحول الرقمي في شركات الاتصالات السعودية." </w:t>
      </w:r>
    </w:p>
    <w:p w14:paraId="7D590B9D" w14:textId="77777777" w:rsidR="00592685" w:rsidRPr="00FE6448" w:rsidRDefault="00592685" w:rsidP="00FE6448">
      <w:pPr>
        <w:shd w:val="clear" w:color="auto" w:fill="FFFF00"/>
        <w:spacing w:line="276" w:lineRule="auto"/>
        <w:jc w:val="both"/>
        <w:rPr>
          <w:rFonts w:ascii="Simplified Arabic" w:hAnsi="Simplified Arabic" w:cs="Simplified Arabic"/>
          <w:sz w:val="28"/>
          <w:szCs w:val="28"/>
          <w:rtl/>
          <w:lang w:bidi="ar-EG"/>
        </w:rPr>
      </w:pPr>
      <w:r w:rsidRPr="00FE6448">
        <w:rPr>
          <w:rFonts w:ascii="Simplified Arabic" w:hAnsi="Simplified Arabic" w:cs="Simplified Arabic" w:hint="cs"/>
          <w:sz w:val="28"/>
          <w:szCs w:val="28"/>
          <w:rtl/>
        </w:rPr>
        <w:t>ويتفرع من الفرضية الرئيسة الأولى الفرضيات الفرعية التالية</w:t>
      </w:r>
      <w:r w:rsidRPr="00FE6448">
        <w:rPr>
          <w:rFonts w:ascii="Simplified Arabic" w:hAnsi="Simplified Arabic" w:cs="Simplified Arabic" w:hint="cs"/>
          <w:sz w:val="28"/>
          <w:szCs w:val="28"/>
          <w:lang w:bidi="ar-EG"/>
        </w:rPr>
        <w:t>:</w:t>
      </w:r>
    </w:p>
    <w:p w14:paraId="41B02255" w14:textId="707AC73C"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rPr>
        <w:t xml:space="preserve">الفرضية الفرعية الأولى: </w:t>
      </w:r>
    </w:p>
    <w:p w14:paraId="44B6FCAD" w14:textId="2AA9227B"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rtl/>
          <w14:ligatures w14:val="none"/>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الشفافية الرقمية على نجاح مشاريع التحول الرقمي في شركات الاتصالات السعودية." </w:t>
      </w:r>
    </w:p>
    <w:p w14:paraId="150D639A" w14:textId="5337C2AB"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rPr>
        <w:t xml:space="preserve"> </w:t>
      </w: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₀</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rtl/>
          <w14:ligatures w14:val="none"/>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الشفافية الرقمية على نجاح مشاريع التحول الرقمي في شركات الاتصالات السعودية." </w:t>
      </w:r>
    </w:p>
    <w:p w14:paraId="63E06FAA" w14:textId="7053514F"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kern w:val="0"/>
          <w:sz w:val="28"/>
          <w:szCs w:val="28"/>
          <w:rtl/>
          <w14:ligatures w14:val="none"/>
        </w:rPr>
        <w:t xml:space="preserve"> </w:t>
      </w:r>
      <w:r w:rsidRPr="00FE6448">
        <w:rPr>
          <w:rFonts w:ascii="Simplified Arabic" w:eastAsia="Times New Roman" w:hAnsi="Simplified Arabic" w:cs="Simplified Arabic" w:hint="cs"/>
          <w:b/>
          <w:bCs/>
          <w:kern w:val="0"/>
          <w:sz w:val="28"/>
          <w:szCs w:val="28"/>
          <w:rtl/>
          <w14:ligatures w14:val="none"/>
        </w:rPr>
        <w:t xml:space="preserve">الفرضية الفرعية الثانية: </w:t>
      </w:r>
    </w:p>
    <w:p w14:paraId="0D50D6E5" w14:textId="7480C81D"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₂</w:t>
      </w:r>
      <w:r w:rsidRPr="00FE6448">
        <w:rPr>
          <w:rFonts w:ascii="Simplified Arabic" w:eastAsia="Times New Roman" w:hAnsi="Simplified Arabic" w:cs="Simplified Arabic" w:hint="cs"/>
          <w:kern w:val="0"/>
          <w:sz w:val="28"/>
          <w:szCs w:val="28"/>
          <w:rtl/>
          <w14:ligatures w14:val="none"/>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المساءلة الرقمية على نجاح مشاريع التحول الرقمي في شركات الاتصالات السعودية." </w:t>
      </w:r>
    </w:p>
    <w:p w14:paraId="0B21B723" w14:textId="6437B359"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rPr>
        <w:t xml:space="preserve"> </w:t>
      </w: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₀</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₂</w:t>
      </w:r>
      <w:r w:rsidRPr="00FE6448">
        <w:rPr>
          <w:rFonts w:ascii="Simplified Arabic" w:eastAsia="Times New Roman" w:hAnsi="Simplified Arabic" w:cs="Simplified Arabic" w:hint="cs"/>
          <w:kern w:val="0"/>
          <w:sz w:val="28"/>
          <w:szCs w:val="28"/>
          <w:rtl/>
          <w14:ligatures w14:val="none"/>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المساءلة الرقمية على نجاح مشاريع التحول الرقمي في شركات الاتصالات السعودية." </w:t>
      </w:r>
    </w:p>
    <w:p w14:paraId="0337834B" w14:textId="36455A5E"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rPr>
        <w:t xml:space="preserve"> الفرضية الفرعية الثالثة: </w:t>
      </w:r>
    </w:p>
    <w:p w14:paraId="3BDE29C1" w14:textId="6C0929DE"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₃</w:t>
      </w:r>
      <w:r w:rsidRPr="00FE6448">
        <w:rPr>
          <w:rFonts w:ascii="Simplified Arabic" w:eastAsia="Times New Roman" w:hAnsi="Simplified Arabic" w:cs="Simplified Arabic" w:hint="cs"/>
          <w:kern w:val="0"/>
          <w:sz w:val="28"/>
          <w:szCs w:val="28"/>
          <w:rtl/>
          <w14:ligatures w14:val="none"/>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الأمن السيبراني وحماية البيانات على نجاح مشاريع التحول الرقمي في شركات الاتصالات السعودية." </w:t>
      </w:r>
    </w:p>
    <w:p w14:paraId="40E1C6A0" w14:textId="7E789520"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rtl/>
          <w14:ligatures w14:val="none"/>
        </w:rPr>
        <w:t xml:space="preserve"> </w:t>
      </w: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₀</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₃</w:t>
      </w:r>
      <w:r w:rsidRPr="00FE6448">
        <w:rPr>
          <w:rFonts w:ascii="Simplified Arabic" w:eastAsia="Times New Roman" w:hAnsi="Simplified Arabic" w:cs="Simplified Arabic" w:hint="cs"/>
          <w:kern w:val="0"/>
          <w:sz w:val="28"/>
          <w:szCs w:val="28"/>
          <w:rtl/>
          <w14:ligatures w14:val="none"/>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الأمن السيبراني وحماية البيانات على نجاح مشاريع التحول الرقمي في شركات الاتصالات السعودية." </w:t>
      </w:r>
    </w:p>
    <w:p w14:paraId="1C15BD52" w14:textId="129E70E7" w:rsidR="00FE6448" w:rsidRPr="00FE6448" w:rsidRDefault="00FE6448" w:rsidP="00FE6448">
      <w:pPr>
        <w:shd w:val="clear" w:color="auto" w:fill="FFFF00"/>
        <w:spacing w:line="276" w:lineRule="auto"/>
        <w:jc w:val="both"/>
        <w:rPr>
          <w:rFonts w:ascii="Simplified Arabic" w:eastAsia="Times New Roman" w:hAnsi="Simplified Arabic" w:cs="Simplified Arabic"/>
          <w:b/>
          <w:bCs/>
          <w:kern w:val="0"/>
          <w:sz w:val="28"/>
          <w:szCs w:val="28"/>
          <w:rtl/>
          <w14:ligatures w14:val="none"/>
        </w:rPr>
      </w:pPr>
      <w:r w:rsidRPr="00FE6448">
        <w:rPr>
          <w:rFonts w:ascii="Simplified Arabic" w:eastAsia="Times New Roman" w:hAnsi="Simplified Arabic" w:cs="Simplified Arabic" w:hint="cs"/>
          <w:b/>
          <w:bCs/>
          <w:kern w:val="0"/>
          <w:sz w:val="28"/>
          <w:szCs w:val="28"/>
          <w:rtl/>
          <w14:ligatures w14:val="none"/>
        </w:rPr>
        <w:t xml:space="preserve"> الفرضية الفرعية الرابعة: </w:t>
      </w:r>
    </w:p>
    <w:p w14:paraId="439A73CD" w14:textId="2754EBDC" w:rsidR="00FE6448" w:rsidRPr="00FE6448" w:rsidRDefault="00FE6448" w:rsidP="00FE6448">
      <w:pPr>
        <w:shd w:val="clear" w:color="auto" w:fill="FFFF00"/>
        <w:spacing w:line="276" w:lineRule="auto"/>
        <w:jc w:val="both"/>
        <w:rPr>
          <w:rFonts w:ascii="Simplified Arabic" w:eastAsia="Times New Roman" w:hAnsi="Simplified Arabic" w:cs="Simplified Arabic"/>
          <w:kern w:val="0"/>
          <w:sz w:val="28"/>
          <w:szCs w:val="28"/>
          <w:rtl/>
          <w14:ligatures w14:val="none"/>
        </w:rPr>
      </w:pP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₁</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₄</w:t>
      </w:r>
      <w:r w:rsidRPr="00FE6448">
        <w:rPr>
          <w:rFonts w:ascii="Simplified Arabic" w:eastAsia="Times New Roman" w:hAnsi="Simplified Arabic" w:cs="Simplified Arabic" w:hint="cs"/>
          <w:kern w:val="0"/>
          <w:sz w:val="28"/>
          <w:szCs w:val="28"/>
          <w:rtl/>
          <w14:ligatures w14:val="none"/>
        </w:rPr>
        <w:t xml:space="preserve"> (البديلة):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البنية التحتية الرقمية على نجاح مشاريع التحول الرقمي في شركات الاتصالات السعودية." </w:t>
      </w:r>
    </w:p>
    <w:p w14:paraId="49432441" w14:textId="61756E49" w:rsidR="00FE6448" w:rsidRPr="00FE6448" w:rsidRDefault="00FE6448" w:rsidP="00FE6448">
      <w:pPr>
        <w:shd w:val="clear" w:color="auto" w:fill="FFFF00"/>
        <w:spacing w:line="276" w:lineRule="auto"/>
        <w:jc w:val="both"/>
        <w:rPr>
          <w:rFonts w:ascii="Simplified Arabic" w:hAnsi="Simplified Arabic" w:cs="Simplified Arabic"/>
          <w:sz w:val="28"/>
          <w:szCs w:val="28"/>
          <w:rtl/>
          <w:lang w:bidi="ar-EG"/>
        </w:rPr>
      </w:pPr>
      <w:r w:rsidRPr="00FE6448">
        <w:rPr>
          <w:rFonts w:ascii="Simplified Arabic" w:eastAsia="Times New Roman" w:hAnsi="Simplified Arabic" w:cs="Simplified Arabic" w:hint="cs"/>
          <w:kern w:val="0"/>
          <w:sz w:val="28"/>
          <w:szCs w:val="28"/>
          <w:rtl/>
          <w14:ligatures w14:val="none"/>
        </w:rPr>
        <w:t xml:space="preserve"> </w:t>
      </w:r>
      <w:r w:rsidRPr="00FE6448">
        <w:rPr>
          <w:rFonts w:ascii="Simplified Arabic" w:eastAsia="Times New Roman" w:hAnsi="Simplified Arabic" w:cs="Simplified Arabic" w:hint="cs"/>
          <w:kern w:val="0"/>
          <w:sz w:val="28"/>
          <w:szCs w:val="28"/>
          <w14:ligatures w14:val="none"/>
        </w:rPr>
        <w:t>H</w:t>
      </w:r>
      <w:r w:rsidRPr="00FE6448">
        <w:rPr>
          <w:rFonts w:ascii="Cambria Math" w:eastAsia="Times New Roman" w:hAnsi="Cambria Math" w:cs="Cambria Math"/>
          <w:kern w:val="0"/>
          <w:sz w:val="28"/>
          <w:szCs w:val="28"/>
          <w14:ligatures w14:val="none"/>
        </w:rPr>
        <w:t>₀</w:t>
      </w:r>
      <w:r w:rsidRPr="00FE6448">
        <w:rPr>
          <w:rFonts w:ascii="Simplified Arabic" w:eastAsia="Times New Roman" w:hAnsi="Simplified Arabic" w:cs="Simplified Arabic" w:hint="cs"/>
          <w:kern w:val="0"/>
          <w:sz w:val="28"/>
          <w:szCs w:val="28"/>
          <w14:ligatures w14:val="none"/>
        </w:rPr>
        <w:t>.</w:t>
      </w:r>
      <w:r w:rsidRPr="00FE6448">
        <w:rPr>
          <w:rFonts w:ascii="Cambria Math" w:eastAsia="Times New Roman" w:hAnsi="Cambria Math" w:cs="Cambria Math"/>
          <w:kern w:val="0"/>
          <w:sz w:val="28"/>
          <w:szCs w:val="28"/>
          <w14:ligatures w14:val="none"/>
        </w:rPr>
        <w:t>₄</w:t>
      </w:r>
      <w:r w:rsidRPr="00FE6448">
        <w:rPr>
          <w:rFonts w:ascii="Simplified Arabic" w:eastAsia="Times New Roman" w:hAnsi="Simplified Arabic" w:cs="Simplified Arabic" w:hint="cs"/>
          <w:kern w:val="0"/>
          <w:sz w:val="28"/>
          <w:szCs w:val="28"/>
          <w:rtl/>
          <w14:ligatures w14:val="none"/>
        </w:rPr>
        <w:t xml:space="preserve"> (الصفرية):  "لا يوجد أثر ذو دلالة إحصائية عند مستوى دلالة (</w:t>
      </w:r>
      <w:r w:rsidRPr="00FE6448">
        <w:rPr>
          <w:rFonts w:ascii="Cambria" w:eastAsia="Times New Roman" w:hAnsi="Cambria" w:cs="Cambria"/>
          <w:kern w:val="0"/>
          <w:sz w:val="28"/>
          <w:szCs w:val="28"/>
          <w14:ligatures w14:val="none"/>
        </w:rPr>
        <w:t>α</w:t>
      </w:r>
      <w:r w:rsidRPr="00FE6448">
        <w:rPr>
          <w:rFonts w:ascii="Simplified Arabic" w:eastAsia="Times New Roman" w:hAnsi="Simplified Arabic" w:cs="Simplified Arabic" w:hint="cs"/>
          <w:kern w:val="0"/>
          <w:sz w:val="28"/>
          <w:szCs w:val="28"/>
          <w14:ligatures w14:val="none"/>
        </w:rPr>
        <w:t xml:space="preserve"> </w:t>
      </w:r>
      <w:r w:rsidRPr="00FE6448">
        <w:rPr>
          <w:rFonts w:ascii="Cambria Math" w:eastAsia="Times New Roman" w:hAnsi="Cambria Math" w:cs="Cambria Math"/>
          <w:kern w:val="0"/>
          <w:sz w:val="28"/>
          <w:szCs w:val="28"/>
          <w14:ligatures w14:val="none"/>
        </w:rPr>
        <w:t>≤</w:t>
      </w:r>
      <w:r w:rsidRPr="00FE6448">
        <w:rPr>
          <w:rFonts w:ascii="Simplified Arabic" w:eastAsia="Times New Roman" w:hAnsi="Simplified Arabic" w:cs="Simplified Arabic" w:hint="cs"/>
          <w:kern w:val="0"/>
          <w:sz w:val="28"/>
          <w:szCs w:val="28"/>
          <w14:ligatures w14:val="none"/>
        </w:rPr>
        <w:t xml:space="preserve"> 0.05</w:t>
      </w:r>
      <w:r w:rsidRPr="00FE6448">
        <w:rPr>
          <w:rFonts w:ascii="Simplified Arabic" w:eastAsia="Times New Roman" w:hAnsi="Simplified Arabic" w:cs="Simplified Arabic" w:hint="cs"/>
          <w:kern w:val="0"/>
          <w:sz w:val="28"/>
          <w:szCs w:val="28"/>
          <w:rtl/>
          <w14:ligatures w14:val="none"/>
        </w:rPr>
        <w:t xml:space="preserve">) لبُعد البنية التحتية الرقمية على نجاح مشاريع التحول الرقمي في شركات الاتصالات السعودية." </w:t>
      </w:r>
    </w:p>
    <w:p w14:paraId="5C939E67" w14:textId="53BA6FC0" w:rsidR="00D42274" w:rsidRPr="004F0620" w:rsidRDefault="00D42274" w:rsidP="00D439AC">
      <w:pPr>
        <w:pStyle w:val="Heading1"/>
        <w:rPr>
          <w:rtl/>
        </w:rPr>
      </w:pPr>
      <w:bookmarkStart w:id="5" w:name="_Toc233187251"/>
      <w:r w:rsidRPr="004F0620">
        <w:rPr>
          <w:rtl/>
        </w:rPr>
        <w:t>نموذج الدراسة:</w:t>
      </w:r>
      <w:bookmarkEnd w:id="5"/>
    </w:p>
    <w:p w14:paraId="5FD17F03"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استناداً إلى متغيرات الدراسة الحالية وأبعادها التي تم اشتقاقها من تحليل الدراسات السابقة، يمكن صياغة نموذج الدراسة على النحو الآتي</w:t>
      </w:r>
      <w:r w:rsidRPr="003F5D9C">
        <w:rPr>
          <w:rFonts w:ascii="Simplified Arabic" w:hAnsi="Simplified Arabic" w:cs="Simplified Arabic"/>
          <w:sz w:val="28"/>
          <w:szCs w:val="28"/>
        </w:rPr>
        <w:t>:</w:t>
      </w:r>
    </w:p>
    <w:p w14:paraId="03028EC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b/>
          <w:bCs/>
          <w:sz w:val="28"/>
          <w:szCs w:val="28"/>
          <w:rtl/>
        </w:rPr>
        <w:t>يهدف هذا النموذج إلى التعرف على أثر التزام الإدارة العليا بمعايير الحوكمة الرقمية بأبعادها في نجاح مشاريع التحول الرقمي، وذلك في سياق شركات الاتصالات العاملة في المملكة العربية السعودية، ويتضمن المتغيرات التالية</w:t>
      </w:r>
      <w:r w:rsidRPr="003F5D9C">
        <w:rPr>
          <w:rFonts w:ascii="Simplified Arabic" w:hAnsi="Simplified Arabic" w:cs="Simplified Arabic"/>
          <w:b/>
          <w:bCs/>
          <w:sz w:val="28"/>
          <w:szCs w:val="28"/>
        </w:rPr>
        <w:t>:</w:t>
      </w:r>
    </w:p>
    <w:p w14:paraId="142D19DB" w14:textId="77777777" w:rsidR="003F5D9C" w:rsidRPr="003F5D9C" w:rsidRDefault="003F5D9C">
      <w:pPr>
        <w:numPr>
          <w:ilvl w:val="0"/>
          <w:numId w:val="6"/>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المتغير المستقل</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التزام الإدارة العليا بمعايير الحوكمة الرقمية بأبعاده (الشفافية الرقمية</w:t>
      </w:r>
      <w:r w:rsidRPr="003F5D9C">
        <w:rPr>
          <w:rFonts w:ascii="Simplified Arabic" w:hAnsi="Simplified Arabic" w:cs="Simplified Arabic"/>
          <w:sz w:val="28"/>
          <w:szCs w:val="28"/>
        </w:rPr>
        <w:t xml:space="preserve"> – </w:t>
      </w:r>
      <w:r w:rsidRPr="003F5D9C">
        <w:rPr>
          <w:rFonts w:ascii="Simplified Arabic" w:hAnsi="Simplified Arabic" w:cs="Simplified Arabic"/>
          <w:sz w:val="28"/>
          <w:szCs w:val="28"/>
          <w:rtl/>
        </w:rPr>
        <w:t>المساءلة الرقمية – الأمن السيبراني وحماية البيانات – البنية التحتية الرقمية)، بالاعتماد على دراسة (السيد وسلامة، 2026)، ودراسة (الزيادي وشحاتة، 2025)، ودراسة</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Vaia</w:t>
      </w:r>
      <w:proofErr w:type="spellEnd"/>
      <w:r w:rsidRPr="003F5D9C">
        <w:rPr>
          <w:rFonts w:ascii="Simplified Arabic" w:hAnsi="Simplified Arabic" w:cs="Simplified Arabic"/>
          <w:sz w:val="28"/>
          <w:szCs w:val="28"/>
        </w:rPr>
        <w:t xml:space="preserve"> et al., 2022).</w:t>
      </w:r>
    </w:p>
    <w:p w14:paraId="21458FB3" w14:textId="6F0BF1F4" w:rsidR="003F5D9C" w:rsidRDefault="003F5D9C">
      <w:pPr>
        <w:numPr>
          <w:ilvl w:val="0"/>
          <w:numId w:val="6"/>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المتغير التابع</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 xml:space="preserve">نجاح مشاريع التحول الرقمي </w:t>
      </w:r>
      <w:r>
        <w:rPr>
          <w:rFonts w:ascii="Simplified Arabic" w:hAnsi="Simplified Arabic" w:cs="Simplified Arabic" w:hint="cs"/>
          <w:sz w:val="28"/>
          <w:szCs w:val="28"/>
          <w:rtl/>
        </w:rPr>
        <w:t xml:space="preserve"> </w:t>
      </w:r>
      <w:r w:rsidRPr="003F5D9C">
        <w:rPr>
          <w:rFonts w:ascii="Simplified Arabic" w:hAnsi="Simplified Arabic" w:cs="Simplified Arabic"/>
          <w:sz w:val="28"/>
          <w:szCs w:val="28"/>
          <w:rtl/>
        </w:rPr>
        <w:t>، بالاعتماد على دراسة</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Ciric</w:t>
      </w:r>
      <w:proofErr w:type="spellEnd"/>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Lalic</w:t>
      </w:r>
      <w:proofErr w:type="spellEnd"/>
      <w:r w:rsidRPr="003F5D9C">
        <w:rPr>
          <w:rFonts w:ascii="Simplified Arabic" w:hAnsi="Simplified Arabic" w:cs="Simplified Arabic"/>
          <w:sz w:val="28"/>
          <w:szCs w:val="28"/>
        </w:rPr>
        <w:t xml:space="preserve"> et al., 2022)</w:t>
      </w:r>
      <w:r w:rsidRPr="003F5D9C">
        <w:rPr>
          <w:rFonts w:ascii="Simplified Arabic" w:hAnsi="Simplified Arabic" w:cs="Simplified Arabic"/>
          <w:sz w:val="28"/>
          <w:szCs w:val="28"/>
          <w:rtl/>
        </w:rPr>
        <w:t>، ودراسة</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Carujo</w:t>
      </w:r>
      <w:proofErr w:type="spellEnd"/>
      <w:r w:rsidRPr="003F5D9C">
        <w:rPr>
          <w:rFonts w:ascii="Simplified Arabic" w:hAnsi="Simplified Arabic" w:cs="Simplified Arabic"/>
          <w:sz w:val="28"/>
          <w:szCs w:val="28"/>
        </w:rPr>
        <w:t xml:space="preserve"> et al., 2022)</w:t>
      </w:r>
      <w:r w:rsidRPr="003F5D9C">
        <w:rPr>
          <w:rFonts w:ascii="Simplified Arabic" w:hAnsi="Simplified Arabic" w:cs="Simplified Arabic"/>
          <w:sz w:val="28"/>
          <w:szCs w:val="28"/>
          <w:rtl/>
        </w:rPr>
        <w:t xml:space="preserve">، ودراسة (أحمد ومهدي، </w:t>
      </w:r>
      <w:r w:rsidRPr="003F5D9C">
        <w:rPr>
          <w:rFonts w:ascii="Simplified Arabic" w:hAnsi="Simplified Arabic" w:cs="Simplified Arabic"/>
          <w:sz w:val="28"/>
          <w:szCs w:val="28"/>
        </w:rPr>
        <w:t>2024</w:t>
      </w:r>
      <w:r w:rsidR="005C5DF8">
        <w:rPr>
          <w:rFonts w:ascii="Simplified Arabic" w:hAnsi="Simplified Arabic" w:cs="Simplified Arabic" w:hint="cs"/>
          <w:sz w:val="28"/>
          <w:szCs w:val="28"/>
          <w:rtl/>
        </w:rPr>
        <w:t>)</w:t>
      </w:r>
    </w:p>
    <w:p w14:paraId="2C7EFEEE" w14:textId="77777777" w:rsidR="005C5DF8" w:rsidRDefault="005C5DF8" w:rsidP="005C5DF8">
      <w:pPr>
        <w:jc w:val="both"/>
        <w:rPr>
          <w:rFonts w:ascii="Simplified Arabic" w:hAnsi="Simplified Arabic" w:cs="Simplified Arabic"/>
          <w:sz w:val="28"/>
          <w:szCs w:val="28"/>
          <w:rtl/>
        </w:rPr>
      </w:pPr>
    </w:p>
    <w:p w14:paraId="5F588280" w14:textId="23AB7E8E" w:rsidR="005C5DF8" w:rsidRDefault="009C4626" w:rsidP="005C5DF8">
      <w:pPr>
        <w:jc w:val="both"/>
        <w:rPr>
          <w:rFonts w:ascii="Simplified Arabic" w:hAnsi="Simplified Arabic" w:cs="Simplified Arabic"/>
          <w:sz w:val="28"/>
          <w:szCs w:val="28"/>
          <w:rtl/>
        </w:rPr>
      </w:pPr>
      <w:r>
        <w:rPr>
          <w:rFonts w:ascii="Simplified Arabic" w:hAnsi="Simplified Arabic" w:cs="Simplified Arabic"/>
          <w:noProof/>
          <w:sz w:val="28"/>
          <w:szCs w:val="28"/>
        </w:rPr>
        <w:drawing>
          <wp:inline distT="0" distB="0" distL="0" distR="0" wp14:anchorId="73F9ADD6" wp14:editId="384DFE60">
            <wp:extent cx="5969230" cy="4504055"/>
            <wp:effectExtent l="0" t="0" r="0" b="0"/>
            <wp:docPr id="1422979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9670" cy="4511933"/>
                    </a:xfrm>
                    <a:prstGeom prst="rect">
                      <a:avLst/>
                    </a:prstGeom>
                    <a:noFill/>
                  </pic:spPr>
                </pic:pic>
              </a:graphicData>
            </a:graphic>
          </wp:inline>
        </w:drawing>
      </w:r>
    </w:p>
    <w:p w14:paraId="6CDD0D50" w14:textId="753BFFD0" w:rsidR="005C5DF8" w:rsidRPr="003F5D9C" w:rsidRDefault="005C5DF8" w:rsidP="005C5DF8">
      <w:pPr>
        <w:jc w:val="both"/>
        <w:rPr>
          <w:rFonts w:ascii="Simplified Arabic" w:hAnsi="Simplified Arabic" w:cs="Simplified Arabic"/>
          <w:sz w:val="28"/>
          <w:szCs w:val="28"/>
        </w:rPr>
      </w:pPr>
    </w:p>
    <w:p w14:paraId="64199120" w14:textId="521E7D11" w:rsidR="000E0033" w:rsidRPr="004F0620" w:rsidRDefault="000E0033" w:rsidP="00D439AC">
      <w:pPr>
        <w:pStyle w:val="Heading1"/>
        <w:rPr>
          <w:rtl/>
        </w:rPr>
      </w:pPr>
      <w:bookmarkStart w:id="6" w:name="_Toc233187253"/>
      <w:r w:rsidRPr="004F0620">
        <w:rPr>
          <w:rtl/>
        </w:rPr>
        <w:t xml:space="preserve">منهج </w:t>
      </w:r>
      <w:r w:rsidR="00D439AC" w:rsidRPr="004F0620">
        <w:rPr>
          <w:rtl/>
        </w:rPr>
        <w:t xml:space="preserve">الدراسة </w:t>
      </w:r>
      <w:r w:rsidRPr="004F0620">
        <w:rPr>
          <w:rtl/>
        </w:rPr>
        <w:t>:</w:t>
      </w:r>
      <w:bookmarkEnd w:id="6"/>
    </w:p>
    <w:p w14:paraId="1D646888" w14:textId="052A0C1D" w:rsidR="00BA7E95" w:rsidRPr="00BA7E95" w:rsidRDefault="00BA7E95" w:rsidP="00BA7E95">
      <w:pPr>
        <w:shd w:val="clear" w:color="auto" w:fill="FFFF00"/>
        <w:ind w:firstLine="720"/>
        <w:jc w:val="both"/>
        <w:rPr>
          <w:rFonts w:ascii="Simplified Arabic" w:hAnsi="Simplified Arabic" w:cs="Simplified Arabic"/>
          <w:sz w:val="28"/>
          <w:szCs w:val="28"/>
        </w:rPr>
      </w:pPr>
      <w:r w:rsidRPr="00BA7E95">
        <w:rPr>
          <w:rFonts w:ascii="Simplified Arabic" w:hAnsi="Simplified Arabic" w:cs="Simplified Arabic"/>
          <w:sz w:val="28"/>
          <w:szCs w:val="28"/>
          <w:rtl/>
        </w:rPr>
        <w:t xml:space="preserve">تنتمي هذه الدراسة إلى فئة الدراسات الكمية </w:t>
      </w:r>
      <w:r w:rsidRPr="00BA7E95">
        <w:rPr>
          <w:rFonts w:ascii="Simplified Arabic" w:hAnsi="Simplified Arabic" w:cs="Simplified Arabic"/>
          <w:sz w:val="28"/>
          <w:szCs w:val="28"/>
        </w:rPr>
        <w:t>(Quantitative Research)</w:t>
      </w:r>
      <w:r w:rsidRPr="00BA7E95">
        <w:rPr>
          <w:rFonts w:ascii="Simplified Arabic" w:hAnsi="Simplified Arabic" w:cs="Simplified Arabic"/>
          <w:sz w:val="28"/>
          <w:szCs w:val="28"/>
          <w:rtl/>
        </w:rPr>
        <w:t>، ويُعدّ هذا التوجّه هو الأنسب لتحقيق أهدافها والإجابة عن تساؤلاتها واختبار فرضياتها، وذلك لجملة من الأسباب الموجبة؛ فالدراسة تسعى في المقام الأول إلى اختبار فرضيات إحصائية ذات دلالة كمية عند مستوى دلالة</w:t>
      </w:r>
      <w:r w:rsidRPr="00BA7E95">
        <w:rPr>
          <w:rFonts w:ascii="Simplified Arabic" w:hAnsi="Simplified Arabic" w:cs="Simplified Arabic"/>
          <w:sz w:val="28"/>
          <w:szCs w:val="28"/>
        </w:rPr>
        <w:t xml:space="preserve"> (</w:t>
      </w:r>
      <w:r w:rsidRPr="00BA7E95">
        <w:rPr>
          <w:rFonts w:ascii="Cambria" w:hAnsi="Cambria" w:cs="Cambria"/>
          <w:sz w:val="28"/>
          <w:szCs w:val="28"/>
        </w:rPr>
        <w:t>α</w:t>
      </w:r>
      <w:r w:rsidRPr="00BA7E95">
        <w:rPr>
          <w:rFonts w:ascii="Simplified Arabic" w:hAnsi="Simplified Arabic" w:cs="Simplified Arabic"/>
          <w:sz w:val="28"/>
          <w:szCs w:val="28"/>
        </w:rPr>
        <w:t xml:space="preserve"> </w:t>
      </w:r>
      <w:r w:rsidRPr="00BA7E95">
        <w:rPr>
          <w:rFonts w:ascii="Cambria Math" w:hAnsi="Cambria Math" w:cs="Cambria Math"/>
          <w:sz w:val="28"/>
          <w:szCs w:val="28"/>
        </w:rPr>
        <w:t>≤</w:t>
      </w:r>
      <w:r w:rsidRPr="00BA7E95">
        <w:rPr>
          <w:rFonts w:ascii="Simplified Arabic" w:hAnsi="Simplified Arabic" w:cs="Simplified Arabic"/>
          <w:sz w:val="28"/>
          <w:szCs w:val="28"/>
        </w:rPr>
        <w:t xml:space="preserve"> 0.05)</w:t>
      </w:r>
      <w:r w:rsidRPr="00BA7E95">
        <w:rPr>
          <w:rFonts w:ascii="Simplified Arabic" w:hAnsi="Simplified Arabic" w:cs="Simplified Arabic"/>
          <w:sz w:val="28"/>
          <w:szCs w:val="28"/>
          <w:rtl/>
        </w:rPr>
        <w:t xml:space="preserve">، وهو ما يستلزم بيانات رقمية قابلة للمعالجة عبر أساليب الاستدلال الإحصائي المتقدمة كتحليل الانحدار البسيط والمتعدد. كما تهدف الدراسة إلى تعميم نتائجها على مجتمع كبير نسبياً يُقدَّر بنحو </w:t>
      </w:r>
      <w:r w:rsidRPr="00BA7E95">
        <w:rPr>
          <w:rFonts w:ascii="Simplified Arabic" w:hAnsi="Simplified Arabic" w:cs="Simplified Arabic"/>
          <w:sz w:val="28"/>
          <w:szCs w:val="28"/>
        </w:rPr>
        <w:t xml:space="preserve">(3,800) </w:t>
      </w:r>
      <w:r w:rsidRPr="00BA7E95">
        <w:rPr>
          <w:rFonts w:ascii="Simplified Arabic" w:hAnsi="Simplified Arabic" w:cs="Simplified Arabic"/>
          <w:sz w:val="28"/>
          <w:szCs w:val="28"/>
          <w:rtl/>
        </w:rPr>
        <w:t xml:space="preserve">موظف وموظفة في إدارات التحول الرقمي وتقنية المعلومات والمشاريع بشركات الاتصالات السعودية الثلاث الكبرى، وهو ما يقتضي منهجاً كمياً يعتمد على العينات الاحتمالية الممثلة إحصائياً. يُضاف إلى ذلك توفّر أداة قياس رقمية مناسبة </w:t>
      </w:r>
      <w:r w:rsidRPr="00BA7E95">
        <w:rPr>
          <w:rFonts w:ascii="Simplified Arabic" w:hAnsi="Simplified Arabic" w:cs="Simplified Arabic"/>
          <w:sz w:val="28"/>
          <w:szCs w:val="28"/>
        </w:rPr>
        <w:t>(</w:t>
      </w:r>
      <w:r w:rsidRPr="00BA7E95">
        <w:rPr>
          <w:rFonts w:ascii="Simplified Arabic" w:hAnsi="Simplified Arabic" w:cs="Simplified Arabic"/>
          <w:sz w:val="28"/>
          <w:szCs w:val="28"/>
          <w:rtl/>
        </w:rPr>
        <w:t>الاستبانة الإلكترونية) قابلة للتوزيع الواسع جغرافياً على المدن الرئيسة التي تتوزع فيها مقرات الشركات المستهدفة، فضلاً عن سعي الدراسة إلى اختبار العلاقات السببية بين أربعة أبعاد للمتغير المستقل والمتغير التابع، وهو ما يستوجب التحليل الإحصائي الكمي المتقدم القادر على قياس قوة الأثر واتجاهه وترتيب الأبعاد وفق أهميتها التفسيرية</w:t>
      </w:r>
      <w:r w:rsidRPr="00BA7E95">
        <w:rPr>
          <w:rFonts w:ascii="Simplified Arabic" w:hAnsi="Simplified Arabic" w:cs="Simplified Arabic"/>
          <w:sz w:val="28"/>
          <w:szCs w:val="28"/>
        </w:rPr>
        <w:t xml:space="preserve">. </w:t>
      </w:r>
    </w:p>
    <w:p w14:paraId="300ADC35" w14:textId="77777777" w:rsidR="00BA7E95" w:rsidRPr="00BA7E95" w:rsidRDefault="00BA7E95" w:rsidP="00BA7E95">
      <w:pPr>
        <w:shd w:val="clear" w:color="auto" w:fill="FFFF00"/>
        <w:ind w:firstLine="720"/>
        <w:jc w:val="both"/>
        <w:rPr>
          <w:rFonts w:ascii="Simplified Arabic" w:hAnsi="Simplified Arabic" w:cs="Simplified Arabic"/>
          <w:sz w:val="28"/>
          <w:szCs w:val="28"/>
        </w:rPr>
      </w:pPr>
      <w:r w:rsidRPr="00BA7E95">
        <w:rPr>
          <w:rFonts w:ascii="Simplified Arabic" w:hAnsi="Simplified Arabic" w:cs="Simplified Arabic"/>
          <w:sz w:val="28"/>
          <w:szCs w:val="28"/>
          <w:rtl/>
        </w:rPr>
        <w:t xml:space="preserve">ويعتمد الباحث في هذه الدراسة على المنهج الوصفي التحليلي </w:t>
      </w:r>
      <w:r w:rsidRPr="00BA7E95">
        <w:rPr>
          <w:rFonts w:ascii="Simplified Arabic" w:hAnsi="Simplified Arabic" w:cs="Simplified Arabic"/>
          <w:sz w:val="28"/>
          <w:szCs w:val="28"/>
        </w:rPr>
        <w:t>(Descriptive-Analytical Method)</w:t>
      </w:r>
      <w:r w:rsidRPr="00BA7E95">
        <w:rPr>
          <w:rFonts w:ascii="Simplified Arabic" w:hAnsi="Simplified Arabic" w:cs="Simplified Arabic"/>
          <w:sz w:val="28"/>
          <w:szCs w:val="28"/>
          <w:rtl/>
        </w:rPr>
        <w:t>، لكونه الأنسب لطبيعة المشكلة البحثية وأهدافها، إذ يُمكّن الباحث من وصف ظاهرة التزام الإدارة العليا بمعايير الحوكمة الرقمية وأثرها على نجاح مشاريع التحول الرقمي في شركات الاتصالات السعودية، وتحليل العلاقات بين متغيراتها تحليلاً كمياً يستند إلى بيانات ميدانية موثّقة. وسيُوظَّف هذا المنهج في استعراض الأدبيات النظرية والدراسات السابقة، وفي بناء الإطار المفاهيمي للدراسة، وفي تفسير النتائج التي ستُسفر عنها المعالجات الإحصائية على نحو يخدم أهداف الدراسة ويجيب عن تساؤلاتها</w:t>
      </w:r>
      <w:r w:rsidRPr="00BA7E95">
        <w:rPr>
          <w:rFonts w:ascii="Simplified Arabic" w:hAnsi="Simplified Arabic" w:cs="Simplified Arabic"/>
          <w:sz w:val="28"/>
          <w:szCs w:val="28"/>
        </w:rPr>
        <w:t>.</w:t>
      </w:r>
    </w:p>
    <w:p w14:paraId="2BAEBCF0" w14:textId="77777777" w:rsidR="00BA7E95" w:rsidRPr="00BA7E95" w:rsidRDefault="00BA7E95" w:rsidP="00BA7E95">
      <w:pPr>
        <w:shd w:val="clear" w:color="auto" w:fill="FFFF00"/>
        <w:ind w:firstLine="720"/>
        <w:jc w:val="both"/>
        <w:rPr>
          <w:rFonts w:ascii="Simplified Arabic" w:hAnsi="Simplified Arabic" w:cs="Simplified Arabic"/>
          <w:sz w:val="28"/>
          <w:szCs w:val="28"/>
        </w:rPr>
      </w:pPr>
      <w:r w:rsidRPr="00BA7E95">
        <w:rPr>
          <w:rFonts w:ascii="Simplified Arabic" w:hAnsi="Simplified Arabic" w:cs="Simplified Arabic"/>
          <w:sz w:val="28"/>
          <w:szCs w:val="28"/>
          <w:rtl/>
        </w:rPr>
        <w:t>وستُحلَّل بيانات الدراسة باستخدام برنامج الحزمة الإحصائية للعلوم الاجتماعية</w:t>
      </w:r>
      <w:r w:rsidRPr="00BA7E95">
        <w:rPr>
          <w:rFonts w:ascii="Simplified Arabic" w:hAnsi="Simplified Arabic" w:cs="Simplified Arabic"/>
          <w:sz w:val="28"/>
          <w:szCs w:val="28"/>
        </w:rPr>
        <w:t xml:space="preserve"> (SPSS) </w:t>
      </w:r>
      <w:r w:rsidRPr="00BA7E95">
        <w:rPr>
          <w:rFonts w:ascii="Simplified Arabic" w:hAnsi="Simplified Arabic" w:cs="Simplified Arabic"/>
          <w:sz w:val="28"/>
          <w:szCs w:val="28"/>
          <w:rtl/>
        </w:rPr>
        <w:t>لاختبار الفرضيات والإجابة عن أسئلة الدراسة، مع توظيف الأساليب الإحصائية الوصفية والاستدلالية لاستخلاص العلاقات السببية بين المتغير المستقل بأبعاده الأربعة والمتغير التابع</w:t>
      </w:r>
      <w:r w:rsidRPr="00BA7E95">
        <w:rPr>
          <w:rFonts w:ascii="Simplified Arabic" w:hAnsi="Simplified Arabic" w:cs="Simplified Arabic"/>
          <w:sz w:val="28"/>
          <w:szCs w:val="28"/>
        </w:rPr>
        <w:t>.</w:t>
      </w:r>
    </w:p>
    <w:p w14:paraId="69931B4D" w14:textId="7860E810" w:rsidR="00BA7E95" w:rsidRPr="00BA7E95" w:rsidRDefault="00BA7E95" w:rsidP="00BA7E95">
      <w:pPr>
        <w:shd w:val="clear" w:color="auto" w:fill="FFFF00"/>
        <w:ind w:firstLine="720"/>
        <w:jc w:val="both"/>
        <w:rPr>
          <w:rFonts w:ascii="Simplified Arabic" w:hAnsi="Simplified Arabic" w:cs="Simplified Arabic"/>
          <w:sz w:val="28"/>
          <w:szCs w:val="28"/>
        </w:rPr>
      </w:pPr>
      <w:r w:rsidRPr="00BA7E95">
        <w:rPr>
          <w:rFonts w:ascii="Simplified Arabic" w:hAnsi="Simplified Arabic" w:cs="Simplified Arabic"/>
          <w:sz w:val="28"/>
          <w:szCs w:val="28"/>
          <w:rtl/>
        </w:rPr>
        <w:t xml:space="preserve">وتُعرَّف متغيرات الدراسة إجرائياً على النحو الآتي: يُقصد بـ </w:t>
      </w:r>
      <w:r w:rsidRPr="00BA7E95">
        <w:rPr>
          <w:rFonts w:ascii="Simplified Arabic" w:hAnsi="Simplified Arabic" w:cs="Simplified Arabic"/>
          <w:b/>
          <w:bCs/>
          <w:sz w:val="28"/>
          <w:szCs w:val="28"/>
          <w:rtl/>
        </w:rPr>
        <w:t>الحوكمة الرقمية</w:t>
      </w:r>
      <w:r w:rsidRPr="00BA7E95">
        <w:rPr>
          <w:rFonts w:ascii="Simplified Arabic" w:hAnsi="Simplified Arabic" w:cs="Simplified Arabic"/>
          <w:sz w:val="28"/>
          <w:szCs w:val="28"/>
          <w:rtl/>
        </w:rPr>
        <w:t xml:space="preserve"> الدرجةُ التي يحصل عليها المبحوث على فقرات المحور الأول من أداة الدراسة (16 فقرة موزّعة على أربعة أبعاد)، بما يعكس مدى التزام الإدارة العليا في شركات الاتصالات السعودية بتطبيق معايير الحوكمة الرقمية. ويُقصد بـ </w:t>
      </w:r>
      <w:r w:rsidRPr="00BA7E95">
        <w:rPr>
          <w:rFonts w:ascii="Simplified Arabic" w:hAnsi="Simplified Arabic" w:cs="Simplified Arabic"/>
          <w:b/>
          <w:bCs/>
          <w:sz w:val="28"/>
          <w:szCs w:val="28"/>
          <w:rtl/>
        </w:rPr>
        <w:t>الشفافية الرقمية</w:t>
      </w:r>
      <w:r w:rsidRPr="00BA7E95">
        <w:rPr>
          <w:rFonts w:ascii="Simplified Arabic" w:hAnsi="Simplified Arabic" w:cs="Simplified Arabic"/>
          <w:sz w:val="28"/>
          <w:szCs w:val="28"/>
          <w:rtl/>
        </w:rPr>
        <w:t xml:space="preserve"> الدرجةُ التي يحصل عليها المبحوث على فقرات هذا البُعد (4 فقرات) والتي تقيس مدى إفصاح الشركات عن بياناتها الرقمية لذوي العلاقة، فيما يُقصد بـ </w:t>
      </w:r>
      <w:r w:rsidRPr="00BA7E95">
        <w:rPr>
          <w:rFonts w:ascii="Simplified Arabic" w:hAnsi="Simplified Arabic" w:cs="Simplified Arabic"/>
          <w:b/>
          <w:bCs/>
          <w:sz w:val="28"/>
          <w:szCs w:val="28"/>
          <w:rtl/>
        </w:rPr>
        <w:t>المساءلة الرقمية</w:t>
      </w:r>
      <w:r w:rsidRPr="00BA7E95">
        <w:rPr>
          <w:rFonts w:ascii="Simplified Arabic" w:hAnsi="Simplified Arabic" w:cs="Simplified Arabic"/>
          <w:sz w:val="28"/>
          <w:szCs w:val="28"/>
          <w:rtl/>
        </w:rPr>
        <w:t xml:space="preserve"> الدرجةُ التي يحصل عليها المبحوث على فقرات هذا البُعد (4 فقرات) والتي تعكس وجود آليات محاسبة رقمية داخل الشركات. أما </w:t>
      </w:r>
      <w:r w:rsidRPr="00BA7E95">
        <w:rPr>
          <w:rFonts w:ascii="Simplified Arabic" w:hAnsi="Simplified Arabic" w:cs="Simplified Arabic"/>
          <w:b/>
          <w:bCs/>
          <w:sz w:val="28"/>
          <w:szCs w:val="28"/>
          <w:rtl/>
        </w:rPr>
        <w:t>الأمن السيبراني وحماية البيانات</w:t>
      </w:r>
      <w:r w:rsidRPr="00BA7E95">
        <w:rPr>
          <w:rFonts w:ascii="Simplified Arabic" w:hAnsi="Simplified Arabic" w:cs="Simplified Arabic"/>
          <w:sz w:val="28"/>
          <w:szCs w:val="28"/>
          <w:rtl/>
        </w:rPr>
        <w:t xml:space="preserve"> فيُقصد به الدرجةُ التي يحصل عليها المبحوث على فقرات هذا البُعد (4 فقرات) والتي تقيس مستوى الإجراءات والسياسات الحمائية، ويُقصد بـ </w:t>
      </w:r>
      <w:r w:rsidRPr="00BA7E95">
        <w:rPr>
          <w:rFonts w:ascii="Simplified Arabic" w:hAnsi="Simplified Arabic" w:cs="Simplified Arabic"/>
          <w:b/>
          <w:bCs/>
          <w:sz w:val="28"/>
          <w:szCs w:val="28"/>
          <w:rtl/>
        </w:rPr>
        <w:t>البنية التحتية الرقمية</w:t>
      </w:r>
      <w:r w:rsidRPr="00BA7E95">
        <w:rPr>
          <w:rFonts w:ascii="Simplified Arabic" w:hAnsi="Simplified Arabic" w:cs="Simplified Arabic"/>
          <w:sz w:val="28"/>
          <w:szCs w:val="28"/>
          <w:rtl/>
        </w:rPr>
        <w:t xml:space="preserve"> الدرجةُ التي يحصل عليها المبحوث على فقرات هذا البُعد (4 فقرات) والتي تعكس جاهزية البنية التحتية في الشركات المستهدفة. وأخيراً، يُقصد بـ </w:t>
      </w:r>
      <w:r w:rsidRPr="00BA7E95">
        <w:rPr>
          <w:rFonts w:ascii="Simplified Arabic" w:hAnsi="Simplified Arabic" w:cs="Simplified Arabic"/>
          <w:b/>
          <w:bCs/>
          <w:sz w:val="28"/>
          <w:szCs w:val="28"/>
          <w:rtl/>
        </w:rPr>
        <w:t>نجاح مشاريع التحول الرقمي</w:t>
      </w:r>
      <w:r w:rsidRPr="00BA7E95">
        <w:rPr>
          <w:rFonts w:ascii="Simplified Arabic" w:hAnsi="Simplified Arabic" w:cs="Simplified Arabic"/>
          <w:sz w:val="28"/>
          <w:szCs w:val="28"/>
          <w:rtl/>
        </w:rPr>
        <w:t xml:space="preserve"> الدرجةُ الكلية التي يحصل عليها المبحوث على فقرات المحور الثاني (12 فقرة أحادية المحور)، والتي تقيس قدرة المشروع الرقمي على تحقيق أهدافه ضمن الوقت والتكلفة المخططة مع جودة المخرجات ورضا أصحاب المصلحة</w:t>
      </w:r>
      <w:r w:rsidRPr="00BA7E95">
        <w:rPr>
          <w:rFonts w:ascii="Simplified Arabic" w:hAnsi="Simplified Arabic" w:cs="Simplified Arabic"/>
          <w:sz w:val="28"/>
          <w:szCs w:val="28"/>
        </w:rPr>
        <w:t>.</w:t>
      </w:r>
    </w:p>
    <w:p w14:paraId="120D881B" w14:textId="090B9BCB" w:rsidR="00592685" w:rsidRPr="00592685" w:rsidRDefault="00592685" w:rsidP="00592685">
      <w:pPr>
        <w:ind w:firstLine="720"/>
        <w:jc w:val="both"/>
        <w:rPr>
          <w:rFonts w:ascii="Simplified Arabic" w:hAnsi="Simplified Arabic" w:cs="Simplified Arabic"/>
          <w:sz w:val="28"/>
          <w:szCs w:val="28"/>
        </w:rPr>
      </w:pPr>
      <w:r w:rsidRPr="00592685">
        <w:rPr>
          <w:rFonts w:ascii="Simplified Arabic" w:hAnsi="Simplified Arabic" w:cs="Simplified Arabic"/>
          <w:sz w:val="28"/>
          <w:szCs w:val="28"/>
        </w:rPr>
        <w:t>.</w:t>
      </w:r>
    </w:p>
    <w:p w14:paraId="3682E5D8" w14:textId="0C54EFB3" w:rsidR="00BA7E95" w:rsidRPr="006220A5" w:rsidRDefault="00BA7E95" w:rsidP="00BA7E95">
      <w:pPr>
        <w:pStyle w:val="Heading1"/>
        <w:rPr>
          <w:rFonts w:cstheme="minorBidi"/>
          <w:sz w:val="28"/>
          <w:szCs w:val="28"/>
          <w:rtl/>
        </w:rPr>
      </w:pPr>
      <w:bookmarkStart w:id="7" w:name="_Toc233187255"/>
      <w:r w:rsidRPr="006220A5">
        <w:rPr>
          <w:rFonts w:hint="cs"/>
          <w:rtl/>
        </w:rPr>
        <w:t>وسائل جمع بيانات الدراسة</w:t>
      </w:r>
    </w:p>
    <w:p w14:paraId="56B85EBE" w14:textId="7F7CE3CF" w:rsidR="00BA7E95" w:rsidRPr="006220A5" w:rsidRDefault="00BA7E95" w:rsidP="006220A5">
      <w:pPr>
        <w:shd w:val="clear" w:color="auto" w:fill="FFFF00"/>
        <w:spacing w:line="276" w:lineRule="auto"/>
        <w:jc w:val="both"/>
        <w:rPr>
          <w:rFonts w:ascii="Simplified Arabic" w:hAnsi="Simplified Arabic" w:cs="Simplified Arabic"/>
          <w:sz w:val="28"/>
          <w:szCs w:val="28"/>
          <w:rtl/>
        </w:rPr>
      </w:pPr>
      <w:r w:rsidRPr="006220A5">
        <w:rPr>
          <w:rFonts w:ascii="Simplified Arabic" w:hAnsi="Simplified Arabic" w:cs="Simplified Arabic" w:hint="cs"/>
          <w:sz w:val="28"/>
          <w:szCs w:val="28"/>
          <w:rtl/>
        </w:rPr>
        <w:t>تعتمد الدراسة الحالية على وسيلتين متكاملتين لجمع البيانات، بحيث تتكامل الوسيلتان في تكوين قاعدة معرفية شاملة تُغذّي الجانب النظري والتطبيقي للدراسة على حدٍّ سواء، وذلك على النحو الآتي</w:t>
      </w:r>
      <w:r w:rsidRPr="006220A5">
        <w:rPr>
          <w:rFonts w:ascii="Simplified Arabic" w:hAnsi="Simplified Arabic" w:cs="Simplified Arabic" w:hint="cs"/>
          <w:sz w:val="28"/>
          <w:szCs w:val="28"/>
        </w:rPr>
        <w:t xml:space="preserve">: </w:t>
      </w:r>
    </w:p>
    <w:p w14:paraId="7A177F9A"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أولاً: المصادر الثانوية</w:t>
      </w:r>
    </w:p>
    <w:p w14:paraId="72873C51" w14:textId="7B560886"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يعتمد الباحث في بناء الإطار النظري للدراسة واستعراض أدبياتها على مجموعة من المصادر الثانوية المتنوعة، تتضمن الكتب المتخصصة والدوريات العلمية المحكّمة العربية والأجنبية، والرسائل الجامعية (الماجستير والدكتوراه) ذات الصلة بمتغيرات الدراسة، فضلاً عن التقارير الرسمية الصادرة عن الجهات الحكومية والتنظيمية في المملكة العربية السعودية، وفي مقدمتها هيئة الاتصالات والفضاء والتقنية</w:t>
      </w:r>
      <w:r w:rsidRPr="006220A5">
        <w:rPr>
          <w:rFonts w:ascii="Simplified Arabic" w:hAnsi="Simplified Arabic" w:cs="Simplified Arabic" w:hint="cs"/>
          <w:sz w:val="28"/>
          <w:szCs w:val="28"/>
        </w:rPr>
        <w:t xml:space="preserve"> (CST)</w:t>
      </w:r>
      <w:r w:rsidRPr="006220A5">
        <w:rPr>
          <w:rFonts w:ascii="Simplified Arabic" w:hAnsi="Simplified Arabic" w:cs="Simplified Arabic" w:hint="cs"/>
          <w:sz w:val="28"/>
          <w:szCs w:val="28"/>
          <w:rtl/>
        </w:rPr>
        <w:t>، وهيئة الحكومة الرقمية</w:t>
      </w:r>
      <w:r w:rsidRPr="006220A5">
        <w:rPr>
          <w:rFonts w:ascii="Simplified Arabic" w:hAnsi="Simplified Arabic" w:cs="Simplified Arabic" w:hint="cs"/>
          <w:sz w:val="28"/>
          <w:szCs w:val="28"/>
        </w:rPr>
        <w:t xml:space="preserve"> (DGA)</w:t>
      </w:r>
      <w:r w:rsidRPr="006220A5">
        <w:rPr>
          <w:rFonts w:ascii="Simplified Arabic" w:hAnsi="Simplified Arabic" w:cs="Simplified Arabic" w:hint="cs"/>
          <w:sz w:val="28"/>
          <w:szCs w:val="28"/>
          <w:rtl/>
        </w:rPr>
        <w:t>، والهيئة العامة للإحصاء</w:t>
      </w:r>
      <w:r w:rsidRPr="006220A5">
        <w:rPr>
          <w:rFonts w:ascii="Simplified Arabic" w:hAnsi="Simplified Arabic" w:cs="Simplified Arabic" w:hint="cs"/>
          <w:sz w:val="28"/>
          <w:szCs w:val="28"/>
        </w:rPr>
        <w:t xml:space="preserve"> (GASTAT)</w:t>
      </w:r>
      <w:r w:rsidRPr="006220A5">
        <w:rPr>
          <w:rFonts w:ascii="Simplified Arabic" w:hAnsi="Simplified Arabic" w:cs="Simplified Arabic" w:hint="cs"/>
          <w:sz w:val="28"/>
          <w:szCs w:val="28"/>
          <w:rtl/>
        </w:rPr>
        <w:t>، إلى جانب التقارير السنوية والاستدامية الصادرة عن شركات الاتصالات السعودية الثلاث الكبرى</w:t>
      </w:r>
      <w:r w:rsidRPr="006220A5">
        <w:rPr>
          <w:rFonts w:ascii="Simplified Arabic" w:hAnsi="Simplified Arabic" w:cs="Simplified Arabic" w:hint="cs"/>
          <w:sz w:val="28"/>
          <w:szCs w:val="28"/>
        </w:rPr>
        <w:t xml:space="preserve"> (</w:t>
      </w:r>
      <w:proofErr w:type="spellStart"/>
      <w:r w:rsidRPr="006220A5">
        <w:rPr>
          <w:rFonts w:ascii="Simplified Arabic" w:hAnsi="Simplified Arabic" w:cs="Simplified Arabic" w:hint="cs"/>
          <w:sz w:val="28"/>
          <w:szCs w:val="28"/>
        </w:rPr>
        <w:t>stc</w:t>
      </w:r>
      <w:proofErr w:type="spellEnd"/>
      <w:r w:rsidRPr="006220A5">
        <w:rPr>
          <w:rFonts w:ascii="Simplified Arabic" w:hAnsi="Simplified Arabic" w:cs="Simplified Arabic" w:hint="cs"/>
          <w:sz w:val="28"/>
          <w:szCs w:val="28"/>
          <w:rtl/>
        </w:rPr>
        <w:t>، موبايلي، زين السعودية</w:t>
      </w:r>
      <w:r w:rsidRPr="006220A5">
        <w:rPr>
          <w:rFonts w:ascii="Simplified Arabic" w:hAnsi="Simplified Arabic" w:cs="Simplified Arabic" w:hint="cs"/>
          <w:sz w:val="28"/>
          <w:szCs w:val="28"/>
        </w:rPr>
        <w:t>)</w:t>
      </w:r>
      <w:r w:rsidRPr="006220A5">
        <w:rPr>
          <w:rFonts w:ascii="Simplified Arabic" w:hAnsi="Simplified Arabic" w:cs="Simplified Arabic" w:hint="cs"/>
          <w:sz w:val="28"/>
          <w:szCs w:val="28"/>
          <w:rtl/>
        </w:rPr>
        <w:t>، وتقارير المنظمات الدولية المتخصصة في مجالات الحوكمة الرقمية والأمن السيبراني والتحول الرقمي</w:t>
      </w:r>
      <w:r w:rsidRPr="006220A5">
        <w:rPr>
          <w:rFonts w:ascii="Simplified Arabic" w:hAnsi="Simplified Arabic" w:cs="Simplified Arabic" w:hint="cs"/>
          <w:sz w:val="28"/>
          <w:szCs w:val="28"/>
        </w:rPr>
        <w:t xml:space="preserve">. </w:t>
      </w:r>
    </w:p>
    <w:p w14:paraId="4921D58E"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ثانياً: المصادر الأولية (الأداة الرئيسة)</w:t>
      </w:r>
    </w:p>
    <w:p w14:paraId="320A723E" w14:textId="30DBC4A5" w:rsidR="00BA7E95" w:rsidRPr="006220A5" w:rsidRDefault="00BA7E95" w:rsidP="006220A5">
      <w:pPr>
        <w:shd w:val="clear" w:color="auto" w:fill="FFFF00"/>
        <w:spacing w:line="276" w:lineRule="auto"/>
        <w:jc w:val="both"/>
        <w:rPr>
          <w:rFonts w:ascii="Simplified Arabic" w:hAnsi="Simplified Arabic" w:cs="Simplified Arabic"/>
          <w:sz w:val="28"/>
          <w:szCs w:val="28"/>
          <w:rtl/>
        </w:rPr>
      </w:pPr>
      <w:r w:rsidRPr="006220A5">
        <w:rPr>
          <w:rFonts w:ascii="Simplified Arabic" w:hAnsi="Simplified Arabic" w:cs="Simplified Arabic" w:hint="cs"/>
          <w:sz w:val="28"/>
          <w:szCs w:val="28"/>
          <w:rtl/>
        </w:rPr>
        <w:t>يستخدم الباحث الاستبانة أداةً رئيسة لجمع البيانات الأولية من أفراد عينة الدراسة، وتُصمَّم وفق مقياس ليكرت الخماسي المتدرّج (أوافق بشدة – أوافق – محايد – لا أوافق – لا أوافق بشدة)، وتُبنى فقراتها بالاعتماد على الأدبيات والدراسات السابقة ذات الصلة بمتغيرات الدراسة وأبعادها</w:t>
      </w:r>
      <w:r w:rsidRPr="006220A5">
        <w:rPr>
          <w:rFonts w:ascii="Simplified Arabic" w:hAnsi="Simplified Arabic" w:cs="Simplified Arabic" w:hint="cs"/>
          <w:sz w:val="28"/>
          <w:szCs w:val="28"/>
        </w:rPr>
        <w:t xml:space="preserve">. </w:t>
      </w:r>
    </w:p>
    <w:p w14:paraId="55CD7D34"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وتتكوّن الاستبانة من ثلاثة أقسام رئيسة على النحو الآتي</w:t>
      </w:r>
      <w:r w:rsidRPr="006220A5">
        <w:rPr>
          <w:rFonts w:ascii="Simplified Arabic" w:hAnsi="Simplified Arabic" w:cs="Simplified Arabic" w:hint="cs"/>
          <w:sz w:val="28"/>
          <w:szCs w:val="28"/>
        </w:rPr>
        <w:t>:</w:t>
      </w:r>
    </w:p>
    <w:p w14:paraId="47491513"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القسم الأول</w:t>
      </w:r>
      <w:r w:rsidRPr="006220A5">
        <w:rPr>
          <w:rFonts w:ascii="Simplified Arabic" w:hAnsi="Simplified Arabic" w:cs="Simplified Arabic" w:hint="cs"/>
          <w:sz w:val="28"/>
          <w:szCs w:val="28"/>
        </w:rPr>
        <w:t xml:space="preserve">: </w:t>
      </w:r>
      <w:r w:rsidRPr="006220A5">
        <w:rPr>
          <w:rFonts w:ascii="Simplified Arabic" w:hAnsi="Simplified Arabic" w:cs="Simplified Arabic" w:hint="cs"/>
          <w:sz w:val="28"/>
          <w:szCs w:val="28"/>
          <w:rtl/>
        </w:rPr>
        <w:t>البيانات الديموغرافية والوظيفية للمبحوثين، ويشمل: الجنس، والعمر، والمؤهل العلمي، وسنوات الخبرة، والمسمى الوظيفي، والشركة التي يعمل بها المبحوث</w:t>
      </w:r>
      <w:r w:rsidRPr="006220A5">
        <w:rPr>
          <w:rFonts w:ascii="Simplified Arabic" w:hAnsi="Simplified Arabic" w:cs="Simplified Arabic" w:hint="cs"/>
          <w:sz w:val="28"/>
          <w:szCs w:val="28"/>
        </w:rPr>
        <w:t>.</w:t>
      </w:r>
    </w:p>
    <w:p w14:paraId="59BA43EE"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القسم الثاني</w:t>
      </w:r>
      <w:r w:rsidRPr="006220A5">
        <w:rPr>
          <w:rFonts w:ascii="Simplified Arabic" w:hAnsi="Simplified Arabic" w:cs="Simplified Arabic" w:hint="cs"/>
          <w:sz w:val="28"/>
          <w:szCs w:val="28"/>
        </w:rPr>
        <w:t xml:space="preserve">: </w:t>
      </w:r>
      <w:r w:rsidRPr="006220A5">
        <w:rPr>
          <w:rFonts w:ascii="Simplified Arabic" w:hAnsi="Simplified Arabic" w:cs="Simplified Arabic" w:hint="cs"/>
          <w:sz w:val="28"/>
          <w:szCs w:val="28"/>
          <w:rtl/>
        </w:rPr>
        <w:t>فقرات قياس المتغير المستقل (التزام الإدارة العليا بمعايير الحوكمة الرقمية)، ويتضمن أربعة أبعاد رئيسة موزَّعة على النحو الآتي</w:t>
      </w:r>
      <w:r w:rsidRPr="006220A5">
        <w:rPr>
          <w:rFonts w:ascii="Simplified Arabic" w:hAnsi="Simplified Arabic" w:cs="Simplified Arabic" w:hint="cs"/>
          <w:sz w:val="28"/>
          <w:szCs w:val="28"/>
        </w:rPr>
        <w:t>:</w:t>
      </w:r>
    </w:p>
    <w:p w14:paraId="59CCECFB"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البُعد الأول: الشفافية الرقمية — (4) فقرات</w:t>
      </w:r>
      <w:r w:rsidRPr="006220A5">
        <w:rPr>
          <w:rFonts w:ascii="Simplified Arabic" w:hAnsi="Simplified Arabic" w:cs="Simplified Arabic" w:hint="cs"/>
          <w:sz w:val="28"/>
          <w:szCs w:val="28"/>
        </w:rPr>
        <w:t>.</w:t>
      </w:r>
    </w:p>
    <w:p w14:paraId="25AC4C20"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البُعد الثاني: المساءلة الرقمية — (4) فقرات</w:t>
      </w:r>
      <w:r w:rsidRPr="006220A5">
        <w:rPr>
          <w:rFonts w:ascii="Simplified Arabic" w:hAnsi="Simplified Arabic" w:cs="Simplified Arabic" w:hint="cs"/>
          <w:sz w:val="28"/>
          <w:szCs w:val="28"/>
        </w:rPr>
        <w:t>.</w:t>
      </w:r>
    </w:p>
    <w:p w14:paraId="5DF13387"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البُعد الثالث: الأمن السيبراني وحماية البيانات — (4) فقرات</w:t>
      </w:r>
      <w:r w:rsidRPr="006220A5">
        <w:rPr>
          <w:rFonts w:ascii="Simplified Arabic" w:hAnsi="Simplified Arabic" w:cs="Simplified Arabic" w:hint="cs"/>
          <w:sz w:val="28"/>
          <w:szCs w:val="28"/>
        </w:rPr>
        <w:t>.</w:t>
      </w:r>
    </w:p>
    <w:p w14:paraId="09529BF6"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البُعد الرابع: البنية التحتية الرقمية — (4) فقرات</w:t>
      </w:r>
      <w:r w:rsidRPr="006220A5">
        <w:rPr>
          <w:rFonts w:ascii="Simplified Arabic" w:hAnsi="Simplified Arabic" w:cs="Simplified Arabic" w:hint="cs"/>
          <w:sz w:val="28"/>
          <w:szCs w:val="28"/>
        </w:rPr>
        <w:t>.</w:t>
      </w:r>
    </w:p>
    <w:p w14:paraId="4135DEA5"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ليكون إجمالي فقرات المتغير المستقل (16) فقرة</w:t>
      </w:r>
      <w:r w:rsidRPr="006220A5">
        <w:rPr>
          <w:rFonts w:ascii="Simplified Arabic" w:hAnsi="Simplified Arabic" w:cs="Simplified Arabic" w:hint="cs"/>
          <w:sz w:val="28"/>
          <w:szCs w:val="28"/>
        </w:rPr>
        <w:t>.</w:t>
      </w:r>
    </w:p>
    <w:p w14:paraId="4AAB3536"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القسم الثالث</w:t>
      </w:r>
      <w:r w:rsidRPr="006220A5">
        <w:rPr>
          <w:rFonts w:ascii="Simplified Arabic" w:hAnsi="Simplified Arabic" w:cs="Simplified Arabic" w:hint="cs"/>
          <w:sz w:val="28"/>
          <w:szCs w:val="28"/>
        </w:rPr>
        <w:t xml:space="preserve">: </w:t>
      </w:r>
      <w:r w:rsidRPr="006220A5">
        <w:rPr>
          <w:rFonts w:ascii="Simplified Arabic" w:hAnsi="Simplified Arabic" w:cs="Simplified Arabic" w:hint="cs"/>
          <w:sz w:val="28"/>
          <w:szCs w:val="28"/>
          <w:rtl/>
        </w:rPr>
        <w:t>فقرات قياس المتغير التابع (نجاح مشاريع التحول الرقمي)، ويُقاس بصورة أحادية المحور بعدد (12) فقرة، ليصل بذلك إجمالي فقرات الاستبانة إلى (28) فقرة موزّعة على المحاور المذكورة</w:t>
      </w:r>
      <w:r w:rsidRPr="006220A5">
        <w:rPr>
          <w:rFonts w:ascii="Simplified Arabic" w:hAnsi="Simplified Arabic" w:cs="Simplified Arabic" w:hint="cs"/>
          <w:sz w:val="28"/>
          <w:szCs w:val="28"/>
        </w:rPr>
        <w:t>.</w:t>
      </w:r>
    </w:p>
    <w:p w14:paraId="25252738" w14:textId="77777777"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وقد اعتُمدت الدرجات وفق التدرّج الآتي: (1) لا أوافق بشدة، (2) لا أوافق، (3) محايد، (4) أوافق، (5) أوافق بشدة، بحيث تعكس الدرجة الأعلى مستوى تطبيقٍ أو تحققٍ أعلى للفقرة موضع القياس</w:t>
      </w:r>
      <w:r w:rsidRPr="006220A5">
        <w:rPr>
          <w:rFonts w:ascii="Simplified Arabic" w:hAnsi="Simplified Arabic" w:cs="Simplified Arabic" w:hint="cs"/>
          <w:sz w:val="28"/>
          <w:szCs w:val="28"/>
        </w:rPr>
        <w:t>.</w:t>
      </w:r>
    </w:p>
    <w:p w14:paraId="1D5E5794" w14:textId="60DED81D" w:rsidR="00BA7E95" w:rsidRPr="006220A5" w:rsidRDefault="00BA7E95" w:rsidP="006220A5">
      <w:pPr>
        <w:shd w:val="clear" w:color="auto" w:fill="FFFF00"/>
        <w:spacing w:line="276" w:lineRule="auto"/>
        <w:jc w:val="both"/>
        <w:rPr>
          <w:rFonts w:ascii="Simplified Arabic" w:hAnsi="Simplified Arabic" w:cs="Simplified Arabic"/>
          <w:sz w:val="28"/>
          <w:szCs w:val="28"/>
        </w:rPr>
      </w:pPr>
      <w:r w:rsidRPr="006220A5">
        <w:rPr>
          <w:rFonts w:ascii="Simplified Arabic" w:hAnsi="Simplified Arabic" w:cs="Simplified Arabic" w:hint="cs"/>
          <w:sz w:val="28"/>
          <w:szCs w:val="28"/>
          <w:rtl/>
        </w:rPr>
        <w:t>وللتحقق من دقة أداة الدراسة وصلاحيتها للتطبيق الميداني، يعتمد الباحث جملةً من الإجراءات المنهجية؛ إذ يُتحقَّق من الصدق الظاهري للاستبانة من خلال عرضها على مجموعة من المحكّمين الأكاديميين المتخصصين في مجالات الإدارة والحوكمة الرقمية وإدارة المشاريع، لإبداء ملاحظاتهم حول مدى وضوح الفقرات وسلامة صياغتها ومناسبتها للأبعاد التي تنتمي إليها. كما يُتحقَّق من الصدق البنائي عبر حساب معاملات ارتباط بيرسون بين درجات كل فقرة ودرجة البُعد الذي تنتمي إليه، وبين درجة كل بُعد والدرجة الكلية للمحور. أما ثبات الأداة فيُقاس باستخدام معامل ألفا كرونباخ</w:t>
      </w:r>
      <w:r w:rsidRPr="006220A5">
        <w:rPr>
          <w:rFonts w:ascii="Simplified Arabic" w:hAnsi="Simplified Arabic" w:cs="Simplified Arabic" w:hint="cs"/>
          <w:sz w:val="28"/>
          <w:szCs w:val="28"/>
        </w:rPr>
        <w:t xml:space="preserve"> (Cronbach's Alpha) </w:t>
      </w:r>
      <w:r w:rsidRPr="006220A5">
        <w:rPr>
          <w:rFonts w:ascii="Simplified Arabic" w:hAnsi="Simplified Arabic" w:cs="Simplified Arabic" w:hint="cs"/>
          <w:sz w:val="28"/>
          <w:szCs w:val="28"/>
          <w:rtl/>
        </w:rPr>
        <w:t>لكل بُعد وللأداة ككل، مع اعتماد قيمة (0.70) حداً أدنى مقبولاً للثبات في البحوث الاجتماعية والإدارية</w:t>
      </w:r>
      <w:r w:rsidRPr="006220A5">
        <w:rPr>
          <w:rFonts w:ascii="Simplified Arabic" w:hAnsi="Simplified Arabic" w:cs="Simplified Arabic" w:hint="cs"/>
          <w:sz w:val="28"/>
          <w:szCs w:val="28"/>
        </w:rPr>
        <w:t xml:space="preserve">. </w:t>
      </w:r>
    </w:p>
    <w:p w14:paraId="158F6916" w14:textId="27578D24" w:rsidR="000E0033" w:rsidRPr="004F0620" w:rsidRDefault="000E0033" w:rsidP="00D439AC">
      <w:pPr>
        <w:pStyle w:val="Heading1"/>
        <w:rPr>
          <w:rtl/>
        </w:rPr>
      </w:pPr>
      <w:r w:rsidRPr="004F0620">
        <w:rPr>
          <w:rtl/>
        </w:rPr>
        <w:t>مجتمع</w:t>
      </w:r>
      <w:r w:rsidR="00592685">
        <w:rPr>
          <w:rFonts w:hint="cs"/>
          <w:rtl/>
        </w:rPr>
        <w:t xml:space="preserve"> وعينة</w:t>
      </w:r>
      <w:r w:rsidRPr="004F0620">
        <w:rPr>
          <w:rtl/>
        </w:rPr>
        <w:t xml:space="preserve"> الدراسة:</w:t>
      </w:r>
      <w:bookmarkEnd w:id="7"/>
    </w:p>
    <w:p w14:paraId="65841517" w14:textId="77777777" w:rsidR="00BA7E95" w:rsidRPr="00BA7E95" w:rsidRDefault="00BA7E95" w:rsidP="00BA7E95">
      <w:pPr>
        <w:shd w:val="clear" w:color="auto" w:fill="FFFF00"/>
        <w:jc w:val="both"/>
        <w:rPr>
          <w:rFonts w:ascii="Simplified Arabic" w:hAnsi="Simplified Arabic" w:cs="Simplified Arabic"/>
          <w:sz w:val="28"/>
          <w:szCs w:val="28"/>
        </w:rPr>
      </w:pPr>
      <w:bookmarkStart w:id="8" w:name="_Toc233187257"/>
      <w:r w:rsidRPr="00BA7E95">
        <w:rPr>
          <w:rFonts w:ascii="Simplified Arabic" w:hAnsi="Simplified Arabic" w:cs="Simplified Arabic" w:hint="cs"/>
          <w:sz w:val="28"/>
          <w:szCs w:val="28"/>
          <w:rtl/>
        </w:rPr>
        <w:t>يتألف مجتمع الدراسة من جميع العاملين في الإدارات المعنية بالتحول الرقمي وتقنية المعلومات وإدارة المشاريع في شركات الاتصالات الثلاث الكبرى العاملة في المملكة العربية السعودية، وهي: شركة الاتصالات السعودية</w:t>
      </w:r>
      <w:r w:rsidRPr="00BA7E95">
        <w:rPr>
          <w:rFonts w:ascii="Simplified Arabic" w:hAnsi="Simplified Arabic" w:cs="Simplified Arabic" w:hint="cs"/>
          <w:sz w:val="28"/>
          <w:szCs w:val="28"/>
        </w:rPr>
        <w:t xml:space="preserve"> (</w:t>
      </w:r>
      <w:proofErr w:type="spellStart"/>
      <w:r w:rsidRPr="00BA7E95">
        <w:rPr>
          <w:rFonts w:ascii="Simplified Arabic" w:hAnsi="Simplified Arabic" w:cs="Simplified Arabic" w:hint="cs"/>
          <w:sz w:val="28"/>
          <w:szCs w:val="28"/>
        </w:rPr>
        <w:t>stc</w:t>
      </w:r>
      <w:proofErr w:type="spellEnd"/>
      <w:r w:rsidRPr="00BA7E95">
        <w:rPr>
          <w:rFonts w:ascii="Simplified Arabic" w:hAnsi="Simplified Arabic" w:cs="Simplified Arabic" w:hint="cs"/>
          <w:sz w:val="28"/>
          <w:szCs w:val="28"/>
        </w:rPr>
        <w:t xml:space="preserve">) </w:t>
      </w:r>
      <w:r w:rsidRPr="00BA7E95">
        <w:rPr>
          <w:rFonts w:ascii="Simplified Arabic" w:hAnsi="Simplified Arabic" w:cs="Simplified Arabic" w:hint="cs"/>
          <w:sz w:val="28"/>
          <w:szCs w:val="28"/>
          <w:rtl/>
        </w:rPr>
        <w:t>التي يبلغ إجمالي عدد موظفيها ما يقارب (19,500) موظف، وشركة موبايلي بنحو (4,200) موظف، وشركة زين السعودية بنحو (1,500) موظف، ليصل إجمالي مجتمع الدراسة المستهدف (العاملون في إدارات التحول الرقمي والتقنية والمشاريع تحديداً) إلى ما يقارب (3,800) موظف وموظفة من إجمالي القوى العاملة في الشركات الثلاث</w:t>
      </w:r>
      <w:r w:rsidRPr="00BA7E95">
        <w:rPr>
          <w:rFonts w:ascii="Simplified Arabic" w:hAnsi="Simplified Arabic" w:cs="Simplified Arabic" w:hint="cs"/>
          <w:sz w:val="28"/>
          <w:szCs w:val="28"/>
        </w:rPr>
        <w:t>.</w:t>
      </w:r>
    </w:p>
    <w:p w14:paraId="1729EF4C"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وقد تم تحديد المجتمع المستهدف بدقة اعتماداً على البيانات الرسمية المُستقاة من التقارير السنوية والاستدامية الصادرة عن الشركات الثلاث، إضافةً إلى إحصاءات هيئة الاتصالات والفضاء والتقنية</w:t>
      </w:r>
      <w:r w:rsidRPr="00BA7E95">
        <w:rPr>
          <w:rFonts w:ascii="Simplified Arabic" w:hAnsi="Simplified Arabic" w:cs="Simplified Arabic" w:hint="cs"/>
          <w:sz w:val="28"/>
          <w:szCs w:val="28"/>
        </w:rPr>
        <w:t xml:space="preserve"> (CST) </w:t>
      </w:r>
      <w:r w:rsidRPr="00BA7E95">
        <w:rPr>
          <w:rFonts w:ascii="Simplified Arabic" w:hAnsi="Simplified Arabic" w:cs="Simplified Arabic" w:hint="cs"/>
          <w:sz w:val="28"/>
          <w:szCs w:val="28"/>
          <w:rtl/>
        </w:rPr>
        <w:t>للعام 2024، بحيث تُمثّل الشريحة المستهدفة العاملين في وحدات التحول الرقمي والتقنية وإدارة المشاريع الرقمية، بوصفهم الفئة الأقدر على تقييم ممارسات الحوكمة الرقمية ومستوى نجاح مشاريع التحول الرقمي في هذه الشركات</w:t>
      </w:r>
      <w:r w:rsidRPr="00BA7E95">
        <w:rPr>
          <w:rFonts w:ascii="Simplified Arabic" w:hAnsi="Simplified Arabic" w:cs="Simplified Arabic" w:hint="cs"/>
          <w:sz w:val="28"/>
          <w:szCs w:val="28"/>
        </w:rPr>
        <w:t>.</w:t>
      </w:r>
    </w:p>
    <w:p w14:paraId="3ECDE53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وستُسحَب عينة الدراسة بأسلوب العينة العشوائية الطبقية التناسبية</w:t>
      </w:r>
      <w:r w:rsidRPr="00BA7E95">
        <w:rPr>
          <w:rFonts w:ascii="Simplified Arabic" w:hAnsi="Simplified Arabic" w:cs="Simplified Arabic" w:hint="cs"/>
          <w:sz w:val="28"/>
          <w:szCs w:val="28"/>
        </w:rPr>
        <w:t xml:space="preserve"> (Proportional Stratified Random Sampling) </w:t>
      </w:r>
      <w:r w:rsidRPr="00BA7E95">
        <w:rPr>
          <w:rFonts w:ascii="Simplified Arabic" w:hAnsi="Simplified Arabic" w:cs="Simplified Arabic" w:hint="cs"/>
          <w:sz w:val="28"/>
          <w:szCs w:val="28"/>
          <w:rtl/>
        </w:rPr>
        <w:t>لضمان تمثيل عادل للشركات الثلاث وفق حجم مجتمعها المستهدف، وسيُحدَّد حجم العينة وفقاً لمعادلة ستيفن ثامبسون</w:t>
      </w:r>
      <w:r w:rsidRPr="00BA7E95">
        <w:rPr>
          <w:rFonts w:ascii="Simplified Arabic" w:hAnsi="Simplified Arabic" w:cs="Simplified Arabic" w:hint="cs"/>
          <w:sz w:val="28"/>
          <w:szCs w:val="28"/>
        </w:rPr>
        <w:t xml:space="preserve"> (Thompson) </w:t>
      </w:r>
      <w:r w:rsidRPr="00BA7E95">
        <w:rPr>
          <w:rFonts w:ascii="Simplified Arabic" w:hAnsi="Simplified Arabic" w:cs="Simplified Arabic" w:hint="cs"/>
          <w:sz w:val="28"/>
          <w:szCs w:val="28"/>
          <w:rtl/>
        </w:rPr>
        <w:t>عند مستوى ثقة (95%) وهامش خطأ (5%)، بما يُنتج عينة لا تقل عن (350) مفردة. وسيتم توزيع (400) استبانة إلكترونية تحسّباً للاستبانات غير المكتملة أو غير الصالحة للتحليل، ويُتوقَّع استرداد ما لا يقل عن (380) استبانة، ليكون عدد الاستبانات الصالحة للتحليل الإحصائي في حدود (370) استبانة بنسبة استجابة فعلية تتجاوز (92%)، وهي نسبة مرتفعة تعكس جودة العينة وكفاية تمثيلها للمجتمع الأصلي</w:t>
      </w:r>
      <w:r w:rsidRPr="00BA7E95">
        <w:rPr>
          <w:rFonts w:ascii="Simplified Arabic" w:hAnsi="Simplified Arabic" w:cs="Simplified Arabic" w:hint="cs"/>
          <w:sz w:val="28"/>
          <w:szCs w:val="28"/>
        </w:rPr>
        <w:t>.</w:t>
      </w:r>
    </w:p>
    <w:p w14:paraId="7BDF481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ويوضح الجدول التالي التوزيع التفصيلي لمجتمع الدراسة وعينتها على شركات الاتصالات السعودية الثلاث وفق أسلوب التوزيع الطبقي التناسبي</w:t>
      </w:r>
      <w:r w:rsidRPr="00BA7E95">
        <w:rPr>
          <w:rFonts w:ascii="Simplified Arabic" w:hAnsi="Simplified Arabic" w:cs="Simplified Arabic" w:hint="cs"/>
          <w:sz w:val="28"/>
          <w:szCs w:val="28"/>
        </w:rPr>
        <w:t>:</w:t>
      </w:r>
    </w:p>
    <w:p w14:paraId="3FDCB34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tl/>
        </w:rPr>
        <w:t>جدول (1): توزيع مجتمع وعينة الدراسة على شركات الاتصالات السعودية الثلاث</w:t>
      </w:r>
    </w:p>
    <w:tbl>
      <w:tblPr>
        <w:tblStyle w:val="TableGrid"/>
        <w:bidiVisual/>
        <w:tblW w:w="0" w:type="auto"/>
        <w:tblLook w:val="04A0" w:firstRow="1" w:lastRow="0" w:firstColumn="1" w:lastColumn="0" w:noHBand="0" w:noVBand="1"/>
      </w:tblPr>
      <w:tblGrid>
        <w:gridCol w:w="1539"/>
        <w:gridCol w:w="1305"/>
        <w:gridCol w:w="2313"/>
        <w:gridCol w:w="1379"/>
        <w:gridCol w:w="1279"/>
        <w:gridCol w:w="1201"/>
      </w:tblGrid>
      <w:tr w:rsidR="00BA7E95" w:rsidRPr="00BA7E95" w14:paraId="09962239" w14:textId="77777777" w:rsidTr="00BA7E95">
        <w:tc>
          <w:tcPr>
            <w:tcW w:w="0" w:type="auto"/>
            <w:hideMark/>
          </w:tcPr>
          <w:p w14:paraId="10D5A0DA"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الشركة</w:t>
            </w:r>
          </w:p>
        </w:tc>
        <w:tc>
          <w:tcPr>
            <w:tcW w:w="0" w:type="auto"/>
            <w:hideMark/>
          </w:tcPr>
          <w:p w14:paraId="6E8895AC"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إجمالي عدد الموظفين</w:t>
            </w:r>
          </w:p>
        </w:tc>
        <w:tc>
          <w:tcPr>
            <w:tcW w:w="0" w:type="auto"/>
            <w:hideMark/>
          </w:tcPr>
          <w:p w14:paraId="08E2D675"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المجتمع المستهدف (العاملون في إدارات التحول الرقمي والتقنية والمشاريع)</w:t>
            </w:r>
          </w:p>
        </w:tc>
        <w:tc>
          <w:tcPr>
            <w:tcW w:w="0" w:type="auto"/>
            <w:hideMark/>
          </w:tcPr>
          <w:p w14:paraId="0149FA6F"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النسبة من المجتمع</w:t>
            </w:r>
            <w:r w:rsidRPr="00BA7E95">
              <w:rPr>
                <w:rFonts w:ascii="Simplified Arabic" w:hAnsi="Simplified Arabic" w:cs="Simplified Arabic" w:hint="cs"/>
                <w:b/>
                <w:bCs/>
                <w:sz w:val="28"/>
                <w:szCs w:val="28"/>
              </w:rPr>
              <w:t xml:space="preserve"> (%)</w:t>
            </w:r>
          </w:p>
        </w:tc>
        <w:tc>
          <w:tcPr>
            <w:tcW w:w="0" w:type="auto"/>
            <w:hideMark/>
          </w:tcPr>
          <w:p w14:paraId="0E192315"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الاستبانات الموزَّعة</w:t>
            </w:r>
          </w:p>
        </w:tc>
        <w:tc>
          <w:tcPr>
            <w:tcW w:w="0" w:type="auto"/>
            <w:hideMark/>
          </w:tcPr>
          <w:p w14:paraId="75639D4A" w14:textId="77777777" w:rsidR="00BA7E95" w:rsidRPr="00BA7E95" w:rsidRDefault="00BA7E95" w:rsidP="00BA7E95">
            <w:pPr>
              <w:shd w:val="clear" w:color="auto" w:fill="FFFF00"/>
              <w:jc w:val="both"/>
              <w:rPr>
                <w:rFonts w:ascii="Simplified Arabic" w:hAnsi="Simplified Arabic" w:cs="Simplified Arabic"/>
                <w:b/>
                <w:bCs/>
                <w:sz w:val="28"/>
                <w:szCs w:val="28"/>
              </w:rPr>
            </w:pPr>
            <w:r w:rsidRPr="00BA7E95">
              <w:rPr>
                <w:rFonts w:ascii="Simplified Arabic" w:hAnsi="Simplified Arabic" w:cs="Simplified Arabic" w:hint="cs"/>
                <w:b/>
                <w:bCs/>
                <w:sz w:val="28"/>
                <w:szCs w:val="28"/>
                <w:rtl/>
              </w:rPr>
              <w:t>المتوقع استردادها</w:t>
            </w:r>
          </w:p>
        </w:tc>
      </w:tr>
      <w:tr w:rsidR="00BA7E95" w:rsidRPr="00BA7E95" w14:paraId="60F3998A" w14:textId="77777777" w:rsidTr="00BA7E95">
        <w:tc>
          <w:tcPr>
            <w:tcW w:w="0" w:type="auto"/>
            <w:hideMark/>
          </w:tcPr>
          <w:p w14:paraId="5FABAA0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شركة الاتصالات السعودية</w:t>
            </w:r>
            <w:r w:rsidRPr="00BA7E95">
              <w:rPr>
                <w:rFonts w:ascii="Simplified Arabic" w:hAnsi="Simplified Arabic" w:cs="Simplified Arabic" w:hint="cs"/>
                <w:sz w:val="28"/>
                <w:szCs w:val="28"/>
              </w:rPr>
              <w:t xml:space="preserve"> (</w:t>
            </w:r>
            <w:proofErr w:type="spellStart"/>
            <w:r w:rsidRPr="00BA7E95">
              <w:rPr>
                <w:rFonts w:ascii="Simplified Arabic" w:hAnsi="Simplified Arabic" w:cs="Simplified Arabic" w:hint="cs"/>
                <w:sz w:val="28"/>
                <w:szCs w:val="28"/>
              </w:rPr>
              <w:t>stc</w:t>
            </w:r>
            <w:proofErr w:type="spellEnd"/>
            <w:r w:rsidRPr="00BA7E95">
              <w:rPr>
                <w:rFonts w:ascii="Simplified Arabic" w:hAnsi="Simplified Arabic" w:cs="Simplified Arabic" w:hint="cs"/>
                <w:sz w:val="28"/>
                <w:szCs w:val="28"/>
              </w:rPr>
              <w:t>)</w:t>
            </w:r>
          </w:p>
        </w:tc>
        <w:tc>
          <w:tcPr>
            <w:tcW w:w="0" w:type="auto"/>
            <w:hideMark/>
          </w:tcPr>
          <w:p w14:paraId="57A635F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19,500</w:t>
            </w:r>
          </w:p>
        </w:tc>
        <w:tc>
          <w:tcPr>
            <w:tcW w:w="0" w:type="auto"/>
            <w:hideMark/>
          </w:tcPr>
          <w:p w14:paraId="1E712EC2"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2,340</w:t>
            </w:r>
          </w:p>
        </w:tc>
        <w:tc>
          <w:tcPr>
            <w:tcW w:w="0" w:type="auto"/>
            <w:hideMark/>
          </w:tcPr>
          <w:p w14:paraId="771B7CC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61.58%</w:t>
            </w:r>
          </w:p>
        </w:tc>
        <w:tc>
          <w:tcPr>
            <w:tcW w:w="0" w:type="auto"/>
            <w:hideMark/>
          </w:tcPr>
          <w:p w14:paraId="748EAFE3"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246</w:t>
            </w:r>
          </w:p>
        </w:tc>
        <w:tc>
          <w:tcPr>
            <w:tcW w:w="0" w:type="auto"/>
            <w:hideMark/>
          </w:tcPr>
          <w:p w14:paraId="20FE905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234</w:t>
            </w:r>
          </w:p>
        </w:tc>
      </w:tr>
      <w:tr w:rsidR="00BA7E95" w:rsidRPr="00BA7E95" w14:paraId="6BB3FB12" w14:textId="77777777" w:rsidTr="00BA7E95">
        <w:tc>
          <w:tcPr>
            <w:tcW w:w="0" w:type="auto"/>
            <w:hideMark/>
          </w:tcPr>
          <w:p w14:paraId="7C5637B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شركة موبايلي</w:t>
            </w:r>
          </w:p>
        </w:tc>
        <w:tc>
          <w:tcPr>
            <w:tcW w:w="0" w:type="auto"/>
            <w:hideMark/>
          </w:tcPr>
          <w:p w14:paraId="12A47FF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4,200</w:t>
            </w:r>
          </w:p>
        </w:tc>
        <w:tc>
          <w:tcPr>
            <w:tcW w:w="0" w:type="auto"/>
            <w:hideMark/>
          </w:tcPr>
          <w:p w14:paraId="4BCDCC6B"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1,000</w:t>
            </w:r>
          </w:p>
        </w:tc>
        <w:tc>
          <w:tcPr>
            <w:tcW w:w="0" w:type="auto"/>
            <w:hideMark/>
          </w:tcPr>
          <w:p w14:paraId="31280CB9"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26.32%</w:t>
            </w:r>
          </w:p>
        </w:tc>
        <w:tc>
          <w:tcPr>
            <w:tcW w:w="0" w:type="auto"/>
            <w:hideMark/>
          </w:tcPr>
          <w:p w14:paraId="687CE59A"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105</w:t>
            </w:r>
          </w:p>
        </w:tc>
        <w:tc>
          <w:tcPr>
            <w:tcW w:w="0" w:type="auto"/>
            <w:hideMark/>
          </w:tcPr>
          <w:p w14:paraId="1A814154"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100</w:t>
            </w:r>
          </w:p>
        </w:tc>
      </w:tr>
      <w:tr w:rsidR="00BA7E95" w:rsidRPr="00BA7E95" w14:paraId="1022F6D6" w14:textId="77777777" w:rsidTr="00BA7E95">
        <w:tc>
          <w:tcPr>
            <w:tcW w:w="0" w:type="auto"/>
            <w:hideMark/>
          </w:tcPr>
          <w:p w14:paraId="72B3CD4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شركة زين السعودية</w:t>
            </w:r>
          </w:p>
        </w:tc>
        <w:tc>
          <w:tcPr>
            <w:tcW w:w="0" w:type="auto"/>
            <w:hideMark/>
          </w:tcPr>
          <w:p w14:paraId="76D74B26"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1,500</w:t>
            </w:r>
          </w:p>
        </w:tc>
        <w:tc>
          <w:tcPr>
            <w:tcW w:w="0" w:type="auto"/>
            <w:hideMark/>
          </w:tcPr>
          <w:p w14:paraId="3C6AE4B8"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460</w:t>
            </w:r>
          </w:p>
        </w:tc>
        <w:tc>
          <w:tcPr>
            <w:tcW w:w="0" w:type="auto"/>
            <w:hideMark/>
          </w:tcPr>
          <w:p w14:paraId="6BD540A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12.10%</w:t>
            </w:r>
          </w:p>
        </w:tc>
        <w:tc>
          <w:tcPr>
            <w:tcW w:w="0" w:type="auto"/>
            <w:hideMark/>
          </w:tcPr>
          <w:p w14:paraId="6F1F4B3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49</w:t>
            </w:r>
          </w:p>
        </w:tc>
        <w:tc>
          <w:tcPr>
            <w:tcW w:w="0" w:type="auto"/>
            <w:hideMark/>
          </w:tcPr>
          <w:p w14:paraId="1E96896E"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Pr>
              <w:t>46</w:t>
            </w:r>
          </w:p>
        </w:tc>
      </w:tr>
      <w:tr w:rsidR="00BA7E95" w:rsidRPr="00BA7E95" w14:paraId="003827E1" w14:textId="77777777" w:rsidTr="00BA7E95">
        <w:tc>
          <w:tcPr>
            <w:tcW w:w="0" w:type="auto"/>
            <w:hideMark/>
          </w:tcPr>
          <w:p w14:paraId="28643A39"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tl/>
              </w:rPr>
              <w:t>الإجمالي</w:t>
            </w:r>
          </w:p>
        </w:tc>
        <w:tc>
          <w:tcPr>
            <w:tcW w:w="0" w:type="auto"/>
            <w:hideMark/>
          </w:tcPr>
          <w:p w14:paraId="281A6550"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Pr>
              <w:t>25,200</w:t>
            </w:r>
          </w:p>
        </w:tc>
        <w:tc>
          <w:tcPr>
            <w:tcW w:w="0" w:type="auto"/>
            <w:hideMark/>
          </w:tcPr>
          <w:p w14:paraId="17AD884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Pr>
              <w:t>3,800</w:t>
            </w:r>
          </w:p>
        </w:tc>
        <w:tc>
          <w:tcPr>
            <w:tcW w:w="0" w:type="auto"/>
            <w:hideMark/>
          </w:tcPr>
          <w:p w14:paraId="7751D9F1"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Pr>
              <w:t>100%</w:t>
            </w:r>
          </w:p>
        </w:tc>
        <w:tc>
          <w:tcPr>
            <w:tcW w:w="0" w:type="auto"/>
            <w:hideMark/>
          </w:tcPr>
          <w:p w14:paraId="1A22DDB3"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Pr>
              <w:t>400</w:t>
            </w:r>
          </w:p>
        </w:tc>
        <w:tc>
          <w:tcPr>
            <w:tcW w:w="0" w:type="auto"/>
            <w:hideMark/>
          </w:tcPr>
          <w:p w14:paraId="469FEC47"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b/>
                <w:bCs/>
                <w:sz w:val="28"/>
                <w:szCs w:val="28"/>
              </w:rPr>
              <w:t>380</w:t>
            </w:r>
          </w:p>
        </w:tc>
      </w:tr>
    </w:tbl>
    <w:p w14:paraId="055E8C2D"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i/>
          <w:iCs/>
          <w:sz w:val="28"/>
          <w:szCs w:val="28"/>
          <w:rtl/>
        </w:rPr>
        <w:t>المصدر: من إعداد الباحث بالاعتماد على التقارير السنوية للشركات الثلاث (2024–2025) وإحصاءات هيئة الاتصالات والفضاء والتقنية</w:t>
      </w:r>
      <w:r w:rsidRPr="00BA7E95">
        <w:rPr>
          <w:rFonts w:ascii="Simplified Arabic" w:hAnsi="Simplified Arabic" w:cs="Simplified Arabic" w:hint="cs"/>
          <w:i/>
          <w:iCs/>
          <w:sz w:val="28"/>
          <w:szCs w:val="28"/>
        </w:rPr>
        <w:t xml:space="preserve"> (2025).</w:t>
      </w:r>
    </w:p>
    <w:p w14:paraId="17345EFC" w14:textId="77777777" w:rsidR="00BA7E95" w:rsidRPr="00BA7E95" w:rsidRDefault="00BA7E95" w:rsidP="00BA7E95">
      <w:pPr>
        <w:shd w:val="clear" w:color="auto" w:fill="FFFF00"/>
        <w:jc w:val="both"/>
        <w:rPr>
          <w:rFonts w:ascii="Simplified Arabic" w:hAnsi="Simplified Arabic" w:cs="Simplified Arabic"/>
          <w:sz w:val="28"/>
          <w:szCs w:val="28"/>
        </w:rPr>
      </w:pPr>
      <w:r w:rsidRPr="00BA7E95">
        <w:rPr>
          <w:rFonts w:ascii="Simplified Arabic" w:hAnsi="Simplified Arabic" w:cs="Simplified Arabic" w:hint="cs"/>
          <w:sz w:val="28"/>
          <w:szCs w:val="28"/>
          <w:rtl/>
        </w:rPr>
        <w:t>ويتضح من الجدول أعلاه أن شركة الاتصالات السعودية</w:t>
      </w:r>
      <w:r w:rsidRPr="00BA7E95">
        <w:rPr>
          <w:rFonts w:ascii="Simplified Arabic" w:hAnsi="Simplified Arabic" w:cs="Simplified Arabic" w:hint="cs"/>
          <w:sz w:val="28"/>
          <w:szCs w:val="28"/>
        </w:rPr>
        <w:t xml:space="preserve"> (</w:t>
      </w:r>
      <w:proofErr w:type="spellStart"/>
      <w:r w:rsidRPr="00BA7E95">
        <w:rPr>
          <w:rFonts w:ascii="Simplified Arabic" w:hAnsi="Simplified Arabic" w:cs="Simplified Arabic" w:hint="cs"/>
          <w:sz w:val="28"/>
          <w:szCs w:val="28"/>
        </w:rPr>
        <w:t>stc</w:t>
      </w:r>
      <w:proofErr w:type="spellEnd"/>
      <w:r w:rsidRPr="00BA7E95">
        <w:rPr>
          <w:rFonts w:ascii="Simplified Arabic" w:hAnsi="Simplified Arabic" w:cs="Simplified Arabic" w:hint="cs"/>
          <w:sz w:val="28"/>
          <w:szCs w:val="28"/>
        </w:rPr>
        <w:t xml:space="preserve">) </w:t>
      </w:r>
      <w:r w:rsidRPr="00BA7E95">
        <w:rPr>
          <w:rFonts w:ascii="Simplified Arabic" w:hAnsi="Simplified Arabic" w:cs="Simplified Arabic" w:hint="cs"/>
          <w:sz w:val="28"/>
          <w:szCs w:val="28"/>
          <w:rtl/>
        </w:rPr>
        <w:t>تستأثر بالنصيب الأكبر من العينة بواقع (246) استبانة تمثّل ما نسبته (61.58%) من إجمالي العينة، تليها شركة موبايلي بعدد (105) استبانات تمثّل (26.32%)، ثم شركة زين السعودية بعدد (49) استبانة تمثّل (12.10%)، وذلك انسجاماً مع الوزن النسبي لكل شركة داخل المجتمع المستهدف، بما يضمن التمثيل الدقيق والعادل ويُعزّز القدرة على تعميم النتائج على المجتمع الأصلي بثقة إحصائية عالية</w:t>
      </w:r>
      <w:r w:rsidRPr="00BA7E95">
        <w:rPr>
          <w:rFonts w:ascii="Simplified Arabic" w:hAnsi="Simplified Arabic" w:cs="Simplified Arabic" w:hint="cs"/>
          <w:sz w:val="28"/>
          <w:szCs w:val="28"/>
        </w:rPr>
        <w:t>.</w:t>
      </w:r>
    </w:p>
    <w:p w14:paraId="0E66248D" w14:textId="77777777" w:rsidR="000E0033" w:rsidRPr="004F0620" w:rsidRDefault="000E0033" w:rsidP="00D439AC">
      <w:pPr>
        <w:pStyle w:val="Heading1"/>
        <w:rPr>
          <w:rtl/>
        </w:rPr>
      </w:pPr>
      <w:r w:rsidRPr="004F0620">
        <w:rPr>
          <w:rtl/>
        </w:rPr>
        <w:t>المعالجات الإحصائية المقترحة:</w:t>
      </w:r>
      <w:bookmarkEnd w:id="8"/>
    </w:p>
    <w:p w14:paraId="00A4FC90" w14:textId="77777777" w:rsidR="00CF116B" w:rsidRDefault="00CF116B" w:rsidP="00CF116B">
      <w:pPr>
        <w:shd w:val="clear" w:color="auto" w:fill="FFFF00"/>
        <w:spacing w:line="276" w:lineRule="auto"/>
        <w:jc w:val="both"/>
        <w:rPr>
          <w:rFonts w:ascii="Simplified Arabic" w:hAnsi="Simplified Arabic" w:cs="Simplified Arabic"/>
          <w:sz w:val="28"/>
          <w:szCs w:val="28"/>
          <w:rtl/>
        </w:rPr>
      </w:pPr>
      <w:r w:rsidRPr="00CF116B">
        <w:rPr>
          <w:rFonts w:ascii="Simplified Arabic" w:hAnsi="Simplified Arabic" w:cs="Simplified Arabic"/>
          <w:sz w:val="28"/>
          <w:szCs w:val="28"/>
          <w:rtl/>
        </w:rPr>
        <w:t>سيستخدم الباحث برنامج الحزمة الإحصائية للعلوم الاجتماعية</w:t>
      </w:r>
      <w:r w:rsidRPr="00CF116B">
        <w:rPr>
          <w:rFonts w:ascii="Simplified Arabic" w:hAnsi="Simplified Arabic" w:cs="Simplified Arabic"/>
          <w:sz w:val="28"/>
          <w:szCs w:val="28"/>
        </w:rPr>
        <w:t xml:space="preserve"> (SPSS) </w:t>
      </w:r>
      <w:r w:rsidRPr="00CF116B">
        <w:rPr>
          <w:rFonts w:ascii="Simplified Arabic" w:hAnsi="Simplified Arabic" w:cs="Simplified Arabic"/>
          <w:sz w:val="28"/>
          <w:szCs w:val="28"/>
          <w:rtl/>
        </w:rPr>
        <w:t>لمعالجة البيانات وتحليلها من خلال الأساليب التالية: التكرارات والنسب المئوية، والمتوسطات الحسابية، والانحرافات المعيارية، ومعامل ألفا كرونباخ، ومعامل ارتباط بيرسون، واختبار كولموغروف-سميرنوف للتوزيع الطبيعي، ومعامل تضخم التباين</w:t>
      </w:r>
      <w:r w:rsidRPr="00CF116B">
        <w:rPr>
          <w:rFonts w:ascii="Simplified Arabic" w:hAnsi="Simplified Arabic" w:cs="Simplified Arabic"/>
          <w:sz w:val="28"/>
          <w:szCs w:val="28"/>
        </w:rPr>
        <w:t xml:space="preserve"> (VIF) </w:t>
      </w:r>
      <w:r w:rsidRPr="00CF116B">
        <w:rPr>
          <w:rFonts w:ascii="Simplified Arabic" w:hAnsi="Simplified Arabic" w:cs="Simplified Arabic"/>
          <w:sz w:val="28"/>
          <w:szCs w:val="28"/>
          <w:rtl/>
        </w:rPr>
        <w:t>ومؤشر التسامح</w:t>
      </w:r>
      <w:r w:rsidRPr="00CF116B">
        <w:rPr>
          <w:rFonts w:ascii="Simplified Arabic" w:hAnsi="Simplified Arabic" w:cs="Simplified Arabic"/>
          <w:sz w:val="28"/>
          <w:szCs w:val="28"/>
        </w:rPr>
        <w:t xml:space="preserve"> (Tolerance)</w:t>
      </w:r>
      <w:r w:rsidRPr="00CF116B">
        <w:rPr>
          <w:rFonts w:ascii="Simplified Arabic" w:hAnsi="Simplified Arabic" w:cs="Simplified Arabic"/>
          <w:sz w:val="28"/>
          <w:szCs w:val="28"/>
          <w:rtl/>
        </w:rPr>
        <w:t>، وتحليل الانحدار الخطي البسيط والمتعدد، واختبار</w:t>
      </w:r>
      <w:r w:rsidRPr="00CF116B">
        <w:rPr>
          <w:rFonts w:ascii="Simplified Arabic" w:hAnsi="Simplified Arabic" w:cs="Simplified Arabic"/>
          <w:sz w:val="28"/>
          <w:szCs w:val="28"/>
        </w:rPr>
        <w:t xml:space="preserve"> (t-test) </w:t>
      </w:r>
      <w:r w:rsidRPr="00CF116B">
        <w:rPr>
          <w:rFonts w:ascii="Simplified Arabic" w:hAnsi="Simplified Arabic" w:cs="Simplified Arabic"/>
          <w:sz w:val="28"/>
          <w:szCs w:val="28"/>
          <w:rtl/>
        </w:rPr>
        <w:t>للعينات المستقلة، وتحليل التباين الأحادي</w:t>
      </w:r>
      <w:r w:rsidRPr="00CF116B">
        <w:rPr>
          <w:rFonts w:ascii="Simplified Arabic" w:hAnsi="Simplified Arabic" w:cs="Simplified Arabic"/>
          <w:sz w:val="28"/>
          <w:szCs w:val="28"/>
        </w:rPr>
        <w:t xml:space="preserve"> (One-Way ANOVA)</w:t>
      </w:r>
      <w:r w:rsidRPr="00CF116B">
        <w:rPr>
          <w:rFonts w:ascii="Simplified Arabic" w:hAnsi="Simplified Arabic" w:cs="Simplified Arabic"/>
          <w:sz w:val="28"/>
          <w:szCs w:val="28"/>
          <w:rtl/>
        </w:rPr>
        <w:t>، واختبار شيفيه للمقارنات البعدية. وسيعتمد الباحث في تقييم جودة نموذج الانحدار على جملة من مؤشرات الملاءمة</w:t>
      </w:r>
      <w:r w:rsidRPr="00CF116B">
        <w:rPr>
          <w:rFonts w:ascii="Simplified Arabic" w:hAnsi="Simplified Arabic" w:cs="Simplified Arabic"/>
          <w:sz w:val="28"/>
          <w:szCs w:val="28"/>
        </w:rPr>
        <w:t xml:space="preserve"> (Model Fit Indices)</w:t>
      </w:r>
      <w:r w:rsidRPr="00CF116B">
        <w:rPr>
          <w:rFonts w:ascii="Simplified Arabic" w:hAnsi="Simplified Arabic" w:cs="Simplified Arabic"/>
          <w:sz w:val="28"/>
          <w:szCs w:val="28"/>
          <w:rtl/>
        </w:rPr>
        <w:t>، وأبرزها</w:t>
      </w:r>
      <w:r w:rsidRPr="00CF116B">
        <w:rPr>
          <w:rFonts w:ascii="Simplified Arabic" w:hAnsi="Simplified Arabic" w:cs="Simplified Arabic"/>
          <w:sz w:val="28"/>
          <w:szCs w:val="28"/>
        </w:rPr>
        <w:t xml:space="preserve">: </w:t>
      </w:r>
      <w:r w:rsidRPr="00CF116B">
        <w:rPr>
          <w:rFonts w:ascii="Simplified Arabic" w:hAnsi="Simplified Arabic" w:cs="Simplified Arabic"/>
          <w:b/>
          <w:bCs/>
          <w:sz w:val="28"/>
          <w:szCs w:val="28"/>
          <w:rtl/>
        </w:rPr>
        <w:t>معامل التحديد</w:t>
      </w:r>
      <w:r w:rsidRPr="00CF116B">
        <w:rPr>
          <w:rFonts w:ascii="Simplified Arabic" w:hAnsi="Simplified Arabic" w:cs="Simplified Arabic"/>
          <w:b/>
          <w:bCs/>
          <w:sz w:val="28"/>
          <w:szCs w:val="28"/>
        </w:rPr>
        <w:t xml:space="preserve"> (R²)</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لقياس نسبة التباين المُفسَّر في المتغير التابع، و</w:t>
      </w:r>
      <w:r w:rsidRPr="00CF116B">
        <w:rPr>
          <w:rFonts w:ascii="Simplified Arabic" w:hAnsi="Simplified Arabic" w:cs="Simplified Arabic"/>
          <w:b/>
          <w:bCs/>
          <w:sz w:val="28"/>
          <w:szCs w:val="28"/>
          <w:rtl/>
        </w:rPr>
        <w:t>معامل التحديد المعدَّل</w:t>
      </w:r>
      <w:r w:rsidRPr="00CF116B">
        <w:rPr>
          <w:rFonts w:ascii="Simplified Arabic" w:hAnsi="Simplified Arabic" w:cs="Simplified Arabic"/>
          <w:b/>
          <w:bCs/>
          <w:sz w:val="28"/>
          <w:szCs w:val="28"/>
        </w:rPr>
        <w:t xml:space="preserve"> (Adjusted R²)</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لمعالجة التحيّز الناتج عن تعدد المتغيرات المستقلة، و</w:t>
      </w:r>
      <w:r w:rsidRPr="00CF116B">
        <w:rPr>
          <w:rFonts w:ascii="Simplified Arabic" w:hAnsi="Simplified Arabic" w:cs="Simplified Arabic"/>
          <w:b/>
          <w:bCs/>
          <w:sz w:val="28"/>
          <w:szCs w:val="28"/>
          <w:rtl/>
        </w:rPr>
        <w:t>اختبار</w:t>
      </w:r>
      <w:r w:rsidRPr="00CF116B">
        <w:rPr>
          <w:rFonts w:ascii="Simplified Arabic" w:hAnsi="Simplified Arabic" w:cs="Simplified Arabic"/>
          <w:b/>
          <w:bCs/>
          <w:sz w:val="28"/>
          <w:szCs w:val="28"/>
        </w:rPr>
        <w:t xml:space="preserve"> (F)</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للحكم على المعنوية الكلية للنموذج، و</w:t>
      </w:r>
      <w:r w:rsidRPr="00CF116B">
        <w:rPr>
          <w:rFonts w:ascii="Simplified Arabic" w:hAnsi="Simplified Arabic" w:cs="Simplified Arabic"/>
          <w:b/>
          <w:bCs/>
          <w:sz w:val="28"/>
          <w:szCs w:val="28"/>
          <w:rtl/>
        </w:rPr>
        <w:t>قيمة</w:t>
      </w:r>
      <w:r w:rsidRPr="00CF116B">
        <w:rPr>
          <w:rFonts w:ascii="Simplified Arabic" w:hAnsi="Simplified Arabic" w:cs="Simplified Arabic"/>
          <w:b/>
          <w:bCs/>
          <w:sz w:val="28"/>
          <w:szCs w:val="28"/>
        </w:rPr>
        <w:t xml:space="preserve"> (Sig.)</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لتحديد مستوى الدلالة الإحصائية عند</w:t>
      </w:r>
      <w:r w:rsidRPr="00CF116B">
        <w:rPr>
          <w:rFonts w:ascii="Simplified Arabic" w:hAnsi="Simplified Arabic" w:cs="Simplified Arabic"/>
          <w:sz w:val="28"/>
          <w:szCs w:val="28"/>
        </w:rPr>
        <w:t xml:space="preserve"> (</w:t>
      </w:r>
      <w:r w:rsidRPr="00CF116B">
        <w:rPr>
          <w:rFonts w:ascii="Cambria" w:hAnsi="Cambria" w:cs="Cambria"/>
          <w:sz w:val="28"/>
          <w:szCs w:val="28"/>
        </w:rPr>
        <w:t>α</w:t>
      </w:r>
      <w:r w:rsidRPr="00CF116B">
        <w:rPr>
          <w:rFonts w:ascii="Simplified Arabic" w:hAnsi="Simplified Arabic" w:cs="Simplified Arabic"/>
          <w:sz w:val="28"/>
          <w:szCs w:val="28"/>
        </w:rPr>
        <w:t xml:space="preserve"> </w:t>
      </w:r>
      <w:r w:rsidRPr="00CF116B">
        <w:rPr>
          <w:rFonts w:ascii="Cambria Math" w:hAnsi="Cambria Math" w:cs="Cambria Math"/>
          <w:sz w:val="28"/>
          <w:szCs w:val="28"/>
        </w:rPr>
        <w:t>≤</w:t>
      </w:r>
      <w:r w:rsidRPr="00CF116B">
        <w:rPr>
          <w:rFonts w:ascii="Simplified Arabic" w:hAnsi="Simplified Arabic" w:cs="Simplified Arabic"/>
          <w:sz w:val="28"/>
          <w:szCs w:val="28"/>
        </w:rPr>
        <w:t xml:space="preserve"> 0.05)</w:t>
      </w:r>
      <w:r w:rsidRPr="00CF116B">
        <w:rPr>
          <w:rFonts w:ascii="Simplified Arabic" w:hAnsi="Simplified Arabic" w:cs="Simplified Arabic"/>
          <w:sz w:val="28"/>
          <w:szCs w:val="28"/>
          <w:rtl/>
        </w:rPr>
        <w:t xml:space="preserve">، فضلاً عن </w:t>
      </w:r>
      <w:r w:rsidRPr="00CF116B">
        <w:rPr>
          <w:rFonts w:ascii="Simplified Arabic" w:hAnsi="Simplified Arabic" w:cs="Simplified Arabic"/>
          <w:b/>
          <w:bCs/>
          <w:sz w:val="28"/>
          <w:szCs w:val="28"/>
          <w:rtl/>
        </w:rPr>
        <w:t>معاملات الانحدار المعيارية</w:t>
      </w:r>
      <w:r w:rsidRPr="00CF116B">
        <w:rPr>
          <w:rFonts w:ascii="Simplified Arabic" w:hAnsi="Simplified Arabic" w:cs="Simplified Arabic"/>
          <w:b/>
          <w:bCs/>
          <w:sz w:val="28"/>
          <w:szCs w:val="28"/>
        </w:rPr>
        <w:t xml:space="preserve"> (Beta)</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لترتيب الأبعاد وفق قوة أثرها التفسيري، و</w:t>
      </w:r>
      <w:r w:rsidRPr="00CF116B">
        <w:rPr>
          <w:rFonts w:ascii="Simplified Arabic" w:hAnsi="Simplified Arabic" w:cs="Simplified Arabic"/>
          <w:b/>
          <w:bCs/>
          <w:sz w:val="28"/>
          <w:szCs w:val="28"/>
          <w:rtl/>
        </w:rPr>
        <w:t>قيمة</w:t>
      </w:r>
      <w:r w:rsidRPr="00CF116B">
        <w:rPr>
          <w:rFonts w:ascii="Simplified Arabic" w:hAnsi="Simplified Arabic" w:cs="Simplified Arabic"/>
          <w:b/>
          <w:bCs/>
          <w:sz w:val="28"/>
          <w:szCs w:val="28"/>
        </w:rPr>
        <w:t xml:space="preserve"> (t)</w:t>
      </w:r>
      <w:r w:rsidRPr="00CF116B">
        <w:rPr>
          <w:rFonts w:ascii="Simplified Arabic" w:hAnsi="Simplified Arabic" w:cs="Simplified Arabic"/>
          <w:sz w:val="28"/>
          <w:szCs w:val="28"/>
        </w:rPr>
        <w:t xml:space="preserve"> </w:t>
      </w:r>
      <w:r w:rsidRPr="00CF116B">
        <w:rPr>
          <w:rFonts w:ascii="Simplified Arabic" w:hAnsi="Simplified Arabic" w:cs="Simplified Arabic"/>
          <w:sz w:val="28"/>
          <w:szCs w:val="28"/>
          <w:rtl/>
        </w:rPr>
        <w:t>ودلالتها لاختبار معنوية كل معامل انحدار على حدة</w:t>
      </w:r>
      <w:r w:rsidRPr="00CF116B">
        <w:rPr>
          <w:rFonts w:ascii="Simplified Arabic" w:hAnsi="Simplified Arabic" w:cs="Simplified Arabic"/>
          <w:sz w:val="28"/>
          <w:szCs w:val="28"/>
        </w:rPr>
        <w:t>.</w:t>
      </w:r>
    </w:p>
    <w:p w14:paraId="2A0DB917" w14:textId="77777777" w:rsidR="00BA7E95" w:rsidRPr="00BA7E95" w:rsidRDefault="00BA7E95" w:rsidP="006220A5">
      <w:pPr>
        <w:shd w:val="clear" w:color="auto" w:fill="FFFF00"/>
        <w:spacing w:line="276" w:lineRule="auto"/>
        <w:jc w:val="both"/>
        <w:rPr>
          <w:rFonts w:ascii="Simplified Arabic" w:hAnsi="Simplified Arabic" w:cs="Simplified Arabic"/>
          <w:sz w:val="28"/>
          <w:szCs w:val="28"/>
        </w:rPr>
      </w:pPr>
      <w:r w:rsidRPr="00BA7E95">
        <w:rPr>
          <w:rFonts w:ascii="Simplified Arabic" w:hAnsi="Simplified Arabic" w:cs="Simplified Arabic"/>
          <w:b/>
          <w:bCs/>
          <w:sz w:val="28"/>
          <w:szCs w:val="28"/>
          <w:rtl/>
        </w:rPr>
        <w:t>جدول (2): ربط فرضيات الدراسة بالمعالجات الإحصائية المقترحة</w:t>
      </w:r>
    </w:p>
    <w:tbl>
      <w:tblPr>
        <w:tblStyle w:val="TableGrid"/>
        <w:bidiVisual/>
        <w:tblW w:w="0" w:type="auto"/>
        <w:tblLook w:val="04A0" w:firstRow="1" w:lastRow="0" w:firstColumn="1" w:lastColumn="0" w:noHBand="0" w:noVBand="1"/>
      </w:tblPr>
      <w:tblGrid>
        <w:gridCol w:w="3871"/>
        <w:gridCol w:w="5145"/>
      </w:tblGrid>
      <w:tr w:rsidR="00BA7E95" w:rsidRPr="00BA7E95" w14:paraId="59F815E5" w14:textId="77777777" w:rsidTr="00BA7E95">
        <w:tc>
          <w:tcPr>
            <w:tcW w:w="0" w:type="auto"/>
            <w:hideMark/>
          </w:tcPr>
          <w:p w14:paraId="6B826C36" w14:textId="77777777" w:rsidR="00BA7E95" w:rsidRPr="00BA7E95" w:rsidRDefault="00BA7E95" w:rsidP="006220A5">
            <w:pPr>
              <w:shd w:val="clear" w:color="auto" w:fill="FFFF00"/>
              <w:spacing w:after="160" w:line="276"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الفرضية / السؤال</w:t>
            </w:r>
          </w:p>
        </w:tc>
        <w:tc>
          <w:tcPr>
            <w:tcW w:w="0" w:type="auto"/>
            <w:hideMark/>
          </w:tcPr>
          <w:p w14:paraId="057E510D" w14:textId="77777777" w:rsidR="00BA7E95" w:rsidRPr="00BA7E95" w:rsidRDefault="00BA7E95" w:rsidP="006220A5">
            <w:pPr>
              <w:shd w:val="clear" w:color="auto" w:fill="FFFF00"/>
              <w:spacing w:after="160" w:line="276"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الأسلوب الإحصائي المستخدم</w:t>
            </w:r>
          </w:p>
        </w:tc>
      </w:tr>
      <w:tr w:rsidR="00BA7E95" w:rsidRPr="00BA7E95" w14:paraId="14C9BAE6" w14:textId="77777777" w:rsidTr="00BA7E95">
        <w:tc>
          <w:tcPr>
            <w:tcW w:w="0" w:type="auto"/>
            <w:hideMark/>
          </w:tcPr>
          <w:p w14:paraId="1D6CD88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الفرضية الرئيسة</w:t>
            </w:r>
            <w:r w:rsidRPr="00BA7E95">
              <w:rPr>
                <w:rFonts w:ascii="Simplified Arabic" w:hAnsi="Simplified Arabic" w:cs="Simplified Arabic"/>
                <w:sz w:val="28"/>
                <w:szCs w:val="28"/>
              </w:rPr>
              <w:t xml:space="preserve"> (H</w:t>
            </w:r>
            <w:r w:rsidRPr="00BA7E95">
              <w:rPr>
                <w:rFonts w:ascii="Cambria Math" w:hAnsi="Cambria Math" w:cs="Cambria Math"/>
                <w:sz w:val="28"/>
                <w:szCs w:val="28"/>
              </w:rPr>
              <w:t>₁</w:t>
            </w:r>
            <w:r w:rsidRPr="00BA7E95">
              <w:rPr>
                <w:rFonts w:ascii="Simplified Arabic" w:hAnsi="Simplified Arabic" w:cs="Simplified Arabic"/>
                <w:sz w:val="28"/>
                <w:szCs w:val="28"/>
              </w:rPr>
              <w:t xml:space="preserve">): </w:t>
            </w:r>
            <w:r w:rsidRPr="00BA7E95">
              <w:rPr>
                <w:rFonts w:ascii="Simplified Arabic" w:hAnsi="Simplified Arabic" w:cs="Simplified Arabic"/>
                <w:sz w:val="28"/>
                <w:szCs w:val="28"/>
                <w:rtl/>
              </w:rPr>
              <w:t>الأثر المشترك لأبعاد الحوكمة الرقمية على نجاح مشاريع التحول الرقمي</w:t>
            </w:r>
          </w:p>
        </w:tc>
        <w:tc>
          <w:tcPr>
            <w:tcW w:w="0" w:type="auto"/>
            <w:hideMark/>
          </w:tcPr>
          <w:p w14:paraId="73BC2AFA"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تحليل الانحدار الخطي المتعدد</w:t>
            </w:r>
            <w:r w:rsidRPr="00BA7E95">
              <w:rPr>
                <w:rFonts w:ascii="Simplified Arabic" w:hAnsi="Simplified Arabic" w:cs="Simplified Arabic"/>
                <w:sz w:val="28"/>
                <w:szCs w:val="28"/>
              </w:rPr>
              <w:t xml:space="preserve"> (Multiple Linear Regression)</w:t>
            </w:r>
          </w:p>
        </w:tc>
      </w:tr>
      <w:tr w:rsidR="00BA7E95" w:rsidRPr="00BA7E95" w14:paraId="71105DC9" w14:textId="77777777" w:rsidTr="00BA7E95">
        <w:tc>
          <w:tcPr>
            <w:tcW w:w="0" w:type="auto"/>
            <w:hideMark/>
          </w:tcPr>
          <w:p w14:paraId="1A13C99F"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الفرضيات الفرعية</w:t>
            </w:r>
            <w:r w:rsidRPr="00BA7E95">
              <w:rPr>
                <w:rFonts w:ascii="Simplified Arabic" w:hAnsi="Simplified Arabic" w:cs="Simplified Arabic"/>
                <w:sz w:val="28"/>
                <w:szCs w:val="28"/>
              </w:rPr>
              <w:t xml:space="preserve"> (H</w:t>
            </w:r>
            <w:r w:rsidRPr="00BA7E95">
              <w:rPr>
                <w:rFonts w:ascii="Cambria Math" w:hAnsi="Cambria Math" w:cs="Cambria Math"/>
                <w:sz w:val="28"/>
                <w:szCs w:val="28"/>
              </w:rPr>
              <w:t>₁</w:t>
            </w:r>
            <w:r w:rsidRPr="00BA7E95">
              <w:rPr>
                <w:rFonts w:ascii="Simplified Arabic" w:hAnsi="Simplified Arabic" w:cs="Simplified Arabic"/>
                <w:sz w:val="28"/>
                <w:szCs w:val="28"/>
              </w:rPr>
              <w:t>.</w:t>
            </w:r>
            <w:r w:rsidRPr="00BA7E95">
              <w:rPr>
                <w:rFonts w:ascii="Cambria Math" w:hAnsi="Cambria Math" w:cs="Cambria Math"/>
                <w:sz w:val="28"/>
                <w:szCs w:val="28"/>
              </w:rPr>
              <w:t>₁</w:t>
            </w:r>
            <w:r w:rsidRPr="00BA7E95">
              <w:rPr>
                <w:rFonts w:ascii="Simplified Arabic" w:hAnsi="Simplified Arabic" w:cs="Simplified Arabic"/>
                <w:sz w:val="28"/>
                <w:szCs w:val="28"/>
              </w:rPr>
              <w:t xml:space="preserve"> – H</w:t>
            </w:r>
            <w:r w:rsidRPr="00BA7E95">
              <w:rPr>
                <w:rFonts w:ascii="Cambria Math" w:hAnsi="Cambria Math" w:cs="Cambria Math"/>
                <w:sz w:val="28"/>
                <w:szCs w:val="28"/>
              </w:rPr>
              <w:t>₁</w:t>
            </w:r>
            <w:r w:rsidRPr="00BA7E95">
              <w:rPr>
                <w:rFonts w:ascii="Simplified Arabic" w:hAnsi="Simplified Arabic" w:cs="Simplified Arabic"/>
                <w:sz w:val="28"/>
                <w:szCs w:val="28"/>
              </w:rPr>
              <w:t>.</w:t>
            </w:r>
            <w:r w:rsidRPr="00BA7E95">
              <w:rPr>
                <w:rFonts w:ascii="Cambria Math" w:hAnsi="Cambria Math" w:cs="Cambria Math"/>
                <w:sz w:val="28"/>
                <w:szCs w:val="28"/>
              </w:rPr>
              <w:t>₄</w:t>
            </w:r>
            <w:r w:rsidRPr="00BA7E95">
              <w:rPr>
                <w:rFonts w:ascii="Simplified Arabic" w:hAnsi="Simplified Arabic" w:cs="Simplified Arabic"/>
                <w:sz w:val="28"/>
                <w:szCs w:val="28"/>
              </w:rPr>
              <w:t xml:space="preserve">): </w:t>
            </w:r>
            <w:r w:rsidRPr="00BA7E95">
              <w:rPr>
                <w:rFonts w:ascii="Simplified Arabic" w:hAnsi="Simplified Arabic" w:cs="Simplified Arabic"/>
                <w:sz w:val="28"/>
                <w:szCs w:val="28"/>
                <w:rtl/>
              </w:rPr>
              <w:t>أثر كل بُعد منفرداً على المتغير التابع</w:t>
            </w:r>
          </w:p>
        </w:tc>
        <w:tc>
          <w:tcPr>
            <w:tcW w:w="0" w:type="auto"/>
            <w:hideMark/>
          </w:tcPr>
          <w:p w14:paraId="042A97DB"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تحليل الانحدار الخطي البسيط</w:t>
            </w:r>
            <w:r w:rsidRPr="00BA7E95">
              <w:rPr>
                <w:rFonts w:ascii="Simplified Arabic" w:hAnsi="Simplified Arabic" w:cs="Simplified Arabic"/>
                <w:sz w:val="28"/>
                <w:szCs w:val="28"/>
              </w:rPr>
              <w:t xml:space="preserve"> (Simple Linear Regression)</w:t>
            </w:r>
          </w:p>
        </w:tc>
      </w:tr>
      <w:tr w:rsidR="00BA7E95" w:rsidRPr="00BA7E95" w14:paraId="06FFBDB2" w14:textId="77777777" w:rsidTr="00BA7E95">
        <w:tc>
          <w:tcPr>
            <w:tcW w:w="0" w:type="auto"/>
            <w:hideMark/>
          </w:tcPr>
          <w:p w14:paraId="1BEACED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السؤالان الأول والثاني: مستوى تطبيق المتغيرين</w:t>
            </w:r>
          </w:p>
        </w:tc>
        <w:tc>
          <w:tcPr>
            <w:tcW w:w="0" w:type="auto"/>
            <w:hideMark/>
          </w:tcPr>
          <w:p w14:paraId="1A0D303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المتوسطات الحسابية والانحرافات المعيارية</w:t>
            </w:r>
          </w:p>
        </w:tc>
      </w:tr>
      <w:tr w:rsidR="00BA7E95" w:rsidRPr="00BA7E95" w14:paraId="28B2347E" w14:textId="77777777" w:rsidTr="00BA7E95">
        <w:tc>
          <w:tcPr>
            <w:tcW w:w="0" w:type="auto"/>
            <w:hideMark/>
          </w:tcPr>
          <w:p w14:paraId="1C1D17FA"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الفروق تبعاً للجنس</w:t>
            </w:r>
          </w:p>
        </w:tc>
        <w:tc>
          <w:tcPr>
            <w:tcW w:w="0" w:type="auto"/>
            <w:hideMark/>
          </w:tcPr>
          <w:p w14:paraId="232DA22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اختبار</w:t>
            </w:r>
            <w:r w:rsidRPr="00BA7E95">
              <w:rPr>
                <w:rFonts w:ascii="Simplified Arabic" w:hAnsi="Simplified Arabic" w:cs="Simplified Arabic"/>
                <w:sz w:val="28"/>
                <w:szCs w:val="28"/>
              </w:rPr>
              <w:t xml:space="preserve"> (t-test) </w:t>
            </w:r>
            <w:r w:rsidRPr="00BA7E95">
              <w:rPr>
                <w:rFonts w:ascii="Simplified Arabic" w:hAnsi="Simplified Arabic" w:cs="Simplified Arabic"/>
                <w:sz w:val="28"/>
                <w:szCs w:val="28"/>
                <w:rtl/>
              </w:rPr>
              <w:t>للعينات المستقلة</w:t>
            </w:r>
          </w:p>
        </w:tc>
      </w:tr>
      <w:tr w:rsidR="00BA7E95" w:rsidRPr="00BA7E95" w14:paraId="10839AD0" w14:textId="77777777" w:rsidTr="00BA7E95">
        <w:tc>
          <w:tcPr>
            <w:tcW w:w="0" w:type="auto"/>
            <w:hideMark/>
          </w:tcPr>
          <w:p w14:paraId="5794917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الفروق تبعاً للعمر والمؤهل العلمي وسنوات الخبرة والمسمى الوظيفي والشركة</w:t>
            </w:r>
          </w:p>
        </w:tc>
        <w:tc>
          <w:tcPr>
            <w:tcW w:w="0" w:type="auto"/>
            <w:hideMark/>
          </w:tcPr>
          <w:p w14:paraId="799CD42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تحليل التباين الأحادي</w:t>
            </w:r>
            <w:r w:rsidRPr="00BA7E95">
              <w:rPr>
                <w:rFonts w:ascii="Simplified Arabic" w:hAnsi="Simplified Arabic" w:cs="Simplified Arabic"/>
                <w:sz w:val="28"/>
                <w:szCs w:val="28"/>
              </w:rPr>
              <w:t xml:space="preserve"> (One-Way ANOVA)</w:t>
            </w:r>
          </w:p>
        </w:tc>
      </w:tr>
      <w:tr w:rsidR="00BA7E95" w:rsidRPr="00BA7E95" w14:paraId="7D61A008" w14:textId="77777777" w:rsidTr="00BA7E95">
        <w:tc>
          <w:tcPr>
            <w:tcW w:w="0" w:type="auto"/>
            <w:hideMark/>
          </w:tcPr>
          <w:p w14:paraId="23D6CB5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مصادر الفروق ذات الدلالة الإحصائية</w:t>
            </w:r>
          </w:p>
        </w:tc>
        <w:tc>
          <w:tcPr>
            <w:tcW w:w="0" w:type="auto"/>
            <w:hideMark/>
          </w:tcPr>
          <w:p w14:paraId="0243C823"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اختبار شيفيه</w:t>
            </w:r>
            <w:r w:rsidRPr="00BA7E95">
              <w:rPr>
                <w:rFonts w:ascii="Simplified Arabic" w:hAnsi="Simplified Arabic" w:cs="Simplified Arabic"/>
                <w:sz w:val="28"/>
                <w:szCs w:val="28"/>
              </w:rPr>
              <w:t xml:space="preserve"> (</w:t>
            </w:r>
            <w:proofErr w:type="spellStart"/>
            <w:r w:rsidRPr="00BA7E95">
              <w:rPr>
                <w:rFonts w:ascii="Simplified Arabic" w:hAnsi="Simplified Arabic" w:cs="Simplified Arabic"/>
                <w:sz w:val="28"/>
                <w:szCs w:val="28"/>
              </w:rPr>
              <w:t>Scheffé</w:t>
            </w:r>
            <w:proofErr w:type="spellEnd"/>
            <w:r w:rsidRPr="00BA7E95">
              <w:rPr>
                <w:rFonts w:ascii="Simplified Arabic" w:hAnsi="Simplified Arabic" w:cs="Simplified Arabic"/>
                <w:sz w:val="28"/>
                <w:szCs w:val="28"/>
              </w:rPr>
              <w:t xml:space="preserve"> Test)</w:t>
            </w:r>
          </w:p>
        </w:tc>
      </w:tr>
      <w:tr w:rsidR="00BA7E95" w:rsidRPr="00BA7E95" w14:paraId="70A44E8A" w14:textId="77777777" w:rsidTr="00BA7E95">
        <w:tc>
          <w:tcPr>
            <w:tcW w:w="0" w:type="auto"/>
            <w:hideMark/>
          </w:tcPr>
          <w:p w14:paraId="25455164"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التحقق من ثبات الأداة</w:t>
            </w:r>
          </w:p>
        </w:tc>
        <w:tc>
          <w:tcPr>
            <w:tcW w:w="0" w:type="auto"/>
            <w:hideMark/>
          </w:tcPr>
          <w:p w14:paraId="6F5024E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معامل ألفا كرونباخ</w:t>
            </w:r>
            <w:r w:rsidRPr="00BA7E95">
              <w:rPr>
                <w:rFonts w:ascii="Simplified Arabic" w:hAnsi="Simplified Arabic" w:cs="Simplified Arabic"/>
                <w:sz w:val="28"/>
                <w:szCs w:val="28"/>
              </w:rPr>
              <w:t xml:space="preserve"> (Cronbach's Alpha)</w:t>
            </w:r>
          </w:p>
        </w:tc>
      </w:tr>
      <w:tr w:rsidR="00BA7E95" w:rsidRPr="00BA7E95" w14:paraId="357D4462" w14:textId="77777777" w:rsidTr="00BA7E95">
        <w:tc>
          <w:tcPr>
            <w:tcW w:w="0" w:type="auto"/>
            <w:hideMark/>
          </w:tcPr>
          <w:p w14:paraId="6A65ECF5"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التحقق من الصدق البنائي</w:t>
            </w:r>
          </w:p>
        </w:tc>
        <w:tc>
          <w:tcPr>
            <w:tcW w:w="0" w:type="auto"/>
            <w:hideMark/>
          </w:tcPr>
          <w:p w14:paraId="63405156"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معامل ارتباط بيرسون</w:t>
            </w:r>
            <w:r w:rsidRPr="00BA7E95">
              <w:rPr>
                <w:rFonts w:ascii="Simplified Arabic" w:hAnsi="Simplified Arabic" w:cs="Simplified Arabic"/>
                <w:sz w:val="28"/>
                <w:szCs w:val="28"/>
              </w:rPr>
              <w:t xml:space="preserve"> (Pearson)</w:t>
            </w:r>
          </w:p>
        </w:tc>
      </w:tr>
      <w:tr w:rsidR="00BA7E95" w:rsidRPr="00BA7E95" w14:paraId="5B706D2E" w14:textId="77777777" w:rsidTr="00BA7E95">
        <w:tc>
          <w:tcPr>
            <w:tcW w:w="0" w:type="auto"/>
            <w:hideMark/>
          </w:tcPr>
          <w:p w14:paraId="21B52BE9"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التحقق من اعتدالية التوزيع</w:t>
            </w:r>
          </w:p>
        </w:tc>
        <w:tc>
          <w:tcPr>
            <w:tcW w:w="0" w:type="auto"/>
            <w:hideMark/>
          </w:tcPr>
          <w:p w14:paraId="3E6247F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اختبار</w:t>
            </w:r>
            <w:r w:rsidRPr="00BA7E95">
              <w:rPr>
                <w:rFonts w:ascii="Simplified Arabic" w:hAnsi="Simplified Arabic" w:cs="Simplified Arabic"/>
                <w:sz w:val="28"/>
                <w:szCs w:val="28"/>
              </w:rPr>
              <w:t xml:space="preserve"> (Kolmogorov-Smirnov)</w:t>
            </w:r>
          </w:p>
        </w:tc>
      </w:tr>
      <w:tr w:rsidR="00BA7E95" w:rsidRPr="00BA7E95" w14:paraId="7199AA83" w14:textId="77777777" w:rsidTr="00BA7E95">
        <w:tc>
          <w:tcPr>
            <w:tcW w:w="0" w:type="auto"/>
            <w:hideMark/>
          </w:tcPr>
          <w:p w14:paraId="0319675D"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التحقق من الازدواج الخطي</w:t>
            </w:r>
          </w:p>
        </w:tc>
        <w:tc>
          <w:tcPr>
            <w:tcW w:w="0" w:type="auto"/>
            <w:hideMark/>
          </w:tcPr>
          <w:p w14:paraId="009F129C" w14:textId="77777777" w:rsidR="00BA7E95" w:rsidRPr="00BA7E95" w:rsidRDefault="00BA7E95" w:rsidP="006220A5">
            <w:pPr>
              <w:shd w:val="clear" w:color="auto" w:fill="FFFF00"/>
              <w:spacing w:after="160" w:line="276"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معامل تضخم التباين</w:t>
            </w:r>
            <w:r w:rsidRPr="00BA7E95">
              <w:rPr>
                <w:rFonts w:ascii="Simplified Arabic" w:hAnsi="Simplified Arabic" w:cs="Simplified Arabic"/>
                <w:sz w:val="28"/>
                <w:szCs w:val="28"/>
              </w:rPr>
              <w:t xml:space="preserve"> (VIF) </w:t>
            </w:r>
            <w:r w:rsidRPr="00BA7E95">
              <w:rPr>
                <w:rFonts w:ascii="Simplified Arabic" w:hAnsi="Simplified Arabic" w:cs="Simplified Arabic"/>
                <w:sz w:val="28"/>
                <w:szCs w:val="28"/>
                <w:rtl/>
              </w:rPr>
              <w:t>والتسامح</w:t>
            </w:r>
            <w:r w:rsidRPr="00BA7E95">
              <w:rPr>
                <w:rFonts w:ascii="Simplified Arabic" w:hAnsi="Simplified Arabic" w:cs="Simplified Arabic"/>
                <w:sz w:val="28"/>
                <w:szCs w:val="28"/>
              </w:rPr>
              <w:t xml:space="preserve"> (Tolerance)</w:t>
            </w:r>
          </w:p>
        </w:tc>
      </w:tr>
      <w:tr w:rsidR="00CF116B" w:rsidRPr="00BA7E95" w14:paraId="6B86C127" w14:textId="77777777" w:rsidTr="00BA7E95">
        <w:tc>
          <w:tcPr>
            <w:tcW w:w="0" w:type="auto"/>
          </w:tcPr>
          <w:p w14:paraId="55CBB287" w14:textId="7E5A5023" w:rsidR="00CF116B" w:rsidRPr="00BA7E95" w:rsidRDefault="00CF116B" w:rsidP="00CF116B">
            <w:pPr>
              <w:shd w:val="clear" w:color="auto" w:fill="FFFF00"/>
              <w:spacing w:line="276" w:lineRule="auto"/>
              <w:jc w:val="both"/>
              <w:rPr>
                <w:rFonts w:ascii="Simplified Arabic" w:hAnsi="Simplified Arabic" w:cs="Simplified Arabic"/>
                <w:sz w:val="28"/>
                <w:szCs w:val="28"/>
                <w:rtl/>
              </w:rPr>
            </w:pPr>
            <w:r w:rsidRPr="00CF116B">
              <w:rPr>
                <w:rFonts w:ascii="Simplified Arabic" w:hAnsi="Simplified Arabic" w:cs="Simplified Arabic"/>
                <w:sz w:val="28"/>
                <w:szCs w:val="28"/>
                <w:rtl/>
              </w:rPr>
              <w:t>تقييم جودة نموذج الانحدار</w:t>
            </w:r>
          </w:p>
        </w:tc>
        <w:tc>
          <w:tcPr>
            <w:tcW w:w="0" w:type="auto"/>
          </w:tcPr>
          <w:p w14:paraId="028CB84B" w14:textId="69C15B21" w:rsidR="00CF116B" w:rsidRPr="00BA7E95" w:rsidRDefault="00CF116B" w:rsidP="00CF116B">
            <w:pPr>
              <w:shd w:val="clear" w:color="auto" w:fill="FFFF00"/>
              <w:spacing w:line="276" w:lineRule="auto"/>
              <w:jc w:val="both"/>
              <w:rPr>
                <w:rFonts w:ascii="Simplified Arabic" w:hAnsi="Simplified Arabic" w:cs="Simplified Arabic"/>
                <w:sz w:val="28"/>
                <w:szCs w:val="28"/>
                <w:rtl/>
              </w:rPr>
            </w:pPr>
            <w:r w:rsidRPr="00CF116B">
              <w:rPr>
                <w:rFonts w:ascii="Simplified Arabic" w:hAnsi="Simplified Arabic" w:cs="Simplified Arabic"/>
                <w:sz w:val="28"/>
                <w:szCs w:val="28"/>
                <w:rtl/>
              </w:rPr>
              <w:t>معامل التحديد</w:t>
            </w:r>
            <w:r w:rsidRPr="00CF116B">
              <w:rPr>
                <w:rFonts w:ascii="Simplified Arabic" w:hAnsi="Simplified Arabic" w:cs="Simplified Arabic"/>
                <w:sz w:val="28"/>
                <w:szCs w:val="28"/>
              </w:rPr>
              <w:t xml:space="preserve"> (R²)</w:t>
            </w:r>
            <w:r w:rsidRPr="00CF116B">
              <w:rPr>
                <w:rFonts w:ascii="Simplified Arabic" w:hAnsi="Simplified Arabic" w:cs="Simplified Arabic"/>
                <w:sz w:val="28"/>
                <w:szCs w:val="28"/>
                <w:rtl/>
              </w:rPr>
              <w:t>، معامل التحديد المعدَّل</w:t>
            </w:r>
            <w:r w:rsidRPr="00CF116B">
              <w:rPr>
                <w:rFonts w:ascii="Simplified Arabic" w:hAnsi="Simplified Arabic" w:cs="Simplified Arabic"/>
                <w:sz w:val="28"/>
                <w:szCs w:val="28"/>
              </w:rPr>
              <w:t xml:space="preserve"> (Adjusted R²)</w:t>
            </w:r>
            <w:r w:rsidRPr="00CF116B">
              <w:rPr>
                <w:rFonts w:ascii="Simplified Arabic" w:hAnsi="Simplified Arabic" w:cs="Simplified Arabic"/>
                <w:sz w:val="28"/>
                <w:szCs w:val="28"/>
                <w:rtl/>
              </w:rPr>
              <w:t>، اختبار</w:t>
            </w:r>
            <w:r w:rsidRPr="00CF116B">
              <w:rPr>
                <w:rFonts w:ascii="Simplified Arabic" w:hAnsi="Simplified Arabic" w:cs="Simplified Arabic"/>
                <w:sz w:val="28"/>
                <w:szCs w:val="28"/>
              </w:rPr>
              <w:t xml:space="preserve"> (F)</w:t>
            </w:r>
            <w:r w:rsidRPr="00CF116B">
              <w:rPr>
                <w:rFonts w:ascii="Simplified Arabic" w:hAnsi="Simplified Arabic" w:cs="Simplified Arabic"/>
                <w:sz w:val="28"/>
                <w:szCs w:val="28"/>
                <w:rtl/>
              </w:rPr>
              <w:t>، قيمة الدلالة</w:t>
            </w:r>
            <w:r w:rsidRPr="00CF116B">
              <w:rPr>
                <w:rFonts w:ascii="Simplified Arabic" w:hAnsi="Simplified Arabic" w:cs="Simplified Arabic"/>
                <w:sz w:val="28"/>
                <w:szCs w:val="28"/>
              </w:rPr>
              <w:t xml:space="preserve"> (Sig.)</w:t>
            </w:r>
            <w:r w:rsidRPr="00CF116B">
              <w:rPr>
                <w:rFonts w:ascii="Simplified Arabic" w:hAnsi="Simplified Arabic" w:cs="Simplified Arabic"/>
                <w:sz w:val="28"/>
                <w:szCs w:val="28"/>
                <w:rtl/>
              </w:rPr>
              <w:t>، معاملات</w:t>
            </w:r>
            <w:r w:rsidRPr="00CF116B">
              <w:rPr>
                <w:rFonts w:ascii="Simplified Arabic" w:hAnsi="Simplified Arabic" w:cs="Simplified Arabic"/>
                <w:sz w:val="28"/>
                <w:szCs w:val="28"/>
              </w:rPr>
              <w:t xml:space="preserve"> (Beta) </w:t>
            </w:r>
            <w:r w:rsidRPr="00CF116B">
              <w:rPr>
                <w:rFonts w:ascii="Simplified Arabic" w:hAnsi="Simplified Arabic" w:cs="Simplified Arabic"/>
                <w:sz w:val="28"/>
                <w:szCs w:val="28"/>
                <w:rtl/>
              </w:rPr>
              <w:t>و</w:t>
            </w:r>
            <w:r w:rsidRPr="00CF116B">
              <w:rPr>
                <w:rFonts w:ascii="Simplified Arabic" w:hAnsi="Simplified Arabic" w:cs="Simplified Arabic"/>
                <w:sz w:val="28"/>
                <w:szCs w:val="28"/>
              </w:rPr>
              <w:t>(t)</w:t>
            </w:r>
          </w:p>
        </w:tc>
      </w:tr>
    </w:tbl>
    <w:p w14:paraId="7B94BB6B" w14:textId="52A3FCAD" w:rsidR="000E0033" w:rsidRPr="004F0620" w:rsidRDefault="000E0033" w:rsidP="00D439AC">
      <w:pPr>
        <w:pStyle w:val="Heading1"/>
        <w:rPr>
          <w:rtl/>
        </w:rPr>
      </w:pPr>
      <w:bookmarkStart w:id="9" w:name="_Toc233187258"/>
      <w:r w:rsidRPr="004F0620">
        <w:rPr>
          <w:rtl/>
        </w:rPr>
        <w:t xml:space="preserve">حدود </w:t>
      </w:r>
      <w:r w:rsidR="00D439AC" w:rsidRPr="004F0620">
        <w:rPr>
          <w:rtl/>
        </w:rPr>
        <w:t>الدراسة</w:t>
      </w:r>
      <w:bookmarkEnd w:id="9"/>
      <w:r w:rsidR="00D439AC" w:rsidRPr="004F0620">
        <w:rPr>
          <w:rtl/>
        </w:rPr>
        <w:t xml:space="preserve"> </w:t>
      </w:r>
    </w:p>
    <w:p w14:paraId="5252E1E5"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الموضوعية</w:t>
      </w:r>
      <w:r w:rsidRPr="005C5DF8">
        <w:rPr>
          <w:rFonts w:ascii="Simplified Arabic" w:hAnsi="Simplified Arabic" w:cs="Simplified Arabic" w:hint="cs"/>
          <w:sz w:val="28"/>
          <w:szCs w:val="28"/>
          <w:rtl/>
        </w:rPr>
        <w:t>: تقتصر الدراسة على بحث أثر التزام الإدارة العليا بمعايير الحوكمة الرقمية بأبعادها الأربعة (الشفافية الرقمية، المساءلة الرقمية، الأمن السيبراني وحماية البيانات، البنية التحتية الرقمية) على نجاح مشاريع التحول الرقمي.</w:t>
      </w:r>
    </w:p>
    <w:p w14:paraId="50B0FCA3"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المكانية</w:t>
      </w:r>
      <w:r w:rsidRPr="005C5DF8">
        <w:rPr>
          <w:rFonts w:ascii="Simplified Arabic" w:hAnsi="Simplified Arabic" w:cs="Simplified Arabic" w:hint="cs"/>
          <w:sz w:val="28"/>
          <w:szCs w:val="28"/>
          <w:rtl/>
        </w:rPr>
        <w:t xml:space="preserve">: شركات الاتصالات العاملة في المملكة العربية السعودية (شركة الاتصالات السعودية </w:t>
      </w:r>
      <w:proofErr w:type="spellStart"/>
      <w:r w:rsidRPr="005C5DF8">
        <w:rPr>
          <w:rFonts w:ascii="Simplified Arabic" w:hAnsi="Simplified Arabic" w:cs="Simplified Arabic" w:hint="cs"/>
          <w:sz w:val="28"/>
          <w:szCs w:val="28"/>
        </w:rPr>
        <w:t>stc</w:t>
      </w:r>
      <w:proofErr w:type="spellEnd"/>
      <w:r w:rsidRPr="005C5DF8">
        <w:rPr>
          <w:rFonts w:ascii="Simplified Arabic" w:hAnsi="Simplified Arabic" w:cs="Simplified Arabic" w:hint="cs"/>
          <w:sz w:val="28"/>
          <w:szCs w:val="28"/>
          <w:rtl/>
        </w:rPr>
        <w:t>، شركة موبايلي، شركة زين السعودية).</w:t>
      </w:r>
    </w:p>
    <w:p w14:paraId="30D8C904" w14:textId="77777777" w:rsidR="00592685" w:rsidRPr="005C5DF8"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البشرية:</w:t>
      </w:r>
      <w:r w:rsidRPr="005C5DF8">
        <w:rPr>
          <w:rFonts w:ascii="Simplified Arabic" w:hAnsi="Simplified Arabic" w:cs="Simplified Arabic" w:hint="cs"/>
          <w:sz w:val="28"/>
          <w:szCs w:val="28"/>
          <w:rtl/>
        </w:rPr>
        <w:t xml:space="preserve"> القيادات الإدارية والوسطى والعاملون في إدارات التحول الرقمي وتقنية المعلومات والمشاريع في الشركات المستهدفة.</w:t>
      </w:r>
    </w:p>
    <w:p w14:paraId="37343338" w14:textId="77777777" w:rsidR="00592685" w:rsidRDefault="00592685">
      <w:pPr>
        <w:pStyle w:val="ListParagraph"/>
        <w:numPr>
          <w:ilvl w:val="0"/>
          <w:numId w:val="9"/>
        </w:numPr>
        <w:jc w:val="both"/>
        <w:rPr>
          <w:rFonts w:ascii="Simplified Arabic" w:hAnsi="Simplified Arabic" w:cs="Simplified Arabic"/>
          <w:sz w:val="28"/>
          <w:szCs w:val="28"/>
        </w:rPr>
      </w:pPr>
      <w:r w:rsidRPr="005C5DF8">
        <w:rPr>
          <w:rFonts w:ascii="Simplified Arabic" w:hAnsi="Simplified Arabic" w:cs="Simplified Arabic" w:hint="cs"/>
          <w:b/>
          <w:bCs/>
          <w:sz w:val="28"/>
          <w:szCs w:val="28"/>
          <w:rtl/>
        </w:rPr>
        <w:t>الحدود الزمانية</w:t>
      </w:r>
      <w:r w:rsidRPr="005C5DF8">
        <w:rPr>
          <w:rFonts w:ascii="Simplified Arabic" w:hAnsi="Simplified Arabic" w:cs="Simplified Arabic" w:hint="cs"/>
          <w:sz w:val="28"/>
          <w:szCs w:val="28"/>
          <w:rtl/>
        </w:rPr>
        <w:t>: سيتم تطبيق الدراسة الميدانية خلال العام 2026م.</w:t>
      </w:r>
    </w:p>
    <w:p w14:paraId="78222202" w14:textId="024F5879" w:rsidR="00BA7E95" w:rsidRDefault="00BA7E95" w:rsidP="006220A5">
      <w:pPr>
        <w:pStyle w:val="ListParagraph"/>
        <w:numPr>
          <w:ilvl w:val="0"/>
          <w:numId w:val="9"/>
        </w:numPr>
        <w:shd w:val="clear" w:color="auto" w:fill="FFFF00"/>
        <w:jc w:val="both"/>
        <w:rPr>
          <w:rFonts w:ascii="Simplified Arabic" w:hAnsi="Simplified Arabic" w:cs="Simplified Arabic"/>
          <w:sz w:val="28"/>
          <w:szCs w:val="28"/>
        </w:rPr>
      </w:pPr>
      <w:r w:rsidRPr="00BA7E95">
        <w:rPr>
          <w:rFonts w:ascii="Simplified Arabic" w:hAnsi="Simplified Arabic" w:cs="Simplified Arabic"/>
          <w:b/>
          <w:bCs/>
          <w:sz w:val="28"/>
          <w:szCs w:val="28"/>
          <w:rtl/>
        </w:rPr>
        <w:t>حدود التعميم</w:t>
      </w:r>
      <w:r w:rsidRPr="00BA7E95">
        <w:rPr>
          <w:rFonts w:ascii="Simplified Arabic" w:hAnsi="Simplified Arabic" w:cs="Simplified Arabic"/>
          <w:b/>
          <w:bCs/>
          <w:sz w:val="28"/>
          <w:szCs w:val="28"/>
        </w:rPr>
        <w:t>:</w:t>
      </w:r>
      <w:r w:rsidRPr="00BA7E95">
        <w:rPr>
          <w:rFonts w:ascii="Simplified Arabic" w:hAnsi="Simplified Arabic" w:cs="Simplified Arabic"/>
          <w:sz w:val="28"/>
          <w:szCs w:val="28"/>
        </w:rPr>
        <w:t xml:space="preserve"> </w:t>
      </w:r>
      <w:r w:rsidRPr="00BA7E95">
        <w:rPr>
          <w:rFonts w:ascii="Simplified Arabic" w:hAnsi="Simplified Arabic" w:cs="Simplified Arabic"/>
          <w:sz w:val="28"/>
          <w:szCs w:val="28"/>
          <w:rtl/>
        </w:rPr>
        <w:t>لا يمكن تعميم نتائج هذه الدراسة إلا على قطاع الاتصالات السعودي خلال الفترة الزمنية المحددة، ولا يجوز تعميمها على قطاعات أخرى (كالمصرفي أو الصحي أو الحكومي) أو على بيئات جغرافية مختلفة إلا بتحفّظ، نظراً لخصوصية طبيعة قطاع الاتصالات وبنيته التنظيمية والتقنية</w:t>
      </w:r>
    </w:p>
    <w:p w14:paraId="5E97A61F" w14:textId="75551272" w:rsidR="00BA7E95" w:rsidRPr="00BA7E95" w:rsidRDefault="00BA7E95" w:rsidP="006220A5">
      <w:pPr>
        <w:pStyle w:val="Heading1"/>
        <w:shd w:val="clear" w:color="auto" w:fill="FFFF00"/>
      </w:pPr>
      <w:r w:rsidRPr="00BA7E95">
        <w:rPr>
          <w:rtl/>
        </w:rPr>
        <w:t xml:space="preserve">خطوات تنفيذ خطة الدراسة </w:t>
      </w:r>
    </w:p>
    <w:p w14:paraId="7ACCE23A"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sz w:val="28"/>
          <w:szCs w:val="28"/>
          <w:rtl/>
        </w:rPr>
        <w:t>يوضح الجدول التالي المراحل التنفيذية للدراسة والمدة الزمنية المتوقعة لكل مرحلة، وفق مخطط زمني يمتد لسبعة أشهر</w:t>
      </w:r>
      <w:r w:rsidRPr="00BA7E95">
        <w:rPr>
          <w:rFonts w:ascii="Simplified Arabic" w:hAnsi="Simplified Arabic" w:cs="Simplified Arabic"/>
          <w:sz w:val="28"/>
          <w:szCs w:val="28"/>
        </w:rPr>
        <w:t>:</w:t>
      </w:r>
    </w:p>
    <w:p w14:paraId="210FCBA6"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b/>
          <w:bCs/>
          <w:sz w:val="28"/>
          <w:szCs w:val="28"/>
          <w:rtl/>
        </w:rPr>
        <w:t>جدول (3): الجدول الزمني لتنفيذ خطة الدراسة</w:t>
      </w:r>
      <w:r w:rsidRPr="00BA7E95">
        <w:rPr>
          <w:rFonts w:ascii="Simplified Arabic" w:hAnsi="Simplified Arabic" w:cs="Simplified Arabic"/>
          <w:b/>
          <w:bCs/>
          <w:sz w:val="28"/>
          <w:szCs w:val="28"/>
        </w:rPr>
        <w:t xml:space="preserve"> (Gantt Chart)</w:t>
      </w:r>
    </w:p>
    <w:tbl>
      <w:tblPr>
        <w:tblStyle w:val="TableGrid"/>
        <w:bidiVisual/>
        <w:tblW w:w="0" w:type="auto"/>
        <w:tblLook w:val="04A0" w:firstRow="1" w:lastRow="0" w:firstColumn="1" w:lastColumn="0" w:noHBand="0" w:noVBand="1"/>
      </w:tblPr>
      <w:tblGrid>
        <w:gridCol w:w="868"/>
        <w:gridCol w:w="5197"/>
        <w:gridCol w:w="1027"/>
        <w:gridCol w:w="1924"/>
      </w:tblGrid>
      <w:tr w:rsidR="00BA7E95" w:rsidRPr="00BA7E95" w14:paraId="4862AF1F" w14:textId="77777777" w:rsidTr="00BA7E95">
        <w:tc>
          <w:tcPr>
            <w:tcW w:w="0" w:type="auto"/>
            <w:hideMark/>
          </w:tcPr>
          <w:p w14:paraId="76046D74"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المرحلة</w:t>
            </w:r>
          </w:p>
        </w:tc>
        <w:tc>
          <w:tcPr>
            <w:tcW w:w="0" w:type="auto"/>
            <w:hideMark/>
          </w:tcPr>
          <w:p w14:paraId="22E7E64A"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النشاط</w:t>
            </w:r>
          </w:p>
        </w:tc>
        <w:tc>
          <w:tcPr>
            <w:tcW w:w="0" w:type="auto"/>
            <w:hideMark/>
          </w:tcPr>
          <w:p w14:paraId="357A7522"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المدة</w:t>
            </w:r>
          </w:p>
        </w:tc>
        <w:tc>
          <w:tcPr>
            <w:tcW w:w="0" w:type="auto"/>
            <w:hideMark/>
          </w:tcPr>
          <w:p w14:paraId="35EC616F" w14:textId="77777777" w:rsidR="00BA7E95" w:rsidRPr="00BA7E95" w:rsidRDefault="00BA7E95" w:rsidP="006220A5">
            <w:pPr>
              <w:shd w:val="clear" w:color="auto" w:fill="FFFF00"/>
              <w:spacing w:after="160" w:line="278" w:lineRule="auto"/>
              <w:jc w:val="both"/>
              <w:rPr>
                <w:rFonts w:ascii="Simplified Arabic" w:hAnsi="Simplified Arabic" w:cs="Simplified Arabic"/>
                <w:b/>
                <w:bCs/>
                <w:sz w:val="28"/>
                <w:szCs w:val="28"/>
              </w:rPr>
            </w:pPr>
            <w:r w:rsidRPr="00BA7E95">
              <w:rPr>
                <w:rFonts w:ascii="Simplified Arabic" w:hAnsi="Simplified Arabic" w:cs="Simplified Arabic"/>
                <w:b/>
                <w:bCs/>
                <w:sz w:val="28"/>
                <w:szCs w:val="28"/>
                <w:rtl/>
              </w:rPr>
              <w:t>التوقيت المتوقع</w:t>
            </w:r>
          </w:p>
        </w:tc>
      </w:tr>
      <w:tr w:rsidR="00BA7E95" w:rsidRPr="00BA7E95" w14:paraId="7FC1336C" w14:textId="77777777" w:rsidTr="00BA7E95">
        <w:tc>
          <w:tcPr>
            <w:tcW w:w="0" w:type="auto"/>
            <w:hideMark/>
          </w:tcPr>
          <w:p w14:paraId="0CE52343"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Pr>
              <w:t>1</w:t>
            </w:r>
          </w:p>
        </w:tc>
        <w:tc>
          <w:tcPr>
            <w:tcW w:w="0" w:type="auto"/>
            <w:hideMark/>
          </w:tcPr>
          <w:p w14:paraId="4D868380"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مراجعة الأدبيات النهائية وضبط الإطار النظري</w:t>
            </w:r>
          </w:p>
        </w:tc>
        <w:tc>
          <w:tcPr>
            <w:tcW w:w="0" w:type="auto"/>
            <w:hideMark/>
          </w:tcPr>
          <w:p w14:paraId="3C6FAE40"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شهر واحد</w:t>
            </w:r>
          </w:p>
        </w:tc>
        <w:tc>
          <w:tcPr>
            <w:tcW w:w="0" w:type="auto"/>
            <w:hideMark/>
          </w:tcPr>
          <w:p w14:paraId="237CA48B"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يناير 2026</w:t>
            </w:r>
          </w:p>
        </w:tc>
      </w:tr>
      <w:tr w:rsidR="00BA7E95" w:rsidRPr="00BA7E95" w14:paraId="383FD485" w14:textId="77777777" w:rsidTr="00BA7E95">
        <w:tc>
          <w:tcPr>
            <w:tcW w:w="0" w:type="auto"/>
            <w:hideMark/>
          </w:tcPr>
          <w:p w14:paraId="31DEA8A7"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Pr>
              <w:t>2</w:t>
            </w:r>
          </w:p>
        </w:tc>
        <w:tc>
          <w:tcPr>
            <w:tcW w:w="0" w:type="auto"/>
            <w:hideMark/>
          </w:tcPr>
          <w:p w14:paraId="45F8D03B"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تصميم أداة الدراسة واختبار الصدق والثبات (الدراسة الاستطلاعية)</w:t>
            </w:r>
          </w:p>
        </w:tc>
        <w:tc>
          <w:tcPr>
            <w:tcW w:w="0" w:type="auto"/>
            <w:hideMark/>
          </w:tcPr>
          <w:p w14:paraId="75593ECC"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شهر واحد</w:t>
            </w:r>
          </w:p>
        </w:tc>
        <w:tc>
          <w:tcPr>
            <w:tcW w:w="0" w:type="auto"/>
            <w:hideMark/>
          </w:tcPr>
          <w:p w14:paraId="7BCB105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فبراير 2026</w:t>
            </w:r>
          </w:p>
        </w:tc>
      </w:tr>
      <w:tr w:rsidR="00BA7E95" w:rsidRPr="00BA7E95" w14:paraId="0068F1F7" w14:textId="77777777" w:rsidTr="00BA7E95">
        <w:tc>
          <w:tcPr>
            <w:tcW w:w="0" w:type="auto"/>
            <w:hideMark/>
          </w:tcPr>
          <w:p w14:paraId="03C8BB3A"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Pr>
              <w:t>3</w:t>
            </w:r>
          </w:p>
        </w:tc>
        <w:tc>
          <w:tcPr>
            <w:tcW w:w="0" w:type="auto"/>
            <w:hideMark/>
          </w:tcPr>
          <w:p w14:paraId="46C3496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جمع البيانات الميدانية من الشركات الثلاث</w:t>
            </w:r>
          </w:p>
        </w:tc>
        <w:tc>
          <w:tcPr>
            <w:tcW w:w="0" w:type="auto"/>
            <w:hideMark/>
          </w:tcPr>
          <w:p w14:paraId="4CE4E4FD"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شهران</w:t>
            </w:r>
          </w:p>
        </w:tc>
        <w:tc>
          <w:tcPr>
            <w:tcW w:w="0" w:type="auto"/>
            <w:hideMark/>
          </w:tcPr>
          <w:p w14:paraId="0431AA8F"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مارس – أبريل 2026</w:t>
            </w:r>
          </w:p>
        </w:tc>
      </w:tr>
      <w:tr w:rsidR="00BA7E95" w:rsidRPr="00BA7E95" w14:paraId="18E46B84" w14:textId="77777777" w:rsidTr="00BA7E95">
        <w:tc>
          <w:tcPr>
            <w:tcW w:w="0" w:type="auto"/>
            <w:hideMark/>
          </w:tcPr>
          <w:p w14:paraId="5517452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Pr>
              <w:t>4</w:t>
            </w:r>
          </w:p>
        </w:tc>
        <w:tc>
          <w:tcPr>
            <w:tcW w:w="0" w:type="auto"/>
            <w:hideMark/>
          </w:tcPr>
          <w:p w14:paraId="78C5D53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التفريغ والتحليل الإحصائي باستخدام</w:t>
            </w:r>
            <w:r w:rsidRPr="00BA7E95">
              <w:rPr>
                <w:rFonts w:ascii="Simplified Arabic" w:hAnsi="Simplified Arabic" w:cs="Simplified Arabic"/>
                <w:sz w:val="28"/>
                <w:szCs w:val="28"/>
              </w:rPr>
              <w:t xml:space="preserve"> SPSS</w:t>
            </w:r>
          </w:p>
        </w:tc>
        <w:tc>
          <w:tcPr>
            <w:tcW w:w="0" w:type="auto"/>
            <w:hideMark/>
          </w:tcPr>
          <w:p w14:paraId="5892AA73"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شهر واحد</w:t>
            </w:r>
          </w:p>
        </w:tc>
        <w:tc>
          <w:tcPr>
            <w:tcW w:w="0" w:type="auto"/>
            <w:hideMark/>
          </w:tcPr>
          <w:p w14:paraId="0DA1F298"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مايو 2026</w:t>
            </w:r>
          </w:p>
        </w:tc>
      </w:tr>
      <w:tr w:rsidR="00BA7E95" w:rsidRPr="00BA7E95" w14:paraId="0215AE49" w14:textId="77777777" w:rsidTr="00BA7E95">
        <w:tc>
          <w:tcPr>
            <w:tcW w:w="0" w:type="auto"/>
            <w:hideMark/>
          </w:tcPr>
          <w:p w14:paraId="0DFD6692"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Pr>
              <w:t>5</w:t>
            </w:r>
          </w:p>
        </w:tc>
        <w:tc>
          <w:tcPr>
            <w:tcW w:w="0" w:type="auto"/>
            <w:hideMark/>
          </w:tcPr>
          <w:p w14:paraId="4D54AAAE"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كتابة التقرير النهائي ومناقشة النتائج</w:t>
            </w:r>
          </w:p>
        </w:tc>
        <w:tc>
          <w:tcPr>
            <w:tcW w:w="0" w:type="auto"/>
            <w:hideMark/>
          </w:tcPr>
          <w:p w14:paraId="4424C587"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شهران</w:t>
            </w:r>
          </w:p>
        </w:tc>
        <w:tc>
          <w:tcPr>
            <w:tcW w:w="0" w:type="auto"/>
            <w:hideMark/>
          </w:tcPr>
          <w:p w14:paraId="51BAB099" w14:textId="77777777" w:rsidR="00BA7E95" w:rsidRPr="00BA7E95" w:rsidRDefault="00BA7E95" w:rsidP="006220A5">
            <w:pPr>
              <w:shd w:val="clear" w:color="auto" w:fill="FFFF00"/>
              <w:spacing w:after="160" w:line="278" w:lineRule="auto"/>
              <w:jc w:val="both"/>
              <w:rPr>
                <w:rFonts w:ascii="Simplified Arabic" w:hAnsi="Simplified Arabic" w:cs="Simplified Arabic"/>
                <w:sz w:val="28"/>
                <w:szCs w:val="28"/>
              </w:rPr>
            </w:pPr>
            <w:r w:rsidRPr="00BA7E95">
              <w:rPr>
                <w:rFonts w:ascii="Simplified Arabic" w:hAnsi="Simplified Arabic" w:cs="Simplified Arabic"/>
                <w:sz w:val="28"/>
                <w:szCs w:val="28"/>
                <w:rtl/>
              </w:rPr>
              <w:t>يونيو – يوليو 2026</w:t>
            </w:r>
          </w:p>
        </w:tc>
      </w:tr>
    </w:tbl>
    <w:p w14:paraId="14CBCBB0" w14:textId="77777777" w:rsidR="00BA7E95" w:rsidRPr="00BA7E95" w:rsidRDefault="00BA7E95" w:rsidP="006220A5">
      <w:pPr>
        <w:shd w:val="clear" w:color="auto" w:fill="FFFF00"/>
        <w:jc w:val="both"/>
        <w:rPr>
          <w:rFonts w:ascii="Simplified Arabic" w:hAnsi="Simplified Arabic" w:cs="Simplified Arabic"/>
          <w:sz w:val="28"/>
          <w:szCs w:val="28"/>
        </w:rPr>
      </w:pPr>
      <w:r w:rsidRPr="00BA7E95">
        <w:rPr>
          <w:rFonts w:ascii="Simplified Arabic" w:hAnsi="Simplified Arabic" w:cs="Simplified Arabic"/>
          <w:sz w:val="28"/>
          <w:szCs w:val="28"/>
          <w:rtl/>
        </w:rPr>
        <w:t>ويهدف هذا الجدول إلى ضبط إيقاع الإنجاز، والتحقق من التزام الباحث بالمدد المُحدَّدة لكل مرحلة، مع إمكانية إجراء تعديلات محدودة عند الضرورة دون الإخلال بالمدة الإجمالية المُقدَّرة (سبعة أشهر)</w:t>
      </w:r>
      <w:r w:rsidRPr="00BA7E95">
        <w:rPr>
          <w:rFonts w:ascii="Simplified Arabic" w:hAnsi="Simplified Arabic" w:cs="Simplified Arabic"/>
          <w:sz w:val="28"/>
          <w:szCs w:val="28"/>
        </w:rPr>
        <w:t>.</w:t>
      </w:r>
    </w:p>
    <w:p w14:paraId="6F6C67C8" w14:textId="77777777" w:rsidR="00BA7E95" w:rsidRPr="00BA7E95" w:rsidRDefault="00BA7E95" w:rsidP="00BA7E95">
      <w:pPr>
        <w:jc w:val="both"/>
        <w:rPr>
          <w:rFonts w:ascii="Simplified Arabic" w:hAnsi="Simplified Arabic" w:cs="Simplified Arabic"/>
          <w:sz w:val="28"/>
          <w:szCs w:val="28"/>
          <w:rtl/>
        </w:rPr>
      </w:pPr>
    </w:p>
    <w:p w14:paraId="7C361C5B" w14:textId="549019A2" w:rsidR="00D8772F" w:rsidRPr="004F0620" w:rsidRDefault="00D8772F" w:rsidP="00592685">
      <w:pPr>
        <w:pStyle w:val="Heading1"/>
        <w:rPr>
          <w:rtl/>
        </w:rPr>
      </w:pPr>
      <w:bookmarkStart w:id="10" w:name="_Toc233187259"/>
      <w:r w:rsidRPr="004F0620">
        <w:rPr>
          <w:rtl/>
        </w:rPr>
        <w:t>الدراسات ال</w:t>
      </w:r>
      <w:r w:rsidR="00F41775" w:rsidRPr="004F0620">
        <w:rPr>
          <w:rFonts w:hint="cs"/>
          <w:rtl/>
        </w:rPr>
        <w:t xml:space="preserve">سابقة </w:t>
      </w:r>
      <w:r w:rsidRPr="004F0620">
        <w:rPr>
          <w:rtl/>
        </w:rPr>
        <w:t>:</w:t>
      </w:r>
      <w:bookmarkEnd w:id="10"/>
    </w:p>
    <w:p w14:paraId="22228E4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يتناول الباحث في هذا الجزء مجموعة من الدراسات السابقة ذات الصلة بموضوع الدراسة "أثر التزام الإدارة العليا بمعايير الحوكمة الرقمية على نجاح مشاريع التحول الرقمي: دراسة ميدانية على شركات الاتصالات السعودية"، وقد تم تقسيم هذه الدراسات إلى ثلاث مجموعات رئيسية وفقاً لمتغيرات الدراسة، وهي</w:t>
      </w:r>
      <w:r w:rsidRPr="003F5D9C">
        <w:rPr>
          <w:rFonts w:ascii="Simplified Arabic" w:hAnsi="Simplified Arabic" w:cs="Simplified Arabic"/>
          <w:sz w:val="28"/>
          <w:szCs w:val="28"/>
        </w:rPr>
        <w:t>:</w:t>
      </w:r>
    </w:p>
    <w:p w14:paraId="22B950B3"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الأولى</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الحوكمة الرقمية وعلاقتها بالمتغيرات الأخرى</w:t>
      </w:r>
      <w:r w:rsidRPr="003F5D9C">
        <w:rPr>
          <w:rFonts w:ascii="Simplified Arabic" w:hAnsi="Simplified Arabic" w:cs="Simplified Arabic"/>
          <w:sz w:val="28"/>
          <w:szCs w:val="28"/>
        </w:rPr>
        <w:t>.</w:t>
      </w:r>
    </w:p>
    <w:p w14:paraId="3A59B620"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الثانية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نجاح مشاريع التحول الرقمي وعلاقته بالمتغيرات الأخرى</w:t>
      </w:r>
      <w:r w:rsidRPr="003F5D9C">
        <w:rPr>
          <w:rFonts w:ascii="Simplified Arabic" w:hAnsi="Simplified Arabic" w:cs="Simplified Arabic"/>
          <w:sz w:val="28"/>
          <w:szCs w:val="28"/>
        </w:rPr>
        <w:t>.</w:t>
      </w:r>
    </w:p>
    <w:p w14:paraId="1EACADF6" w14:textId="77777777" w:rsidR="003F5D9C" w:rsidRPr="003F5D9C" w:rsidRDefault="003F5D9C">
      <w:pPr>
        <w:numPr>
          <w:ilvl w:val="0"/>
          <w:numId w:val="5"/>
        </w:numPr>
        <w:jc w:val="both"/>
        <w:rPr>
          <w:rFonts w:ascii="Simplified Arabic" w:hAnsi="Simplified Arabic" w:cs="Simplified Arabic"/>
          <w:sz w:val="28"/>
          <w:szCs w:val="28"/>
        </w:rPr>
      </w:pPr>
      <w:r w:rsidRPr="003F5D9C">
        <w:rPr>
          <w:rFonts w:ascii="Simplified Arabic" w:hAnsi="Simplified Arabic" w:cs="Simplified Arabic"/>
          <w:b/>
          <w:bCs/>
          <w:sz w:val="28"/>
          <w:szCs w:val="28"/>
          <w:rtl/>
        </w:rPr>
        <w:t>المجموعة الثالثة</w:t>
      </w:r>
      <w:r w:rsidRPr="003F5D9C">
        <w:rPr>
          <w:rFonts w:ascii="Simplified Arabic" w:hAnsi="Simplified Arabic" w:cs="Simplified Arabic"/>
          <w:b/>
          <w:bCs/>
          <w:sz w:val="28"/>
          <w:szCs w:val="28"/>
        </w:rPr>
        <w:t>:</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الدراسات التي تناولت العلاقة المباشرة بين الحوكمة الرقمية ونجاح التحول الرقمي</w:t>
      </w:r>
      <w:r w:rsidRPr="003F5D9C">
        <w:rPr>
          <w:rFonts w:ascii="Simplified Arabic" w:hAnsi="Simplified Arabic" w:cs="Simplified Arabic"/>
          <w:sz w:val="28"/>
          <w:szCs w:val="28"/>
        </w:rPr>
        <w:t>.</w:t>
      </w:r>
    </w:p>
    <w:p w14:paraId="619A830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وقد تم ترتيب الدراسات في كل مجموعة من الأحدث إلى الأقدم على النحو التالي</w:t>
      </w:r>
      <w:r w:rsidRPr="003F5D9C">
        <w:rPr>
          <w:rFonts w:ascii="Simplified Arabic" w:hAnsi="Simplified Arabic" w:cs="Simplified Arabic"/>
          <w:sz w:val="28"/>
          <w:szCs w:val="28"/>
        </w:rPr>
        <w:t>:</w:t>
      </w:r>
    </w:p>
    <w:p w14:paraId="64C91ABA"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الأولى: الدراسات التي تناولت الحوكمة الرقمية وعلاقتها بالمتغيرات الأخرى</w:t>
      </w:r>
    </w:p>
    <w:p w14:paraId="12135107" w14:textId="034D04F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السيد وسلامة (2026) بعنوان: "الحوكمة الرقمية كمدخل لتعزيز جودة الخدمات الحكومية الإلكترونية: دراسة حالة القطاع الحكومي الفلسطيني</w:t>
      </w:r>
      <w:r w:rsidRPr="003F5D9C">
        <w:rPr>
          <w:rFonts w:ascii="Simplified Arabic" w:hAnsi="Simplified Arabic" w:cs="Simplified Arabic"/>
          <w:b/>
          <w:bCs/>
          <w:sz w:val="28"/>
          <w:szCs w:val="28"/>
        </w:rPr>
        <w:t>"</w:t>
      </w:r>
    </w:p>
    <w:p w14:paraId="0A182BE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الكشف عن الدور الذي تلعبه الحوكمة الرقمية بأبعادها المتعددة (الشفافية الرقمية، المساءلة الإلكترونية، المشاركة الرقمية، الأمن السيبراني، البنية التحتية الرقمية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في تعزيز جودة الخدمات الحكومية الإلكترونية المقدمة في القطاع الحكومي الفلسطيني، وتحديداً في قطاع غزة. وقد اعتمد الباحثان على المنهج الوصفي التحليلي بشقيه النظري والميداني، حيث تم تطوير استبانة كأداة رئيسة لجمع البيانات الميدانية، وُزِّعت على عينة قوامها (385) موظفاً وموظفة من العاملين والمسؤولين في المؤسسات الحكومية الفلسطينية في قطاع غزة، وتم تحليل البيانات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وأساليب الإحصاء الاستدلالي. وقد أظهرت نتائج الدراسة وجود أثر إيجابي ذي دلالة إحصائية عند مستوى دلالة</w:t>
      </w:r>
      <w:r w:rsidRPr="003F5D9C">
        <w:rPr>
          <w:rFonts w:ascii="Simplified Arabic" w:hAnsi="Simplified Arabic" w:cs="Simplified Arabic"/>
          <w:sz w:val="28"/>
          <w:szCs w:val="28"/>
        </w:rPr>
        <w:t xml:space="preserve"> (</w:t>
      </w:r>
      <w:r w:rsidRPr="003F5D9C">
        <w:rPr>
          <w:rFonts w:ascii="Cambria" w:hAnsi="Cambria" w:cs="Cambria"/>
          <w:sz w:val="28"/>
          <w:szCs w:val="28"/>
        </w:rPr>
        <w:t>α</w:t>
      </w:r>
      <w:r w:rsidRPr="003F5D9C">
        <w:rPr>
          <w:rFonts w:ascii="Simplified Arabic" w:hAnsi="Simplified Arabic" w:cs="Simplified Arabic"/>
          <w:sz w:val="28"/>
          <w:szCs w:val="28"/>
        </w:rPr>
        <w:t xml:space="preserve"> </w:t>
      </w:r>
      <w:r w:rsidRPr="003F5D9C">
        <w:rPr>
          <w:rFonts w:ascii="Cambria Math" w:hAnsi="Cambria Math" w:cs="Cambria Math"/>
          <w:sz w:val="28"/>
          <w:szCs w:val="28"/>
        </w:rPr>
        <w:t>≤</w:t>
      </w:r>
      <w:r w:rsidRPr="003F5D9C">
        <w:rPr>
          <w:rFonts w:ascii="Simplified Arabic" w:hAnsi="Simplified Arabic" w:cs="Simplified Arabic"/>
          <w:sz w:val="28"/>
          <w:szCs w:val="28"/>
        </w:rPr>
        <w:t xml:space="preserve"> 0.05) </w:t>
      </w:r>
      <w:r w:rsidRPr="003F5D9C">
        <w:rPr>
          <w:rFonts w:ascii="Simplified Arabic" w:hAnsi="Simplified Arabic" w:cs="Simplified Arabic"/>
          <w:sz w:val="28"/>
          <w:szCs w:val="28"/>
          <w:rtl/>
        </w:rPr>
        <w:t>للحوكمة الرقمية بأبعادها مجتمعة في تعزيز جودة الخدمات الحكومية الإلكترونية، حيث تبيّن أن الحوكمة الرقمية تسهم بشكل فاعل في رفع مستوى الكفاءة، وتعزيز الشفافية، وتحسين رضا المستفيدين عن الخدمات الإلكترونية المقدمة. وأوصت الدراسة بضرورة تبني إطار متكامل للحوكمة الرقمية في القطاع الحكومي الفلسطيني، وتطوير البنية التحتية الرقمية، والاستثمار في بناء قدرات الكوادر البشرية الرقمية، فضلاً عن تفعيل آليات المساءلة والشفافية الرقمية، وتطوير منظومة الأمن السيبراني لحماية البيانات الحكومية</w:t>
      </w:r>
      <w:r w:rsidRPr="003F5D9C">
        <w:rPr>
          <w:rFonts w:ascii="Simplified Arabic" w:hAnsi="Simplified Arabic" w:cs="Simplified Arabic"/>
          <w:sz w:val="28"/>
          <w:szCs w:val="28"/>
        </w:rPr>
        <w:t>.</w:t>
      </w:r>
    </w:p>
    <w:p w14:paraId="5C58CC6D" w14:textId="3CC4FA9C"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الزيادي وشحاتة (2025) بعنوان: "أثر الحوكمة الرقمية على استراتيجية الرقابة الإدارية بتوسيط التمكين الذكي: دراسة ميدانية</w:t>
      </w:r>
      <w:r w:rsidRPr="003F5D9C">
        <w:rPr>
          <w:rFonts w:ascii="Simplified Arabic" w:hAnsi="Simplified Arabic" w:cs="Simplified Arabic"/>
          <w:b/>
          <w:bCs/>
          <w:sz w:val="28"/>
          <w:szCs w:val="28"/>
        </w:rPr>
        <w:t>"</w:t>
      </w:r>
    </w:p>
    <w:p w14:paraId="55A7627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الحوكمة الرقمية بأبعادها الأربعة (الشفافية الرقمية، الشمولية الرقمية، المسؤولية الرقمية، الخصوصية والأمان) على كل من التمكين الذكي واستراتيجية الرقابة الإدارية، مع الكشف عن الدور الوسيط الذي يقوم به التمكين الذكي في العلاقة بين الحوكمة الرقمية واستراتيجية الرقابة الإدارية. وقد استخدمت الدراسة المنهج الوصفي التحليلي، واعتمدت على الاستبانة كأداة رئيسة لجمع البيانات، حيث تم توزيعها على عينة قوامها (384) مفردة من المديرين والعاملين في المؤسسات محل الدراسة، وتم تحليل البيانات باستخدام أساليب إحصائية متقدمة من بينها نمذجة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وقد توصلت الدراسة إلى وجود أثر إيجابي معنوي للحوكمة الرقمية بأبعادها مجتمعة على استراتيجية الرقابة الإدارية، كما تبيّن وجود دور وسيط جزئي للتمكين الذكي في تعزيز العلاقة بين الحوكمة الرقمية واستراتيجية الرقابة الإدارية. وأوصت الدراسة بضرورة توظيف أدوات وآليات الحوكمة الرقمية في تطوير منظومة الرقابة الإدارية، وتعزيز ممارسات التمكين الذكي للعاملين، وتدريبهم على التقنيات الرقمية الحديثة، وبناء بيئة عمل رقمية تتسم بالشفافية والمسؤولية</w:t>
      </w:r>
      <w:r w:rsidRPr="003F5D9C">
        <w:rPr>
          <w:rFonts w:ascii="Simplified Arabic" w:hAnsi="Simplified Arabic" w:cs="Simplified Arabic"/>
          <w:sz w:val="28"/>
          <w:szCs w:val="28"/>
        </w:rPr>
        <w:t>.</w:t>
      </w:r>
    </w:p>
    <w:p w14:paraId="117851A9" w14:textId="27439FE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Sadat</w:t>
      </w:r>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impact of digital governance on public service efficiency: A cross-country analysis"</w:t>
      </w:r>
    </w:p>
    <w:p w14:paraId="4FE1743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استكشاف أثر الحوكمة الرقمية على كفاءة الخدمات العامة من خلال إجراء تحليل مقارن بين الدول الصناعية المتقدمة والدول النامية، وذلك بهدف فهم كيف تختلف ممارسات الحوكمة الرقمية ومخرجاتها باختلاف السياق المؤسسي والبنية التحتية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واعتمدت الدراسة على المنهج الوصفي التحليلي المقارن</w:t>
      </w:r>
      <w:r w:rsidRPr="003F5D9C">
        <w:rPr>
          <w:rFonts w:ascii="Simplified Arabic" w:hAnsi="Simplified Arabic" w:cs="Simplified Arabic"/>
          <w:sz w:val="28"/>
          <w:szCs w:val="28"/>
        </w:rPr>
        <w:t xml:space="preserve"> (Cross-Country Analysis)</w:t>
      </w:r>
      <w:r w:rsidRPr="003F5D9C">
        <w:rPr>
          <w:rFonts w:ascii="Simplified Arabic" w:hAnsi="Simplified Arabic" w:cs="Simplified Arabic"/>
          <w:sz w:val="28"/>
          <w:szCs w:val="28"/>
          <w:rtl/>
        </w:rPr>
        <w:t>، حيث استخدمت بيانات ثانوية من قواعد بيانات دولية موثوقة، وتكونت عينة الدراسة من (40) دولة موزعة بين دول صناعية متقدمة ودول نامية، مع تطبيق أساليب التحليل الكمي والإحصائي للمقارنة بينها. وقد توصلت نتائج الدراسة إلى أن الحوكمة الرقمية تعزز كفاءة الخدمات العامة بشكل ملحوظ في الدول التي تتمتع ببنية تحتية رقمية متقدمة ودعم مؤسسي قوي، حيث ساهمت في تقليص أوقات إنجاز المعاملات وخفض التكاليف التشغيلية، في حين تواجه الدول النامية تحديات حقيقية في تطبيقها بسبب ضعف البنية التحتية وقصور الأطر التشريعية والقانونية. وأوصت الدراسة بضرورة الاستثمار في تطوير البنية التحتية الرقمية، وتحديث الأطر التشريعية، وبناء قدرات الكوادر البشرية، فضلاً عن تعزيز التعاون الدولي لتبادل الخبرات والممارسات الفضلى في مجال الحوكمة الرقمية</w:t>
      </w:r>
      <w:r w:rsidRPr="003F5D9C">
        <w:rPr>
          <w:rFonts w:ascii="Simplified Arabic" w:hAnsi="Simplified Arabic" w:cs="Simplified Arabic"/>
          <w:sz w:val="28"/>
          <w:szCs w:val="28"/>
        </w:rPr>
        <w:t>.</w:t>
      </w:r>
    </w:p>
    <w:p w14:paraId="1735630A" w14:textId="685B6BC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Zahra (2025)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"Analysis of Digital Governance Framework Implementation to Enhance Digital Transformation"</w:t>
      </w:r>
    </w:p>
    <w:p w14:paraId="76253B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تحليل كيفية إسهام تطبيق إطار الحوكمة الرقمية في تعزيز مبادرات التحول الرقمي، وتحديد العناصر الأساسية الواجب توفرها في إطار الحوكمة الرقمية لضمان فاعلية التحول الرقمي، إضافة إلى دراسة الآثار المترتبة على غياب آليات الحوكمة في مشاريع التحول الرقمي. واعتمدت الدراسة على المنهج التحليلي النوعي، حيث تم إجراء مراجعة منهجية للأدبيات وتحليل عدد من دراسات الحالة لمنظمات تنفذ مبادرات تحول رقمي، وتكونت عينة الدراسة من (15) منظمة تم تحليل تجاربها في تطبيق أُطر الحوكمة الرقمية. وقد توصلت نتائج الدراسة إلى أن غياب إطار الحوكمة الرقمية الواضح يؤدي إلى ضعف فاعلية مبادرات التحول الرقمي وتشتت الجهود وهدر الموارد، في حين أن وجود إطار حوكمة متكامل يتضمن (الاستراتيجية، الهيكل التنظيمي، توزيع الأدوار والمسؤوليات، إدارة المخاطر والامتثال، قياس الأداء) يعزز نجاح التحول الرقمي بشكل جوهري. وأوصت الدراسة بضرورة بناء إطار حوكمة رقمية متكامل قبل الشروع في تنفيذ مبادرات التحول الرقمي، مع ضمان التزام الإدارة العليا بتطبيق هذا الإطار ومتابعة فاعليته باستمرار</w:t>
      </w:r>
      <w:r w:rsidRPr="003F5D9C">
        <w:rPr>
          <w:rFonts w:ascii="Simplified Arabic" w:hAnsi="Simplified Arabic" w:cs="Simplified Arabic"/>
          <w:sz w:val="28"/>
          <w:szCs w:val="28"/>
        </w:rPr>
        <w:t>.</w:t>
      </w:r>
    </w:p>
    <w:p w14:paraId="0D6547F9" w14:textId="164307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عبدالحميد (2024) بعنوان: "آليات تطبيق الحوكمة الرقمية في القطاع الحكومي: دروس مستفادة من الخبرة الدولية</w:t>
      </w:r>
      <w:r w:rsidRPr="003F5D9C">
        <w:rPr>
          <w:rFonts w:ascii="Simplified Arabic" w:hAnsi="Simplified Arabic" w:cs="Simplified Arabic"/>
          <w:b/>
          <w:bCs/>
          <w:sz w:val="28"/>
          <w:szCs w:val="28"/>
        </w:rPr>
        <w:t>"</w:t>
      </w:r>
    </w:p>
    <w:p w14:paraId="0186D5AE"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آليات تطبيق الحوكمة الرقمية في القطاع الحكومي، واستخلاص أهم الدروس المستفادة من التجارب الدولية الرائدة في هذا المجال، بهدف تقديم رؤية متكاملة يمكن الاستفادة منها في تطوير منظومة الحوكمة الرقمية في الدول العربية. واعتمدت الباحثة على المنهج الوصفي التحليلي المقارن، حيث قامت بتحليل مقارن لعينة من (6) تجارب دولية رائدة في تطبيق الحوكمة الرقمية، شملت دولاً من قارات مختلفة منها (إستونيا، كوريا الجنوبية، سنغافورة، الإمارات العربية المتحدة، المملكة المتحدة، الدنمارك). وقد توصلت نتائج الدراسة إلى أن نجاح تطبيق الحوكمة الرقمية يتطلب توافر منظومة متكاملة تشمل البنية التحتية الرقمية المتطورة، والإطار التشريعي والتنظيمي الملائم، والكوادر البشرية المؤهلة رقمياً، فضلاً عن الالتزام السياسي والإداري من القيادات العليا، ووجود ثقافة مؤسسية داعمة للتحول الرقمي. وأوصت الدراسة بضرورة الاستفادة من التجارب الدولية الناجحة في تصميم نموذج وطني للحوكمة الرقمية يراعي الخصوصية المحلية، وتطوير الإطار التشريعي والتنظيمي، وتأهيل الكوادر البشرية، وتعزيز الشراكة بين القطاعين العام والخاص</w:t>
      </w:r>
      <w:r w:rsidRPr="003F5D9C">
        <w:rPr>
          <w:rFonts w:ascii="Simplified Arabic" w:hAnsi="Simplified Arabic" w:cs="Simplified Arabic"/>
          <w:sz w:val="28"/>
          <w:szCs w:val="28"/>
        </w:rPr>
        <w:t>.</w:t>
      </w:r>
    </w:p>
    <w:p w14:paraId="70A33442" w14:textId="77777777" w:rsidR="005C5DF8" w:rsidRDefault="005C5DF8" w:rsidP="003F5D9C">
      <w:pPr>
        <w:jc w:val="both"/>
        <w:rPr>
          <w:rFonts w:ascii="Simplified Arabic" w:hAnsi="Simplified Arabic" w:cs="Simplified Arabic"/>
          <w:b/>
          <w:bCs/>
          <w:sz w:val="28"/>
          <w:szCs w:val="28"/>
          <w:rtl/>
        </w:rPr>
      </w:pPr>
    </w:p>
    <w:p w14:paraId="12261A10" w14:textId="77777777" w:rsidR="005C5DF8" w:rsidRDefault="005C5DF8" w:rsidP="003F5D9C">
      <w:pPr>
        <w:jc w:val="both"/>
        <w:rPr>
          <w:rFonts w:ascii="Simplified Arabic" w:hAnsi="Simplified Arabic" w:cs="Simplified Arabic"/>
          <w:b/>
          <w:bCs/>
          <w:sz w:val="28"/>
          <w:szCs w:val="28"/>
          <w:rtl/>
        </w:rPr>
      </w:pPr>
    </w:p>
    <w:p w14:paraId="2CC02CDC" w14:textId="4018CAB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خلف (2024) بعنوان: "دور تقنيات الحوكمة الرقمية في تحسين نظام الرقابة الداخلية</w:t>
      </w:r>
      <w:r w:rsidRPr="003F5D9C">
        <w:rPr>
          <w:rFonts w:ascii="Simplified Arabic" w:hAnsi="Simplified Arabic" w:cs="Simplified Arabic"/>
          <w:b/>
          <w:bCs/>
          <w:sz w:val="28"/>
          <w:szCs w:val="28"/>
        </w:rPr>
        <w:t>"</w:t>
      </w:r>
    </w:p>
    <w:p w14:paraId="6385B3AF"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إلقاء الضوء على أهمية ودور تقنيات الحوكمة الرقمية في تحسين فاعلية نظام الرقابة الداخلية في المنظمات، من خلال استكشاف العلاقة بين تطبيق تقنيات الحوكمة الرقمية ومستوى جودة الرقابة الداخلية. واستخدم الباحث المنهج الوصفي التحليلي بشقيه النظري والميداني، حيث تم تطوير استبانة كأداة لجمع البيانات الميدانية، وتم توزيعها على عينة قوامها (120) فرداً من العاملين في الجهات الرقابية والمدققين الداخليين في المؤسسات المبحوثة،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وقد توصلت نتائج الدراسة إلى أن تقنيات الحوكمة الرقمية تلعب دوراً إيجابياً ومعنوياً في تحسين نظام الرقابة الداخلية، من خلال تعزيز الشفافية، وضمان دقة المعلومات وموثوقيتها، وسرعة اكتشاف المخاطر والانحرافات، وتفعيل مبدأ المساءلة. وأوصت الدراسة بضرورة تبني تقنيات الحوكمة الرقمية الحديثة في الأنظمة الرقابية الداخلية، وتطوير قدرات المراجعين والمدققين الداخليين على استخدام هذه التقنيات، وتعزيز البنية التحتية التقنية للجهات الرقابية، وإصدار التشريعات اللازمة لدعم تطبيق الحوكمة الرقمية</w:t>
      </w:r>
      <w:r w:rsidRPr="003F5D9C">
        <w:rPr>
          <w:rFonts w:ascii="Simplified Arabic" w:hAnsi="Simplified Arabic" w:cs="Simplified Arabic"/>
          <w:sz w:val="28"/>
          <w:szCs w:val="28"/>
        </w:rPr>
        <w:t>.</w:t>
      </w:r>
    </w:p>
    <w:p w14:paraId="1B4B3C05" w14:textId="145D1FD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Manoharan</w:t>
      </w:r>
      <w:proofErr w:type="spellEnd"/>
      <w:r w:rsid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(2023)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An Assessment of Performance and Best Practices"</w:t>
      </w:r>
    </w:p>
    <w:p w14:paraId="304A5C24"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تقييم أداء الحوكمة الرقمية في الحكومات المحلية على المستوى العالمي، واستخلاص أفضل الممارسات في هذا المجال، من خلال إجراء مسح شامل ومقارن للمواقع الإلكترونية للحكومات المحلية في مختلف أنحاء العالم. واستخدمت الدراسة منهج المسح المقارن</w:t>
      </w:r>
      <w:r w:rsidRPr="003F5D9C">
        <w:rPr>
          <w:rFonts w:ascii="Simplified Arabic" w:hAnsi="Simplified Arabic" w:cs="Simplified Arabic"/>
          <w:sz w:val="28"/>
          <w:szCs w:val="28"/>
        </w:rPr>
        <w:t xml:space="preserve"> (Comparative Survey)</w:t>
      </w:r>
      <w:r w:rsidRPr="003F5D9C">
        <w:rPr>
          <w:rFonts w:ascii="Simplified Arabic" w:hAnsi="Simplified Arabic" w:cs="Simplified Arabic"/>
          <w:sz w:val="28"/>
          <w:szCs w:val="28"/>
          <w:rtl/>
        </w:rPr>
        <w:t>، حيث تم تقييم المواقع الإلكترونية وفق معايير محددة تشمل (الخصوصية والأمان، سهولة الاستخدام، المحتوى، الخدمات، المشاركة المواطنية)، وتكونت عينة الدراسة من (84) مدينة كبرى موزعة على مختلف قارات العالم. وقد توصلت نتائج الدراسة إلى وجود تباين كبير بين الدول والمدن في مستوى تطبيق الحوكمة الرقمية، حيث تتميز المدن الرائدة بتكامل الخدمات الإلكترونية، وتوفر معايير الشفافية والمساءلة، وتفعيل المشاركة المواطنية الرقمية، فيما تعاني مدن أخرى من فجوات رقمية واضحة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وأوصت الدراسة بتعزيز التعاون الدولي لتبادل أفضل الممارسات، وتطوير معايير عالمية موحدة للحوكمة الرقمية، والاستثمار في تطوير البنية التحتية الرقمية للحكومات المحلية، وتعزيز قدرات الكوادر البشرية العاملة في هذا المجال</w:t>
      </w:r>
      <w:r w:rsidRPr="003F5D9C">
        <w:rPr>
          <w:rFonts w:ascii="Simplified Arabic" w:hAnsi="Simplified Arabic" w:cs="Simplified Arabic"/>
          <w:sz w:val="28"/>
          <w:szCs w:val="28"/>
        </w:rPr>
        <w:t>.</w:t>
      </w:r>
    </w:p>
    <w:p w14:paraId="2FBDA021" w14:textId="04DC26A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Idzi</w:t>
      </w:r>
      <w:proofErr w:type="spellEnd"/>
      <w:r w:rsidRPr="003F5D9C">
        <w:rPr>
          <w:rFonts w:ascii="Simplified Arabic" w:hAnsi="Simplified Arabic" w:cs="Simplified Arabic"/>
          <w:b/>
          <w:bCs/>
          <w:sz w:val="28"/>
          <w:szCs w:val="28"/>
        </w:rPr>
        <w:t xml:space="preserve"> &amp; Gomes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government strategies that impact public services"</w:t>
      </w:r>
    </w:p>
    <w:p w14:paraId="18B4DDA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سعت هذه الدراسة إلى فهم استراتيجيات الحوكمة الرقمية الحكومية وتحليل أثرها على الخدمات العامة، وذلك من منظور الحوكمة العامة، مع التركيز على كيفية تأثير عصر الحوكمة الرقمية على إعادة صياغة العقد الاجتماعي بين الحكومات والمواطنين. واعتمدت الدراسة على منهج المراجعة المنهجية للأدبيات</w:t>
      </w:r>
      <w:r w:rsidRPr="003F5D9C">
        <w:rPr>
          <w:rFonts w:ascii="Simplified Arabic" w:hAnsi="Simplified Arabic" w:cs="Simplified Arabic"/>
          <w:sz w:val="28"/>
          <w:szCs w:val="28"/>
        </w:rPr>
        <w:t xml:space="preserve"> (Systematic Literature Review) </w:t>
      </w:r>
      <w:r w:rsidRPr="003F5D9C">
        <w:rPr>
          <w:rFonts w:ascii="Simplified Arabic" w:hAnsi="Simplified Arabic" w:cs="Simplified Arabic"/>
          <w:sz w:val="28"/>
          <w:szCs w:val="28"/>
          <w:rtl/>
        </w:rPr>
        <w:t>مع التحليل الميتاتحليلي</w:t>
      </w:r>
      <w:r w:rsidRPr="003F5D9C">
        <w:rPr>
          <w:rFonts w:ascii="Simplified Arabic" w:hAnsi="Simplified Arabic" w:cs="Simplified Arabic"/>
          <w:sz w:val="28"/>
          <w:szCs w:val="28"/>
        </w:rPr>
        <w:t xml:space="preserve"> (Meta-Analysis)</w:t>
      </w:r>
      <w:r w:rsidRPr="003F5D9C">
        <w:rPr>
          <w:rFonts w:ascii="Simplified Arabic" w:hAnsi="Simplified Arabic" w:cs="Simplified Arabic"/>
          <w:sz w:val="28"/>
          <w:szCs w:val="28"/>
          <w:rtl/>
        </w:rPr>
        <w:t>، حيث تكونت عينة الدراسة من (87) دراسة علمية محكّمة تم اختيارها وفق معايير منهجية صارمة من قواعد البيانات العلمية الدولية. وقد توصلت نتائج الدراسة إلى أن استراتيجيات الحوكمة الرقمية تؤثر بشكل جوهري ومعنوي على فاعلية وكفاءة الخدمات العامة، وأن العقد الاجتماعي الرقمي يحتاج إلى إعادة صياغة في ظل التحولات التي يشهدها عصر الحوكمة الرقمية، كما تبيّن أن نجاح هذه الاستراتيجيات يعتمد على عوامل متعددة من بينها الالتزام السياسي والقدرات المؤسسية. وأوصت الدراسة بضرورة تطوير استراتيجيات حوكمة رقمية شاملة تأخذ بعين الاعتبار السياق المؤسسي والاجتماعي والثقافي للدولة، مع تعزيز المشاركة المواطنية في صياغة هذه الاستراتيجيات</w:t>
      </w:r>
      <w:r w:rsidRPr="003F5D9C">
        <w:rPr>
          <w:rFonts w:ascii="Simplified Arabic" w:hAnsi="Simplified Arabic" w:cs="Simplified Arabic"/>
          <w:sz w:val="28"/>
          <w:szCs w:val="28"/>
        </w:rPr>
        <w:t>.</w:t>
      </w:r>
    </w:p>
    <w:p w14:paraId="6DA8AE21" w14:textId="6A50F061"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Vaia</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governance mechanisms and principles that enable agile responses in dynamic competitive environments"</w:t>
      </w:r>
    </w:p>
    <w:p w14:paraId="7B2D0CF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آليات ومبادئ الحوكمة الرقمية التي تمكّن المنظمات من تحقيق استجابات رشيقة ومرنة في البيئات التنافسية الديناميكية، وذلك من خلال استكشاف كيف تتطور هياكل وعمليات وعلاقات حوكمة تكنولوجيا المعلومات التقليدية لتلبية متطلبات العصر الرقمي. واستخدمت الدراسة منهج دراسة الحالة المتعددة</w:t>
      </w:r>
      <w:r w:rsidRPr="003F5D9C">
        <w:rPr>
          <w:rFonts w:ascii="Simplified Arabic" w:hAnsi="Simplified Arabic" w:cs="Simplified Arabic"/>
          <w:sz w:val="28"/>
          <w:szCs w:val="28"/>
        </w:rPr>
        <w:t xml:space="preserve"> (Multiple Case Study)</w:t>
      </w:r>
      <w:r w:rsidRPr="003F5D9C">
        <w:rPr>
          <w:rFonts w:ascii="Simplified Arabic" w:hAnsi="Simplified Arabic" w:cs="Simplified Arabic"/>
          <w:sz w:val="28"/>
          <w:szCs w:val="28"/>
          <w:rtl/>
        </w:rPr>
        <w:t>، حيث تكونت عينة الدراسة من (3) دراسات حالة لمنظمات عالمية رائدة في التحول الرقمي، أبرزها بنك الكومنولث الأسترالي</w:t>
      </w:r>
      <w:r w:rsidRPr="003F5D9C">
        <w:rPr>
          <w:rFonts w:ascii="Simplified Arabic" w:hAnsi="Simplified Arabic" w:cs="Simplified Arabic"/>
          <w:sz w:val="28"/>
          <w:szCs w:val="28"/>
        </w:rPr>
        <w:t xml:space="preserve"> (Commonwealth Bank of Australia)</w:t>
      </w:r>
      <w:r w:rsidRPr="003F5D9C">
        <w:rPr>
          <w:rFonts w:ascii="Simplified Arabic" w:hAnsi="Simplified Arabic" w:cs="Simplified Arabic"/>
          <w:sz w:val="28"/>
          <w:szCs w:val="28"/>
          <w:rtl/>
        </w:rPr>
        <w:t>، مع إجراء مقابلات معمّقة مع كبار المسؤولين التنفيذيين وتحليل وثائق المنظمات. وقد توصلت نتائج الدراسة إلى أن الحوكمة الرقمية الفعّالة تقوم على آليات ومبادئ تتيح المرونة والاستجابة السريعة، وأن التكامل بين هياكل الحوكمة الرشيقة، والعمليات المرنة، والعلاقات التعاونية، والثقافة التنظيمية الداعمة يُعد عاملاً حاسماً في نجاح التحول الرقمي. وأوصت الدراسة بتبني نماذج حوكمة رقمية رشيقة تجمع بين الانضباط المؤسسي والمرونة التشغيلية، مع تطوير قدرات القيادات الرقمية في المنظمات</w:t>
      </w:r>
      <w:r w:rsidRPr="003F5D9C">
        <w:rPr>
          <w:rFonts w:ascii="Simplified Arabic" w:hAnsi="Simplified Arabic" w:cs="Simplified Arabic"/>
          <w:sz w:val="28"/>
          <w:szCs w:val="28"/>
        </w:rPr>
        <w:t>.</w:t>
      </w:r>
    </w:p>
    <w:p w14:paraId="0A58406C" w14:textId="23357F18"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Jelovac</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"HPC in business: the impact of corporate digital responsibility on building digital trust and responsible corporate digital governance"</w:t>
      </w:r>
    </w:p>
    <w:p w14:paraId="76AC221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تحليل أثر المسؤولية الرقمية للشركات</w:t>
      </w:r>
      <w:r w:rsidRPr="003F5D9C">
        <w:rPr>
          <w:rFonts w:ascii="Simplified Arabic" w:hAnsi="Simplified Arabic" w:cs="Simplified Arabic"/>
          <w:sz w:val="28"/>
          <w:szCs w:val="28"/>
        </w:rPr>
        <w:t xml:space="preserve"> (Corporate Digital Responsibility) </w:t>
      </w:r>
      <w:r w:rsidRPr="003F5D9C">
        <w:rPr>
          <w:rFonts w:ascii="Simplified Arabic" w:hAnsi="Simplified Arabic" w:cs="Simplified Arabic"/>
          <w:sz w:val="28"/>
          <w:szCs w:val="28"/>
          <w:rtl/>
        </w:rPr>
        <w:t>على بناء الثقة الرقمية لدى أصحاب المصلحة، وعلى ممارسات الحوكمة الرقمية المسؤولة في بيئة الأعمال، مع استكشاف الدور الذي تلعبه الحوسبة عالية الأداء</w:t>
      </w:r>
      <w:r w:rsidRPr="003F5D9C">
        <w:rPr>
          <w:rFonts w:ascii="Simplified Arabic" w:hAnsi="Simplified Arabic" w:cs="Simplified Arabic"/>
          <w:sz w:val="28"/>
          <w:szCs w:val="28"/>
        </w:rPr>
        <w:t xml:space="preserve"> (HPC) </w:t>
      </w:r>
      <w:r w:rsidRPr="003F5D9C">
        <w:rPr>
          <w:rFonts w:ascii="Simplified Arabic" w:hAnsi="Simplified Arabic" w:cs="Simplified Arabic"/>
          <w:sz w:val="28"/>
          <w:szCs w:val="28"/>
          <w:rtl/>
        </w:rPr>
        <w:t xml:space="preserve">في تعزيز هذه العلاقة. واستخدمت الدراسة المنهج الوصفي التحليلي مع تحليل دراسات حالة لعدد من الشركات الأوروبية الرائدة، وتكونت عينة الدراسة من </w:t>
      </w:r>
      <w:r w:rsidRPr="003F5D9C">
        <w:rPr>
          <w:rFonts w:ascii="Simplified Arabic" w:hAnsi="Simplified Arabic" w:cs="Simplified Arabic"/>
          <w:sz w:val="28"/>
          <w:szCs w:val="28"/>
        </w:rPr>
        <w:t xml:space="preserve">(5) </w:t>
      </w:r>
      <w:r w:rsidRPr="003F5D9C">
        <w:rPr>
          <w:rFonts w:ascii="Simplified Arabic" w:hAnsi="Simplified Arabic" w:cs="Simplified Arabic"/>
          <w:sz w:val="28"/>
          <w:szCs w:val="28"/>
          <w:rtl/>
        </w:rPr>
        <w:t>شركات تعمل في قطاعات متنوعة، مع إجراء مقابلات شبه منظمة مع المسؤولين فيها وتحليل وثائق ومبادرات المسؤولية الرقمية لديها. وقد توصلت نتائج الدراسة إلى أن المسؤولية الرقمية للشركات تسهم بشكل جوهري ومعنوي في بناء الثقة الرقمية لدى أصحاب المصلحة، وتعزز ممارسات الحوكمة الرقمية المسؤولة، كما أن تبني مبادئ الأخلاقيات الرقمية وحماية البيانات يمثل ركيزة أساسية لبناء سمعة رقمية إيجابية للشركات. وأوصت الدراسة بضرورة تبني الشركات لاستراتيجيات متكاملة للمسؤولية الرقمية، وإدماج مبادئ الأخلاقيات الرقمية في منظومة الحوكمة، وتعزيز الشفافية في التعامل مع البيانات</w:t>
      </w:r>
      <w:r w:rsidRPr="003F5D9C">
        <w:rPr>
          <w:rFonts w:ascii="Simplified Arabic" w:hAnsi="Simplified Arabic" w:cs="Simplified Arabic"/>
          <w:sz w:val="28"/>
          <w:szCs w:val="28"/>
        </w:rPr>
        <w:t>.</w:t>
      </w:r>
    </w:p>
    <w:p w14:paraId="44A572D3" w14:textId="41A9903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بوسعدية (2022) بعنوان: "أثر الحوكمة الرقمية في مكافحة الفساد الإداري</w:t>
      </w:r>
      <w:r w:rsidRPr="003F5D9C">
        <w:rPr>
          <w:rFonts w:ascii="Simplified Arabic" w:hAnsi="Simplified Arabic" w:cs="Simplified Arabic"/>
          <w:b/>
          <w:bCs/>
          <w:sz w:val="28"/>
          <w:szCs w:val="28"/>
        </w:rPr>
        <w:t>"</w:t>
      </w:r>
    </w:p>
    <w:p w14:paraId="1A32DCC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إلقاء الضوء على أسلوب ممارسة سلطات الإدارة الرشيدة (الحوكمة الرقمية)، ودورها الهام في الوقاية من الفساد الإداري ومكافحته، سواء بطريقة مباشرة من خلال آليات الرقابة الرقمية، أو بطريقة غير مباشرة عبر تعزيز قيم الشفافية والمساءلة. وقد اعتمد الباحث على المنهج الوصفي التحليلي، حيث قام بتحليل الأطر النظرية والتشريعية المتعلقة بالحوكمة الرقمية ومكافحة الفساد، مع الاستناد إلى عينة من التجارب الدولية والعربية في توظيف الحوكمة الرقمية لمكافحة الفساد الإداري. وقد توصلت نتائج الدراسة إلى أن الحوكمة الرقمية تلعب دوراً هاماً وفعّالاً في الوقاية من الفساد الإداري ومكافحته، من خلال تعزيز الشفافية والمساءلة، وتقليل التعاملات الورقية والاتصال المباشر بين الموظفين والمستفيدين، وتوفير قواعد بيانات دقيقة وقابلة للتتبع، فضلاً عن تمكين المواطنين من الرقابة على الأداء الحكومي. وأوصت الدراسة بضرورة تعزيز تطبيق الحوكمة الرقمية في المؤسسات الحكومية بوصفها إحدى الآليات الفعّالة لمكافحة الفساد الإداري، وتطوير الإطار التشريعي الداعم لها، وبناء قدرات الموظفين على استخدام الأدوات الرقمية</w:t>
      </w:r>
      <w:r w:rsidRPr="003F5D9C">
        <w:rPr>
          <w:rFonts w:ascii="Simplified Arabic" w:hAnsi="Simplified Arabic" w:cs="Simplified Arabic"/>
          <w:sz w:val="28"/>
          <w:szCs w:val="28"/>
        </w:rPr>
        <w:t>.</w:t>
      </w:r>
    </w:p>
    <w:p w14:paraId="2E19F81D"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الثانية: الدراسات التي تناولت نجاح مشاريع التحول الرقمي وعلاقته بالمتغيرات الأخرى</w:t>
      </w:r>
    </w:p>
    <w:p w14:paraId="355048A7" w14:textId="3DEE94C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أحمد ومهدي (2024) بعنوان: "أثر استراتيجيات التحول الرقمي على نجاح مشاريع منظمات الأعمال: دراسة ميدانية في شركات الاتصالات العاملة في العراق</w:t>
      </w:r>
      <w:r w:rsidRPr="003F5D9C">
        <w:rPr>
          <w:rFonts w:ascii="Simplified Arabic" w:hAnsi="Simplified Arabic" w:cs="Simplified Arabic"/>
          <w:b/>
          <w:bCs/>
          <w:sz w:val="28"/>
          <w:szCs w:val="28"/>
        </w:rPr>
        <w:t>"</w:t>
      </w:r>
    </w:p>
    <w:p w14:paraId="63FFF98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أثر استراتيجيات التحول الرقمي بأبعادها على نجاح المشاريع في شركات الاتصالات العاملة في المحافظات العراقية، مع تحديد طبيعة العلاقة بين تبني استراتيجيات التحول الرقمي ومؤشرات نجاح المشاريع. وقد استخدم الباحثان المنهج الوصفي التحليلي بشقيه النظري والميداني، واعتمدا على الاستبانة كأداة رئيسة لجمع البيانات، حيث تم توزيع (160) استبانة على عينة من المديرين والعاملين في شركات الاتصالات العراقية، وتم استرداد الاستبانات الصالحة للتحليل ومعالجتها باستخدام الرزمة الإحصائية للعلوم الاجتماعية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أثر إيجابي ذي دلالة إحصائية لاستراتيجيات التحول الرقمي على نجاح مشاريع منظمات الأعمال في قطاع الاتصالات العراقي، حيث أسهمت هذه الاستراتيجيات في تحسين الكفاءة التشغيلية، وتعزيز رضا العملاء، وتحقيق الأهداف الاستراتيجية للشركات</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وأوصت الدراسة بضرورة تبني شركات الاتصالات لاستراتيجيات شاملة ومتكاملة للتحول الرقمي، وتطوير البنية التحتية الرقمية، وبناء قدرات الموارد البشرية الرقمية، وتعزيز ثقافة الابتكار الرقمي</w:t>
      </w:r>
      <w:r w:rsidRPr="003F5D9C">
        <w:rPr>
          <w:rFonts w:ascii="Simplified Arabic" w:hAnsi="Simplified Arabic" w:cs="Simplified Arabic"/>
          <w:sz w:val="28"/>
          <w:szCs w:val="28"/>
        </w:rPr>
        <w:t>.</w:t>
      </w:r>
    </w:p>
    <w:p w14:paraId="6E144EC3" w14:textId="04CE59A8"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داهينين (2024) بعنوان: "أثر القدرات الرقمية في نجاح التحول الرقمي بالمشاريع الريادية: تبني التوجه الاستباقي من خلال تطبيق مقاربة القدرات الديناميكية</w:t>
      </w:r>
      <w:r w:rsidRPr="003F5D9C">
        <w:rPr>
          <w:rFonts w:ascii="Simplified Arabic" w:hAnsi="Simplified Arabic" w:cs="Simplified Arabic"/>
          <w:b/>
          <w:bCs/>
          <w:sz w:val="28"/>
          <w:szCs w:val="28"/>
        </w:rPr>
        <w:t>"</w:t>
      </w:r>
    </w:p>
    <w:p w14:paraId="1C1E7AD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البحث في مدى تأثير القدرات الرقمية من خلال عواملها الثلاثة المحورية (قدرات الاستكشاف، قدرات الاستغلال، قدرات التكامل) على نجاح التحول الرقمي في المشاريع الريادية، مع تبني التوجه الاستباقي وفقاً لمقاربة القدرات الديناميكية. واستخدم الباحث المنهج الوصفي التحليلي، واعتمد على الاستبانة كأداة لجمع البيانات الميدانية، حيث تكونت عينة الدراسة من (150) مفردة من أصحاب المشاريع الريادية والمديرين العاملين فيها في الجزائر، وتم تحليل البيانات باستخدام الأساليب الإحصائية المناسبة. وقد توصلت نتائج الدراسة إلى وجود أثر إيجابي معنوي للقدرات الرقمية بأبعادها الثلاثة في نجاح التحول الرقمي بالمشاريع الريادية، حيث تبيّن أن التوجه الاستباقي يعزز هذا الأثر بشكل ملحوظ، وأن القدرات الديناميكية تمكّن المشاريع الريادية من التكيّف السريع مع المتغيرات الرقمية. وأوصت الدراسة بضرورة تطوير القدرات الرقمية الديناميكية للمشاريع الريادية، وتبني توجه استباقي في إدارة التحول الرقمي، والاستثمار في تأهيل الموارد البشرية ودعم الابتكار الرقمي</w:t>
      </w:r>
      <w:r w:rsidRPr="003F5D9C">
        <w:rPr>
          <w:rFonts w:ascii="Simplified Arabic" w:hAnsi="Simplified Arabic" w:cs="Simplified Arabic"/>
          <w:sz w:val="28"/>
          <w:szCs w:val="28"/>
        </w:rPr>
        <w:t>.</w:t>
      </w:r>
    </w:p>
    <w:p w14:paraId="585A4DA9" w14:textId="7B5240D1"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Kala </w:t>
      </w:r>
      <w:proofErr w:type="spellStart"/>
      <w:r w:rsidRPr="003F5D9C">
        <w:rPr>
          <w:rFonts w:ascii="Simplified Arabic" w:hAnsi="Simplified Arabic" w:cs="Simplified Arabic"/>
          <w:b/>
          <w:bCs/>
          <w:sz w:val="28"/>
          <w:szCs w:val="28"/>
        </w:rPr>
        <w:t>Kamdjoug</w:t>
      </w:r>
      <w:proofErr w:type="spellEnd"/>
      <w:r w:rsidRPr="003F5D9C">
        <w:rPr>
          <w:rFonts w:ascii="Simplified Arabic" w:hAnsi="Simplified Arabic" w:cs="Simplified Arabic"/>
          <w:b/>
          <w:bCs/>
          <w:sz w:val="28"/>
          <w:szCs w:val="28"/>
        </w:rPr>
        <w:t xml:space="preserve"> (2024)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"Change management and digital transformation project success in SMEs located in the Democratic Republic of the Congo"</w:t>
      </w:r>
    </w:p>
    <w:p w14:paraId="1B622CE8"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دور إدارة التغيير في نجاح مشاريع التحول الرقمي في الشركات الصغيرة والمتوسطة بجمهورية الكونغو الديمقراطية، مع التركيز على إدارة العنصر البشري بوصفها أحد المحاور الرئيسة لإدارة التغيير. واستخدم الباحث المنهج الكمي، حيث تم جمع البيانات بواسطة استبانة وُزِّعت على عينة قوامها (320) موظفاً من العاملين في الشركات الصغيرة والمتوسطة في جمهورية الكونغو الديمقراطية، وتم تحليل البيانات باستخدام نمذجة المعادلات الهيكلية</w:t>
      </w:r>
      <w:r w:rsidRPr="003F5D9C">
        <w:rPr>
          <w:rFonts w:ascii="Simplified Arabic" w:hAnsi="Simplified Arabic" w:cs="Simplified Arabic"/>
          <w:sz w:val="28"/>
          <w:szCs w:val="28"/>
        </w:rPr>
        <w:t xml:space="preserve"> (PLS-SEM). </w:t>
      </w:r>
      <w:r w:rsidRPr="003F5D9C">
        <w:rPr>
          <w:rFonts w:ascii="Simplified Arabic" w:hAnsi="Simplified Arabic" w:cs="Simplified Arabic"/>
          <w:sz w:val="28"/>
          <w:szCs w:val="28"/>
          <w:rtl/>
        </w:rPr>
        <w:t>وقد توصلت نتائج الدراسة إلى أن إدارة التغيير، وخاصة الجوانب المتعلقة بإدارة الموارد البشرية ومواجهة مقاومة التغيير، تؤثر بشكل إيجابي ومعنوي في نجاح مشاريع التحول الرقمي في الشركات الصغيرة والمتوسطة، كما أكدت النتائج على أهمية التواصل الفعّال والتدريب والتمكين في تعزيز هذا الأثر. وأوصت الدراسة بضرورة تبني الشركات الصغيرة والمتوسطة لممارسات فعالة في إدارة التغيير، والتركيز على إدارة الموارد البشرية، وتطوير برامج تدريبية متخصصة، وتعزيز التواصل الداخلي خلال مراحل التحول الرقمي</w:t>
      </w:r>
      <w:r w:rsidRPr="003F5D9C">
        <w:rPr>
          <w:rFonts w:ascii="Simplified Arabic" w:hAnsi="Simplified Arabic" w:cs="Simplified Arabic"/>
          <w:sz w:val="28"/>
          <w:szCs w:val="28"/>
        </w:rPr>
        <w:t>.</w:t>
      </w:r>
    </w:p>
    <w:p w14:paraId="206171F6" w14:textId="1D8D9A5F"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الحسن والنجار (2023) بعنوان: "تكنولوجيا المعلومات وأثرها في نجاح المشاريع: الدور الوسيط للمنصات الرقمية في الشركات الإنشائية الأردنية</w:t>
      </w:r>
      <w:r w:rsidRPr="003F5D9C">
        <w:rPr>
          <w:rFonts w:ascii="Simplified Arabic" w:hAnsi="Simplified Arabic" w:cs="Simplified Arabic"/>
          <w:b/>
          <w:bCs/>
          <w:sz w:val="28"/>
          <w:szCs w:val="28"/>
        </w:rPr>
        <w:t>"</w:t>
      </w:r>
    </w:p>
    <w:p w14:paraId="555DAE4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أثر تكنولوجيا المعلومات بأبعادها (الأجهزة، البرمجيات، شبكات الاتصال، الموارد البشرية، قواعد البيانات) على نجاح المشاريع في الشركات الإنشائية الأردنية، مع الكشف عن الدور الوسيط للمنصات الرقمية في هذه العلاقة</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واستخدم الباحثان المنهج الوصفي التحليلي، واعتمدا على الاستبانة كأداة رئيسة لجمع البيانات، حيث تكونت عينة الدراسة من (300) مفردة من المديرين والمهندسين العاملين في الشركات الإنشائية الأردنية،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ونمذجة المعادلات الهيكلية. وقد توصلت نتائج الدراسة إلى وجود أثر إيجابي ذي دلالة إحصائية لتكنولوجيا المعلومات بأبعادها مجتمعة في نجاح المشاريع الإنشائية، كما أكدت النتائج على وجود دور وسيط معنوي للمنصات الرقمية في تعزيز هذه العلاقة. وأوصت الدراسة بضرورة تعزيز استخدام تكنولوجيا المعلومات والمنصات الرقمية في الشركات الإنشائية الأردنية، وتطوير البنية التحتية التقنية، وتأهيل الكوادر البشرية، والاستثمار في حلول إدارة المشاريع الرقمية الحديثة</w:t>
      </w:r>
      <w:r w:rsidRPr="003F5D9C">
        <w:rPr>
          <w:rFonts w:ascii="Simplified Arabic" w:hAnsi="Simplified Arabic" w:cs="Simplified Arabic"/>
          <w:sz w:val="28"/>
          <w:szCs w:val="28"/>
        </w:rPr>
        <w:t>.</w:t>
      </w:r>
    </w:p>
    <w:p w14:paraId="05F2BCD2" w14:textId="0DB875AC"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Andrade</w:t>
      </w:r>
      <w:r w:rsidR="005C5DF8">
        <w:rPr>
          <w:rFonts w:ascii="Simplified Arabic" w:hAnsi="Simplified Arabic" w:cs="Simplified Arabic"/>
          <w:b/>
          <w:bCs/>
          <w:sz w:val="28"/>
          <w:szCs w:val="28"/>
        </w:rPr>
        <w:t xml:space="preserve"> </w:t>
      </w:r>
      <w:r w:rsidR="005C5DF8" w:rsidRPr="005C5DF8">
        <w:rPr>
          <w:rFonts w:ascii="Simplified Arabic" w:hAnsi="Simplified Arabic" w:cs="Simplified Arabic"/>
          <w:b/>
          <w:bCs/>
          <w:sz w:val="28"/>
          <w:szCs w:val="28"/>
        </w:rPr>
        <w:t>et al</w:t>
      </w:r>
      <w:r w:rsidR="005C5DF8">
        <w:rPr>
          <w:rFonts w:ascii="Simplified Arabic" w:hAnsi="Simplified Arabic" w:cs="Simplified Arabic"/>
          <w:b/>
          <w:bCs/>
          <w:sz w:val="28"/>
          <w:szCs w:val="28"/>
        </w:rPr>
        <w:t xml:space="preserve"> (2023)</w:t>
      </w:r>
      <w:r w:rsidRPr="003F5D9C">
        <w:rPr>
          <w:rFonts w:ascii="Simplified Arabic" w:hAnsi="Simplified Arabic" w:cs="Simplified Arabic"/>
          <w:b/>
          <w:bCs/>
          <w:sz w:val="28"/>
          <w:szCs w:val="28"/>
        </w:rPr>
        <w:t xml:space="preserve">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"Critical success factors of agile transformation initiatives from a project management perspective"</w:t>
      </w:r>
    </w:p>
    <w:p w14:paraId="4C428986"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تحديد عوامل النجاح الحرجة لمبادرات التحول الرشيق</w:t>
      </w:r>
      <w:r w:rsidRPr="003F5D9C">
        <w:rPr>
          <w:rFonts w:ascii="Simplified Arabic" w:hAnsi="Simplified Arabic" w:cs="Simplified Arabic"/>
          <w:sz w:val="28"/>
          <w:szCs w:val="28"/>
        </w:rPr>
        <w:t xml:space="preserve"> (Agile Transformation) </w:t>
      </w:r>
      <w:r w:rsidRPr="003F5D9C">
        <w:rPr>
          <w:rFonts w:ascii="Simplified Arabic" w:hAnsi="Simplified Arabic" w:cs="Simplified Arabic"/>
          <w:sz w:val="28"/>
          <w:szCs w:val="28"/>
          <w:rtl/>
        </w:rPr>
        <w:t xml:space="preserve">من منظور إدارة المشاريع، وذلك بهدف توفير إطار مرجعي للمنظمات الراغبة في تبني المنهجيات الرشيقة في مشاريعها. واستخدم الباحثون منهج المراجعة المنهجية للأدبيات </w:t>
      </w:r>
      <w:r w:rsidRPr="003F5D9C">
        <w:rPr>
          <w:rFonts w:ascii="Simplified Arabic" w:hAnsi="Simplified Arabic" w:cs="Simplified Arabic"/>
          <w:sz w:val="28"/>
          <w:szCs w:val="28"/>
        </w:rPr>
        <w:t>(Systematic Literature Review)</w:t>
      </w:r>
      <w:r w:rsidRPr="003F5D9C">
        <w:rPr>
          <w:rFonts w:ascii="Simplified Arabic" w:hAnsi="Simplified Arabic" w:cs="Simplified Arabic"/>
          <w:sz w:val="28"/>
          <w:szCs w:val="28"/>
          <w:rtl/>
        </w:rPr>
        <w:t>، حيث تكونت عينة الدراسة من (12) دراسة علمية محكّمة تم اختيارها وفق معايير منهجية صارمة من قواعد البيانات العلمية الدولية، وتم تحليل محتواها وفق منهجية محددة. وقد توصلت نتائج الدراسة إلى تحديد (12) عاملاً حرجاً للنجاح، كان من أبرزها: دعم الإدارة العليا، وتمكين فرق العمل، وتكييف العمليات لتتناسب مع المنهج الرشيق، والتركيز على العميل، والتدريب والتعلم المستمر، والتغيير الثقافي التنظيمي. وأوصت الدراسة بضرورة الاهتمام بهذه العوامل الحرجة لضمان نجاح مبادرات التحول الرشيق في المنظمات، مع التأكيد على أهمية التزام القيادات العليا ودورها المحوري في إنجاح هذه المبادرات</w:t>
      </w:r>
      <w:r w:rsidRPr="003F5D9C">
        <w:rPr>
          <w:rFonts w:ascii="Simplified Arabic" w:hAnsi="Simplified Arabic" w:cs="Simplified Arabic"/>
          <w:sz w:val="28"/>
          <w:szCs w:val="28"/>
        </w:rPr>
        <w:t>.</w:t>
      </w:r>
    </w:p>
    <w:p w14:paraId="2FA2AD3A" w14:textId="788700CD"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الحياري والحياصات (2022) بعنوان: "أثر السمات الشخصية لمدراء المشاريع على نجاح المشاريع الإنشائية: دراسة تطبيقية على المشاريع الإنشائية في مدينة عمان</w:t>
      </w:r>
      <w:r w:rsidRPr="003F5D9C">
        <w:rPr>
          <w:rFonts w:ascii="Simplified Arabic" w:hAnsi="Simplified Arabic" w:cs="Simplified Arabic"/>
          <w:b/>
          <w:bCs/>
          <w:sz w:val="28"/>
          <w:szCs w:val="28"/>
        </w:rPr>
        <w:t>"</w:t>
      </w:r>
    </w:p>
    <w:p w14:paraId="0EDC51DB"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بيان أثر السمات الشخصية لمدراء المشاريع بأبعادها الأربعة (القيادة، الاتصال والتواصل، أخلاقيات العمل، الكفاءة الإنتاجية) في نجاح المشاريع الإنشائية في مدينة عمان بالأردن. وقد استخدم الباحثان المنهج الوصفي التحليلي، واعتمدا على الاستبانة كأداة لجمع البيانات الميدانية، حيث تكونت عينة الدراسة من</w:t>
      </w:r>
      <w:r w:rsidRPr="003F5D9C">
        <w:rPr>
          <w:rFonts w:ascii="Simplified Arabic" w:hAnsi="Simplified Arabic" w:cs="Simplified Arabic"/>
          <w:sz w:val="28"/>
          <w:szCs w:val="28"/>
        </w:rPr>
        <w:t xml:space="preserve"> (210) </w:t>
      </w:r>
      <w:r w:rsidRPr="003F5D9C">
        <w:rPr>
          <w:rFonts w:ascii="Simplified Arabic" w:hAnsi="Simplified Arabic" w:cs="Simplified Arabic"/>
          <w:sz w:val="28"/>
          <w:szCs w:val="28"/>
          <w:rtl/>
        </w:rPr>
        <w:t>مفردة من العاملين في المشاريع الإنشائية بمدينة عمان، شملت مدراء المشاريع والمهندسين والعاملين،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وقد توصلت نتائج الدراسة إلى وجود أثر إيجابي ذي دلالة إحصائية للسمات الشخصية لمدراء المشاريع بأبعادها مجتمعة في نجاح المشاريع الإنشائية، حيث جاء بُعد القيادة في المرتبة الأولى من حيث قوة الأثر، يليه بُعد الاتصال والتواصل، ثم أخلاقيات العمل، فالكفاءة الإنتاجية. وأوصت الدراسة بضرورة الاهتمام باختيار مدراء المشاريع وفق معايير دقيقة تشمل السمات الشخصية والمهنية المطلوبة، وتطوير قدراتهم القيادية والإدارية والاتصالية من خلال برامج تدريبية متخصصة</w:t>
      </w:r>
      <w:r w:rsidRPr="003F5D9C">
        <w:rPr>
          <w:rFonts w:ascii="Simplified Arabic" w:hAnsi="Simplified Arabic" w:cs="Simplified Arabic"/>
          <w:sz w:val="28"/>
          <w:szCs w:val="28"/>
        </w:rPr>
        <w:t>.</w:t>
      </w:r>
    </w:p>
    <w:p w14:paraId="353CF27C" w14:textId="4444AA30"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Carujo</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(2022)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"The project management approach. A critical success factor in digital transformation initiatives"</w:t>
      </w:r>
    </w:p>
    <w:p w14:paraId="7E2F5429"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تسليط الضوء على أهمية تبني ممارسات إدارة المشاريع في مبادرات التحول الرقمي للشركات، بوصفها عاملاً حاسماً لنجاح هذه المبادرات، وذلك من خلال استكشاف العلاقة بين منهجيات إدارة المشاريع ونتائج التحول الرقمي. واستخدم الباحثون المنهج الوصفي التحليلي مع تحليل دراسات حالة، حيث تكونت عينة الدراسة من</w:t>
      </w:r>
      <w:r w:rsidRPr="003F5D9C">
        <w:rPr>
          <w:rFonts w:ascii="Simplified Arabic" w:hAnsi="Simplified Arabic" w:cs="Simplified Arabic"/>
          <w:sz w:val="28"/>
          <w:szCs w:val="28"/>
        </w:rPr>
        <w:t xml:space="preserve"> (4) </w:t>
      </w:r>
      <w:r w:rsidRPr="003F5D9C">
        <w:rPr>
          <w:rFonts w:ascii="Simplified Arabic" w:hAnsi="Simplified Arabic" w:cs="Simplified Arabic"/>
          <w:sz w:val="28"/>
          <w:szCs w:val="28"/>
          <w:rtl/>
        </w:rPr>
        <w:t>دراسات حالة لشركات برتغالية تنفذ مبادرات تحول رقمي، مع إجراء مقابلات معمّقة مع المسؤولين عن هذه المبادرات وتحليل وثائق المشاريع. وقد توصلت نتائج الدراسة إلى أن تبني نهج إدارة المشاريع يُعد عاملاً حاسماً في نجاح مبادرات التحول الرقمي، إذ يوفر إطاراً منظماً للتخطيط والتنفيذ والمتابعة وإدارة المخاطر والموارد، كما أن غياب هذا النهج يؤدي إلى تشتت الجهود وضعف المخرجات. وأوصت الدراسة بضرورة تبني الشركات لمنهجيات إدارة المشاريع المعتمدة عالمياً</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مثل</w:t>
      </w:r>
      <w:r w:rsidRPr="003F5D9C">
        <w:rPr>
          <w:rFonts w:ascii="Simplified Arabic" w:hAnsi="Simplified Arabic" w:cs="Simplified Arabic"/>
          <w:sz w:val="28"/>
          <w:szCs w:val="28"/>
        </w:rPr>
        <w:t xml:space="preserve"> PMI</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PRINCE2</w:t>
      </w:r>
      <w:r w:rsidRPr="003F5D9C">
        <w:rPr>
          <w:rFonts w:ascii="Simplified Arabic" w:hAnsi="Simplified Arabic" w:cs="Simplified Arabic"/>
          <w:sz w:val="28"/>
          <w:szCs w:val="28"/>
          <w:rtl/>
        </w:rPr>
        <w:t xml:space="preserve">،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عند تنفيذ مبادرات التحول الرقمي، مع تأهيل الكوادر البشرية على هذه المنهجيات</w:t>
      </w:r>
      <w:r w:rsidRPr="003F5D9C">
        <w:rPr>
          <w:rFonts w:ascii="Simplified Arabic" w:hAnsi="Simplified Arabic" w:cs="Simplified Arabic"/>
          <w:sz w:val="28"/>
          <w:szCs w:val="28"/>
        </w:rPr>
        <w:t>.</w:t>
      </w:r>
    </w:p>
    <w:p w14:paraId="78BCB648" w14:textId="59C6F39F" w:rsidR="003F5D9C" w:rsidRPr="003F5D9C" w:rsidRDefault="005C5DF8" w:rsidP="005C5DF8">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3F5D9C" w:rsidRPr="003F5D9C">
        <w:rPr>
          <w:rFonts w:ascii="Simplified Arabic" w:hAnsi="Simplified Arabic" w:cs="Simplified Arabic"/>
          <w:b/>
          <w:bCs/>
          <w:sz w:val="28"/>
          <w:szCs w:val="28"/>
          <w:rtl/>
        </w:rPr>
        <w:t>دراسة</w:t>
      </w:r>
      <w:r w:rsidR="003F5D9C" w:rsidRPr="003F5D9C">
        <w:rPr>
          <w:rFonts w:ascii="Simplified Arabic" w:hAnsi="Simplified Arabic" w:cs="Simplified Arabic"/>
          <w:b/>
          <w:bCs/>
          <w:sz w:val="28"/>
          <w:szCs w:val="28"/>
        </w:rPr>
        <w:t xml:space="preserve"> </w:t>
      </w:r>
      <w:proofErr w:type="spellStart"/>
      <w:r w:rsidR="003F5D9C" w:rsidRPr="003F5D9C">
        <w:rPr>
          <w:rFonts w:ascii="Simplified Arabic" w:hAnsi="Simplified Arabic" w:cs="Simplified Arabic"/>
          <w:b/>
          <w:bCs/>
          <w:sz w:val="28"/>
          <w:szCs w:val="28"/>
        </w:rPr>
        <w:t>Ciric</w:t>
      </w:r>
      <w:proofErr w:type="spellEnd"/>
      <w:r w:rsidR="003F5D9C" w:rsidRPr="003F5D9C">
        <w:rPr>
          <w:rFonts w:ascii="Simplified Arabic" w:hAnsi="Simplified Arabic" w:cs="Simplified Arabic"/>
          <w:b/>
          <w:bCs/>
          <w:sz w:val="28"/>
          <w:szCs w:val="28"/>
        </w:rPr>
        <w:t xml:space="preserve"> </w:t>
      </w:r>
      <w:proofErr w:type="spellStart"/>
      <w:r w:rsidR="003F5D9C" w:rsidRPr="003F5D9C">
        <w:rPr>
          <w:rFonts w:ascii="Simplified Arabic" w:hAnsi="Simplified Arabic" w:cs="Simplified Arabic"/>
          <w:b/>
          <w:bCs/>
          <w:sz w:val="28"/>
          <w:szCs w:val="28"/>
        </w:rPr>
        <w:t>Lalic</w:t>
      </w:r>
      <w:proofErr w:type="spellEnd"/>
      <w:r w:rsidR="003F5D9C" w:rsidRPr="003F5D9C">
        <w:rPr>
          <w:rFonts w:ascii="Simplified Arabic" w:hAnsi="Simplified Arabic" w:cs="Simplified Arabic"/>
          <w:b/>
          <w:bCs/>
          <w:sz w:val="28"/>
          <w:szCs w:val="28"/>
        </w:rPr>
        <w:t xml:space="preserve"> </w:t>
      </w:r>
      <w:r w:rsidRPr="005C5DF8">
        <w:rPr>
          <w:rFonts w:ascii="Simplified Arabic" w:hAnsi="Simplified Arabic" w:cs="Simplified Arabic"/>
          <w:b/>
          <w:bCs/>
          <w:sz w:val="28"/>
          <w:szCs w:val="28"/>
        </w:rPr>
        <w:t>et al</w:t>
      </w:r>
      <w:r>
        <w:rPr>
          <w:rFonts w:ascii="Simplified Arabic" w:hAnsi="Simplified Arabic" w:cs="Simplified Arabic"/>
          <w:b/>
          <w:bCs/>
          <w:sz w:val="28"/>
          <w:szCs w:val="28"/>
        </w:rPr>
        <w:t xml:space="preserve"> (2022) </w:t>
      </w:r>
      <w:r w:rsidR="003F5D9C" w:rsidRPr="003F5D9C">
        <w:rPr>
          <w:rFonts w:ascii="Simplified Arabic" w:hAnsi="Simplified Arabic" w:cs="Simplified Arabic"/>
          <w:b/>
          <w:bCs/>
          <w:sz w:val="28"/>
          <w:szCs w:val="28"/>
          <w:rtl/>
        </w:rPr>
        <w:t>بعنوان</w:t>
      </w:r>
      <w:r w:rsidR="003F5D9C" w:rsidRPr="003F5D9C">
        <w:rPr>
          <w:rFonts w:ascii="Simplified Arabic" w:hAnsi="Simplified Arabic" w:cs="Simplified Arabic"/>
          <w:b/>
          <w:bCs/>
          <w:sz w:val="28"/>
          <w:szCs w:val="28"/>
        </w:rPr>
        <w:t>: "How project management approach impact project success? From traditional to agile"</w:t>
      </w:r>
    </w:p>
    <w:p w14:paraId="7AA9DF1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استكشاف ما إذا كانت مناهج إدارة المشاريع المختلفة (التقليدية، الرشيقة، الهجينة) تختلف من حيث تأثيرها على أبعاد نجاح المشاريع الخمسة (الكفاءة، تأثير العميل، تأثير الفريق، نجاح الأعمال، الاستعداد للمستقبل). واستخدم الباحثون المنهج الكمي، واعتمدوا على الاستبانة كأداة رئيسة لجمع البيانات، حيث تكونت عينة الدراسة من (227) مديراً لمشاريع من عدد من الشركات في صربيا ودول أوروبية أخرى، شملت العينة (167) ذكوراً و(60) إناثاً، وتم تحليل البيانات باستخدام أساليب إحصائية متقدمة. وقد توصلت نتائج الدراسة إلى أن المنهج الرشيق </w:t>
      </w:r>
      <w:r w:rsidRPr="003F5D9C">
        <w:rPr>
          <w:rFonts w:ascii="Simplified Arabic" w:hAnsi="Simplified Arabic" w:cs="Simplified Arabic"/>
          <w:sz w:val="28"/>
          <w:szCs w:val="28"/>
        </w:rPr>
        <w:t xml:space="preserve">(Agile) </w:t>
      </w:r>
      <w:r w:rsidRPr="003F5D9C">
        <w:rPr>
          <w:rFonts w:ascii="Simplified Arabic" w:hAnsi="Simplified Arabic" w:cs="Simplified Arabic"/>
          <w:sz w:val="28"/>
          <w:szCs w:val="28"/>
          <w:rtl/>
        </w:rPr>
        <w:t>له أثر إيجابي أكبر من المنهج التقليدي على بُعدين من أبعاد نجاح المشاريع الخمسة، وهما (الكفاءة وتأثير العميل)، في حين لم تُظهر النتائج اختلافات معنوية بين المناهج في الأبعاد الأخرى. وأوصت الدراسة بضرورة اختيار منهج إدارة المشاريع المناسب وفقاً لطبيعة المشروع وظروفه، مع الإشارة إلى أن المنهج الرشيق أكثر ملاءمة للمشاريع التي تتسم بعدم اليقين والتغير المستمر في المتطلبات</w:t>
      </w:r>
      <w:r w:rsidRPr="003F5D9C">
        <w:rPr>
          <w:rFonts w:ascii="Simplified Arabic" w:hAnsi="Simplified Arabic" w:cs="Simplified Arabic"/>
          <w:sz w:val="28"/>
          <w:szCs w:val="28"/>
        </w:rPr>
        <w:t>.</w:t>
      </w:r>
    </w:p>
    <w:p w14:paraId="61DF7334" w14:textId="407D0E9A"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المعادات وأبو زيد</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 "تأثير تخطيط المشروع على نجاح المشاريع الإنشائية: الدور المعدل لمستوى المخاطرة - دراسة تطبيقية في شركات مشاريع الإنشاءات الأردنية</w:t>
      </w:r>
      <w:r w:rsidRPr="003F5D9C">
        <w:rPr>
          <w:rFonts w:ascii="Simplified Arabic" w:hAnsi="Simplified Arabic" w:cs="Simplified Arabic"/>
          <w:b/>
          <w:bCs/>
          <w:sz w:val="28"/>
          <w:szCs w:val="28"/>
        </w:rPr>
        <w:t>"</w:t>
      </w:r>
    </w:p>
    <w:p w14:paraId="54537E9C"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تخطيط المشروع بأبعاده (تخطيط النطاق، تخطيط الوقت، تخطيط التكلفة، تخطيط الجودة، تخطيط الموارد) على نجاح المشاريع الإنشائية، مع الكشف عن الدور المعدل لمستوى المخاطرة في هذه العلاقة، وذلك بالتطبيق على شركات الإنشاءات الأردنية. واستخدمت الباحثة المنهج الوصفي التحليلي، واعتمدت على الاستبانة كأداة لجمع البيانات، حيث تكونت عينة الدراسة من (180) مفردة من العاملين في شركات مشاريع الإنشاءات الأردنية، شملت مديري المشاريع والمهندسين والمشرفين. وقد توصلت نتائج الدراسة إلى وجود أثر إيجابي ذي دلالة إحصائية لتخطيط المشروع بأبعاده مجتمعة على نجاح المشاريع الإنشائية، كما تبيّن وجود دور معدل لمستوى المخاطرة في هذه العلاقة، حيث يضعف الأثر الإيجابي لتخطيط المشروع في ظل ارتفاع مستوى المخاطرة. وأوصت الدراسة بضرورة الاهتمام بمرحلة التخطيط الشامل للمشاريع الإنشائية، وتطوير ممارسات إدارة المخاطر، وتأهيل الكوادر البشرية على منهجيات التخطيط الحديثة</w:t>
      </w:r>
      <w:r w:rsidRPr="003F5D9C">
        <w:rPr>
          <w:rFonts w:ascii="Simplified Arabic" w:hAnsi="Simplified Arabic" w:cs="Simplified Arabic"/>
          <w:sz w:val="28"/>
          <w:szCs w:val="28"/>
        </w:rPr>
        <w:t>.</w:t>
      </w:r>
    </w:p>
    <w:p w14:paraId="222D1604" w14:textId="18A5FCBE"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عبدالنبي والعتيبي (2021) بعنوان: "علاقة الابتكار والإبداع في نجاح إدارة المشاريع: تطبيق على وكالة التوطين بوزارة الموارد البشرية والتنمية الاجتماعية</w:t>
      </w:r>
      <w:r w:rsidRPr="003F5D9C">
        <w:rPr>
          <w:rFonts w:ascii="Simplified Arabic" w:hAnsi="Simplified Arabic" w:cs="Simplified Arabic"/>
          <w:b/>
          <w:bCs/>
          <w:sz w:val="28"/>
          <w:szCs w:val="28"/>
        </w:rPr>
        <w:t>"</w:t>
      </w:r>
    </w:p>
    <w:p w14:paraId="36B26E25"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 xml:space="preserve">هدفت هذه الدراسة إلى التعرف على دور الابتكار والإبداع في نجاح إدارة المشاريع، وذلك بالتطبيق على وكالة التوطين بوزارة الموارد البشرية والتنمية الاجتماعية في المملكة العربية السعودية، حيث تمثلت مشكلة الدراسة في السؤال الرئيسي: ما علاقة الابتكار والإبداع بنجاح إدارة المشاريع؟ واستخدمت الباحثتان المنهج الوصفي التحليلي، واعتمدتا على الاستبانة كأداة رئيسة لجمع البيانات، حيث تكونت عينة الدراسة من (100) مفردة من العاملين في وكالة التوطين بوزارة الموارد البشرية والتنمية الاجتماعية، وتم تحليل البيانات إحصائياً باستخدام برنامج </w:t>
      </w:r>
      <w:r w:rsidRPr="003F5D9C">
        <w:rPr>
          <w:rFonts w:ascii="Simplified Arabic" w:hAnsi="Simplified Arabic" w:cs="Simplified Arabic"/>
          <w:sz w:val="28"/>
          <w:szCs w:val="28"/>
        </w:rPr>
        <w:t xml:space="preserve">SPSS. </w:t>
      </w:r>
      <w:r w:rsidRPr="003F5D9C">
        <w:rPr>
          <w:rFonts w:ascii="Simplified Arabic" w:hAnsi="Simplified Arabic" w:cs="Simplified Arabic"/>
          <w:sz w:val="28"/>
          <w:szCs w:val="28"/>
          <w:rtl/>
        </w:rPr>
        <w:t>وقد توصلت نتائج الدراسة إلى وجود علاقة إيجابية ذات دلالة إحصائية بين الابتكار والإبداع ونجاح إدارة المشاريع، حيث يسهم الابتكار والإبداع في تطوير حلول مبتكرة للمشكلات، وتحسين كفاءة العمليات، وتعزيز القدرة التنافسية للمشاريع. وأوصت الدراسة بضرورة تعزيز ثقافة الابتكار والإبداع في بيئة العمل، ودعم المبادرات الابتكارية للعاملين، وتوفير الحوافز المناسبة لتشجيع الإبداع، وتطوير برامج تدريبية متخصصة في هذا المجال</w:t>
      </w:r>
      <w:r w:rsidRPr="003F5D9C">
        <w:rPr>
          <w:rFonts w:ascii="Simplified Arabic" w:hAnsi="Simplified Arabic" w:cs="Simplified Arabic"/>
          <w:sz w:val="28"/>
          <w:szCs w:val="28"/>
        </w:rPr>
        <w:t>.</w:t>
      </w:r>
    </w:p>
    <w:p w14:paraId="76386159" w14:textId="51F4301D"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Hafseld</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"An attempt to understand complexity in a government digital transformation project"</w:t>
      </w:r>
    </w:p>
    <w:p w14:paraId="6BFB805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توفير فهم أعمق للعوامل التي تسبب التعقيد في مشاريع التحول الرقمي الحكومية، من خلال دراسة معمّقة لمشروع تحول رقمي حكومي قيد التنفيذ. واستخدم الباحثون المنهج النوعي القائم على دراسة الحالة المعمّقة</w:t>
      </w:r>
      <w:r w:rsidRPr="003F5D9C">
        <w:rPr>
          <w:rFonts w:ascii="Simplified Arabic" w:hAnsi="Simplified Arabic" w:cs="Simplified Arabic"/>
          <w:sz w:val="28"/>
          <w:szCs w:val="28"/>
        </w:rPr>
        <w:t xml:space="preserve"> (In-depth Case Study)</w:t>
      </w:r>
      <w:r w:rsidRPr="003F5D9C">
        <w:rPr>
          <w:rFonts w:ascii="Simplified Arabic" w:hAnsi="Simplified Arabic" w:cs="Simplified Arabic"/>
          <w:sz w:val="28"/>
          <w:szCs w:val="28"/>
          <w:rtl/>
        </w:rPr>
        <w:t>، حيث تم اختيار حالة دراسة واحدة (1) لمشروع تحول رقمي حكومي في النرويج، واعتمدت الدراسة على جمع البيانات من خلال (15) مقابلة معمّقة شبه منظمة مع المسؤولين والمشاركين في المشروع، إضافة إلى الملاحظات المباشرة وتحليل الوثائق الرسمية. وقد توصلت نتائج الدراسة إلى أن التعقيد في مشاريع التحول الرقمي الحكومية ينبع من التفاعل بين عوامل متعددة تشمل (الهيكل التنظيمي، التقنيات المستخدمة، الجهود المبذولة)، إضافة إلى تعدد أصحاب المصلحة وتباين توقعاتهم ومصالحهم، والتحديات التشريعية والتنظيمية. وأوصت الدراسة بضرورة تبني مقاربات شاملة لإدارة التعقيد في مشاريع التحول الرقمي الحكومية، وتعزيز التنسيق بين الأطراف المعنية، وتطوير قدرات مديري المشاريع على التعامل مع التعقيد</w:t>
      </w:r>
      <w:r w:rsidRPr="003F5D9C">
        <w:rPr>
          <w:rFonts w:ascii="Simplified Arabic" w:hAnsi="Simplified Arabic" w:cs="Simplified Arabic"/>
          <w:sz w:val="28"/>
          <w:szCs w:val="28"/>
        </w:rPr>
        <w:t>.</w:t>
      </w:r>
    </w:p>
    <w:p w14:paraId="2A77E1A0" w14:textId="58B89ADE" w:rsidR="003F5D9C" w:rsidRPr="003F5D9C" w:rsidRDefault="003F5D9C" w:rsidP="005C5DF8">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w:t>
      </w:r>
      <w:r w:rsidRPr="003F5D9C">
        <w:rPr>
          <w:rFonts w:ascii="Simplified Arabic" w:hAnsi="Simplified Arabic" w:cs="Simplified Arabic"/>
          <w:b/>
          <w:bCs/>
          <w:sz w:val="28"/>
          <w:szCs w:val="28"/>
        </w:rPr>
        <w:t xml:space="preserve"> </w:t>
      </w:r>
      <w:proofErr w:type="spellStart"/>
      <w:r w:rsidRPr="003F5D9C">
        <w:rPr>
          <w:rFonts w:ascii="Simplified Arabic" w:hAnsi="Simplified Arabic" w:cs="Simplified Arabic"/>
          <w:b/>
          <w:bCs/>
          <w:sz w:val="28"/>
          <w:szCs w:val="28"/>
        </w:rPr>
        <w:t>Tangi</w:t>
      </w:r>
      <w:proofErr w:type="spellEnd"/>
      <w:r w:rsidR="005C5DF8" w:rsidRPr="005C5DF8">
        <w:rPr>
          <w:rFonts w:ascii="Simplified Arabic" w:hAnsi="Simplified Arabic" w:cs="Simplified Arabic"/>
          <w:b/>
          <w:bCs/>
          <w:sz w:val="28"/>
          <w:szCs w:val="28"/>
        </w:rPr>
        <w:t xml:space="preserve"> et al</w:t>
      </w:r>
      <w:r w:rsidRPr="003F5D9C">
        <w:rPr>
          <w:rFonts w:ascii="Simplified Arabic" w:hAnsi="Simplified Arabic" w:cs="Simplified Arabic"/>
          <w:b/>
          <w:bCs/>
          <w:sz w:val="28"/>
          <w:szCs w:val="28"/>
        </w:rPr>
        <w:t xml:space="preserve"> (2021) </w:t>
      </w:r>
      <w:r w:rsidRPr="003F5D9C">
        <w:rPr>
          <w:rFonts w:ascii="Simplified Arabic" w:hAnsi="Simplified Arabic" w:cs="Simplified Arabic"/>
          <w:b/>
          <w:bCs/>
          <w:sz w:val="28"/>
          <w:szCs w:val="28"/>
          <w:rtl/>
        </w:rPr>
        <w:t>بعنوان</w:t>
      </w:r>
      <w:r w:rsidRPr="003F5D9C">
        <w:rPr>
          <w:rFonts w:ascii="Simplified Arabic" w:hAnsi="Simplified Arabic" w:cs="Simplified Arabic"/>
          <w:b/>
          <w:bCs/>
          <w:sz w:val="28"/>
          <w:szCs w:val="28"/>
        </w:rPr>
        <w:t>: "Digital government transformation: A structural equation modelling analysis of driving and impeding factors"</w:t>
      </w:r>
    </w:p>
    <w:p w14:paraId="54178460"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التقييم الكمي للتحول الرقمي الحكومي وتحليل العوامل الدافعة والمعيقة له، من خلال تطوير نموذج شامل يستند إلى نمذجة المعادلات الهيكلية. واستخدم الباحثون المنهج الكمي، حيث تم جمع البيانات بواسطة استبانة وُزِّعت على عينة قوامها (108) مسؤولين حكوميين في الإدارات العامة الإيطالية، وتم تحليل البيانات باستخدام نمذجة المعادلات الهيكلية</w:t>
      </w:r>
      <w:r w:rsidRPr="003F5D9C">
        <w:rPr>
          <w:rFonts w:ascii="Simplified Arabic" w:hAnsi="Simplified Arabic" w:cs="Simplified Arabic"/>
          <w:sz w:val="28"/>
          <w:szCs w:val="28"/>
        </w:rPr>
        <w:t xml:space="preserve"> (SEM). </w:t>
      </w:r>
      <w:r w:rsidRPr="003F5D9C">
        <w:rPr>
          <w:rFonts w:ascii="Simplified Arabic" w:hAnsi="Simplified Arabic" w:cs="Simplified Arabic"/>
          <w:sz w:val="28"/>
          <w:szCs w:val="28"/>
          <w:rtl/>
        </w:rPr>
        <w:t>وقد توصلت نتائج الدراسة إلى تحديد مجموعة من العوامل الدافعة للتحول الرقمي الحكومي (مثل الإحساس بالعجلة والحاجة إلى التغيير، والقيادة الرقمية، والثقافة التنظيمية الداعمة، والبنية التحتية الرقمية، وإيجاد رؤية مشتركة)، والعوامل المعيقة له (مثل مقاومة التغيير، ونقص الموارد، والتعقيد التشريعي، وضعف المهارات الرقمية). وأوصت الدراسة بضرورة التركيز على تعزيز العوامل الدافعة ومعالجة العوامل المعيقة لضمان نجاح التحول الرقمي الحكومي، مع التأكيد على أهمية القيادة وإدارة التغيير في هذه المبادرات</w:t>
      </w:r>
      <w:r w:rsidRPr="003F5D9C">
        <w:rPr>
          <w:rFonts w:ascii="Simplified Arabic" w:hAnsi="Simplified Arabic" w:cs="Simplified Arabic"/>
          <w:sz w:val="28"/>
          <w:szCs w:val="28"/>
        </w:rPr>
        <w:t>.</w:t>
      </w:r>
    </w:p>
    <w:p w14:paraId="253E3B22" w14:textId="20107A03"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رابحي (2022) بعنوان: "تأثير القيادة الرقمية في نجاح مشاريع التحول الرقمي في المؤسسة</w:t>
      </w:r>
      <w:r w:rsidRPr="003F5D9C">
        <w:rPr>
          <w:rFonts w:ascii="Simplified Arabic" w:hAnsi="Simplified Arabic" w:cs="Simplified Arabic"/>
          <w:b/>
          <w:bCs/>
          <w:sz w:val="28"/>
          <w:szCs w:val="28"/>
        </w:rPr>
        <w:t>"</w:t>
      </w:r>
    </w:p>
    <w:p w14:paraId="5F6F3C2D"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التعرف على تأثير القيادة الرقمية بأبعادها في نجاح مشاريع التحول الرقمي في المؤسسة، وذلك انطلاقاً من التطورات المتسارعة في تكنولوجيا المعلومات والاتصال التي تفرض على المؤسسات ضرورة اعتماد التحول الرقمي. وقد اعتمدت الباحثة على المنهج الوصفي التحليلي بشقيه النظري والميداني، حيث تم تحليل المفاهيم النظرية للقيادة الرقمية والتحول الرقمي، مع توظيف عينة من التجارب التطبيقية لمؤسسات نفّذت مشاريع تحول رقمي ناجحة. وقد توصلت نتائج الدراسة إلى وجود تأثير إيجابي للقيادة الرقمية في نجاح مشاريع التحول الرقمي، حيث يلعب القائد الرقمي دوراً محورياً في توجيه المؤسسة نحو التحول الرقمي الناجح من خلال (الرؤية الاستراتيجية الرقمية، والإلهام، وتمكين العاملين، وبناء الثقافة الرقمية، وإدارة التغيير). وأوصت الدراسة بضرورة تطوير قدرات القيادة الرقمية في المؤسسات، وتأهيل القادة على المهارات الرقمية والقيادية الحديثة، وتعزيز ثقافة التحول الرقمي في بيئة العمل</w:t>
      </w:r>
      <w:r w:rsidRPr="003F5D9C">
        <w:rPr>
          <w:rFonts w:ascii="Simplified Arabic" w:hAnsi="Simplified Arabic" w:cs="Simplified Arabic"/>
          <w:sz w:val="28"/>
          <w:szCs w:val="28"/>
        </w:rPr>
        <w:t>.</w:t>
      </w:r>
    </w:p>
    <w:p w14:paraId="2BB7B35C" w14:textId="77777777"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المجموعة الثالثة: الدراسات التي تناولت العلاقة المباشرة بين الحوكمة الرقمية والتحول الرقمي</w:t>
      </w:r>
    </w:p>
    <w:p w14:paraId="3D98F5C0" w14:textId="77777777" w:rsidR="00CF116B" w:rsidRPr="00CF116B" w:rsidRDefault="00CF116B" w:rsidP="00CF116B">
      <w:pPr>
        <w:jc w:val="both"/>
        <w:rPr>
          <w:rFonts w:ascii="Simplified Arabic" w:hAnsi="Simplified Arabic" w:cs="Simplified Arabic"/>
          <w:b/>
          <w:bCs/>
          <w:color w:val="EE0000"/>
          <w:sz w:val="28"/>
          <w:szCs w:val="28"/>
        </w:rPr>
      </w:pPr>
      <w:r w:rsidRPr="00CF116B">
        <w:rPr>
          <w:rFonts w:ascii="Simplified Arabic" w:hAnsi="Simplified Arabic" w:cs="Simplified Arabic"/>
          <w:b/>
          <w:bCs/>
          <w:color w:val="EE0000"/>
          <w:sz w:val="28"/>
          <w:szCs w:val="28"/>
          <w:rtl/>
        </w:rPr>
        <w:t>دراسة الرابغى (2022) بعنوان: "الحكومة الرقمية في ضوء برامج التحول الرقمي وتحقيق مستهدفات رؤية المملكة العربية السعودية 2030: هيئة الحكومة الرقمية أنموذجاً"</w:t>
      </w:r>
    </w:p>
    <w:p w14:paraId="301898A6" w14:textId="77777777" w:rsidR="00CF116B" w:rsidRPr="00CF116B" w:rsidRDefault="00CF116B" w:rsidP="00CF116B">
      <w:pPr>
        <w:jc w:val="both"/>
        <w:rPr>
          <w:rFonts w:ascii="Simplified Arabic" w:hAnsi="Simplified Arabic" w:cs="Simplified Arabic"/>
          <w:color w:val="EE0000"/>
          <w:sz w:val="28"/>
          <w:szCs w:val="28"/>
          <w:rtl/>
        </w:rPr>
      </w:pPr>
      <w:r w:rsidRPr="00CF116B">
        <w:rPr>
          <w:rFonts w:ascii="Simplified Arabic" w:hAnsi="Simplified Arabic" w:cs="Simplified Arabic"/>
          <w:color w:val="EE0000"/>
          <w:sz w:val="28"/>
          <w:szCs w:val="28"/>
          <w:rtl/>
        </w:rPr>
        <w:t>هدفت هذه الدراسة إلى التعرف على دور الحكومة الرقمية في دعم برامج التحول الرقمي وتحقيق مستهدفات رؤية المملكة العربية السعودية 2030، من خلال تحليل معمّق لتجربة هيئة الحكومة الرقمية السعودية بوصفها الجهة الوطنية المعنية بقيادة مسيرة التحول الرقمي في القطاع الحكومي. واعتمدت الباحثة على المنهج الوصفي التحليلي بأسلوب دراسة الحالة، حيث تم تحليل الوثائق والاستراتيجيات والمبادرات الصادرة عن هيئة الحكومة الرقمية، إلى جانب المؤشرات الرسمية الصادرة عن الجهات ذات العلاقة في المملكة. وقد توصلت نتائج الدراسة إلى أن الحوكمة الرقمية تُمثّل ركيزة جوهرية لإنجاح برامج التحول الرقمي في المملكة، وأن التزام القيادات العليا في الجهات الحكومية بتطبيق المعايير الأساسية للتحول الرقمي الصادرة عن هيئة الحكومة الرقمية يُعدّ عاملاً حاسماً في تحقيق مستهدفات رؤية 2030، فضلاً عن أهمية توفر بنية تحتية رقمية متقدمة وإطار تشريعي داعم لأمن المعلومات وحماية البيانات. وأوصت الدراسة بضرورة تعزيز الالتزام المؤسسي بمعايير الحوكمة الرقمية على مستوى الجهات الحكومية والقطاع الخاص، وتطوير مؤشرات قياس دقيقة لمتابعة التزام الجهات بهذه المعايير، وتفعيل الشراكة بين القطاعين العام والخاص لتسريع مسيرة التحول الرقمي.</w:t>
      </w:r>
    </w:p>
    <w:p w14:paraId="4168A564" w14:textId="0CD1B25D"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حمدي (2023) بعنوان: "دور الحوكمة الرقمية في إنجاح وتفعيل التحول الرقمي: نموذج دولة الإمارات العربية المتحدة</w:t>
      </w:r>
      <w:r w:rsidRPr="003F5D9C">
        <w:rPr>
          <w:rFonts w:ascii="Simplified Arabic" w:hAnsi="Simplified Arabic" w:cs="Simplified Arabic"/>
          <w:b/>
          <w:bCs/>
          <w:sz w:val="28"/>
          <w:szCs w:val="28"/>
        </w:rPr>
        <w:t>"</w:t>
      </w:r>
    </w:p>
    <w:p w14:paraId="669DC66A" w14:textId="77777777" w:rsidR="003F5D9C" w:rsidRPr="003F5D9C" w:rsidRDefault="003F5D9C" w:rsidP="003F5D9C">
      <w:pPr>
        <w:jc w:val="both"/>
        <w:rPr>
          <w:rFonts w:ascii="Simplified Arabic" w:hAnsi="Simplified Arabic" w:cs="Simplified Arabic"/>
          <w:sz w:val="28"/>
          <w:szCs w:val="28"/>
        </w:rPr>
      </w:pPr>
      <w:r w:rsidRPr="003F5D9C">
        <w:rPr>
          <w:rFonts w:ascii="Simplified Arabic" w:hAnsi="Simplified Arabic" w:cs="Simplified Arabic"/>
          <w:sz w:val="28"/>
          <w:szCs w:val="28"/>
          <w:rtl/>
        </w:rPr>
        <w:t>هدفت هذه الدراسة إلى إبراز الدور المحوري الذي تلعبه الحوكمة الرقمية في إنجاح وتفعيل مبادرات التحول الرقمي، وذلك من خلال التعرف على مفهوم وأهداف التحول الرقمي والحوكمة الرقمية، وتحليل التجربة الرائدة لدولة الإمارات العربية المتحدة في هذا المجال بوصفها نموذجاً يُحتذى به على المستويين الإقليمي والدولي. وقد اعتمدت الباحثة على المنهج الوصفي التحليلي، حيث تكونت عينة الدراسة من تجربة دولة واحدة</w:t>
      </w:r>
      <w:r w:rsidRPr="003F5D9C">
        <w:rPr>
          <w:rFonts w:ascii="Simplified Arabic" w:hAnsi="Simplified Arabic" w:cs="Simplified Arabic"/>
          <w:sz w:val="28"/>
          <w:szCs w:val="28"/>
        </w:rPr>
        <w:t xml:space="preserve"> (1) </w:t>
      </w:r>
      <w:r w:rsidRPr="003F5D9C">
        <w:rPr>
          <w:rFonts w:ascii="Simplified Arabic" w:hAnsi="Simplified Arabic" w:cs="Simplified Arabic"/>
          <w:sz w:val="28"/>
          <w:szCs w:val="28"/>
          <w:rtl/>
        </w:rPr>
        <w:t>هي دولة الإمارات العربية المتحدة، مع تحليل معمّق لأهم المبادرات والاستراتيجيات الحكومية الإماراتية في مجال الحوكمة الرقمية والتحول الرقمي (مثل استراتيجية الإمارات للذكاء الاصطناعي، ومنظومة الحكومة الذكية، ومبادرات التحول الرقمي الحكومي). وقد توصلت نتائج الدراسة إلى أن الحوكمة الرقمية تُعد ركيزة أساسية لإنجاح وتفعيل التحول الرقمي، وأن دولة الإمارات تمثل نموذجاً ناجحاً ومتميزاً في هذا المجال بفضل تبنيها لاستراتيجيات حوكمة رقمية متقدمة، وبنية تحتية رقمية متطورة، وقيادة سياسية وإدارية ملتزمة بالتحول الرقمي. وأوصت الدراسة بضرورة الاستفادة من التجربة الإماراتية الرائدة في تبني الحوكمة الرقمية لإنجاح مشاريع التحول الرقمي على المستوى العربي، مع مراعاة الخصوصية المحلية لكل دولة</w:t>
      </w:r>
      <w:r w:rsidRPr="003F5D9C">
        <w:rPr>
          <w:rFonts w:ascii="Simplified Arabic" w:hAnsi="Simplified Arabic" w:cs="Simplified Arabic"/>
          <w:sz w:val="28"/>
          <w:szCs w:val="28"/>
        </w:rPr>
        <w:t>.</w:t>
      </w:r>
    </w:p>
    <w:p w14:paraId="4DD1CF96" w14:textId="45A8D89B" w:rsidR="003F5D9C" w:rsidRPr="003F5D9C" w:rsidRDefault="003F5D9C" w:rsidP="003F5D9C">
      <w:pPr>
        <w:jc w:val="both"/>
        <w:rPr>
          <w:rFonts w:ascii="Simplified Arabic" w:hAnsi="Simplified Arabic" w:cs="Simplified Arabic"/>
          <w:b/>
          <w:bCs/>
          <w:sz w:val="28"/>
          <w:szCs w:val="28"/>
        </w:rPr>
      </w:pPr>
      <w:r w:rsidRPr="003F5D9C">
        <w:rPr>
          <w:rFonts w:ascii="Simplified Arabic" w:hAnsi="Simplified Arabic" w:cs="Simplified Arabic"/>
          <w:b/>
          <w:bCs/>
          <w:sz w:val="28"/>
          <w:szCs w:val="28"/>
          <w:rtl/>
        </w:rPr>
        <w:t>دراسة يوسف (2023) بعنوان: "التحول الرقمي وعلاقته بالحوكمة الرقمية والتقارير المالية لتحقيق التنمية المستدامة</w:t>
      </w:r>
      <w:r w:rsidRPr="003F5D9C">
        <w:rPr>
          <w:rFonts w:ascii="Simplified Arabic" w:hAnsi="Simplified Arabic" w:cs="Simplified Arabic"/>
          <w:b/>
          <w:bCs/>
          <w:sz w:val="28"/>
          <w:szCs w:val="28"/>
        </w:rPr>
        <w:t>"</w:t>
      </w:r>
    </w:p>
    <w:p w14:paraId="01614EB3" w14:textId="263F2CF9" w:rsidR="00D43095" w:rsidRPr="004F0620" w:rsidRDefault="003F5D9C" w:rsidP="003F5D9C">
      <w:pPr>
        <w:jc w:val="both"/>
        <w:rPr>
          <w:rFonts w:ascii="Simplified Arabic" w:hAnsi="Simplified Arabic" w:cs="Simplified Arabic"/>
          <w:sz w:val="28"/>
          <w:szCs w:val="28"/>
          <w:rtl/>
        </w:rPr>
      </w:pPr>
      <w:r w:rsidRPr="003F5D9C">
        <w:rPr>
          <w:rFonts w:ascii="Simplified Arabic" w:hAnsi="Simplified Arabic" w:cs="Simplified Arabic"/>
          <w:sz w:val="28"/>
          <w:szCs w:val="28"/>
          <w:rtl/>
        </w:rPr>
        <w:t>هدفت هذه الدراسة إلى التعرف على أثر استخدام أدوات التحول الرقمي في عمليات الحوكمة وفي إعداد التقارير المالية، وأثر ذلك مجتمعاً على تحقيق التنمية المستدامة بأبعادها الاقتصادية والاجتماعية والبيئية. وقد استخدمت الباحثة المنهج الوصفي التحليلي مع الدراسة الميدانية، واعتمدت على الاستبانة كأداة رئيسة لجمع البيانات، حيث تكونت عينة الدراسة من (150) مفردة من المحاسبين والمدققين والأكاديميين العاملين في المؤسسات المالية والشركات المساهمة، وتم تحليل البيانات إحصائياً باستخدام برنامج</w:t>
      </w:r>
      <w:r w:rsidRPr="003F5D9C">
        <w:rPr>
          <w:rFonts w:ascii="Simplified Arabic" w:hAnsi="Simplified Arabic" w:cs="Simplified Arabic"/>
          <w:sz w:val="28"/>
          <w:szCs w:val="28"/>
        </w:rPr>
        <w:t xml:space="preserve"> SPSS. </w:t>
      </w:r>
      <w:r w:rsidRPr="003F5D9C">
        <w:rPr>
          <w:rFonts w:ascii="Simplified Arabic" w:hAnsi="Simplified Arabic" w:cs="Simplified Arabic"/>
          <w:sz w:val="28"/>
          <w:szCs w:val="28"/>
          <w:rtl/>
        </w:rPr>
        <w:t>وقد توصلت نتائج الدراسة إلى وجود علاقة إيجابية ذات دلالة إحصائية بين التحول الرقمي والحوكمة الرقمية وجودة التقارير المالية، وأن هذه العلاقة المتكاملة تسهم بشكل فاعل في تحقيق التنمية المستدامة، حيث يعزز التحول الرقمي من فاعلية تطبيق آليات الحوكمة الرقمية، ويسهم بدوره في تحسين جودة التقارير المالية وزيادة الشفافية والمساءلة. وأوصت الدراسة بضرورة تحقيق التكامل بين أدوات التحول الرقمي وآليات الحوكمة الرقمية لتعزيز جودة التقارير المالية ودعم مسيرة التنمية المستدامة، مع تطوير التشريعات والمعايير المحاسبية بما يتلاءم مع المستجدات الرقمية</w:t>
      </w:r>
      <w:r w:rsidR="00D43095" w:rsidRPr="004F0620">
        <w:rPr>
          <w:rFonts w:ascii="Simplified Arabic" w:hAnsi="Simplified Arabic" w:cs="Simplified Arabic"/>
          <w:sz w:val="28"/>
          <w:szCs w:val="28"/>
          <w:lang w:bidi="ar-EG"/>
        </w:rPr>
        <w:t>.</w:t>
      </w:r>
    </w:p>
    <w:p w14:paraId="28F5BC61" w14:textId="723312C4" w:rsidR="004F0620" w:rsidRDefault="004F0620" w:rsidP="004F0620">
      <w:pPr>
        <w:jc w:val="both"/>
        <w:rPr>
          <w:rFonts w:ascii="Simplified Arabic" w:hAnsi="Simplified Arabic" w:cs="Simplified Arabic"/>
          <w:b/>
          <w:bCs/>
          <w:sz w:val="28"/>
          <w:szCs w:val="28"/>
          <w:rtl/>
          <w:lang w:bidi="ar-EG"/>
        </w:rPr>
      </w:pPr>
      <w:r w:rsidRPr="004F0620">
        <w:rPr>
          <w:rFonts w:ascii="Simplified Arabic" w:hAnsi="Simplified Arabic" w:cs="Simplified Arabic"/>
          <w:b/>
          <w:bCs/>
          <w:sz w:val="28"/>
          <w:szCs w:val="28"/>
          <w:rtl/>
        </w:rPr>
        <w:t>جدول (</w:t>
      </w:r>
      <w:r w:rsidR="008F4DEA">
        <w:rPr>
          <w:rFonts w:ascii="Simplified Arabic" w:hAnsi="Simplified Arabic" w:cs="Simplified Arabic" w:hint="cs"/>
          <w:b/>
          <w:bCs/>
          <w:sz w:val="28"/>
          <w:szCs w:val="28"/>
          <w:rtl/>
        </w:rPr>
        <w:t>1</w:t>
      </w:r>
      <w:r w:rsidRPr="004F0620">
        <w:rPr>
          <w:rFonts w:ascii="Simplified Arabic" w:hAnsi="Simplified Arabic" w:cs="Simplified Arabic"/>
          <w:b/>
          <w:bCs/>
          <w:sz w:val="28"/>
          <w:szCs w:val="28"/>
          <w:rtl/>
        </w:rPr>
        <w:t>): ملخص للدراسات السابقة المتعلقة بموضوع الدراسة</w:t>
      </w:r>
    </w:p>
    <w:p w14:paraId="54E7CFCE"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1" w:name="_Toc233187260"/>
      <w:r w:rsidRPr="003F5D9C">
        <w:rPr>
          <w:rFonts w:ascii="Simplified Arabic" w:eastAsia="Times New Roman" w:hAnsi="Simplified Arabic" w:cs="Simplified Arabic" w:hint="cs"/>
          <w:b/>
          <w:bCs/>
          <w:kern w:val="0"/>
          <w:rtl/>
          <w14:ligatures w14:val="none"/>
        </w:rPr>
        <w:t>أولاً: الدراسات المتعلقة بالحوكمة الرقمية</w:t>
      </w:r>
      <w:bookmarkEnd w:id="11"/>
    </w:p>
    <w:tbl>
      <w:tblPr>
        <w:tblStyle w:val="TableGrid"/>
        <w:bidiVisual/>
        <w:tblW w:w="0" w:type="auto"/>
        <w:tblLook w:val="04A0" w:firstRow="1" w:lastRow="0" w:firstColumn="1" w:lastColumn="0" w:noHBand="0" w:noVBand="1"/>
      </w:tblPr>
      <w:tblGrid>
        <w:gridCol w:w="1315"/>
        <w:gridCol w:w="1258"/>
        <w:gridCol w:w="1247"/>
        <w:gridCol w:w="1250"/>
        <w:gridCol w:w="975"/>
        <w:gridCol w:w="1254"/>
        <w:gridCol w:w="1717"/>
      </w:tblGrid>
      <w:tr w:rsidR="003F5D9C" w:rsidRPr="003F5D9C" w14:paraId="7B40F94B" w14:textId="77777777" w:rsidTr="003F5D9C">
        <w:tc>
          <w:tcPr>
            <w:tcW w:w="0" w:type="auto"/>
            <w:hideMark/>
          </w:tcPr>
          <w:p w14:paraId="5C1BF7A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37F908D4"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67D47F36"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5E211E6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3798ECF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00C8013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E2B4DB"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72E4E516" w14:textId="77777777" w:rsidTr="003F5D9C">
        <w:tc>
          <w:tcPr>
            <w:tcW w:w="0" w:type="auto"/>
            <w:hideMark/>
          </w:tcPr>
          <w:p w14:paraId="06A89F6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السيد وسلامة</w:t>
            </w:r>
            <w:r w:rsidRPr="003F5D9C">
              <w:rPr>
                <w:rFonts w:ascii="Simplified Arabic" w:eastAsia="Times New Roman" w:hAnsi="Simplified Arabic" w:cs="Simplified Arabic" w:hint="cs"/>
                <w:kern w:val="0"/>
                <w14:ligatures w14:val="none"/>
              </w:rPr>
              <w:t xml:space="preserve"> (2026)</w:t>
            </w:r>
          </w:p>
        </w:tc>
        <w:tc>
          <w:tcPr>
            <w:tcW w:w="0" w:type="auto"/>
            <w:hideMark/>
          </w:tcPr>
          <w:p w14:paraId="0DF7287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كمدخل لتعزيز جودة الخدمات الحكومية الإلكترونية: دراسة حالة القطاع الحكومي الفلسطيني</w:t>
            </w:r>
          </w:p>
        </w:tc>
        <w:tc>
          <w:tcPr>
            <w:tcW w:w="0" w:type="auto"/>
            <w:hideMark/>
          </w:tcPr>
          <w:p w14:paraId="5DD89A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أبعاد الحوكمة الرقمية على جودة الخدمات الحكومية الإلكترونية</w:t>
            </w:r>
          </w:p>
        </w:tc>
        <w:tc>
          <w:tcPr>
            <w:tcW w:w="0" w:type="auto"/>
            <w:hideMark/>
          </w:tcPr>
          <w:p w14:paraId="59B7731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 (الشفافية، المساءلة، المشاركة، الأمن السيبراني، البنية التحتية)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جودة الخدمات الإلكترونية</w:t>
            </w:r>
          </w:p>
        </w:tc>
        <w:tc>
          <w:tcPr>
            <w:tcW w:w="0" w:type="auto"/>
            <w:hideMark/>
          </w:tcPr>
          <w:p w14:paraId="6DC6A07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385 موظفاً</w:t>
            </w:r>
          </w:p>
        </w:tc>
        <w:tc>
          <w:tcPr>
            <w:tcW w:w="0" w:type="auto"/>
            <w:hideMark/>
          </w:tcPr>
          <w:p w14:paraId="78075C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وجود أثر إيجابي ذي دلالة إحصائية</w:t>
            </w:r>
            <w:r w:rsidRPr="003F5D9C">
              <w:rPr>
                <w:rFonts w:ascii="Simplified Arabic" w:eastAsia="Times New Roman" w:hAnsi="Simplified Arabic" w:cs="Simplified Arabic" w:hint="cs"/>
                <w:kern w:val="0"/>
                <w14:ligatures w14:val="none"/>
              </w:rPr>
              <w:t xml:space="preserve"> (</w:t>
            </w:r>
            <w:r w:rsidRPr="003F5D9C">
              <w:rPr>
                <w:rFonts w:ascii="Cambria" w:eastAsia="Times New Roman" w:hAnsi="Cambria" w:cs="Cambria"/>
                <w:kern w:val="0"/>
                <w14:ligatures w14:val="none"/>
              </w:rPr>
              <w:t>α</w:t>
            </w:r>
            <w:r w:rsidRPr="003F5D9C">
              <w:rPr>
                <w:rFonts w:ascii="Simplified Arabic" w:eastAsia="Times New Roman" w:hAnsi="Simplified Arabic" w:cs="Simplified Arabic" w:hint="cs"/>
                <w:kern w:val="0"/>
                <w14:ligatures w14:val="none"/>
              </w:rPr>
              <w:t xml:space="preserve"> </w:t>
            </w:r>
            <w:r w:rsidRPr="003F5D9C">
              <w:rPr>
                <w:rFonts w:ascii="Cambria Math" w:eastAsia="Times New Roman" w:hAnsi="Cambria Math" w:cs="Cambria Math"/>
                <w:kern w:val="0"/>
                <w14:ligatures w14:val="none"/>
              </w:rPr>
              <w:t>≤</w:t>
            </w:r>
            <w:r w:rsidRPr="003F5D9C">
              <w:rPr>
                <w:rFonts w:ascii="Simplified Arabic" w:eastAsia="Times New Roman" w:hAnsi="Simplified Arabic" w:cs="Simplified Arabic" w:hint="cs"/>
                <w:kern w:val="0"/>
                <w14:ligatures w14:val="none"/>
              </w:rPr>
              <w:t xml:space="preserve"> 0.05) </w:t>
            </w:r>
            <w:r w:rsidRPr="003F5D9C">
              <w:rPr>
                <w:rFonts w:ascii="Simplified Arabic" w:eastAsia="Times New Roman" w:hAnsi="Simplified Arabic" w:cs="Simplified Arabic" w:hint="cs"/>
                <w:kern w:val="0"/>
                <w:rtl/>
                <w14:ligatures w14:val="none"/>
              </w:rPr>
              <w:t>لأبعاد الحوكمة الرقمية على جودة الخدمات</w:t>
            </w:r>
          </w:p>
        </w:tc>
        <w:tc>
          <w:tcPr>
            <w:tcW w:w="0" w:type="auto"/>
            <w:hideMark/>
          </w:tcPr>
          <w:p w14:paraId="4D81429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الوصفي التحليلي، أبعاد الحوكمة الرقمية، أداة الاستبانة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(جودة الخدمات بدلاً من نجاح مشاريع التحول)، والبيئة (فلسطين/حكومي مقابل السعودية/اتصالات)</w:t>
            </w:r>
          </w:p>
        </w:tc>
      </w:tr>
      <w:tr w:rsidR="003F5D9C" w:rsidRPr="003F5D9C" w14:paraId="488C516C" w14:textId="77777777" w:rsidTr="003F5D9C">
        <w:tc>
          <w:tcPr>
            <w:tcW w:w="0" w:type="auto"/>
            <w:hideMark/>
          </w:tcPr>
          <w:p w14:paraId="5235605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الزيادي وشحاتة</w:t>
            </w:r>
            <w:r w:rsidRPr="003F5D9C">
              <w:rPr>
                <w:rFonts w:ascii="Simplified Arabic" w:eastAsia="Times New Roman" w:hAnsi="Simplified Arabic" w:cs="Simplified Arabic" w:hint="cs"/>
                <w:kern w:val="0"/>
                <w14:ligatures w14:val="none"/>
              </w:rPr>
              <w:t xml:space="preserve"> (2025)</w:t>
            </w:r>
          </w:p>
        </w:tc>
        <w:tc>
          <w:tcPr>
            <w:tcW w:w="0" w:type="auto"/>
            <w:hideMark/>
          </w:tcPr>
          <w:p w14:paraId="64BE0AC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على استراتيجية الرقابة الإدارية بتوسيط التمكين الذكي</w:t>
            </w:r>
          </w:p>
        </w:tc>
        <w:tc>
          <w:tcPr>
            <w:tcW w:w="0" w:type="auto"/>
            <w:hideMark/>
          </w:tcPr>
          <w:p w14:paraId="69B042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الحوكمة الرقمية على استراتيجية الرقابة الإدارية في وجود متغير وسيط</w:t>
            </w:r>
          </w:p>
        </w:tc>
        <w:tc>
          <w:tcPr>
            <w:tcW w:w="0" w:type="auto"/>
            <w:hideMark/>
          </w:tcPr>
          <w:p w14:paraId="2A05F3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 (الشفافية، الشمول، المسؤولية، الخصوصية والأمن)</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التمكين الذكي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استراتيجية الرقابة</w:t>
            </w:r>
          </w:p>
        </w:tc>
        <w:tc>
          <w:tcPr>
            <w:tcW w:w="0" w:type="auto"/>
            <w:hideMark/>
          </w:tcPr>
          <w:p w14:paraId="41535DD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384 مبحوثاً، نمذجة المعادلات الهيكلية</w:t>
            </w:r>
            <w:r w:rsidRPr="003F5D9C">
              <w:rPr>
                <w:rFonts w:ascii="Simplified Arabic" w:eastAsia="Times New Roman" w:hAnsi="Simplified Arabic" w:cs="Simplified Arabic" w:hint="cs"/>
                <w:kern w:val="0"/>
                <w14:ligatures w14:val="none"/>
              </w:rPr>
              <w:t xml:space="preserve"> (SEM)</w:t>
            </w:r>
          </w:p>
        </w:tc>
        <w:tc>
          <w:tcPr>
            <w:tcW w:w="0" w:type="auto"/>
            <w:hideMark/>
          </w:tcPr>
          <w:p w14:paraId="3644A4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للحوكمة الرقمية على الرقابة، مع وساطة جزئية للتمكين الذكي</w:t>
            </w:r>
          </w:p>
        </w:tc>
        <w:tc>
          <w:tcPr>
            <w:tcW w:w="0" w:type="auto"/>
            <w:hideMark/>
          </w:tcPr>
          <w:p w14:paraId="02566C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بعض أبعاد الحوكمة الرقمية، حجم العينة المتقارب، 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وجود متغير وسيط (التمكين الذكي)، والمتغير التابع (الرقابة الإدارية)</w:t>
            </w:r>
          </w:p>
        </w:tc>
      </w:tr>
      <w:tr w:rsidR="003F5D9C" w:rsidRPr="003F5D9C" w14:paraId="1D376A00" w14:textId="77777777" w:rsidTr="003F5D9C">
        <w:tc>
          <w:tcPr>
            <w:tcW w:w="0" w:type="auto"/>
            <w:hideMark/>
          </w:tcPr>
          <w:p w14:paraId="4A1C72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Sadat et al. (2025)</w:t>
            </w:r>
          </w:p>
        </w:tc>
        <w:tc>
          <w:tcPr>
            <w:tcW w:w="0" w:type="auto"/>
            <w:hideMark/>
          </w:tcPr>
          <w:p w14:paraId="406385A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على كفاءة الخدمات العامة: تحليل مقارن بين الدول</w:t>
            </w:r>
          </w:p>
        </w:tc>
        <w:tc>
          <w:tcPr>
            <w:tcW w:w="0" w:type="auto"/>
            <w:hideMark/>
          </w:tcPr>
          <w:p w14:paraId="450B503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أثر الحوكمة الرقمية على كفاءة الخدمات العامة في الدول المتقدمة والنامية</w:t>
            </w:r>
          </w:p>
        </w:tc>
        <w:tc>
          <w:tcPr>
            <w:tcW w:w="0" w:type="auto"/>
            <w:hideMark/>
          </w:tcPr>
          <w:p w14:paraId="5E11A4E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كفاءة الخدمات العامة</w:t>
            </w:r>
          </w:p>
        </w:tc>
        <w:tc>
          <w:tcPr>
            <w:tcW w:w="0" w:type="auto"/>
            <w:hideMark/>
          </w:tcPr>
          <w:p w14:paraId="65EEFD1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مقارن كمي – بيانات ثانوية من 40 دولة</w:t>
            </w:r>
          </w:p>
        </w:tc>
        <w:tc>
          <w:tcPr>
            <w:tcW w:w="0" w:type="auto"/>
            <w:hideMark/>
          </w:tcPr>
          <w:p w14:paraId="1C7136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قوي للحوكمة الرقمية في الدول ذات البنية التحتية المتقدمة، وأثر محدود في الدول النامية</w:t>
            </w:r>
          </w:p>
        </w:tc>
        <w:tc>
          <w:tcPr>
            <w:tcW w:w="0" w:type="auto"/>
            <w:hideMark/>
          </w:tcPr>
          <w:p w14:paraId="3E3BF5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المقارن الكمي، البيانات الثانوية، المستوى الدولي مقابل القطاعي</w:t>
            </w:r>
          </w:p>
        </w:tc>
      </w:tr>
      <w:tr w:rsidR="003F5D9C" w:rsidRPr="003F5D9C" w14:paraId="4ED1FC3B" w14:textId="77777777" w:rsidTr="003F5D9C">
        <w:tc>
          <w:tcPr>
            <w:tcW w:w="0" w:type="auto"/>
            <w:hideMark/>
          </w:tcPr>
          <w:p w14:paraId="71EA3D4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Zahra (2025)</w:t>
            </w:r>
          </w:p>
        </w:tc>
        <w:tc>
          <w:tcPr>
            <w:tcW w:w="0" w:type="auto"/>
            <w:hideMark/>
          </w:tcPr>
          <w:p w14:paraId="423D4D8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تطبيق إطار الحوكمة الرقمية لتعزيز التحول الرقمي</w:t>
            </w:r>
          </w:p>
        </w:tc>
        <w:tc>
          <w:tcPr>
            <w:tcW w:w="0" w:type="auto"/>
            <w:hideMark/>
          </w:tcPr>
          <w:p w14:paraId="44D4A07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دور أطر الحوكمة الرقمية في تعزيز نجاح التحول الرقمي</w:t>
            </w:r>
          </w:p>
        </w:tc>
        <w:tc>
          <w:tcPr>
            <w:tcW w:w="0" w:type="auto"/>
            <w:hideMark/>
          </w:tcPr>
          <w:p w14:paraId="2C1BEBD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إطار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46325F7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حالة لـ 15 منظمة</w:t>
            </w:r>
          </w:p>
        </w:tc>
        <w:tc>
          <w:tcPr>
            <w:tcW w:w="0" w:type="auto"/>
            <w:hideMark/>
          </w:tcPr>
          <w:p w14:paraId="1584DDA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غياب إطار الحوكمة يُضعف نجاح التحول، ووجوده يعزز النجاح</w:t>
            </w:r>
          </w:p>
        </w:tc>
        <w:tc>
          <w:tcPr>
            <w:tcW w:w="0" w:type="auto"/>
            <w:hideMark/>
          </w:tcPr>
          <w:p w14:paraId="25371FF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بين الحوكمة الرقمية والتحول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بدلاً من ميداني)، عدد العينة وطبيعتها</w:t>
            </w:r>
          </w:p>
        </w:tc>
      </w:tr>
      <w:tr w:rsidR="003F5D9C" w:rsidRPr="003F5D9C" w14:paraId="2CC0F0DA" w14:textId="77777777" w:rsidTr="003F5D9C">
        <w:tc>
          <w:tcPr>
            <w:tcW w:w="0" w:type="auto"/>
            <w:hideMark/>
          </w:tcPr>
          <w:p w14:paraId="68C6316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عبد الحميد</w:t>
            </w:r>
            <w:r w:rsidRPr="003F5D9C">
              <w:rPr>
                <w:rFonts w:ascii="Simplified Arabic" w:eastAsia="Times New Roman" w:hAnsi="Simplified Arabic" w:cs="Simplified Arabic" w:hint="cs"/>
                <w:kern w:val="0"/>
                <w14:ligatures w14:val="none"/>
              </w:rPr>
              <w:t xml:space="preserve"> (2024)</w:t>
            </w:r>
          </w:p>
        </w:tc>
        <w:tc>
          <w:tcPr>
            <w:tcW w:w="0" w:type="auto"/>
            <w:hideMark/>
          </w:tcPr>
          <w:p w14:paraId="16634C8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آليات تطبيق الحوكمة الرقمية في القطاع الحكومي: دروس مستفادة</w:t>
            </w:r>
          </w:p>
        </w:tc>
        <w:tc>
          <w:tcPr>
            <w:tcW w:w="0" w:type="auto"/>
            <w:hideMark/>
          </w:tcPr>
          <w:p w14:paraId="7A7BF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آليات تطبيق الحوكمة الرقمية وعوامل نجاحها</w:t>
            </w:r>
          </w:p>
        </w:tc>
        <w:tc>
          <w:tcPr>
            <w:tcW w:w="0" w:type="auto"/>
            <w:hideMark/>
          </w:tcPr>
          <w:p w14:paraId="01839DE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عوامل التطبيق</w:t>
            </w:r>
          </w:p>
        </w:tc>
        <w:tc>
          <w:tcPr>
            <w:tcW w:w="0" w:type="auto"/>
            <w:hideMark/>
          </w:tcPr>
          <w:p w14:paraId="314E92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6 تجارب دولية</w:t>
            </w:r>
          </w:p>
        </w:tc>
        <w:tc>
          <w:tcPr>
            <w:tcW w:w="0" w:type="auto"/>
            <w:hideMark/>
          </w:tcPr>
          <w:p w14:paraId="2E5E8B5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البنية التحتية والإطار التشريعي والقيادة العليا عوامل أساسية لنجاح الحوكمة</w:t>
            </w:r>
          </w:p>
        </w:tc>
        <w:tc>
          <w:tcPr>
            <w:tcW w:w="0" w:type="auto"/>
            <w:hideMark/>
          </w:tcPr>
          <w:p w14:paraId="7C142AF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بعض أبعاد الحوكمة (البنية التحتية، الإطار التشريعي)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(تحليل تجارب دولية بدلاً من ميداني)، القطاع (حكومي مقابل اتصالات)</w:t>
            </w:r>
          </w:p>
        </w:tc>
      </w:tr>
      <w:tr w:rsidR="003F5D9C" w:rsidRPr="003F5D9C" w14:paraId="334BAE38" w14:textId="77777777" w:rsidTr="003F5D9C">
        <w:tc>
          <w:tcPr>
            <w:tcW w:w="0" w:type="auto"/>
            <w:hideMark/>
          </w:tcPr>
          <w:p w14:paraId="00E4B6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خلف</w:t>
            </w:r>
            <w:r w:rsidRPr="003F5D9C">
              <w:rPr>
                <w:rFonts w:ascii="Simplified Arabic" w:eastAsia="Times New Roman" w:hAnsi="Simplified Arabic" w:cs="Simplified Arabic" w:hint="cs"/>
                <w:kern w:val="0"/>
                <w14:ligatures w14:val="none"/>
              </w:rPr>
              <w:t xml:space="preserve"> (2024)</w:t>
            </w:r>
          </w:p>
        </w:tc>
        <w:tc>
          <w:tcPr>
            <w:tcW w:w="0" w:type="auto"/>
            <w:hideMark/>
          </w:tcPr>
          <w:p w14:paraId="6135A99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دور تقنيات الحوكمة الرقمية في تحسين أنظمة الرقابة الداخلية</w:t>
            </w:r>
          </w:p>
        </w:tc>
        <w:tc>
          <w:tcPr>
            <w:tcW w:w="0" w:type="auto"/>
            <w:hideMark/>
          </w:tcPr>
          <w:p w14:paraId="62B8C7F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تقنيات الحوكمة الرقمية على أنظمة الرقابة الداخلية</w:t>
            </w:r>
          </w:p>
        </w:tc>
        <w:tc>
          <w:tcPr>
            <w:tcW w:w="0" w:type="auto"/>
            <w:hideMark/>
          </w:tcPr>
          <w:p w14:paraId="65DC7BE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تقنيات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نظام الرقابة الداخلية</w:t>
            </w:r>
          </w:p>
        </w:tc>
        <w:tc>
          <w:tcPr>
            <w:tcW w:w="0" w:type="auto"/>
            <w:hideMark/>
          </w:tcPr>
          <w:p w14:paraId="5689AAE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120 مدققاً</w:t>
            </w:r>
          </w:p>
        </w:tc>
        <w:tc>
          <w:tcPr>
            <w:tcW w:w="0" w:type="auto"/>
            <w:hideMark/>
          </w:tcPr>
          <w:p w14:paraId="7A6E27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على الشفافية ودقة المعلومات وكشف المخاطر</w:t>
            </w:r>
          </w:p>
        </w:tc>
        <w:tc>
          <w:tcPr>
            <w:tcW w:w="0" w:type="auto"/>
            <w:hideMark/>
          </w:tcPr>
          <w:p w14:paraId="6EFE77E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التركيز على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(الرقابة الداخلية)، حجم العينة، طبيعة المبحوثين</w:t>
            </w:r>
          </w:p>
        </w:tc>
      </w:tr>
      <w:tr w:rsidR="003F5D9C" w:rsidRPr="003F5D9C" w14:paraId="17FB94AF" w14:textId="77777777" w:rsidTr="003F5D9C">
        <w:tc>
          <w:tcPr>
            <w:tcW w:w="0" w:type="auto"/>
            <w:hideMark/>
          </w:tcPr>
          <w:p w14:paraId="79675C34"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Manoharan</w:t>
            </w:r>
            <w:proofErr w:type="spellEnd"/>
            <w:r w:rsidRPr="003F5D9C">
              <w:rPr>
                <w:rFonts w:ascii="Simplified Arabic" w:eastAsia="Times New Roman" w:hAnsi="Simplified Arabic" w:cs="Simplified Arabic" w:hint="cs"/>
                <w:kern w:val="0"/>
                <w14:ligatures w14:val="none"/>
              </w:rPr>
              <w:t xml:space="preserve"> et al. (2023)</w:t>
            </w:r>
          </w:p>
        </w:tc>
        <w:tc>
          <w:tcPr>
            <w:tcW w:w="0" w:type="auto"/>
            <w:hideMark/>
          </w:tcPr>
          <w:p w14:paraId="0D492A2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تقييم الأداء وأفضل الممارسات</w:t>
            </w:r>
          </w:p>
        </w:tc>
        <w:tc>
          <w:tcPr>
            <w:tcW w:w="0" w:type="auto"/>
            <w:hideMark/>
          </w:tcPr>
          <w:p w14:paraId="4AE21BE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تقييم أداء الحوكمة الرقمية في الحكومات المحلية وتحديد أفضل الممارسات</w:t>
            </w:r>
          </w:p>
        </w:tc>
        <w:tc>
          <w:tcPr>
            <w:tcW w:w="0" w:type="auto"/>
            <w:hideMark/>
          </w:tcPr>
          <w:p w14:paraId="5F55B75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الأداء الحكومي الإلكتروني</w:t>
            </w:r>
          </w:p>
        </w:tc>
        <w:tc>
          <w:tcPr>
            <w:tcW w:w="0" w:type="auto"/>
            <w:hideMark/>
          </w:tcPr>
          <w:p w14:paraId="7668AF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مسحي تقييمي – تقييم 84 مدينة عالمياً</w:t>
            </w:r>
          </w:p>
        </w:tc>
        <w:tc>
          <w:tcPr>
            <w:tcW w:w="0" w:type="auto"/>
            <w:hideMark/>
          </w:tcPr>
          <w:p w14:paraId="292C0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تفاوت كبير في تطبيق الحوكمة الرقمية بين المدن، وتحديد ممارسات رائدة</w:t>
            </w:r>
          </w:p>
        </w:tc>
        <w:tc>
          <w:tcPr>
            <w:tcW w:w="0" w:type="auto"/>
            <w:hideMark/>
          </w:tcPr>
          <w:p w14:paraId="19100E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التركيز على الحوكمة الرقمية وتقييم تطبيقها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(تقييم مواقع إلكترونية)، السياق الحكومي، النطاق الجغرافي</w:t>
            </w:r>
          </w:p>
        </w:tc>
      </w:tr>
      <w:tr w:rsidR="003F5D9C" w:rsidRPr="003F5D9C" w14:paraId="788AC40F" w14:textId="77777777" w:rsidTr="003F5D9C">
        <w:tc>
          <w:tcPr>
            <w:tcW w:w="0" w:type="auto"/>
            <w:hideMark/>
          </w:tcPr>
          <w:p w14:paraId="2983BEFD"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Idzi</w:t>
            </w:r>
            <w:proofErr w:type="spellEnd"/>
            <w:r w:rsidRPr="003F5D9C">
              <w:rPr>
                <w:rFonts w:ascii="Simplified Arabic" w:eastAsia="Times New Roman" w:hAnsi="Simplified Arabic" w:cs="Simplified Arabic" w:hint="cs"/>
                <w:kern w:val="0"/>
                <w14:ligatures w14:val="none"/>
              </w:rPr>
              <w:t xml:space="preserve"> &amp; Gomes (2022)</w:t>
            </w:r>
          </w:p>
        </w:tc>
        <w:tc>
          <w:tcPr>
            <w:tcW w:w="0" w:type="auto"/>
            <w:hideMark/>
          </w:tcPr>
          <w:p w14:paraId="3E42B95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الاستراتيجيات الحكومية التي تؤثر على الخدمات العامة</w:t>
            </w:r>
          </w:p>
        </w:tc>
        <w:tc>
          <w:tcPr>
            <w:tcW w:w="0" w:type="auto"/>
            <w:hideMark/>
          </w:tcPr>
          <w:p w14:paraId="20CD18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استعراض الاستراتيجيات الحكومية الرقمية وأثرها على الخدمات العامة</w:t>
            </w:r>
          </w:p>
        </w:tc>
        <w:tc>
          <w:tcPr>
            <w:tcW w:w="0" w:type="auto"/>
            <w:hideMark/>
          </w:tcPr>
          <w:p w14:paraId="773B1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 الخدمات العامة</w:t>
            </w:r>
          </w:p>
        </w:tc>
        <w:tc>
          <w:tcPr>
            <w:tcW w:w="0" w:type="auto"/>
            <w:hideMark/>
          </w:tcPr>
          <w:p w14:paraId="32108F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المراجعة المنهجية – تحليل 87 دراسة</w:t>
            </w:r>
          </w:p>
        </w:tc>
        <w:tc>
          <w:tcPr>
            <w:tcW w:w="0" w:type="auto"/>
            <w:hideMark/>
          </w:tcPr>
          <w:p w14:paraId="406F06B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الاستراتيجيات الرقمية تؤثر إيجابياً على فاعلية الخدمات العامة</w:t>
            </w:r>
          </w:p>
        </w:tc>
        <w:tc>
          <w:tcPr>
            <w:tcW w:w="0" w:type="auto"/>
            <w:hideMark/>
          </w:tcPr>
          <w:p w14:paraId="7E615F1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الإطار العام للحوكمة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طبيعة الدراسة نظرية وليست ميدانية</w:t>
            </w:r>
          </w:p>
        </w:tc>
      </w:tr>
      <w:tr w:rsidR="003F5D9C" w:rsidRPr="003F5D9C" w14:paraId="39E76258" w14:textId="77777777" w:rsidTr="003F5D9C">
        <w:tc>
          <w:tcPr>
            <w:tcW w:w="0" w:type="auto"/>
            <w:hideMark/>
          </w:tcPr>
          <w:p w14:paraId="7E905C45"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Vaia</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0330C7C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آليات ومبادئ الحوكمة الرقمية التي تُمكّن من الاستجابة الرشيقة</w:t>
            </w:r>
          </w:p>
        </w:tc>
        <w:tc>
          <w:tcPr>
            <w:tcW w:w="0" w:type="auto"/>
            <w:hideMark/>
          </w:tcPr>
          <w:p w14:paraId="016C780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استكشاف آليات الحوكمة الرقمية الداعمة للرشاقة في البيئات التنافسية</w:t>
            </w:r>
          </w:p>
        </w:tc>
        <w:tc>
          <w:tcPr>
            <w:tcW w:w="0" w:type="auto"/>
            <w:hideMark/>
          </w:tcPr>
          <w:p w14:paraId="3946805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 الرشاقة التنظيمية</w:t>
            </w:r>
          </w:p>
        </w:tc>
        <w:tc>
          <w:tcPr>
            <w:tcW w:w="0" w:type="auto"/>
            <w:hideMark/>
          </w:tcPr>
          <w:p w14:paraId="60B7410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3 شركات</w:t>
            </w:r>
          </w:p>
        </w:tc>
        <w:tc>
          <w:tcPr>
            <w:tcW w:w="0" w:type="auto"/>
            <w:hideMark/>
          </w:tcPr>
          <w:p w14:paraId="7145863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تُمكّن من استجابات رشيقة وفعّالة</w:t>
            </w:r>
          </w:p>
        </w:tc>
        <w:tc>
          <w:tcPr>
            <w:tcW w:w="0" w:type="auto"/>
            <w:hideMark/>
          </w:tcPr>
          <w:p w14:paraId="133A2D4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أهمية الحوكمة الرقمية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المتغير التابع (الرشاقة)، صغر العينة</w:t>
            </w:r>
          </w:p>
        </w:tc>
      </w:tr>
      <w:tr w:rsidR="003F5D9C" w:rsidRPr="003F5D9C" w14:paraId="47788CFC" w14:textId="77777777" w:rsidTr="003F5D9C">
        <w:tc>
          <w:tcPr>
            <w:tcW w:w="0" w:type="auto"/>
            <w:hideMark/>
          </w:tcPr>
          <w:p w14:paraId="7CB49F3C"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Jelovac</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384DB5C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المسؤولية الرقمية للشركات وأثرها على بناء الثقة الرقمية والحوكمة المسؤولة</w:t>
            </w:r>
          </w:p>
        </w:tc>
        <w:tc>
          <w:tcPr>
            <w:tcW w:w="0" w:type="auto"/>
            <w:hideMark/>
          </w:tcPr>
          <w:p w14:paraId="1842C22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العلاقة بين المسؤولية الرقمية والحوكمة المسؤولة</w:t>
            </w:r>
          </w:p>
        </w:tc>
        <w:tc>
          <w:tcPr>
            <w:tcW w:w="0" w:type="auto"/>
            <w:hideMark/>
          </w:tcPr>
          <w:p w14:paraId="541EEA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المسؤولية الرقمية – الثقة الرقمية – الحوكمة</w:t>
            </w:r>
          </w:p>
        </w:tc>
        <w:tc>
          <w:tcPr>
            <w:tcW w:w="0" w:type="auto"/>
            <w:hideMark/>
          </w:tcPr>
          <w:p w14:paraId="41096C1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 دراسة 5 شركات</w:t>
            </w:r>
          </w:p>
        </w:tc>
        <w:tc>
          <w:tcPr>
            <w:tcW w:w="0" w:type="auto"/>
            <w:hideMark/>
          </w:tcPr>
          <w:p w14:paraId="2183FE8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المسؤولية الرقمية والثقة وممارسات الحوكمة</w:t>
            </w:r>
          </w:p>
        </w:tc>
        <w:tc>
          <w:tcPr>
            <w:tcW w:w="0" w:type="auto"/>
            <w:hideMark/>
          </w:tcPr>
          <w:p w14:paraId="5FC9456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اهتمام بالحوكمة في القطاع الخاص</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(المسؤولية الرقمية)، صغر العينة، السياق الأوروبي</w:t>
            </w:r>
          </w:p>
        </w:tc>
      </w:tr>
      <w:tr w:rsidR="003F5D9C" w:rsidRPr="003F5D9C" w14:paraId="50E6135B" w14:textId="77777777" w:rsidTr="003F5D9C">
        <w:tc>
          <w:tcPr>
            <w:tcW w:w="0" w:type="auto"/>
            <w:hideMark/>
          </w:tcPr>
          <w:p w14:paraId="76C5701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بوسعدية</w:t>
            </w:r>
            <w:r w:rsidRPr="003F5D9C">
              <w:rPr>
                <w:rFonts w:ascii="Simplified Arabic" w:eastAsia="Times New Roman" w:hAnsi="Simplified Arabic" w:cs="Simplified Arabic" w:hint="cs"/>
                <w:kern w:val="0"/>
                <w14:ligatures w14:val="none"/>
              </w:rPr>
              <w:t xml:space="preserve"> (2022)</w:t>
            </w:r>
          </w:p>
        </w:tc>
        <w:tc>
          <w:tcPr>
            <w:tcW w:w="0" w:type="auto"/>
            <w:hideMark/>
          </w:tcPr>
          <w:p w14:paraId="0F6A2CA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الحوكمة الرقمية في مكافحة الفساد الإداري</w:t>
            </w:r>
          </w:p>
        </w:tc>
        <w:tc>
          <w:tcPr>
            <w:tcW w:w="0" w:type="auto"/>
            <w:hideMark/>
          </w:tcPr>
          <w:p w14:paraId="7740A8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الحوكمة الرقمية في مكافحة الفساد الإداري</w:t>
            </w:r>
          </w:p>
        </w:tc>
        <w:tc>
          <w:tcPr>
            <w:tcW w:w="0" w:type="auto"/>
            <w:hideMark/>
          </w:tcPr>
          <w:p w14:paraId="0685D92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الفساد الإداري</w:t>
            </w:r>
          </w:p>
        </w:tc>
        <w:tc>
          <w:tcPr>
            <w:tcW w:w="0" w:type="auto"/>
            <w:hideMark/>
          </w:tcPr>
          <w:p w14:paraId="57E7BF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تحليلي وصفي – تحليل تجريبي دولي</w:t>
            </w:r>
          </w:p>
        </w:tc>
        <w:tc>
          <w:tcPr>
            <w:tcW w:w="0" w:type="auto"/>
            <w:hideMark/>
          </w:tcPr>
          <w:p w14:paraId="70B2016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تُسهم في الحد من الفساد عبر الشفافية والمساءلة</w:t>
            </w:r>
          </w:p>
        </w:tc>
        <w:tc>
          <w:tcPr>
            <w:tcW w:w="0" w:type="auto"/>
            <w:hideMark/>
          </w:tcPr>
          <w:p w14:paraId="77ECC2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أبعاد الشفافية والمساءلة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(الفساد الإداري)، طبيعة المنهج</w:t>
            </w:r>
          </w:p>
        </w:tc>
      </w:tr>
    </w:tbl>
    <w:p w14:paraId="53DEB7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07E3A496" w14:textId="77777777" w:rsidR="005C5DF8" w:rsidRDefault="005C5DF8" w:rsidP="003F5D9C">
      <w:pPr>
        <w:spacing w:before="100" w:beforeAutospacing="1" w:after="100" w:afterAutospacing="1" w:line="240" w:lineRule="auto"/>
        <w:outlineLvl w:val="1"/>
        <w:rPr>
          <w:rFonts w:ascii="Simplified Arabic" w:eastAsia="Times New Roman" w:hAnsi="Simplified Arabic" w:cs="Simplified Arabic"/>
          <w:b/>
          <w:bCs/>
          <w:kern w:val="0"/>
          <w:rtl/>
          <w14:ligatures w14:val="none"/>
        </w:rPr>
      </w:pPr>
    </w:p>
    <w:p w14:paraId="258163C0" w14:textId="2235E01E"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2" w:name="_Toc233187261"/>
      <w:r w:rsidRPr="003F5D9C">
        <w:rPr>
          <w:rFonts w:ascii="Simplified Arabic" w:eastAsia="Times New Roman" w:hAnsi="Simplified Arabic" w:cs="Simplified Arabic" w:hint="cs"/>
          <w:b/>
          <w:bCs/>
          <w:kern w:val="0"/>
          <w:rtl/>
          <w14:ligatures w14:val="none"/>
        </w:rPr>
        <w:t>ثانياً: الدراسات المتعلقة بنجاح مشاريع التحول الرقمي</w:t>
      </w:r>
      <w:bookmarkEnd w:id="12"/>
    </w:p>
    <w:tbl>
      <w:tblPr>
        <w:tblStyle w:val="TableGrid"/>
        <w:bidiVisual/>
        <w:tblW w:w="0" w:type="auto"/>
        <w:tblLook w:val="04A0" w:firstRow="1" w:lastRow="0" w:firstColumn="1" w:lastColumn="0" w:noHBand="0" w:noVBand="1"/>
      </w:tblPr>
      <w:tblGrid>
        <w:gridCol w:w="1237"/>
        <w:gridCol w:w="1402"/>
        <w:gridCol w:w="1293"/>
        <w:gridCol w:w="1172"/>
        <w:gridCol w:w="1076"/>
        <w:gridCol w:w="1331"/>
        <w:gridCol w:w="1505"/>
      </w:tblGrid>
      <w:tr w:rsidR="003F5D9C" w:rsidRPr="003F5D9C" w14:paraId="63F7F6C0" w14:textId="77777777" w:rsidTr="005C5DF8">
        <w:tc>
          <w:tcPr>
            <w:tcW w:w="0" w:type="auto"/>
            <w:hideMark/>
          </w:tcPr>
          <w:p w14:paraId="6FDC807C"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7939F6A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FB93EC3"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40A998A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45531CE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2087E37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82F2700"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3F5D9C" w:rsidRPr="003F5D9C" w14:paraId="64A175A5" w14:textId="77777777" w:rsidTr="005C5DF8">
        <w:tc>
          <w:tcPr>
            <w:tcW w:w="0" w:type="auto"/>
            <w:hideMark/>
          </w:tcPr>
          <w:p w14:paraId="3AC2161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أحمد ومهدي</w:t>
            </w:r>
            <w:r w:rsidRPr="003F5D9C">
              <w:rPr>
                <w:rFonts w:ascii="Simplified Arabic" w:eastAsia="Times New Roman" w:hAnsi="Simplified Arabic" w:cs="Simplified Arabic" w:hint="cs"/>
                <w:kern w:val="0"/>
                <w14:ligatures w14:val="none"/>
              </w:rPr>
              <w:t xml:space="preserve"> (2024)</w:t>
            </w:r>
          </w:p>
        </w:tc>
        <w:tc>
          <w:tcPr>
            <w:tcW w:w="0" w:type="auto"/>
            <w:hideMark/>
          </w:tcPr>
          <w:p w14:paraId="42D651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استراتيجيات التحول الرقمي على نجاح مشاريع منظمات الأعمال: دراسة ميدانية في شركات الاتصالات العاملة في العراق</w:t>
            </w:r>
          </w:p>
        </w:tc>
        <w:tc>
          <w:tcPr>
            <w:tcW w:w="0" w:type="auto"/>
            <w:hideMark/>
          </w:tcPr>
          <w:p w14:paraId="32F765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استراتيجيات التحول الرقمي على نجاح المشاريع في قطاع الاتصالات</w:t>
            </w:r>
          </w:p>
        </w:tc>
        <w:tc>
          <w:tcPr>
            <w:tcW w:w="0" w:type="auto"/>
            <w:hideMark/>
          </w:tcPr>
          <w:p w14:paraId="580499D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استراتيجيات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38F31A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160 مديراً</w:t>
            </w:r>
          </w:p>
        </w:tc>
        <w:tc>
          <w:tcPr>
            <w:tcW w:w="0" w:type="auto"/>
            <w:hideMark/>
          </w:tcPr>
          <w:p w14:paraId="6770143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معنوي لاستراتيجيات التحول الرقمي على نجاح المشاريع</w:t>
            </w:r>
          </w:p>
        </w:tc>
        <w:tc>
          <w:tcPr>
            <w:tcW w:w="0" w:type="auto"/>
            <w:hideMark/>
          </w:tcPr>
          <w:p w14:paraId="51C3EE8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القطاع (الاتصالات)، 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البيئة (العراق مقابل السعودية)، المتغير المستقل (الاستراتيجيات مقابل الحوكمة)</w:t>
            </w:r>
          </w:p>
        </w:tc>
      </w:tr>
      <w:tr w:rsidR="003F5D9C" w:rsidRPr="003F5D9C" w14:paraId="655B8097" w14:textId="77777777" w:rsidTr="005C5DF8">
        <w:tc>
          <w:tcPr>
            <w:tcW w:w="0" w:type="auto"/>
            <w:hideMark/>
          </w:tcPr>
          <w:p w14:paraId="212B304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داهينين</w:t>
            </w:r>
            <w:r w:rsidRPr="003F5D9C">
              <w:rPr>
                <w:rFonts w:ascii="Simplified Arabic" w:eastAsia="Times New Roman" w:hAnsi="Simplified Arabic" w:cs="Simplified Arabic" w:hint="cs"/>
                <w:kern w:val="0"/>
                <w14:ligatures w14:val="none"/>
              </w:rPr>
              <w:t xml:space="preserve"> (2024)</w:t>
            </w:r>
          </w:p>
        </w:tc>
        <w:tc>
          <w:tcPr>
            <w:tcW w:w="0" w:type="auto"/>
            <w:hideMark/>
          </w:tcPr>
          <w:p w14:paraId="10E7FED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القدرات الرقمية في نجاح التحول الرقمي بالمشاريع الريادية</w:t>
            </w:r>
          </w:p>
        </w:tc>
        <w:tc>
          <w:tcPr>
            <w:tcW w:w="0" w:type="auto"/>
            <w:hideMark/>
          </w:tcPr>
          <w:p w14:paraId="2F2953C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القدرات الرقمية الديناميكية على نجاح التحول الرقمي</w:t>
            </w:r>
          </w:p>
        </w:tc>
        <w:tc>
          <w:tcPr>
            <w:tcW w:w="0" w:type="auto"/>
            <w:hideMark/>
          </w:tcPr>
          <w:p w14:paraId="5F7FDDE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القدرات الرقمية الديناميكية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47717E6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رائد مشروع</w:t>
            </w:r>
          </w:p>
        </w:tc>
        <w:tc>
          <w:tcPr>
            <w:tcW w:w="0" w:type="auto"/>
            <w:hideMark/>
          </w:tcPr>
          <w:p w14:paraId="680AFCD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للقدرات الرقمية الديناميكية على نجاح التحول</w:t>
            </w:r>
          </w:p>
        </w:tc>
        <w:tc>
          <w:tcPr>
            <w:tcW w:w="0" w:type="auto"/>
            <w:hideMark/>
          </w:tcPr>
          <w:p w14:paraId="0892087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(نجاح التحول الرقمي)،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(القدرات الرقمية)، السياق (مشاريع ريادية جزائرية)</w:t>
            </w:r>
          </w:p>
        </w:tc>
      </w:tr>
      <w:tr w:rsidR="003F5D9C" w:rsidRPr="003F5D9C" w14:paraId="0D62F1AE" w14:textId="77777777" w:rsidTr="005C5DF8">
        <w:tc>
          <w:tcPr>
            <w:tcW w:w="0" w:type="auto"/>
            <w:hideMark/>
          </w:tcPr>
          <w:p w14:paraId="0261060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 xml:space="preserve">Kala </w:t>
            </w:r>
            <w:proofErr w:type="spellStart"/>
            <w:r w:rsidRPr="003F5D9C">
              <w:rPr>
                <w:rFonts w:ascii="Simplified Arabic" w:eastAsia="Times New Roman" w:hAnsi="Simplified Arabic" w:cs="Simplified Arabic" w:hint="cs"/>
                <w:kern w:val="0"/>
                <w14:ligatures w14:val="none"/>
              </w:rPr>
              <w:t>Kamdjoug</w:t>
            </w:r>
            <w:proofErr w:type="spellEnd"/>
            <w:r w:rsidRPr="003F5D9C">
              <w:rPr>
                <w:rFonts w:ascii="Simplified Arabic" w:eastAsia="Times New Roman" w:hAnsi="Simplified Arabic" w:cs="Simplified Arabic" w:hint="cs"/>
                <w:kern w:val="0"/>
                <w14:ligatures w14:val="none"/>
              </w:rPr>
              <w:t xml:space="preserve"> (2024)</w:t>
            </w:r>
          </w:p>
        </w:tc>
        <w:tc>
          <w:tcPr>
            <w:tcW w:w="0" w:type="auto"/>
            <w:hideMark/>
          </w:tcPr>
          <w:p w14:paraId="5F305CC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ونجاح مشاريع التحول الرقمي في المؤسسات الصغيرة والمتوسطة</w:t>
            </w:r>
          </w:p>
        </w:tc>
        <w:tc>
          <w:tcPr>
            <w:tcW w:w="0" w:type="auto"/>
            <w:hideMark/>
          </w:tcPr>
          <w:p w14:paraId="5D6542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استكشاف دور إدارة التغيير في نجاح مشاريع التحول الرقمي</w:t>
            </w:r>
          </w:p>
        </w:tc>
        <w:tc>
          <w:tcPr>
            <w:tcW w:w="0" w:type="auto"/>
            <w:hideMark/>
          </w:tcPr>
          <w:p w14:paraId="10A696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إدارة التغيير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61F0190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320 موظفاً</w:t>
            </w:r>
          </w:p>
        </w:tc>
        <w:tc>
          <w:tcPr>
            <w:tcW w:w="0" w:type="auto"/>
            <w:hideMark/>
          </w:tcPr>
          <w:p w14:paraId="52FD371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إدارة التغيير عامل جوهري لنجاح مشاريع التحول الرقمي</w:t>
            </w:r>
          </w:p>
        </w:tc>
        <w:tc>
          <w:tcPr>
            <w:tcW w:w="0" w:type="auto"/>
            <w:hideMark/>
          </w:tcPr>
          <w:p w14:paraId="5737A9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 الحجم المتقارب للعينة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(إدارة التغيير)، السياق (الكونغو، شركات صغيرة)</w:t>
            </w:r>
          </w:p>
        </w:tc>
      </w:tr>
      <w:tr w:rsidR="003F5D9C" w:rsidRPr="003F5D9C" w14:paraId="641085ED" w14:textId="77777777" w:rsidTr="005C5DF8">
        <w:tc>
          <w:tcPr>
            <w:tcW w:w="0" w:type="auto"/>
            <w:hideMark/>
          </w:tcPr>
          <w:p w14:paraId="27DE661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الحسن والنجار</w:t>
            </w:r>
            <w:r w:rsidRPr="003F5D9C">
              <w:rPr>
                <w:rFonts w:ascii="Simplified Arabic" w:eastAsia="Times New Roman" w:hAnsi="Simplified Arabic" w:cs="Simplified Arabic" w:hint="cs"/>
                <w:kern w:val="0"/>
                <w14:ligatures w14:val="none"/>
              </w:rPr>
              <w:t xml:space="preserve"> (2023)</w:t>
            </w:r>
          </w:p>
        </w:tc>
        <w:tc>
          <w:tcPr>
            <w:tcW w:w="0" w:type="auto"/>
            <w:hideMark/>
          </w:tcPr>
          <w:p w14:paraId="1A0078C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تكنولوجيا المعلومات في نجاح المشاريع</w:t>
            </w:r>
          </w:p>
        </w:tc>
        <w:tc>
          <w:tcPr>
            <w:tcW w:w="0" w:type="auto"/>
            <w:hideMark/>
          </w:tcPr>
          <w:p w14:paraId="1F26F32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الكشف عن أثر تكنولوجيا المعلومات على نجاح المشاريع الإنشائية</w:t>
            </w:r>
          </w:p>
        </w:tc>
        <w:tc>
          <w:tcPr>
            <w:tcW w:w="0" w:type="auto"/>
            <w:hideMark/>
          </w:tcPr>
          <w:p w14:paraId="344B6FE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تكنولوجيا المعلومات</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4D11662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300 مهندس</w:t>
            </w:r>
          </w:p>
        </w:tc>
        <w:tc>
          <w:tcPr>
            <w:tcW w:w="0" w:type="auto"/>
            <w:hideMark/>
          </w:tcPr>
          <w:p w14:paraId="2F88F9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لتكنولوجيا المعلومات على نجاح المشاريع</w:t>
            </w:r>
          </w:p>
        </w:tc>
        <w:tc>
          <w:tcPr>
            <w:tcW w:w="0" w:type="auto"/>
            <w:hideMark/>
          </w:tcPr>
          <w:p w14:paraId="34E8DA6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 البيئة (الأردن)</w:t>
            </w:r>
          </w:p>
        </w:tc>
      </w:tr>
      <w:tr w:rsidR="003F5D9C" w:rsidRPr="003F5D9C" w14:paraId="6C199D92" w14:textId="77777777" w:rsidTr="005C5DF8">
        <w:tc>
          <w:tcPr>
            <w:tcW w:w="0" w:type="auto"/>
            <w:hideMark/>
          </w:tcPr>
          <w:p w14:paraId="68EEB86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14:ligatures w14:val="none"/>
              </w:rPr>
              <w:t>Andrade et al. (2023)</w:t>
            </w:r>
          </w:p>
        </w:tc>
        <w:tc>
          <w:tcPr>
            <w:tcW w:w="0" w:type="auto"/>
            <w:hideMark/>
          </w:tcPr>
          <w:p w14:paraId="29242E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للتحول الرشيق من منظور إدارة المشاريع</w:t>
            </w:r>
          </w:p>
        </w:tc>
        <w:tc>
          <w:tcPr>
            <w:tcW w:w="0" w:type="auto"/>
            <w:hideMark/>
          </w:tcPr>
          <w:p w14:paraId="6C1B35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عوامل النجاح الحاسمة لمشاريع التحول الرشيق</w:t>
            </w:r>
          </w:p>
        </w:tc>
        <w:tc>
          <w:tcPr>
            <w:tcW w:w="0" w:type="auto"/>
            <w:hideMark/>
          </w:tcPr>
          <w:p w14:paraId="6AE19F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عوامل النجاح الحاسمة – نجاح التحول</w:t>
            </w:r>
          </w:p>
        </w:tc>
        <w:tc>
          <w:tcPr>
            <w:tcW w:w="0" w:type="auto"/>
            <w:hideMark/>
          </w:tcPr>
          <w:p w14:paraId="6CBDB147"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مراجعة منهجية – تحليل 12 دراسة</w:t>
            </w:r>
          </w:p>
        </w:tc>
        <w:tc>
          <w:tcPr>
            <w:tcW w:w="0" w:type="auto"/>
            <w:hideMark/>
          </w:tcPr>
          <w:p w14:paraId="4446D7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12 عاملاً حاسماً للنجاح أبرزها دعم الإدارة العليا</w:t>
            </w:r>
          </w:p>
        </w:tc>
        <w:tc>
          <w:tcPr>
            <w:tcW w:w="0" w:type="auto"/>
            <w:hideMark/>
          </w:tcPr>
          <w:p w14:paraId="6CBB6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إبراز دور الإدارة العليا،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(مراجعة منهجية)، التركيز على التحول الرشيق</w:t>
            </w:r>
          </w:p>
        </w:tc>
      </w:tr>
      <w:tr w:rsidR="003F5D9C" w:rsidRPr="003F5D9C" w14:paraId="1CF67CCB" w14:textId="77777777" w:rsidTr="005C5DF8">
        <w:tc>
          <w:tcPr>
            <w:tcW w:w="0" w:type="auto"/>
            <w:hideMark/>
          </w:tcPr>
          <w:p w14:paraId="2DBECCDF"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Carujo</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0BC650F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كعامل نجاح حاسم في مبادرات التحول الرقمي</w:t>
            </w:r>
          </w:p>
        </w:tc>
        <w:tc>
          <w:tcPr>
            <w:tcW w:w="0" w:type="auto"/>
            <w:hideMark/>
          </w:tcPr>
          <w:p w14:paraId="521CF84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منهج إدارة المشاريع في نجاح التحول الرقمي</w:t>
            </w:r>
          </w:p>
        </w:tc>
        <w:tc>
          <w:tcPr>
            <w:tcW w:w="0" w:type="auto"/>
            <w:hideMark/>
          </w:tcPr>
          <w:p w14:paraId="3C6DD93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التحول</w:t>
            </w:r>
          </w:p>
        </w:tc>
        <w:tc>
          <w:tcPr>
            <w:tcW w:w="0" w:type="auto"/>
            <w:hideMark/>
          </w:tcPr>
          <w:p w14:paraId="5D3304D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لـ 4 شركات برتغالية</w:t>
            </w:r>
          </w:p>
        </w:tc>
        <w:tc>
          <w:tcPr>
            <w:tcW w:w="0" w:type="auto"/>
            <w:hideMark/>
          </w:tcPr>
          <w:p w14:paraId="094EBC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عامل جوهري لنجاح التحول الرقمي</w:t>
            </w:r>
          </w:p>
        </w:tc>
        <w:tc>
          <w:tcPr>
            <w:tcW w:w="0" w:type="auto"/>
            <w:hideMark/>
          </w:tcPr>
          <w:p w14:paraId="2CA04E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صغر العينة، السياق الأوروبي</w:t>
            </w:r>
          </w:p>
        </w:tc>
      </w:tr>
      <w:tr w:rsidR="003F5D9C" w:rsidRPr="003F5D9C" w14:paraId="5874BAB2" w14:textId="77777777" w:rsidTr="005C5DF8">
        <w:tc>
          <w:tcPr>
            <w:tcW w:w="0" w:type="auto"/>
            <w:hideMark/>
          </w:tcPr>
          <w:p w14:paraId="371E319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Ciric</w:t>
            </w:r>
            <w:proofErr w:type="spellEnd"/>
            <w:r w:rsidRPr="003F5D9C">
              <w:rPr>
                <w:rFonts w:ascii="Simplified Arabic" w:eastAsia="Times New Roman" w:hAnsi="Simplified Arabic" w:cs="Simplified Arabic" w:hint="cs"/>
                <w:kern w:val="0"/>
                <w14:ligatures w14:val="none"/>
              </w:rPr>
              <w:t xml:space="preserve"> </w:t>
            </w:r>
            <w:proofErr w:type="spellStart"/>
            <w:r w:rsidRPr="003F5D9C">
              <w:rPr>
                <w:rFonts w:ascii="Simplified Arabic" w:eastAsia="Times New Roman" w:hAnsi="Simplified Arabic" w:cs="Simplified Arabic" w:hint="cs"/>
                <w:kern w:val="0"/>
                <w14:ligatures w14:val="none"/>
              </w:rPr>
              <w:t>Lalic</w:t>
            </w:r>
            <w:proofErr w:type="spellEnd"/>
            <w:r w:rsidRPr="003F5D9C">
              <w:rPr>
                <w:rFonts w:ascii="Simplified Arabic" w:eastAsia="Times New Roman" w:hAnsi="Simplified Arabic" w:cs="Simplified Arabic" w:hint="cs"/>
                <w:kern w:val="0"/>
                <w14:ligatures w14:val="none"/>
              </w:rPr>
              <w:t xml:space="preserve"> et al. (2022)</w:t>
            </w:r>
          </w:p>
        </w:tc>
        <w:tc>
          <w:tcPr>
            <w:tcW w:w="0" w:type="auto"/>
            <w:hideMark/>
          </w:tcPr>
          <w:p w14:paraId="1C61506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كيف يؤثر منهج إدارة المشاريع على نجاح المشروع: من التقليدي إلى الرشيق</w:t>
            </w:r>
          </w:p>
        </w:tc>
        <w:tc>
          <w:tcPr>
            <w:tcW w:w="0" w:type="auto"/>
            <w:hideMark/>
          </w:tcPr>
          <w:p w14:paraId="5C55BA5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مقارنة أثر مناهج إدارة المشاريع (تقليدي، رشيق، هجين) على النجاح</w:t>
            </w:r>
          </w:p>
        </w:tc>
        <w:tc>
          <w:tcPr>
            <w:tcW w:w="0" w:type="auto"/>
            <w:hideMark/>
          </w:tcPr>
          <w:p w14:paraId="5FDA3CF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إدارة المشاريع – نجاح المشروع</w:t>
            </w:r>
          </w:p>
        </w:tc>
        <w:tc>
          <w:tcPr>
            <w:tcW w:w="0" w:type="auto"/>
            <w:hideMark/>
          </w:tcPr>
          <w:p w14:paraId="5261099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227 مديراً</w:t>
            </w:r>
          </w:p>
        </w:tc>
        <w:tc>
          <w:tcPr>
            <w:tcW w:w="0" w:type="auto"/>
            <w:hideMark/>
          </w:tcPr>
          <w:p w14:paraId="6FBA0B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الرشيق يتفوق على التقليدي في عدة أبعاد للنجاح</w:t>
            </w:r>
          </w:p>
        </w:tc>
        <w:tc>
          <w:tcPr>
            <w:tcW w:w="0" w:type="auto"/>
            <w:hideMark/>
          </w:tcPr>
          <w:p w14:paraId="4F645D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(منهج المشاريع)، السياق الأوروبي</w:t>
            </w:r>
          </w:p>
        </w:tc>
      </w:tr>
      <w:tr w:rsidR="003F5D9C" w:rsidRPr="003F5D9C" w14:paraId="3188BE76" w14:textId="77777777" w:rsidTr="005C5DF8">
        <w:tc>
          <w:tcPr>
            <w:tcW w:w="0" w:type="auto"/>
            <w:hideMark/>
          </w:tcPr>
          <w:p w14:paraId="112B17D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رابحي</w:t>
            </w:r>
            <w:r w:rsidRPr="003F5D9C">
              <w:rPr>
                <w:rFonts w:ascii="Simplified Arabic" w:eastAsia="Times New Roman" w:hAnsi="Simplified Arabic" w:cs="Simplified Arabic" w:hint="cs"/>
                <w:kern w:val="0"/>
                <w14:ligatures w14:val="none"/>
              </w:rPr>
              <w:t xml:space="preserve"> (2022)</w:t>
            </w:r>
          </w:p>
        </w:tc>
        <w:tc>
          <w:tcPr>
            <w:tcW w:w="0" w:type="auto"/>
            <w:hideMark/>
          </w:tcPr>
          <w:p w14:paraId="3D3DFF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القيادة الرقمية على نجاح مشاريع التحول الرقمي</w:t>
            </w:r>
          </w:p>
        </w:tc>
        <w:tc>
          <w:tcPr>
            <w:tcW w:w="0" w:type="auto"/>
            <w:hideMark/>
          </w:tcPr>
          <w:p w14:paraId="0E874E25"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القيادة الرقمية على نجاح مشاريع التحول</w:t>
            </w:r>
          </w:p>
        </w:tc>
        <w:tc>
          <w:tcPr>
            <w:tcW w:w="0" w:type="auto"/>
            <w:hideMark/>
          </w:tcPr>
          <w:p w14:paraId="77CDAC4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القيادة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التحول الرقمي</w:t>
            </w:r>
          </w:p>
        </w:tc>
        <w:tc>
          <w:tcPr>
            <w:tcW w:w="0" w:type="auto"/>
            <w:hideMark/>
          </w:tcPr>
          <w:p w14:paraId="2857A4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تحليل تجريبي</w:t>
            </w:r>
          </w:p>
        </w:tc>
        <w:tc>
          <w:tcPr>
            <w:tcW w:w="0" w:type="auto"/>
            <w:hideMark/>
          </w:tcPr>
          <w:p w14:paraId="4556066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للقيادة الرقمية على نجاح التحول</w:t>
            </w:r>
          </w:p>
        </w:tc>
        <w:tc>
          <w:tcPr>
            <w:tcW w:w="0" w:type="auto"/>
            <w:hideMark/>
          </w:tcPr>
          <w:p w14:paraId="10413B3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التابع، الإطار العام للقيادة والإدارة العليا</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(القيادة بدلاً من الحوكمة)</w:t>
            </w:r>
          </w:p>
        </w:tc>
      </w:tr>
      <w:tr w:rsidR="003F5D9C" w:rsidRPr="003F5D9C" w14:paraId="71F64EF8" w14:textId="77777777" w:rsidTr="005C5DF8">
        <w:tc>
          <w:tcPr>
            <w:tcW w:w="0" w:type="auto"/>
            <w:hideMark/>
          </w:tcPr>
          <w:p w14:paraId="65FF91C7"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Hafseld</w:t>
            </w:r>
            <w:proofErr w:type="spellEnd"/>
            <w:r w:rsidRPr="003F5D9C">
              <w:rPr>
                <w:rFonts w:ascii="Simplified Arabic" w:eastAsia="Times New Roman" w:hAnsi="Simplified Arabic" w:cs="Simplified Arabic" w:hint="cs"/>
                <w:kern w:val="0"/>
                <w14:ligatures w14:val="none"/>
              </w:rPr>
              <w:t xml:space="preserve"> et al. (2021)</w:t>
            </w:r>
          </w:p>
        </w:tc>
        <w:tc>
          <w:tcPr>
            <w:tcW w:w="0" w:type="auto"/>
            <w:hideMark/>
          </w:tcPr>
          <w:p w14:paraId="1888622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محاولة لفهم التعقيد في مشاريع التحول الرقمي الحكومي</w:t>
            </w:r>
          </w:p>
        </w:tc>
        <w:tc>
          <w:tcPr>
            <w:tcW w:w="0" w:type="auto"/>
            <w:hideMark/>
          </w:tcPr>
          <w:p w14:paraId="43292F8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تحليل مصادر التعقيد في مشاريع التحول الرقمي الحكومي</w:t>
            </w:r>
          </w:p>
        </w:tc>
        <w:tc>
          <w:tcPr>
            <w:tcW w:w="0" w:type="auto"/>
            <w:hideMark/>
          </w:tcPr>
          <w:p w14:paraId="1E10457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التعقيد – مشاريع التحول الرقمي</w:t>
            </w:r>
          </w:p>
        </w:tc>
        <w:tc>
          <w:tcPr>
            <w:tcW w:w="0" w:type="auto"/>
            <w:hideMark/>
          </w:tcPr>
          <w:p w14:paraId="7145219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نوعي – دراسة حالة متعمقة</w:t>
            </w:r>
          </w:p>
        </w:tc>
        <w:tc>
          <w:tcPr>
            <w:tcW w:w="0" w:type="auto"/>
            <w:hideMark/>
          </w:tcPr>
          <w:p w14:paraId="0426B5B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عدة مصادر للتعقيد والتوصية بمناهج إدارة شاملة</w:t>
            </w:r>
          </w:p>
        </w:tc>
        <w:tc>
          <w:tcPr>
            <w:tcW w:w="0" w:type="auto"/>
            <w:hideMark/>
          </w:tcPr>
          <w:p w14:paraId="5C16CE5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العام للتحول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النوعي، السياق الحكومي</w:t>
            </w:r>
          </w:p>
        </w:tc>
      </w:tr>
      <w:tr w:rsidR="003F5D9C" w:rsidRPr="003F5D9C" w14:paraId="4CBCC68F" w14:textId="77777777" w:rsidTr="005C5DF8">
        <w:tc>
          <w:tcPr>
            <w:tcW w:w="0" w:type="auto"/>
            <w:hideMark/>
          </w:tcPr>
          <w:p w14:paraId="114073DC" w14:textId="77777777" w:rsidR="003F5D9C" w:rsidRPr="003F5D9C" w:rsidRDefault="003F5D9C" w:rsidP="003F5D9C">
            <w:pPr>
              <w:rPr>
                <w:rFonts w:ascii="Simplified Arabic" w:eastAsia="Times New Roman" w:hAnsi="Simplified Arabic" w:cs="Simplified Arabic"/>
                <w:kern w:val="0"/>
                <w14:ligatures w14:val="none"/>
              </w:rPr>
            </w:pPr>
            <w:proofErr w:type="spellStart"/>
            <w:r w:rsidRPr="003F5D9C">
              <w:rPr>
                <w:rFonts w:ascii="Simplified Arabic" w:eastAsia="Times New Roman" w:hAnsi="Simplified Arabic" w:cs="Simplified Arabic" w:hint="cs"/>
                <w:kern w:val="0"/>
                <w14:ligatures w14:val="none"/>
              </w:rPr>
              <w:t>Tangi</w:t>
            </w:r>
            <w:proofErr w:type="spellEnd"/>
            <w:r w:rsidRPr="003F5D9C">
              <w:rPr>
                <w:rFonts w:ascii="Simplified Arabic" w:eastAsia="Times New Roman" w:hAnsi="Simplified Arabic" w:cs="Simplified Arabic" w:hint="cs"/>
                <w:kern w:val="0"/>
                <w14:ligatures w14:val="none"/>
              </w:rPr>
              <w:t xml:space="preserve"> et al. (2021)</w:t>
            </w:r>
          </w:p>
        </w:tc>
        <w:tc>
          <w:tcPr>
            <w:tcW w:w="0" w:type="auto"/>
            <w:hideMark/>
          </w:tcPr>
          <w:p w14:paraId="70A98AD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الحكومي: تحليل بنمذجة المعادلات الهيكلية للعوامل المحركة والمعيقة</w:t>
            </w:r>
          </w:p>
        </w:tc>
        <w:tc>
          <w:tcPr>
            <w:tcW w:w="0" w:type="auto"/>
            <w:hideMark/>
          </w:tcPr>
          <w:p w14:paraId="333F9A9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تحديد العوامل المحركة والمعيقة للتحول الرقمي الحكومي</w:t>
            </w:r>
          </w:p>
        </w:tc>
        <w:tc>
          <w:tcPr>
            <w:tcW w:w="0" w:type="auto"/>
            <w:hideMark/>
          </w:tcPr>
          <w:p w14:paraId="2A19855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محركات ومعيقات التحول – نجاح التحول</w:t>
            </w:r>
          </w:p>
        </w:tc>
        <w:tc>
          <w:tcPr>
            <w:tcW w:w="0" w:type="auto"/>
            <w:hideMark/>
          </w:tcPr>
          <w:p w14:paraId="301C49B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الكمي – نمذجة المعادلات الهيكلية</w:t>
            </w:r>
          </w:p>
        </w:tc>
        <w:tc>
          <w:tcPr>
            <w:tcW w:w="0" w:type="auto"/>
            <w:hideMark/>
          </w:tcPr>
          <w:p w14:paraId="4844004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القيادة والثقافة والبنية التحتية محركات، والمقاومة وشح الموارد معيقات</w:t>
            </w:r>
          </w:p>
        </w:tc>
        <w:tc>
          <w:tcPr>
            <w:tcW w:w="0" w:type="auto"/>
            <w:hideMark/>
          </w:tcPr>
          <w:p w14:paraId="73CAF8E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التركيز على نجاح التحول الرقمي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السياق الحكومي، المنهج الإحصائي المتقدم</w:t>
            </w:r>
          </w:p>
        </w:tc>
      </w:tr>
      <w:tr w:rsidR="003F5D9C" w:rsidRPr="003F5D9C" w14:paraId="6C29B334" w14:textId="77777777" w:rsidTr="005C5DF8">
        <w:tc>
          <w:tcPr>
            <w:tcW w:w="0" w:type="auto"/>
            <w:hideMark/>
          </w:tcPr>
          <w:p w14:paraId="011A3EC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الحياري والحياصات</w:t>
            </w:r>
            <w:r w:rsidRPr="003F5D9C">
              <w:rPr>
                <w:rFonts w:ascii="Simplified Arabic" w:eastAsia="Times New Roman" w:hAnsi="Simplified Arabic" w:cs="Simplified Arabic" w:hint="cs"/>
                <w:kern w:val="0"/>
                <w14:ligatures w14:val="none"/>
              </w:rPr>
              <w:t xml:space="preserve"> (2022)</w:t>
            </w:r>
          </w:p>
        </w:tc>
        <w:tc>
          <w:tcPr>
            <w:tcW w:w="0" w:type="auto"/>
            <w:hideMark/>
          </w:tcPr>
          <w:p w14:paraId="66E7488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السمات الشخصية لمديري المشاريع الإنشائية على نجاح المشاريع</w:t>
            </w:r>
          </w:p>
        </w:tc>
        <w:tc>
          <w:tcPr>
            <w:tcW w:w="0" w:type="auto"/>
            <w:hideMark/>
          </w:tcPr>
          <w:p w14:paraId="51D68D5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سمات مدير المشروع على نجاح المشاريع الإنشائية</w:t>
            </w:r>
          </w:p>
        </w:tc>
        <w:tc>
          <w:tcPr>
            <w:tcW w:w="0" w:type="auto"/>
            <w:hideMark/>
          </w:tcPr>
          <w:p w14:paraId="2EF9BC5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السمات الشخصية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المشاريع</w:t>
            </w:r>
          </w:p>
        </w:tc>
        <w:tc>
          <w:tcPr>
            <w:tcW w:w="0" w:type="auto"/>
            <w:hideMark/>
          </w:tcPr>
          <w:p w14:paraId="3DBB3F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5370BF0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للسمات الشخصية (القيادة، التواصل، الأخلاق) على النجاح</w:t>
            </w:r>
          </w:p>
        </w:tc>
        <w:tc>
          <w:tcPr>
            <w:tcW w:w="0" w:type="auto"/>
            <w:hideMark/>
          </w:tcPr>
          <w:p w14:paraId="275E6A88"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القطاع (الإنشاءات)</w:t>
            </w:r>
          </w:p>
        </w:tc>
      </w:tr>
      <w:tr w:rsidR="003F5D9C" w:rsidRPr="003F5D9C" w14:paraId="573EA823" w14:textId="77777777" w:rsidTr="005C5DF8">
        <w:tc>
          <w:tcPr>
            <w:tcW w:w="0" w:type="auto"/>
            <w:hideMark/>
          </w:tcPr>
          <w:p w14:paraId="16CCBC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المعادات وأبو زيد</w:t>
            </w:r>
            <w:r w:rsidRPr="003F5D9C">
              <w:rPr>
                <w:rFonts w:ascii="Simplified Arabic" w:eastAsia="Times New Roman" w:hAnsi="Simplified Arabic" w:cs="Simplified Arabic" w:hint="cs"/>
                <w:kern w:val="0"/>
                <w14:ligatures w14:val="none"/>
              </w:rPr>
              <w:t xml:space="preserve"> (2021)</w:t>
            </w:r>
          </w:p>
        </w:tc>
        <w:tc>
          <w:tcPr>
            <w:tcW w:w="0" w:type="auto"/>
            <w:hideMark/>
          </w:tcPr>
          <w:p w14:paraId="477738F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تأثير تخطيط المشروع على نجاح المشاريع الإنشائية</w:t>
            </w:r>
          </w:p>
        </w:tc>
        <w:tc>
          <w:tcPr>
            <w:tcW w:w="0" w:type="auto"/>
            <w:hideMark/>
          </w:tcPr>
          <w:p w14:paraId="43D22AA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أثر تخطيط المشروع على نجاحه</w:t>
            </w:r>
          </w:p>
        </w:tc>
        <w:tc>
          <w:tcPr>
            <w:tcW w:w="0" w:type="auto"/>
            <w:hideMark/>
          </w:tcPr>
          <w:p w14:paraId="70BB6CA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تخطيط المشروع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الوسيط: مستوى المخاطر</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نجاح المشروع</w:t>
            </w:r>
          </w:p>
        </w:tc>
        <w:tc>
          <w:tcPr>
            <w:tcW w:w="0" w:type="auto"/>
            <w:hideMark/>
          </w:tcPr>
          <w:p w14:paraId="614566D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881EB3"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أثر إيجابي للتخطيط، ومستوى المخاطر يعدل العلاقة</w:t>
            </w:r>
          </w:p>
        </w:tc>
        <w:tc>
          <w:tcPr>
            <w:tcW w:w="0" w:type="auto"/>
            <w:hideMark/>
          </w:tcPr>
          <w:p w14:paraId="070EA0E2"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وجود متغير وسيط، القطاع</w:t>
            </w:r>
          </w:p>
        </w:tc>
      </w:tr>
      <w:tr w:rsidR="003F5D9C" w:rsidRPr="003F5D9C" w14:paraId="5D0837F9" w14:textId="77777777" w:rsidTr="005C5DF8">
        <w:tc>
          <w:tcPr>
            <w:tcW w:w="0" w:type="auto"/>
            <w:hideMark/>
          </w:tcPr>
          <w:p w14:paraId="19C51CB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عبد النبي والعتيبي</w:t>
            </w:r>
            <w:r w:rsidRPr="003F5D9C">
              <w:rPr>
                <w:rFonts w:ascii="Simplified Arabic" w:eastAsia="Times New Roman" w:hAnsi="Simplified Arabic" w:cs="Simplified Arabic" w:hint="cs"/>
                <w:kern w:val="0"/>
                <w14:ligatures w14:val="none"/>
              </w:rPr>
              <w:t xml:space="preserve"> (2021)</w:t>
            </w:r>
          </w:p>
        </w:tc>
        <w:tc>
          <w:tcPr>
            <w:tcW w:w="0" w:type="auto"/>
            <w:hideMark/>
          </w:tcPr>
          <w:p w14:paraId="39EC1FD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الابتكار والإبداع بنجاح إدارة المشاريع</w:t>
            </w:r>
          </w:p>
        </w:tc>
        <w:tc>
          <w:tcPr>
            <w:tcW w:w="0" w:type="auto"/>
            <w:hideMark/>
          </w:tcPr>
          <w:p w14:paraId="328ED9F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علاقة الابتكار والإبداع بنجاح المشاريع</w:t>
            </w:r>
          </w:p>
        </w:tc>
        <w:tc>
          <w:tcPr>
            <w:tcW w:w="0" w:type="auto"/>
            <w:hideMark/>
          </w:tcPr>
          <w:p w14:paraId="2D4BD409"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الابتكار والإبداع – نجاح المشاريع</w:t>
            </w:r>
          </w:p>
        </w:tc>
        <w:tc>
          <w:tcPr>
            <w:tcW w:w="0" w:type="auto"/>
            <w:hideMark/>
          </w:tcPr>
          <w:p w14:paraId="51121CC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w:t>
            </w:r>
          </w:p>
        </w:tc>
        <w:tc>
          <w:tcPr>
            <w:tcW w:w="0" w:type="auto"/>
            <w:hideMark/>
          </w:tcPr>
          <w:p w14:paraId="3EE80C3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الابتكار والإبداع ونجاح المشاريع</w:t>
            </w:r>
          </w:p>
        </w:tc>
        <w:tc>
          <w:tcPr>
            <w:tcW w:w="0" w:type="auto"/>
            <w:hideMark/>
          </w:tcPr>
          <w:p w14:paraId="672A4E3C"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والأداة، المتغير التابع</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المتغير المستقل (الابتكار)، البيئة</w:t>
            </w:r>
          </w:p>
        </w:tc>
      </w:tr>
    </w:tbl>
    <w:p w14:paraId="1F58460B" w14:textId="77777777" w:rsidR="003F5D9C" w:rsidRPr="003F5D9C" w:rsidRDefault="003F5D9C" w:rsidP="003F5D9C">
      <w:pPr>
        <w:spacing w:before="100" w:beforeAutospacing="1" w:after="100" w:afterAutospacing="1" w:line="240" w:lineRule="auto"/>
        <w:outlineLvl w:val="1"/>
        <w:rPr>
          <w:rFonts w:ascii="Simplified Arabic" w:eastAsia="Times New Roman" w:hAnsi="Simplified Arabic" w:cs="Simplified Arabic"/>
          <w:b/>
          <w:bCs/>
          <w:kern w:val="0"/>
          <w14:ligatures w14:val="none"/>
        </w:rPr>
      </w:pPr>
      <w:bookmarkStart w:id="13" w:name="_Toc233187262"/>
      <w:r w:rsidRPr="003F5D9C">
        <w:rPr>
          <w:rFonts w:ascii="Simplified Arabic" w:eastAsia="Times New Roman" w:hAnsi="Simplified Arabic" w:cs="Simplified Arabic" w:hint="cs"/>
          <w:b/>
          <w:bCs/>
          <w:kern w:val="0"/>
          <w:rtl/>
          <w14:ligatures w14:val="none"/>
        </w:rPr>
        <w:t>ثالثاً: الدراسات التي ربطت بين الحوكمة الرقمية والتحول الرقمي مباشرةً</w:t>
      </w:r>
      <w:bookmarkEnd w:id="13"/>
    </w:p>
    <w:tbl>
      <w:tblPr>
        <w:tblStyle w:val="TableGrid"/>
        <w:bidiVisual/>
        <w:tblW w:w="0" w:type="auto"/>
        <w:tblLook w:val="04A0" w:firstRow="1" w:lastRow="0" w:firstColumn="1" w:lastColumn="0" w:noHBand="0" w:noVBand="1"/>
      </w:tblPr>
      <w:tblGrid>
        <w:gridCol w:w="901"/>
        <w:gridCol w:w="1237"/>
        <w:gridCol w:w="1098"/>
        <w:gridCol w:w="1599"/>
        <w:gridCol w:w="1060"/>
        <w:gridCol w:w="1089"/>
        <w:gridCol w:w="2032"/>
      </w:tblGrid>
      <w:tr w:rsidR="003F5D9C" w:rsidRPr="003F5D9C" w14:paraId="343908C4" w14:textId="77777777" w:rsidTr="003F5D9C">
        <w:tc>
          <w:tcPr>
            <w:tcW w:w="0" w:type="auto"/>
            <w:hideMark/>
          </w:tcPr>
          <w:p w14:paraId="1883CD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الباحث / السنة</w:t>
            </w:r>
          </w:p>
        </w:tc>
        <w:tc>
          <w:tcPr>
            <w:tcW w:w="0" w:type="auto"/>
            <w:hideMark/>
          </w:tcPr>
          <w:p w14:paraId="1379B3C5"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عنوان الدراسة</w:t>
            </w:r>
          </w:p>
        </w:tc>
        <w:tc>
          <w:tcPr>
            <w:tcW w:w="0" w:type="auto"/>
            <w:hideMark/>
          </w:tcPr>
          <w:p w14:paraId="3EF23EB2"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الهدف الرئيس</w:t>
            </w:r>
          </w:p>
        </w:tc>
        <w:tc>
          <w:tcPr>
            <w:tcW w:w="0" w:type="auto"/>
            <w:hideMark/>
          </w:tcPr>
          <w:p w14:paraId="6E5BF9FE"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المتغيرات الرئيسة</w:t>
            </w:r>
          </w:p>
        </w:tc>
        <w:tc>
          <w:tcPr>
            <w:tcW w:w="0" w:type="auto"/>
            <w:hideMark/>
          </w:tcPr>
          <w:p w14:paraId="5992827A"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المنهج والأداة</w:t>
            </w:r>
          </w:p>
        </w:tc>
        <w:tc>
          <w:tcPr>
            <w:tcW w:w="0" w:type="auto"/>
            <w:hideMark/>
          </w:tcPr>
          <w:p w14:paraId="64A4703D"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أبرز النتائج</w:t>
            </w:r>
          </w:p>
        </w:tc>
        <w:tc>
          <w:tcPr>
            <w:tcW w:w="0" w:type="auto"/>
            <w:hideMark/>
          </w:tcPr>
          <w:p w14:paraId="1372BFE9" w14:textId="77777777" w:rsidR="003F5D9C" w:rsidRPr="003F5D9C" w:rsidRDefault="003F5D9C" w:rsidP="003F5D9C">
            <w:pPr>
              <w:rPr>
                <w:rFonts w:ascii="Simplified Arabic" w:eastAsia="Times New Roman" w:hAnsi="Simplified Arabic" w:cs="Simplified Arabic"/>
                <w:b/>
                <w:bCs/>
                <w:kern w:val="0"/>
                <w14:ligatures w14:val="none"/>
              </w:rPr>
            </w:pPr>
            <w:r w:rsidRPr="003F5D9C">
              <w:rPr>
                <w:rFonts w:ascii="Simplified Arabic" w:eastAsia="Times New Roman" w:hAnsi="Simplified Arabic" w:cs="Simplified Arabic" w:hint="cs"/>
                <w:b/>
                <w:bCs/>
                <w:kern w:val="0"/>
                <w:rtl/>
                <w14:ligatures w14:val="none"/>
              </w:rPr>
              <w:t>أوجه الاتفاق والاختلاف مع الدراسة الحالية</w:t>
            </w:r>
          </w:p>
        </w:tc>
      </w:tr>
      <w:tr w:rsidR="00CF116B" w:rsidRPr="003F5D9C" w14:paraId="1F791069" w14:textId="77777777" w:rsidTr="003F5D9C">
        <w:tc>
          <w:tcPr>
            <w:tcW w:w="0" w:type="auto"/>
          </w:tcPr>
          <w:p w14:paraId="39319E72" w14:textId="197A01DA"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الرابغى (2022)</w:t>
            </w:r>
          </w:p>
        </w:tc>
        <w:tc>
          <w:tcPr>
            <w:tcW w:w="0" w:type="auto"/>
          </w:tcPr>
          <w:p w14:paraId="3F984811" w14:textId="78A5D871"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الحكومة الرقمية في ضوء برامج التحول الرقمي وتحقيق مستهدفات رؤية المملكة 2030</w:t>
            </w:r>
          </w:p>
        </w:tc>
        <w:tc>
          <w:tcPr>
            <w:tcW w:w="0" w:type="auto"/>
          </w:tcPr>
          <w:p w14:paraId="5011870C" w14:textId="0D6D5580"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تحليل دور الحكومة الرقمية في إنجاح التحول الرقمي وفق رؤية 2030</w:t>
            </w:r>
          </w:p>
        </w:tc>
        <w:tc>
          <w:tcPr>
            <w:tcW w:w="0" w:type="auto"/>
          </w:tcPr>
          <w:p w14:paraId="4B76AD27" w14:textId="3675B916"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الحكومة/الحوكمة الرقمية – التحول الرقمي</w:t>
            </w:r>
          </w:p>
        </w:tc>
        <w:tc>
          <w:tcPr>
            <w:tcW w:w="0" w:type="auto"/>
          </w:tcPr>
          <w:p w14:paraId="22DD8A2F" w14:textId="5D4A5390"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منهج وصفي تحليلي – دراسة حالة لهيئة الحكومة الرقمية السعودية</w:t>
            </w:r>
          </w:p>
        </w:tc>
        <w:tc>
          <w:tcPr>
            <w:tcW w:w="0" w:type="auto"/>
          </w:tcPr>
          <w:p w14:paraId="280AFED3" w14:textId="07749B99"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الحوكمة الرقمية ركيزة أساسية لإنجاح التحول الرقمي، والتزام القيادات العليا عامل حاسم</w:t>
            </w:r>
          </w:p>
        </w:tc>
        <w:tc>
          <w:tcPr>
            <w:tcW w:w="0" w:type="auto"/>
          </w:tcPr>
          <w:p w14:paraId="7DA2FBF9" w14:textId="77777777"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color w:val="EE0000"/>
                <w:kern w:val="0"/>
                <w:rtl/>
                <w14:ligatures w14:val="none"/>
              </w:rPr>
              <w:t>الاتفاق: البيئة السعودية، الربط بين الحوكمة الرقمية والتحول الرقمي، الاستناد لرؤية 2030</w:t>
            </w:r>
          </w:p>
          <w:p w14:paraId="48DE9EA6" w14:textId="2A68F260" w:rsidR="00CF116B" w:rsidRPr="00CF116B" w:rsidRDefault="00CF116B" w:rsidP="00CF116B">
            <w:pPr>
              <w:rPr>
                <w:rFonts w:ascii="Simplified Arabic" w:eastAsia="Times New Roman" w:hAnsi="Simplified Arabic" w:cs="Simplified Arabic"/>
                <w:color w:val="EE0000"/>
                <w:kern w:val="0"/>
                <w:rtl/>
                <w14:ligatures w14:val="none"/>
              </w:rPr>
            </w:pPr>
            <w:r w:rsidRPr="00CF116B">
              <w:rPr>
                <w:rFonts w:ascii="Simplified Arabic" w:eastAsia="Times New Roman" w:hAnsi="Simplified Arabic" w:cs="Simplified Arabic"/>
                <w:b/>
                <w:bCs/>
                <w:color w:val="EE0000"/>
                <w:kern w:val="0"/>
                <w:rtl/>
                <w14:ligatures w14:val="none"/>
              </w:rPr>
              <w:t>الاختلاف</w:t>
            </w:r>
            <w:r w:rsidRPr="00CF116B">
              <w:rPr>
                <w:rFonts w:ascii="Simplified Arabic" w:eastAsia="Times New Roman" w:hAnsi="Simplified Arabic" w:cs="Simplified Arabic"/>
                <w:color w:val="EE0000"/>
                <w:kern w:val="0"/>
                <w14:ligatures w14:val="none"/>
              </w:rPr>
              <w:t xml:space="preserve">: </w:t>
            </w:r>
            <w:r w:rsidRPr="00CF116B">
              <w:rPr>
                <w:rFonts w:ascii="Simplified Arabic" w:eastAsia="Times New Roman" w:hAnsi="Simplified Arabic" w:cs="Simplified Arabic"/>
                <w:color w:val="EE0000"/>
                <w:kern w:val="0"/>
                <w:rtl/>
                <w14:ligatures w14:val="none"/>
              </w:rPr>
              <w:t>المنهج (دراسة حالة نوعية بدلاً من ميداني كمي)، السياق (حكومي مقابل قطاع اتصالات)، عدم اختبار العلاقات السببية إحصائياً</w:t>
            </w:r>
          </w:p>
        </w:tc>
      </w:tr>
      <w:tr w:rsidR="003F5D9C" w:rsidRPr="003F5D9C" w14:paraId="38A1304D" w14:textId="77777777" w:rsidTr="003F5D9C">
        <w:tc>
          <w:tcPr>
            <w:tcW w:w="0" w:type="auto"/>
            <w:hideMark/>
          </w:tcPr>
          <w:p w14:paraId="0B1206B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حمدي</w:t>
            </w:r>
            <w:r w:rsidRPr="003F5D9C">
              <w:rPr>
                <w:rFonts w:ascii="Simplified Arabic" w:eastAsia="Times New Roman" w:hAnsi="Simplified Arabic" w:cs="Simplified Arabic" w:hint="cs"/>
                <w:kern w:val="0"/>
                <w14:ligatures w14:val="none"/>
              </w:rPr>
              <w:t xml:space="preserve"> (2023)</w:t>
            </w:r>
          </w:p>
        </w:tc>
        <w:tc>
          <w:tcPr>
            <w:tcW w:w="0" w:type="auto"/>
            <w:hideMark/>
          </w:tcPr>
          <w:p w14:paraId="4D998210"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دور الحوكمة الرقمية في إنجاح وتفعيل التحول الرقمي: نموذج دولة الإمارات</w:t>
            </w:r>
          </w:p>
        </w:tc>
        <w:tc>
          <w:tcPr>
            <w:tcW w:w="0" w:type="auto"/>
            <w:hideMark/>
          </w:tcPr>
          <w:p w14:paraId="151F6DE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دور الحوكمة الرقمية في إنجاح التحول الرقمي بدولة الإمارات</w:t>
            </w:r>
          </w:p>
        </w:tc>
        <w:tc>
          <w:tcPr>
            <w:tcW w:w="0" w:type="auto"/>
            <w:hideMark/>
          </w:tcPr>
          <w:p w14:paraId="71C781A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المستقل: الحوكمة الرقمية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kern w:val="0"/>
                <w:rtl/>
                <w14:ligatures w14:val="none"/>
              </w:rPr>
              <w:t>التابع: التحول الرقمي</w:t>
            </w:r>
          </w:p>
        </w:tc>
        <w:tc>
          <w:tcPr>
            <w:tcW w:w="0" w:type="auto"/>
            <w:hideMark/>
          </w:tcPr>
          <w:p w14:paraId="0DC56B2A"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منهج وصفي تحليلي – دراسة حالة</w:t>
            </w:r>
          </w:p>
        </w:tc>
        <w:tc>
          <w:tcPr>
            <w:tcW w:w="0" w:type="auto"/>
            <w:hideMark/>
          </w:tcPr>
          <w:p w14:paraId="69ACE406"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الحوكمة الرقمية ركيزة أساسية لإنجاح التحول الرقمي</w:t>
            </w:r>
          </w:p>
        </w:tc>
        <w:tc>
          <w:tcPr>
            <w:tcW w:w="0" w:type="auto"/>
            <w:hideMark/>
          </w:tcPr>
          <w:p w14:paraId="28B4BC1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المباشر بين الحوكمة الرقمية والتحول، السياق الخليجي</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المنهج (دراسة حالة)، عدم اعتماد أداة استبانة ميدانية، السياق (الإمارات/حكومي)</w:t>
            </w:r>
          </w:p>
        </w:tc>
      </w:tr>
      <w:tr w:rsidR="003F5D9C" w:rsidRPr="003F5D9C" w14:paraId="337FC555" w14:textId="77777777" w:rsidTr="003F5D9C">
        <w:tc>
          <w:tcPr>
            <w:tcW w:w="0" w:type="auto"/>
            <w:hideMark/>
          </w:tcPr>
          <w:p w14:paraId="1AC6C14F"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يوسف</w:t>
            </w:r>
            <w:r w:rsidRPr="003F5D9C">
              <w:rPr>
                <w:rFonts w:ascii="Simplified Arabic" w:eastAsia="Times New Roman" w:hAnsi="Simplified Arabic" w:cs="Simplified Arabic" w:hint="cs"/>
                <w:kern w:val="0"/>
                <w14:ligatures w14:val="none"/>
              </w:rPr>
              <w:t xml:space="preserve"> (2023)</w:t>
            </w:r>
          </w:p>
        </w:tc>
        <w:tc>
          <w:tcPr>
            <w:tcW w:w="0" w:type="auto"/>
            <w:hideMark/>
          </w:tcPr>
          <w:p w14:paraId="55F2A42D"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وعلاقته بالحوكمة الرقمية والتقارير المالية لتحقيق التنمية المستدامة</w:t>
            </w:r>
          </w:p>
        </w:tc>
        <w:tc>
          <w:tcPr>
            <w:tcW w:w="0" w:type="auto"/>
            <w:hideMark/>
          </w:tcPr>
          <w:p w14:paraId="58914031"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بحث العلاقة بين التحول الرقمي والحوكمة الرقمية وجودة التقارير المالية</w:t>
            </w:r>
          </w:p>
        </w:tc>
        <w:tc>
          <w:tcPr>
            <w:tcW w:w="0" w:type="auto"/>
            <w:hideMark/>
          </w:tcPr>
          <w:p w14:paraId="57587C94"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التحول الرقمي – الحوكمة الرقمية – التقارير المالية</w:t>
            </w:r>
          </w:p>
        </w:tc>
        <w:tc>
          <w:tcPr>
            <w:tcW w:w="0" w:type="auto"/>
            <w:hideMark/>
          </w:tcPr>
          <w:p w14:paraId="78B01F5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المنهج الوصفي التحليلي – استبانة على 150 محاسباً</w:t>
            </w:r>
          </w:p>
        </w:tc>
        <w:tc>
          <w:tcPr>
            <w:tcW w:w="0" w:type="auto"/>
            <w:hideMark/>
          </w:tcPr>
          <w:p w14:paraId="17B03EAE"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kern w:val="0"/>
                <w:rtl/>
                <w14:ligatures w14:val="none"/>
              </w:rPr>
              <w:t>علاقة إيجابية بين الحوكمة الرقمية والتحول الرقمي وجودة التقارير</w:t>
            </w:r>
          </w:p>
        </w:tc>
        <w:tc>
          <w:tcPr>
            <w:tcW w:w="0" w:type="auto"/>
            <w:hideMark/>
          </w:tcPr>
          <w:p w14:paraId="5F61517B" w14:textId="77777777" w:rsidR="003F5D9C" w:rsidRPr="003F5D9C" w:rsidRDefault="003F5D9C" w:rsidP="003F5D9C">
            <w:pPr>
              <w:rPr>
                <w:rFonts w:ascii="Simplified Arabic" w:eastAsia="Times New Roman" w:hAnsi="Simplified Arabic" w:cs="Simplified Arabic"/>
                <w:kern w:val="0"/>
                <w14:ligatures w14:val="none"/>
              </w:rPr>
            </w:pPr>
            <w:r w:rsidRPr="003F5D9C">
              <w:rPr>
                <w:rFonts w:ascii="Simplified Arabic" w:eastAsia="Times New Roman" w:hAnsi="Simplified Arabic" w:cs="Simplified Arabic" w:hint="cs"/>
                <w:b/>
                <w:bCs/>
                <w:kern w:val="0"/>
                <w:rtl/>
                <w14:ligatures w14:val="none"/>
              </w:rPr>
              <w:t>الاتفاق</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الربط بين المتغيرين الرئيسين، المنهج والأداة</w:t>
            </w:r>
            <w:r w:rsidRPr="003F5D9C">
              <w:rPr>
                <w:rFonts w:ascii="Simplified Arabic" w:eastAsia="Times New Roman" w:hAnsi="Simplified Arabic" w:cs="Simplified Arabic" w:hint="cs"/>
                <w:kern w:val="0"/>
                <w14:ligatures w14:val="none"/>
              </w:rPr>
              <w:br/>
            </w:r>
            <w:r w:rsidRPr="003F5D9C">
              <w:rPr>
                <w:rFonts w:ascii="Simplified Arabic" w:eastAsia="Times New Roman" w:hAnsi="Simplified Arabic" w:cs="Simplified Arabic" w:hint="cs"/>
                <w:b/>
                <w:bCs/>
                <w:kern w:val="0"/>
                <w:rtl/>
                <w14:ligatures w14:val="none"/>
              </w:rPr>
              <w:t>الاختلاف</w:t>
            </w:r>
            <w:r w:rsidRPr="003F5D9C">
              <w:rPr>
                <w:rFonts w:ascii="Simplified Arabic" w:eastAsia="Times New Roman" w:hAnsi="Simplified Arabic" w:cs="Simplified Arabic" w:hint="cs"/>
                <w:b/>
                <w:bCs/>
                <w:kern w:val="0"/>
                <w14:ligatures w14:val="none"/>
              </w:rPr>
              <w:t>:</w:t>
            </w:r>
            <w:r w:rsidRPr="003F5D9C">
              <w:rPr>
                <w:rFonts w:ascii="Simplified Arabic" w:eastAsia="Times New Roman" w:hAnsi="Simplified Arabic" w:cs="Simplified Arabic" w:hint="cs"/>
                <w:kern w:val="0"/>
                <w14:ligatures w14:val="none"/>
              </w:rPr>
              <w:t xml:space="preserve"> </w:t>
            </w:r>
            <w:r w:rsidRPr="003F5D9C">
              <w:rPr>
                <w:rFonts w:ascii="Simplified Arabic" w:eastAsia="Times New Roman" w:hAnsi="Simplified Arabic" w:cs="Simplified Arabic" w:hint="cs"/>
                <w:kern w:val="0"/>
                <w:rtl/>
                <w14:ligatures w14:val="none"/>
              </w:rPr>
              <w:t>إضافة متغير ثالث (التقارير المالية)، القطاع (المحاسبي)</w:t>
            </w:r>
          </w:p>
        </w:tc>
      </w:tr>
    </w:tbl>
    <w:p w14:paraId="47C22C10" w14:textId="123847E5" w:rsidR="003F5D9C" w:rsidRPr="003F5D9C" w:rsidRDefault="003F5D9C" w:rsidP="003F5D9C">
      <w:pPr>
        <w:spacing w:after="0" w:line="240" w:lineRule="auto"/>
        <w:rPr>
          <w:rFonts w:ascii="Simplified Arabic" w:eastAsia="Times New Roman" w:hAnsi="Simplified Arabic" w:cs="Simplified Arabic"/>
          <w:kern w:val="0"/>
          <w14:ligatures w14:val="none"/>
        </w:rPr>
      </w:pPr>
    </w:p>
    <w:p w14:paraId="0C5779D2" w14:textId="28DC0DEE" w:rsidR="008D1C82" w:rsidRPr="004F0620" w:rsidRDefault="00D439AC" w:rsidP="00D439AC">
      <w:pPr>
        <w:pStyle w:val="Heading1"/>
        <w:rPr>
          <w:rtl/>
        </w:rPr>
      </w:pPr>
      <w:bookmarkStart w:id="14" w:name="_Toc233187263"/>
      <w:r w:rsidRPr="004F0620">
        <w:rPr>
          <w:rFonts w:hint="cs"/>
          <w:rtl/>
        </w:rPr>
        <w:t>الفجوة البحثية</w:t>
      </w:r>
      <w:bookmarkEnd w:id="14"/>
      <w:r w:rsidRPr="004F0620">
        <w:rPr>
          <w:rFonts w:hint="cs"/>
          <w:rtl/>
        </w:rPr>
        <w:t xml:space="preserve"> </w:t>
      </w:r>
    </w:p>
    <w:p w14:paraId="3E50B8DE" w14:textId="0548B8CC" w:rsidR="003F5D9C" w:rsidRDefault="003F5D9C" w:rsidP="003F5D9C">
      <w:pPr>
        <w:jc w:val="both"/>
        <w:rPr>
          <w:rFonts w:ascii="Simplified Arabic" w:hAnsi="Simplified Arabic" w:cs="Simplified Arabic"/>
          <w:sz w:val="28"/>
          <w:szCs w:val="28"/>
          <w:rtl/>
          <w:lang w:bidi="ar-EG"/>
        </w:rPr>
      </w:pPr>
      <w:r w:rsidRPr="003F5D9C">
        <w:rPr>
          <w:rFonts w:ascii="Simplified Arabic" w:hAnsi="Simplified Arabic" w:cs="Simplified Arabic"/>
          <w:sz w:val="28"/>
          <w:szCs w:val="28"/>
          <w:rtl/>
        </w:rPr>
        <w:t>بمراجعة الدراسات السابقة المتعلقة بموضوع الدراسة الحالية، يتضح أن معظم تلك الدراسات تناولت متغيري الحوكمة الرقمية والتحول الرقمي بصورة منفصلة، إذ ركّز جانب منها على الحوكمة الرقمية وعلاقتها بمتغيرات أخرى كجودة الخدمات الإلكترونية (السيد وسلامة، 2026)، واستراتيجية الرقابة الإدارية (الزيادي وشحاتة، 2025)، وكفاءة الخدمات العامة</w:t>
      </w:r>
      <w:r w:rsidRPr="003F5D9C">
        <w:rPr>
          <w:rFonts w:ascii="Simplified Arabic" w:hAnsi="Simplified Arabic" w:cs="Simplified Arabic"/>
          <w:sz w:val="28"/>
          <w:szCs w:val="28"/>
        </w:rPr>
        <w:t xml:space="preserve"> (Sadat et al., 2025)</w:t>
      </w:r>
      <w:r w:rsidRPr="003F5D9C">
        <w:rPr>
          <w:rFonts w:ascii="Simplified Arabic" w:hAnsi="Simplified Arabic" w:cs="Simplified Arabic"/>
          <w:sz w:val="28"/>
          <w:szCs w:val="28"/>
          <w:rtl/>
        </w:rPr>
        <w:t>، ونظام الرقابة الداخلية (خلف، 2024)، ومكافحة الفساد الإداري (بوسعدية، 2022). في المقابل، تناول جانب آخر من الدراسات نجاح مشاريع التحول الرقمي وعلاقته بمتغيرات مغايرة كاستراتيجيات التحول (أحمد ومهدي، 2024)، والقدرات الرقمية الديناميكية (داهينين، 2024)، وإدارة التغيير</w:t>
      </w:r>
      <w:r w:rsidRPr="003F5D9C">
        <w:rPr>
          <w:rFonts w:ascii="Simplified Arabic" w:hAnsi="Simplified Arabic" w:cs="Simplified Arabic"/>
          <w:sz w:val="28"/>
          <w:szCs w:val="28"/>
        </w:rPr>
        <w:t xml:space="preserve"> (Kala </w:t>
      </w:r>
      <w:proofErr w:type="spellStart"/>
      <w:r w:rsidRPr="003F5D9C">
        <w:rPr>
          <w:rFonts w:ascii="Simplified Arabic" w:hAnsi="Simplified Arabic" w:cs="Simplified Arabic"/>
          <w:sz w:val="28"/>
          <w:szCs w:val="28"/>
        </w:rPr>
        <w:t>Kamdjoug</w:t>
      </w:r>
      <w:proofErr w:type="spellEnd"/>
      <w:r w:rsidRPr="003F5D9C">
        <w:rPr>
          <w:rFonts w:ascii="Simplified Arabic" w:hAnsi="Simplified Arabic" w:cs="Simplified Arabic"/>
          <w:sz w:val="28"/>
          <w:szCs w:val="28"/>
        </w:rPr>
        <w:t>, 2024)</w:t>
      </w:r>
      <w:r w:rsidRPr="003F5D9C">
        <w:rPr>
          <w:rFonts w:ascii="Simplified Arabic" w:hAnsi="Simplified Arabic" w:cs="Simplified Arabic"/>
          <w:sz w:val="28"/>
          <w:szCs w:val="28"/>
          <w:rtl/>
        </w:rPr>
        <w:t>، والقيادة الرقمية (رابحي، 2022)، ومنهج إدارة المشاريع</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Carujo</w:t>
      </w:r>
      <w:proofErr w:type="spellEnd"/>
      <w:r w:rsidRPr="003F5D9C">
        <w:rPr>
          <w:rFonts w:ascii="Simplified Arabic" w:hAnsi="Simplified Arabic" w:cs="Simplified Arabic"/>
          <w:sz w:val="28"/>
          <w:szCs w:val="28"/>
        </w:rPr>
        <w:t xml:space="preserve"> et al., 2022</w:t>
      </w:r>
      <w:r w:rsidRPr="003F5D9C">
        <w:rPr>
          <w:rFonts w:ascii="Simplified Arabic" w:hAnsi="Simplified Arabic" w:cs="Simplified Arabic"/>
          <w:sz w:val="28"/>
          <w:szCs w:val="28"/>
          <w:rtl/>
        </w:rPr>
        <w:t>؛</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Ciric</w:t>
      </w:r>
      <w:proofErr w:type="spellEnd"/>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Lalic</w:t>
      </w:r>
      <w:proofErr w:type="spellEnd"/>
      <w:r w:rsidRPr="003F5D9C">
        <w:rPr>
          <w:rFonts w:ascii="Simplified Arabic" w:hAnsi="Simplified Arabic" w:cs="Simplified Arabic"/>
          <w:sz w:val="28"/>
          <w:szCs w:val="28"/>
        </w:rPr>
        <w:t xml:space="preserve"> et al., 2022). </w:t>
      </w:r>
      <w:r w:rsidRPr="003F5D9C">
        <w:rPr>
          <w:rFonts w:ascii="Simplified Arabic" w:hAnsi="Simplified Arabic" w:cs="Simplified Arabic"/>
          <w:sz w:val="28"/>
          <w:szCs w:val="28"/>
          <w:rtl/>
        </w:rPr>
        <w:t xml:space="preserve">أما الدراسات القليلة التي ربطت بين المتغيرين مباشرةً (حمدي، 2023؛ يوسف، </w:t>
      </w:r>
      <w:r w:rsidRPr="003F5D9C">
        <w:rPr>
          <w:rFonts w:ascii="Simplified Arabic" w:hAnsi="Simplified Arabic" w:cs="Simplified Arabic"/>
          <w:sz w:val="28"/>
          <w:szCs w:val="28"/>
        </w:rPr>
        <w:t>2023</w:t>
      </w:r>
      <w:r w:rsidRPr="003F5D9C">
        <w:rPr>
          <w:rFonts w:ascii="Simplified Arabic" w:hAnsi="Simplified Arabic" w:cs="Simplified Arabic"/>
          <w:sz w:val="28"/>
          <w:szCs w:val="28"/>
          <w:rtl/>
        </w:rPr>
        <w:t>؛</w:t>
      </w:r>
      <w:r w:rsidR="00CF116B">
        <w:rPr>
          <w:rFonts w:ascii="Simplified Arabic" w:hAnsi="Simplified Arabic" w:cs="Simplified Arabic"/>
          <w:sz w:val="28"/>
          <w:szCs w:val="28"/>
        </w:rPr>
        <w:t>(</w:t>
      </w:r>
      <w:r w:rsidRPr="003F5D9C">
        <w:rPr>
          <w:rFonts w:ascii="Simplified Arabic" w:hAnsi="Simplified Arabic" w:cs="Simplified Arabic"/>
          <w:sz w:val="28"/>
          <w:szCs w:val="28"/>
        </w:rPr>
        <w:t xml:space="preserve"> Zahra, 2025 </w:t>
      </w:r>
      <w:r w:rsidRPr="003F5D9C">
        <w:rPr>
          <w:rFonts w:ascii="Simplified Arabic" w:hAnsi="Simplified Arabic" w:cs="Simplified Arabic"/>
          <w:sz w:val="28"/>
          <w:szCs w:val="28"/>
          <w:rtl/>
        </w:rPr>
        <w:t>فقد جاءت إما في سياقات قطاعية مغايرة (حكومي، محاسبي</w:t>
      </w:r>
      <w:r w:rsidRPr="003F5D9C">
        <w:rPr>
          <w:rFonts w:ascii="Simplified Arabic" w:hAnsi="Simplified Arabic" w:cs="Simplified Arabic"/>
          <w:sz w:val="28"/>
          <w:szCs w:val="28"/>
        </w:rPr>
        <w:t xml:space="preserve">) </w:t>
      </w:r>
      <w:r w:rsidRPr="003F5D9C">
        <w:rPr>
          <w:rFonts w:ascii="Simplified Arabic" w:hAnsi="Simplified Arabic" w:cs="Simplified Arabic"/>
          <w:sz w:val="28"/>
          <w:szCs w:val="28"/>
          <w:rtl/>
        </w:rPr>
        <w:t>أو اعتمدت مناهج نوعية تفتقر إلى الاختبار الإحصائي الكمي للعلاقات السببية. ومن ثم تبرز الفجوة البحثية في غياب دراسات تربط بين التزام الإدارة العليا بأبعاد الحوكمة الرقمية الأربعة (الشفافية الرقمية، المساءلة الرقمية، الأمن السيبراني وحماية البيانات، البنية التحتية الرقمية) ونجاح مشاريع التحول الرقمي بصورة مباشرة ومتكاملة، وهو ما تسعى الدراسة الحالية إلى سدّه عبر تقديم نموذج مفاهيمي يجمع بين أبعاد محددة ومُختبرة لكلا المتغيرين في إطار واحد</w:t>
      </w:r>
      <w:r w:rsidRPr="003F5D9C">
        <w:rPr>
          <w:rFonts w:ascii="Simplified Arabic" w:hAnsi="Simplified Arabic" w:cs="Simplified Arabic"/>
          <w:sz w:val="28"/>
          <w:szCs w:val="28"/>
        </w:rPr>
        <w:t>.</w:t>
      </w:r>
    </w:p>
    <w:p w14:paraId="01F04D5A" w14:textId="12F5EC77" w:rsidR="00CF116B" w:rsidRPr="00CF116B" w:rsidRDefault="00CF116B" w:rsidP="00CF116B">
      <w:pPr>
        <w:jc w:val="both"/>
        <w:rPr>
          <w:rFonts w:ascii="Simplified Arabic" w:hAnsi="Simplified Arabic" w:cs="Simplified Arabic"/>
          <w:color w:val="EE0000"/>
          <w:sz w:val="28"/>
          <w:szCs w:val="28"/>
          <w:rtl/>
          <w:lang w:bidi="ar-EG"/>
        </w:rPr>
      </w:pPr>
      <w:r w:rsidRPr="00CF116B">
        <w:rPr>
          <w:rFonts w:ascii="Simplified Arabic" w:hAnsi="Simplified Arabic" w:cs="Simplified Arabic"/>
          <w:color w:val="EE0000"/>
          <w:sz w:val="28"/>
          <w:szCs w:val="28"/>
          <w:rtl/>
        </w:rPr>
        <w:t>وحتى الدراسات السعودية القليلة التي تناولت الربط بين الحوكمة الرقمية والتحول الرقمي (كدراسة الرابغى، 2022) اقتصرت على القطاع الحكومي بمنهج نوعي (دراسة حالة)، دون اختبار كمي للعلاقات السببية بين أبعاد الحوكمة الرقمية ونجاح مشاريع التحول الرقمي في القطاع الخاص، وتحديداً في قطاع الاتصالات السعودي</w:t>
      </w:r>
      <w:r w:rsidRPr="00CF116B">
        <w:rPr>
          <w:rFonts w:ascii="Simplified Arabic" w:hAnsi="Simplified Arabic" w:cs="Simplified Arabic"/>
          <w:color w:val="EE0000"/>
          <w:sz w:val="28"/>
          <w:szCs w:val="28"/>
          <w:lang w:bidi="ar-EG"/>
        </w:rPr>
        <w:t>.</w:t>
      </w:r>
    </w:p>
    <w:p w14:paraId="0451379A" w14:textId="1F93D202" w:rsidR="003F5D9C" w:rsidRPr="003F5D9C" w:rsidRDefault="003F5D9C" w:rsidP="003F5D9C">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rPr>
        <w:t>و</w:t>
      </w:r>
      <w:r w:rsidRPr="003F5D9C">
        <w:rPr>
          <w:rFonts w:ascii="Simplified Arabic" w:hAnsi="Simplified Arabic" w:cs="Simplified Arabic"/>
          <w:sz w:val="28"/>
          <w:szCs w:val="28"/>
          <w:rtl/>
        </w:rPr>
        <w:t>تتباين الدراسات السابقة من حيث المنهج المستخدم وبيئة التطبيق، إذ اعتمد جزء منها على المنهج النوعي ودراسات الحالة كدراسة</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Vaia</w:t>
      </w:r>
      <w:proofErr w:type="spellEnd"/>
      <w:r w:rsidRPr="003F5D9C">
        <w:rPr>
          <w:rFonts w:ascii="Simplified Arabic" w:hAnsi="Simplified Arabic" w:cs="Simplified Arabic"/>
          <w:sz w:val="28"/>
          <w:szCs w:val="28"/>
        </w:rPr>
        <w:t xml:space="preserve"> et al.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Carujo</w:t>
      </w:r>
      <w:proofErr w:type="spellEnd"/>
      <w:r w:rsidRPr="003F5D9C">
        <w:rPr>
          <w:rFonts w:ascii="Simplified Arabic" w:hAnsi="Simplified Arabic" w:cs="Simplified Arabic"/>
          <w:sz w:val="28"/>
          <w:szCs w:val="28"/>
        </w:rPr>
        <w:t xml:space="preserve"> et al.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Hafseld</w:t>
      </w:r>
      <w:proofErr w:type="spellEnd"/>
      <w:r w:rsidRPr="003F5D9C">
        <w:rPr>
          <w:rFonts w:ascii="Simplified Arabic" w:hAnsi="Simplified Arabic" w:cs="Simplified Arabic"/>
          <w:sz w:val="28"/>
          <w:szCs w:val="28"/>
        </w:rPr>
        <w:t xml:space="preserve"> et al. (2021)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Zahra (2025) </w:t>
      </w:r>
      <w:r w:rsidRPr="003F5D9C">
        <w:rPr>
          <w:rFonts w:ascii="Simplified Arabic" w:hAnsi="Simplified Arabic" w:cs="Simplified Arabic"/>
          <w:sz w:val="28"/>
          <w:szCs w:val="28"/>
          <w:rtl/>
        </w:rPr>
        <w:t xml:space="preserve">و حمدي (2023)، وهي دراسات وإن قدّمت رؤى تحليلية معمقة إلا أنها تفتقر إلى التعميم الإحصائي على مجتمعات أوسع. واعتمد جزء آخر على المراجعات المنهجية والتحليل المقارن للبيانات الثانوية كدراسة </w:t>
      </w:r>
      <w:proofErr w:type="spellStart"/>
      <w:r w:rsidRPr="003F5D9C">
        <w:rPr>
          <w:rFonts w:ascii="Simplified Arabic" w:hAnsi="Simplified Arabic" w:cs="Simplified Arabic"/>
          <w:sz w:val="28"/>
          <w:szCs w:val="28"/>
        </w:rPr>
        <w:t>Idzi</w:t>
      </w:r>
      <w:proofErr w:type="spellEnd"/>
      <w:r w:rsidRPr="003F5D9C">
        <w:rPr>
          <w:rFonts w:ascii="Simplified Arabic" w:hAnsi="Simplified Arabic" w:cs="Simplified Arabic"/>
          <w:sz w:val="28"/>
          <w:szCs w:val="28"/>
        </w:rPr>
        <w:t xml:space="preserve"> &amp; Gomes (2022)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Andrade et al. (2023) </w:t>
      </w:r>
      <w:r w:rsidRPr="003F5D9C">
        <w:rPr>
          <w:rFonts w:ascii="Simplified Arabic" w:hAnsi="Simplified Arabic" w:cs="Simplified Arabic"/>
          <w:sz w:val="28"/>
          <w:szCs w:val="28"/>
          <w:rtl/>
        </w:rPr>
        <w:t>و</w:t>
      </w:r>
      <w:r w:rsidRPr="003F5D9C">
        <w:rPr>
          <w:rFonts w:ascii="Simplified Arabic" w:hAnsi="Simplified Arabic" w:cs="Simplified Arabic"/>
          <w:sz w:val="28"/>
          <w:szCs w:val="28"/>
        </w:rPr>
        <w:t xml:space="preserve"> Sadat et al. (2025)</w:t>
      </w:r>
      <w:r w:rsidRPr="003F5D9C">
        <w:rPr>
          <w:rFonts w:ascii="Simplified Arabic" w:hAnsi="Simplified Arabic" w:cs="Simplified Arabic"/>
          <w:sz w:val="28"/>
          <w:szCs w:val="28"/>
          <w:rtl/>
        </w:rPr>
        <w:t>، وهي دراسات تستند إلى أدبيات سابقة أو بيانات جاهزة دون اختبار ميداني مباشر. أما من حيث بيئة التطبيق، فقد طُبّقت معظم الدراسات في القطاع الحكومي (السيد وسلامة، 2026؛ عبد الحميد، 2024؛</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Manoharan</w:t>
      </w:r>
      <w:proofErr w:type="spellEnd"/>
      <w:r w:rsidRPr="003F5D9C">
        <w:rPr>
          <w:rFonts w:ascii="Simplified Arabic" w:hAnsi="Simplified Arabic" w:cs="Simplified Arabic"/>
          <w:sz w:val="28"/>
          <w:szCs w:val="28"/>
        </w:rPr>
        <w:t xml:space="preserve"> et al., 2023</w:t>
      </w:r>
      <w:r w:rsidRPr="003F5D9C">
        <w:rPr>
          <w:rFonts w:ascii="Simplified Arabic" w:hAnsi="Simplified Arabic" w:cs="Simplified Arabic"/>
          <w:sz w:val="28"/>
          <w:szCs w:val="28"/>
          <w:rtl/>
        </w:rPr>
        <w:t xml:space="preserve">؛ </w:t>
      </w:r>
      <w:proofErr w:type="spellStart"/>
      <w:r w:rsidRPr="003F5D9C">
        <w:rPr>
          <w:rFonts w:ascii="Simplified Arabic" w:hAnsi="Simplified Arabic" w:cs="Simplified Arabic"/>
          <w:sz w:val="28"/>
          <w:szCs w:val="28"/>
        </w:rPr>
        <w:t>Tangi</w:t>
      </w:r>
      <w:proofErr w:type="spellEnd"/>
      <w:r w:rsidRPr="003F5D9C">
        <w:rPr>
          <w:rFonts w:ascii="Simplified Arabic" w:hAnsi="Simplified Arabic" w:cs="Simplified Arabic"/>
          <w:sz w:val="28"/>
          <w:szCs w:val="28"/>
        </w:rPr>
        <w:t xml:space="preserve"> et al., 2021</w:t>
      </w:r>
      <w:r w:rsidRPr="003F5D9C">
        <w:rPr>
          <w:rFonts w:ascii="Simplified Arabic" w:hAnsi="Simplified Arabic" w:cs="Simplified Arabic"/>
          <w:sz w:val="28"/>
          <w:szCs w:val="28"/>
          <w:rtl/>
        </w:rPr>
        <w:t>؛</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Hafseld</w:t>
      </w:r>
      <w:proofErr w:type="spellEnd"/>
      <w:r w:rsidRPr="003F5D9C">
        <w:rPr>
          <w:rFonts w:ascii="Simplified Arabic" w:hAnsi="Simplified Arabic" w:cs="Simplified Arabic"/>
          <w:sz w:val="28"/>
          <w:szCs w:val="28"/>
        </w:rPr>
        <w:t xml:space="preserve"> et al., 2021) </w:t>
      </w:r>
      <w:r w:rsidRPr="003F5D9C">
        <w:rPr>
          <w:rFonts w:ascii="Simplified Arabic" w:hAnsi="Simplified Arabic" w:cs="Simplified Arabic"/>
          <w:sz w:val="28"/>
          <w:szCs w:val="28"/>
          <w:rtl/>
        </w:rPr>
        <w:t>أو في القطاع الإنشائي (الحياري والحياصات، 2022؛ المعادات وأبو زيد، 2021؛ الحسن والنجار، 2023) أو في قطاع المؤسسات الصغيرة والمتوسطة</w:t>
      </w:r>
      <w:r w:rsidRPr="003F5D9C">
        <w:rPr>
          <w:rFonts w:ascii="Simplified Arabic" w:hAnsi="Simplified Arabic" w:cs="Simplified Arabic"/>
          <w:sz w:val="28"/>
          <w:szCs w:val="28"/>
        </w:rPr>
        <w:t xml:space="preserve"> (Kala </w:t>
      </w:r>
      <w:proofErr w:type="spellStart"/>
      <w:r w:rsidRPr="003F5D9C">
        <w:rPr>
          <w:rFonts w:ascii="Simplified Arabic" w:hAnsi="Simplified Arabic" w:cs="Simplified Arabic"/>
          <w:sz w:val="28"/>
          <w:szCs w:val="28"/>
        </w:rPr>
        <w:t>Kamdjoug</w:t>
      </w:r>
      <w:proofErr w:type="spellEnd"/>
      <w:r w:rsidRPr="003F5D9C">
        <w:rPr>
          <w:rFonts w:ascii="Simplified Arabic" w:hAnsi="Simplified Arabic" w:cs="Simplified Arabic"/>
          <w:sz w:val="28"/>
          <w:szCs w:val="28"/>
        </w:rPr>
        <w:t>, 2024)</w:t>
      </w:r>
      <w:r w:rsidRPr="003F5D9C">
        <w:rPr>
          <w:rFonts w:ascii="Simplified Arabic" w:hAnsi="Simplified Arabic" w:cs="Simplified Arabic"/>
          <w:sz w:val="28"/>
          <w:szCs w:val="28"/>
          <w:rtl/>
        </w:rPr>
        <w:t>، في حين تبقى الدراسات الميدانية على قطاع الاتصالات السعودي تحديداً نادرة جداً، باستثناء دراسة أحمد ومهدي (2024) التي طُبّقت في قطاع الاتصالات العراقي ولم تتناول الحوكمة الرقمية. ومن ثم تتضح الفجوة في غياب دراسات ميدانية كمية مُحكمة تُطبَّق في قطاع الاتصالات السعودي وفق المنهج الوصفي التحليلي وأداة الاستبانة على عينة تمثيلية كبيرة، وهو ما تسعى الدراسة الحالية إلى تحقيقه بتطبيقها على عينة من العاملين في شركات الاتصالات السعودية الثلاث الكبرى</w:t>
      </w:r>
      <w:r w:rsidRPr="003F5D9C">
        <w:rPr>
          <w:rFonts w:ascii="Simplified Arabic" w:hAnsi="Simplified Arabic" w:cs="Simplified Arabic"/>
          <w:sz w:val="28"/>
          <w:szCs w:val="28"/>
        </w:rPr>
        <w:t xml:space="preserve"> </w:t>
      </w:r>
      <w:proofErr w:type="spellStart"/>
      <w:r w:rsidRPr="003F5D9C">
        <w:rPr>
          <w:rFonts w:ascii="Simplified Arabic" w:hAnsi="Simplified Arabic" w:cs="Simplified Arabic"/>
          <w:sz w:val="28"/>
          <w:szCs w:val="28"/>
        </w:rPr>
        <w:t>stc</w:t>
      </w:r>
      <w:proofErr w:type="spellEnd"/>
      <w:r w:rsidRPr="003F5D9C">
        <w:rPr>
          <w:rFonts w:ascii="Simplified Arabic" w:hAnsi="Simplified Arabic" w:cs="Simplified Arabic"/>
          <w:sz w:val="28"/>
          <w:szCs w:val="28"/>
          <w:rtl/>
        </w:rPr>
        <w:t>، موبايلي، زين السعودية</w:t>
      </w:r>
    </w:p>
    <w:p w14:paraId="03488A66" w14:textId="3403F159" w:rsidR="007F2519" w:rsidRDefault="003F5D9C" w:rsidP="003F5D9C">
      <w:pPr>
        <w:jc w:val="both"/>
        <w:rPr>
          <w:rFonts w:ascii="Simplified Arabic" w:eastAsiaTheme="majorEastAsia" w:hAnsi="Simplified Arabic" w:cs="Simplified Arabic"/>
          <w:b/>
          <w:bCs/>
          <w:sz w:val="36"/>
          <w:szCs w:val="36"/>
          <w:rtl/>
          <w:lang w:bidi="ar-EG"/>
        </w:rPr>
      </w:pPr>
      <w:r w:rsidRPr="003F5D9C">
        <w:rPr>
          <w:rFonts w:ascii="Simplified Arabic" w:hAnsi="Simplified Arabic" w:cs="Simplified Arabic"/>
          <w:sz w:val="28"/>
          <w:szCs w:val="28"/>
          <w:rtl/>
        </w:rPr>
        <w:t>تتميز الدراسة الحالية عن سابقاتها بجملة من الجوانب التي تُعزّز إسهامها العلمي والعملي؛ فهي - في حدود علم الباحث</w:t>
      </w:r>
      <w:r w:rsidRPr="003F5D9C">
        <w:rPr>
          <w:rFonts w:ascii="Simplified Arabic" w:hAnsi="Simplified Arabic" w:cs="Simplified Arabic"/>
          <w:sz w:val="28"/>
          <w:szCs w:val="28"/>
        </w:rPr>
        <w:t xml:space="preserve"> - </w:t>
      </w:r>
      <w:r w:rsidRPr="003F5D9C">
        <w:rPr>
          <w:rFonts w:ascii="Simplified Arabic" w:hAnsi="Simplified Arabic" w:cs="Simplified Arabic"/>
          <w:sz w:val="28"/>
          <w:szCs w:val="28"/>
          <w:rtl/>
        </w:rPr>
        <w:t xml:space="preserve">أول دراسة عربية تتناول الربط المباشر بين التزام الإدارة العليا بمعايير الحوكمة الرقمية ونجاح مشاريع التحول الرقمي في قطاع الاتصالات السعودي، مما يُمثّل إضافة نوعية للمكتبة العربية. كما تتميز ببنائها لنموذج مفاهيمي متكامل يجمع بين أربعة أبعاد محددة للحوكمة الرقمية تم اشتقاقها من تحليل دقيق للدراسات السابقة، وقياسها لنجاح مشاريع التحول الرقمي بصورة أحادية المحور تضمن التركيز والعمق في القياس. وتتميز كذلك بتركيزها على دور الإدارة العليا بوصفها محركاً جوهرياً للحوكمة الرقمية، وهو متغير أوصت كثير من الدراسات السابقة </w:t>
      </w:r>
      <w:r>
        <w:rPr>
          <w:rFonts w:ascii="Simplified Arabic" w:hAnsi="Simplified Arabic" w:cs="Simplified Arabic" w:hint="cs"/>
          <w:sz w:val="28"/>
          <w:szCs w:val="28"/>
          <w:rtl/>
        </w:rPr>
        <w:t>.</w:t>
      </w:r>
      <w:r w:rsidR="007F2519">
        <w:rPr>
          <w:rtl/>
        </w:rPr>
        <w:br w:type="page"/>
      </w:r>
    </w:p>
    <w:p w14:paraId="4ED778C2" w14:textId="5ABC424E" w:rsidR="00DE18A5" w:rsidRPr="004F0620" w:rsidRDefault="00DE18A5" w:rsidP="00D439AC">
      <w:pPr>
        <w:pStyle w:val="Heading1"/>
        <w:rPr>
          <w:rtl/>
        </w:rPr>
      </w:pPr>
      <w:bookmarkStart w:id="15" w:name="_Toc233187264"/>
      <w:r w:rsidRPr="004F0620">
        <w:rPr>
          <w:rtl/>
        </w:rPr>
        <w:t>قائمة المراجع:</w:t>
      </w:r>
      <w:bookmarkEnd w:id="15"/>
    </w:p>
    <w:p w14:paraId="2055E081"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lang w:bidi="ar-EG"/>
        </w:rPr>
        <w:t>أحمد، أحمد عبدالسلام، و مهدي، شيماء فالح. (2024). أثر استراتيجيات التحول الرقمي على نجاح مشاريع منظمات الأعمال: دراسة ميدانية في شركات الاتصالات العاملة في العراق. مجلة الغري للعلوم الاقتصادية والإدارية، مج20, عدد خاص ، 1406 - 1432. مسترجع من</w:t>
      </w:r>
      <w:r w:rsidRPr="00087250">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http://search.mandumah.com/Record/1572476</w:t>
        </w:r>
      </w:hyperlink>
    </w:p>
    <w:p w14:paraId="199270BC"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بوسعدية، رؤوف. (2022). أثر الحوكمة الرقمية في مكافحة الفساد الإداري. مجلة طبنة للدراسات العلمية الأكاديمية، مج5, ع1 ، 52 - 74. مسترجع من </w:t>
      </w:r>
      <w:r>
        <w:fldChar w:fldCharType="begin"/>
      </w:r>
      <w:r>
        <w:instrText>HYPERLINK "http://search.mandumah.com/Record/1277995"</w:instrText>
      </w:r>
      <w:r>
        <w:fldChar w:fldCharType="separate"/>
      </w:r>
      <w:r w:rsidRPr="007A6705">
        <w:rPr>
          <w:rStyle w:val="Hyperlink"/>
          <w:rFonts w:ascii="Simplified Arabic" w:hAnsi="Simplified Arabic" w:cs="Simplified Arabic"/>
          <w:sz w:val="28"/>
          <w:szCs w:val="28"/>
        </w:rPr>
        <w:t>http://search.mandumah.com/Record/1277995</w:t>
      </w:r>
      <w:r>
        <w:fldChar w:fldCharType="end"/>
      </w:r>
    </w:p>
    <w:p w14:paraId="21FB94CC"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الحسن، هنادي إبراهيم أحمد، و النجار، فايز جمعة صالح. (2023). تكنولوجيا المعلومات وأثرها في نجاح المشاريع: الدور الوسيط للمنصات الرقمية في الشركات الإنشائية الأردنية (رسالة دكتوراه غير منشورة). جامعة العلوم الإسلامية العالمية، عمان. مسترجع من </w:t>
      </w:r>
      <w:r>
        <w:fldChar w:fldCharType="begin"/>
      </w:r>
      <w:r>
        <w:instrText>HYPERLINK "http://search.mandumah.com/Record/1462449"</w:instrText>
      </w:r>
      <w:r>
        <w:fldChar w:fldCharType="separate"/>
      </w:r>
      <w:r w:rsidRPr="007A6705">
        <w:rPr>
          <w:rStyle w:val="Hyperlink"/>
          <w:rFonts w:ascii="Simplified Arabic" w:hAnsi="Simplified Arabic" w:cs="Simplified Arabic"/>
          <w:sz w:val="28"/>
          <w:szCs w:val="28"/>
        </w:rPr>
        <w:t>http://search.mandumah.com/Record/1462449</w:t>
      </w:r>
      <w:r>
        <w:fldChar w:fldCharType="end"/>
      </w:r>
    </w:p>
    <w:p w14:paraId="4B8807F0"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حمدي، جليلة إيمان. (2023). دور الحوكمة الرقمية في إنجاح وتفعيل التحول الرقمي: نموذج دولة الإمارات العربية المتحدة. مجلة الدراسات القانونية والاقتصادية، مج5, ع3 ، 846 - 864. مسترجع من </w:t>
      </w:r>
      <w:r>
        <w:fldChar w:fldCharType="begin"/>
      </w:r>
      <w:r>
        <w:instrText>HYPERLINK "http://search.mandumah.com/Record/1657245"</w:instrText>
      </w:r>
      <w:r>
        <w:fldChar w:fldCharType="separate"/>
      </w:r>
      <w:r w:rsidRPr="007A6705">
        <w:rPr>
          <w:rStyle w:val="Hyperlink"/>
          <w:rFonts w:ascii="Simplified Arabic" w:hAnsi="Simplified Arabic" w:cs="Simplified Arabic"/>
          <w:sz w:val="28"/>
          <w:szCs w:val="28"/>
        </w:rPr>
        <w:t>http://search.mandumah.com/Record/1657245</w:t>
      </w:r>
      <w:r>
        <w:fldChar w:fldCharType="end"/>
      </w:r>
    </w:p>
    <w:p w14:paraId="3CA55402"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الحياري، أحمد غالب عبدالحليم، و الحياصات، إياد بشير عبدالكريم.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 مسترجع من </w:t>
      </w:r>
      <w:r>
        <w:fldChar w:fldCharType="begin"/>
      </w:r>
      <w:r>
        <w:instrText>HYPERLINK "http://search.mandumah.com/Record/1302078"</w:instrText>
      </w:r>
      <w:r>
        <w:fldChar w:fldCharType="separate"/>
      </w:r>
      <w:r w:rsidRPr="007A6705">
        <w:rPr>
          <w:rStyle w:val="Hyperlink"/>
          <w:rFonts w:ascii="Simplified Arabic" w:hAnsi="Simplified Arabic" w:cs="Simplified Arabic"/>
          <w:sz w:val="28"/>
          <w:szCs w:val="28"/>
        </w:rPr>
        <w:t>http://search.mandumah.com/Record/1302078</w:t>
      </w:r>
      <w:r>
        <w:fldChar w:fldCharType="end"/>
      </w:r>
    </w:p>
    <w:p w14:paraId="2D94B80E"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خلف، أحمد محمد. (2024). دور تقنيات الحوكمة الرقمية في تحسين نظام الرقابة الداخلية. مجلة الدراسات المستدامة، مج6, ملحق ، 2552 - 2572. مسترجع من </w:t>
      </w:r>
      <w:r>
        <w:fldChar w:fldCharType="begin"/>
      </w:r>
      <w:r>
        <w:instrText>HYPERLINK "http://search.mandumah.com/Record/1464394"</w:instrText>
      </w:r>
      <w:r>
        <w:fldChar w:fldCharType="separate"/>
      </w:r>
      <w:r w:rsidRPr="007A6705">
        <w:rPr>
          <w:rStyle w:val="Hyperlink"/>
          <w:rFonts w:ascii="Simplified Arabic" w:hAnsi="Simplified Arabic" w:cs="Simplified Arabic"/>
          <w:sz w:val="28"/>
          <w:szCs w:val="28"/>
        </w:rPr>
        <w:t>http://search.mandumah.com/Record/1464394</w:t>
      </w:r>
      <w:r>
        <w:fldChar w:fldCharType="end"/>
      </w:r>
    </w:p>
    <w:p w14:paraId="147AAE4A" w14:textId="4F9A639B" w:rsidR="00CF116B" w:rsidRPr="00CF116B" w:rsidRDefault="00CF116B" w:rsidP="00CF116B">
      <w:pPr>
        <w:pStyle w:val="ListParagraph"/>
        <w:numPr>
          <w:ilvl w:val="0"/>
          <w:numId w:val="10"/>
        </w:numPr>
        <w:jc w:val="both"/>
        <w:rPr>
          <w:rFonts w:ascii="Simplified Arabic" w:hAnsi="Simplified Arabic" w:cs="Simplified Arabic"/>
          <w:color w:val="EE0000"/>
          <w:sz w:val="28"/>
          <w:szCs w:val="28"/>
        </w:rPr>
      </w:pPr>
      <w:r w:rsidRPr="00CF116B">
        <w:rPr>
          <w:rFonts w:ascii="Simplified Arabic" w:hAnsi="Simplified Arabic" w:cs="Simplified Arabic"/>
          <w:color w:val="EE0000"/>
          <w:sz w:val="28"/>
          <w:szCs w:val="28"/>
          <w:rtl/>
        </w:rPr>
        <w:t xml:space="preserve">الرابغى، ريم علي محمد. (2022). الحكومة الرقمية في ضوء برامج التحول الرقمي وتحقيق مستهدفات رؤية المملكة العربية السعودية 2030: هيئة الحكومة الرقمية أنموذجاً. المجلة العربية الدولية لتكنولوجيا المعلومات والبيانات، مج2, ع2، 15 - 62. مسترجع من </w:t>
      </w:r>
      <w:r>
        <w:fldChar w:fldCharType="begin"/>
      </w:r>
      <w:r>
        <w:instrText>HYPERLINK "http://search.mandumah.com/Record/1282641"</w:instrText>
      </w:r>
      <w:r>
        <w:fldChar w:fldCharType="separate"/>
      </w:r>
      <w:r w:rsidRPr="00CF116B">
        <w:rPr>
          <w:rStyle w:val="Hyperlink"/>
          <w:rFonts w:ascii="Simplified Arabic" w:hAnsi="Simplified Arabic" w:cs="Simplified Arabic"/>
          <w:color w:val="EE0000"/>
          <w:sz w:val="28"/>
          <w:szCs w:val="28"/>
        </w:rPr>
        <w:t>http://search.mandumah.com/Record/1282641</w:t>
      </w:r>
      <w:r>
        <w:fldChar w:fldCharType="end"/>
      </w:r>
    </w:p>
    <w:p w14:paraId="3D65B712" w14:textId="04E30670"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داهينين، بن عامر. (2024). أثر القدرات الرقمية في نجاح التحول الرقمي بالمشاريع الريادية: تبني التوجه الاستباقي من خلال تطبيق مقاربة القدرات الديناميكية. مجلة البحوث المالية والتجارية، ع4 ، 613 - 646. مسترجع من </w:t>
      </w:r>
      <w:r>
        <w:fldChar w:fldCharType="begin"/>
      </w:r>
      <w:r>
        <w:instrText>HYPERLINK "http://search.mandumah.com/Record/1522745"</w:instrText>
      </w:r>
      <w:r>
        <w:fldChar w:fldCharType="separate"/>
      </w:r>
      <w:r w:rsidRPr="007A6705">
        <w:rPr>
          <w:rStyle w:val="Hyperlink"/>
          <w:rFonts w:ascii="Simplified Arabic" w:hAnsi="Simplified Arabic" w:cs="Simplified Arabic"/>
          <w:sz w:val="28"/>
          <w:szCs w:val="28"/>
        </w:rPr>
        <w:t>http://search.mandumah.com/Record/1522745</w:t>
      </w:r>
      <w:r>
        <w:fldChar w:fldCharType="end"/>
      </w:r>
    </w:p>
    <w:p w14:paraId="022CFA0C"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رابحي، فطيمة. (2022). تأثير القيادة الرقمية في نجاح مشاريع التحول الرقمي في المؤسسة. مجلة التنظيم والعمل، مج11, ع3 ، 97 - 116. مسترجع من </w:t>
      </w:r>
      <w:r>
        <w:fldChar w:fldCharType="begin"/>
      </w:r>
      <w:r>
        <w:instrText>HYPERLINK "http://search.mandumah.com/Record/1539461"</w:instrText>
      </w:r>
      <w:r>
        <w:fldChar w:fldCharType="separate"/>
      </w:r>
      <w:r w:rsidRPr="007A6705">
        <w:rPr>
          <w:rStyle w:val="Hyperlink"/>
          <w:rFonts w:ascii="Simplified Arabic" w:hAnsi="Simplified Arabic" w:cs="Simplified Arabic"/>
          <w:sz w:val="28"/>
          <w:szCs w:val="28"/>
        </w:rPr>
        <w:t>http://search.mandumah.com/Record/1539461</w:t>
      </w:r>
      <w:r>
        <w:fldChar w:fldCharType="end"/>
      </w:r>
    </w:p>
    <w:p w14:paraId="12813CEF"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الزيادي، بسنت عادل رمضان، و شحاتة، ياسر السيد علي محمد. (2025). أثر الحوكمة الرقمية على استراتيجية الرقابة الإدارية بتوسيط التمكين الذكي: دراسة ميدانية. مجلة جامعة الإسكندرية للعلوم الإدارية، مج62, ع3 ، 197 - 229. مسترجع من </w:t>
      </w:r>
      <w:r>
        <w:fldChar w:fldCharType="begin"/>
      </w:r>
      <w:r>
        <w:instrText>HYPERLINK "http://search.mandumah.com/Record/1575694"</w:instrText>
      </w:r>
      <w:r>
        <w:fldChar w:fldCharType="separate"/>
      </w:r>
      <w:r w:rsidRPr="007A6705">
        <w:rPr>
          <w:rStyle w:val="Hyperlink"/>
          <w:rFonts w:ascii="Simplified Arabic" w:hAnsi="Simplified Arabic" w:cs="Simplified Arabic"/>
          <w:sz w:val="28"/>
          <w:szCs w:val="28"/>
        </w:rPr>
        <w:t>http://search.mandumah.com/Record/1575694</w:t>
      </w:r>
      <w:r>
        <w:fldChar w:fldCharType="end"/>
      </w:r>
    </w:p>
    <w:p w14:paraId="030B5481" w14:textId="77777777" w:rsidR="005C5DF8" w:rsidRDefault="005C5DF8">
      <w:pPr>
        <w:pStyle w:val="ListParagraph"/>
        <w:numPr>
          <w:ilvl w:val="0"/>
          <w:numId w:val="10"/>
        </w:numPr>
        <w:jc w:val="both"/>
        <w:rPr>
          <w:rFonts w:ascii="Simplified Arabic" w:hAnsi="Simplified Arabic" w:cs="Simplified Arabic"/>
          <w:sz w:val="28"/>
          <w:szCs w:val="28"/>
          <w:rtl/>
        </w:rPr>
      </w:pPr>
      <w:r w:rsidRPr="00806D0F">
        <w:rPr>
          <w:rFonts w:ascii="Simplified Arabic" w:hAnsi="Simplified Arabic" w:cs="Simplified Arabic"/>
          <w:sz w:val="28"/>
          <w:szCs w:val="28"/>
          <w:rtl/>
        </w:rPr>
        <w:t xml:space="preserve">السيد، علاء الدين خليل إبراهيم، و سلامة، رحمة رياض. (2026). الحوكمة الرقمية كمدخل لتعزيز جودة الخدمات الحكومية الإلكترونية: دراسة حالة القطاع الحكومي الفلسطيني. المجلة العربية للعلوم الإدارية، مج33, ع2 ، 1 - 37. مسترجع من </w:t>
      </w:r>
      <w:r>
        <w:fldChar w:fldCharType="begin"/>
      </w:r>
      <w:r>
        <w:instrText>HYPERLINK "http://search.mandumah.com/Record/1690033"</w:instrText>
      </w:r>
      <w:r>
        <w:fldChar w:fldCharType="separate"/>
      </w:r>
      <w:r w:rsidRPr="007A6705">
        <w:rPr>
          <w:rStyle w:val="Hyperlink"/>
          <w:rFonts w:ascii="Simplified Arabic" w:hAnsi="Simplified Arabic" w:cs="Simplified Arabic"/>
          <w:sz w:val="28"/>
          <w:szCs w:val="28"/>
        </w:rPr>
        <w:t>http://search.mandumah.com/Record/1690033</w:t>
      </w:r>
      <w:r>
        <w:fldChar w:fldCharType="end"/>
      </w:r>
    </w:p>
    <w:p w14:paraId="64B57B67"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عبدالحميد، منال السيد. (2024). آليات تطبيق الحوكمة الرقمية في القطاع الحكومي: دروس مستفادة من الخبرة الدولية. مجلة كلية الاقتصاد والعلوم السياسية، مج25, ع3 ، 265 - 291. مسترجع من </w:t>
      </w:r>
      <w:r>
        <w:fldChar w:fldCharType="begin"/>
      </w:r>
      <w:r>
        <w:instrText>HYPERLINK "http://search.mandumah.com/Record/1509865"</w:instrText>
      </w:r>
      <w:r>
        <w:fldChar w:fldCharType="separate"/>
      </w:r>
      <w:r w:rsidRPr="007A6705">
        <w:rPr>
          <w:rStyle w:val="Hyperlink"/>
          <w:rFonts w:ascii="Simplified Arabic" w:hAnsi="Simplified Arabic" w:cs="Simplified Arabic"/>
          <w:sz w:val="28"/>
          <w:szCs w:val="28"/>
        </w:rPr>
        <w:t>http://search.mandumah.com/Record/1509865</w:t>
      </w:r>
      <w:r>
        <w:fldChar w:fldCharType="end"/>
      </w:r>
    </w:p>
    <w:p w14:paraId="214C1482" w14:textId="77777777" w:rsidR="005C5DF8" w:rsidRDefault="005C5DF8">
      <w:pPr>
        <w:pStyle w:val="ListParagraph"/>
        <w:numPr>
          <w:ilvl w:val="0"/>
          <w:numId w:val="10"/>
        </w:numPr>
        <w:jc w:val="both"/>
        <w:rPr>
          <w:rFonts w:ascii="Simplified Arabic" w:hAnsi="Simplified Arabic" w:cs="Simplified Arabic"/>
          <w:sz w:val="28"/>
          <w:szCs w:val="28"/>
        </w:rPr>
      </w:pPr>
      <w:r w:rsidRPr="00806D0F">
        <w:rPr>
          <w:rFonts w:ascii="Simplified Arabic" w:hAnsi="Simplified Arabic" w:cs="Simplified Arabic"/>
          <w:sz w:val="28"/>
          <w:szCs w:val="28"/>
          <w:rtl/>
        </w:rPr>
        <w:t>عبدالنبي، هدى أحمد إبراهيم، و العتيبي، حصة ذياب مرزوق. (2021). علاقة الابتكار والإبداع في نجاح إدارة المشاريع: تطبيق على وكالة التوطين بوزارة الموارد البشرية والتنمية الاجتماعية. المجلة الدولية للتنمية، مج10, ع1 ، 11 - 28. مسترجع من</w:t>
      </w:r>
      <w:r w:rsidRPr="00806D0F">
        <w:rPr>
          <w:rFonts w:ascii="Simplified Arabic" w:hAnsi="Simplified Arabic" w:cs="Simplified Arabic"/>
          <w:sz w:val="28"/>
          <w:szCs w:val="28"/>
        </w:rPr>
        <w:t xml:space="preserve"> </w:t>
      </w:r>
      <w:hyperlink r:id="rId12" w:history="1">
        <w:r w:rsidRPr="007A6705">
          <w:rPr>
            <w:rStyle w:val="Hyperlink"/>
            <w:rFonts w:ascii="Simplified Arabic" w:hAnsi="Simplified Arabic" w:cs="Simplified Arabic"/>
            <w:sz w:val="28"/>
            <w:szCs w:val="28"/>
          </w:rPr>
          <w:t>http://search.mandumah.com/Record/1472277</w:t>
        </w:r>
      </w:hyperlink>
    </w:p>
    <w:p w14:paraId="7EBB93E4" w14:textId="77777777" w:rsidR="005C5DF8" w:rsidRDefault="005C5DF8">
      <w:pPr>
        <w:pStyle w:val="ListParagraph"/>
        <w:numPr>
          <w:ilvl w:val="0"/>
          <w:numId w:val="10"/>
        </w:numPr>
        <w:jc w:val="both"/>
        <w:rPr>
          <w:rFonts w:ascii="Simplified Arabic" w:hAnsi="Simplified Arabic" w:cs="Simplified Arabic"/>
          <w:sz w:val="28"/>
          <w:szCs w:val="28"/>
        </w:rPr>
      </w:pPr>
      <w:r w:rsidRPr="00806D0F">
        <w:rPr>
          <w:rFonts w:ascii="Simplified Arabic" w:hAnsi="Simplified Arabic" w:cs="Simplified Arabic"/>
          <w:sz w:val="28"/>
          <w:szCs w:val="28"/>
          <w:rtl/>
        </w:rPr>
        <w:t xml:space="preserve">المعادات، هديل محمد حديثه، و 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 مسترجع من </w:t>
      </w:r>
      <w:r>
        <w:fldChar w:fldCharType="begin"/>
      </w:r>
      <w:r>
        <w:instrText>HYPERLINK "http://search.mandumah.com/Record/1302868"</w:instrText>
      </w:r>
      <w:r>
        <w:fldChar w:fldCharType="separate"/>
      </w:r>
      <w:r w:rsidRPr="007A6705">
        <w:rPr>
          <w:rStyle w:val="Hyperlink"/>
          <w:rFonts w:ascii="Simplified Arabic" w:hAnsi="Simplified Arabic" w:cs="Simplified Arabic"/>
          <w:sz w:val="28"/>
          <w:szCs w:val="28"/>
        </w:rPr>
        <w:t>http://search.mandumah.com/Record/1302868</w:t>
      </w:r>
      <w:r>
        <w:fldChar w:fldCharType="end"/>
      </w:r>
    </w:p>
    <w:p w14:paraId="0CEE0AFE" w14:textId="6107DA95" w:rsidR="00BA7E95" w:rsidRPr="00BA7E95" w:rsidRDefault="00BA7E95" w:rsidP="00BA7E95">
      <w:pPr>
        <w:pStyle w:val="ListParagraph"/>
        <w:numPr>
          <w:ilvl w:val="0"/>
          <w:numId w:val="10"/>
        </w:numPr>
        <w:shd w:val="clear" w:color="auto" w:fill="FFFF00"/>
        <w:jc w:val="both"/>
        <w:rPr>
          <w:rFonts w:ascii="Simplified Arabic" w:hAnsi="Simplified Arabic" w:cs="Simplified Arabic"/>
          <w:sz w:val="28"/>
          <w:szCs w:val="28"/>
          <w:rtl/>
        </w:rPr>
      </w:pPr>
      <w:r w:rsidRPr="00BA7E95">
        <w:rPr>
          <w:rFonts w:ascii="Simplified Arabic" w:hAnsi="Simplified Arabic" w:cs="Simplified Arabic"/>
          <w:sz w:val="28"/>
          <w:szCs w:val="28"/>
          <w:rtl/>
        </w:rPr>
        <w:t xml:space="preserve">الهيئة العامة للإحصاء. (2025). نشرة إحصاءات تقنية المعلومات والاتصالات لعام 2023. الرياض: الهيئة العامة للإحصاء بالمملكة العربية السعودية. </w:t>
      </w:r>
    </w:p>
    <w:p w14:paraId="46009C45" w14:textId="539ABE0C" w:rsidR="00BA7E95" w:rsidRDefault="00BA7E95" w:rsidP="00BA7E95">
      <w:pPr>
        <w:pStyle w:val="ListParagraph"/>
        <w:numPr>
          <w:ilvl w:val="0"/>
          <w:numId w:val="10"/>
        </w:numPr>
        <w:shd w:val="clear" w:color="auto" w:fill="FFFF00"/>
        <w:jc w:val="both"/>
        <w:rPr>
          <w:rFonts w:ascii="Simplified Arabic" w:hAnsi="Simplified Arabic" w:cs="Simplified Arabic"/>
          <w:sz w:val="28"/>
          <w:szCs w:val="28"/>
          <w:rtl/>
        </w:rPr>
      </w:pPr>
      <w:r w:rsidRPr="00BA7E95">
        <w:rPr>
          <w:rFonts w:ascii="Simplified Arabic" w:hAnsi="Simplified Arabic" w:cs="Simplified Arabic" w:hint="cs"/>
          <w:sz w:val="28"/>
          <w:szCs w:val="28"/>
          <w:rtl/>
        </w:rPr>
        <w:t>هيئة</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والفضاء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(2025). </w:t>
      </w:r>
      <w:r w:rsidRPr="00BA7E95">
        <w:rPr>
          <w:rFonts w:ascii="Simplified Arabic" w:hAnsi="Simplified Arabic" w:cs="Simplified Arabic" w:hint="cs"/>
          <w:sz w:val="28"/>
          <w:szCs w:val="28"/>
          <w:rtl/>
        </w:rPr>
        <w:t>تقرير</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مؤشرات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الأداء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لقطاع</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2024. </w:t>
      </w:r>
      <w:r w:rsidRPr="00BA7E95">
        <w:rPr>
          <w:rFonts w:ascii="Simplified Arabic" w:hAnsi="Simplified Arabic" w:cs="Simplified Arabic" w:hint="cs"/>
          <w:sz w:val="28"/>
          <w:szCs w:val="28"/>
          <w:rtl/>
        </w:rPr>
        <w:t>الرياض</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هيئة</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الاتصالات</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والفضاء</w:t>
      </w:r>
      <w:r w:rsidRPr="00BA7E95">
        <w:rPr>
          <w:rFonts w:ascii="Simplified Arabic" w:hAnsi="Simplified Arabic" w:cs="Simplified Arabic"/>
          <w:sz w:val="28"/>
          <w:szCs w:val="28"/>
          <w:rtl/>
        </w:rPr>
        <w:t xml:space="preserve"> </w:t>
      </w:r>
      <w:r w:rsidRPr="00BA7E95">
        <w:rPr>
          <w:rFonts w:ascii="Simplified Arabic" w:hAnsi="Simplified Arabic" w:cs="Simplified Arabic" w:hint="cs"/>
          <w:sz w:val="28"/>
          <w:szCs w:val="28"/>
          <w:rtl/>
        </w:rPr>
        <w:t>والتقنية</w:t>
      </w:r>
      <w:r w:rsidRPr="00BA7E95">
        <w:rPr>
          <w:rFonts w:ascii="Simplified Arabic" w:hAnsi="Simplified Arabic" w:cs="Simplified Arabic"/>
          <w:sz w:val="28"/>
          <w:szCs w:val="28"/>
          <w:rtl/>
        </w:rPr>
        <w:t xml:space="preserve">. </w:t>
      </w:r>
    </w:p>
    <w:p w14:paraId="7D259BC5" w14:textId="77777777" w:rsidR="005C5DF8" w:rsidRDefault="005C5DF8">
      <w:pPr>
        <w:pStyle w:val="ListParagraph"/>
        <w:numPr>
          <w:ilvl w:val="0"/>
          <w:numId w:val="10"/>
        </w:numPr>
        <w:jc w:val="both"/>
        <w:rPr>
          <w:rFonts w:ascii="Simplified Arabic" w:hAnsi="Simplified Arabic" w:cs="Simplified Arabic"/>
          <w:sz w:val="28"/>
          <w:szCs w:val="28"/>
          <w:rtl/>
        </w:rPr>
      </w:pPr>
      <w:r w:rsidRPr="00087250">
        <w:rPr>
          <w:rFonts w:ascii="Simplified Arabic" w:hAnsi="Simplified Arabic" w:cs="Simplified Arabic"/>
          <w:sz w:val="28"/>
          <w:szCs w:val="28"/>
          <w:rtl/>
        </w:rPr>
        <w:t xml:space="preserve">يوسف، أماني أحمد وهبة. (2023). التحول الرقمي وعلاقته بالحوكمة الرقمية والتقارير المالية لتحقيق التنمية المستدامة. المجلة العلمية للدراسات المحاسبية، مج5, ع2 ، 114 - 183. مسترجع من </w:t>
      </w:r>
      <w:r>
        <w:fldChar w:fldCharType="begin"/>
      </w:r>
      <w:r>
        <w:instrText>HYPERLINK "http://search.mandumah.com/Record/1444867"</w:instrText>
      </w:r>
      <w:r>
        <w:fldChar w:fldCharType="separate"/>
      </w:r>
      <w:r w:rsidRPr="007A6705">
        <w:rPr>
          <w:rStyle w:val="Hyperlink"/>
          <w:rFonts w:ascii="Simplified Arabic" w:hAnsi="Simplified Arabic" w:cs="Simplified Arabic"/>
          <w:sz w:val="28"/>
          <w:szCs w:val="28"/>
        </w:rPr>
        <w:t>http://search.mandumah.com/Record/1444867</w:t>
      </w:r>
      <w:r>
        <w:fldChar w:fldCharType="end"/>
      </w:r>
    </w:p>
    <w:p w14:paraId="58D6189C" w14:textId="77777777" w:rsidR="00806D0F" w:rsidRPr="004F0620" w:rsidRDefault="00806D0F" w:rsidP="00806D0F">
      <w:pPr>
        <w:pStyle w:val="ListParagraph"/>
        <w:bidi w:val="0"/>
        <w:jc w:val="both"/>
        <w:rPr>
          <w:rFonts w:ascii="Simplified Arabic" w:hAnsi="Simplified Arabic" w:cs="Simplified Arabic"/>
          <w:sz w:val="28"/>
          <w:szCs w:val="28"/>
        </w:rPr>
      </w:pPr>
    </w:p>
    <w:p w14:paraId="083FED1F" w14:textId="77777777" w:rsidR="005C5DF8" w:rsidRDefault="005C5DF8" w:rsidP="00087250">
      <w:pPr>
        <w:pStyle w:val="ListParagraph"/>
        <w:bidi w:val="0"/>
        <w:jc w:val="both"/>
        <w:rPr>
          <w:rFonts w:ascii="Simplified Arabic" w:hAnsi="Simplified Arabic" w:cs="Simplified Arabic"/>
          <w:sz w:val="28"/>
          <w:szCs w:val="28"/>
          <w:lang w:bidi="ar-EG"/>
        </w:rPr>
      </w:pPr>
    </w:p>
    <w:p w14:paraId="1C2D45F2"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Andrade, Á. J. D. C., </w:t>
      </w:r>
      <w:proofErr w:type="spellStart"/>
      <w:r w:rsidRPr="00BA7E95">
        <w:rPr>
          <w:rFonts w:ascii="Simplified Arabic" w:hAnsi="Simplified Arabic" w:cs="Simplified Arabic"/>
          <w:sz w:val="28"/>
          <w:szCs w:val="28"/>
          <w:lang w:bidi="ar-EG"/>
        </w:rPr>
        <w:t>Mattos</w:t>
      </w:r>
      <w:proofErr w:type="spellEnd"/>
      <w:r w:rsidRPr="00BA7E95">
        <w:rPr>
          <w:rFonts w:ascii="Simplified Arabic" w:hAnsi="Simplified Arabic" w:cs="Simplified Arabic"/>
          <w:sz w:val="28"/>
          <w:szCs w:val="28"/>
          <w:lang w:bidi="ar-EG"/>
        </w:rPr>
        <w:t>, C. S., Fortuna, A., Ramos, L. F., Santos, R. P. D., &amp; Santos, G. (2023). Critical success factors of agile transformation initiatives from a project management perspective. Proceedings of the XIX Brazilian Symposium on Information Systems, 443–450</w:t>
      </w:r>
      <w:r w:rsidRPr="00BA7E95">
        <w:rPr>
          <w:rFonts w:ascii="Simplified Arabic" w:hAnsi="Simplified Arabic" w:cs="Simplified Arabic"/>
          <w:sz w:val="28"/>
          <w:szCs w:val="28"/>
          <w:rtl/>
          <w:lang w:bidi="ar-EG"/>
        </w:rPr>
        <w:t>.</w:t>
      </w:r>
    </w:p>
    <w:p w14:paraId="0FE11415"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Carujo</w:t>
      </w:r>
      <w:proofErr w:type="spellEnd"/>
      <w:r w:rsidRPr="00BA7E95">
        <w:rPr>
          <w:rFonts w:ascii="Simplified Arabic" w:hAnsi="Simplified Arabic" w:cs="Simplified Arabic"/>
          <w:sz w:val="28"/>
          <w:szCs w:val="28"/>
          <w:lang w:bidi="ar-EG"/>
        </w:rPr>
        <w:t xml:space="preserve">, S., </w:t>
      </w:r>
      <w:proofErr w:type="spellStart"/>
      <w:r w:rsidRPr="00BA7E95">
        <w:rPr>
          <w:rFonts w:ascii="Simplified Arabic" w:hAnsi="Simplified Arabic" w:cs="Simplified Arabic"/>
          <w:sz w:val="28"/>
          <w:szCs w:val="28"/>
          <w:lang w:bidi="ar-EG"/>
        </w:rPr>
        <w:t>Anunciação</w:t>
      </w:r>
      <w:proofErr w:type="spellEnd"/>
      <w:r w:rsidRPr="00BA7E95">
        <w:rPr>
          <w:rFonts w:ascii="Simplified Arabic" w:hAnsi="Simplified Arabic" w:cs="Simplified Arabic"/>
          <w:sz w:val="28"/>
          <w:szCs w:val="28"/>
          <w:lang w:bidi="ar-EG"/>
        </w:rPr>
        <w:t>, P. F., &amp; Santos, J. R. (2022). The project management approach: A critical success factor in digital transformation initiatives. Economics and Culture, 19(1), 64–74. https://doi.org/10.2478/jec-2022-0006</w:t>
      </w:r>
    </w:p>
    <w:p w14:paraId="48CC21D3"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Ciric</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Lalic</w:t>
      </w:r>
      <w:proofErr w:type="spellEnd"/>
      <w:r w:rsidRPr="00BA7E95">
        <w:rPr>
          <w:rFonts w:ascii="Simplified Arabic" w:hAnsi="Simplified Arabic" w:cs="Simplified Arabic"/>
          <w:sz w:val="28"/>
          <w:szCs w:val="28"/>
          <w:lang w:bidi="ar-EG"/>
        </w:rPr>
        <w:t xml:space="preserve">, D., </w:t>
      </w:r>
      <w:proofErr w:type="spellStart"/>
      <w:r w:rsidRPr="00BA7E95">
        <w:rPr>
          <w:rFonts w:ascii="Simplified Arabic" w:hAnsi="Simplified Arabic" w:cs="Simplified Arabic"/>
          <w:sz w:val="28"/>
          <w:szCs w:val="28"/>
          <w:lang w:bidi="ar-EG"/>
        </w:rPr>
        <w:t>Lalic</w:t>
      </w:r>
      <w:proofErr w:type="spellEnd"/>
      <w:r w:rsidRPr="00BA7E95">
        <w:rPr>
          <w:rFonts w:ascii="Simplified Arabic" w:hAnsi="Simplified Arabic" w:cs="Simplified Arabic"/>
          <w:sz w:val="28"/>
          <w:szCs w:val="28"/>
          <w:lang w:bidi="ar-EG"/>
        </w:rPr>
        <w:t xml:space="preserve">, B., </w:t>
      </w:r>
      <w:proofErr w:type="spellStart"/>
      <w:r w:rsidRPr="00BA7E95">
        <w:rPr>
          <w:rFonts w:ascii="Simplified Arabic" w:hAnsi="Simplified Arabic" w:cs="Simplified Arabic"/>
          <w:sz w:val="28"/>
          <w:szCs w:val="28"/>
          <w:lang w:bidi="ar-EG"/>
        </w:rPr>
        <w:t>Deli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xml:space="preserve">, M., </w:t>
      </w:r>
      <w:proofErr w:type="spellStart"/>
      <w:r w:rsidRPr="00BA7E95">
        <w:rPr>
          <w:rFonts w:ascii="Simplified Arabic" w:hAnsi="Simplified Arabic" w:cs="Simplified Arabic"/>
          <w:sz w:val="28"/>
          <w:szCs w:val="28"/>
          <w:lang w:bidi="ar-EG"/>
        </w:rPr>
        <w:t>Gracanin</w:t>
      </w:r>
      <w:proofErr w:type="spellEnd"/>
      <w:r w:rsidRPr="00BA7E95">
        <w:rPr>
          <w:rFonts w:ascii="Simplified Arabic" w:hAnsi="Simplified Arabic" w:cs="Simplified Arabic"/>
          <w:sz w:val="28"/>
          <w:szCs w:val="28"/>
          <w:lang w:bidi="ar-EG"/>
        </w:rPr>
        <w:t xml:space="preserve">, D., &amp; </w:t>
      </w:r>
      <w:proofErr w:type="spellStart"/>
      <w:r w:rsidRPr="00BA7E95">
        <w:rPr>
          <w:rFonts w:ascii="Simplified Arabic" w:hAnsi="Simplified Arabic" w:cs="Simplified Arabic"/>
          <w:sz w:val="28"/>
          <w:szCs w:val="28"/>
          <w:lang w:bidi="ar-EG"/>
        </w:rPr>
        <w:t>Stefanovic</w:t>
      </w:r>
      <w:proofErr w:type="spellEnd"/>
      <w:r w:rsidRPr="00BA7E95">
        <w:rPr>
          <w:rFonts w:ascii="Simplified Arabic" w:hAnsi="Simplified Arabic" w:cs="Simplified Arabic"/>
          <w:sz w:val="28"/>
          <w:szCs w:val="28"/>
          <w:lang w:bidi="ar-EG"/>
        </w:rPr>
        <w:t>, D. (2022). How project management approach impact project success? From traditional to agile. International Journal of Managing Projects in Business, 15(3), 494–521. https://doi.org/10.1108/IJMPB-04-2021-0108</w:t>
      </w:r>
    </w:p>
    <w:p w14:paraId="5A3A7E55"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Hafseld</w:t>
      </w:r>
      <w:proofErr w:type="spellEnd"/>
      <w:r w:rsidRPr="00BA7E95">
        <w:rPr>
          <w:rFonts w:ascii="Simplified Arabic" w:hAnsi="Simplified Arabic" w:cs="Simplified Arabic"/>
          <w:sz w:val="28"/>
          <w:szCs w:val="28"/>
          <w:lang w:bidi="ar-EG"/>
        </w:rPr>
        <w:t xml:space="preserve">, K. H., Hussein, B., &amp; </w:t>
      </w:r>
      <w:proofErr w:type="spellStart"/>
      <w:r w:rsidRPr="00BA7E95">
        <w:rPr>
          <w:rFonts w:ascii="Simplified Arabic" w:hAnsi="Simplified Arabic" w:cs="Simplified Arabic"/>
          <w:sz w:val="28"/>
          <w:szCs w:val="28"/>
          <w:lang w:bidi="ar-EG"/>
        </w:rPr>
        <w:t>Rauzy</w:t>
      </w:r>
      <w:proofErr w:type="spellEnd"/>
      <w:r w:rsidRPr="00BA7E95">
        <w:rPr>
          <w:rFonts w:ascii="Simplified Arabic" w:hAnsi="Simplified Arabic" w:cs="Simplified Arabic"/>
          <w:sz w:val="28"/>
          <w:szCs w:val="28"/>
          <w:lang w:bidi="ar-EG"/>
        </w:rPr>
        <w:t>, A. B. (2021). An attempt to understand complexity in a government digital transformation project. International Journal of Information Systems and Project Management, 9(3), 70–91</w:t>
      </w:r>
      <w:r w:rsidRPr="00BA7E95">
        <w:rPr>
          <w:rFonts w:ascii="Simplified Arabic" w:hAnsi="Simplified Arabic" w:cs="Simplified Arabic"/>
          <w:sz w:val="28"/>
          <w:szCs w:val="28"/>
          <w:rtl/>
          <w:lang w:bidi="ar-EG"/>
        </w:rPr>
        <w:t>.</w:t>
      </w:r>
    </w:p>
    <w:p w14:paraId="110D6530" w14:textId="643C86CB" w:rsidR="00BA7E95" w:rsidRPr="00BA7E95" w:rsidRDefault="00BA7E95" w:rsidP="00BA7E95">
      <w:pPr>
        <w:pStyle w:val="ListParagraph"/>
        <w:numPr>
          <w:ilvl w:val="0"/>
          <w:numId w:val="10"/>
        </w:numPr>
        <w:shd w:val="clear" w:color="auto" w:fill="FFFF00"/>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Harkin, B. (2024). Evolving from digital transformation to digital acceleration using the Galapagos framework. Taylor &amp; Francis / Routledge</w:t>
      </w:r>
      <w:r w:rsidRPr="00BA7E95">
        <w:rPr>
          <w:rFonts w:ascii="Simplified Arabic" w:hAnsi="Simplified Arabic" w:cs="Simplified Arabic"/>
          <w:sz w:val="28"/>
          <w:szCs w:val="28"/>
          <w:rtl/>
          <w:lang w:bidi="ar-EG"/>
        </w:rPr>
        <w:t xml:space="preserve">. </w:t>
      </w:r>
    </w:p>
    <w:p w14:paraId="49EFA1E7"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val="pl-PL" w:bidi="ar-EG"/>
        </w:rPr>
        <w:t xml:space="preserve">Idzi, F. M., &amp; Gomes, R. C. (2022). </w:t>
      </w:r>
      <w:r w:rsidRPr="00BA7E95">
        <w:rPr>
          <w:rFonts w:ascii="Simplified Arabic" w:hAnsi="Simplified Arabic" w:cs="Simplified Arabic"/>
          <w:sz w:val="28"/>
          <w:szCs w:val="28"/>
          <w:lang w:bidi="ar-EG"/>
        </w:rPr>
        <w:t>Digital governance: Government strategies that impact public services. Global Public Policy and Governance, 2(4), 427–452. https://doi.org/10.1007/s43508-022-00055-w</w:t>
      </w:r>
    </w:p>
    <w:p w14:paraId="0922EEFE"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Jelovac</w:t>
      </w:r>
      <w:proofErr w:type="spellEnd"/>
      <w:r w:rsidRPr="00BA7E95">
        <w:rPr>
          <w:rFonts w:ascii="Simplified Arabic" w:hAnsi="Simplified Arabic" w:cs="Simplified Arabic"/>
          <w:sz w:val="28"/>
          <w:szCs w:val="28"/>
          <w:lang w:bidi="ar-EG"/>
        </w:rPr>
        <w:t xml:space="preserve">, D., </w:t>
      </w:r>
      <w:proofErr w:type="spellStart"/>
      <w:r w:rsidRPr="00BA7E95">
        <w:rPr>
          <w:rFonts w:ascii="Simplified Arabic" w:hAnsi="Simplified Arabic" w:cs="Simplified Arabic"/>
          <w:sz w:val="28"/>
          <w:szCs w:val="28"/>
          <w:lang w:bidi="ar-EG"/>
        </w:rPr>
        <w:t>Ljubojevi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xml:space="preserve">, </w:t>
      </w:r>
      <w:r w:rsidRPr="00BA7E95">
        <w:rPr>
          <w:rFonts w:ascii="Cambria" w:hAnsi="Cambria" w:cs="Cambria"/>
          <w:sz w:val="28"/>
          <w:szCs w:val="28"/>
          <w:lang w:bidi="ar-EG"/>
        </w:rPr>
        <w:t>Č</w:t>
      </w:r>
      <w:r w:rsidRPr="00BA7E95">
        <w:rPr>
          <w:rFonts w:ascii="Simplified Arabic" w:hAnsi="Simplified Arabic" w:cs="Simplified Arabic"/>
          <w:sz w:val="28"/>
          <w:szCs w:val="28"/>
          <w:lang w:bidi="ar-EG"/>
        </w:rPr>
        <w:t xml:space="preserve">., &amp; </w:t>
      </w:r>
      <w:proofErr w:type="spellStart"/>
      <w:r w:rsidRPr="00BA7E95">
        <w:rPr>
          <w:rFonts w:ascii="Simplified Arabic" w:hAnsi="Simplified Arabic" w:cs="Simplified Arabic"/>
          <w:sz w:val="28"/>
          <w:szCs w:val="28"/>
          <w:lang w:bidi="ar-EG"/>
        </w:rPr>
        <w:t>Ljubojevi</w:t>
      </w:r>
      <w:r w:rsidRPr="00BA7E95">
        <w:rPr>
          <w:rFonts w:ascii="Cambria" w:hAnsi="Cambria" w:cs="Cambria"/>
          <w:sz w:val="28"/>
          <w:szCs w:val="28"/>
          <w:lang w:bidi="ar-EG"/>
        </w:rPr>
        <w:t>ć</w:t>
      </w:r>
      <w:proofErr w:type="spellEnd"/>
      <w:r w:rsidRPr="00BA7E95">
        <w:rPr>
          <w:rFonts w:ascii="Simplified Arabic" w:hAnsi="Simplified Arabic" w:cs="Simplified Arabic"/>
          <w:sz w:val="28"/>
          <w:szCs w:val="28"/>
          <w:lang w:bidi="ar-EG"/>
        </w:rPr>
        <w:t>, L. (2022). HPC in business: The impact of corporate digital responsibility on building digital trust and responsible corporate digital governance. Digital Policy, Regulation and Governance, 24(6), 485–497</w:t>
      </w:r>
      <w:r w:rsidRPr="00BA7E95">
        <w:rPr>
          <w:rFonts w:ascii="Simplified Arabic" w:hAnsi="Simplified Arabic" w:cs="Simplified Arabic"/>
          <w:sz w:val="28"/>
          <w:szCs w:val="28"/>
          <w:rtl/>
          <w:lang w:bidi="ar-EG"/>
        </w:rPr>
        <w:t>.</w:t>
      </w:r>
    </w:p>
    <w:p w14:paraId="1C37321C"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Kala </w:t>
      </w:r>
      <w:proofErr w:type="spellStart"/>
      <w:r w:rsidRPr="00BA7E95">
        <w:rPr>
          <w:rFonts w:ascii="Simplified Arabic" w:hAnsi="Simplified Arabic" w:cs="Simplified Arabic"/>
          <w:sz w:val="28"/>
          <w:szCs w:val="28"/>
          <w:lang w:bidi="ar-EG"/>
        </w:rPr>
        <w:t>Kamdjoug</w:t>
      </w:r>
      <w:proofErr w:type="spellEnd"/>
      <w:r w:rsidRPr="00BA7E95">
        <w:rPr>
          <w:rFonts w:ascii="Simplified Arabic" w:hAnsi="Simplified Arabic" w:cs="Simplified Arabic"/>
          <w:sz w:val="28"/>
          <w:szCs w:val="28"/>
          <w:lang w:bidi="ar-EG"/>
        </w:rPr>
        <w:t>, J. R. (2024). Change management and digital transformation project success in SMEs located in the Democratic Republic of the Congo. Journal of Enterprise Information Management, 37(2), 580–605</w:t>
      </w:r>
      <w:r w:rsidRPr="00BA7E95">
        <w:rPr>
          <w:rFonts w:ascii="Simplified Arabic" w:hAnsi="Simplified Arabic" w:cs="Simplified Arabic"/>
          <w:sz w:val="28"/>
          <w:szCs w:val="28"/>
          <w:rtl/>
          <w:lang w:bidi="ar-EG"/>
        </w:rPr>
        <w:t>.</w:t>
      </w:r>
    </w:p>
    <w:p w14:paraId="0C8A199E"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Manoharan</w:t>
      </w:r>
      <w:proofErr w:type="spellEnd"/>
      <w:r w:rsidRPr="00BA7E95">
        <w:rPr>
          <w:rFonts w:ascii="Simplified Arabic" w:hAnsi="Simplified Arabic" w:cs="Simplified Arabic"/>
          <w:sz w:val="28"/>
          <w:szCs w:val="28"/>
          <w:lang w:bidi="ar-EG"/>
        </w:rPr>
        <w:t xml:space="preserve">, A. P., </w:t>
      </w:r>
      <w:proofErr w:type="spellStart"/>
      <w:r w:rsidRPr="00BA7E95">
        <w:rPr>
          <w:rFonts w:ascii="Simplified Arabic" w:hAnsi="Simplified Arabic" w:cs="Simplified Arabic"/>
          <w:sz w:val="28"/>
          <w:szCs w:val="28"/>
          <w:lang w:bidi="ar-EG"/>
        </w:rPr>
        <w:t>Melitski</w:t>
      </w:r>
      <w:proofErr w:type="spellEnd"/>
      <w:r w:rsidRPr="00BA7E95">
        <w:rPr>
          <w:rFonts w:ascii="Simplified Arabic" w:hAnsi="Simplified Arabic" w:cs="Simplified Arabic"/>
          <w:sz w:val="28"/>
          <w:szCs w:val="28"/>
          <w:lang w:bidi="ar-EG"/>
        </w:rPr>
        <w:t xml:space="preserve">, J., &amp; </w:t>
      </w:r>
      <w:proofErr w:type="spellStart"/>
      <w:r w:rsidRPr="00BA7E95">
        <w:rPr>
          <w:rFonts w:ascii="Simplified Arabic" w:hAnsi="Simplified Arabic" w:cs="Simplified Arabic"/>
          <w:sz w:val="28"/>
          <w:szCs w:val="28"/>
          <w:lang w:bidi="ar-EG"/>
        </w:rPr>
        <w:t>Holzer</w:t>
      </w:r>
      <w:proofErr w:type="spellEnd"/>
      <w:r w:rsidRPr="00BA7E95">
        <w:rPr>
          <w:rFonts w:ascii="Simplified Arabic" w:hAnsi="Simplified Arabic" w:cs="Simplified Arabic"/>
          <w:sz w:val="28"/>
          <w:szCs w:val="28"/>
          <w:lang w:bidi="ar-EG"/>
        </w:rPr>
        <w:t>, M. (2023). Digital governance: An assessment of performance and best practices. Public Organization Review, 23(1), 265–283. https://doi.org/10.1007/s11115-021-00584-8</w:t>
      </w:r>
    </w:p>
    <w:p w14:paraId="290573C7"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 xml:space="preserve">Sadat, A., </w:t>
      </w:r>
      <w:proofErr w:type="spellStart"/>
      <w:r w:rsidRPr="00BA7E95">
        <w:rPr>
          <w:rFonts w:ascii="Simplified Arabic" w:hAnsi="Simplified Arabic" w:cs="Simplified Arabic"/>
          <w:sz w:val="28"/>
          <w:szCs w:val="28"/>
          <w:lang w:bidi="ar-EG"/>
        </w:rPr>
        <w:t>Lawelai</w:t>
      </w:r>
      <w:proofErr w:type="spellEnd"/>
      <w:r w:rsidRPr="00BA7E95">
        <w:rPr>
          <w:rFonts w:ascii="Simplified Arabic" w:hAnsi="Simplified Arabic" w:cs="Simplified Arabic"/>
          <w:sz w:val="28"/>
          <w:szCs w:val="28"/>
          <w:lang w:bidi="ar-EG"/>
        </w:rPr>
        <w:t xml:space="preserve">, H., &amp; </w:t>
      </w:r>
      <w:proofErr w:type="spellStart"/>
      <w:r w:rsidRPr="00BA7E95">
        <w:rPr>
          <w:rFonts w:ascii="Simplified Arabic" w:hAnsi="Simplified Arabic" w:cs="Simplified Arabic"/>
          <w:sz w:val="28"/>
          <w:szCs w:val="28"/>
          <w:lang w:bidi="ar-EG"/>
        </w:rPr>
        <w:t>Yudarsat</w:t>
      </w:r>
      <w:proofErr w:type="spellEnd"/>
      <w:r w:rsidRPr="00BA7E95">
        <w:rPr>
          <w:rFonts w:ascii="Simplified Arabic" w:hAnsi="Simplified Arabic" w:cs="Simplified Arabic"/>
          <w:sz w:val="28"/>
          <w:szCs w:val="28"/>
          <w:lang w:bidi="ar-EG"/>
        </w:rPr>
        <w:t>, A. P. (2025). The impact of digital governance on public service efficiency: A cross-country analysis. Journal of Governance and Local Politics (JGLP), 7(1), 22–35</w:t>
      </w:r>
      <w:r w:rsidRPr="00BA7E95">
        <w:rPr>
          <w:rFonts w:ascii="Simplified Arabic" w:hAnsi="Simplified Arabic" w:cs="Simplified Arabic"/>
          <w:sz w:val="28"/>
          <w:szCs w:val="28"/>
          <w:rtl/>
          <w:lang w:bidi="ar-EG"/>
        </w:rPr>
        <w:t>.</w:t>
      </w:r>
    </w:p>
    <w:p w14:paraId="513767AB" w14:textId="46A8A3D5" w:rsidR="00BA7E95" w:rsidRPr="00BA7E95" w:rsidRDefault="00BA7E95" w:rsidP="00BA7E95">
      <w:pPr>
        <w:pStyle w:val="ListParagraph"/>
        <w:numPr>
          <w:ilvl w:val="0"/>
          <w:numId w:val="10"/>
        </w:numPr>
        <w:shd w:val="clear" w:color="auto" w:fill="FFFF00"/>
        <w:bidi w:val="0"/>
        <w:jc w:val="both"/>
        <w:rPr>
          <w:rFonts w:ascii="Simplified Arabic" w:hAnsi="Simplified Arabic" w:cs="Simplified Arabic"/>
          <w:sz w:val="28"/>
          <w:szCs w:val="28"/>
          <w:lang w:bidi="ar-EG"/>
        </w:rPr>
      </w:pPr>
      <w:r w:rsidRPr="00BA7E95">
        <w:rPr>
          <w:rFonts w:ascii="Simplified Arabic" w:hAnsi="Simplified Arabic" w:cs="Simplified Arabic"/>
          <w:sz w:val="28"/>
          <w:szCs w:val="28"/>
          <w:lang w:bidi="ar-EG"/>
        </w:rPr>
        <w:t>Skybox Security. (2024). 2024 vulnerability and threat trends report. San Francisco: Skybox Security Research Lab</w:t>
      </w:r>
      <w:r w:rsidRPr="00BA7E95">
        <w:rPr>
          <w:rFonts w:ascii="Simplified Arabic" w:hAnsi="Simplified Arabic" w:cs="Simplified Arabic"/>
          <w:sz w:val="28"/>
          <w:szCs w:val="28"/>
          <w:rtl/>
          <w:lang w:bidi="ar-EG"/>
        </w:rPr>
        <w:t xml:space="preserve">. </w:t>
      </w:r>
    </w:p>
    <w:p w14:paraId="5590E4CF"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Tangi</w:t>
      </w:r>
      <w:proofErr w:type="spellEnd"/>
      <w:r w:rsidRPr="00BA7E95">
        <w:rPr>
          <w:rFonts w:ascii="Simplified Arabic" w:hAnsi="Simplified Arabic" w:cs="Simplified Arabic"/>
          <w:sz w:val="28"/>
          <w:szCs w:val="28"/>
          <w:lang w:bidi="ar-EG"/>
        </w:rPr>
        <w:t xml:space="preserve">, L., Janssen, M., Benedetti, M., &amp; </w:t>
      </w:r>
      <w:proofErr w:type="spellStart"/>
      <w:r w:rsidRPr="00BA7E95">
        <w:rPr>
          <w:rFonts w:ascii="Simplified Arabic" w:hAnsi="Simplified Arabic" w:cs="Simplified Arabic"/>
          <w:sz w:val="28"/>
          <w:szCs w:val="28"/>
          <w:lang w:bidi="ar-EG"/>
        </w:rPr>
        <w:t>Noci</w:t>
      </w:r>
      <w:proofErr w:type="spellEnd"/>
      <w:r w:rsidRPr="00BA7E95">
        <w:rPr>
          <w:rFonts w:ascii="Simplified Arabic" w:hAnsi="Simplified Arabic" w:cs="Simplified Arabic"/>
          <w:sz w:val="28"/>
          <w:szCs w:val="28"/>
          <w:lang w:bidi="ar-EG"/>
        </w:rPr>
        <w:t>, G. (2021). Digital government transformation: A structural equation modelling analysis of driving and impeding factors. International Journal of Information Management, 60, 102356</w:t>
      </w:r>
      <w:r w:rsidRPr="00BA7E95">
        <w:rPr>
          <w:rFonts w:ascii="Simplified Arabic" w:hAnsi="Simplified Arabic" w:cs="Simplified Arabic"/>
          <w:sz w:val="28"/>
          <w:szCs w:val="28"/>
          <w:rtl/>
          <w:lang w:bidi="ar-EG"/>
        </w:rPr>
        <w:t>.</w:t>
      </w:r>
    </w:p>
    <w:p w14:paraId="32A6C34C" w14:textId="77777777" w:rsidR="00BA7E95" w:rsidRPr="00BA7E95" w:rsidRDefault="00BA7E95" w:rsidP="00BA7E95">
      <w:pPr>
        <w:pStyle w:val="ListParagraph"/>
        <w:numPr>
          <w:ilvl w:val="0"/>
          <w:numId w:val="10"/>
        </w:numPr>
        <w:bidi w:val="0"/>
        <w:jc w:val="both"/>
        <w:rPr>
          <w:rFonts w:ascii="Simplified Arabic" w:hAnsi="Simplified Arabic" w:cs="Simplified Arabic"/>
          <w:sz w:val="28"/>
          <w:szCs w:val="28"/>
          <w:lang w:bidi="ar-EG"/>
        </w:rPr>
      </w:pPr>
      <w:proofErr w:type="spellStart"/>
      <w:r w:rsidRPr="00BA7E95">
        <w:rPr>
          <w:rFonts w:ascii="Simplified Arabic" w:hAnsi="Simplified Arabic" w:cs="Simplified Arabic"/>
          <w:sz w:val="28"/>
          <w:szCs w:val="28"/>
          <w:lang w:bidi="ar-EG"/>
        </w:rPr>
        <w:t>Vaia</w:t>
      </w:r>
      <w:proofErr w:type="spellEnd"/>
      <w:r w:rsidRPr="00BA7E95">
        <w:rPr>
          <w:rFonts w:ascii="Simplified Arabic" w:hAnsi="Simplified Arabic" w:cs="Simplified Arabic"/>
          <w:sz w:val="28"/>
          <w:szCs w:val="28"/>
          <w:lang w:bidi="ar-EG"/>
        </w:rPr>
        <w:t xml:space="preserve">, G., </w:t>
      </w:r>
      <w:proofErr w:type="spellStart"/>
      <w:r w:rsidRPr="00BA7E95">
        <w:rPr>
          <w:rFonts w:ascii="Simplified Arabic" w:hAnsi="Simplified Arabic" w:cs="Simplified Arabic"/>
          <w:sz w:val="28"/>
          <w:szCs w:val="28"/>
          <w:lang w:bidi="ar-EG"/>
        </w:rPr>
        <w:t>Arkhipova</w:t>
      </w:r>
      <w:proofErr w:type="spellEnd"/>
      <w:r w:rsidRPr="00BA7E95">
        <w:rPr>
          <w:rFonts w:ascii="Simplified Arabic" w:hAnsi="Simplified Arabic" w:cs="Simplified Arabic"/>
          <w:sz w:val="28"/>
          <w:szCs w:val="28"/>
          <w:lang w:bidi="ar-EG"/>
        </w:rPr>
        <w:t xml:space="preserve">, D., &amp; </w:t>
      </w:r>
      <w:proofErr w:type="spellStart"/>
      <w:r w:rsidRPr="00BA7E95">
        <w:rPr>
          <w:rFonts w:ascii="Simplified Arabic" w:hAnsi="Simplified Arabic" w:cs="Simplified Arabic"/>
          <w:sz w:val="28"/>
          <w:szCs w:val="28"/>
          <w:lang w:bidi="ar-EG"/>
        </w:rPr>
        <w:t>DeLone</w:t>
      </w:r>
      <w:proofErr w:type="spellEnd"/>
      <w:r w:rsidRPr="00BA7E95">
        <w:rPr>
          <w:rFonts w:ascii="Simplified Arabic" w:hAnsi="Simplified Arabic" w:cs="Simplified Arabic"/>
          <w:sz w:val="28"/>
          <w:szCs w:val="28"/>
          <w:lang w:bidi="ar-EG"/>
        </w:rPr>
        <w:t>, W. (2022). Digital governance mechanisms and principles that enable agile responses in dynamic competitive environments. European Journal of Information Systems, 31(6), 662–680</w:t>
      </w:r>
      <w:r w:rsidRPr="00BA7E95">
        <w:rPr>
          <w:rFonts w:ascii="Simplified Arabic" w:hAnsi="Simplified Arabic" w:cs="Simplified Arabic"/>
          <w:sz w:val="28"/>
          <w:szCs w:val="28"/>
          <w:rtl/>
          <w:lang w:bidi="ar-EG"/>
        </w:rPr>
        <w:t>.</w:t>
      </w:r>
    </w:p>
    <w:p w14:paraId="7BCC75AA" w14:textId="429F1C3E" w:rsidR="005C5DF8" w:rsidRDefault="00BA7E95" w:rsidP="00BA7E95">
      <w:pPr>
        <w:pStyle w:val="ListParagraph"/>
        <w:numPr>
          <w:ilvl w:val="0"/>
          <w:numId w:val="10"/>
        </w:numPr>
        <w:bidi w:val="0"/>
        <w:jc w:val="both"/>
        <w:rPr>
          <w:rFonts w:ascii="Simplified Arabic" w:hAnsi="Simplified Arabic" w:cs="Simplified Arabic"/>
          <w:sz w:val="28"/>
          <w:szCs w:val="28"/>
        </w:rPr>
      </w:pPr>
      <w:r w:rsidRPr="00BA7E95">
        <w:rPr>
          <w:rFonts w:ascii="Simplified Arabic" w:hAnsi="Simplified Arabic" w:cs="Simplified Arabic"/>
          <w:sz w:val="28"/>
          <w:szCs w:val="28"/>
          <w:lang w:bidi="ar-EG"/>
        </w:rPr>
        <w:t xml:space="preserve">Zahra, F. (2025). Analysis of digital governance framework implementation to enhance digital transformation. SITEKNIK: </w:t>
      </w:r>
      <w:proofErr w:type="spellStart"/>
      <w:r w:rsidRPr="00BA7E95">
        <w:rPr>
          <w:rFonts w:ascii="Simplified Arabic" w:hAnsi="Simplified Arabic" w:cs="Simplified Arabic"/>
          <w:sz w:val="28"/>
          <w:szCs w:val="28"/>
          <w:lang w:bidi="ar-EG"/>
        </w:rPr>
        <w:t>Sistem</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Informasi</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Teknik</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dan</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Teknologi</w:t>
      </w:r>
      <w:proofErr w:type="spellEnd"/>
      <w:r w:rsidRPr="00BA7E95">
        <w:rPr>
          <w:rFonts w:ascii="Simplified Arabic" w:hAnsi="Simplified Arabic" w:cs="Simplified Arabic"/>
          <w:sz w:val="28"/>
          <w:szCs w:val="28"/>
          <w:lang w:bidi="ar-EG"/>
        </w:rPr>
        <w:t xml:space="preserve"> </w:t>
      </w:r>
      <w:proofErr w:type="spellStart"/>
      <w:r w:rsidRPr="00BA7E95">
        <w:rPr>
          <w:rFonts w:ascii="Simplified Arabic" w:hAnsi="Simplified Arabic" w:cs="Simplified Arabic"/>
          <w:sz w:val="28"/>
          <w:szCs w:val="28"/>
          <w:lang w:bidi="ar-EG"/>
        </w:rPr>
        <w:t>Terapan</w:t>
      </w:r>
      <w:proofErr w:type="spellEnd"/>
      <w:r w:rsidRPr="00BA7E95">
        <w:rPr>
          <w:rFonts w:ascii="Simplified Arabic" w:hAnsi="Simplified Arabic" w:cs="Simplified Arabic"/>
          <w:sz w:val="28"/>
          <w:szCs w:val="28"/>
          <w:lang w:bidi="ar-EG"/>
        </w:rPr>
        <w:t>, 2(3), 115–126.</w:t>
      </w:r>
      <w:r w:rsidR="005C5DF8" w:rsidRPr="008D2A48">
        <w:rPr>
          <w:rFonts w:ascii="Simplified Arabic" w:hAnsi="Simplified Arabic" w:cs="Simplified Arabic"/>
          <w:sz w:val="28"/>
          <w:szCs w:val="28"/>
        </w:rPr>
        <w:t>.</w:t>
      </w:r>
      <w:r w:rsidR="005C5DF8" w:rsidRPr="008D2A48">
        <w:rPr>
          <w:rFonts w:ascii="Simplified Arabic" w:hAnsi="Simplified Arabic" w:cs="Simplified Arabic"/>
          <w:sz w:val="28"/>
          <w:szCs w:val="28"/>
          <w:rtl/>
        </w:rPr>
        <w:t>‏</w:t>
      </w:r>
    </w:p>
    <w:p w14:paraId="5E69A1E9" w14:textId="77777777" w:rsidR="00087250" w:rsidRPr="004F0620" w:rsidRDefault="00087250" w:rsidP="00087250">
      <w:pPr>
        <w:pStyle w:val="ListParagraph"/>
        <w:bidi w:val="0"/>
        <w:jc w:val="both"/>
        <w:rPr>
          <w:rFonts w:ascii="Simplified Arabic" w:hAnsi="Simplified Arabic" w:cs="Simplified Arabic"/>
          <w:sz w:val="28"/>
          <w:szCs w:val="28"/>
          <w:rtl/>
          <w:lang w:bidi="ar-EG"/>
        </w:rPr>
      </w:pPr>
    </w:p>
    <w:sectPr w:rsidR="00087250" w:rsidRPr="004F0620" w:rsidSect="00CB6D93">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EB3BF" w14:textId="77777777" w:rsidR="00D2058E" w:rsidRDefault="00D2058E" w:rsidP="00621DED">
      <w:pPr>
        <w:spacing w:after="0" w:line="240" w:lineRule="auto"/>
      </w:pPr>
      <w:r>
        <w:separator/>
      </w:r>
    </w:p>
  </w:endnote>
  <w:endnote w:type="continuationSeparator" w:id="0">
    <w:p w14:paraId="2ACB800B" w14:textId="77777777" w:rsidR="00D2058E" w:rsidRDefault="00D2058E"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3682" w14:textId="77777777" w:rsidR="00D2058E" w:rsidRDefault="00D2058E" w:rsidP="00621DED">
      <w:pPr>
        <w:spacing w:after="0" w:line="240" w:lineRule="auto"/>
      </w:pPr>
      <w:r>
        <w:separator/>
      </w:r>
    </w:p>
  </w:footnote>
  <w:footnote w:type="continuationSeparator" w:id="0">
    <w:p w14:paraId="343AAD12" w14:textId="77777777" w:rsidR="00D2058E" w:rsidRDefault="00D2058E"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5C07AE"/>
    <w:multiLevelType w:val="multilevel"/>
    <w:tmpl w:val="BFAA7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7969897">
    <w:abstractNumId w:val="1"/>
  </w:num>
  <w:num w:numId="2" w16cid:durableId="1815683809">
    <w:abstractNumId w:val="6"/>
  </w:num>
  <w:num w:numId="3" w16cid:durableId="740252984">
    <w:abstractNumId w:val="10"/>
  </w:num>
  <w:num w:numId="4" w16cid:durableId="1794791461">
    <w:abstractNumId w:val="0"/>
  </w:num>
  <w:num w:numId="5" w16cid:durableId="2012297942">
    <w:abstractNumId w:val="4"/>
  </w:num>
  <w:num w:numId="6" w16cid:durableId="2056778">
    <w:abstractNumId w:val="7"/>
  </w:num>
  <w:num w:numId="7" w16cid:durableId="676273138">
    <w:abstractNumId w:val="8"/>
  </w:num>
  <w:num w:numId="8" w16cid:durableId="1551041446">
    <w:abstractNumId w:val="2"/>
  </w:num>
  <w:num w:numId="9" w16cid:durableId="318583201">
    <w:abstractNumId w:val="5"/>
  </w:num>
  <w:num w:numId="10" w16cid:durableId="1245802160">
    <w:abstractNumId w:val="3"/>
  </w:num>
  <w:num w:numId="11" w16cid:durableId="186983210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87250"/>
    <w:rsid w:val="000D1962"/>
    <w:rsid w:val="000E0033"/>
    <w:rsid w:val="000F2B75"/>
    <w:rsid w:val="00105A15"/>
    <w:rsid w:val="00110FA8"/>
    <w:rsid w:val="00127792"/>
    <w:rsid w:val="001548C1"/>
    <w:rsid w:val="00166461"/>
    <w:rsid w:val="001B43EF"/>
    <w:rsid w:val="001C5E53"/>
    <w:rsid w:val="001E3435"/>
    <w:rsid w:val="0025313B"/>
    <w:rsid w:val="002765C1"/>
    <w:rsid w:val="002B7920"/>
    <w:rsid w:val="00320ECC"/>
    <w:rsid w:val="003372C0"/>
    <w:rsid w:val="0034535E"/>
    <w:rsid w:val="003579FF"/>
    <w:rsid w:val="003A2075"/>
    <w:rsid w:val="003A2D4F"/>
    <w:rsid w:val="003D06DF"/>
    <w:rsid w:val="003F0DEE"/>
    <w:rsid w:val="003F5D9C"/>
    <w:rsid w:val="00424D5B"/>
    <w:rsid w:val="004372D5"/>
    <w:rsid w:val="004A7FE3"/>
    <w:rsid w:val="004D35D3"/>
    <w:rsid w:val="004E43BD"/>
    <w:rsid w:val="004F0620"/>
    <w:rsid w:val="005673FD"/>
    <w:rsid w:val="00571EBF"/>
    <w:rsid w:val="00592685"/>
    <w:rsid w:val="00593280"/>
    <w:rsid w:val="005B5028"/>
    <w:rsid w:val="005B513B"/>
    <w:rsid w:val="005C5DF8"/>
    <w:rsid w:val="005E52A1"/>
    <w:rsid w:val="005F3A85"/>
    <w:rsid w:val="006114F7"/>
    <w:rsid w:val="00621DED"/>
    <w:rsid w:val="006220A5"/>
    <w:rsid w:val="006C2178"/>
    <w:rsid w:val="007543D1"/>
    <w:rsid w:val="00761E9B"/>
    <w:rsid w:val="007F2519"/>
    <w:rsid w:val="008019E7"/>
    <w:rsid w:val="00804576"/>
    <w:rsid w:val="00804FE9"/>
    <w:rsid w:val="00806D0F"/>
    <w:rsid w:val="00813640"/>
    <w:rsid w:val="00860640"/>
    <w:rsid w:val="00881070"/>
    <w:rsid w:val="008D1C82"/>
    <w:rsid w:val="008D2A48"/>
    <w:rsid w:val="008F4DEA"/>
    <w:rsid w:val="0091397D"/>
    <w:rsid w:val="00917C1F"/>
    <w:rsid w:val="009432FC"/>
    <w:rsid w:val="0095065B"/>
    <w:rsid w:val="00955C78"/>
    <w:rsid w:val="00975E90"/>
    <w:rsid w:val="009A6035"/>
    <w:rsid w:val="009C14F2"/>
    <w:rsid w:val="009C4626"/>
    <w:rsid w:val="009D3DFA"/>
    <w:rsid w:val="009E740B"/>
    <w:rsid w:val="00A9332C"/>
    <w:rsid w:val="00AE31B2"/>
    <w:rsid w:val="00B04F4C"/>
    <w:rsid w:val="00B3427B"/>
    <w:rsid w:val="00B41819"/>
    <w:rsid w:val="00B729F2"/>
    <w:rsid w:val="00B91104"/>
    <w:rsid w:val="00BA0969"/>
    <w:rsid w:val="00BA7E95"/>
    <w:rsid w:val="00BC7BAC"/>
    <w:rsid w:val="00BD7DC7"/>
    <w:rsid w:val="00BD7F58"/>
    <w:rsid w:val="00C01E57"/>
    <w:rsid w:val="00C07C7F"/>
    <w:rsid w:val="00C47709"/>
    <w:rsid w:val="00C62BF9"/>
    <w:rsid w:val="00CB6D93"/>
    <w:rsid w:val="00CC209D"/>
    <w:rsid w:val="00CC3A23"/>
    <w:rsid w:val="00CE3A56"/>
    <w:rsid w:val="00CF116B"/>
    <w:rsid w:val="00D15B17"/>
    <w:rsid w:val="00D17C01"/>
    <w:rsid w:val="00D2058E"/>
    <w:rsid w:val="00D41B42"/>
    <w:rsid w:val="00D42274"/>
    <w:rsid w:val="00D43095"/>
    <w:rsid w:val="00D439AC"/>
    <w:rsid w:val="00D8772F"/>
    <w:rsid w:val="00DE18A5"/>
    <w:rsid w:val="00E819C0"/>
    <w:rsid w:val="00E931BE"/>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C396A"/>
    <w:rsid w:val="00FD66BE"/>
    <w:rsid w:val="00FE6448"/>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arch.mandumah.com/Record/1472277"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572476"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12296</Words>
  <Characters>70092</Characters>
  <Application>Microsoft Office Word</Application>
  <DocSecurity>0</DocSecurity>
  <Lines>584</Lines>
  <Paragraphs>164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Eng. Ahmed Mahboub</cp:lastModifiedBy>
  <cp:revision>4</cp:revision>
  <cp:lastPrinted>2026-06-24T05:56:00Z</cp:lastPrinted>
  <dcterms:created xsi:type="dcterms:W3CDTF">2026-08-11T19:39:00Z</dcterms:created>
  <dcterms:modified xsi:type="dcterms:W3CDTF">2026-08-11T19:41:00Z</dcterms:modified>
</cp:coreProperties>
</file>