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7860161D" w:rsidR="00BE609B" w:rsidRPr="004C1AE1" w:rsidRDefault="00BE609B" w:rsidP="00BE609B">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5025F" w14:paraId="42F9CBE0" w14:textId="4104E405" w:rsidTr="0045025F">
        <w:tc>
          <w:tcPr>
            <w:tcW w:w="1763" w:type="dxa"/>
          </w:tcPr>
          <w:p w14:paraId="4059763A" w14:textId="6A53FEA7" w:rsidR="0045025F" w:rsidRPr="004B484B" w:rsidRDefault="0045025F" w:rsidP="0045025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43197712" w14:textId="0CFEB903" w:rsidR="0045025F" w:rsidRPr="004B484B" w:rsidRDefault="0045025F" w:rsidP="0045025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3AC6230" w14:textId="77C16CCD" w:rsidR="0045025F" w:rsidRDefault="0045025F" w:rsidP="0045025F">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Pr="004566ED">
              <w:rPr>
                <w:rFonts w:ascii="Sakkal Majalla" w:hAnsi="Sakkal Majalla" w:cs="Sakkal Majalla" w:hint="cs"/>
                <w:b/>
                <w:bCs/>
                <w:color w:val="365F91" w:themeColor="accent1" w:themeShade="BF"/>
                <w:sz w:val="36"/>
                <w:szCs w:val="36"/>
                <w:rtl/>
              </w:rPr>
              <w:t>هبه عبد الل</w:t>
            </w:r>
            <w:r w:rsidRPr="004566ED">
              <w:rPr>
                <w:rFonts w:ascii="Sakkal Majalla" w:hAnsi="Sakkal Majalla" w:cs="Sakkal Majalla" w:hint="eastAsia"/>
                <w:b/>
                <w:bCs/>
                <w:color w:val="365F91" w:themeColor="accent1" w:themeShade="BF"/>
                <w:sz w:val="36"/>
                <w:szCs w:val="36"/>
                <w:rtl/>
              </w:rPr>
              <w:t>ه</w:t>
            </w:r>
            <w:r w:rsidRPr="004566ED">
              <w:rPr>
                <w:rFonts w:ascii="Sakkal Majalla" w:hAnsi="Sakkal Majalla" w:cs="Sakkal Majalla" w:hint="cs"/>
                <w:b/>
                <w:bCs/>
                <w:color w:val="365F91" w:themeColor="accent1" w:themeShade="BF"/>
                <w:sz w:val="36"/>
                <w:szCs w:val="36"/>
                <w:rtl/>
              </w:rPr>
              <w:t xml:space="preserve"> المنيع</w:t>
            </w:r>
          </w:p>
        </w:tc>
      </w:tr>
      <w:tr w:rsidR="0045025F" w14:paraId="6FA7B4A8" w14:textId="02E32D0F" w:rsidTr="0045025F">
        <w:tc>
          <w:tcPr>
            <w:tcW w:w="1763" w:type="dxa"/>
          </w:tcPr>
          <w:p w14:paraId="040F1E28" w14:textId="335D4647" w:rsidR="0045025F" w:rsidRPr="004B484B" w:rsidRDefault="0045025F" w:rsidP="0045025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5025F" w:rsidRPr="004B484B" w:rsidRDefault="0045025F" w:rsidP="0045025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0443D63" w14:textId="5277EF21" w:rsidR="0045025F" w:rsidRDefault="0045025F" w:rsidP="0045025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45025F" w14:paraId="627B39DB" w14:textId="0373C5D2" w:rsidTr="0045025F">
        <w:tc>
          <w:tcPr>
            <w:tcW w:w="1763" w:type="dxa"/>
          </w:tcPr>
          <w:p w14:paraId="0FCA9608" w14:textId="2B6BE0D9" w:rsidR="0045025F" w:rsidRPr="004B484B" w:rsidRDefault="0045025F" w:rsidP="0045025F">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45025F" w:rsidRPr="004B484B" w:rsidRDefault="0045025F" w:rsidP="0045025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5E1DAC2A" w:rsidR="0045025F" w:rsidRDefault="0045025F" w:rsidP="0045025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45025F" w14:paraId="51860AEF" w14:textId="0FB5AA02" w:rsidTr="0045025F">
        <w:tc>
          <w:tcPr>
            <w:tcW w:w="1763" w:type="dxa"/>
          </w:tcPr>
          <w:p w14:paraId="2C6768A4" w14:textId="49EB9922" w:rsidR="0045025F" w:rsidRPr="004B484B" w:rsidRDefault="0045025F" w:rsidP="0045025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5025F" w:rsidRPr="004B484B" w:rsidRDefault="0045025F" w:rsidP="0045025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5025F" w:rsidRDefault="0045025F" w:rsidP="0045025F">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0362241A" w14:textId="1A304110" w:rsidR="0045025F" w:rsidRDefault="00883E09" w:rsidP="0045025F">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sidR="0045025F">
        <w:rPr>
          <w:rFonts w:ascii="Calibri" w:hAnsi="Calibri" w:cs="Calibri" w:hint="cs"/>
          <w:b/>
          <w:bCs/>
          <w:color w:val="FF0000"/>
          <w:sz w:val="28"/>
          <w:szCs w:val="28"/>
          <w:rtl/>
        </w:rPr>
        <w:t>14٤٧</w:t>
      </w:r>
      <w:r w:rsidR="0045025F" w:rsidRPr="00444B1D">
        <w:rPr>
          <w:rFonts w:ascii="Calibri" w:hAnsi="Calibri" w:cs="Calibri" w:hint="cs"/>
          <w:b/>
          <w:bCs/>
          <w:color w:val="FF0000"/>
          <w:sz w:val="28"/>
          <w:szCs w:val="28"/>
          <w:rtl/>
        </w:rPr>
        <w:t xml:space="preserve">ه </w:t>
      </w:r>
      <w:r w:rsidR="0045025F">
        <w:rPr>
          <w:rFonts w:ascii="Calibri" w:hAnsi="Calibri" w:cs="Calibri" w:hint="cs"/>
          <w:b/>
          <w:bCs/>
          <w:color w:val="FF0000"/>
          <w:sz w:val="28"/>
          <w:szCs w:val="28"/>
          <w:rtl/>
        </w:rPr>
        <w:t>-  202</w:t>
      </w:r>
      <w:r w:rsidR="0045025F">
        <w:rPr>
          <w:rFonts w:ascii="Calibri" w:hAnsi="Calibri" w:cs="Calibri" w:hint="cs"/>
          <w:b/>
          <w:bCs/>
          <w:color w:val="FF0000"/>
          <w:sz w:val="28"/>
          <w:szCs w:val="28"/>
          <w:rtl/>
        </w:rPr>
        <w:t>٦</w:t>
      </w:r>
      <w:r w:rsidR="0045025F">
        <w:rPr>
          <w:rFonts w:ascii="Calibri" w:hAnsi="Calibri" w:cs="Calibri" w:hint="cs"/>
          <w:b/>
          <w:bCs/>
          <w:color w:val="FF0000"/>
          <w:sz w:val="28"/>
          <w:szCs w:val="28"/>
          <w:rtl/>
        </w:rPr>
        <w:t xml:space="preserve"> م</w:t>
      </w:r>
    </w:p>
    <w:p w14:paraId="35CE0815" w14:textId="670FA01B" w:rsidR="00AD783C" w:rsidRDefault="00AD783C" w:rsidP="00B16B50">
      <w:pPr>
        <w:jc w:val="center"/>
        <w:rPr>
          <w:rFonts w:ascii="Calibri" w:hAnsi="Calibri" w:cs="Calibri"/>
          <w:b/>
          <w:bCs/>
          <w:color w:val="FF0000"/>
          <w:sz w:val="28"/>
          <w:szCs w:val="28"/>
        </w:rPr>
      </w:pP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086DF099" w14:textId="6BF9DC1E" w:rsid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Pr>
          <w:rFonts w:ascii="Simplified Arabic" w:hAnsi="Simplified Arabic" w:cs="Simplified Arabic"/>
        </w:rPr>
        <w:t>Masnita et al., 2024</w:t>
      </w:r>
      <w:r>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Pr>
          <w:rFonts w:ascii="Simplified Arabic" w:hAnsi="Simplified Arabic" w:cs="Simplified Arabic"/>
        </w:rPr>
        <w:t>Masnita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 xml:space="preserve">بذلك، </w:t>
      </w:r>
      <w:r>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076C837F" w14:textId="737A9949"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Pr>
          <w:rFonts w:ascii="Simplified Arabic" w:hAnsi="Simplified Arabic" w:cs="Simplified Arabic"/>
          <w:b/>
          <w:bCs/>
          <w:rtl/>
        </w:rPr>
        <w:t>الأهمية النظرية</w:t>
      </w:r>
    </w:p>
    <w:p w14:paraId="277CD4F7" w14:textId="25C98B6E"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3791BB5A" w14:textId="7B1230DB"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17F78135" w14:textId="27F3F759"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4BFC3B54" w14:textId="5811B5D6" w:rsidR="00F15ECE" w:rsidRDefault="00F15ECE">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167D41AB" w14:textId="45B5A8C6" w:rsidR="00F15ECE" w:rsidRPr="00F15ECE" w:rsidRDefault="00F15ECE">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3C5D7BFD" w14:textId="35E5005D" w:rsidR="000D3CD0" w:rsidRDefault="00F15ECE">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Pr>
          <w:rFonts w:ascii="Simplified Arabic" w:hAnsi="Simplified Arabic" w:cs="Simplified Arabic"/>
          <w:b/>
          <w:bCs/>
          <w:rtl/>
        </w:rPr>
        <w:t>الأهمية التطبيقية</w:t>
      </w:r>
    </w:p>
    <w:p w14:paraId="6972F30D" w14:textId="0E50BE2D"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79E32DDC" w14:textId="000C5331"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439F475" w14:textId="060E2519"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1A54DDAF" w14:textId="67415E10"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777E9322" w14:textId="51C279BB"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DDF652E" w14:textId="2CC4E6AF"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5335BB7B" w14:textId="78623436" w:rsidR="00F15ECE" w:rsidRDefault="00F15ECE">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11F58D7E" w14:textId="480BF5AD"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Pr>
          <w:rFonts w:ascii="Simplified Arabic" w:hAnsi="Simplified Arabic" w:cs="Simplified Arabic" w:hint="cs"/>
          <w:b/>
          <w:bCs/>
          <w:rtl/>
        </w:rPr>
        <w:lastRenderedPageBreak/>
        <w:t>نموذج الدراسة المقترح:</w:t>
      </w:r>
    </w:p>
    <w:p w14:paraId="5A3992AC" w14:textId="1555B010" w:rsidR="004104AA" w:rsidRPr="004104AA" w:rsidRDefault="004104AA" w:rsidP="004104A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منهجية الدراسة</w:t>
      </w:r>
      <w:r>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Pr>
          <w:rFonts w:ascii="Simplified Arabic" w:hAnsi="Simplified Arabic" w:cs="Simplified Arabic"/>
        </w:rPr>
        <w:t xml:space="preserve"> (Five-point Likert Scale)</w:t>
      </w:r>
      <w:r>
        <w:rPr>
          <w:rFonts w:ascii="Simplified Arabic" w:hAnsi="Simplified Arabic" w:cs="Simplified Arabic" w:hint="cs"/>
          <w:rtl/>
        </w:rPr>
        <w:t xml:space="preserve"> </w:t>
      </w:r>
      <w:r>
        <w:rPr>
          <w:rFonts w:ascii="Simplified Arabic" w:hAnsi="Simplified Arabic" w:cs="Simplified Arabic"/>
          <w:rtl/>
        </w:rPr>
        <w:t>(من "موافق بشدة" إلى "غير موافق بشدة")، لضمان دقة قياس استجابات المبحوثين حول متغيرات الدراسة</w:t>
      </w:r>
      <w:r>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Pr>
          <w:rFonts w:ascii="Simplified Arabic" w:hAnsi="Simplified Arabic" w:cs="Simplified Arabic"/>
          <w:rtl/>
        </w:rPr>
        <w:t>يتمثل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Pr>
          <w:rFonts w:ascii="Simplified Arabic" w:hAnsi="Simplified Arabic" w:cs="Simplified Arabic"/>
        </w:rPr>
        <w:t>Non-probability Sampling</w:t>
      </w:r>
      <w:r>
        <w:rPr>
          <w:rFonts w:ascii="Simplified Arabic" w:hAnsi="Simplified Arabic" w:cs="Simplified Arabic"/>
          <w:rtl/>
        </w:rPr>
        <w:t>)، وتحديداً أسلوب العينة الميسرة (</w:t>
      </w:r>
      <w:r>
        <w:rPr>
          <w:rFonts w:ascii="Simplified Arabic" w:hAnsi="Simplified Arabic" w:cs="Simplified Arabic"/>
        </w:rPr>
        <w:t>Convenience Sampling</w:t>
      </w:r>
      <w:r>
        <w:rPr>
          <w:rFonts w:ascii="Simplified Arabic" w:hAnsi="Simplified Arabic" w:cs="Simplified Arabic"/>
          <w:rtl/>
        </w:rPr>
        <w:t>) وكرة الثلج (</w:t>
      </w:r>
      <w:r>
        <w:rPr>
          <w:rFonts w:ascii="Simplified Arabic" w:hAnsi="Simplified Arabic" w:cs="Simplified Arabic"/>
        </w:rPr>
        <w:t>Snowball Sampling</w:t>
      </w:r>
      <w:r>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Pr>
          <w:rFonts w:ascii="Simplified Arabic" w:hAnsi="Simplified Arabic" w:cs="Simplified Arabic"/>
        </w:rPr>
        <w:t>G*Power</w:t>
      </w:r>
      <w:r>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Pr>
          <w:rFonts w:ascii="Simplified Arabic" w:hAnsi="Simplified Arabic" w:cs="Simplified Arabic" w:hint="cs"/>
          <w:rtl/>
        </w:rPr>
        <w:t>يساعد بالحصول على</w:t>
      </w:r>
      <w:r>
        <w:rPr>
          <w:rFonts w:ascii="Simplified Arabic" w:hAnsi="Simplified Arabic" w:cs="Simplified Arabic"/>
          <w:rtl/>
        </w:rPr>
        <w:t xml:space="preserve"> تمثيل</w:t>
      </w:r>
      <w:r>
        <w:rPr>
          <w:rFonts w:ascii="Simplified Arabic" w:hAnsi="Simplified Arabic" w:cs="Simplified Arabic" w:hint="cs"/>
          <w:rtl/>
        </w:rPr>
        <w:t xml:space="preserve"> </w:t>
      </w:r>
      <w:r>
        <w:rPr>
          <w:rFonts w:ascii="Simplified Arabic" w:hAnsi="Simplified Arabic" w:cs="Simplified Arabic"/>
          <w:rtl/>
        </w:rPr>
        <w:t>إحصائي مقبول</w:t>
      </w:r>
      <w:r>
        <w:rPr>
          <w:rFonts w:ascii="Simplified Arabic" w:hAnsi="Simplified Arabic" w:cs="Simplified Arabic" w:hint="cs"/>
          <w:rtl/>
        </w:rPr>
        <w:t xml:space="preserve"> </w:t>
      </w:r>
      <w:r>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Pr>
          <w:rFonts w:ascii="Simplified Arabic" w:hAnsi="Simplified Arabic" w:cs="Simplified Arabic"/>
        </w:rPr>
        <w:t xml:space="preserve"> (PLS-SEM) </w:t>
      </w:r>
      <w:r>
        <w:rPr>
          <w:rFonts w:ascii="Simplified Arabic" w:hAnsi="Simplified Arabic" w:cs="Simplified Arabic"/>
          <w:rtl/>
        </w:rPr>
        <w:t>باستخدام برنامج</w:t>
      </w:r>
      <w:r>
        <w:rPr>
          <w:rFonts w:ascii="Simplified Arabic" w:hAnsi="Simplified Arabic" w:cs="Simplified Arabic"/>
        </w:rPr>
        <w:t xml:space="preserve"> (SmartPLS 4)</w:t>
      </w:r>
      <w:r>
        <w:rPr>
          <w:rFonts w:ascii="Simplified Arabic" w:hAnsi="Simplified Arabic" w:cs="Simplified Arabic"/>
          <w:rtl/>
        </w:rPr>
        <w:t>، وذلك للمبررات التالية</w:t>
      </w:r>
      <w:r>
        <w:rPr>
          <w:rFonts w:ascii="Simplified Arabic" w:hAnsi="Simplified Arabic" w:cs="Simplified Arabic"/>
        </w:rPr>
        <w:t>:</w:t>
      </w:r>
    </w:p>
    <w:p w14:paraId="0AD676E9" w14:textId="41BF5FC2" w:rsidR="00D9067F" w:rsidRPr="00D9067F" w:rsidRDefault="00D9067F">
      <w:pPr>
        <w:numPr>
          <w:ilvl w:val="0"/>
          <w:numId w:val="7"/>
        </w:numPr>
        <w:bidi/>
        <w:rPr>
          <w:rFonts w:ascii="Simplified Arabic" w:hAnsi="Simplified Arabic" w:cs="Simplified Arabic"/>
          <w:rtl/>
        </w:rPr>
      </w:pPr>
      <w:r>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Pr>
          <w:rFonts w:ascii="Simplified Arabic" w:hAnsi="Simplified Arabic" w:cs="Simplified Arabic"/>
        </w:rPr>
        <w:t>.</w:t>
      </w:r>
    </w:p>
    <w:p w14:paraId="6F58172A" w14:textId="65C9730F" w:rsidR="00D9067F" w:rsidRPr="00D9067F" w:rsidRDefault="00D9067F">
      <w:pPr>
        <w:numPr>
          <w:ilvl w:val="0"/>
          <w:numId w:val="7"/>
        </w:numPr>
        <w:bidi/>
        <w:rPr>
          <w:rFonts w:ascii="Simplified Arabic" w:hAnsi="Simplified Arabic" w:cs="Simplified Arabic"/>
          <w:rtl/>
        </w:rPr>
      </w:pPr>
      <w:r>
        <w:rPr>
          <w:rFonts w:ascii="Simplified Arabic" w:hAnsi="Simplified Arabic" w:cs="Simplified Arabic"/>
          <w:rtl/>
        </w:rPr>
        <w:t>التحقق من الصدق البنائي</w:t>
      </w:r>
      <w:r>
        <w:rPr>
          <w:rFonts w:ascii="Simplified Arabic" w:hAnsi="Simplified Arabic" w:cs="Simplified Arabic"/>
        </w:rPr>
        <w:t xml:space="preserve"> (Construct Validity) </w:t>
      </w:r>
      <w:r>
        <w:rPr>
          <w:rFonts w:ascii="Simplified Arabic" w:hAnsi="Simplified Arabic" w:cs="Simplified Arabic"/>
          <w:rtl/>
        </w:rPr>
        <w:t>عبر التحليل العاملي التوكيدي</w:t>
      </w:r>
      <w:r>
        <w:rPr>
          <w:rFonts w:ascii="Simplified Arabic" w:hAnsi="Simplified Arabic" w:cs="Simplified Arabic"/>
        </w:rPr>
        <w:t xml:space="preserve"> (CFA).</w:t>
      </w:r>
    </w:p>
    <w:p w14:paraId="46A00CF3" w14:textId="65F1A651" w:rsidR="00D9067F" w:rsidRDefault="00D9067F">
      <w:pPr>
        <w:numPr>
          <w:ilvl w:val="0"/>
          <w:numId w:val="7"/>
        </w:numPr>
        <w:bidi/>
        <w:rPr>
          <w:rFonts w:ascii="Simplified Arabic" w:hAnsi="Simplified Arabic" w:cs="Simplified Arabic"/>
        </w:rPr>
      </w:pPr>
      <w:r>
        <w:rPr>
          <w:rFonts w:ascii="Simplified Arabic" w:hAnsi="Simplified Arabic" w:cs="Simplified Arabic"/>
          <w:rtl/>
        </w:rPr>
        <w:t>قياس جودة النموذج الخارجي من خلال اختبارات الثبات المركب (</w:t>
      </w:r>
      <w:r>
        <w:rPr>
          <w:rFonts w:ascii="Simplified Arabic" w:hAnsi="Simplified Arabic" w:cs="Simplified Arabic"/>
        </w:rPr>
        <w:t>Composite Reliability – CR</w:t>
      </w:r>
      <w:r>
        <w:rPr>
          <w:rFonts w:ascii="Simplified Arabic" w:hAnsi="Simplified Arabic" w:cs="Simplified Arabic"/>
          <w:rtl/>
        </w:rPr>
        <w:t>)، ومتوسط التباين المستخرج (</w:t>
      </w:r>
      <w:r>
        <w:rPr>
          <w:rFonts w:ascii="Simplified Arabic" w:hAnsi="Simplified Arabic" w:cs="Simplified Arabic"/>
        </w:rPr>
        <w:t>Average Variance Extracted – AVE</w:t>
      </w:r>
      <w:r>
        <w:rPr>
          <w:rFonts w:ascii="Simplified Arabic" w:hAnsi="Simplified Arabic" w:cs="Simplified Arabic"/>
          <w:rtl/>
        </w:rPr>
        <w:t>) لصدق التقارب، واختبار (</w:t>
      </w:r>
      <w:r>
        <w:rPr>
          <w:rFonts w:ascii="Simplified Arabic" w:hAnsi="Simplified Arabic" w:cs="Simplified Arabic"/>
        </w:rPr>
        <w:t>HTMT</w:t>
      </w:r>
      <w:r>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39B4380B" w14:textId="5A80FFBF"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pPr>
        <w:numPr>
          <w:ilvl w:val="0"/>
          <w:numId w:val="6"/>
        </w:numPr>
        <w:bidi/>
        <w:spacing w:after="0"/>
        <w:rPr>
          <w:rFonts w:ascii="Simplified Arabic" w:hAnsi="Simplified Arabic" w:cs="Simplified Arabic"/>
          <w:rtl/>
        </w:rPr>
      </w:pPr>
      <w:r>
        <w:rPr>
          <w:rFonts w:ascii="Simplified Arabic" w:hAnsi="Simplified Arabic" w:cs="Simplified Arabic"/>
          <w:rtl/>
        </w:rPr>
        <w:lastRenderedPageBreak/>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B48C7AE" w14:textId="5B0FDD61"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352AA7B4" w14:textId="279179CD"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0C197278" w14:textId="47457BF0"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Pr>
          <w:rFonts w:ascii="Simplified Arabic" w:hAnsi="Simplified Arabic" w:cs="Simplified Arabic"/>
        </w:rPr>
        <w:t>Engagement</w:t>
      </w:r>
      <w:r>
        <w:rPr>
          <w:rFonts w:ascii="Simplified Arabic" w:hAnsi="Simplified Arabic" w:cs="Simplified Arabic"/>
          <w:rtl/>
        </w:rPr>
        <w:t xml:space="preserve">، دقة </w:t>
      </w:r>
      <w:r>
        <w:rPr>
          <w:rFonts w:ascii="Simplified Arabic" w:hAnsi="Simplified Arabic" w:cs="Simplified Arabic"/>
        </w:rPr>
        <w:t>Targeting</w:t>
      </w:r>
      <w:r>
        <w:rPr>
          <w:rFonts w:ascii="Simplified Arabic" w:hAnsi="Simplified Arabic" w:cs="Simplified Arabic"/>
          <w:rtl/>
        </w:rPr>
        <w:t xml:space="preserve">، والعائد </w:t>
      </w:r>
      <w:r>
        <w:rPr>
          <w:rFonts w:ascii="Simplified Arabic" w:hAnsi="Simplified Arabic" w:cs="Simplified Arabic"/>
        </w:rPr>
        <w:t>ROMI</w:t>
      </w:r>
      <w:r>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6D7EAC5E" w14:textId="67FA8BC5"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Pr>
          <w:rFonts w:ascii="Simplified Arabic" w:hAnsi="Simplified Arabic" w:cs="Simplified Arabic"/>
          <w:b/>
          <w:bCs/>
          <w:rtl/>
        </w:rPr>
        <w:t>6. الدوافع والعوائق</w:t>
      </w:r>
    </w:p>
    <w:p w14:paraId="411DAAA1" w14:textId="7029EAA7" w:rsidR="00A366CE" w:rsidRPr="00143016" w:rsidRDefault="00A366CE">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pPr>
        <w:numPr>
          <w:ilvl w:val="0"/>
          <w:numId w:val="6"/>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(Kılınç &amp; Keçecioğlu, 2024)</w:t>
      </w:r>
      <w:r>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pPr>
        <w:numPr>
          <w:ilvl w:val="0"/>
          <w:numId w:val="1"/>
        </w:numPr>
        <w:bidi/>
        <w:rPr>
          <w:rFonts w:ascii="Simplified Arabic" w:hAnsi="Simplified Arabic" w:cs="Simplified Arabic"/>
        </w:rPr>
      </w:pPr>
      <w:r>
        <w:rPr>
          <w:rFonts w:ascii="Simplified Arabic" w:hAnsi="Simplified Arabic" w:cs="Simplified Arabic"/>
          <w:rtl/>
        </w:rPr>
        <w:t>الحدود الزمانية:</w:t>
      </w:r>
      <w:r>
        <w:rPr>
          <w:rFonts w:ascii="Simplified Arabic" w:hAnsi="Simplified Arabic" w:cs="Simplified Arabic" w:hint="cs"/>
          <w:rtl/>
        </w:rPr>
        <w:t xml:space="preserve"> </w:t>
      </w:r>
      <w:r>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54106F1C" w14:textId="77777777" w:rsidR="00A20BAB" w:rsidRPr="00A20BAB" w:rsidRDefault="00A20BAB" w:rsidP="00A20BAB">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158378D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6FC07B24" w14:textId="028671A2"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4641118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Pr>
          <w:rFonts w:ascii="Simplified Arabic" w:hAnsi="Simplified Arabic" w:cs="Simplified Arabic"/>
        </w:rPr>
        <w:t>Kılınç &amp; Keçecio</w:t>
      </w:r>
      <w:r>
        <w:rPr>
          <w:rFonts w:ascii="Cambria" w:hAnsi="Cambria" w:cs="Cambria"/>
        </w:rPr>
        <w:t>ğ</w:t>
      </w:r>
      <w:r>
        <w:rPr>
          <w:rFonts w:ascii="Simplified Arabic" w:hAnsi="Simplified Arabic" w:cs="Simplified Arabic"/>
        </w:rPr>
        <w:t>lu,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 xml:space="preserve"> </w:t>
      </w:r>
      <w:r>
        <w:rPr>
          <w:rFonts w:ascii="Simplified Arabic" w:hAnsi="Simplified Arabic" w:cs="Simplified Arabic"/>
          <w:rtl/>
        </w:rPr>
        <w:t>ويمكن توضيح هذا الفرق في ثلاثة أبعاد مترابطة:</w:t>
      </w:r>
    </w:p>
    <w:p w14:paraId="2477133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07281D4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Pr>
          <w:rFonts w:ascii="Simplified Arabic" w:hAnsi="Simplified Arabic" w:cs="Simplified Arabic"/>
        </w:rPr>
        <w:t>Kshetri et al., 2023</w:t>
      </w:r>
      <w:r>
        <w:rPr>
          <w:rFonts w:ascii="Simplified Arabic" w:hAnsi="Simplified Arabic" w:cs="Simplified Arabic"/>
          <w:rtl/>
        </w:rPr>
        <w:t>).</w:t>
      </w:r>
    </w:p>
    <w:p w14:paraId="28F8553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59EA9EDC" w14:textId="7AC1FF28"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3EFD39D7" w14:textId="77777777" w:rsidR="00A20BAB" w:rsidRPr="00A20BAB" w:rsidRDefault="00A20BAB">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13A0B018" w14:textId="1AA7637B"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3748A07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Pr>
          <w:rFonts w:ascii="Simplified Arabic" w:hAnsi="Simplified Arabic" w:cs="Simplified Arabic"/>
        </w:rPr>
        <w:t>Kshetri et al., 2023</w:t>
      </w:r>
      <w:r>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03F4249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Pr>
          <w:rFonts w:ascii="Simplified Arabic" w:hAnsi="Simplified Arabic" w:cs="Simplified Arabic"/>
        </w:rPr>
        <w:t>Dimitrieska, 2024</w:t>
      </w:r>
      <w:r>
        <w:rPr>
          <w:rFonts w:ascii="Simplified Arabic" w:hAnsi="Simplified Arabic" w:cs="Simplified Arabic"/>
          <w:rtl/>
        </w:rPr>
        <w:t>).</w:t>
      </w:r>
    </w:p>
    <w:p w14:paraId="482C26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4DBEB42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r>
        <w:rPr>
          <w:rFonts w:ascii="Simplified Arabic" w:hAnsi="Simplified Arabic" w:cs="Simplified Arabic"/>
        </w:rPr>
        <w:t>Kujore et al., 2025</w:t>
      </w:r>
      <w:r>
        <w:rPr>
          <w:rFonts w:ascii="Simplified Arabic" w:hAnsi="Simplified Arabic" w:cs="Simplified Arabic"/>
          <w:rtl/>
        </w:rPr>
        <w:t>).</w:t>
      </w:r>
    </w:p>
    <w:p w14:paraId="2812DC0B" w14:textId="30FFE5D2"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7690669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1CBC8B78"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7DC29895"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D648E95"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7E0FC533"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5E9C05E0" w14:textId="77777777" w:rsidR="007F6645" w:rsidRPr="00A20BAB" w:rsidRDefault="007F6645" w:rsidP="007F6645">
      <w:pPr>
        <w:bidi/>
        <w:jc w:val="both"/>
        <w:rPr>
          <w:rFonts w:ascii="Simplified Arabic" w:hAnsi="Simplified Arabic" w:cs="Simplified Arabic"/>
          <w:rtl/>
        </w:rPr>
      </w:pPr>
    </w:p>
    <w:p w14:paraId="3E0D313C"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1B26A071" w14:textId="6A83C5A2"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33E5DA2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61E9C5A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7E4F3670"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600E1C2D" w14:textId="77777777" w:rsidR="007F6645" w:rsidRDefault="007F6645" w:rsidP="007F6645">
      <w:pPr>
        <w:bidi/>
        <w:jc w:val="both"/>
        <w:rPr>
          <w:rFonts w:ascii="Simplified Arabic" w:hAnsi="Simplified Arabic" w:cs="Simplified Arabic"/>
          <w:rtl/>
        </w:rPr>
      </w:pPr>
    </w:p>
    <w:p w14:paraId="177049D9" w14:textId="77777777" w:rsidR="007F6645" w:rsidRPr="00A20BAB" w:rsidRDefault="007F6645" w:rsidP="007F6645">
      <w:pPr>
        <w:bidi/>
        <w:jc w:val="both"/>
        <w:rPr>
          <w:rFonts w:ascii="Simplified Arabic" w:hAnsi="Simplified Arabic" w:cs="Simplified Arabic"/>
          <w:rtl/>
        </w:rPr>
      </w:pPr>
    </w:p>
    <w:p w14:paraId="3FE8513C"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4E81500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57DACCD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016C82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3509524A"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Kshetri et al., 2023</w:t>
      </w:r>
      <w:r>
        <w:rPr>
          <w:rFonts w:ascii="Simplified Arabic" w:hAnsi="Simplified Arabic" w:cs="Simplified Arabic"/>
          <w:rtl/>
        </w:rPr>
        <w:t>).</w:t>
      </w:r>
    </w:p>
    <w:p w14:paraId="41A6BDB8"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r>
        <w:rPr>
          <w:rFonts w:ascii="Simplified Arabic" w:hAnsi="Simplified Arabic" w:cs="Simplified Arabic"/>
        </w:rPr>
        <w:t>Dimitrieska,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34C917B5"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r>
        <w:rPr>
          <w:rFonts w:ascii="Simplified Arabic" w:hAnsi="Simplified Arabic" w:cs="Simplified Arabic"/>
        </w:rPr>
        <w:t>Kujore et al., 2025</w:t>
      </w:r>
      <w:r>
        <w:rPr>
          <w:rFonts w:ascii="Simplified Arabic" w:hAnsi="Simplified Arabic" w:cs="Simplified Arabic"/>
          <w:rtl/>
        </w:rPr>
        <w:t>).</w:t>
      </w:r>
    </w:p>
    <w:p w14:paraId="52D34EC5" w14:textId="7E17E68A" w:rsidR="007F6645" w:rsidRDefault="00A20BAB" w:rsidP="00E04FE4">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B7CE7EF" w14:textId="77777777" w:rsidR="00E04FE4" w:rsidRDefault="00E04FE4" w:rsidP="00E04FE4">
      <w:pPr>
        <w:bidi/>
        <w:jc w:val="both"/>
        <w:rPr>
          <w:rFonts w:ascii="Simplified Arabic" w:hAnsi="Simplified Arabic" w:cs="Simplified Arabic"/>
          <w:rtl/>
        </w:rPr>
      </w:pPr>
    </w:p>
    <w:p w14:paraId="55CF98EB" w14:textId="77777777" w:rsidR="00E04FE4" w:rsidRDefault="00E04FE4" w:rsidP="00E04FE4">
      <w:pPr>
        <w:bidi/>
        <w:jc w:val="both"/>
        <w:rPr>
          <w:rFonts w:ascii="Simplified Arabic" w:hAnsi="Simplified Arabic" w:cs="Simplified Arabic"/>
          <w:rtl/>
        </w:rPr>
      </w:pPr>
    </w:p>
    <w:p w14:paraId="28F1322C" w14:textId="77777777" w:rsidR="00E04FE4" w:rsidRPr="00A20BAB" w:rsidRDefault="00E04FE4" w:rsidP="00E04FE4">
      <w:pPr>
        <w:bidi/>
        <w:jc w:val="both"/>
        <w:rPr>
          <w:rFonts w:ascii="Simplified Arabic" w:hAnsi="Simplified Arabic" w:cs="Simplified Arabic"/>
          <w:rtl/>
        </w:rPr>
      </w:pPr>
    </w:p>
    <w:p w14:paraId="76B6F15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5. دعم مرحلة التنفيذ والمتابعة والتحسين أثناء الحملة</w:t>
      </w:r>
    </w:p>
    <w:p w14:paraId="6354D57E"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362F7A5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089382E4"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Pr>
          <w:rFonts w:ascii="Simplified Arabic" w:hAnsi="Simplified Arabic" w:cs="Simplified Arabic"/>
        </w:rPr>
        <w:t>Kshetri et al., 2023</w:t>
      </w:r>
      <w:r>
        <w:rPr>
          <w:rFonts w:ascii="Simplified Arabic" w:hAnsi="Simplified Arabic" w:cs="Simplified Arabic"/>
          <w:rtl/>
        </w:rPr>
        <w:t>).</w:t>
      </w:r>
      <w:r>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9196FE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Pr>
          <w:rFonts w:ascii="Simplified Arabic" w:hAnsi="Simplified Arabic" w:cs="Simplified Arabic"/>
        </w:rPr>
        <w:t>Dimitrieska,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6F2B6B5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Pr>
          <w:rFonts w:ascii="Simplified Arabic" w:hAnsi="Simplified Arabic" w:cs="Simplified Arabic"/>
        </w:rPr>
        <w:t>Kujore et al., 2025</w:t>
      </w:r>
      <w:r>
        <w:rPr>
          <w:rFonts w:ascii="Simplified Arabic" w:hAnsi="Simplified Arabic" w:cs="Simplified Arabic"/>
          <w:rtl/>
        </w:rPr>
        <w:t xml:space="preserve">). </w:t>
      </w:r>
      <w:r>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6FC2DEB8"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ثانيًا: التخصيص الدقيق للمحتوى واستهداف الجمهور المناسب</w:t>
      </w:r>
    </w:p>
    <w:p w14:paraId="21E73680"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501B02E2"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374A7BD5"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3F7D6B27"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r>
        <w:rPr>
          <w:rFonts w:ascii="Simplified Arabic" w:hAnsi="Simplified Arabic" w:cs="Simplified Arabic"/>
        </w:rPr>
        <w:t>Kshetri et al., 2023</w:t>
      </w:r>
      <w:r>
        <w:rPr>
          <w:rFonts w:ascii="Simplified Arabic" w:hAnsi="Simplified Arabic" w:cs="Simplified Arabic"/>
          <w:rtl/>
        </w:rPr>
        <w:t>).</w:t>
      </w:r>
    </w:p>
    <w:p w14:paraId="498489A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7CA21812"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7182582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4396ED1D" w14:textId="77777777" w:rsidR="00A20BAB" w:rsidRPr="00A20BAB" w:rsidRDefault="00A20BAB">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101358CA" w14:textId="77777777" w:rsidR="00A20BAB" w:rsidRPr="00A20BAB" w:rsidRDefault="00A20BAB">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5141FC66" w14:textId="77777777" w:rsidR="00A20BAB" w:rsidRDefault="00A20BAB">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54C37392" w14:textId="77777777" w:rsidR="00E04FE4" w:rsidRDefault="00E04FE4" w:rsidP="00E04FE4">
      <w:pPr>
        <w:bidi/>
        <w:jc w:val="both"/>
        <w:rPr>
          <w:rFonts w:ascii="Simplified Arabic" w:hAnsi="Simplified Arabic" w:cs="Simplified Arabic"/>
          <w:rtl/>
        </w:rPr>
      </w:pPr>
    </w:p>
    <w:p w14:paraId="46FD8CCE" w14:textId="77777777" w:rsidR="00E04FE4" w:rsidRPr="00A20BAB" w:rsidRDefault="00E04FE4" w:rsidP="00E04FE4">
      <w:pPr>
        <w:bidi/>
        <w:jc w:val="both"/>
        <w:rPr>
          <w:rFonts w:ascii="Simplified Arabic" w:hAnsi="Simplified Arabic" w:cs="Simplified Arabic"/>
          <w:rtl/>
        </w:rPr>
      </w:pPr>
    </w:p>
    <w:p w14:paraId="6B7CA5A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lastRenderedPageBreak/>
        <w:t>المطلب الرابع: التحديات والأخلاقيات</w:t>
      </w:r>
    </w:p>
    <w:p w14:paraId="27ECC8C6"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2556E50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2F0A35B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35BBB0F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6EE3210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1A7667AE"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430D855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78C0FDB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1ED3697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4D459DC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2E9E70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0F5BD6A1"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77FA2000"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764C2DC7" w14:textId="77777777" w:rsidR="00E04FE4" w:rsidRDefault="00E04FE4" w:rsidP="00E04FE4">
      <w:pPr>
        <w:bidi/>
        <w:jc w:val="both"/>
        <w:rPr>
          <w:rFonts w:ascii="Simplified Arabic" w:hAnsi="Simplified Arabic" w:cs="Simplified Arabic"/>
          <w:rtl/>
        </w:rPr>
      </w:pPr>
    </w:p>
    <w:p w14:paraId="1938A051" w14:textId="77777777"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2C6B04FE"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20AB40C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64E0F2D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24D0EA7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Pr>
          <w:rFonts w:ascii="Simplified Arabic" w:hAnsi="Simplified Arabic" w:cs="Simplified Arabic"/>
        </w:rPr>
        <w:t>Kshetri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DBF12B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263F027A"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5A4EDB1C"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1E38A461"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7E06E39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69562D8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2A1EC428"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7957FA02"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r>
        <w:rPr>
          <w:rFonts w:ascii="Simplified Arabic" w:hAnsi="Simplified Arabic" w:cs="Simplified Arabic"/>
        </w:rPr>
        <w:t>Beyari</w:t>
      </w:r>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F1F29DE"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9960F5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r>
        <w:rPr>
          <w:rFonts w:ascii="Simplified Arabic" w:hAnsi="Simplified Arabic" w:cs="Simplified Arabic"/>
        </w:rPr>
        <w:t>Kshetri et al., 2023</w:t>
      </w:r>
      <w:r>
        <w:rPr>
          <w:rFonts w:ascii="Simplified Arabic" w:hAnsi="Simplified Arabic" w:cs="Simplified Arabic"/>
          <w:rtl/>
        </w:rPr>
        <w:t>).</w:t>
      </w:r>
    </w:p>
    <w:p w14:paraId="7CD6CFA5"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w:t>
      </w:r>
    </w:p>
    <w:p w14:paraId="57E8EDBE" w14:textId="77777777" w:rsidR="00E04FE4" w:rsidRPr="00E04FE4" w:rsidRDefault="00E04FE4" w:rsidP="00E04FE4">
      <w:pPr>
        <w:bidi/>
        <w:jc w:val="both"/>
        <w:rPr>
          <w:rFonts w:ascii="Simplified Arabic" w:hAnsi="Simplified Arabic" w:cs="Simplified Arabic"/>
          <w:rtl/>
        </w:rPr>
      </w:pPr>
    </w:p>
    <w:p w14:paraId="1DF5752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6C9C3EE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r>
        <w:rPr>
          <w:rFonts w:ascii="Simplified Arabic" w:hAnsi="Simplified Arabic" w:cs="Simplified Arabic"/>
        </w:rPr>
        <w:t>Masnita et al., 2024</w:t>
      </w:r>
      <w:r>
        <w:rPr>
          <w:rFonts w:ascii="Simplified Arabic" w:hAnsi="Simplified Arabic" w:cs="Simplified Arabic"/>
          <w:rtl/>
        </w:rPr>
        <w:t>).</w:t>
      </w:r>
    </w:p>
    <w:p w14:paraId="4126B0D6" w14:textId="77777777" w:rsidR="00E04FE4" w:rsidRDefault="00E04FE4" w:rsidP="00E04FE4">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7E426446" w14:textId="77777777" w:rsidR="00915B55" w:rsidRDefault="00915B55" w:rsidP="00915B55">
      <w:pPr>
        <w:bidi/>
        <w:jc w:val="both"/>
        <w:rPr>
          <w:rFonts w:ascii="Simplified Arabic" w:hAnsi="Simplified Arabic" w:cs="Simplified Arabic"/>
          <w:rtl/>
        </w:rPr>
      </w:pPr>
    </w:p>
    <w:p w14:paraId="2F984AE7" w14:textId="77777777" w:rsidR="00915B55" w:rsidRPr="00E04FE4" w:rsidRDefault="00915B55" w:rsidP="00915B55">
      <w:pPr>
        <w:bidi/>
        <w:jc w:val="both"/>
        <w:rPr>
          <w:rFonts w:ascii="Simplified Arabic" w:hAnsi="Simplified Arabic" w:cs="Simplified Arabic"/>
          <w:rtl/>
        </w:rPr>
      </w:pPr>
    </w:p>
    <w:p w14:paraId="045AD823"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lastRenderedPageBreak/>
        <w:t>أولًا: نقص المهارات والمعرفة التقنية</w:t>
      </w:r>
    </w:p>
    <w:p w14:paraId="2C227AC0"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r>
        <w:rPr>
          <w:rFonts w:ascii="Simplified Arabic" w:hAnsi="Simplified Arabic" w:cs="Simplified Arabic"/>
        </w:rPr>
        <w:t>Kshetri et al., 2023</w:t>
      </w:r>
      <w:r>
        <w:rPr>
          <w:rFonts w:ascii="Simplified Arabic" w:hAnsi="Simplified Arabic" w:cs="Simplified Arabic"/>
          <w:rtl/>
        </w:rPr>
        <w:t>).</w:t>
      </w:r>
    </w:p>
    <w:p w14:paraId="41CBEEE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4798842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30A0A440"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Pr>
          <w:rFonts w:ascii="Simplified Arabic" w:hAnsi="Simplified Arabic" w:cs="Simplified Arabic"/>
        </w:rPr>
        <w:t>Masnita et al., 2024</w:t>
      </w:r>
      <w:r>
        <w:rPr>
          <w:rFonts w:ascii="Simplified Arabic" w:hAnsi="Simplified Arabic" w:cs="Simplified Arabic"/>
          <w:rtl/>
        </w:rPr>
        <w:t>).</w:t>
      </w:r>
    </w:p>
    <w:p w14:paraId="69D6192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55904A6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1B844690"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C93CBA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7B9F13C0" w14:textId="007E5C15" w:rsidR="00E04FE4" w:rsidRDefault="00E04FE4" w:rsidP="00915B55">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598BE9C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6793F5F1"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Pr>
          <w:rFonts w:ascii="Simplified Arabic" w:hAnsi="Simplified Arabic" w:cs="Simplified Arabic"/>
        </w:rPr>
        <w:t>Kshetri et al., 2023</w:t>
      </w:r>
      <w:r>
        <w:rPr>
          <w:rFonts w:ascii="Simplified Arabic" w:hAnsi="Simplified Arabic" w:cs="Simplified Arabic"/>
          <w:rtl/>
        </w:rPr>
        <w:t>).</w:t>
      </w:r>
    </w:p>
    <w:p w14:paraId="324F146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04B21A80"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Pr>
          <w:rFonts w:ascii="Simplified Arabic" w:hAnsi="Simplified Arabic" w:cs="Simplified Arabic"/>
        </w:rPr>
        <w:t>Masnita et al., 2024</w:t>
      </w:r>
      <w:r>
        <w:rPr>
          <w:rFonts w:ascii="Simplified Arabic" w:hAnsi="Simplified Arabic" w:cs="Simplified Arabic"/>
          <w:rtl/>
        </w:rPr>
        <w:t>).</w:t>
      </w:r>
    </w:p>
    <w:p w14:paraId="3FAF616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rtl/>
        </w:rPr>
        <w:t>).</w:t>
      </w:r>
    </w:p>
    <w:p w14:paraId="4637F858"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6C3F1897"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4B9F43C7"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37F80AED"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2ED8213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347E705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5EAF06C7"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5AC87B6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3F5C11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hint="cs"/>
          <w:rtl/>
        </w:rPr>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r>
        <w:rPr>
          <w:rFonts w:ascii="Simplified Arabic" w:hAnsi="Simplified Arabic" w:cs="Simplified Arabic"/>
        </w:rPr>
        <w:t>Kshetri et al., 2023</w:t>
      </w:r>
      <w:r>
        <w:rPr>
          <w:rFonts w:ascii="Simplified Arabic" w:hAnsi="Simplified Arabic" w:cs="Simplified Arabic"/>
          <w:rtl/>
        </w:rPr>
        <w:t>).</w:t>
      </w:r>
    </w:p>
    <w:p w14:paraId="589C5B4F" w14:textId="77777777" w:rsidR="00E04FE4" w:rsidRPr="00EB385F" w:rsidRDefault="00E04FE4" w:rsidP="00E04FE4">
      <w:pPr>
        <w:bidi/>
        <w:jc w:val="both"/>
        <w:rPr>
          <w:rFonts w:ascii="Simplified Arabic" w:hAnsi="Simplified Arabic" w:cs="Simplified Arabic"/>
          <w:sz w:val="20"/>
          <w:szCs w:val="20"/>
          <w:rtl/>
        </w:rPr>
      </w:pPr>
    </w:p>
    <w:p w14:paraId="0167CB3B"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05EC4EA2"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5591592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4416B46D"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3614801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4B8362BA"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lastRenderedPageBreak/>
        <w:t>توسع الإرشادات والسياسات الوطنية المنظمة للاستخدام المسؤول.</w:t>
      </w:r>
    </w:p>
    <w:p w14:paraId="39BF45D5"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79E6C65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25538F6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04067F7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085433F9"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C9601B5" w14:textId="3A847841" w:rsidR="00E04FE4" w:rsidRPr="00E04FE4" w:rsidRDefault="00915B55" w:rsidP="00E04FE4">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1CC5A1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7D88331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6D1C6619"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2) تصاعد أهمية التخصيص وتجربة العميل</w:t>
      </w:r>
    </w:p>
    <w:p w14:paraId="7585B335"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r>
        <w:rPr>
          <w:rFonts w:ascii="Simplified Arabic" w:hAnsi="Simplified Arabic" w:cs="Simplified Arabic"/>
        </w:rPr>
        <w:t>Beyari, 2025</w:t>
      </w:r>
      <w:r>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2DC449B5" w14:textId="07061CF3" w:rsidR="00E04FE4" w:rsidRDefault="00E04FE4" w:rsidP="00915B55">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77777777" w:rsidR="00915B55" w:rsidRPr="00915B55" w:rsidRDefault="00915B55" w:rsidP="00915B55">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026AE8A"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4702BE7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4F52EA39"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Pr>
          <w:rFonts w:ascii="Simplified Arabic" w:hAnsi="Simplified Arabic" w:cs="Simplified Arabic"/>
        </w:rPr>
        <w:t>Kshetri et al., 2023</w:t>
      </w:r>
      <w:r>
        <w:rPr>
          <w:rFonts w:ascii="Simplified Arabic" w:hAnsi="Simplified Arabic" w:cs="Simplified Arabic"/>
          <w:rtl/>
        </w:rPr>
        <w:t>).</w:t>
      </w:r>
    </w:p>
    <w:p w14:paraId="3AF06F9D"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34F6AA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Pr>
          <w:rFonts w:ascii="Simplified Arabic" w:hAnsi="Simplified Arabic" w:cs="Simplified Arabic"/>
        </w:rPr>
        <w:t>Masnita et al., 2024</w:t>
      </w:r>
      <w:r>
        <w:rPr>
          <w:rFonts w:ascii="Simplified Arabic" w:hAnsi="Simplified Arabic" w:cs="Simplified Arabic"/>
          <w:rtl/>
        </w:rPr>
        <w:t>).</w:t>
      </w:r>
    </w:p>
    <w:p w14:paraId="7606799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516026B8"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7D4940A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15246F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723319C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5C266AA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Pr>
          <w:rFonts w:ascii="Simplified Arabic" w:hAnsi="Simplified Arabic" w:cs="Simplified Arabic"/>
        </w:rPr>
        <w:t>Beyari, 2025</w:t>
      </w:r>
      <w:r>
        <w:rPr>
          <w:rFonts w:ascii="Simplified Arabic" w:hAnsi="Simplified Arabic" w:cs="Simplified Arabic"/>
          <w:rtl/>
        </w:rPr>
        <w:t>).</w:t>
      </w:r>
    </w:p>
    <w:p w14:paraId="48D62A63" w14:textId="77777777" w:rsid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31DC0ED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62321044"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35A6E97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2A01341"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720F70AA"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5562119C"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760D6E4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7C4D3F49"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1EB313D7"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70CDEA5"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06D17D43"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lastRenderedPageBreak/>
        <w:t>مؤشرات جودة التفاعل (مثل عمق التفاعل أو استمراريته، بحسب ما تتيحه المنصة).</w:t>
      </w:r>
    </w:p>
    <w:p w14:paraId="2DBF3128"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1ACD9FC1"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4F552F3F"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02CC37FA"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6F8C12F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6BBF65F7"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28B7B15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2A1B0CC8"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537260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FB988F7"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0BC86A1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Beyari, 2025</w:t>
      </w:r>
      <w:r>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20A52E1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Pr>
          <w:rFonts w:ascii="Simplified Arabic" w:hAnsi="Simplified Arabic" w:cs="Simplified Arabic"/>
        </w:rPr>
        <w:t>Masnita et al., 2024</w:t>
      </w:r>
      <w:r>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2B4EEE6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24EFED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61583F44"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7F10BB2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Pr>
          <w:rFonts w:ascii="Simplified Arabic" w:hAnsi="Simplified Arabic" w:cs="Simplified Arabic"/>
        </w:rPr>
        <w:t>Kshetri et al., 2023</w:t>
      </w:r>
      <w:r>
        <w:rPr>
          <w:rFonts w:ascii="Simplified Arabic" w:hAnsi="Simplified Arabic" w:cs="Simplified Arabic"/>
          <w:rtl/>
        </w:rPr>
        <w:t>).</w:t>
      </w:r>
    </w:p>
    <w:p w14:paraId="3FE978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73452071"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3DFA88F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4F650D39"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72B924F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0AC0F0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5A52756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86F5B05"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53039DC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4CC9397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5EAE06A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5541597B"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47129B59"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FDE931A"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08BE2A42"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267E95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676F6D6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38C49DC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69E59CD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28BF54E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E064325" w14:textId="77777777" w:rsidR="00A20BAB" w:rsidRPr="00A20BAB" w:rsidRDefault="00A20BAB" w:rsidP="00A20BAB">
      <w:pPr>
        <w:bidi/>
        <w:rPr>
          <w:rFonts w:ascii="Simplified Arabic" w:hAnsi="Simplified Arabic" w:cs="Simplified Arabic"/>
          <w:rtl/>
        </w:rPr>
      </w:pP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68690A1C" w14:textId="4802617B" w:rsidR="00644BCE" w:rsidRDefault="00837EBE" w:rsidP="000D3CD0">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5D0B1FF7" w14:textId="76FA8834" w:rsidR="00E019FE" w:rsidRPr="0005238F" w:rsidRDefault="0005238F" w:rsidP="0005238F">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45799612" w14:textId="66CA1C04" w:rsidR="000D3CD0" w:rsidRDefault="00361EA9" w:rsidP="0085283F">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Pr="004F2B23" w:rsidRDefault="000D3CD0" w:rsidP="000D3CD0">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Default="00CD177D" w:rsidP="00CD177D">
      <w:pPr>
        <w:bidi/>
        <w:spacing w:after="200" w:line="240" w:lineRule="auto"/>
        <w:jc w:val="both"/>
        <w:rPr>
          <w:rFonts w:ascii="Simplified Arabic" w:hAnsi="Simplified Arabic" w:cs="Simplified Arabic"/>
          <w:rtl/>
        </w:rPr>
      </w:pPr>
      <w:r>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44CF6AF4" w14:textId="7739D329" w:rsidR="000343D5" w:rsidRDefault="000D17E6" w:rsidP="000D3CD0">
      <w:pPr>
        <w:bidi/>
        <w:jc w:val="both"/>
        <w:rPr>
          <w:rFonts w:ascii="Simplified Arabic" w:hAnsi="Simplified Arabic" w:cs="Simplified Arabic"/>
          <w:rtl/>
        </w:rPr>
      </w:pPr>
      <w:r>
        <w:rPr>
          <w:rFonts w:ascii="Simplified Arabic" w:hAnsi="Simplified Arabic" w:cs="Simplified Arabic"/>
          <w:rtl/>
        </w:rPr>
        <w:t>تناولت دراسة كشتري وزملاؤه (</w:t>
      </w:r>
      <w:r>
        <w:rPr>
          <w:rFonts w:ascii="Simplified Arabic" w:hAnsi="Simplified Arabic" w:cs="Simplified Arabic"/>
        </w:rPr>
        <w:t>Kshetri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Kshetri</w:t>
      </w:r>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Default="00675F33" w:rsidP="000D3CD0">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10CF38DC" w14:textId="77777777" w:rsidR="0016375F" w:rsidRDefault="003B5EAB" w:rsidP="0016375F">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4FA834F9" w14:textId="5E76DB7D"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xml:space="preserve">.) دراستهم في عام 2025، تحت عنوان "الذكاء الاصطناعي في التسويق الرقمي: تحليل كمي لتأثيره </w:t>
      </w:r>
      <w:r>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379F030F" w14:textId="04B3C26F"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09AA0776" w:rsidR="00E019FE" w:rsidRDefault="000D3CD0" w:rsidP="008203C3">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769AA873" w14:textId="5283104D"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Beyari</w:t>
      </w:r>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Kshetri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Default="00915B55" w:rsidP="00915B55">
      <w:pPr>
        <w:bidi/>
        <w:spacing w:after="200" w:line="276" w:lineRule="auto"/>
        <w:jc w:val="both"/>
        <w:rPr>
          <w:rFonts w:ascii="Simplified Arabic" w:hAnsi="Simplified Arabic" w:cs="Simplified Arabic"/>
          <w:rtl/>
        </w:rPr>
      </w:pPr>
    </w:p>
    <w:p w14:paraId="2A839DCE" w14:textId="77777777" w:rsidR="002D0DD5" w:rsidRPr="002D0DD5" w:rsidRDefault="002D0DD5" w:rsidP="002D0DD5">
      <w:pPr>
        <w:bidi/>
        <w:spacing w:after="200" w:line="276" w:lineRule="auto"/>
        <w:rPr>
          <w:rFonts w:ascii="Sakkal Majalla" w:hAnsi="Sakkal Majalla" w:cs="Sakkal Majalla"/>
          <w:b/>
          <w:bCs/>
          <w:color w:val="00B0F0"/>
          <w:sz w:val="36"/>
          <w:szCs w:val="36"/>
          <w:u w:val="single"/>
          <w:rtl/>
        </w:rPr>
      </w:pPr>
      <w:r w:rsidRPr="002D0DD5">
        <w:rPr>
          <w:rFonts w:ascii="Sakkal Majalla" w:hAnsi="Sakkal Majalla" w:cs="Sakkal Majalla" w:hint="cs"/>
          <w:b/>
          <w:bCs/>
          <w:color w:val="00B0F0"/>
          <w:sz w:val="36"/>
          <w:szCs w:val="36"/>
          <w:u w:val="single"/>
          <w:rtl/>
        </w:rPr>
        <w:lastRenderedPageBreak/>
        <w:t>الفصل الثالث: منهجية الدراسة</w:t>
      </w:r>
    </w:p>
    <w:p w14:paraId="1649A714"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تمهيد</w:t>
      </w:r>
    </w:p>
    <w:p w14:paraId="229B696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يعرض هذا الفصل خطة الإجراءات المنهجية التي سيتّبعها الباحث في الجانب الميداني من الدراسة، بدءًا من تحديد المنهج المناسب لطبيعة المشكلة البحثية، ووصف مجتمع الدراسة وتعريفه إجرائيًا، وبيان أسلوب اختيار العينة وحجمها، مرورًا بخطوات بناء أداة جمع البيانات والتحقق من صدقها وثباتها، وانتهاءً ببيان الأساليب الإحصائية التي ستُستخدم في تنظيف البيانات وتحليلها واختبار الفرضيات. ولمّا كان هذا الفصل جزءًا من مقترح خطة الأطروحة ولم يُنفَّذ الجانب الميداني بعد، فقد رُوعي في صياغته استخدام صيغة الخطة والمستقبل («سيُجرى»، «ستُجمع»، «سيُعتمد») تمييزًا بين ما هو مخطَّط له وما سيُنفَّذ فعليًا بعد الحصول على الموافقات اللازمة، على أن تُحدَّث الصياغة إلى صيغة الماضي عند كتابة التقرير النهائي بعد إنجاز الجانب الميداني.</w:t>
      </w:r>
    </w:p>
    <w:p w14:paraId="3F287F85" w14:textId="77777777" w:rsidR="002D0DD5" w:rsidRPr="002D0DD5" w:rsidRDefault="002D0DD5" w:rsidP="002D0DD5">
      <w:pPr>
        <w:bidi/>
        <w:spacing w:after="200" w:line="276" w:lineRule="auto"/>
        <w:rPr>
          <w:rFonts w:ascii="Simplified Arabic" w:hAnsi="Simplified Arabic" w:cs="Simplified Arabic"/>
          <w:color w:val="EE0000"/>
          <w:rtl/>
        </w:rPr>
      </w:pPr>
      <w:r w:rsidRPr="002D0DD5">
        <w:rPr>
          <w:rFonts w:ascii="Simplified Arabic" w:hAnsi="Simplified Arabic" w:cs="Simplified Arabic"/>
          <w:color w:val="EE0000"/>
          <w:rtl/>
        </w:rPr>
        <w:t>ويتناول الفصل في عناصره منهج الدراسة وتصميمها ومتغيراتها، ثم مجتمعها ووحدة تحليلها، وتعريف الفئة المستهدفة والمدن المشمولة ومبررات اختيارها، فعينتها وأسلوب اختيارها وحجمها وإجراءات تطبيقها الميدانية، ثم أداة الدراسة وبناءها وإجراءات التحقق من صدقها وثباتها، فالأساليب الإحصائية المستخدمة في تنظيف بياناتها ومعالجتها، وصولًا إلى الجوانب الأخلاقية لإجراءاتها، ويُختتم بملخص للفصل.</w:t>
      </w:r>
    </w:p>
    <w:p w14:paraId="0FB0F400" w14:textId="77777777" w:rsidR="002D0DD5" w:rsidRPr="002D0DD5" w:rsidRDefault="002D0DD5" w:rsidP="002D0DD5">
      <w:pPr>
        <w:bidi/>
        <w:spacing w:after="200" w:line="276" w:lineRule="auto"/>
        <w:rPr>
          <w:rFonts w:ascii="Simplified Arabic" w:hAnsi="Simplified Arabic" w:cs="Simplified Arabic"/>
          <w:rtl/>
        </w:rPr>
      </w:pPr>
    </w:p>
    <w:p w14:paraId="128D5FF2"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منهج الدراسة وتصميمها</w:t>
      </w:r>
    </w:p>
    <w:p w14:paraId="54A68661" w14:textId="77777777" w:rsidR="002D0DD5" w:rsidRPr="002D0DD5" w:rsidRDefault="002D0DD5" w:rsidP="002D0DD5">
      <w:pPr>
        <w:bidi/>
        <w:spacing w:after="200" w:line="276" w:lineRule="auto"/>
        <w:jc w:val="both"/>
        <w:rPr>
          <w:rFonts w:ascii="Simplified Arabic" w:hAnsi="Simplified Arabic" w:cs="Simplified Arabic"/>
          <w:color w:val="EE0000"/>
        </w:rPr>
      </w:pPr>
      <w:r w:rsidRPr="002D0DD5">
        <w:rPr>
          <w:rFonts w:ascii="Simplified Arabic" w:hAnsi="Simplified Arabic" w:cs="Simplified Arabic"/>
          <w:color w:val="EE0000"/>
          <w:rtl/>
        </w:rPr>
        <w:t>ستعتمد الدراسة المنهج الوصفي التحليلي لملاءمته طبيعة المشكلة وأهداف الدراسة؛ إذ لا يكتفي هذا المنهج بوصف واقع توظيف تقنيات الذكاء الاصطناعي التوليدي في وكالات التسويق السعودية، بل يتجاوزه إلى تحليل العلاقات بين متغيرات الدراسة وتفسير اتجاه هذه العلاقات وقوتها، وهو ما تتطلبه دراسة تستهدف بناء نموذج تفسيري لا مجرد توصيف للظاهرة.</w:t>
      </w:r>
    </w:p>
    <w:p w14:paraId="137E0B50" w14:textId="77777777" w:rsidR="002D0DD5" w:rsidRPr="002D0DD5" w:rsidRDefault="002D0DD5" w:rsidP="002D0DD5">
      <w:pPr>
        <w:bidi/>
        <w:spacing w:after="200" w:line="276" w:lineRule="auto"/>
        <w:jc w:val="both"/>
        <w:rPr>
          <w:rFonts w:ascii="Simplified Arabic" w:hAnsi="Simplified Arabic" w:cs="Simplified Arabic"/>
          <w:color w:val="EE0000"/>
        </w:rPr>
      </w:pPr>
      <w:r w:rsidRPr="002D0DD5">
        <w:rPr>
          <w:rFonts w:ascii="Simplified Arabic" w:hAnsi="Simplified Arabic" w:cs="Simplified Arabic"/>
          <w:color w:val="EE0000"/>
          <w:rtl/>
        </w:rPr>
        <w:t>وتندرج الدراسة ضمن البحوث الكمية لاعتمادها على بيانات رقمية ستُجمع بأداة مقنَّنة وتُعالَج إحصائيًا، وهي دراسة مقطعية (Cross-Sectional) ستُجمع بياناتها في فترة زمنية واحدة تعكس واقع الممارسة المهنية وقت التطبيق، دون متابعة تطور المتغيرات عبر الزمن (Creswell &amp; Creswell, 2018).</w:t>
      </w:r>
    </w:p>
    <w:p w14:paraId="6584A7E5" w14:textId="77777777" w:rsidR="002D0DD5" w:rsidRPr="002D0DD5" w:rsidRDefault="002D0DD5" w:rsidP="002D0DD5">
      <w:pPr>
        <w:bidi/>
        <w:spacing w:after="200" w:line="276" w:lineRule="auto"/>
        <w:jc w:val="both"/>
        <w:rPr>
          <w:rFonts w:ascii="Simplified Arabic" w:hAnsi="Simplified Arabic" w:cs="Simplified Arabic"/>
          <w:color w:val="EE0000"/>
        </w:rPr>
      </w:pPr>
      <w:r w:rsidRPr="002D0DD5">
        <w:rPr>
          <w:rFonts w:ascii="Simplified Arabic" w:hAnsi="Simplified Arabic" w:cs="Simplified Arabic"/>
          <w:color w:val="EE0000"/>
          <w:rtl/>
        </w:rPr>
        <w:t>ونظرًا لأن التصميم المقطعي لا يسمح بضبط التتابع الزمني بين المتغيرات، فإن الدراسة تتجنّب وصف العلاقات المختبرة بأنها علاقات سببية بالمعنى التجريبي الصارم، وتستخدم بدلًا من ذلك عبارات أكثر تحفظًا مثل «الأثر الإحصائي» و«العلاقات التفسيرية» و«العلاقة التفسيرية-الترابطية»، بما ينسجم مع طبيعة نمذجة المعادلات البنائية القائمة على المربعات الصغرى الجزئية (PLS-SEM) التي تختبر شبكة من العلاقات الافتراضية بين المتغيرات دون أن تثبت سببية بالمعنى الصارم للكلمة، إذ يتيح هذا الأسلوب فحص أثر المتغير المستقل في المتغير التابع، ودور المتغير الوسيط، وتأثير المتغيرين المعدِّلين، ضمن نموذج واحد.</w:t>
      </w:r>
    </w:p>
    <w:p w14:paraId="2D29DFFF" w14:textId="77777777" w:rsidR="002D0DD5" w:rsidRPr="002D0DD5" w:rsidRDefault="002D0DD5" w:rsidP="002D0DD5">
      <w:pPr>
        <w:bidi/>
        <w:spacing w:after="200" w:line="276" w:lineRule="auto"/>
        <w:jc w:val="both"/>
        <w:rPr>
          <w:rFonts w:ascii="Simplified Arabic" w:hAnsi="Simplified Arabic" w:cs="Simplified Arabic"/>
          <w:rtl/>
        </w:rPr>
      </w:pPr>
    </w:p>
    <w:p w14:paraId="3A831161"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lastRenderedPageBreak/>
        <w:t>متغيرات الدراسة</w:t>
      </w:r>
    </w:p>
    <w:p w14:paraId="513E849D" w14:textId="77777777" w:rsidR="002D0DD5" w:rsidRPr="002D0DD5" w:rsidRDefault="002D0DD5" w:rsidP="002D0DD5">
      <w:pPr>
        <w:bidi/>
        <w:spacing w:after="200" w:line="276" w:lineRule="auto"/>
        <w:jc w:val="both"/>
        <w:rPr>
          <w:rFonts w:ascii="Simplified Arabic" w:hAnsi="Simplified Arabic" w:cs="Simplified Arabic"/>
          <w:rtl/>
        </w:rPr>
      </w:pPr>
      <w:r w:rsidRPr="002D0DD5">
        <w:rPr>
          <w:rFonts w:ascii="Simplified Arabic" w:hAnsi="Simplified Arabic" w:cs="Simplified Arabic"/>
          <w:rtl/>
        </w:rPr>
        <w:t>تقوم الدراسة على خمسة متغيرات يتحدد دور كل منها داخل النموذج التفسيري على النحو الآتي</w:t>
      </w:r>
      <w:r w:rsidRPr="002D0DD5">
        <w:rPr>
          <w:rFonts w:ascii="Simplified Arabic" w:hAnsi="Simplified Arabic" w:cs="Simplified Arabic"/>
        </w:rPr>
        <w:t>:</w:t>
      </w:r>
    </w:p>
    <w:p w14:paraId="667254B9" w14:textId="77777777" w:rsidR="002D0DD5" w:rsidRPr="002D0DD5" w:rsidRDefault="002D0DD5">
      <w:pPr>
        <w:numPr>
          <w:ilvl w:val="0"/>
          <w:numId w:val="20"/>
        </w:numPr>
        <w:bidi/>
        <w:spacing w:after="200" w:line="276" w:lineRule="auto"/>
        <w:jc w:val="both"/>
        <w:rPr>
          <w:rFonts w:ascii="Simplified Arabic" w:hAnsi="Simplified Arabic" w:cs="Simplified Arabic"/>
          <w:rtl/>
        </w:rPr>
      </w:pPr>
      <w:r w:rsidRPr="002D0DD5">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sidRPr="002D0DD5">
        <w:rPr>
          <w:rFonts w:ascii="Simplified Arabic" w:hAnsi="Simplified Arabic" w:cs="Simplified Arabic" w:hint="cs"/>
          <w:rtl/>
        </w:rPr>
        <w:t xml:space="preserve"> </w:t>
      </w:r>
      <w:r w:rsidRPr="002D0DD5">
        <w:rPr>
          <w:rFonts w:ascii="Simplified Arabic" w:hAnsi="Simplified Arabic" w:cs="Simplified Arabic"/>
        </w:rPr>
        <w:t>.(GAIU)</w:t>
      </w:r>
    </w:p>
    <w:p w14:paraId="4B29274E" w14:textId="77777777" w:rsidR="002D0DD5" w:rsidRPr="002D0DD5" w:rsidRDefault="002D0DD5">
      <w:pPr>
        <w:numPr>
          <w:ilvl w:val="0"/>
          <w:numId w:val="20"/>
        </w:numPr>
        <w:bidi/>
        <w:spacing w:after="200" w:line="276" w:lineRule="auto"/>
        <w:jc w:val="both"/>
        <w:rPr>
          <w:rFonts w:ascii="Simplified Arabic" w:hAnsi="Simplified Arabic" w:cs="Simplified Arabic"/>
          <w:rtl/>
        </w:rPr>
      </w:pPr>
      <w:r w:rsidRPr="002D0DD5">
        <w:rPr>
          <w:rFonts w:ascii="Simplified Arabic" w:hAnsi="Simplified Arabic" w:cs="Simplified Arabic"/>
          <w:rtl/>
        </w:rPr>
        <w:t>جودة عملية تصميم الحملات الرقمية، وهو المتغير الوسيط، ويُقاس بثماني فقرات يرمز إليها بالرمز</w:t>
      </w:r>
      <w:r w:rsidRPr="002D0DD5">
        <w:rPr>
          <w:rFonts w:ascii="Simplified Arabic" w:hAnsi="Simplified Arabic" w:cs="Simplified Arabic"/>
        </w:rPr>
        <w:t xml:space="preserve">.(CDQ) </w:t>
      </w:r>
    </w:p>
    <w:p w14:paraId="04D5BCF9" w14:textId="77777777" w:rsidR="002D0DD5" w:rsidRPr="002D0DD5" w:rsidRDefault="002D0DD5">
      <w:pPr>
        <w:numPr>
          <w:ilvl w:val="0"/>
          <w:numId w:val="20"/>
        </w:numPr>
        <w:bidi/>
        <w:spacing w:after="200" w:line="276" w:lineRule="auto"/>
        <w:jc w:val="both"/>
        <w:rPr>
          <w:rFonts w:ascii="Simplified Arabic" w:hAnsi="Simplified Arabic" w:cs="Simplified Arabic"/>
          <w:rtl/>
        </w:rPr>
      </w:pPr>
      <w:r w:rsidRPr="002D0DD5">
        <w:rPr>
          <w:rFonts w:ascii="Simplified Arabic" w:hAnsi="Simplified Arabic" w:cs="Simplified Arabic"/>
          <w:rtl/>
        </w:rPr>
        <w:t>دوافع تبني التقنية، وهو متغير معدِّل معزِّز، ويُقاس بتسع فقرات يرمز إليها بالرمز</w:t>
      </w:r>
      <w:r w:rsidRPr="002D0DD5">
        <w:rPr>
          <w:rFonts w:ascii="Simplified Arabic" w:hAnsi="Simplified Arabic" w:cs="Simplified Arabic"/>
        </w:rPr>
        <w:t xml:space="preserve">.(ADP) </w:t>
      </w:r>
    </w:p>
    <w:p w14:paraId="16BF4393" w14:textId="77777777" w:rsidR="002D0DD5" w:rsidRPr="002D0DD5" w:rsidRDefault="002D0DD5">
      <w:pPr>
        <w:numPr>
          <w:ilvl w:val="0"/>
          <w:numId w:val="20"/>
        </w:numPr>
        <w:bidi/>
        <w:spacing w:after="200" w:line="276" w:lineRule="auto"/>
        <w:jc w:val="both"/>
        <w:rPr>
          <w:rFonts w:ascii="Simplified Arabic" w:hAnsi="Simplified Arabic" w:cs="Simplified Arabic"/>
          <w:rtl/>
        </w:rPr>
      </w:pPr>
      <w:r w:rsidRPr="002D0DD5">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sidRPr="002D0DD5">
        <w:rPr>
          <w:rFonts w:ascii="Simplified Arabic" w:hAnsi="Simplified Arabic" w:cs="Simplified Arabic"/>
        </w:rPr>
        <w:t xml:space="preserve"> (BAR)</w:t>
      </w:r>
      <w:r w:rsidRPr="002D0DD5">
        <w:rPr>
          <w:rFonts w:ascii="Simplified Arabic" w:hAnsi="Simplified Arabic" w:cs="Simplified Arabic" w:hint="cs"/>
          <w:rtl/>
        </w:rPr>
        <w:t>.</w:t>
      </w:r>
    </w:p>
    <w:p w14:paraId="42900AD6" w14:textId="77777777" w:rsidR="002D0DD5" w:rsidRPr="002D0DD5" w:rsidRDefault="002D0DD5">
      <w:pPr>
        <w:numPr>
          <w:ilvl w:val="0"/>
          <w:numId w:val="20"/>
        </w:numPr>
        <w:bidi/>
        <w:spacing w:after="200" w:line="276" w:lineRule="auto"/>
        <w:jc w:val="both"/>
        <w:rPr>
          <w:rFonts w:ascii="Simplified Arabic" w:hAnsi="Simplified Arabic" w:cs="Simplified Arabic"/>
          <w:rtl/>
        </w:rPr>
      </w:pPr>
      <w:r w:rsidRPr="002D0DD5">
        <w:rPr>
          <w:rFonts w:ascii="Simplified Arabic" w:hAnsi="Simplified Arabic" w:cs="Simplified Arabic"/>
          <w:rtl/>
        </w:rPr>
        <w:t>فعالية الأداء التسويقي للحملات الرقمية، وهو المتغير التابع، ويُقاس بتسع فقرات يرمز إليها بالرمز</w:t>
      </w:r>
      <w:r w:rsidRPr="002D0DD5">
        <w:rPr>
          <w:rFonts w:ascii="Simplified Arabic" w:hAnsi="Simplified Arabic" w:cs="Simplified Arabic"/>
        </w:rPr>
        <w:t xml:space="preserve">.(MP) </w:t>
      </w:r>
    </w:p>
    <w:p w14:paraId="2AFC8292" w14:textId="77777777" w:rsidR="002D0DD5" w:rsidRPr="002D0DD5" w:rsidRDefault="002D0DD5" w:rsidP="002D0DD5">
      <w:pPr>
        <w:bidi/>
        <w:spacing w:after="200" w:line="276" w:lineRule="auto"/>
        <w:rPr>
          <w:rFonts w:ascii="Simplified Arabic" w:hAnsi="Simplified Arabic" w:cs="Simplified Arabic"/>
          <w:b/>
          <w:bCs/>
          <w:rtl/>
        </w:rPr>
      </w:pPr>
      <w:r w:rsidRPr="002D0DD5">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2D0DD5" w:rsidRPr="002D0DD5" w14:paraId="1EB208B4" w14:textId="77777777" w:rsidTr="00911285">
        <w:tc>
          <w:tcPr>
            <w:tcW w:w="1855" w:type="dxa"/>
            <w:shd w:val="clear" w:color="auto" w:fill="BFBFBF" w:themeFill="background1" w:themeFillShade="BF"/>
          </w:tcPr>
          <w:p w14:paraId="3429D1D0"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b/>
                <w:bCs/>
                <w:sz w:val="20"/>
                <w:szCs w:val="20"/>
                <w:rtl/>
              </w:rPr>
              <w:t>المتغير</w:t>
            </w:r>
          </w:p>
        </w:tc>
        <w:tc>
          <w:tcPr>
            <w:tcW w:w="2400" w:type="dxa"/>
            <w:shd w:val="clear" w:color="auto" w:fill="BFBFBF" w:themeFill="background1" w:themeFillShade="BF"/>
          </w:tcPr>
          <w:p w14:paraId="4362E9EF"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b/>
                <w:bCs/>
                <w:sz w:val="20"/>
                <w:szCs w:val="20"/>
                <w:rtl/>
              </w:rPr>
              <w:t>دوره في النموذج</w:t>
            </w:r>
          </w:p>
        </w:tc>
        <w:tc>
          <w:tcPr>
            <w:tcW w:w="1560" w:type="dxa"/>
            <w:shd w:val="clear" w:color="auto" w:fill="BFBFBF" w:themeFill="background1" w:themeFillShade="BF"/>
          </w:tcPr>
          <w:p w14:paraId="44B559B4"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b/>
                <w:bCs/>
                <w:sz w:val="20"/>
                <w:szCs w:val="20"/>
                <w:rtl/>
              </w:rPr>
              <w:t>الرمز</w:t>
            </w:r>
          </w:p>
        </w:tc>
        <w:tc>
          <w:tcPr>
            <w:tcW w:w="2400" w:type="dxa"/>
            <w:shd w:val="clear" w:color="auto" w:fill="BFBFBF" w:themeFill="background1" w:themeFillShade="BF"/>
          </w:tcPr>
          <w:p w14:paraId="7C3F2D19"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b/>
                <w:bCs/>
                <w:sz w:val="20"/>
                <w:szCs w:val="20"/>
                <w:rtl/>
              </w:rPr>
              <w:t>عدد الفقرات</w:t>
            </w:r>
          </w:p>
        </w:tc>
      </w:tr>
      <w:tr w:rsidR="002D0DD5" w:rsidRPr="002D0DD5" w14:paraId="503A876A" w14:textId="77777777" w:rsidTr="00911285">
        <w:tc>
          <w:tcPr>
            <w:tcW w:w="1855" w:type="dxa"/>
          </w:tcPr>
          <w:p w14:paraId="2F04952B"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توظيف تقنيات الذكاء الاصطناعي التوليدي</w:t>
            </w:r>
          </w:p>
        </w:tc>
        <w:tc>
          <w:tcPr>
            <w:tcW w:w="2400" w:type="dxa"/>
          </w:tcPr>
          <w:p w14:paraId="5DDB59CD"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مستقل</w:t>
            </w:r>
          </w:p>
        </w:tc>
        <w:tc>
          <w:tcPr>
            <w:tcW w:w="1560" w:type="dxa"/>
          </w:tcPr>
          <w:p w14:paraId="4310FCBE"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GAIU</w:t>
            </w:r>
          </w:p>
        </w:tc>
        <w:tc>
          <w:tcPr>
            <w:tcW w:w="2400" w:type="dxa"/>
          </w:tcPr>
          <w:p w14:paraId="7DBCD4BE"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10</w:t>
            </w:r>
          </w:p>
        </w:tc>
      </w:tr>
      <w:tr w:rsidR="002D0DD5" w:rsidRPr="002D0DD5" w14:paraId="4865B220" w14:textId="77777777" w:rsidTr="00911285">
        <w:trPr>
          <w:trHeight w:val="485"/>
        </w:trPr>
        <w:tc>
          <w:tcPr>
            <w:tcW w:w="1855" w:type="dxa"/>
          </w:tcPr>
          <w:p w14:paraId="7069DA3A"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جودة عملية تصميم الحملات</w:t>
            </w:r>
          </w:p>
        </w:tc>
        <w:tc>
          <w:tcPr>
            <w:tcW w:w="2400" w:type="dxa"/>
          </w:tcPr>
          <w:p w14:paraId="27E5D26A"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وسيط</w:t>
            </w:r>
          </w:p>
        </w:tc>
        <w:tc>
          <w:tcPr>
            <w:tcW w:w="1560" w:type="dxa"/>
          </w:tcPr>
          <w:p w14:paraId="36C6035A"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CDQ</w:t>
            </w:r>
          </w:p>
        </w:tc>
        <w:tc>
          <w:tcPr>
            <w:tcW w:w="2400" w:type="dxa"/>
          </w:tcPr>
          <w:p w14:paraId="657B5B2D"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8</w:t>
            </w:r>
          </w:p>
        </w:tc>
      </w:tr>
      <w:tr w:rsidR="002D0DD5" w:rsidRPr="002D0DD5" w14:paraId="28E8F0FF" w14:textId="77777777" w:rsidTr="00911285">
        <w:tc>
          <w:tcPr>
            <w:tcW w:w="1855" w:type="dxa"/>
          </w:tcPr>
          <w:p w14:paraId="006F5B3B"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دوافع التبني</w:t>
            </w:r>
          </w:p>
        </w:tc>
        <w:tc>
          <w:tcPr>
            <w:tcW w:w="2400" w:type="dxa"/>
          </w:tcPr>
          <w:p w14:paraId="4B0BA599"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معدِّل معزِّز</w:t>
            </w:r>
          </w:p>
        </w:tc>
        <w:tc>
          <w:tcPr>
            <w:tcW w:w="1560" w:type="dxa"/>
          </w:tcPr>
          <w:p w14:paraId="18DCBD25"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ADP</w:t>
            </w:r>
          </w:p>
        </w:tc>
        <w:tc>
          <w:tcPr>
            <w:tcW w:w="2400" w:type="dxa"/>
          </w:tcPr>
          <w:p w14:paraId="6750FC38"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9</w:t>
            </w:r>
          </w:p>
        </w:tc>
      </w:tr>
      <w:tr w:rsidR="002D0DD5" w:rsidRPr="002D0DD5" w14:paraId="0B37080E" w14:textId="77777777" w:rsidTr="00911285">
        <w:tc>
          <w:tcPr>
            <w:tcW w:w="1855" w:type="dxa"/>
          </w:tcPr>
          <w:p w14:paraId="0B723BC2"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العوائق التقنية والبشرية والتنظيمية والأخلاقية</w:t>
            </w:r>
          </w:p>
        </w:tc>
        <w:tc>
          <w:tcPr>
            <w:tcW w:w="2400" w:type="dxa"/>
          </w:tcPr>
          <w:p w14:paraId="386B4224"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معدِّل مثبِّط</w:t>
            </w:r>
          </w:p>
        </w:tc>
        <w:tc>
          <w:tcPr>
            <w:tcW w:w="1560" w:type="dxa"/>
          </w:tcPr>
          <w:p w14:paraId="05D52F8E"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BAR</w:t>
            </w:r>
          </w:p>
        </w:tc>
        <w:tc>
          <w:tcPr>
            <w:tcW w:w="2400" w:type="dxa"/>
          </w:tcPr>
          <w:p w14:paraId="5E8E1135"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10</w:t>
            </w:r>
          </w:p>
        </w:tc>
      </w:tr>
      <w:tr w:rsidR="002D0DD5" w:rsidRPr="002D0DD5" w14:paraId="12D6EE4C" w14:textId="77777777" w:rsidTr="00911285">
        <w:tc>
          <w:tcPr>
            <w:tcW w:w="1855" w:type="dxa"/>
          </w:tcPr>
          <w:p w14:paraId="593CC6D8"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فعالية الأداء التسويقي</w:t>
            </w:r>
          </w:p>
        </w:tc>
        <w:tc>
          <w:tcPr>
            <w:tcW w:w="2400" w:type="dxa"/>
          </w:tcPr>
          <w:p w14:paraId="0BA52A6F"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تابع</w:t>
            </w:r>
          </w:p>
        </w:tc>
        <w:tc>
          <w:tcPr>
            <w:tcW w:w="1560" w:type="dxa"/>
          </w:tcPr>
          <w:p w14:paraId="5A598F42"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MP</w:t>
            </w:r>
          </w:p>
        </w:tc>
        <w:tc>
          <w:tcPr>
            <w:tcW w:w="2400" w:type="dxa"/>
          </w:tcPr>
          <w:p w14:paraId="38D9B3E3"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9</w:t>
            </w:r>
          </w:p>
        </w:tc>
      </w:tr>
      <w:tr w:rsidR="002D0DD5" w:rsidRPr="002D0DD5" w14:paraId="37A6E2FD" w14:textId="77777777" w:rsidTr="00911285">
        <w:tc>
          <w:tcPr>
            <w:tcW w:w="1855" w:type="dxa"/>
            <w:shd w:val="clear" w:color="auto" w:fill="BFBFBF" w:themeFill="background1" w:themeFillShade="BF"/>
          </w:tcPr>
          <w:p w14:paraId="5A80A37D"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tl/>
              </w:rPr>
              <w:t>الإجمالي</w:t>
            </w:r>
          </w:p>
        </w:tc>
        <w:tc>
          <w:tcPr>
            <w:tcW w:w="2400" w:type="dxa"/>
            <w:shd w:val="clear" w:color="auto" w:fill="BFBFBF" w:themeFill="background1" w:themeFillShade="BF"/>
          </w:tcPr>
          <w:p w14:paraId="140CD000"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w:t>
            </w:r>
          </w:p>
        </w:tc>
        <w:tc>
          <w:tcPr>
            <w:tcW w:w="1560" w:type="dxa"/>
            <w:shd w:val="clear" w:color="auto" w:fill="BFBFBF" w:themeFill="background1" w:themeFillShade="BF"/>
          </w:tcPr>
          <w:p w14:paraId="4A943E75"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w:t>
            </w:r>
          </w:p>
        </w:tc>
        <w:tc>
          <w:tcPr>
            <w:tcW w:w="2400" w:type="dxa"/>
            <w:shd w:val="clear" w:color="auto" w:fill="BFBFBF" w:themeFill="background1" w:themeFillShade="BF"/>
          </w:tcPr>
          <w:p w14:paraId="342CD9A8" w14:textId="77777777" w:rsidR="002D0DD5" w:rsidRPr="002D0DD5" w:rsidRDefault="002D0DD5" w:rsidP="002D0DD5">
            <w:pPr>
              <w:bidi/>
              <w:spacing w:after="200" w:line="276" w:lineRule="auto"/>
              <w:jc w:val="both"/>
              <w:rPr>
                <w:rFonts w:ascii="Simplified Arabic" w:hAnsi="Simplified Arabic" w:cs="Simplified Arabic"/>
                <w:sz w:val="20"/>
                <w:szCs w:val="20"/>
              </w:rPr>
            </w:pPr>
            <w:r w:rsidRPr="002D0DD5">
              <w:rPr>
                <w:rFonts w:ascii="Simplified Arabic" w:hAnsi="Simplified Arabic" w:cs="Simplified Arabic"/>
                <w:sz w:val="20"/>
                <w:szCs w:val="20"/>
              </w:rPr>
              <w:t>46</w:t>
            </w:r>
          </w:p>
        </w:tc>
      </w:tr>
    </w:tbl>
    <w:p w14:paraId="185EDF66" w14:textId="77777777" w:rsidR="002D0DD5" w:rsidRPr="002D0DD5" w:rsidRDefault="002D0DD5" w:rsidP="002D0DD5">
      <w:pPr>
        <w:bidi/>
        <w:spacing w:after="200" w:line="276" w:lineRule="auto"/>
        <w:jc w:val="both"/>
        <w:rPr>
          <w:rFonts w:ascii="Simplified Arabic" w:hAnsi="Simplified Arabic" w:cs="Simplified Arabic"/>
          <w:rtl/>
        </w:rPr>
      </w:pPr>
    </w:p>
    <w:p w14:paraId="0AAD1D95" w14:textId="77777777" w:rsidR="002D0DD5" w:rsidRPr="002D0DD5" w:rsidRDefault="002D0DD5" w:rsidP="002D0DD5">
      <w:pPr>
        <w:bidi/>
        <w:spacing w:after="200" w:line="240" w:lineRule="auto"/>
        <w:jc w:val="both"/>
        <w:rPr>
          <w:rFonts w:ascii="Simplified Arabic" w:hAnsi="Simplified Arabic" w:cs="Simplified Arabic"/>
          <w:rtl/>
        </w:rPr>
      </w:pPr>
      <w:r w:rsidRPr="002D0DD5">
        <w:rPr>
          <w:rFonts w:ascii="Simplified Arabic" w:hAnsi="Simplified Arabic" w:cs="Simplified Arabic"/>
        </w:rPr>
        <w:t xml:space="preserve"> </w:t>
      </w:r>
      <w:r w:rsidRPr="002D0DD5">
        <w:rPr>
          <w:rFonts w:ascii="Sakkal Majalla" w:hAnsi="Sakkal Majalla" w:cs="Sakkal Majalla"/>
          <w:b/>
          <w:bCs/>
          <w:color w:val="1F497D" w:themeColor="text2"/>
          <w:sz w:val="32"/>
          <w:szCs w:val="32"/>
          <w:u w:val="single"/>
          <w:rtl/>
        </w:rPr>
        <w:t xml:space="preserve">مجتمع الدراسة </w:t>
      </w:r>
    </w:p>
    <w:p w14:paraId="2E548238"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rtl/>
        </w:rPr>
        <w:t xml:space="preserve">يتحدد مجتمع الدراسة إجرائيًا بأنه: جميع العاملين في وكالات التسويق الرقمي المرخَّصة نظاميًا والعاملة فعليًا في ثلاث مدن رئيسة بالمملكة العربية السعودية هي الرياض وجدة والدمام، ممن ترتبط طبيعة عملهم بتخطيط الحملات التسويقية الرقمية أو تصميمها أو تنفيذها أو تحليل أدائها. ويُعتمد هذا التحديد الجغرافي الثلاثي نطاقًا نهائيًا وموحدًا للدراسة في جميع </w:t>
      </w:r>
      <w:r w:rsidRPr="002D0DD5">
        <w:rPr>
          <w:rFonts w:ascii="Simplified Arabic" w:hAnsi="Simplified Arabic" w:cs="Simplified Arabic"/>
          <w:rtl/>
        </w:rPr>
        <w:lastRenderedPageBreak/>
        <w:t>أجزائها، بما يشمل شروط الأهلية، والمتغيرات الوصفية، وإجراءات الاستقطاب والمعاينة؛ ومن ثم لا تُدرج أي مدينة أخرى خارج الرياض وجدة والدمام ضمن المجتمع المستهدف أو العينة الفعلية.</w:t>
      </w:r>
    </w:p>
    <w:p w14:paraId="7B1474CF"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b/>
          <w:bCs/>
          <w:rtl/>
        </w:rPr>
        <w:t>التعريف الإجرائي لوكالة التسويق الرقمي المرخَّصة</w:t>
      </w:r>
    </w:p>
    <w:p w14:paraId="5AD21A90" w14:textId="77777777" w:rsidR="002D0DD5" w:rsidRPr="002D0DD5" w:rsidRDefault="002D0DD5" w:rsidP="002D0DD5">
      <w:pPr>
        <w:bidi/>
        <w:spacing w:after="200" w:line="276" w:lineRule="auto"/>
        <w:rPr>
          <w:rFonts w:ascii="Simplified Arabic" w:hAnsi="Simplified Arabic" w:cs="Simplified Arabic"/>
          <w:b/>
          <w:bCs/>
          <w:color w:val="EE0000"/>
          <w:rtl/>
        </w:rPr>
      </w:pPr>
      <w:r w:rsidRPr="002D0DD5">
        <w:rPr>
          <w:rFonts w:ascii="Simplified Arabic" w:hAnsi="Simplified Arabic" w:cs="Simplified Arabic"/>
          <w:color w:val="EE0000"/>
          <w:rtl/>
        </w:rPr>
        <w:t>يُقصد بوكالة التسويق الرقمي المرخصة في هذه الدراسة كل منشأة تجارية تمتلك سجلًا تجاريًا ساري المفعول صادرًا وفق الأنظمة المعمول بها في المملكة العربية السعودية، ويتضمن نشاطها الرئيس أو أحد أنشطتها المرخصة تقديم خدمات التسويق أو الدعاية والإعلان أو الاتصال التسويقي لعملاء خارجيين، وتشمل خدماتها التخطيط للحملات التسويقية الرقمية أو إنتاج المحتوى وتصميمه أو تنفيذ الحملات أو إدارة قنواتها الرقمية أو تحليل أدائها. وسيُتحقق من الصفة النظامية للمنشأة من خلال بيانات السجل التجاري والأنشطة المسجلة عبر المصادر الحكومية ذات الصلة، ومنها منصة المركز السعودي للأعمال. وفي الحالات التي يتطلب فيها نوع النشاط الإعلامي ترخيصًا إضافيًا، سيُتحقق من الترخيص الصادر عن الهيئة العامة لتنظيم الإعلام وفق طبيعة النشاط.</w:t>
      </w:r>
    </w:p>
    <w:p w14:paraId="4951FFC5" w14:textId="77777777" w:rsidR="002D0DD5" w:rsidRPr="002D0DD5" w:rsidRDefault="002D0DD5" w:rsidP="002D0DD5">
      <w:pPr>
        <w:bidi/>
        <w:spacing w:after="200" w:line="276" w:lineRule="auto"/>
        <w:rPr>
          <w:rFonts w:ascii="Simplified Arabic" w:hAnsi="Simplified Arabic" w:cs="Simplified Arabic"/>
          <w:color w:val="EE0000"/>
          <w:rtl/>
        </w:rPr>
      </w:pPr>
      <w:r w:rsidRPr="002D0DD5">
        <w:rPr>
          <w:rFonts w:ascii="Simplified Arabic" w:hAnsi="Simplified Arabic" w:cs="Simplified Arabic"/>
          <w:b/>
          <w:bCs/>
          <w:color w:val="EE0000"/>
          <w:rtl/>
        </w:rPr>
        <w:t>توثيق إطار الوكالات المشمولة</w:t>
      </w:r>
    </w:p>
    <w:p w14:paraId="69CE1343" w14:textId="77777777" w:rsidR="002D0DD5" w:rsidRPr="002D0DD5" w:rsidRDefault="002D0DD5" w:rsidP="002D0DD5">
      <w:pPr>
        <w:bidi/>
        <w:spacing w:after="200" w:line="276" w:lineRule="auto"/>
        <w:rPr>
          <w:rFonts w:ascii="Simplified Arabic" w:hAnsi="Simplified Arabic" w:cs="Simplified Arabic"/>
          <w:b/>
          <w:bCs/>
          <w:color w:val="EE0000"/>
          <w:rtl/>
        </w:rPr>
      </w:pPr>
      <w:r w:rsidRPr="002D0DD5">
        <w:rPr>
          <w:rFonts w:ascii="Simplified Arabic" w:hAnsi="Simplified Arabic" w:cs="Simplified Arabic"/>
          <w:color w:val="EE0000"/>
          <w:rtl/>
        </w:rPr>
        <w:t>تشير نشرة قطاع الأعمال الصادرة عن وزارة التجارة إلى أن عدد السجلات التجارية القائمة في نشاط مؤسسات ووكالات الدعاية والإعلان على مستوى المملكة بلغ (26,016) سجلًا بنهاية الربع الأول من عام 2026م، بما يعكس اتساع القطاع محل الدراسة. أما إطار الوكالات المستهدفة في الدراسة الحالية، فسيُبنى بصورة مستقلة للرياض وجدة والدمام من خلال حصر المنشآت ذات الأنشطة ذات الصلة في المصادر الحكومية والمهنية المتاحة، مع استبعاد المنشآت التي لا تستوفي التعريف الإجرائي المعتمد في الدراسة. وسيُوثق العدد الناتج لكل مدينة، ومصدر الحصر، وتاريخ الاستخراج، قبل بدء الاستقطاب الميداني، ويُرفق إطار الوكالات المستخدم ضمن ملحق مستقل.</w:t>
      </w:r>
    </w:p>
    <w:p w14:paraId="21C5E45B"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التمييز بين إطار الوكالات وإطار العاملين</w:t>
      </w:r>
    </w:p>
    <w:p w14:paraId="3FD649E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سيجري الباحث محاولة أولى للحصول على قائمة بالوكالات العاملة في المدن الثلاث من مصادرها الرسمية المذكورة أعلاه، تُستخدم إطارًا مرجعيًا لتوزيع قنوات الاستقطاب وتنويع نقاط الوصول إلى العاملين، حتى مع تعذّر إعداد إطار معاينة شامل بأسماء الأفراد العاملين داخل هذه الوكالات؛ إذ يظل تعذّر حصر العاملين أمرًا منفصلًا عن إمكان حصر الوكالات نفسها، وسيُستفاد من قائمة الوكالات في توجيه جهود الاستقطاب نحو تغطية أوسع وأكثر توازنًا.</w:t>
      </w:r>
    </w:p>
    <w:p w14:paraId="1ADF0542"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b/>
          <w:bCs/>
          <w:rtl/>
        </w:rPr>
        <w:t>مبررات اختيار المدن المستهدفة</w:t>
      </w:r>
    </w:p>
    <w:p w14:paraId="78D967A0" w14:textId="77777777" w:rsidR="002D0DD5" w:rsidRPr="002D0DD5" w:rsidRDefault="002D0DD5" w:rsidP="002D0DD5">
      <w:pPr>
        <w:bidi/>
        <w:spacing w:after="200" w:line="276" w:lineRule="auto"/>
        <w:rPr>
          <w:rFonts w:ascii="Simplified Arabic" w:hAnsi="Simplified Arabic" w:cs="Simplified Arabic"/>
          <w:b/>
          <w:bCs/>
          <w:rtl/>
        </w:rPr>
      </w:pPr>
      <w:r w:rsidRPr="002D0DD5">
        <w:rPr>
          <w:rFonts w:ascii="Simplified Arabic" w:hAnsi="Simplified Arabic" w:cs="Simplified Arabic"/>
          <w:rtl/>
        </w:rPr>
        <w:t>اختيرت الرياض وجدة والدمام بوصفها ثلاثة مراكز اقتصادية وحضرية رئيسة في المملكة، وتتوافر فيها بيئة مؤسسية متنوعة تضم وكالات دعاية وإعلان وتسويق وقطاعات واسعة من العمالء الحكوميين والتجاريين، بما يتيح الوصول إلى وكالات متفاوتة في الحجم وطبيعة النشاط والأدوار الوظيفية. كما سيُستخدم الحصر الرسمي للوكالات المؤهلة في المدن الثلاث، المشار إليه في الفقرة السابقة، لتوثيق حجم النشاط الفعلي في كل مدينة ودعم هذا الاختيار بصورة كمية قبل بدء التطبيق الميداني.</w:t>
      </w:r>
    </w:p>
    <w:p w14:paraId="47695D3C" w14:textId="77777777" w:rsidR="002D0DD5" w:rsidRPr="002D0DD5" w:rsidRDefault="002D0DD5" w:rsidP="002D0DD5">
      <w:pPr>
        <w:bidi/>
        <w:spacing w:after="200" w:line="276" w:lineRule="auto"/>
        <w:rPr>
          <w:rFonts w:ascii="Simplified Arabic" w:hAnsi="Simplified Arabic" w:cs="Simplified Arabic"/>
          <w:b/>
          <w:bCs/>
          <w:rtl/>
        </w:rPr>
      </w:pPr>
    </w:p>
    <w:p w14:paraId="302AA73B"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lastRenderedPageBreak/>
        <w:t>الفئات الوظيفية المؤهلة للمشاركة</w:t>
      </w:r>
    </w:p>
    <w:p w14:paraId="6F5E5381"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حُدِّدت الفئات الوظيفية المؤهلة للمشاركة بمسميات وظيفية محددة تندرج تحت أربع مجموعات رئيسة، على النحو الآتي:</w:t>
      </w:r>
    </w:p>
    <w:p w14:paraId="10B66A3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جدول (3-2): الفئات الوظيفية المؤهلة للمشاركة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400"/>
      </w:tblGrid>
      <w:tr w:rsidR="002D0DD5" w:rsidRPr="002D0DD5" w14:paraId="2601C991" w14:textId="77777777" w:rsidTr="00911285">
        <w:tc>
          <w:tcPr>
            <w:tcW w:w="2200" w:type="dxa"/>
            <w:shd w:val="clear" w:color="auto" w:fill="D9D9D9"/>
            <w:tcMar>
              <w:top w:w="80" w:type="dxa"/>
              <w:left w:w="100" w:type="dxa"/>
              <w:bottom w:w="80" w:type="dxa"/>
              <w:right w:w="100" w:type="dxa"/>
            </w:tcMar>
            <w:vAlign w:val="center"/>
          </w:tcPr>
          <w:p w14:paraId="411648B4"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المجموعة الوظيفية</w:t>
            </w:r>
          </w:p>
        </w:tc>
        <w:tc>
          <w:tcPr>
            <w:tcW w:w="5400" w:type="dxa"/>
            <w:shd w:val="clear" w:color="auto" w:fill="D9D9D9"/>
            <w:tcMar>
              <w:top w:w="80" w:type="dxa"/>
              <w:left w:w="100" w:type="dxa"/>
              <w:bottom w:w="80" w:type="dxa"/>
              <w:right w:w="100" w:type="dxa"/>
            </w:tcMar>
            <w:vAlign w:val="center"/>
          </w:tcPr>
          <w:p w14:paraId="0EEFF11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أمثلة على المسميات الوظيفية المشمولة</w:t>
            </w:r>
          </w:p>
        </w:tc>
      </w:tr>
      <w:tr w:rsidR="002D0DD5" w:rsidRPr="002D0DD5" w14:paraId="6E63940D" w14:textId="77777777" w:rsidTr="00911285">
        <w:tc>
          <w:tcPr>
            <w:tcW w:w="2200" w:type="dxa"/>
            <w:tcMar>
              <w:top w:w="80" w:type="dxa"/>
              <w:left w:w="100" w:type="dxa"/>
              <w:bottom w:w="80" w:type="dxa"/>
              <w:right w:w="100" w:type="dxa"/>
            </w:tcMar>
            <w:vAlign w:val="center"/>
          </w:tcPr>
          <w:p w14:paraId="2D9E85F6"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التخطيط والاستراتيجية</w:t>
            </w:r>
          </w:p>
        </w:tc>
        <w:tc>
          <w:tcPr>
            <w:tcW w:w="5400" w:type="dxa"/>
            <w:tcMar>
              <w:top w:w="80" w:type="dxa"/>
              <w:left w:w="100" w:type="dxa"/>
              <w:bottom w:w="80" w:type="dxa"/>
              <w:right w:w="100" w:type="dxa"/>
            </w:tcMar>
            <w:vAlign w:val="center"/>
          </w:tcPr>
          <w:p w14:paraId="3585F061"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مخطط استراتيجي، استراتيجي حملات، مدير حسابات استراتيجي، مخطط وسائط</w:t>
            </w:r>
          </w:p>
        </w:tc>
      </w:tr>
      <w:tr w:rsidR="002D0DD5" w:rsidRPr="002D0DD5" w14:paraId="1D65AD93" w14:textId="77777777" w:rsidTr="00911285">
        <w:tc>
          <w:tcPr>
            <w:tcW w:w="2200" w:type="dxa"/>
            <w:tcMar>
              <w:top w:w="80" w:type="dxa"/>
              <w:left w:w="100" w:type="dxa"/>
              <w:bottom w:w="80" w:type="dxa"/>
              <w:right w:w="100" w:type="dxa"/>
            </w:tcMar>
            <w:vAlign w:val="center"/>
          </w:tcPr>
          <w:p w14:paraId="7D339641"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الإبداع والتصميم</w:t>
            </w:r>
          </w:p>
        </w:tc>
        <w:tc>
          <w:tcPr>
            <w:tcW w:w="5400" w:type="dxa"/>
            <w:tcMar>
              <w:top w:w="80" w:type="dxa"/>
              <w:left w:w="100" w:type="dxa"/>
              <w:bottom w:w="80" w:type="dxa"/>
              <w:right w:w="100" w:type="dxa"/>
            </w:tcMar>
            <w:vAlign w:val="center"/>
          </w:tcPr>
          <w:p w14:paraId="3F182C3B"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مصمم جرافيك، مصمم موشن جرافيك، مدير إبداعي، مصمم محتوى بصري</w:t>
            </w:r>
          </w:p>
        </w:tc>
      </w:tr>
      <w:tr w:rsidR="002D0DD5" w:rsidRPr="002D0DD5" w14:paraId="7E6B8EC6" w14:textId="77777777" w:rsidTr="00911285">
        <w:tc>
          <w:tcPr>
            <w:tcW w:w="2200" w:type="dxa"/>
            <w:tcMar>
              <w:top w:w="80" w:type="dxa"/>
              <w:left w:w="100" w:type="dxa"/>
              <w:bottom w:w="80" w:type="dxa"/>
              <w:right w:w="100" w:type="dxa"/>
            </w:tcMar>
            <w:vAlign w:val="center"/>
          </w:tcPr>
          <w:p w14:paraId="60C0A79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كتابة المحتوى والتنفيذ</w:t>
            </w:r>
          </w:p>
        </w:tc>
        <w:tc>
          <w:tcPr>
            <w:tcW w:w="5400" w:type="dxa"/>
            <w:tcMar>
              <w:top w:w="80" w:type="dxa"/>
              <w:left w:w="100" w:type="dxa"/>
              <w:bottom w:w="80" w:type="dxa"/>
              <w:right w:w="100" w:type="dxa"/>
            </w:tcMar>
            <w:vAlign w:val="center"/>
          </w:tcPr>
          <w:p w14:paraId="59E9EE6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كاتب محتوى، منفذ حملات، أخصائي وسائل تواصل، أخصائي إعلانات مدفوعة</w:t>
            </w:r>
          </w:p>
        </w:tc>
      </w:tr>
      <w:tr w:rsidR="002D0DD5" w:rsidRPr="002D0DD5" w14:paraId="613DB4A5" w14:textId="77777777" w:rsidTr="00911285">
        <w:tc>
          <w:tcPr>
            <w:tcW w:w="2200" w:type="dxa"/>
            <w:tcMar>
              <w:top w:w="80" w:type="dxa"/>
              <w:left w:w="100" w:type="dxa"/>
              <w:bottom w:w="80" w:type="dxa"/>
              <w:right w:w="100" w:type="dxa"/>
            </w:tcMar>
            <w:vAlign w:val="center"/>
          </w:tcPr>
          <w:p w14:paraId="7F514C5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تحليل الأداء</w:t>
            </w:r>
          </w:p>
        </w:tc>
        <w:tc>
          <w:tcPr>
            <w:tcW w:w="5400" w:type="dxa"/>
            <w:tcMar>
              <w:top w:w="80" w:type="dxa"/>
              <w:left w:w="100" w:type="dxa"/>
              <w:bottom w:w="80" w:type="dxa"/>
              <w:right w:w="100" w:type="dxa"/>
            </w:tcMar>
            <w:vAlign w:val="center"/>
          </w:tcPr>
          <w:p w14:paraId="6CE9D28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محلل أداء تسويقي، محلل بيانات، أخصائي تحسين محركات البحث/الإعلانات</w:t>
            </w:r>
          </w:p>
        </w:tc>
      </w:tr>
    </w:tbl>
    <w:p w14:paraId="1747FBAE" w14:textId="77777777" w:rsidR="002D0DD5" w:rsidRPr="002D0DD5" w:rsidRDefault="002D0DD5" w:rsidP="002D0DD5">
      <w:pPr>
        <w:bidi/>
        <w:spacing w:after="200" w:line="276" w:lineRule="auto"/>
        <w:rPr>
          <w:rFonts w:ascii="Simplified Arabic" w:hAnsi="Simplified Arabic" w:cs="Simplified Arabic"/>
          <w:color w:val="EE0000"/>
          <w:rtl/>
        </w:rPr>
      </w:pPr>
    </w:p>
    <w:p w14:paraId="3F8EFE9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وتُستبعد المسميات الإدارية أو الفنية غير المرتبطة مباشرة بأي من هذه المراحل الأربع (كالمحاسبة أو تقنية المعلومات الداخلية)، ما لم يجمع الموظف بين مهامه الأساسية ومهام تندرج ضمن الفئات المذكورة.</w:t>
      </w:r>
    </w:p>
    <w:p w14:paraId="6BCA4338" w14:textId="77777777" w:rsidR="002D0DD5" w:rsidRPr="002D0DD5" w:rsidRDefault="002D0DD5" w:rsidP="002D0DD5">
      <w:pPr>
        <w:bidi/>
        <w:spacing w:after="200" w:line="276" w:lineRule="auto"/>
        <w:rPr>
          <w:rFonts w:ascii="Simplified Arabic" w:hAnsi="Simplified Arabic" w:cs="Simplified Arabic"/>
          <w:rtl/>
        </w:rPr>
      </w:pPr>
    </w:p>
    <w:p w14:paraId="49819D0D"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عينة الدراسة</w:t>
      </w:r>
    </w:p>
    <w:p w14:paraId="0C72D02C"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b/>
          <w:bCs/>
          <w:rtl/>
        </w:rPr>
        <w:t>أسلوب المعاينة</w:t>
      </w:r>
    </w:p>
    <w:p w14:paraId="2BA8D04C"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rtl/>
        </w:rPr>
        <w:t>نظرًا لتعذّر بناء إطار معاينة شامل بأسماء العاملين، ستُختار عينة الدراسة بأسلوب المعاينة غير الاحتمالية (Non-Probability Sampling)، عبر طريقتي العينة الميسرة (Convenience) وكرة الثلج (Snowball)، للوصول إلى المختصين في التخطيط والإبداع والتنفيذ والتحليل داخل الوكالات. وتُعد هاتان الطريقتان من الأساليب المقبولة منهجيًا حين يتعذّر الاختيار العشوائي لغياب إطار المعاينة، شريطة ضبط شروط الأهلية وتوثيق خصائص المستجيبين (Saunders et al., 2019; Etikan et al., 2016)، ويدرك الباحث أن هذا الأسلوب، بحكم طبيعته غير الاحتمالية، يحدّ من إمكانية تعميم النتائج على مجتمع الدراسة كافة؛ ولذلك ستُفسَّر النتائج في حدود خصائص العينة المشاركة، مع السعي إلى تخفيف هذا القيد عبر الإجراءات الموضحة في الفقرات التالية.</w:t>
      </w:r>
    </w:p>
    <w:p w14:paraId="064BC2D0" w14:textId="77777777" w:rsidR="002D0DD5" w:rsidRPr="002D0DD5" w:rsidRDefault="002D0DD5" w:rsidP="002D0DD5">
      <w:pPr>
        <w:bidi/>
        <w:spacing w:after="200" w:line="276" w:lineRule="auto"/>
        <w:rPr>
          <w:rFonts w:ascii="Simplified Arabic" w:hAnsi="Simplified Arabic" w:cs="Simplified Arabic"/>
          <w:color w:val="EE0000"/>
          <w:rtl/>
        </w:rPr>
      </w:pPr>
      <w:bookmarkStart w:id="3" w:name="_Hlk237109320"/>
      <w:r w:rsidRPr="002D0DD5">
        <w:rPr>
          <w:rFonts w:ascii="Simplified Arabic" w:hAnsi="Simplified Arabic" w:cs="Simplified Arabic"/>
          <w:b/>
          <w:bCs/>
          <w:color w:val="EE0000"/>
          <w:rtl/>
        </w:rPr>
        <w:lastRenderedPageBreak/>
        <w:t>شروط الأهلية ومعايير الاستبعاد</w:t>
      </w:r>
    </w:p>
    <w:p w14:paraId="237D58D1"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قبل تمكين المشارك من إكمال الاستبانة، سيُتحقق من استيفائه شروط الأهلية التالية من خلال أسئلة تمهيدية مبرمجة تُنهي المشاركة تلقائيًا وتعرض رسالة شكر عند عدم تحقق أي شرط منها:</w:t>
      </w:r>
    </w:p>
    <w:p w14:paraId="1AC506B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جدول (3-3): شروط أهلية المشاركة في الدراسة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400"/>
      </w:tblGrid>
      <w:tr w:rsidR="002D0DD5" w:rsidRPr="002D0DD5" w14:paraId="0ADA7FC2" w14:textId="77777777" w:rsidTr="00911285">
        <w:tc>
          <w:tcPr>
            <w:tcW w:w="1200" w:type="dxa"/>
            <w:shd w:val="clear" w:color="auto" w:fill="D9D9D9"/>
            <w:tcMar>
              <w:top w:w="80" w:type="dxa"/>
              <w:left w:w="100" w:type="dxa"/>
              <w:bottom w:w="80" w:type="dxa"/>
              <w:right w:w="100" w:type="dxa"/>
            </w:tcMar>
            <w:vAlign w:val="center"/>
          </w:tcPr>
          <w:p w14:paraId="139E9A0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الرمز</w:t>
            </w:r>
          </w:p>
        </w:tc>
        <w:tc>
          <w:tcPr>
            <w:tcW w:w="6400" w:type="dxa"/>
            <w:shd w:val="clear" w:color="auto" w:fill="D9D9D9"/>
            <w:tcMar>
              <w:top w:w="80" w:type="dxa"/>
              <w:left w:w="100" w:type="dxa"/>
              <w:bottom w:w="80" w:type="dxa"/>
              <w:right w:w="100" w:type="dxa"/>
            </w:tcMar>
            <w:vAlign w:val="center"/>
          </w:tcPr>
          <w:p w14:paraId="4688D830"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شرط الأهلية</w:t>
            </w:r>
          </w:p>
        </w:tc>
      </w:tr>
      <w:tr w:rsidR="002D0DD5" w:rsidRPr="002D0DD5" w14:paraId="2F838A9C" w14:textId="77777777" w:rsidTr="00911285">
        <w:tc>
          <w:tcPr>
            <w:tcW w:w="1200" w:type="dxa"/>
            <w:tcMar>
              <w:top w:w="80" w:type="dxa"/>
              <w:left w:w="100" w:type="dxa"/>
              <w:bottom w:w="80" w:type="dxa"/>
              <w:right w:w="100" w:type="dxa"/>
            </w:tcMar>
            <w:vAlign w:val="center"/>
          </w:tcPr>
          <w:p w14:paraId="7B63F28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S1</w:t>
            </w:r>
          </w:p>
        </w:tc>
        <w:tc>
          <w:tcPr>
            <w:tcW w:w="6400" w:type="dxa"/>
            <w:tcMar>
              <w:top w:w="80" w:type="dxa"/>
              <w:left w:w="100" w:type="dxa"/>
              <w:bottom w:w="80" w:type="dxa"/>
              <w:right w:w="100" w:type="dxa"/>
            </w:tcMar>
            <w:vAlign w:val="center"/>
          </w:tcPr>
          <w:p w14:paraId="445C99C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العمل الحالي في وكالة تسويق رقمي مرخَّصة عاملة في الرياض أو جدة أو الدمام.</w:t>
            </w:r>
          </w:p>
        </w:tc>
      </w:tr>
      <w:tr w:rsidR="002D0DD5" w:rsidRPr="002D0DD5" w14:paraId="7B7FE352" w14:textId="77777777" w:rsidTr="00911285">
        <w:tc>
          <w:tcPr>
            <w:tcW w:w="1200" w:type="dxa"/>
            <w:tcMar>
              <w:top w:w="80" w:type="dxa"/>
              <w:left w:w="100" w:type="dxa"/>
              <w:bottom w:w="80" w:type="dxa"/>
              <w:right w:w="100" w:type="dxa"/>
            </w:tcMar>
            <w:vAlign w:val="center"/>
          </w:tcPr>
          <w:p w14:paraId="6469420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S2</w:t>
            </w:r>
          </w:p>
        </w:tc>
        <w:tc>
          <w:tcPr>
            <w:tcW w:w="6400" w:type="dxa"/>
            <w:tcMar>
              <w:top w:w="80" w:type="dxa"/>
              <w:left w:w="100" w:type="dxa"/>
              <w:bottom w:w="80" w:type="dxa"/>
              <w:right w:w="100" w:type="dxa"/>
            </w:tcMar>
            <w:vAlign w:val="center"/>
          </w:tcPr>
          <w:p w14:paraId="35182CE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ارتباط طبيعة العمل بتخطيط الحملات التسويقية الرقمية أو تصميمها أو تنفيذها أو تحليل أدائها، ضمن الفئات الوظيفية المحددة في الجدول (3-2).</w:t>
            </w:r>
          </w:p>
        </w:tc>
      </w:tr>
      <w:tr w:rsidR="002D0DD5" w:rsidRPr="002D0DD5" w14:paraId="01E16C42" w14:textId="77777777" w:rsidTr="00911285">
        <w:tc>
          <w:tcPr>
            <w:tcW w:w="1200" w:type="dxa"/>
            <w:tcMar>
              <w:top w:w="80" w:type="dxa"/>
              <w:left w:w="100" w:type="dxa"/>
              <w:bottom w:w="80" w:type="dxa"/>
              <w:right w:w="100" w:type="dxa"/>
            </w:tcMar>
            <w:vAlign w:val="center"/>
          </w:tcPr>
          <w:p w14:paraId="7440CA94"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S3</w:t>
            </w:r>
          </w:p>
        </w:tc>
        <w:tc>
          <w:tcPr>
            <w:tcW w:w="6400" w:type="dxa"/>
            <w:tcMar>
              <w:top w:w="80" w:type="dxa"/>
              <w:left w:w="100" w:type="dxa"/>
              <w:bottom w:w="80" w:type="dxa"/>
              <w:right w:w="100" w:type="dxa"/>
            </w:tcMar>
            <w:vAlign w:val="center"/>
          </w:tcPr>
          <w:p w14:paraId="74A89177"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استخدام مباشر وعملي (Hands-on) لأداة واحدة على الأقل من أدوات الذكاء الاصطناعي التوليدي في سياق العمل على الحملات التسويقية الرقمية خلال آخر اثني عشر شهرًا، بمعدل لا يقل عن مرة شهريًا.</w:t>
            </w:r>
          </w:p>
        </w:tc>
      </w:tr>
      <w:tr w:rsidR="002D0DD5" w:rsidRPr="002D0DD5" w14:paraId="610244A4" w14:textId="77777777" w:rsidTr="00911285">
        <w:tc>
          <w:tcPr>
            <w:tcW w:w="1200" w:type="dxa"/>
            <w:tcMar>
              <w:top w:w="80" w:type="dxa"/>
              <w:left w:w="100" w:type="dxa"/>
              <w:bottom w:w="80" w:type="dxa"/>
              <w:right w:w="100" w:type="dxa"/>
            </w:tcMar>
            <w:vAlign w:val="center"/>
          </w:tcPr>
          <w:p w14:paraId="4002D45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S4</w:t>
            </w:r>
          </w:p>
        </w:tc>
        <w:tc>
          <w:tcPr>
            <w:tcW w:w="6400" w:type="dxa"/>
            <w:tcMar>
              <w:top w:w="80" w:type="dxa"/>
              <w:left w:w="100" w:type="dxa"/>
              <w:bottom w:w="80" w:type="dxa"/>
              <w:right w:w="100" w:type="dxa"/>
            </w:tcMar>
            <w:vAlign w:val="center"/>
          </w:tcPr>
          <w:p w14:paraId="47995943"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استمرار العمل في الوكالة الحالية أو في مجال الحملات الرقمية مدة ستة أشهر فأكثر.</w:t>
            </w:r>
          </w:p>
        </w:tc>
      </w:tr>
      <w:tr w:rsidR="002D0DD5" w:rsidRPr="002D0DD5" w14:paraId="396A3886" w14:textId="77777777" w:rsidTr="00911285">
        <w:tc>
          <w:tcPr>
            <w:tcW w:w="1200" w:type="dxa"/>
            <w:tcMar>
              <w:top w:w="80" w:type="dxa"/>
              <w:left w:w="100" w:type="dxa"/>
              <w:bottom w:w="80" w:type="dxa"/>
              <w:right w:w="100" w:type="dxa"/>
            </w:tcMar>
            <w:vAlign w:val="center"/>
          </w:tcPr>
          <w:p w14:paraId="2F103799"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S5</w:t>
            </w:r>
          </w:p>
        </w:tc>
        <w:tc>
          <w:tcPr>
            <w:tcW w:w="6400" w:type="dxa"/>
            <w:tcMar>
              <w:top w:w="80" w:type="dxa"/>
              <w:left w:w="100" w:type="dxa"/>
              <w:bottom w:w="80" w:type="dxa"/>
              <w:right w:w="100" w:type="dxa"/>
            </w:tcMar>
            <w:vAlign w:val="center"/>
          </w:tcPr>
          <w:p w14:paraId="1C31B144"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الموافقة الطوعية المستنيرة على المشاركة بعد الاطلاع على تعليمات الدراسة.</w:t>
            </w:r>
          </w:p>
        </w:tc>
      </w:tr>
    </w:tbl>
    <w:p w14:paraId="3B0736B6" w14:textId="77777777" w:rsidR="002D0DD5" w:rsidRPr="002D0DD5" w:rsidRDefault="002D0DD5" w:rsidP="002D0DD5">
      <w:pPr>
        <w:bidi/>
        <w:spacing w:after="200" w:line="276" w:lineRule="auto"/>
        <w:rPr>
          <w:rFonts w:ascii="Simplified Arabic" w:hAnsi="Simplified Arabic" w:cs="Simplified Arabic"/>
          <w:color w:val="EE0000"/>
          <w:rtl/>
        </w:rPr>
      </w:pPr>
    </w:p>
    <w:p w14:paraId="1ECAA947"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وتُستبعد من الدراسة الفئات التالية على وجه التحديد: المتدربون، والعاملون المؤقتون أو بعقود أقل من ستة أشهر، والمستقلون (Freelancers) غير المرتبطين بوكالة، ومن لا يملكون تعاملًا مباشرًا وحديثًا (خلال آخر اثني عشر شهرًا) مع أدوات الذكاء الاصطناعي التوليدي؛ إذ استُبعدت عبارة «معرفة عملية أو تعامل غير مباشر» الواردة سابقًا في شرط الأهلية توحيدًا لمنطق الأهلية مع خيارات الأسئلة الوصفية، ولضمان أن العينة تتكوّن من مشاركين ذوي خبرة كافية بموضوع الدراسة.</w:t>
      </w:r>
    </w:p>
    <w:p w14:paraId="5FCCD55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قنوات الوصول إلى العينة</w:t>
      </w:r>
    </w:p>
    <w:p w14:paraId="5022696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سيُستقطب المشاركون عبر أربع قنوات رئيسة: (1) التواصل المباشر مع مسؤولي الموارد البشرية أو مديري الوكالات المدرجة في إطار الوكالات الموثَّق سلفًا، لطلب تعميم رابط الاستبانة على العاملين المؤهلين؛ (2) الجمعيات والمجموعات المهنية المتخصصة في التسويق والإعلان في المملكة؛ (3) منصات التواصل المهني، وعلى رأسها لينكدإن، عبر مجموعات ومنتديات التسويق الرقمي السعودية؛ (4) الشبكة الشخصية والمهنية للباحث، والتي ستُستخدم منطلقًا أوليًا لتطبيق أسلوب كرة الثلج.</w:t>
      </w:r>
    </w:p>
    <w:p w14:paraId="5332E16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lastRenderedPageBreak/>
        <w:t>إجراءات تطبيق عينة كرة الثلج وضبط تنوعها</w:t>
      </w:r>
    </w:p>
    <w:p w14:paraId="61FEC4D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ستنطلق سلسلة الإحالات من مجموعة أولية تضم من (15) إلى (20) مشاركًا (Seeds) يُختارون بأسلوب ميسر بحيث يمثّلون تنوعًا مبدئيًا في المدينة الثلاث وحجم الوكالة والدور الوظيفي، ويُسمح لكل مشارك بترشيح ما لا يزيد عن ثلاثة مشاركين آخرين ممن تنطبق عليهم شروط الأهلية. وللحدّ من احتمال سيطرة شبكة مهنية واحدة على العينة، ستُنوَّع نقاط البداية بين عدة وكالات ومجموعات مهنية مستقلة عن بعضها، وسيوضع سقف أقصى لعدد الاستجابات المقبولة من الوكالة الواحدة لا يتجاوز (5%) من حجم العينة المستهدف، وسقف مماثل لعدد الاستجابات الناتجة عن سلسلة الإحالة الواحدة، مع تتبّع مصدر الإحالة (قناة الاستقطاب) ضمن البيانات الوصفية للتحقق لاحقًا من مدى تنوع مصادر العينة.</w:t>
      </w:r>
    </w:p>
    <w:p w14:paraId="05D39AA6"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b/>
          <w:bCs/>
          <w:rtl/>
        </w:rPr>
        <w:t>الحصص الاسترشادية للعينة</w:t>
      </w:r>
    </w:p>
    <w:p w14:paraId="21E07A8B" w14:textId="77777777" w:rsidR="002D0DD5" w:rsidRPr="002D0DD5" w:rsidRDefault="002D0DD5" w:rsidP="002D0DD5">
      <w:pPr>
        <w:bidi/>
        <w:spacing w:after="200" w:line="276" w:lineRule="auto"/>
        <w:rPr>
          <w:rFonts w:ascii="Simplified Arabic" w:hAnsi="Simplified Arabic" w:cs="Simplified Arabic"/>
        </w:rPr>
      </w:pPr>
      <w:r w:rsidRPr="002D0DD5">
        <w:rPr>
          <w:rFonts w:ascii="Simplified Arabic" w:hAnsi="Simplified Arabic" w:cs="Simplified Arabic"/>
          <w:rtl/>
        </w:rPr>
        <w:t>ستُعتمد حصص استرشادية غير ملزمة (لا تُستخدم لتبرير تمثيل احتمالي) لضبط تنوع العينة، على النحو الآتي:</w:t>
      </w:r>
    </w:p>
    <w:p w14:paraId="3BC9EEB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جدول (3-4): الحصص الاسترشادية وتوزيع العدد المستهدف على المدن</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000"/>
        <w:gridCol w:w="3000"/>
      </w:tblGrid>
      <w:tr w:rsidR="002D0DD5" w:rsidRPr="002D0DD5" w14:paraId="667B7B31" w14:textId="77777777" w:rsidTr="00911285">
        <w:tc>
          <w:tcPr>
            <w:tcW w:w="2600" w:type="dxa"/>
            <w:shd w:val="clear" w:color="auto" w:fill="D9D9D9"/>
            <w:tcMar>
              <w:top w:w="80" w:type="dxa"/>
              <w:left w:w="100" w:type="dxa"/>
              <w:bottom w:w="80" w:type="dxa"/>
              <w:right w:w="100" w:type="dxa"/>
            </w:tcMar>
            <w:vAlign w:val="center"/>
          </w:tcPr>
          <w:p w14:paraId="4CD8334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المدينة</w:t>
            </w:r>
          </w:p>
        </w:tc>
        <w:tc>
          <w:tcPr>
            <w:tcW w:w="2000" w:type="dxa"/>
            <w:shd w:val="clear" w:color="auto" w:fill="D9D9D9"/>
            <w:tcMar>
              <w:top w:w="80" w:type="dxa"/>
              <w:left w:w="100" w:type="dxa"/>
              <w:bottom w:w="80" w:type="dxa"/>
              <w:right w:w="100" w:type="dxa"/>
            </w:tcMar>
            <w:vAlign w:val="center"/>
          </w:tcPr>
          <w:p w14:paraId="1D351A18"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النسبة الاسترشادية</w:t>
            </w:r>
          </w:p>
        </w:tc>
        <w:tc>
          <w:tcPr>
            <w:tcW w:w="3000" w:type="dxa"/>
            <w:shd w:val="clear" w:color="auto" w:fill="D9D9D9"/>
            <w:tcMar>
              <w:top w:w="80" w:type="dxa"/>
              <w:left w:w="100" w:type="dxa"/>
              <w:bottom w:w="80" w:type="dxa"/>
              <w:right w:w="100" w:type="dxa"/>
            </w:tcMar>
            <w:vAlign w:val="center"/>
          </w:tcPr>
          <w:p w14:paraId="1936CDA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العدد التقريبي المستهدف (من أصل 384)</w:t>
            </w:r>
          </w:p>
        </w:tc>
      </w:tr>
      <w:tr w:rsidR="002D0DD5" w:rsidRPr="002D0DD5" w14:paraId="22FC9806" w14:textId="77777777" w:rsidTr="00911285">
        <w:tc>
          <w:tcPr>
            <w:tcW w:w="2600" w:type="dxa"/>
            <w:tcMar>
              <w:top w:w="80" w:type="dxa"/>
              <w:left w:w="100" w:type="dxa"/>
              <w:bottom w:w="80" w:type="dxa"/>
              <w:right w:w="100" w:type="dxa"/>
            </w:tcMar>
            <w:vAlign w:val="center"/>
          </w:tcPr>
          <w:p w14:paraId="2A32019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الرياض</w:t>
            </w:r>
          </w:p>
        </w:tc>
        <w:tc>
          <w:tcPr>
            <w:tcW w:w="2000" w:type="dxa"/>
            <w:tcMar>
              <w:top w:w="80" w:type="dxa"/>
              <w:left w:w="100" w:type="dxa"/>
              <w:bottom w:w="80" w:type="dxa"/>
              <w:right w:w="100" w:type="dxa"/>
            </w:tcMar>
            <w:vAlign w:val="center"/>
          </w:tcPr>
          <w:p w14:paraId="5B748C58"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45%–50%</w:t>
            </w:r>
          </w:p>
        </w:tc>
        <w:tc>
          <w:tcPr>
            <w:tcW w:w="3000" w:type="dxa"/>
            <w:tcMar>
              <w:top w:w="80" w:type="dxa"/>
              <w:left w:w="100" w:type="dxa"/>
              <w:bottom w:w="80" w:type="dxa"/>
              <w:right w:w="100" w:type="dxa"/>
            </w:tcMar>
            <w:vAlign w:val="center"/>
          </w:tcPr>
          <w:p w14:paraId="21390189"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نحو 175–190 مفردة</w:t>
            </w:r>
          </w:p>
        </w:tc>
      </w:tr>
      <w:tr w:rsidR="002D0DD5" w:rsidRPr="002D0DD5" w14:paraId="4D4B6D06" w14:textId="77777777" w:rsidTr="00911285">
        <w:tc>
          <w:tcPr>
            <w:tcW w:w="2600" w:type="dxa"/>
            <w:tcMar>
              <w:top w:w="80" w:type="dxa"/>
              <w:left w:w="100" w:type="dxa"/>
              <w:bottom w:w="80" w:type="dxa"/>
              <w:right w:w="100" w:type="dxa"/>
            </w:tcMar>
            <w:vAlign w:val="center"/>
          </w:tcPr>
          <w:p w14:paraId="4F60DAF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جدة</w:t>
            </w:r>
          </w:p>
        </w:tc>
        <w:tc>
          <w:tcPr>
            <w:tcW w:w="2000" w:type="dxa"/>
            <w:tcMar>
              <w:top w:w="80" w:type="dxa"/>
              <w:left w:w="100" w:type="dxa"/>
              <w:bottom w:w="80" w:type="dxa"/>
              <w:right w:w="100" w:type="dxa"/>
            </w:tcMar>
            <w:vAlign w:val="center"/>
          </w:tcPr>
          <w:p w14:paraId="51BC5BA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25%–30%</w:t>
            </w:r>
          </w:p>
        </w:tc>
        <w:tc>
          <w:tcPr>
            <w:tcW w:w="3000" w:type="dxa"/>
            <w:tcMar>
              <w:top w:w="80" w:type="dxa"/>
              <w:left w:w="100" w:type="dxa"/>
              <w:bottom w:w="80" w:type="dxa"/>
              <w:right w:w="100" w:type="dxa"/>
            </w:tcMar>
            <w:vAlign w:val="center"/>
          </w:tcPr>
          <w:p w14:paraId="42157C39"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نحو 95–115 مفردة</w:t>
            </w:r>
          </w:p>
        </w:tc>
      </w:tr>
      <w:tr w:rsidR="002D0DD5" w:rsidRPr="002D0DD5" w14:paraId="552BFAA7" w14:textId="77777777" w:rsidTr="00911285">
        <w:tc>
          <w:tcPr>
            <w:tcW w:w="2600" w:type="dxa"/>
            <w:tcMar>
              <w:top w:w="80" w:type="dxa"/>
              <w:left w:w="100" w:type="dxa"/>
              <w:bottom w:w="80" w:type="dxa"/>
              <w:right w:w="100" w:type="dxa"/>
            </w:tcMar>
            <w:vAlign w:val="center"/>
          </w:tcPr>
          <w:p w14:paraId="61A2629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الدمام</w:t>
            </w:r>
          </w:p>
        </w:tc>
        <w:tc>
          <w:tcPr>
            <w:tcW w:w="2000" w:type="dxa"/>
            <w:tcMar>
              <w:top w:w="80" w:type="dxa"/>
              <w:left w:w="100" w:type="dxa"/>
              <w:bottom w:w="80" w:type="dxa"/>
              <w:right w:w="100" w:type="dxa"/>
            </w:tcMar>
            <w:vAlign w:val="center"/>
          </w:tcPr>
          <w:p w14:paraId="2DADD5F0"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20%–25%</w:t>
            </w:r>
          </w:p>
        </w:tc>
        <w:tc>
          <w:tcPr>
            <w:tcW w:w="3000" w:type="dxa"/>
            <w:tcMar>
              <w:top w:w="80" w:type="dxa"/>
              <w:left w:w="100" w:type="dxa"/>
              <w:bottom w:w="80" w:type="dxa"/>
              <w:right w:w="100" w:type="dxa"/>
            </w:tcMar>
            <w:vAlign w:val="center"/>
          </w:tcPr>
          <w:p w14:paraId="00F514C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نحو 75–95 مفردة</w:t>
            </w:r>
          </w:p>
        </w:tc>
      </w:tr>
    </w:tbl>
    <w:p w14:paraId="133BAE04" w14:textId="77777777" w:rsidR="002D0DD5" w:rsidRPr="002D0DD5" w:rsidRDefault="002D0DD5" w:rsidP="002D0DD5">
      <w:pPr>
        <w:bidi/>
        <w:spacing w:after="200" w:line="276" w:lineRule="auto"/>
        <w:rPr>
          <w:rFonts w:ascii="Simplified Arabic" w:hAnsi="Simplified Arabic" w:cs="Simplified Arabic"/>
          <w:color w:val="EE0000"/>
          <w:rtl/>
        </w:rPr>
      </w:pPr>
    </w:p>
    <w:p w14:paraId="738F8A1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وتُطبَّق حصص استرشادية مماثلة لتنويع حجم الوكالة (صغيرة/متوسطة/كبيرة) والفئات الوظيفية الأربع، بحيث لا تقل نسبة أي فئة عن (10%) من إجمالي العينة، مع مراجعة دورية لنسب التوزيع أثناء جمع البيانات لتوجيه جهود الاستقطاب نحو الفئات الأقل تمثيلًا.</w:t>
      </w:r>
    </w:p>
    <w:p w14:paraId="64B2A9B7"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حجم العينة</w:t>
      </w:r>
    </w:p>
    <w:p w14:paraId="3525C56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حُدِّد حجم العينة بالجمع بين مدخلين متكاملين: أُجري تحليل القوة الإحصائية القبلي ببرنامج (G*Power 3.1)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(f² = 0.15) ومستوى دلالة (0.05) وقوة إحصائية (0.95)، بلغ الحد الأدنى المطلوب (138) مفردة. ويُعتمد هذا الرقم المبرر الإحصائي الرئيس لكفاية العينة لأغراض اختبار الفرضيات في إطار PLS-SEM.</w:t>
      </w:r>
    </w:p>
    <w:p w14:paraId="05128D76"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lastRenderedPageBreak/>
        <w:t>وإلى جانب ذلك، استُرشد بمعادلة كوكران (Cochran, 1977) الشائعة لتقدير حجم العينة في المجتمعات الكبيرة وغير محددة العدد بدقة، فبلغ الحجم الاسترشادي (384) مفردة عند مستوى ثقة (95%) وهامش خطأ (5%). غير أن معادلة كوكران تفترض أساسًا معاينة احتمالية، بينما تستخدم الدراسة معاينة ميسرة وكرة ثلج؛ ولذلك لا يُفسَّر الرقم (384) على أنه يضمن هامش خطأ إحصائيًا محددًا أو تمثيلًا احتماليًا للمجتمع، وإنما يُستخدم هدفًا استرشاديًا لتحسين استقرار التقديرات ودقة النتائج، تحسبًا اختياريًا يتجاوز الحد الأدنى الذي يقتضيه تحليل القوة الإحصائية بما يزيد على الضعفين، بما يتفق مع طبيعة PLS-SEM التي لا تشترط أصلًا أحجام عينات كبيرة، مع الإقرار الصريح بأن الأنسب اعتماد تحليل القوة مبررًا منهجيًا رئيسًا لكفاية العينة، واعتبار العدد الأكبر (384) هدفًا لتحسين استقرار التقديرات فحسب، دون الادعاء بتمثيل احتمالي (Hair et al., 2022).</w:t>
      </w:r>
    </w:p>
    <w:p w14:paraId="33C98C3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وسيُعمم رابط الاستبانة على عدد يفوق العدد النهائي المستهدف، لمواجهة عدم الاستجابة وحالات عدم الأهلية أو عدم اكتمال الإجابات والاستجابات التي قد تُستبعد أثناء تنظيف البيانات. ولأغراض التخطيط الميداني الأولي، يُفترض معدل استجابة يتراوح تقريبًا بين (40% و50%) دون اعتباره معدلًا مضمونًا؛ وبناءً عليه، ومع إضافة هامش احتياطي للاستجابات غير الصالحة، سيُستهدف مبدئيًا إيصال دعوة المشاركة إلى نحو (900–1100) مشارك محتمل، مع متابعة معدل الاستجابة أسبوعيًا وتوسيع جهود الاستقطاب عند الحاجة حتى الحصول على ما لا يقل عن (384) استجابة صالحة للتحليل. وسيُميز في التقرير الميداني بوضوح بين عدد الأشخاص الذين وصلت إليهم الدعوة، وعدد الاستجابات المستلمة إجمالًا، وعدد الاستجابات الصالحة بعد تطبيق معايير الأهلية والتنظيف.</w:t>
      </w:r>
    </w:p>
    <w:p w14:paraId="5614AAC3"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معالجة تداخل المشاركين داخل الوكالة الواحدة</w:t>
      </w:r>
    </w:p>
    <w:p w14:paraId="71E7EF0D"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نظرًا لاحتمال مشاركة أكثر من موظف من الوكالة نفسها، مما قد يجعل بعض الاستجابات متقاربة بسبب البيئة التنظيمية المشتركة، فسيُسجَّل رمز مجهول لكل وكالة ضمن بيانات المشاركين لأغراض التحليل فقط دون كشف الهوية، مع تطبيق سقف العدد الأقصى المشار إليه سابقًا لكل وكالة، وسيُجرى بعد جمع البيانات تحليل حساسية (Sensitivity Analysis) يقارن نتائج النموذج الهيكلي مع نتائج نموذج بديل يُستبعد منه الفائض عن حد معيّن من مشاركي الوكالة الواحدة، للتحقق من عدم تأثر الاستنتاجات الرئيسة بهذا التداخل المحتمل.</w:t>
      </w:r>
    </w:p>
    <w:bookmarkEnd w:id="3"/>
    <w:p w14:paraId="69CABB5C" w14:textId="77777777" w:rsidR="002D0DD5" w:rsidRPr="002D0DD5" w:rsidRDefault="002D0DD5" w:rsidP="002D0DD5">
      <w:pPr>
        <w:bidi/>
        <w:spacing w:after="200" w:line="276" w:lineRule="auto"/>
        <w:rPr>
          <w:rFonts w:ascii="Simplified Arabic" w:hAnsi="Simplified Arabic" w:cs="Simplified Arabic"/>
          <w:rtl/>
        </w:rPr>
      </w:pPr>
    </w:p>
    <w:p w14:paraId="21829928"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المتغيرات الوصفية لأفراد العينة</w:t>
      </w:r>
    </w:p>
    <w:p w14:paraId="2A3A5A1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w:t>
      </w:r>
    </w:p>
    <w:p w14:paraId="1B9FE86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جدول (3-5): المتغيرات الوصفية لأفراد عينة الدراسة</w:t>
      </w:r>
    </w:p>
    <w:tbl>
      <w:tblPr>
        <w:bidiVisual/>
        <w:tblW w:w="8400"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400"/>
        <w:gridCol w:w="5000"/>
      </w:tblGrid>
      <w:tr w:rsidR="002D0DD5" w:rsidRPr="002D0DD5" w14:paraId="24ADCF00" w14:textId="77777777" w:rsidTr="00911285">
        <w:tc>
          <w:tcPr>
            <w:tcW w:w="1000" w:type="dxa"/>
            <w:shd w:val="clear" w:color="auto" w:fill="D9D9D9"/>
            <w:tcMar>
              <w:top w:w="80" w:type="dxa"/>
              <w:left w:w="100" w:type="dxa"/>
              <w:bottom w:w="80" w:type="dxa"/>
              <w:right w:w="100" w:type="dxa"/>
            </w:tcMar>
            <w:vAlign w:val="center"/>
          </w:tcPr>
          <w:p w14:paraId="60A4419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الرمز</w:t>
            </w:r>
          </w:p>
        </w:tc>
        <w:tc>
          <w:tcPr>
            <w:tcW w:w="2400" w:type="dxa"/>
            <w:shd w:val="clear" w:color="auto" w:fill="D9D9D9"/>
            <w:tcMar>
              <w:top w:w="80" w:type="dxa"/>
              <w:left w:w="100" w:type="dxa"/>
              <w:bottom w:w="80" w:type="dxa"/>
              <w:right w:w="100" w:type="dxa"/>
            </w:tcMar>
            <w:vAlign w:val="center"/>
          </w:tcPr>
          <w:p w14:paraId="1874125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المتغير</w:t>
            </w:r>
          </w:p>
        </w:tc>
        <w:tc>
          <w:tcPr>
            <w:tcW w:w="5000" w:type="dxa"/>
            <w:shd w:val="clear" w:color="auto" w:fill="D9D9D9"/>
            <w:tcMar>
              <w:top w:w="80" w:type="dxa"/>
              <w:left w:w="100" w:type="dxa"/>
              <w:bottom w:w="80" w:type="dxa"/>
              <w:right w:w="100" w:type="dxa"/>
            </w:tcMar>
            <w:vAlign w:val="center"/>
          </w:tcPr>
          <w:p w14:paraId="37F09C6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الفئات</w:t>
            </w:r>
          </w:p>
        </w:tc>
      </w:tr>
      <w:tr w:rsidR="002D0DD5" w:rsidRPr="002D0DD5" w14:paraId="5F42DDE1" w14:textId="77777777" w:rsidTr="00911285">
        <w:tc>
          <w:tcPr>
            <w:tcW w:w="1000" w:type="dxa"/>
            <w:tcMar>
              <w:top w:w="80" w:type="dxa"/>
              <w:left w:w="100" w:type="dxa"/>
              <w:bottom w:w="80" w:type="dxa"/>
              <w:right w:w="100" w:type="dxa"/>
            </w:tcMar>
            <w:vAlign w:val="center"/>
          </w:tcPr>
          <w:p w14:paraId="3AEAFED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w:t>
            </w:r>
          </w:p>
        </w:tc>
        <w:tc>
          <w:tcPr>
            <w:tcW w:w="2400" w:type="dxa"/>
            <w:tcMar>
              <w:top w:w="80" w:type="dxa"/>
              <w:left w:w="100" w:type="dxa"/>
              <w:bottom w:w="80" w:type="dxa"/>
              <w:right w:w="100" w:type="dxa"/>
            </w:tcMar>
            <w:vAlign w:val="center"/>
          </w:tcPr>
          <w:p w14:paraId="643EDDF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الجنس</w:t>
            </w:r>
          </w:p>
        </w:tc>
        <w:tc>
          <w:tcPr>
            <w:tcW w:w="5000" w:type="dxa"/>
            <w:tcMar>
              <w:top w:w="80" w:type="dxa"/>
              <w:left w:w="100" w:type="dxa"/>
              <w:bottom w:w="80" w:type="dxa"/>
              <w:right w:w="100" w:type="dxa"/>
            </w:tcMar>
            <w:vAlign w:val="center"/>
          </w:tcPr>
          <w:p w14:paraId="5AD6032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ذكر، أنثى (اختيار واحد).</w:t>
            </w:r>
          </w:p>
        </w:tc>
      </w:tr>
      <w:tr w:rsidR="002D0DD5" w:rsidRPr="002D0DD5" w14:paraId="3E3B4393" w14:textId="77777777" w:rsidTr="00911285">
        <w:tc>
          <w:tcPr>
            <w:tcW w:w="1000" w:type="dxa"/>
            <w:tcMar>
              <w:top w:w="80" w:type="dxa"/>
              <w:left w:w="100" w:type="dxa"/>
              <w:bottom w:w="80" w:type="dxa"/>
              <w:right w:w="100" w:type="dxa"/>
            </w:tcMar>
            <w:vAlign w:val="center"/>
          </w:tcPr>
          <w:p w14:paraId="2346F93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lastRenderedPageBreak/>
              <w:t>P2</w:t>
            </w:r>
          </w:p>
        </w:tc>
        <w:tc>
          <w:tcPr>
            <w:tcW w:w="2400" w:type="dxa"/>
            <w:tcMar>
              <w:top w:w="80" w:type="dxa"/>
              <w:left w:w="100" w:type="dxa"/>
              <w:bottom w:w="80" w:type="dxa"/>
              <w:right w:w="100" w:type="dxa"/>
            </w:tcMar>
            <w:vAlign w:val="center"/>
          </w:tcPr>
          <w:p w14:paraId="74D3DC8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الفئة العمرية</w:t>
            </w:r>
          </w:p>
        </w:tc>
        <w:tc>
          <w:tcPr>
            <w:tcW w:w="5000" w:type="dxa"/>
            <w:tcMar>
              <w:top w:w="80" w:type="dxa"/>
              <w:left w:w="100" w:type="dxa"/>
              <w:bottom w:w="80" w:type="dxa"/>
              <w:right w:w="100" w:type="dxa"/>
            </w:tcMar>
            <w:vAlign w:val="center"/>
          </w:tcPr>
          <w:p w14:paraId="7EC09C5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أقل من 25 سنة، 25–أقل من 35، 35–أقل من 45، 45 فأكثر (اختيار واحد).</w:t>
            </w:r>
          </w:p>
        </w:tc>
      </w:tr>
      <w:tr w:rsidR="002D0DD5" w:rsidRPr="002D0DD5" w14:paraId="16CD230B" w14:textId="77777777" w:rsidTr="00911285">
        <w:tc>
          <w:tcPr>
            <w:tcW w:w="1000" w:type="dxa"/>
            <w:tcMar>
              <w:top w:w="80" w:type="dxa"/>
              <w:left w:w="100" w:type="dxa"/>
              <w:bottom w:w="80" w:type="dxa"/>
              <w:right w:w="100" w:type="dxa"/>
            </w:tcMar>
            <w:vAlign w:val="center"/>
          </w:tcPr>
          <w:p w14:paraId="029C234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P3</w:t>
            </w:r>
          </w:p>
        </w:tc>
        <w:tc>
          <w:tcPr>
            <w:tcW w:w="2400" w:type="dxa"/>
            <w:tcMar>
              <w:top w:w="80" w:type="dxa"/>
              <w:left w:w="100" w:type="dxa"/>
              <w:bottom w:w="80" w:type="dxa"/>
              <w:right w:w="100" w:type="dxa"/>
            </w:tcMar>
            <w:vAlign w:val="center"/>
          </w:tcPr>
          <w:p w14:paraId="3B01986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المؤهل العلمي</w:t>
            </w:r>
          </w:p>
        </w:tc>
        <w:tc>
          <w:tcPr>
            <w:tcW w:w="5000" w:type="dxa"/>
            <w:tcMar>
              <w:top w:w="80" w:type="dxa"/>
              <w:left w:w="100" w:type="dxa"/>
              <w:bottom w:w="80" w:type="dxa"/>
              <w:right w:w="100" w:type="dxa"/>
            </w:tcMar>
            <w:vAlign w:val="center"/>
          </w:tcPr>
          <w:p w14:paraId="4740AA2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دبلوم فأقل، بكالوريوس، ماجستير، دكتوراه، أخرى (اختيار واحد).</w:t>
            </w:r>
          </w:p>
        </w:tc>
      </w:tr>
      <w:tr w:rsidR="002D0DD5" w:rsidRPr="002D0DD5" w14:paraId="2CD9104E" w14:textId="77777777" w:rsidTr="00911285">
        <w:tc>
          <w:tcPr>
            <w:tcW w:w="1000" w:type="dxa"/>
            <w:tcMar>
              <w:top w:w="80" w:type="dxa"/>
              <w:left w:w="100" w:type="dxa"/>
              <w:bottom w:w="80" w:type="dxa"/>
              <w:right w:w="100" w:type="dxa"/>
            </w:tcMar>
            <w:vAlign w:val="center"/>
          </w:tcPr>
          <w:p w14:paraId="56C6144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P4</w:t>
            </w:r>
          </w:p>
        </w:tc>
        <w:tc>
          <w:tcPr>
            <w:tcW w:w="2400" w:type="dxa"/>
            <w:tcMar>
              <w:top w:w="80" w:type="dxa"/>
              <w:left w:w="100" w:type="dxa"/>
              <w:bottom w:w="80" w:type="dxa"/>
              <w:right w:w="100" w:type="dxa"/>
            </w:tcMar>
            <w:vAlign w:val="center"/>
          </w:tcPr>
          <w:p w14:paraId="08055D0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الدور الوظيفي</w:t>
            </w:r>
          </w:p>
        </w:tc>
        <w:tc>
          <w:tcPr>
            <w:tcW w:w="5000" w:type="dxa"/>
            <w:tcMar>
              <w:top w:w="80" w:type="dxa"/>
              <w:left w:w="100" w:type="dxa"/>
              <w:bottom w:w="80" w:type="dxa"/>
              <w:right w:w="100" w:type="dxa"/>
            </w:tcMar>
            <w:vAlign w:val="center"/>
          </w:tcPr>
          <w:p w14:paraId="50CEE94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تخطيط واستراتيجية، إبداع وتصميم، كتابة محتوى، تحليل بيانات وأداء، إدارة حسابات، إدارة حملات، إدارة عليا/إشرافية، أخرى (اختيار واحد).</w:t>
            </w:r>
          </w:p>
        </w:tc>
      </w:tr>
      <w:tr w:rsidR="002D0DD5" w:rsidRPr="002D0DD5" w14:paraId="28E45169" w14:textId="77777777" w:rsidTr="00911285">
        <w:tc>
          <w:tcPr>
            <w:tcW w:w="1000" w:type="dxa"/>
            <w:tcMar>
              <w:top w:w="80" w:type="dxa"/>
              <w:left w:w="100" w:type="dxa"/>
              <w:bottom w:w="80" w:type="dxa"/>
              <w:right w:w="100" w:type="dxa"/>
            </w:tcMar>
            <w:vAlign w:val="center"/>
          </w:tcPr>
          <w:p w14:paraId="1E53584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P5</w:t>
            </w:r>
          </w:p>
        </w:tc>
        <w:tc>
          <w:tcPr>
            <w:tcW w:w="2400" w:type="dxa"/>
            <w:tcMar>
              <w:top w:w="80" w:type="dxa"/>
              <w:left w:w="100" w:type="dxa"/>
              <w:bottom w:w="80" w:type="dxa"/>
              <w:right w:w="100" w:type="dxa"/>
            </w:tcMar>
            <w:vAlign w:val="center"/>
          </w:tcPr>
          <w:p w14:paraId="7E6F654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سنوات الخبرة</w:t>
            </w:r>
          </w:p>
        </w:tc>
        <w:tc>
          <w:tcPr>
            <w:tcW w:w="5000" w:type="dxa"/>
            <w:tcMar>
              <w:top w:w="80" w:type="dxa"/>
              <w:left w:w="100" w:type="dxa"/>
              <w:bottom w:w="80" w:type="dxa"/>
              <w:right w:w="100" w:type="dxa"/>
            </w:tcMar>
            <w:vAlign w:val="center"/>
          </w:tcPr>
          <w:p w14:paraId="128C3BF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أقل من 3 سنوات، 3–أقل من 7، 7–أقل من 10، 10 فأكثر (اختيار واحد).</w:t>
            </w:r>
          </w:p>
        </w:tc>
      </w:tr>
      <w:tr w:rsidR="002D0DD5" w:rsidRPr="002D0DD5" w14:paraId="06929306" w14:textId="77777777" w:rsidTr="00911285">
        <w:tc>
          <w:tcPr>
            <w:tcW w:w="1000" w:type="dxa"/>
            <w:tcMar>
              <w:top w:w="80" w:type="dxa"/>
              <w:left w:w="100" w:type="dxa"/>
              <w:bottom w:w="80" w:type="dxa"/>
              <w:right w:w="100" w:type="dxa"/>
            </w:tcMar>
            <w:vAlign w:val="center"/>
          </w:tcPr>
          <w:p w14:paraId="5A14003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P6</w:t>
            </w:r>
          </w:p>
        </w:tc>
        <w:tc>
          <w:tcPr>
            <w:tcW w:w="2400" w:type="dxa"/>
            <w:tcMar>
              <w:top w:w="80" w:type="dxa"/>
              <w:left w:w="100" w:type="dxa"/>
              <w:bottom w:w="80" w:type="dxa"/>
              <w:right w:w="100" w:type="dxa"/>
            </w:tcMar>
            <w:vAlign w:val="center"/>
          </w:tcPr>
          <w:p w14:paraId="4C58F40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حجم الوكالة</w:t>
            </w:r>
          </w:p>
        </w:tc>
        <w:tc>
          <w:tcPr>
            <w:tcW w:w="5000" w:type="dxa"/>
            <w:tcMar>
              <w:top w:w="80" w:type="dxa"/>
              <w:left w:w="100" w:type="dxa"/>
              <w:bottom w:w="80" w:type="dxa"/>
              <w:right w:w="100" w:type="dxa"/>
            </w:tcMar>
            <w:vAlign w:val="center"/>
          </w:tcPr>
          <w:p w14:paraId="0B95A2C8"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صغيرة (أقل من 30 موظفًا)، متوسطة (30–أقل من 100)، كبيرة (100 فأكثر) — تصنيف إجرائي اعتمده الباحث لأغراض هذه الدراسة (اختيار واحد).</w:t>
            </w:r>
          </w:p>
        </w:tc>
      </w:tr>
      <w:tr w:rsidR="002D0DD5" w:rsidRPr="002D0DD5" w14:paraId="6B3C31EC" w14:textId="77777777" w:rsidTr="00911285">
        <w:tc>
          <w:tcPr>
            <w:tcW w:w="1000" w:type="dxa"/>
            <w:tcMar>
              <w:top w:w="80" w:type="dxa"/>
              <w:left w:w="100" w:type="dxa"/>
              <w:bottom w:w="80" w:type="dxa"/>
              <w:right w:w="100" w:type="dxa"/>
            </w:tcMar>
            <w:vAlign w:val="center"/>
          </w:tcPr>
          <w:p w14:paraId="401F01C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P7</w:t>
            </w:r>
          </w:p>
        </w:tc>
        <w:tc>
          <w:tcPr>
            <w:tcW w:w="2400" w:type="dxa"/>
            <w:tcMar>
              <w:top w:w="80" w:type="dxa"/>
              <w:left w:w="100" w:type="dxa"/>
              <w:bottom w:w="80" w:type="dxa"/>
              <w:right w:w="100" w:type="dxa"/>
            </w:tcMar>
            <w:vAlign w:val="center"/>
          </w:tcPr>
          <w:p w14:paraId="00941CC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مدينة الوكالة</w:t>
            </w:r>
          </w:p>
        </w:tc>
        <w:tc>
          <w:tcPr>
            <w:tcW w:w="5000" w:type="dxa"/>
            <w:tcMar>
              <w:top w:w="80" w:type="dxa"/>
              <w:left w:w="100" w:type="dxa"/>
              <w:bottom w:w="80" w:type="dxa"/>
              <w:right w:w="100" w:type="dxa"/>
            </w:tcMar>
            <w:vAlign w:val="center"/>
          </w:tcPr>
          <w:p w14:paraId="4D204D2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الرياض، جدة، الدمام (اختيار واحد؛ يقتصر على المدن الثلاث المستهدفة بما ينسجم مع شرط الأهلية S1).</w:t>
            </w:r>
          </w:p>
        </w:tc>
      </w:tr>
      <w:tr w:rsidR="002D0DD5" w:rsidRPr="002D0DD5" w14:paraId="367F6DD2" w14:textId="77777777" w:rsidTr="00911285">
        <w:tc>
          <w:tcPr>
            <w:tcW w:w="1000" w:type="dxa"/>
            <w:tcMar>
              <w:top w:w="80" w:type="dxa"/>
              <w:left w:w="100" w:type="dxa"/>
              <w:bottom w:w="80" w:type="dxa"/>
              <w:right w:w="100" w:type="dxa"/>
            </w:tcMar>
            <w:vAlign w:val="center"/>
          </w:tcPr>
          <w:p w14:paraId="7F5419D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P8</w:t>
            </w:r>
          </w:p>
        </w:tc>
        <w:tc>
          <w:tcPr>
            <w:tcW w:w="2400" w:type="dxa"/>
            <w:tcMar>
              <w:top w:w="80" w:type="dxa"/>
              <w:left w:w="100" w:type="dxa"/>
              <w:bottom w:w="80" w:type="dxa"/>
              <w:right w:w="100" w:type="dxa"/>
            </w:tcMar>
            <w:vAlign w:val="center"/>
          </w:tcPr>
          <w:p w14:paraId="5870A86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طبيعة العملاء</w:t>
            </w:r>
          </w:p>
        </w:tc>
        <w:tc>
          <w:tcPr>
            <w:tcW w:w="5000" w:type="dxa"/>
            <w:tcMar>
              <w:top w:w="80" w:type="dxa"/>
              <w:left w:w="100" w:type="dxa"/>
              <w:bottom w:w="80" w:type="dxa"/>
              <w:right w:w="100" w:type="dxa"/>
            </w:tcMar>
            <w:vAlign w:val="center"/>
          </w:tcPr>
          <w:p w14:paraId="74FA042F"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جهات حكومية/شبه حكومية، شركات كبرى، منشآت صغيرة ومتوسطة، علامات ناشئة، قطاعات متعددة، أخرى (اختيار متعدد).</w:t>
            </w:r>
          </w:p>
        </w:tc>
      </w:tr>
      <w:tr w:rsidR="002D0DD5" w:rsidRPr="002D0DD5" w14:paraId="1D356418" w14:textId="77777777" w:rsidTr="00911285">
        <w:tc>
          <w:tcPr>
            <w:tcW w:w="1000" w:type="dxa"/>
            <w:tcMar>
              <w:top w:w="80" w:type="dxa"/>
              <w:left w:w="100" w:type="dxa"/>
              <w:bottom w:w="80" w:type="dxa"/>
              <w:right w:w="100" w:type="dxa"/>
            </w:tcMar>
            <w:vAlign w:val="center"/>
          </w:tcPr>
          <w:p w14:paraId="51A4D6B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P9</w:t>
            </w:r>
          </w:p>
        </w:tc>
        <w:tc>
          <w:tcPr>
            <w:tcW w:w="2400" w:type="dxa"/>
            <w:tcMar>
              <w:top w:w="80" w:type="dxa"/>
              <w:left w:w="100" w:type="dxa"/>
              <w:bottom w:w="80" w:type="dxa"/>
              <w:right w:w="100" w:type="dxa"/>
            </w:tcMar>
            <w:vAlign w:val="center"/>
          </w:tcPr>
          <w:p w14:paraId="3BCF45D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نضج استخدام التقنية داخل الوكالة</w:t>
            </w:r>
          </w:p>
        </w:tc>
        <w:tc>
          <w:tcPr>
            <w:tcW w:w="5000" w:type="dxa"/>
            <w:tcMar>
              <w:top w:w="80" w:type="dxa"/>
              <w:left w:w="100" w:type="dxa"/>
              <w:bottom w:w="80" w:type="dxa"/>
              <w:right w:w="100" w:type="dxa"/>
            </w:tcMar>
            <w:vAlign w:val="center"/>
          </w:tcPr>
          <w:p w14:paraId="19B7048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فردي محدود، تجريبي، منتظم في بعض المشاريع، مؤسسي مدمج، لا أعلم (اختيار واحد).</w:t>
            </w:r>
          </w:p>
        </w:tc>
      </w:tr>
      <w:tr w:rsidR="002D0DD5" w:rsidRPr="002D0DD5" w14:paraId="09DEEB08" w14:textId="77777777" w:rsidTr="00911285">
        <w:tc>
          <w:tcPr>
            <w:tcW w:w="1000" w:type="dxa"/>
            <w:tcMar>
              <w:top w:w="80" w:type="dxa"/>
              <w:left w:w="100" w:type="dxa"/>
              <w:bottom w:w="80" w:type="dxa"/>
              <w:right w:w="100" w:type="dxa"/>
            </w:tcMar>
            <w:vAlign w:val="center"/>
          </w:tcPr>
          <w:p w14:paraId="244DB74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P10</w:t>
            </w:r>
          </w:p>
        </w:tc>
        <w:tc>
          <w:tcPr>
            <w:tcW w:w="2400" w:type="dxa"/>
            <w:tcMar>
              <w:top w:w="80" w:type="dxa"/>
              <w:left w:w="100" w:type="dxa"/>
              <w:bottom w:w="80" w:type="dxa"/>
              <w:right w:w="100" w:type="dxa"/>
            </w:tcMar>
            <w:vAlign w:val="center"/>
          </w:tcPr>
          <w:p w14:paraId="547CC80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أنواع الأدوات المستخدمة</w:t>
            </w:r>
          </w:p>
        </w:tc>
        <w:tc>
          <w:tcPr>
            <w:tcW w:w="5000" w:type="dxa"/>
            <w:tcMar>
              <w:top w:w="80" w:type="dxa"/>
              <w:left w:w="100" w:type="dxa"/>
              <w:bottom w:w="80" w:type="dxa"/>
              <w:right w:w="100" w:type="dxa"/>
            </w:tcMar>
            <w:vAlign w:val="center"/>
          </w:tcPr>
          <w:p w14:paraId="5211A475"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نماذج لغوية، توليد صور وتصاميم، توليد فيديو/صوت، تحليل وتلخيص، أتمتة وتسويق، أخرى (اختيار متعدد).</w:t>
            </w:r>
          </w:p>
        </w:tc>
      </w:tr>
      <w:tr w:rsidR="002D0DD5" w:rsidRPr="002D0DD5" w14:paraId="3299CBD3" w14:textId="77777777" w:rsidTr="00911285">
        <w:tc>
          <w:tcPr>
            <w:tcW w:w="1000" w:type="dxa"/>
            <w:tcMar>
              <w:top w:w="80" w:type="dxa"/>
              <w:left w:w="100" w:type="dxa"/>
              <w:bottom w:w="80" w:type="dxa"/>
              <w:right w:w="100" w:type="dxa"/>
            </w:tcMar>
            <w:vAlign w:val="center"/>
          </w:tcPr>
          <w:p w14:paraId="47EB532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P11</w:t>
            </w:r>
          </w:p>
        </w:tc>
        <w:tc>
          <w:tcPr>
            <w:tcW w:w="2400" w:type="dxa"/>
            <w:tcMar>
              <w:top w:w="80" w:type="dxa"/>
              <w:left w:w="100" w:type="dxa"/>
              <w:bottom w:w="80" w:type="dxa"/>
              <w:right w:w="100" w:type="dxa"/>
            </w:tcMar>
            <w:vAlign w:val="center"/>
          </w:tcPr>
          <w:p w14:paraId="29E27A7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عدد الحملات خلال 12 شهرًا</w:t>
            </w:r>
          </w:p>
        </w:tc>
        <w:tc>
          <w:tcPr>
            <w:tcW w:w="5000" w:type="dxa"/>
            <w:tcMar>
              <w:top w:w="80" w:type="dxa"/>
              <w:left w:w="100" w:type="dxa"/>
              <w:bottom w:w="80" w:type="dxa"/>
              <w:right w:w="100" w:type="dxa"/>
            </w:tcMar>
            <w:vAlign w:val="center"/>
          </w:tcPr>
          <w:p w14:paraId="70817CB3"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لا يوجد، حملة واحدة، 2–5، 6–10، أكثر من 10 (اختيار واحد).</w:t>
            </w:r>
          </w:p>
        </w:tc>
      </w:tr>
      <w:tr w:rsidR="002D0DD5" w:rsidRPr="002D0DD5" w14:paraId="30EA664C" w14:textId="77777777" w:rsidTr="00911285">
        <w:tc>
          <w:tcPr>
            <w:tcW w:w="1000" w:type="dxa"/>
            <w:tcMar>
              <w:top w:w="80" w:type="dxa"/>
              <w:left w:w="100" w:type="dxa"/>
              <w:bottom w:w="80" w:type="dxa"/>
              <w:right w:w="100" w:type="dxa"/>
            </w:tcMar>
            <w:vAlign w:val="center"/>
          </w:tcPr>
          <w:p w14:paraId="512D2D9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P12</w:t>
            </w:r>
          </w:p>
        </w:tc>
        <w:tc>
          <w:tcPr>
            <w:tcW w:w="2400" w:type="dxa"/>
            <w:tcMar>
              <w:top w:w="80" w:type="dxa"/>
              <w:left w:w="100" w:type="dxa"/>
              <w:bottom w:w="80" w:type="dxa"/>
              <w:right w:w="100" w:type="dxa"/>
            </w:tcMar>
            <w:vAlign w:val="center"/>
          </w:tcPr>
          <w:p w14:paraId="4D3B3F8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وجود سياسة داخلية للاستخدام</w:t>
            </w:r>
          </w:p>
        </w:tc>
        <w:tc>
          <w:tcPr>
            <w:tcW w:w="5000" w:type="dxa"/>
            <w:tcMar>
              <w:top w:w="80" w:type="dxa"/>
              <w:left w:w="100" w:type="dxa"/>
              <w:bottom w:w="80" w:type="dxa"/>
              <w:right w:w="100" w:type="dxa"/>
            </w:tcMar>
            <w:vAlign w:val="center"/>
          </w:tcPr>
          <w:p w14:paraId="75008B3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نعم مكتوبة، نعم غير مكتملة، لا توجد، لا أعلم (اختيار واحد).</w:t>
            </w:r>
          </w:p>
        </w:tc>
      </w:tr>
      <w:tr w:rsidR="002D0DD5" w:rsidRPr="002D0DD5" w14:paraId="2FB072E5" w14:textId="77777777" w:rsidTr="00911285">
        <w:tc>
          <w:tcPr>
            <w:tcW w:w="1000" w:type="dxa"/>
            <w:tcMar>
              <w:top w:w="80" w:type="dxa"/>
              <w:left w:w="100" w:type="dxa"/>
              <w:bottom w:w="80" w:type="dxa"/>
              <w:right w:w="100" w:type="dxa"/>
            </w:tcMar>
            <w:vAlign w:val="center"/>
          </w:tcPr>
          <w:p w14:paraId="2B6341D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P13</w:t>
            </w:r>
          </w:p>
        </w:tc>
        <w:tc>
          <w:tcPr>
            <w:tcW w:w="2400" w:type="dxa"/>
            <w:tcMar>
              <w:top w:w="80" w:type="dxa"/>
              <w:left w:w="100" w:type="dxa"/>
              <w:bottom w:w="80" w:type="dxa"/>
              <w:right w:w="100" w:type="dxa"/>
            </w:tcMar>
            <w:vAlign w:val="center"/>
          </w:tcPr>
          <w:p w14:paraId="19E25D0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طبيعة العلاقة بأدوات الذكاء الاصطناعي التوليدي</w:t>
            </w:r>
          </w:p>
        </w:tc>
        <w:tc>
          <w:tcPr>
            <w:tcW w:w="5000" w:type="dxa"/>
            <w:tcMar>
              <w:top w:w="80" w:type="dxa"/>
              <w:left w:w="100" w:type="dxa"/>
              <w:bottom w:w="80" w:type="dxa"/>
              <w:right w:w="100" w:type="dxa"/>
            </w:tcMar>
            <w:vAlign w:val="center"/>
          </w:tcPr>
          <w:p w14:paraId="1C16BF2A"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استخدام مباشر للأدوات، مراجعة أو تحرير المخرجات، المشاركة في قرار استخدام الأدوات أو اختيارها، الإشراف على المخرجات أو اعتمادها (اختيار متعدد).</w:t>
            </w:r>
          </w:p>
        </w:tc>
      </w:tr>
      <w:tr w:rsidR="002D0DD5" w:rsidRPr="002D0DD5" w14:paraId="2A0764AF" w14:textId="77777777" w:rsidTr="00911285">
        <w:tc>
          <w:tcPr>
            <w:tcW w:w="1000" w:type="dxa"/>
            <w:tcMar>
              <w:top w:w="80" w:type="dxa"/>
              <w:left w:w="100" w:type="dxa"/>
              <w:bottom w:w="80" w:type="dxa"/>
              <w:right w:w="100" w:type="dxa"/>
            </w:tcMar>
            <w:vAlign w:val="center"/>
          </w:tcPr>
          <w:p w14:paraId="1F347D5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P14</w:t>
            </w:r>
          </w:p>
        </w:tc>
        <w:tc>
          <w:tcPr>
            <w:tcW w:w="2400" w:type="dxa"/>
            <w:tcMar>
              <w:top w:w="80" w:type="dxa"/>
              <w:left w:w="100" w:type="dxa"/>
              <w:bottom w:w="80" w:type="dxa"/>
              <w:right w:w="100" w:type="dxa"/>
            </w:tcMar>
            <w:vAlign w:val="center"/>
          </w:tcPr>
          <w:p w14:paraId="3BB9CE7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قناة الوصول للاستبانة</w:t>
            </w:r>
          </w:p>
        </w:tc>
        <w:tc>
          <w:tcPr>
            <w:tcW w:w="5000" w:type="dxa"/>
            <w:tcMar>
              <w:top w:w="80" w:type="dxa"/>
              <w:left w:w="100" w:type="dxa"/>
              <w:bottom w:w="80" w:type="dxa"/>
              <w:right w:w="100" w:type="dxa"/>
            </w:tcMar>
            <w:vAlign w:val="center"/>
          </w:tcPr>
          <w:p w14:paraId="6231C2B4"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وكالة/مدير مباشر، جمعية/مجموعة مهنية، لينكدإن، شبكة شخصية (إحالة) — لأغراض تتبّع تنوع مصادر العينة (اختيار واحد).</w:t>
            </w:r>
          </w:p>
        </w:tc>
      </w:tr>
    </w:tbl>
    <w:p w14:paraId="78AE59A0" w14:textId="77777777" w:rsidR="002D0DD5" w:rsidRPr="002D0DD5" w:rsidRDefault="002D0DD5" w:rsidP="002D0DD5">
      <w:pPr>
        <w:bidi/>
        <w:spacing w:after="200" w:line="276" w:lineRule="auto"/>
        <w:rPr>
          <w:rFonts w:ascii="Simplified Arabic" w:hAnsi="Simplified Arabic" w:cs="Simplified Arabic"/>
          <w:color w:val="EE0000"/>
          <w:rtl/>
        </w:rPr>
      </w:pPr>
    </w:p>
    <w:p w14:paraId="53B136F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وتقتصر أسئلة P8 وP10 على الاختيار المتعدد لطبيعتها الموضوعية، بينما تبقى بقية الأسئلة الوصفية اختيارًا واحدًا. وستُراجَع خلال الدراسة الاستطلاعية الحاجة إلى إضافة خيار «لا ينطبق» لأي فقرة من فقرات المحاور الموضوعية يتبيّن أن بعض المشاركين لا يستطيعون الحكم عليها بحكم طبيعة دورهم الوظيفي؛ فإن ثبتت الحاجة إلى هذا الخيار أُضيف، وإلا عُدِّلت شروط المشاركة بما يمنع وصول من لا يستطيعون الإجابة عنها.</w:t>
      </w:r>
    </w:p>
    <w:p w14:paraId="5096E55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u w:val="single"/>
          <w:rtl/>
        </w:rPr>
        <w:lastRenderedPageBreak/>
        <w:t>إجراءات التنفيذ الميداني</w:t>
      </w:r>
    </w:p>
    <w:p w14:paraId="47EA2B1A"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فترة جمع البيانات</w:t>
      </w:r>
    </w:p>
    <w:p w14:paraId="7D846A1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يُخطَّط لتنفيذ جمع البيانات الميدانية خلال فترة تمتد نحو ثلاثة أشهر تقريبًا، تبدأ بعد الحصول على موافقة لجنة أخلاقيات البحث العلمي والموافقات الرسمية اللازمة، وتشمل أسبوعين تمهيديين للدراسة الاستطلاعية والمقابلات الإدراكية، تليها فترة التطبيق الأساسي لجمع الاستجابات، وستُحدَّد التواريخ الفعلية بدقة عند اعتماد خطة الأطروحة نهائيًا وصدور الموافقات.</w:t>
      </w:r>
    </w:p>
    <w:p w14:paraId="5BE813C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منصة الاستبانة الإلكترونية</w:t>
      </w:r>
    </w:p>
    <w:p w14:paraId="714AD3EA" w14:textId="77777777" w:rsidR="002D0DD5" w:rsidRPr="002D0DD5" w:rsidRDefault="002D0DD5" w:rsidP="002D0DD5">
      <w:pPr>
        <w:bidi/>
        <w:spacing w:after="200" w:line="276" w:lineRule="auto"/>
        <w:rPr>
          <w:rFonts w:ascii="Simplified Arabic" w:hAnsi="Simplified Arabic" w:cs="Simplified Arabic"/>
          <w:b/>
          <w:bCs/>
          <w:color w:val="EE0000"/>
          <w:rtl/>
        </w:rPr>
      </w:pPr>
      <w:r w:rsidRPr="002D0DD5">
        <w:rPr>
          <w:rFonts w:ascii="Simplified Arabic" w:hAnsi="Simplified Arabic" w:cs="Simplified Arabic"/>
          <w:color w:val="EE0000"/>
          <w:rtl/>
        </w:rPr>
        <w:t xml:space="preserve">ستُصمم الاستبانة الإلكترونية وتُطبق باستخدام منصة </w:t>
      </w:r>
      <w:r w:rsidRPr="002D0DD5">
        <w:rPr>
          <w:rFonts w:ascii="Simplified Arabic" w:hAnsi="Simplified Arabic" w:cs="Simplified Arabic"/>
          <w:color w:val="EE0000"/>
        </w:rPr>
        <w:t>Google Forms</w:t>
      </w:r>
      <w:r w:rsidRPr="002D0DD5">
        <w:rPr>
          <w:rFonts w:ascii="Simplified Arabic" w:hAnsi="Simplified Arabic" w:cs="Simplified Arabic"/>
          <w:color w:val="EE0000"/>
          <w:rtl/>
        </w:rPr>
        <w:t>، لما توفره من سهولة الوصول للمشاركين، وإمكان استخدام المنطق الشرطي لإنهاء المشاركة عند عدم استيفاء شروط الأهلية، إضافة إلى إمكان ضبط إعدادات الاستجابة بما يتفق مع متطلبات الدراسة والخصوصية.</w:t>
      </w:r>
    </w:p>
    <w:p w14:paraId="5EB09B10"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طريقة إرسال رابط الاستبانة</w:t>
      </w:r>
    </w:p>
    <w:p w14:paraId="383993B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سيُرسَل رابط الاستبانة عبر القنوات الأربع الموضحة في فقرة قنوات الوصول إلى العينة: البريد المهني لمسؤولي الوكالات لتعميمه داخليًا، ومجموعات الجمعيات والمنصات المهنية المتخصصة، ومجموعات لينكدإن التسويقية، والتواصل الشخصي المباشر ضمن أسلوب كرة الثلج، مصحوبًا في كل مرة برسالة تعريفية موجزة بهدف الدراسة ومدة الإجابة المتوقعة.</w:t>
      </w:r>
    </w:p>
    <w:p w14:paraId="13E5E58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مدة فتح الاستبانة والتذكيرات</w:t>
      </w:r>
    </w:p>
    <w:p w14:paraId="75A3F98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سيظل رابط الاستبانة متاحًا مدة ستة أسابيع من تاريخ فتحه، مع إرسال تذكيرين اثنين للجهات والمجموعات التي عُمِّم عليها الرابط، الأول بعد أسبوعين من الفتح والثاني بعد أسبوعين من التذكير الأول، مراعاةً لعدم الإزعاج المتكرر مع إتاحة فرصة كافية لرفع معدل الاستجابة.</w:t>
      </w:r>
    </w:p>
    <w:p w14:paraId="2EA9CAA7"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آلية منع تكرار الاستجابة</w:t>
      </w:r>
    </w:p>
    <w:p w14:paraId="42D02B21" w14:textId="77777777" w:rsidR="002D0DD5" w:rsidRPr="002D0DD5" w:rsidRDefault="002D0DD5" w:rsidP="002D0DD5">
      <w:pPr>
        <w:bidi/>
        <w:spacing w:after="200" w:line="276" w:lineRule="auto"/>
        <w:rPr>
          <w:rFonts w:ascii="Simplified Arabic" w:hAnsi="Simplified Arabic" w:cs="Simplified Arabic"/>
          <w:b/>
          <w:bCs/>
          <w:color w:val="EE0000"/>
          <w:rtl/>
        </w:rPr>
      </w:pPr>
      <w:r w:rsidRPr="002D0DD5">
        <w:rPr>
          <w:rFonts w:ascii="Simplified Arabic" w:hAnsi="Simplified Arabic" w:cs="Simplified Arabic"/>
          <w:color w:val="EE0000"/>
          <w:rtl/>
        </w:rPr>
        <w:t xml:space="preserve">سيُفعّل في </w:t>
      </w:r>
      <w:r w:rsidRPr="002D0DD5">
        <w:rPr>
          <w:rFonts w:ascii="Simplified Arabic" w:hAnsi="Simplified Arabic" w:cs="Simplified Arabic"/>
          <w:color w:val="EE0000"/>
        </w:rPr>
        <w:t>Google Forms</w:t>
      </w:r>
      <w:r w:rsidRPr="002D0DD5">
        <w:rPr>
          <w:rFonts w:ascii="Simplified Arabic" w:hAnsi="Simplified Arabic" w:cs="Simplified Arabic"/>
          <w:color w:val="EE0000"/>
          <w:rtl/>
        </w:rPr>
        <w:t xml:space="preserve"> خيار الحد من الاستجابة إلى مرة واحدة لكل حساب (</w:t>
      </w:r>
      <w:r w:rsidRPr="002D0DD5">
        <w:rPr>
          <w:rFonts w:ascii="Simplified Arabic" w:hAnsi="Simplified Arabic" w:cs="Simplified Arabic"/>
          <w:color w:val="EE0000"/>
        </w:rPr>
        <w:t>Limit to 1 response</w:t>
      </w:r>
      <w:r w:rsidRPr="002D0DD5">
        <w:rPr>
          <w:rFonts w:ascii="Simplified Arabic" w:hAnsi="Simplified Arabic" w:cs="Simplified Arabic"/>
          <w:color w:val="EE0000"/>
          <w:rtl/>
        </w:rPr>
        <w:t xml:space="preserve">)، وهو ما يتطلب تسجيل المشارك الدخول إلى حساب </w:t>
      </w:r>
      <w:r w:rsidRPr="002D0DD5">
        <w:rPr>
          <w:rFonts w:ascii="Simplified Arabic" w:hAnsi="Simplified Arabic" w:cs="Simplified Arabic"/>
          <w:color w:val="EE0000"/>
        </w:rPr>
        <w:t>Google</w:t>
      </w:r>
      <w:r w:rsidRPr="002D0DD5">
        <w:rPr>
          <w:rFonts w:ascii="Simplified Arabic" w:hAnsi="Simplified Arabic" w:cs="Simplified Arabic"/>
          <w:color w:val="EE0000"/>
          <w:rtl/>
        </w:rPr>
        <w:t xml:space="preserve"> للتحقق من عدم تكرار الإرسال، مع تعطيل خيار جمع عناوين البريد الإلكتروني؛ وبذلك لا يظهر للمُباحث اسم الحساب أو عنوان البريد الإلكتروني ضمن ملف البيانات. كما ستُراجع البيانات بعد الجمع للكشف عن أي أنماط تكرار غير اعتيادية باستخدام توقيت الاستجابة وتشابه أنماط الإجابة، دون جمع بيانات تعريفية شخصية غير لازمة.</w:t>
      </w:r>
    </w:p>
    <w:p w14:paraId="47136F3F"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إنهاء الاستبانة لغير المؤهلين</w:t>
      </w:r>
    </w:p>
    <w:p w14:paraId="4F9FB10E" w14:textId="77777777" w:rsidR="002D0DD5" w:rsidRPr="002D0DD5" w:rsidRDefault="002D0DD5" w:rsidP="002D0DD5">
      <w:pPr>
        <w:bidi/>
        <w:spacing w:after="200" w:line="276" w:lineRule="auto"/>
        <w:rPr>
          <w:rFonts w:ascii="Simplified Arabic" w:hAnsi="Simplified Arabic" w:cs="Simplified Arabic"/>
          <w:color w:val="EE0000"/>
          <w:rtl/>
        </w:rPr>
      </w:pPr>
      <w:r w:rsidRPr="002D0DD5">
        <w:rPr>
          <w:rFonts w:ascii="Simplified Arabic" w:hAnsi="Simplified Arabic" w:cs="Simplified Arabic"/>
          <w:color w:val="EE0000"/>
          <w:rtl/>
        </w:rPr>
        <w:t>ستُبرمَج أسئلة الأهلية (S1–S5) في مقدمة الاستبانة بحيث تُنهي المشاركة تلقائيًا وتعرض رسالة شكر عند عدم تحقق أي شرط منها، دون الانتقال إلى محاور القياس، وذلك عبر ميزة المنطق الشرطي في منصة الاستبانة.</w:t>
      </w:r>
    </w:p>
    <w:p w14:paraId="3C5858E0" w14:textId="77777777" w:rsidR="002D0DD5" w:rsidRPr="002D0DD5" w:rsidRDefault="002D0DD5" w:rsidP="002D0DD5">
      <w:pPr>
        <w:bidi/>
        <w:spacing w:after="200" w:line="276" w:lineRule="auto"/>
        <w:rPr>
          <w:rFonts w:ascii="Simplified Arabic" w:hAnsi="Simplified Arabic" w:cs="Simplified Arabic"/>
          <w:color w:val="EE0000"/>
        </w:rPr>
      </w:pPr>
    </w:p>
    <w:p w14:paraId="24566DB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lastRenderedPageBreak/>
        <w:t>الدراسة الاستطلاعية</w:t>
      </w:r>
    </w:p>
    <w:p w14:paraId="22BB748C"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قبل التطبيق الأساسي، ستُطبَّق الاستبانة على عينة استطلاعية ميسرة تضم من (30) إلى (40) مشاركًا من الفئة نفسها ومن المدن الثلاث المستهدفة، للتحقق من وضوح العبارات والتعليمات، وتقدير الزمن الفعلي اللازم للإجابة، وحساب مؤشرات أولية للاتساق الداخلي تساعد على اكتشاف الفقرات غير الواضحة أو الضعيفة قبل التطبيق الأساسي (تفصيلها في فقرة صدق أداة الدراسة وثباتها).</w:t>
      </w:r>
    </w:p>
    <w:p w14:paraId="0C72F6C1"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المقابلات الإدراكية</w:t>
      </w:r>
    </w:p>
    <w:p w14:paraId="31710010"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نظرًا لحداثة موضوع الدراسة وتعدد مصطلحاته التقنية، ستُعرض الاستبانة قبل الدراسة الاستطلاعية على عدد محدود من المختصين (5 إلى 8 مختصين) في التسويق الرقمي والذكاء الاصطناعي التوليدي، في مقابلات إدراكية قصيرة (Cognitive Interviews) للتأكد من أن فقرات الأداة تُفهم بالمعنى المقصود منها، وتُعدَّل الصياغة بناءً على ملاحظاتهم قبل الدراسة الاستطلاعية.</w:t>
      </w:r>
    </w:p>
    <w:p w14:paraId="571C374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الزمن المتوقع للإجابة</w:t>
      </w:r>
    </w:p>
    <w:p w14:paraId="7080C9D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تتضمن الأداة خمسة أسئلة أهلية (S1–S5)، و46 فقرة قياس موزعة على خمسة محاور، و14 سؤالًا وصفيًا (P1–P14)، وهو عدد فقرات مرتفع نسبيًا قد يستغرق زمنًا معتبرًا للإجابة عنه؛ لذلك سيُقدَّر الزمن الفعلي المتوسط للإجابة من واقع الدراسة الاستطلاعية، ويُتوقَّع مبدئيًا أن يتراوح بين (10) و(15) دقيقة، وسيُذكَر هذا التقدير صراحةً في مقدمة الاستبانة، مع دراسة أثر طول الأداة في جودة الاستجابات ضمن تحليل تنظيف البيانات (فحص الاستجابات النمطية وزمن الإجابة).</w:t>
      </w:r>
    </w:p>
    <w:p w14:paraId="17CB7E3E"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المرجعية الزمنية والموضوعية للإجابة</w:t>
      </w:r>
    </w:p>
    <w:p w14:paraId="74B6DB39"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ستوضَّح في مقدمة الاستبانة وتعليماتها مرجعية إجابة المشارك: يُطلَب من كل مشارك الإجابة عن فقرات محاور القياس استنادًا إلى ممارسته الشخصية وخبرته داخل الوكالة (لا عن الوكالة ككل ولا عن حملة بعينها)، وذلك خلال الاثني عشر شهرًا الأخيرة تحديدًا؛ وستُوحَّد هذه الفترة المرجعية (آخر 12 شهرًا) في تعليمات الاستبانة العامة بحيث تنطبق على جميع فقرات محاور الممارسة والأداء دون استثناء، بدلًا من اقتصارها على شرط الأهلية S3 فحسب.</w:t>
      </w:r>
    </w:p>
    <w:p w14:paraId="26051D9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فقرات التحقق من الانتباه</w:t>
      </w:r>
    </w:p>
    <w:p w14:paraId="2D4CAAFB" w14:textId="77777777" w:rsidR="002D0DD5" w:rsidRPr="002D0DD5" w:rsidRDefault="002D0DD5" w:rsidP="002D0DD5">
      <w:pPr>
        <w:bidi/>
        <w:spacing w:after="200" w:line="276" w:lineRule="auto"/>
        <w:rPr>
          <w:rFonts w:ascii="Simplified Arabic" w:hAnsi="Simplified Arabic" w:cs="Simplified Arabic"/>
          <w:color w:val="EE0000"/>
          <w:rtl/>
        </w:rPr>
      </w:pPr>
      <w:r w:rsidRPr="002D0DD5">
        <w:rPr>
          <w:rFonts w:ascii="Simplified Arabic" w:hAnsi="Simplified Arabic" w:cs="Simplified Arabic"/>
          <w:color w:val="EE0000"/>
          <w:rtl/>
        </w:rPr>
        <w:t>نظرًا لطول الاستبانة الإلكترونية، ستُضاف فقرتان للتحقق من الانتباه (Attention Check Items) ضمن محاور القياس، بصياغة تطلب من المشارك اختيار درجة محددة («يُرجى اختيار موافق لهذه الفقرة»)، دون أن تؤثر هاتان الفقرتان في احتساب درجات المتغيرات، وتُستخدمان فقط ضمن معايير تنظيف البيانات لاحقًا.</w:t>
      </w:r>
    </w:p>
    <w:p w14:paraId="71482E74" w14:textId="77777777" w:rsidR="002D0DD5" w:rsidRPr="002D0DD5" w:rsidRDefault="002D0DD5" w:rsidP="002D0DD5">
      <w:pPr>
        <w:bidi/>
        <w:spacing w:after="200" w:line="276" w:lineRule="auto"/>
        <w:rPr>
          <w:rFonts w:ascii="Simplified Arabic" w:hAnsi="Simplified Arabic" w:cs="Simplified Arabic"/>
          <w:color w:val="EE0000"/>
          <w:rtl/>
        </w:rPr>
      </w:pPr>
    </w:p>
    <w:p w14:paraId="792B1F15" w14:textId="77777777" w:rsidR="002D0DD5" w:rsidRPr="002D0DD5" w:rsidRDefault="002D0DD5" w:rsidP="002D0DD5">
      <w:pPr>
        <w:bidi/>
        <w:spacing w:after="200" w:line="276" w:lineRule="auto"/>
        <w:rPr>
          <w:rFonts w:ascii="Simplified Arabic" w:hAnsi="Simplified Arabic" w:cs="Simplified Arabic"/>
          <w:color w:val="EE0000"/>
        </w:rPr>
      </w:pPr>
    </w:p>
    <w:p w14:paraId="06546E14"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lastRenderedPageBreak/>
        <w:t>اختبار تحيز عدم الاستجابة</w:t>
      </w:r>
    </w:p>
    <w:p w14:paraId="700FBC12"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color w:val="EE0000"/>
          <w:rtl/>
        </w:rPr>
        <w:t>سيُطبَّق إجراء مقارنة المستجيبين المبكرين بالمستجيبين المتأخرين (Early-vs-Late Respondents)، بتقسيم الاستجابات إلى ثلثين وفق ترتيب زمن الورود، ثم إجراء اختبار (t) لعينتين مستقلتين على متوسطات المحاور الرئيسة للتحقق من عدم وجود فروق دالة إحصائيًا تشير إلى تحيز محتمل في عدم الاستجابة.</w:t>
      </w:r>
    </w:p>
    <w:p w14:paraId="26AEF155" w14:textId="77777777" w:rsidR="002D0DD5" w:rsidRPr="002D0DD5" w:rsidRDefault="002D0DD5" w:rsidP="002D0DD5">
      <w:pPr>
        <w:bidi/>
        <w:spacing w:after="200" w:line="276" w:lineRule="auto"/>
        <w:rPr>
          <w:rFonts w:ascii="Simplified Arabic" w:hAnsi="Simplified Arabic" w:cs="Simplified Arabic"/>
          <w:color w:val="EE0000"/>
        </w:rPr>
      </w:pPr>
      <w:r w:rsidRPr="002D0DD5">
        <w:rPr>
          <w:rFonts w:ascii="Simplified Arabic" w:hAnsi="Simplified Arabic" w:cs="Simplified Arabic"/>
          <w:b/>
          <w:bCs/>
          <w:color w:val="EE0000"/>
          <w:rtl/>
        </w:rPr>
        <w:t>المخطط التسلسلي لتنفيذ الدراسة</w:t>
      </w:r>
    </w:p>
    <w:p w14:paraId="206D07D9" w14:textId="77777777" w:rsidR="002D0DD5" w:rsidRPr="002D0DD5" w:rsidRDefault="002D0DD5" w:rsidP="002D0DD5">
      <w:pPr>
        <w:bidi/>
        <w:spacing w:after="200" w:line="276" w:lineRule="auto"/>
        <w:rPr>
          <w:rFonts w:ascii="Simplified Arabic" w:hAnsi="Simplified Arabic" w:cs="Simplified Arabic"/>
          <w:color w:val="EE0000"/>
          <w:rtl/>
        </w:rPr>
      </w:pPr>
      <w:r w:rsidRPr="002D0DD5">
        <w:rPr>
          <w:rFonts w:ascii="Simplified Arabic" w:hAnsi="Simplified Arabic" w:cs="Simplified Arabic"/>
          <w:color w:val="EE0000"/>
          <w:rtl/>
        </w:rPr>
        <w:t>ستمر إجراءات التنفيذ الميداني بالخطوات المتسلسلة التالية: (1) الحصول على موافقة لجنة أخلاقيات البحث العلمي؛ (2) الحصول على الموافقات الرسمية من الوكالات أو الجهات المهنية عند الحاجة؛ (3) عرض الأداة على المحكِّمين وحساب مؤشرات الصدق الظاهري والمحتوى؛ (4) إجراء المقابلات الإدراكية وتعديل الصياغة؛ (5) تطبيق الدراسة الاستطلاعية وحساب المؤشرات الأولية للاتساق الداخلي؛ (6) تعديل الأداة نهائيًا في ضوء نتائج الاستطلاع؛ (7) الاستقطاب وتوزيع رابط الاستبانة عبر القنوات المحددة؛ (8) متابعة معدل الاستجابة وإرسال التذكيرات؛ (9) إغلاق الاستبانة وتنظيف البيانات؛ (10) تحليل البيانات واختبار الفرضيات.</w:t>
      </w:r>
    </w:p>
    <w:p w14:paraId="11D2CBA1" w14:textId="77777777" w:rsidR="002D0DD5" w:rsidRPr="002D0DD5" w:rsidRDefault="002D0DD5" w:rsidP="002D0DD5">
      <w:pPr>
        <w:bidi/>
        <w:spacing w:after="200" w:line="276" w:lineRule="auto"/>
        <w:rPr>
          <w:rFonts w:ascii="Simplified Arabic" w:hAnsi="Simplified Arabic" w:cs="Simplified Arabic"/>
          <w:rtl/>
        </w:rPr>
      </w:pPr>
    </w:p>
    <w:p w14:paraId="5EDA9104" w14:textId="77777777" w:rsidR="002D0DD5" w:rsidRPr="002D0DD5" w:rsidRDefault="002D0DD5" w:rsidP="002D0DD5">
      <w:pPr>
        <w:bidi/>
        <w:spacing w:after="200" w:line="240" w:lineRule="auto"/>
        <w:jc w:val="both"/>
        <w:rPr>
          <w:rFonts w:ascii="Simplified Arabic" w:hAnsi="Simplified Arabic" w:cs="Simplified Arabic"/>
          <w:rtl/>
        </w:rPr>
      </w:pPr>
      <w:r w:rsidRPr="002D0DD5">
        <w:rPr>
          <w:rFonts w:ascii="Simplified Arabic" w:hAnsi="Simplified Arabic" w:cs="Simplified Arabic"/>
        </w:rPr>
        <w:t xml:space="preserve"> </w:t>
      </w:r>
      <w:r w:rsidRPr="002D0DD5">
        <w:rPr>
          <w:rFonts w:ascii="Sakkal Majalla" w:hAnsi="Sakkal Majalla" w:cs="Sakkal Majalla"/>
          <w:b/>
          <w:bCs/>
          <w:color w:val="1F497D" w:themeColor="text2"/>
          <w:sz w:val="32"/>
          <w:szCs w:val="32"/>
          <w:u w:val="single"/>
          <w:rtl/>
        </w:rPr>
        <w:t>أداة الدراسة وبناؤها</w:t>
      </w:r>
    </w:p>
    <w:p w14:paraId="01FA22C5" w14:textId="77777777" w:rsidR="002D0DD5" w:rsidRPr="002D0DD5" w:rsidRDefault="002D0DD5" w:rsidP="002D0DD5">
      <w:pPr>
        <w:bidi/>
        <w:spacing w:line="300" w:lineRule="auto"/>
        <w:jc w:val="both"/>
        <w:rPr>
          <w:rFonts w:ascii="Simplified Arabic" w:eastAsia="Arial" w:hAnsi="Simplified Arabic" w:cs="Simplified Arabic"/>
        </w:rPr>
      </w:pPr>
      <w:r w:rsidRPr="002D0DD5">
        <w:rPr>
          <w:rFonts w:ascii="Simplified Arabic" w:eastAsia="Arial" w:hAnsi="Simplified Arabic" w:cs="Simplified Arabic"/>
          <w:rtl/>
        </w:rPr>
        <w:t xml:space="preserve">ستُستخدَم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وستُصاغ فقرات المحاور وفق مقياس ليكرت الخماسي، الذي يدرّج موافقة المبحوث على كل عبارة في خمسة مستويات، </w:t>
      </w:r>
      <w:r w:rsidRPr="002D0DD5">
        <w:rPr>
          <w:rFonts w:ascii="Simplified Arabic" w:eastAsia="Arial" w:hAnsi="Simplified Arabic" w:cs="Simplified Arabic"/>
          <w:color w:val="EE0000"/>
          <w:rtl/>
        </w:rPr>
        <w:t>وستُرفَق الاستبانة في صورتها النهائية كاملة ضمن ملاحق الدراسة (ملحق أ) بعد اعتمادها.</w:t>
      </w:r>
    </w:p>
    <w:p w14:paraId="74148AA6" w14:textId="77777777" w:rsidR="002D0DD5" w:rsidRPr="002D0DD5" w:rsidRDefault="002D0DD5" w:rsidP="002D0DD5">
      <w:pPr>
        <w:bidi/>
        <w:spacing w:before="240" w:after="8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جدول (3-6): مستويات مقياس ليكرت الخماسي وتفسير المتوسطات</w:t>
      </w:r>
    </w:p>
    <w:tbl>
      <w:tblPr>
        <w:bidiVisual/>
        <w:tblW w:w="7000"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2600"/>
        <w:gridCol w:w="3200"/>
      </w:tblGrid>
      <w:tr w:rsidR="002D0DD5" w:rsidRPr="002D0DD5" w14:paraId="6182F4AC" w14:textId="77777777" w:rsidTr="00911285">
        <w:tc>
          <w:tcPr>
            <w:tcW w:w="1200" w:type="dxa"/>
            <w:shd w:val="clear" w:color="auto" w:fill="D9D9D9"/>
            <w:tcMar>
              <w:top w:w="80" w:type="dxa"/>
              <w:left w:w="100" w:type="dxa"/>
              <w:bottom w:w="80" w:type="dxa"/>
              <w:right w:w="100" w:type="dxa"/>
            </w:tcMar>
            <w:vAlign w:val="center"/>
          </w:tcPr>
          <w:p w14:paraId="5317ED2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الدرجة</w:t>
            </w:r>
          </w:p>
        </w:tc>
        <w:tc>
          <w:tcPr>
            <w:tcW w:w="2600" w:type="dxa"/>
            <w:shd w:val="clear" w:color="auto" w:fill="D9D9D9"/>
            <w:tcMar>
              <w:top w:w="80" w:type="dxa"/>
              <w:left w:w="100" w:type="dxa"/>
              <w:bottom w:w="80" w:type="dxa"/>
              <w:right w:w="100" w:type="dxa"/>
            </w:tcMar>
            <w:vAlign w:val="center"/>
          </w:tcPr>
          <w:p w14:paraId="57F1E2D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مستوى الموافقة</w:t>
            </w:r>
          </w:p>
        </w:tc>
        <w:tc>
          <w:tcPr>
            <w:tcW w:w="3200" w:type="dxa"/>
            <w:shd w:val="clear" w:color="auto" w:fill="D9D9D9"/>
            <w:tcMar>
              <w:top w:w="80" w:type="dxa"/>
              <w:left w:w="100" w:type="dxa"/>
              <w:bottom w:w="80" w:type="dxa"/>
              <w:right w:w="100" w:type="dxa"/>
            </w:tcMar>
            <w:vAlign w:val="center"/>
          </w:tcPr>
          <w:p w14:paraId="7597F44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فئة المتوسط</w:t>
            </w:r>
          </w:p>
        </w:tc>
      </w:tr>
      <w:tr w:rsidR="002D0DD5" w:rsidRPr="002D0DD5" w14:paraId="2E843C82" w14:textId="77777777" w:rsidTr="00911285">
        <w:tc>
          <w:tcPr>
            <w:tcW w:w="1200" w:type="dxa"/>
            <w:tcMar>
              <w:top w:w="80" w:type="dxa"/>
              <w:left w:w="100" w:type="dxa"/>
              <w:bottom w:w="80" w:type="dxa"/>
              <w:right w:w="100" w:type="dxa"/>
            </w:tcMar>
            <w:vAlign w:val="center"/>
          </w:tcPr>
          <w:p w14:paraId="77F1633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1</w:t>
            </w:r>
          </w:p>
        </w:tc>
        <w:tc>
          <w:tcPr>
            <w:tcW w:w="2600" w:type="dxa"/>
            <w:tcMar>
              <w:top w:w="80" w:type="dxa"/>
              <w:left w:w="100" w:type="dxa"/>
              <w:bottom w:w="80" w:type="dxa"/>
              <w:right w:w="100" w:type="dxa"/>
            </w:tcMar>
            <w:vAlign w:val="center"/>
          </w:tcPr>
          <w:p w14:paraId="0277408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غير موافق بشدة</w:t>
            </w:r>
          </w:p>
        </w:tc>
        <w:tc>
          <w:tcPr>
            <w:tcW w:w="3200" w:type="dxa"/>
            <w:tcMar>
              <w:top w:w="80" w:type="dxa"/>
              <w:left w:w="100" w:type="dxa"/>
              <w:bottom w:w="80" w:type="dxa"/>
              <w:right w:w="100" w:type="dxa"/>
            </w:tcMar>
            <w:vAlign w:val="center"/>
          </w:tcPr>
          <w:p w14:paraId="33F3E425"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1.00 – 1.80</w:t>
            </w:r>
          </w:p>
        </w:tc>
      </w:tr>
      <w:tr w:rsidR="002D0DD5" w:rsidRPr="002D0DD5" w14:paraId="6BDB6598" w14:textId="77777777" w:rsidTr="00911285">
        <w:tc>
          <w:tcPr>
            <w:tcW w:w="1200" w:type="dxa"/>
            <w:tcMar>
              <w:top w:w="80" w:type="dxa"/>
              <w:left w:w="100" w:type="dxa"/>
              <w:bottom w:w="80" w:type="dxa"/>
              <w:right w:w="100" w:type="dxa"/>
            </w:tcMar>
            <w:vAlign w:val="center"/>
          </w:tcPr>
          <w:p w14:paraId="2212024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2</w:t>
            </w:r>
          </w:p>
        </w:tc>
        <w:tc>
          <w:tcPr>
            <w:tcW w:w="2600" w:type="dxa"/>
            <w:tcMar>
              <w:top w:w="80" w:type="dxa"/>
              <w:left w:w="100" w:type="dxa"/>
              <w:bottom w:w="80" w:type="dxa"/>
              <w:right w:w="100" w:type="dxa"/>
            </w:tcMar>
            <w:vAlign w:val="center"/>
          </w:tcPr>
          <w:p w14:paraId="27EDF00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غير موافق</w:t>
            </w:r>
          </w:p>
        </w:tc>
        <w:tc>
          <w:tcPr>
            <w:tcW w:w="3200" w:type="dxa"/>
            <w:tcMar>
              <w:top w:w="80" w:type="dxa"/>
              <w:left w:w="100" w:type="dxa"/>
              <w:bottom w:w="80" w:type="dxa"/>
              <w:right w:w="100" w:type="dxa"/>
            </w:tcMar>
            <w:vAlign w:val="center"/>
          </w:tcPr>
          <w:p w14:paraId="6E1D0F28"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1.81 – 2.60</w:t>
            </w:r>
          </w:p>
        </w:tc>
      </w:tr>
      <w:tr w:rsidR="002D0DD5" w:rsidRPr="002D0DD5" w14:paraId="6E893D7F" w14:textId="77777777" w:rsidTr="00911285">
        <w:tc>
          <w:tcPr>
            <w:tcW w:w="1200" w:type="dxa"/>
            <w:tcMar>
              <w:top w:w="80" w:type="dxa"/>
              <w:left w:w="100" w:type="dxa"/>
              <w:bottom w:w="80" w:type="dxa"/>
              <w:right w:w="100" w:type="dxa"/>
            </w:tcMar>
            <w:vAlign w:val="center"/>
          </w:tcPr>
          <w:p w14:paraId="5AD55FF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3</w:t>
            </w:r>
          </w:p>
        </w:tc>
        <w:tc>
          <w:tcPr>
            <w:tcW w:w="2600" w:type="dxa"/>
            <w:tcMar>
              <w:top w:w="80" w:type="dxa"/>
              <w:left w:w="100" w:type="dxa"/>
              <w:bottom w:w="80" w:type="dxa"/>
              <w:right w:w="100" w:type="dxa"/>
            </w:tcMar>
            <w:vAlign w:val="center"/>
          </w:tcPr>
          <w:p w14:paraId="46D0832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محايد</w:t>
            </w:r>
          </w:p>
        </w:tc>
        <w:tc>
          <w:tcPr>
            <w:tcW w:w="3200" w:type="dxa"/>
            <w:tcMar>
              <w:top w:w="80" w:type="dxa"/>
              <w:left w:w="100" w:type="dxa"/>
              <w:bottom w:w="80" w:type="dxa"/>
              <w:right w:w="100" w:type="dxa"/>
            </w:tcMar>
            <w:vAlign w:val="center"/>
          </w:tcPr>
          <w:p w14:paraId="4843DD2F"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2.61 – 3.40</w:t>
            </w:r>
          </w:p>
        </w:tc>
      </w:tr>
      <w:tr w:rsidR="002D0DD5" w:rsidRPr="002D0DD5" w14:paraId="7147C144" w14:textId="77777777" w:rsidTr="00911285">
        <w:tc>
          <w:tcPr>
            <w:tcW w:w="1200" w:type="dxa"/>
            <w:tcMar>
              <w:top w:w="80" w:type="dxa"/>
              <w:left w:w="100" w:type="dxa"/>
              <w:bottom w:w="80" w:type="dxa"/>
              <w:right w:w="100" w:type="dxa"/>
            </w:tcMar>
            <w:vAlign w:val="center"/>
          </w:tcPr>
          <w:p w14:paraId="220920C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4</w:t>
            </w:r>
          </w:p>
        </w:tc>
        <w:tc>
          <w:tcPr>
            <w:tcW w:w="2600" w:type="dxa"/>
            <w:tcMar>
              <w:top w:w="80" w:type="dxa"/>
              <w:left w:w="100" w:type="dxa"/>
              <w:bottom w:w="80" w:type="dxa"/>
              <w:right w:w="100" w:type="dxa"/>
            </w:tcMar>
            <w:vAlign w:val="center"/>
          </w:tcPr>
          <w:p w14:paraId="533B650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موافق</w:t>
            </w:r>
          </w:p>
        </w:tc>
        <w:tc>
          <w:tcPr>
            <w:tcW w:w="3200" w:type="dxa"/>
            <w:tcMar>
              <w:top w:w="80" w:type="dxa"/>
              <w:left w:w="100" w:type="dxa"/>
              <w:bottom w:w="80" w:type="dxa"/>
              <w:right w:w="100" w:type="dxa"/>
            </w:tcMar>
            <w:vAlign w:val="center"/>
          </w:tcPr>
          <w:p w14:paraId="289EDB17"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3.41 – 4.20</w:t>
            </w:r>
          </w:p>
        </w:tc>
      </w:tr>
      <w:tr w:rsidR="002D0DD5" w:rsidRPr="002D0DD5" w14:paraId="3F0C4AD9" w14:textId="77777777" w:rsidTr="00911285">
        <w:tc>
          <w:tcPr>
            <w:tcW w:w="1200" w:type="dxa"/>
            <w:tcMar>
              <w:top w:w="80" w:type="dxa"/>
              <w:left w:w="100" w:type="dxa"/>
              <w:bottom w:w="80" w:type="dxa"/>
              <w:right w:w="100" w:type="dxa"/>
            </w:tcMar>
            <w:vAlign w:val="center"/>
          </w:tcPr>
          <w:p w14:paraId="68CE4B9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5</w:t>
            </w:r>
          </w:p>
        </w:tc>
        <w:tc>
          <w:tcPr>
            <w:tcW w:w="2600" w:type="dxa"/>
            <w:tcMar>
              <w:top w:w="80" w:type="dxa"/>
              <w:left w:w="100" w:type="dxa"/>
              <w:bottom w:w="80" w:type="dxa"/>
              <w:right w:w="100" w:type="dxa"/>
            </w:tcMar>
            <w:vAlign w:val="center"/>
          </w:tcPr>
          <w:p w14:paraId="4D3672F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موافق بشدة</w:t>
            </w:r>
          </w:p>
        </w:tc>
        <w:tc>
          <w:tcPr>
            <w:tcW w:w="3200" w:type="dxa"/>
            <w:tcMar>
              <w:top w:w="80" w:type="dxa"/>
              <w:left w:w="100" w:type="dxa"/>
              <w:bottom w:w="80" w:type="dxa"/>
              <w:right w:w="100" w:type="dxa"/>
            </w:tcMar>
            <w:vAlign w:val="center"/>
          </w:tcPr>
          <w:p w14:paraId="3CE52D6C"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4.21 – 5.00</w:t>
            </w:r>
          </w:p>
        </w:tc>
      </w:tr>
    </w:tbl>
    <w:p w14:paraId="55A02CAA"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وحدت فئات تفسير المتوسطات وفق دليل الجامعة بحيث لا تتداخل حدودها العليا والدنيا، وستُقرَّب القيم الواقعة عند حد فاصل بين فئتين (كـ 1.805 مثلًا) إلى الفئة الأعلى، اتساقًا مع قاعدة تقريب موحدة تُطبَّق على جميع نتائج التحليل الوصفي.</w:t>
      </w:r>
    </w:p>
    <w:p w14:paraId="7CDE5AAF"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مكوّنات الأداة</w:t>
      </w:r>
    </w:p>
    <w:p w14:paraId="7949DF1C"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lastRenderedPageBreak/>
        <w:t>جاءت الأداة في صورتها النهائية في ثلاثة أقسام:</w:t>
      </w:r>
    </w:p>
    <w:p w14:paraId="220138F9" w14:textId="77777777" w:rsidR="002D0DD5" w:rsidRPr="002D0DD5" w:rsidRDefault="002D0DD5">
      <w:pPr>
        <w:numPr>
          <w:ilvl w:val="0"/>
          <w:numId w:val="21"/>
        </w:numPr>
        <w:bidi/>
        <w:spacing w:after="120"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أسئلة الأهلية والموافقة، وعددها خمسة (S1–S5)، للتحقق من توافر شروط المشاركة قبل البدء.</w:t>
      </w:r>
    </w:p>
    <w:p w14:paraId="23F36F6B" w14:textId="77777777" w:rsidR="002D0DD5" w:rsidRPr="002D0DD5" w:rsidRDefault="002D0DD5">
      <w:pPr>
        <w:numPr>
          <w:ilvl w:val="0"/>
          <w:numId w:val="21"/>
        </w:numPr>
        <w:bidi/>
        <w:spacing w:after="120"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المحاور الموضوعية، وهي خمسة محاور تقابل متغيرات الدراسة، وتضم (46) فقرة قياس، إضافة إلى فقرتي تحقق من الانتباه لا تُحتسَب ضمن درجات المتغيرات.</w:t>
      </w:r>
    </w:p>
    <w:p w14:paraId="4D060FDF" w14:textId="77777777" w:rsidR="002D0DD5" w:rsidRPr="002D0DD5" w:rsidRDefault="002D0DD5">
      <w:pPr>
        <w:numPr>
          <w:ilvl w:val="0"/>
          <w:numId w:val="21"/>
        </w:numPr>
        <w:bidi/>
        <w:spacing w:after="120"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البيانات الشخصية والوظيفية، وعددها أربعة عشر متغيرًا (P1–P14) لوصف خصائص المبحوثين وبيئة عملهم، من بينها متغير قناة الوصول (P14) المستحدث لتتبع تنوع مصادر العينة.</w:t>
      </w:r>
    </w:p>
    <w:p w14:paraId="7C9BBA18"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مصادر بناء فقرات الأداة وربط الفقرات بمصادرها</w:t>
      </w:r>
    </w:p>
    <w:p w14:paraId="7D3F33FC"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اشتُقّت فقرات الأداة من مصدرين متكاملين: دراسات أكاديمية محكَّمة تناولت الذكاء الاصطناعي التوليدي والتسويق الرقمي، وتقارير مؤسسية واستشارية متخصصة (كتقارير McKinsey وNuremberg Institute for Market Decisions) استُخدمت مصادر معلوماتية وسياقية لصياغة بعض الفقرات دون اعتبارها مقاييس سابقة معتمدة أو أدوات قياس محكَّمة، تمييزًا بين المصادر العلمية المحكَّمة والتقارير المهنية في بناء الأداة.</w:t>
      </w:r>
    </w:p>
    <w:p w14:paraId="7CBA41C1"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وسيُعَدّ جدول تفصيلي (ملحق ب) يبيّن لكل فقرة من فقرات الأداة: رقمها ورمزها، ومصدرها الأصلي المحدد (لا مجرد قائمة عامة بمصادر المحور)، وطريقة التعديل (فقرة مقتبسة بتصرف، أو مترجمة ومعدَّلة، أو مطوَّرة خصيصًا من الباحث)، وذلك تمييزًا واضحًا بين الفقرات المقتبسة من دراسات سابقة والفقرات التي صاغها الباحث خصيصًا لملاءمة سياق وكالات التسويق السعودية.</w:t>
      </w:r>
    </w:p>
    <w:p w14:paraId="10798905" w14:textId="77777777" w:rsidR="002D0DD5" w:rsidRPr="002D0DD5" w:rsidRDefault="002D0DD5" w:rsidP="002D0DD5">
      <w:pPr>
        <w:bidi/>
        <w:spacing w:before="240" w:after="8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جدول (3-7): توزيع فقرات الأداة على المحاور وأبرز مصادر الاشتقاق</w:t>
      </w:r>
    </w:p>
    <w:tbl>
      <w:tblPr>
        <w:bidiVisual/>
        <w:tblW w:w="780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900"/>
        <w:gridCol w:w="3700"/>
      </w:tblGrid>
      <w:tr w:rsidR="002D0DD5" w:rsidRPr="002D0DD5" w14:paraId="29CD5CBD" w14:textId="77777777" w:rsidTr="00911285">
        <w:tc>
          <w:tcPr>
            <w:tcW w:w="1900" w:type="dxa"/>
            <w:shd w:val="clear" w:color="auto" w:fill="D9D9D9"/>
            <w:tcMar>
              <w:top w:w="80" w:type="dxa"/>
              <w:left w:w="100" w:type="dxa"/>
              <w:bottom w:w="80" w:type="dxa"/>
              <w:right w:w="100" w:type="dxa"/>
            </w:tcMar>
            <w:vAlign w:val="center"/>
          </w:tcPr>
          <w:p w14:paraId="218A3AB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المحور (المتغير)</w:t>
            </w:r>
          </w:p>
        </w:tc>
        <w:tc>
          <w:tcPr>
            <w:tcW w:w="1300" w:type="dxa"/>
            <w:shd w:val="clear" w:color="auto" w:fill="D9D9D9"/>
            <w:tcMar>
              <w:top w:w="80" w:type="dxa"/>
              <w:left w:w="100" w:type="dxa"/>
              <w:bottom w:w="80" w:type="dxa"/>
              <w:right w:w="100" w:type="dxa"/>
            </w:tcMar>
            <w:vAlign w:val="center"/>
          </w:tcPr>
          <w:p w14:paraId="4EFA62C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الرمز</w:t>
            </w:r>
          </w:p>
        </w:tc>
        <w:tc>
          <w:tcPr>
            <w:tcW w:w="900" w:type="dxa"/>
            <w:shd w:val="clear" w:color="auto" w:fill="D9D9D9"/>
            <w:tcMar>
              <w:top w:w="80" w:type="dxa"/>
              <w:left w:w="100" w:type="dxa"/>
              <w:bottom w:w="80" w:type="dxa"/>
              <w:right w:w="100" w:type="dxa"/>
            </w:tcMar>
            <w:vAlign w:val="center"/>
          </w:tcPr>
          <w:p w14:paraId="76AC5B4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الفقرات</w:t>
            </w:r>
          </w:p>
        </w:tc>
        <w:tc>
          <w:tcPr>
            <w:tcW w:w="3700" w:type="dxa"/>
            <w:shd w:val="clear" w:color="auto" w:fill="D9D9D9"/>
            <w:tcMar>
              <w:top w:w="80" w:type="dxa"/>
              <w:left w:w="100" w:type="dxa"/>
              <w:bottom w:w="80" w:type="dxa"/>
              <w:right w:w="100" w:type="dxa"/>
            </w:tcMar>
            <w:vAlign w:val="center"/>
          </w:tcPr>
          <w:p w14:paraId="4D35F38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أبرز مصادر الاشتقاق</w:t>
            </w:r>
          </w:p>
        </w:tc>
      </w:tr>
      <w:tr w:rsidR="002D0DD5" w:rsidRPr="002D0DD5" w14:paraId="71FAE882" w14:textId="77777777" w:rsidTr="00911285">
        <w:tc>
          <w:tcPr>
            <w:tcW w:w="1900" w:type="dxa"/>
            <w:tcMar>
              <w:top w:w="80" w:type="dxa"/>
              <w:left w:w="100" w:type="dxa"/>
              <w:bottom w:w="80" w:type="dxa"/>
              <w:right w:w="100" w:type="dxa"/>
            </w:tcMar>
            <w:vAlign w:val="center"/>
          </w:tcPr>
          <w:p w14:paraId="466B837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توظيف الذكاء الاصطناعي التوليدي</w:t>
            </w:r>
          </w:p>
        </w:tc>
        <w:tc>
          <w:tcPr>
            <w:tcW w:w="1300" w:type="dxa"/>
            <w:tcMar>
              <w:top w:w="80" w:type="dxa"/>
              <w:left w:w="100" w:type="dxa"/>
              <w:bottom w:w="80" w:type="dxa"/>
              <w:right w:w="100" w:type="dxa"/>
            </w:tcMar>
            <w:vAlign w:val="center"/>
          </w:tcPr>
          <w:p w14:paraId="259E7C8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GAIU1–GAIU10</w:t>
            </w:r>
          </w:p>
        </w:tc>
        <w:tc>
          <w:tcPr>
            <w:tcW w:w="900" w:type="dxa"/>
            <w:tcMar>
              <w:top w:w="80" w:type="dxa"/>
              <w:left w:w="100" w:type="dxa"/>
              <w:bottom w:w="80" w:type="dxa"/>
              <w:right w:w="100" w:type="dxa"/>
            </w:tcMar>
            <w:vAlign w:val="center"/>
          </w:tcPr>
          <w:p w14:paraId="4C1B8E1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58272D1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Islam et al. (2024); Gujar &amp; Panyam (2024); Kshetri et al. (2023); Mendoza et al. (2025)</w:t>
            </w:r>
          </w:p>
        </w:tc>
      </w:tr>
      <w:tr w:rsidR="002D0DD5" w:rsidRPr="002D0DD5" w14:paraId="07BCA9CB" w14:textId="77777777" w:rsidTr="00911285">
        <w:tc>
          <w:tcPr>
            <w:tcW w:w="1900" w:type="dxa"/>
            <w:tcMar>
              <w:top w:w="80" w:type="dxa"/>
              <w:left w:w="100" w:type="dxa"/>
              <w:bottom w:w="80" w:type="dxa"/>
              <w:right w:w="100" w:type="dxa"/>
            </w:tcMar>
            <w:vAlign w:val="center"/>
          </w:tcPr>
          <w:p w14:paraId="41B6B2C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جودة عملية التصميم</w:t>
            </w:r>
          </w:p>
        </w:tc>
        <w:tc>
          <w:tcPr>
            <w:tcW w:w="1300" w:type="dxa"/>
            <w:tcMar>
              <w:top w:w="80" w:type="dxa"/>
              <w:left w:w="100" w:type="dxa"/>
              <w:bottom w:w="80" w:type="dxa"/>
              <w:right w:w="100" w:type="dxa"/>
            </w:tcMar>
            <w:vAlign w:val="center"/>
          </w:tcPr>
          <w:p w14:paraId="18F6016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CDQ1–CDQ8</w:t>
            </w:r>
          </w:p>
        </w:tc>
        <w:tc>
          <w:tcPr>
            <w:tcW w:w="900" w:type="dxa"/>
            <w:tcMar>
              <w:top w:w="80" w:type="dxa"/>
              <w:left w:w="100" w:type="dxa"/>
              <w:bottom w:w="80" w:type="dxa"/>
              <w:right w:w="100" w:type="dxa"/>
            </w:tcMar>
            <w:vAlign w:val="center"/>
          </w:tcPr>
          <w:p w14:paraId="30A1406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8</w:t>
            </w:r>
          </w:p>
        </w:tc>
        <w:tc>
          <w:tcPr>
            <w:tcW w:w="3700" w:type="dxa"/>
            <w:tcMar>
              <w:top w:w="80" w:type="dxa"/>
              <w:left w:w="100" w:type="dxa"/>
              <w:bottom w:w="80" w:type="dxa"/>
              <w:right w:w="100" w:type="dxa"/>
            </w:tcMar>
            <w:vAlign w:val="center"/>
          </w:tcPr>
          <w:p w14:paraId="352FD9A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Heitmann (2024); McKinsey (2024)</w:t>
            </w:r>
            <w:r w:rsidRPr="002D0DD5">
              <w:rPr>
                <w:rFonts w:ascii="Simplified Arabic" w:eastAsia="Arial" w:hAnsi="Simplified Arabic" w:cs="Simplified Arabic"/>
                <w:color w:val="EE0000"/>
                <w:rtl/>
              </w:rPr>
              <w:t>*</w:t>
            </w:r>
            <w:r w:rsidRPr="002D0DD5">
              <w:rPr>
                <w:rFonts w:ascii="Simplified Arabic" w:eastAsia="Arial" w:hAnsi="Simplified Arabic" w:cs="Simplified Arabic"/>
                <w:rtl/>
              </w:rPr>
              <w:t>; Gujar &amp; Panyam (2024); Mendoza et al. (2025)</w:t>
            </w:r>
          </w:p>
        </w:tc>
      </w:tr>
      <w:tr w:rsidR="002D0DD5" w:rsidRPr="002D0DD5" w14:paraId="3E60A5A5" w14:textId="77777777" w:rsidTr="00911285">
        <w:tc>
          <w:tcPr>
            <w:tcW w:w="1900" w:type="dxa"/>
            <w:tcMar>
              <w:top w:w="80" w:type="dxa"/>
              <w:left w:w="100" w:type="dxa"/>
              <w:bottom w:w="80" w:type="dxa"/>
              <w:right w:w="100" w:type="dxa"/>
            </w:tcMar>
            <w:vAlign w:val="center"/>
          </w:tcPr>
          <w:p w14:paraId="6BCA7BF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دوافع التبني</w:t>
            </w:r>
          </w:p>
        </w:tc>
        <w:tc>
          <w:tcPr>
            <w:tcW w:w="1300" w:type="dxa"/>
            <w:tcMar>
              <w:top w:w="80" w:type="dxa"/>
              <w:left w:w="100" w:type="dxa"/>
              <w:bottom w:w="80" w:type="dxa"/>
              <w:right w:w="100" w:type="dxa"/>
            </w:tcMar>
            <w:vAlign w:val="center"/>
          </w:tcPr>
          <w:p w14:paraId="52031E9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ADP1–ADP9</w:t>
            </w:r>
          </w:p>
        </w:tc>
        <w:tc>
          <w:tcPr>
            <w:tcW w:w="900" w:type="dxa"/>
            <w:tcMar>
              <w:top w:w="80" w:type="dxa"/>
              <w:left w:w="100" w:type="dxa"/>
              <w:bottom w:w="80" w:type="dxa"/>
              <w:right w:w="100" w:type="dxa"/>
            </w:tcMar>
            <w:vAlign w:val="center"/>
          </w:tcPr>
          <w:p w14:paraId="5CB9F2A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649EE26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Kshetri et al. (2023); Masnita et al. (2024); Sharabati et al. (2024); العتيبي واليوبي (2024)</w:t>
            </w:r>
          </w:p>
        </w:tc>
      </w:tr>
      <w:tr w:rsidR="002D0DD5" w:rsidRPr="002D0DD5" w14:paraId="30499FF5" w14:textId="77777777" w:rsidTr="00911285">
        <w:tc>
          <w:tcPr>
            <w:tcW w:w="1900" w:type="dxa"/>
            <w:tcMar>
              <w:top w:w="80" w:type="dxa"/>
              <w:left w:w="100" w:type="dxa"/>
              <w:bottom w:w="80" w:type="dxa"/>
              <w:right w:w="100" w:type="dxa"/>
            </w:tcMar>
            <w:vAlign w:val="center"/>
          </w:tcPr>
          <w:p w14:paraId="1CBF7A1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العوائق التقنية والبشرية والتنظيمية</w:t>
            </w:r>
          </w:p>
        </w:tc>
        <w:tc>
          <w:tcPr>
            <w:tcW w:w="1300" w:type="dxa"/>
            <w:tcMar>
              <w:top w:w="80" w:type="dxa"/>
              <w:left w:w="100" w:type="dxa"/>
              <w:bottom w:w="80" w:type="dxa"/>
              <w:right w:w="100" w:type="dxa"/>
            </w:tcMar>
            <w:vAlign w:val="center"/>
          </w:tcPr>
          <w:p w14:paraId="78BAB0D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BAR1–BAR10</w:t>
            </w:r>
          </w:p>
        </w:tc>
        <w:tc>
          <w:tcPr>
            <w:tcW w:w="900" w:type="dxa"/>
            <w:tcMar>
              <w:top w:w="80" w:type="dxa"/>
              <w:left w:w="100" w:type="dxa"/>
              <w:bottom w:w="80" w:type="dxa"/>
              <w:right w:w="100" w:type="dxa"/>
            </w:tcMar>
            <w:vAlign w:val="center"/>
          </w:tcPr>
          <w:p w14:paraId="2D1E4F8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7EDE46A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SDAIA (2024); Dwivedi et al. (2023); Kshetri et al. (2023); محيسن وآخرون (2025)</w:t>
            </w:r>
          </w:p>
        </w:tc>
      </w:tr>
      <w:tr w:rsidR="002D0DD5" w:rsidRPr="002D0DD5" w14:paraId="3CB4E165" w14:textId="77777777" w:rsidTr="00911285">
        <w:tc>
          <w:tcPr>
            <w:tcW w:w="1900" w:type="dxa"/>
            <w:tcMar>
              <w:top w:w="80" w:type="dxa"/>
              <w:left w:w="100" w:type="dxa"/>
              <w:bottom w:w="80" w:type="dxa"/>
              <w:right w:w="100" w:type="dxa"/>
            </w:tcMar>
            <w:vAlign w:val="center"/>
          </w:tcPr>
          <w:p w14:paraId="138A367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lastRenderedPageBreak/>
              <w:t>فعالية الأداء التسويقي</w:t>
            </w:r>
          </w:p>
        </w:tc>
        <w:tc>
          <w:tcPr>
            <w:tcW w:w="1300" w:type="dxa"/>
            <w:tcMar>
              <w:top w:w="80" w:type="dxa"/>
              <w:left w:w="100" w:type="dxa"/>
              <w:bottom w:w="80" w:type="dxa"/>
              <w:right w:w="100" w:type="dxa"/>
            </w:tcMar>
            <w:vAlign w:val="center"/>
          </w:tcPr>
          <w:p w14:paraId="385889D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MP1–MP9</w:t>
            </w:r>
          </w:p>
        </w:tc>
        <w:tc>
          <w:tcPr>
            <w:tcW w:w="900" w:type="dxa"/>
            <w:tcMar>
              <w:top w:w="80" w:type="dxa"/>
              <w:left w:w="100" w:type="dxa"/>
              <w:bottom w:w="80" w:type="dxa"/>
              <w:right w:w="100" w:type="dxa"/>
            </w:tcMar>
            <w:vAlign w:val="center"/>
          </w:tcPr>
          <w:p w14:paraId="37ACB45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778ECF5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Nuremberg Institute (2024)</w:t>
            </w:r>
            <w:r w:rsidRPr="002D0DD5">
              <w:rPr>
                <w:rFonts w:ascii="Simplified Arabic" w:eastAsia="Arial" w:hAnsi="Simplified Arabic" w:cs="Simplified Arabic"/>
                <w:color w:val="EE0000"/>
                <w:rtl/>
              </w:rPr>
              <w:t>*</w:t>
            </w:r>
            <w:r w:rsidRPr="002D0DD5">
              <w:rPr>
                <w:rFonts w:ascii="Simplified Arabic" w:eastAsia="Arial" w:hAnsi="Simplified Arabic" w:cs="Simplified Arabic"/>
                <w:rtl/>
              </w:rPr>
              <w:t>; Mendoza et al. (2025); Beyari (2025); اللهيبي وآخرون (2024)</w:t>
            </w:r>
          </w:p>
        </w:tc>
      </w:tr>
    </w:tbl>
    <w:p w14:paraId="0237C0BA"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 تشير المصادر المؤسسية والاستشارية (McKinsey وNuremberg Institute) إلى مصادر سياقية ومعلوماتية استُعين بها في صياغة بعض الفقرات، ولا تُعامَل بوصفها مقاييس سابقة محكَّمة؛ وسيُفصَّل هذا التمييز لكل فقرة في جدول ملحق (ب).</w:t>
      </w:r>
    </w:p>
    <w:p w14:paraId="2FE95BAA"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إجراءات الترجمة</w:t>
      </w:r>
    </w:p>
    <w:p w14:paraId="266E562A" w14:textId="77777777" w:rsidR="002D0DD5" w:rsidRPr="002D0DD5" w:rsidRDefault="002D0DD5" w:rsidP="002D0DD5">
      <w:pPr>
        <w:bidi/>
        <w:spacing w:before="220" w:after="120" w:line="240" w:lineRule="auto"/>
        <w:rPr>
          <w:rFonts w:ascii="Simplified Arabic" w:eastAsia="Arial" w:hAnsi="Simplified Arabic" w:cs="Simplified Arabic"/>
          <w:b/>
          <w:bCs/>
          <w:color w:val="EE0000"/>
          <w:rtl/>
        </w:rPr>
      </w:pPr>
      <w:r w:rsidRPr="002D0DD5">
        <w:rPr>
          <w:rFonts w:ascii="Simplified Arabic" w:eastAsia="Arial" w:hAnsi="Simplified Arabic" w:cs="Simplified Arabic"/>
          <w:color w:val="EE0000"/>
          <w:rtl/>
        </w:rPr>
        <w:t>بالنسبة إلى جميع الفقرات التي يكون مصدرها الأصلي باللغة الإنجليزية، ستُترجم إلى العربية ترجمة أولية بواسطة مترجم متمكن من المجالين اللغوي والبحثي، ثم تُراجع لغويًا ومفاهيميًا للتأكد من وضوحها واحتفاظها بالمعنى المقصود. وبعد ذلك ستُطبق الترجمة العكسية (</w:t>
      </w:r>
      <w:r w:rsidRPr="002D0DD5">
        <w:rPr>
          <w:rFonts w:ascii="Simplified Arabic" w:eastAsia="Arial" w:hAnsi="Simplified Arabic" w:cs="Simplified Arabic"/>
          <w:color w:val="EE0000"/>
        </w:rPr>
        <w:t>Back-Translation</w:t>
      </w:r>
      <w:r w:rsidRPr="002D0DD5">
        <w:rPr>
          <w:rFonts w:ascii="Simplified Arabic" w:eastAsia="Arial" w:hAnsi="Simplified Arabic" w:cs="Simplified Arabic"/>
          <w:color w:val="EE0000"/>
          <w:rtl/>
        </w:rPr>
        <w:t>) على جميع الفقرات المترجمة بواسطة مترجم آخر مستقل لم يطلع على النص الأصلي أثناء الترجمة العكسية، ثم تُقارن النسخة المعادة بالنص الأصلي، وتُناقش أي فروق دلالية بين المترجمين والباحث حتى الوصول إلى صياغة عربية متكافئة مفاهيميًا مع الأصل.</w:t>
      </w:r>
    </w:p>
    <w:p w14:paraId="71EC45B9"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حقوق استخدام المقاييس</w:t>
      </w:r>
    </w:p>
    <w:p w14:paraId="103BBA74"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سيتحقق الباحث، قبل استخدام أي فقرة مقتبسة من مقياس منشور، من شروط إعادة الاستخدام أو التعديل المتاحة في المصدر الأصلي (ترخيص مفتوح، أو نص صريح بالإتاحة للأغراض الأكاديمية، أو غير ذلك)، وسيُطلب إذن مباشر من المؤلفين عند الحاجة، وستُوثَّق المراسلات أو الأذونات المتحصَّل عليها ضمن ملاحق الدراسة.</w:t>
      </w:r>
    </w:p>
    <w:p w14:paraId="5E6CAB83"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تحكيم الأداة وصدق المحتوى الكمي</w:t>
      </w:r>
    </w:p>
    <w:p w14:paraId="09FCA359" w14:textId="77777777" w:rsidR="002D0DD5" w:rsidRPr="002D0DD5" w:rsidRDefault="002D0DD5" w:rsidP="002D0DD5">
      <w:pPr>
        <w:bidi/>
        <w:spacing w:line="300" w:lineRule="auto"/>
        <w:jc w:val="both"/>
        <w:rPr>
          <w:rFonts w:ascii="Simplified Arabic" w:eastAsia="Arial" w:hAnsi="Simplified Arabic" w:cs="Simplified Arabic"/>
        </w:rPr>
      </w:pPr>
      <w:r w:rsidRPr="002D0DD5">
        <w:rPr>
          <w:rFonts w:ascii="Simplified Arabic" w:eastAsia="Arial" w:hAnsi="Simplified Arabic" w:cs="Simplified Arabic"/>
          <w:rtl/>
        </w:rPr>
        <w:t>ستُعرَض الأداة في صورتها الأولية على سبعة محكِّمين من ذوي الاختصاص، يوزَّعون بين التسويق الرقمي (3 محكِّمين)، ومناهج البحث والإحصاء (2 محكِّمين)، والذكاء الاصطناعي التوليدي وتطبيقاته (2 محكِّمين)، لإبداء الرأي في ملاءمة الفقرات لأبعاد المتغيرات، وسلامة صياغتها، ووضوح عباراتها، وانتماء كل فقرة إلى محورها.</w:t>
      </w:r>
    </w:p>
    <w:p w14:paraId="3C13503E" w14:textId="77777777" w:rsidR="002D0DD5" w:rsidRPr="002D0DD5" w:rsidRDefault="002D0DD5" w:rsidP="002D0DD5">
      <w:pPr>
        <w:bidi/>
        <w:spacing w:before="220" w:after="120" w:line="240" w:lineRule="auto"/>
        <w:rPr>
          <w:rFonts w:ascii="Simplified Arabic" w:eastAsia="Arial" w:hAnsi="Simplified Arabic" w:cs="Simplified Arabic"/>
          <w:b/>
          <w:bCs/>
          <w:rtl/>
        </w:rPr>
      </w:pPr>
      <w:r w:rsidRPr="002D0DD5">
        <w:rPr>
          <w:rFonts w:ascii="Simplified Arabic" w:eastAsia="Arial" w:hAnsi="Simplified Arabic" w:cs="Simplified Arabic"/>
          <w:rtl/>
        </w:rPr>
        <w:t>وإلى جانب التحكيم النوعي، سيُحسب مؤشر صدق المحتوى على مستوى كل فقرة (</w:t>
      </w:r>
      <w:r w:rsidRPr="002D0DD5">
        <w:rPr>
          <w:rFonts w:ascii="Simplified Arabic" w:eastAsia="Arial" w:hAnsi="Simplified Arabic" w:cs="Simplified Arabic"/>
        </w:rPr>
        <w:t>Item-Level Content Validity Index: I-CVI</w:t>
      </w:r>
      <w:r w:rsidRPr="002D0DD5">
        <w:rPr>
          <w:rFonts w:ascii="Simplified Arabic" w:eastAsia="Arial" w:hAnsi="Simplified Arabic" w:cs="Simplified Arabic"/>
          <w:rtl/>
        </w:rPr>
        <w:t>)، استنادًا إلى أحكام المحكمين بشأن ملاءمة الفقرة للمتغير الذي تقيسه. ويُعتمد حد لا يقل عن (0.78) لقبول الفقرة؛ وبوجود سبعة محكمين يعني ذلك عمليًا اتفاق ستة محكمين على الأقل من أصل سبعة على ملاءمتها. أما الفقرات التي لا تحقق هذا المستوى فستُراجع صياغتها أو تُحذف بحسب مضمون ملاحظات المحكمين ومدى ضرورتها المفاهيمية. وستوثق نتائج التحكيم وقرارات التعديل والحذف والإضافة في جدول مستقل.</w:t>
      </w:r>
    </w:p>
    <w:p w14:paraId="4BFA3C3B"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الفقرات العكسية</w:t>
      </w:r>
    </w:p>
    <w:p w14:paraId="59E577E0" w14:textId="77777777" w:rsidR="002D0DD5" w:rsidRPr="002D0DD5" w:rsidRDefault="002D0DD5" w:rsidP="002D0DD5">
      <w:pPr>
        <w:bidi/>
        <w:spacing w:line="300" w:lineRule="auto"/>
        <w:jc w:val="both"/>
        <w:rPr>
          <w:rFonts w:ascii="Simplified Arabic" w:eastAsia="Arial" w:hAnsi="Simplified Arabic" w:cs="Simplified Arabic"/>
          <w:color w:val="EE0000"/>
          <w:rtl/>
        </w:rPr>
      </w:pPr>
      <w:r w:rsidRPr="002D0DD5">
        <w:rPr>
          <w:rFonts w:ascii="Simplified Arabic" w:eastAsia="Arial" w:hAnsi="Simplified Arabic" w:cs="Simplified Arabic"/>
          <w:color w:val="EE0000"/>
          <w:rtl/>
        </w:rPr>
        <w:t>روجعت جميع فقرات محاور القياس عند الصياغة والتحكيم للتحقق من اتجاه الصياغة، ولم تتضمن الصورة الحالية للأداة فقرات سالبة الاتجاه تحتاج إلى عكس الترميز؛ وفي حال استُحدثت أي فقرة عكسية بناءً على ملاحظات المحكِّمين أو الدراسة الاستطلاعية، فستُحدَّد بوضوح في جدول فقرات الأداة (ملحق ب) وستُعكَس درجتها (Reverse-Coded) قبل احتساب درجة المحور الكلية في مرحلة تنظيف البيانات.</w:t>
      </w:r>
    </w:p>
    <w:p w14:paraId="5334C16A" w14:textId="77777777" w:rsidR="002D0DD5" w:rsidRPr="002D0DD5" w:rsidRDefault="002D0DD5" w:rsidP="002D0DD5">
      <w:pPr>
        <w:bidi/>
        <w:spacing w:after="200" w:line="240" w:lineRule="auto"/>
        <w:jc w:val="both"/>
        <w:rPr>
          <w:rFonts w:ascii="Simplified Arabic" w:hAnsi="Simplified Arabic" w:cs="Simplified Arabic"/>
          <w:b/>
          <w:bCs/>
          <w:color w:val="1F497D" w:themeColor="text2"/>
          <w:u w:val="single"/>
          <w:rtl/>
        </w:rPr>
      </w:pPr>
      <w:r w:rsidRPr="002D0DD5">
        <w:rPr>
          <w:rFonts w:ascii="Sakkal Majalla" w:hAnsi="Sakkal Majalla" w:cs="Sakkal Majalla"/>
          <w:b/>
          <w:bCs/>
          <w:color w:val="1F497D" w:themeColor="text2"/>
          <w:sz w:val="32"/>
          <w:szCs w:val="32"/>
          <w:u w:val="single"/>
          <w:rtl/>
        </w:rPr>
        <w:lastRenderedPageBreak/>
        <w:t>صدق أداة الدراسة</w:t>
      </w:r>
      <w:r w:rsidRPr="002D0DD5">
        <w:rPr>
          <w:rFonts w:ascii="Sakkal Majalla" w:hAnsi="Sakkal Majalla" w:cs="Sakkal Majalla" w:hint="cs"/>
          <w:b/>
          <w:bCs/>
          <w:color w:val="1F497D" w:themeColor="text2"/>
          <w:sz w:val="32"/>
          <w:szCs w:val="32"/>
          <w:u w:val="single"/>
          <w:rtl/>
        </w:rPr>
        <w:t xml:space="preserve"> وثباتها</w:t>
      </w:r>
    </w:p>
    <w:p w14:paraId="29ECCEB5" w14:textId="77777777" w:rsidR="002D0DD5" w:rsidRPr="002D0DD5" w:rsidRDefault="002D0DD5" w:rsidP="002D0DD5">
      <w:pPr>
        <w:bidi/>
        <w:spacing w:before="220" w:after="120"/>
        <w:rPr>
          <w:rFonts w:ascii="Simplified Arabic" w:eastAsia="Arial" w:hAnsi="Simplified Arabic" w:cs="Simplified Arabic"/>
        </w:rPr>
      </w:pPr>
      <w:r w:rsidRPr="002D0DD5">
        <w:rPr>
          <w:rFonts w:ascii="Simplified Arabic" w:hAnsi="Simplified Arabic" w:cs="Simplified Arabic"/>
          <w:rtl/>
        </w:rPr>
        <w:t xml:space="preserve"> </w:t>
      </w:r>
      <w:r w:rsidRPr="002D0DD5">
        <w:rPr>
          <w:rFonts w:ascii="Simplified Arabic" w:eastAsia="Arial" w:hAnsi="Simplified Arabic" w:cs="Simplified Arabic"/>
          <w:b/>
          <w:bCs/>
          <w:rtl/>
        </w:rPr>
        <w:t>الصدق الظاهري وصدق المحتوى (صدق المحكَّمين)</w:t>
      </w:r>
    </w:p>
    <w:p w14:paraId="7CC2CF5D" w14:textId="77777777" w:rsidR="002D0DD5" w:rsidRPr="002D0DD5" w:rsidRDefault="002D0DD5" w:rsidP="002D0DD5">
      <w:pPr>
        <w:bidi/>
        <w:spacing w:line="300" w:lineRule="auto"/>
        <w:jc w:val="both"/>
        <w:rPr>
          <w:rFonts w:ascii="Simplified Arabic" w:eastAsia="Arial" w:hAnsi="Simplified Arabic" w:cs="Simplified Arabic"/>
        </w:rPr>
      </w:pPr>
      <w:r w:rsidRPr="002D0DD5">
        <w:rPr>
          <w:rFonts w:ascii="Simplified Arabic" w:eastAsia="Arial" w:hAnsi="Simplified Arabic" w:cs="Simplified Arabic"/>
          <w:rtl/>
        </w:rPr>
        <w:t>سبق بيان إجراءات التحكيم واحتساب مؤشر صدق المحتوى الكمي (CVI) في الفقرة السابقة.</w:t>
      </w:r>
    </w:p>
    <w:p w14:paraId="589A2C47"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الدراسة الاستطلاعية ومؤشرات الاتساق الأولي</w:t>
      </w:r>
    </w:p>
    <w:p w14:paraId="2DA1859F"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قبل التطبيق الأساسي، ستُطبَّق الأداة على عينة استطلاعية ميسرة تضم من (30) إلى (40) مشاركًا من الفئة المستهدفة نفسها في المدن الثلاث، بما يقارب خصائص مجتمع الدراسة الأساسي، وذلك للتحقق من وضوح الفقرات والتعليمات وتقدير زمن الإجابة، ولحساب مؤشرات أولية للاتساق الداخلي (معامل ألفا كرونباخ المبدئي لكل محور) ومعامل ارتباط كل فقرة بالدرجة الكلية لمحورها (Corrected Item-Total Correlation)، بحيث تُراجَع أو تُحذف الفقرة التي يقل معامل ارتباطها بالدرجة الكلية عن (0.30)، إلى جانب مراجعة الفقرات التي تخفض حذفها معامل ألفا الكلي للمحور.</w:t>
      </w:r>
    </w:p>
    <w:p w14:paraId="288FF8D5"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صدق البناء (تقييم نموذج القياس)</w:t>
      </w:r>
    </w:p>
    <w:p w14:paraId="3649D593"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سيُتحقَّق من صدق البناء عبر تقييم نموذج القياس (Measurement Model Assessment) في إطار PLS-SEM، بدلًا من مساواته مباشرة بالتحليل العاملي التوكيدي التقليدي المستخدم في الأساليب القائمة على التغاير؛ إذ يعتمد تقييم نموذج القياس في PLS-SEM على مؤشرات مخصوصة تختلف جزئيًا عن مؤشرات CFA التقليدي. وينظر في هذا الإطار إلى نوعين من الصدق:</w:t>
      </w:r>
    </w:p>
    <w:p w14:paraId="49934C35" w14:textId="77777777" w:rsidR="002D0DD5" w:rsidRPr="002D0DD5" w:rsidRDefault="002D0DD5">
      <w:pPr>
        <w:numPr>
          <w:ilvl w:val="0"/>
          <w:numId w:val="22"/>
        </w:numPr>
        <w:bidi/>
        <w:spacing w:after="120"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الصدق التقاربي (Convergent Validity): يُحكم عليه بدلالة تشبّع الفقرات على عواملها وبقيمة متوسط التباين المستخرج (AVE)، بحيث لا تقل عن (0.50) للمتغير الواحد.</w:t>
      </w:r>
    </w:p>
    <w:p w14:paraId="32DF64FF"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الصدق التمايزي (Discriminant Validity): يُحكم عليه باختبار نسبة الارتباط أحادي السمة إلى متعدد السمات (HTMT)، بحيث لا تتجاوز قيمته (0.85)، مع فحص فترات الثقة الناتجة عن إعادة المعاينة (Bootstrapping) للتأكد من عدم احتواء الحد الأعلى للفترة على القيمة (1)، إذ لا يكفي الاكتفاء بمقارنة القيمة النقطية بالحد المرجعي.</w:t>
      </w:r>
    </w:p>
    <w:p w14:paraId="3F325903"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معيار التحميل الخارجي وقواعد الاحتفاظ والحذف</w:t>
      </w:r>
    </w:p>
    <w:p w14:paraId="098DA1C8" w14:textId="77777777" w:rsidR="002D0DD5" w:rsidRPr="002D0DD5" w:rsidRDefault="002D0DD5" w:rsidP="002D0DD5">
      <w:pPr>
        <w:bidi/>
        <w:spacing w:line="300" w:lineRule="auto"/>
        <w:rPr>
          <w:rFonts w:ascii="Simplified Arabic" w:eastAsia="Arial" w:hAnsi="Simplified Arabic" w:cs="Simplified Arabic"/>
          <w:rtl/>
        </w:rPr>
      </w:pPr>
      <w:r w:rsidRPr="002D0DD5">
        <w:rPr>
          <w:rFonts w:ascii="Simplified Arabic" w:eastAsia="Arial" w:hAnsi="Simplified Arabic" w:cs="Simplified Arabic"/>
          <w:rtl/>
        </w:rPr>
        <w:t>ستُستبقى الفقرة التي تبلغ قيمة تحميلها الخارجي (Outer Loading) (0.70) فأكثر دون مراجعة إضافية، بينما تُدرَس الفقرات الواقعة بين (0.40) و(0.70) وفق أثر حذفها في قيمتي الثبات المركب (CR) ومتوسط التباين المستخرج (AVE) للمحور؛ فتُستبقى إذا لم يخفض حذفها هاتين القيمتين عن حديهما المرجعيين وكان محتواها مهمًا مفاهيميًا للمحور، وتُحذف إذا حسّن حذفها القيمتين المذكورتين. أما الفقرات التي يقل تحميلها عن (0.40) فتُحذف مباشرة دون حاجة لدراسة أثرها.</w:t>
      </w:r>
    </w:p>
    <w:p w14:paraId="19843965" w14:textId="77777777" w:rsidR="002D0DD5" w:rsidRPr="002D0DD5" w:rsidRDefault="002D0DD5" w:rsidP="002D0DD5">
      <w:pPr>
        <w:bidi/>
        <w:spacing w:line="300" w:lineRule="auto"/>
        <w:rPr>
          <w:rFonts w:ascii="Simplified Arabic" w:eastAsia="Arial" w:hAnsi="Simplified Arabic" w:cs="Simplified Arabic"/>
        </w:rPr>
      </w:pPr>
    </w:p>
    <w:p w14:paraId="009A92F7"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lastRenderedPageBreak/>
        <w:t>ثبات أداة الدراسة</w:t>
      </w:r>
    </w:p>
    <w:p w14:paraId="4504B4D8" w14:textId="77777777" w:rsidR="002D0DD5" w:rsidRPr="002D0DD5" w:rsidRDefault="002D0DD5" w:rsidP="002D0DD5">
      <w:pPr>
        <w:bidi/>
        <w:spacing w:line="300" w:lineRule="auto"/>
        <w:rPr>
          <w:rFonts w:ascii="Simplified Arabic" w:eastAsia="Arial" w:hAnsi="Simplified Arabic" w:cs="Simplified Arabic"/>
        </w:rPr>
      </w:pPr>
      <w:r w:rsidRPr="002D0DD5">
        <w:rPr>
          <w:rFonts w:ascii="Simplified Arabic" w:eastAsia="Arial" w:hAnsi="Simplified Arabic" w:cs="Simplified Arabic"/>
          <w:rtl/>
        </w:rPr>
        <w:t>اعتمد الباحث في قياس الثبات ثلاثة مؤشرات متكاملة تناسب أسلوب التحليل: معامل ألفا كرونباخ (Cronbach's Alpha)، والثبات المركب (CR)، ومعامل (rho_A) الذي يُعدّ تقديرًا أكثر دقة للاتساق الداخلي في نمذجة PLS-SEM مقارنة بألفا كرونباخ وحده؛ ويُعدّ المتغير مقبول الثبات إذا بلغ كل من هذه المؤشرات (0.70) فأكثر (Hair et al., 2022).</w:t>
      </w:r>
    </w:p>
    <w:p w14:paraId="609A9544" w14:textId="77777777" w:rsidR="002D0DD5" w:rsidRPr="002D0DD5" w:rsidRDefault="002D0DD5" w:rsidP="002D0DD5">
      <w:pPr>
        <w:bidi/>
        <w:spacing w:before="240" w:after="8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جدول (3-8): مؤشرات الصدق والثبات المعتمدة وقيمها المرجعية</w:t>
      </w:r>
    </w:p>
    <w:tbl>
      <w:tblPr>
        <w:bidiVisual/>
        <w:tblW w:w="7000"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600"/>
        <w:gridCol w:w="2400"/>
      </w:tblGrid>
      <w:tr w:rsidR="002D0DD5" w:rsidRPr="002D0DD5" w14:paraId="565E8E88" w14:textId="77777777" w:rsidTr="00911285">
        <w:tc>
          <w:tcPr>
            <w:tcW w:w="2000" w:type="dxa"/>
            <w:shd w:val="clear" w:color="auto" w:fill="D9D9D9"/>
            <w:tcMar>
              <w:top w:w="80" w:type="dxa"/>
              <w:left w:w="100" w:type="dxa"/>
              <w:bottom w:w="80" w:type="dxa"/>
              <w:right w:w="100" w:type="dxa"/>
            </w:tcMar>
            <w:vAlign w:val="center"/>
          </w:tcPr>
          <w:p w14:paraId="255D2BF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المؤشر</w:t>
            </w:r>
          </w:p>
        </w:tc>
        <w:tc>
          <w:tcPr>
            <w:tcW w:w="2600" w:type="dxa"/>
            <w:shd w:val="clear" w:color="auto" w:fill="D9D9D9"/>
            <w:tcMar>
              <w:top w:w="80" w:type="dxa"/>
              <w:left w:w="100" w:type="dxa"/>
              <w:bottom w:w="80" w:type="dxa"/>
              <w:right w:w="100" w:type="dxa"/>
            </w:tcMar>
            <w:vAlign w:val="center"/>
          </w:tcPr>
          <w:p w14:paraId="026D846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الغرض</w:t>
            </w:r>
          </w:p>
        </w:tc>
        <w:tc>
          <w:tcPr>
            <w:tcW w:w="2400" w:type="dxa"/>
            <w:shd w:val="clear" w:color="auto" w:fill="D9D9D9"/>
            <w:tcMar>
              <w:top w:w="80" w:type="dxa"/>
              <w:left w:w="100" w:type="dxa"/>
              <w:bottom w:w="80" w:type="dxa"/>
              <w:right w:w="100" w:type="dxa"/>
            </w:tcMar>
            <w:vAlign w:val="center"/>
          </w:tcPr>
          <w:p w14:paraId="3E7CD75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القيمة المرجعية</w:t>
            </w:r>
          </w:p>
        </w:tc>
      </w:tr>
      <w:tr w:rsidR="002D0DD5" w:rsidRPr="002D0DD5" w14:paraId="6A66E0BE" w14:textId="77777777" w:rsidTr="00911285">
        <w:tc>
          <w:tcPr>
            <w:tcW w:w="2000" w:type="dxa"/>
            <w:tcMar>
              <w:top w:w="80" w:type="dxa"/>
              <w:left w:w="100" w:type="dxa"/>
              <w:bottom w:w="80" w:type="dxa"/>
              <w:right w:w="100" w:type="dxa"/>
            </w:tcMar>
            <w:vAlign w:val="center"/>
          </w:tcPr>
          <w:p w14:paraId="048EEB6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Cronbach's Alpha</w:t>
            </w:r>
          </w:p>
        </w:tc>
        <w:tc>
          <w:tcPr>
            <w:tcW w:w="2600" w:type="dxa"/>
            <w:tcMar>
              <w:top w:w="80" w:type="dxa"/>
              <w:left w:w="100" w:type="dxa"/>
              <w:bottom w:w="80" w:type="dxa"/>
              <w:right w:w="100" w:type="dxa"/>
            </w:tcMar>
            <w:vAlign w:val="center"/>
          </w:tcPr>
          <w:p w14:paraId="79E9626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الاتساق الداخلي (الثبات)</w:t>
            </w:r>
          </w:p>
        </w:tc>
        <w:tc>
          <w:tcPr>
            <w:tcW w:w="2400" w:type="dxa"/>
            <w:tcMar>
              <w:top w:w="80" w:type="dxa"/>
              <w:left w:w="100" w:type="dxa"/>
              <w:bottom w:w="80" w:type="dxa"/>
              <w:right w:w="100" w:type="dxa"/>
            </w:tcMar>
            <w:vAlign w:val="center"/>
          </w:tcPr>
          <w:p w14:paraId="0971B62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0.70 فأكثر</w:t>
            </w:r>
          </w:p>
        </w:tc>
      </w:tr>
      <w:tr w:rsidR="002D0DD5" w:rsidRPr="002D0DD5" w14:paraId="645A3579" w14:textId="77777777" w:rsidTr="00911285">
        <w:tc>
          <w:tcPr>
            <w:tcW w:w="2000" w:type="dxa"/>
            <w:tcMar>
              <w:top w:w="80" w:type="dxa"/>
              <w:left w:w="100" w:type="dxa"/>
              <w:bottom w:w="80" w:type="dxa"/>
              <w:right w:w="100" w:type="dxa"/>
            </w:tcMar>
            <w:vAlign w:val="center"/>
          </w:tcPr>
          <w:p w14:paraId="07C8D7A8"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rho_A</w:t>
            </w:r>
          </w:p>
        </w:tc>
        <w:tc>
          <w:tcPr>
            <w:tcW w:w="2600" w:type="dxa"/>
            <w:tcMar>
              <w:top w:w="80" w:type="dxa"/>
              <w:left w:w="100" w:type="dxa"/>
              <w:bottom w:w="80" w:type="dxa"/>
              <w:right w:w="100" w:type="dxa"/>
            </w:tcMar>
            <w:vAlign w:val="center"/>
          </w:tcPr>
          <w:p w14:paraId="3F05FA75"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تقدير إضافي دقيق للاتساق الداخلي</w:t>
            </w:r>
          </w:p>
        </w:tc>
        <w:tc>
          <w:tcPr>
            <w:tcW w:w="2400" w:type="dxa"/>
            <w:tcMar>
              <w:top w:w="80" w:type="dxa"/>
              <w:left w:w="100" w:type="dxa"/>
              <w:bottom w:w="80" w:type="dxa"/>
              <w:right w:w="100" w:type="dxa"/>
            </w:tcMar>
            <w:vAlign w:val="center"/>
          </w:tcPr>
          <w:p w14:paraId="63663DB5"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0.70 فأكثر</w:t>
            </w:r>
          </w:p>
        </w:tc>
      </w:tr>
      <w:tr w:rsidR="002D0DD5" w:rsidRPr="002D0DD5" w14:paraId="372C95A7" w14:textId="77777777" w:rsidTr="00911285">
        <w:tc>
          <w:tcPr>
            <w:tcW w:w="2000" w:type="dxa"/>
            <w:tcMar>
              <w:top w:w="80" w:type="dxa"/>
              <w:left w:w="100" w:type="dxa"/>
              <w:bottom w:w="80" w:type="dxa"/>
              <w:right w:w="100" w:type="dxa"/>
            </w:tcMar>
            <w:vAlign w:val="center"/>
          </w:tcPr>
          <w:p w14:paraId="73C2524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Composite Reliability (CR)</w:t>
            </w:r>
          </w:p>
        </w:tc>
        <w:tc>
          <w:tcPr>
            <w:tcW w:w="2600" w:type="dxa"/>
            <w:tcMar>
              <w:top w:w="80" w:type="dxa"/>
              <w:left w:w="100" w:type="dxa"/>
              <w:bottom w:w="80" w:type="dxa"/>
              <w:right w:w="100" w:type="dxa"/>
            </w:tcMar>
            <w:vAlign w:val="center"/>
          </w:tcPr>
          <w:p w14:paraId="00DC2AA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الثبات المركب للمتغير</w:t>
            </w:r>
          </w:p>
        </w:tc>
        <w:tc>
          <w:tcPr>
            <w:tcW w:w="2400" w:type="dxa"/>
            <w:tcMar>
              <w:top w:w="80" w:type="dxa"/>
              <w:left w:w="100" w:type="dxa"/>
              <w:bottom w:w="80" w:type="dxa"/>
              <w:right w:w="100" w:type="dxa"/>
            </w:tcMar>
            <w:vAlign w:val="center"/>
          </w:tcPr>
          <w:p w14:paraId="195D9BB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0.70 فأكثر</w:t>
            </w:r>
          </w:p>
        </w:tc>
      </w:tr>
      <w:tr w:rsidR="002D0DD5" w:rsidRPr="002D0DD5" w14:paraId="3C008A1F" w14:textId="77777777" w:rsidTr="00911285">
        <w:tc>
          <w:tcPr>
            <w:tcW w:w="2000" w:type="dxa"/>
            <w:tcMar>
              <w:top w:w="80" w:type="dxa"/>
              <w:left w:w="100" w:type="dxa"/>
              <w:bottom w:w="80" w:type="dxa"/>
              <w:right w:w="100" w:type="dxa"/>
            </w:tcMar>
            <w:vAlign w:val="center"/>
          </w:tcPr>
          <w:p w14:paraId="4475ED8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Average Variance Extracted (AVE)</w:t>
            </w:r>
          </w:p>
        </w:tc>
        <w:tc>
          <w:tcPr>
            <w:tcW w:w="2600" w:type="dxa"/>
            <w:tcMar>
              <w:top w:w="80" w:type="dxa"/>
              <w:left w:w="100" w:type="dxa"/>
              <w:bottom w:w="80" w:type="dxa"/>
              <w:right w:w="100" w:type="dxa"/>
            </w:tcMar>
            <w:vAlign w:val="center"/>
          </w:tcPr>
          <w:p w14:paraId="7B269C6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الصدق التقاربي</w:t>
            </w:r>
          </w:p>
        </w:tc>
        <w:tc>
          <w:tcPr>
            <w:tcW w:w="2400" w:type="dxa"/>
            <w:tcMar>
              <w:top w:w="80" w:type="dxa"/>
              <w:left w:w="100" w:type="dxa"/>
              <w:bottom w:w="80" w:type="dxa"/>
              <w:right w:w="100" w:type="dxa"/>
            </w:tcMar>
            <w:vAlign w:val="center"/>
          </w:tcPr>
          <w:p w14:paraId="134AEA0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0.50 فأكثر</w:t>
            </w:r>
          </w:p>
        </w:tc>
      </w:tr>
      <w:tr w:rsidR="002D0DD5" w:rsidRPr="002D0DD5" w14:paraId="5571FE62" w14:textId="77777777" w:rsidTr="00911285">
        <w:tc>
          <w:tcPr>
            <w:tcW w:w="2000" w:type="dxa"/>
            <w:tcMar>
              <w:top w:w="80" w:type="dxa"/>
              <w:left w:w="100" w:type="dxa"/>
              <w:bottom w:w="80" w:type="dxa"/>
              <w:right w:w="100" w:type="dxa"/>
            </w:tcMar>
            <w:vAlign w:val="center"/>
          </w:tcPr>
          <w:p w14:paraId="7BBFABF6"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HTMT (مع فترة الثقة)</w:t>
            </w:r>
          </w:p>
        </w:tc>
        <w:tc>
          <w:tcPr>
            <w:tcW w:w="2600" w:type="dxa"/>
            <w:tcMar>
              <w:top w:w="80" w:type="dxa"/>
              <w:left w:w="100" w:type="dxa"/>
              <w:bottom w:w="80" w:type="dxa"/>
              <w:right w:w="100" w:type="dxa"/>
            </w:tcMar>
            <w:vAlign w:val="center"/>
          </w:tcPr>
          <w:p w14:paraId="0335015E"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الصدق التمايزي</w:t>
            </w:r>
          </w:p>
        </w:tc>
        <w:tc>
          <w:tcPr>
            <w:tcW w:w="2400" w:type="dxa"/>
            <w:tcMar>
              <w:top w:w="80" w:type="dxa"/>
              <w:left w:w="100" w:type="dxa"/>
              <w:bottom w:w="80" w:type="dxa"/>
              <w:right w:w="100" w:type="dxa"/>
            </w:tcMar>
            <w:vAlign w:val="center"/>
          </w:tcPr>
          <w:p w14:paraId="23823683"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0.85 فأقل، ولا تحتوي فترة الثقة على 1</w:t>
            </w:r>
          </w:p>
        </w:tc>
      </w:tr>
      <w:tr w:rsidR="002D0DD5" w:rsidRPr="002D0DD5" w14:paraId="1B2ACD8C" w14:textId="77777777" w:rsidTr="00911285">
        <w:tc>
          <w:tcPr>
            <w:tcW w:w="2000" w:type="dxa"/>
            <w:tcMar>
              <w:top w:w="80" w:type="dxa"/>
              <w:left w:w="100" w:type="dxa"/>
              <w:bottom w:w="80" w:type="dxa"/>
              <w:right w:w="100" w:type="dxa"/>
            </w:tcMar>
            <w:vAlign w:val="center"/>
          </w:tcPr>
          <w:p w14:paraId="1138C853"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تشبّع الفقرة (Outer Loading)</w:t>
            </w:r>
          </w:p>
        </w:tc>
        <w:tc>
          <w:tcPr>
            <w:tcW w:w="2600" w:type="dxa"/>
            <w:tcMar>
              <w:top w:w="80" w:type="dxa"/>
              <w:left w:w="100" w:type="dxa"/>
              <w:bottom w:w="80" w:type="dxa"/>
              <w:right w:w="100" w:type="dxa"/>
            </w:tcMar>
            <w:vAlign w:val="center"/>
          </w:tcPr>
          <w:p w14:paraId="4A69E002"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ارتباط الفقرة بمتغيرها</w:t>
            </w:r>
          </w:p>
        </w:tc>
        <w:tc>
          <w:tcPr>
            <w:tcW w:w="2400" w:type="dxa"/>
            <w:tcMar>
              <w:top w:w="80" w:type="dxa"/>
              <w:left w:w="100" w:type="dxa"/>
              <w:bottom w:w="80" w:type="dxa"/>
              <w:right w:w="100" w:type="dxa"/>
            </w:tcMar>
            <w:vAlign w:val="center"/>
          </w:tcPr>
          <w:p w14:paraId="5AC38DFB" w14:textId="77777777" w:rsidR="002D0DD5" w:rsidRPr="002D0DD5" w:rsidRDefault="002D0DD5" w:rsidP="002D0DD5">
            <w:pPr>
              <w:bidi/>
              <w:spacing w:after="0" w:line="240" w:lineRule="auto"/>
              <w:jc w:val="center"/>
              <w:rPr>
                <w:rFonts w:ascii="Simplified Arabic" w:eastAsia="Arial" w:hAnsi="Simplified Arabic" w:cs="Simplified Arabic"/>
                <w:color w:val="EE0000"/>
              </w:rPr>
            </w:pPr>
            <w:r w:rsidRPr="002D0DD5">
              <w:rPr>
                <w:rFonts w:ascii="Simplified Arabic" w:eastAsia="Arial" w:hAnsi="Simplified Arabic" w:cs="Simplified Arabic"/>
                <w:color w:val="EE0000"/>
                <w:rtl/>
              </w:rPr>
              <w:t>0.70 فأكثر (وفق قاعدة الاحتفاظ/الحذف أعلاه للقيم 0.40–0.70)</w:t>
            </w:r>
          </w:p>
        </w:tc>
      </w:tr>
    </w:tbl>
    <w:p w14:paraId="541C34E5"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وتمييزًا لمصدر كل مؤشر: ستُستخرَج المؤشرات الأولية للاتساق الداخلي (ألفا كرونباخ المبدئي ومعامل ارتباط الفقرة بالدرجة الكلية) من العينة الاستطلاعية، بينما تُحسَب جميع مؤشرات نموذج القياس الكاملة (التحميلات الخارجية، وCR، وrho_A، وAVE، وHTMT) من بيانات العينة الأساسية عبر برنامج SmartPLS.</w:t>
      </w:r>
    </w:p>
    <w:p w14:paraId="59262881"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إجراءات التعامل مع فشل أحد المؤشرات</w:t>
      </w:r>
    </w:p>
    <w:p w14:paraId="27ECCB9C" w14:textId="77777777" w:rsidR="002D0DD5" w:rsidRPr="002D0DD5" w:rsidRDefault="002D0DD5" w:rsidP="002D0DD5">
      <w:pPr>
        <w:bidi/>
        <w:spacing w:before="300" w:after="150" w:line="240" w:lineRule="auto"/>
        <w:outlineLvl w:val="1"/>
        <w:rPr>
          <w:rFonts w:ascii="Simplified Arabic" w:eastAsia="Arial" w:hAnsi="Simplified Arabic" w:cs="Simplified Arabic"/>
          <w:b/>
          <w:bCs/>
          <w:color w:val="EE0000"/>
          <w:u w:val="single"/>
          <w:rtl/>
        </w:rPr>
      </w:pPr>
      <w:r w:rsidRPr="002D0DD5">
        <w:rPr>
          <w:rFonts w:ascii="Simplified Arabic" w:eastAsia="Arial" w:hAnsi="Simplified Arabic" w:cs="Simplified Arabic"/>
          <w:color w:val="EE0000"/>
          <w:rtl/>
        </w:rPr>
        <w:t>سيختلف الإجراء بحسب مرحلة الدراسة. ففي مرحلة الدراسة الاستطلاعية، إذا أظهرت مؤشرات الاتساق الداخلي أو ارتباط الفقرات بالدرجة الكلية وجود فقرة ضعيفة، يجوز تعديل صياغتها أو حذفها أو استبدالها قبل اعتماد النسخة النهائية للأداة. أما بعد جمع بيانات العينة الأساسية، فلن تُعاد صياغة أي فقرة أو تُستبدل بفقرة جديدة اعتمادًا على النتائج الإحصائية؛ وإنما تقتصر المعالجة على دراسة حذف الفقرات الضعيفة وفق قواعد التحميلات الخارجية والثبات والصدق المحددة مسبقًا، شريطة ألا يؤدي الحذف إلى إضعاف التغطية المفاهيمية للمتغير. وستوثق جميع قرارات الحذف وأسبابها والقيم الإحصائية التي استندت إليها. وإذا تعذر الوصول إلى نموذج قياس مقبول دون الإخلال بالمحتوى المفاهيمي، فستُعرض المشكلة بوصفها قيدًا في القياس بدل معالجة الفشل بإضافة فقرات لم تُجمع عنها بيانات.</w:t>
      </w:r>
    </w:p>
    <w:p w14:paraId="424BE4FB"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lastRenderedPageBreak/>
        <w:t>أساليب المعالجة الإحصائية</w:t>
      </w:r>
    </w:p>
    <w:p w14:paraId="749C4BB2"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hAnsi="Simplified Arabic" w:cs="Simplified Arabic"/>
          <w:rtl/>
        </w:rPr>
        <w:t xml:space="preserve"> </w:t>
      </w:r>
      <w:r w:rsidRPr="002D0DD5">
        <w:rPr>
          <w:rFonts w:ascii="Simplified Arabic" w:eastAsia="Arial" w:hAnsi="Simplified Arabic" w:cs="Simplified Arabic"/>
          <w:color w:val="EE0000"/>
          <w:rtl/>
        </w:rPr>
        <w:t>ستُستخدَم برمجيتان متكاملتان في المعالجة: برنامج (SPSS) الإصدار (29) أو الإصدار الأحدث المتاح وقت التحليل، لأغراض ترميز البيانات وتنظيفها وإجراء الإحصاء الوصفي (التكرارات والنسب والمتوسطات والانحرافات المعيارية)؛ وبرنامج (SmartPLS) الإصدار (4.1) أو أحدث، لتقييم نموذج القياس والنموذج الهيكلي واختبار الفرضيات عبر نمذجة المعادلات البنائية بالمربعات الصغرى الجزئية (PLS-SEM)، بما يسمح بتكرار الإجراءات والتحقق منها.</w:t>
      </w:r>
    </w:p>
    <w:p w14:paraId="2B10D5B0" w14:textId="77777777" w:rsidR="002D0DD5" w:rsidRPr="002D0DD5" w:rsidRDefault="002D0DD5" w:rsidP="002D0DD5">
      <w:pPr>
        <w:bidi/>
        <w:spacing w:line="300" w:lineRule="auto"/>
        <w:rPr>
          <w:rFonts w:ascii="Simplified Arabic" w:eastAsia="Arial" w:hAnsi="Simplified Arabic" w:cs="Simplified Arabic"/>
        </w:rPr>
      </w:pPr>
      <w:r w:rsidRPr="002D0DD5">
        <w:rPr>
          <w:rFonts w:ascii="Simplified Arabic" w:eastAsia="Arial" w:hAnsi="Simplified Arabic" w:cs="Simplified Arabic"/>
          <w:rtl/>
        </w:rPr>
        <w:t>ويناسب أسلوب PLS-SEM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 (Hair et al., 2022).</w:t>
      </w:r>
    </w:p>
    <w:p w14:paraId="3FE29BAD"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تنظيف البيانات وتجهيزها للتحليل</w:t>
      </w:r>
    </w:p>
    <w:p w14:paraId="737B1469"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قبل الشروع في التحليل، ستخضع البيانات المجمَّعة لعملية فحص وتنظيف منهجية على النحو التالي:</w:t>
      </w:r>
    </w:p>
    <w:p w14:paraId="53CAF4CF"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القيم المفقودة: ستُفحص كمية القيم المفقودة ونمطها على مستوى كل مؤشر وكل استجابة قبل إجراء التحليل. وإذا كانت نسبة القيم المفقودة أقل من (5%) لكل مؤشر وظهر أنها موزعة عشوائيًا دون نمط منهجي، فيجوز استخدام التعويض بمتوسط المؤشر (</w:t>
      </w:r>
      <w:r w:rsidRPr="002D0DD5">
        <w:rPr>
          <w:rFonts w:ascii="Simplified Arabic" w:eastAsia="Arial" w:hAnsi="Simplified Arabic" w:cs="Simplified Arabic"/>
          <w:color w:val="EE0000"/>
        </w:rPr>
        <w:t>Mean Replacement</w:t>
      </w:r>
      <w:r w:rsidRPr="002D0DD5">
        <w:rPr>
          <w:rFonts w:ascii="Simplified Arabic" w:eastAsia="Arial" w:hAnsi="Simplified Arabic" w:cs="Simplified Arabic"/>
          <w:color w:val="EE0000"/>
          <w:rtl/>
        </w:rPr>
        <w:t xml:space="preserve">) وفق مبررات </w:t>
      </w:r>
      <w:r w:rsidRPr="002D0DD5">
        <w:rPr>
          <w:rFonts w:ascii="Simplified Arabic" w:eastAsia="Arial" w:hAnsi="Simplified Arabic" w:cs="Simplified Arabic"/>
          <w:color w:val="EE0000"/>
        </w:rPr>
        <w:t>PLS-SEM</w:t>
      </w:r>
      <w:r w:rsidRPr="002D0DD5">
        <w:rPr>
          <w:rFonts w:ascii="Simplified Arabic" w:eastAsia="Arial" w:hAnsi="Simplified Arabic" w:cs="Simplified Arabic"/>
          <w:color w:val="EE0000"/>
          <w:rtl/>
        </w:rPr>
        <w:t xml:space="preserve">. أما إذا تجاوز الفقد هذا المستوى أو أظهر نمطًا غير عشوائي، فلن يُستخدم التعويض بالمتوسط تلقائيًا، بل ستُفحص آلية الفقد ويُنظر في بدائل أكثر ملاءمة، مثل الاستبعاد على مستوى الحالة عندما يكون عدد الحالات المتأثرة محدودًا، أو التعويض المتعدد باستخدام </w:t>
      </w:r>
      <w:r w:rsidRPr="002D0DD5">
        <w:rPr>
          <w:rFonts w:ascii="Simplified Arabic" w:eastAsia="Arial" w:hAnsi="Simplified Arabic" w:cs="Simplified Arabic"/>
          <w:color w:val="EE0000"/>
        </w:rPr>
        <w:t>SPSS</w:t>
      </w:r>
      <w:r w:rsidRPr="002D0DD5">
        <w:rPr>
          <w:rFonts w:ascii="Simplified Arabic" w:eastAsia="Arial" w:hAnsi="Simplified Arabic" w:cs="Simplified Arabic"/>
          <w:color w:val="EE0000"/>
          <w:rtl/>
        </w:rPr>
        <w:t xml:space="preserve"> عند الحاجة. كما ستُراجع الحالات أو المؤشرات التي تتجاوز فيها القيم المفقودة نسبة (15%) تمهيدًا لاتخاذ قرار مبرر بشأن استبعادها، مع توثيق جميع الإجراءات في التقرير النهائي.</w:t>
      </w:r>
    </w:p>
    <w:p w14:paraId="2C1E7BFF"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القيم المتطرفة (Outliers): تُكتشف عبر مسافة ماهالانوبيس (Mahalanobis Distance) على مستوى المحاور، ويُدعَّم الفحص بمخططات الصندوق (Box Plots) ودرجات z للفقرات المفردة؛ وتُراجَع الاستجابات الشاذة يدويًا قبل قرار استبعادها.</w:t>
      </w:r>
    </w:p>
    <w:p w14:paraId="2887B477"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الاستجابات النمطية أو غير الجادة: تُستخدم ثلاثة مؤشرات مجتمعة لا مؤشر واحد: التباين شبه المعدوم بين إجابات المشارك عبر جميع الفقرات (اختيار الدرجة نفسها)، والتناقض مع فقرتي التحقق من الانتباه، وزمن الإكمال غير المنطقي؛ وتُستبعد الاستجابة إذا تحقق فيها مؤشران من الثلاثة معًا.</w:t>
      </w:r>
    </w:p>
    <w:p w14:paraId="7922F000"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الحد الأدنى لزمن الإجابة: يُقدَّر الزمن الطبيعي من متوسط زمن إكمال الدراسة الاستطلاعية، وتُراجَع الاستجابات المكتملة في أقل من ثلث هذا المتوسط تمهيدًا لاستبعادها إذا اقترن ذلك بمؤشر آخر من مؤشرات عدم الجدية.</w:t>
      </w:r>
    </w:p>
    <w:p w14:paraId="4C5E27BC"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الاستجابات المكررة: يُفحَص التكرار باستخدام رمز الجلسة المجهول الذي تولّده المنصة تلقائيًا وطابعها الزمني، مع احترام خصوصية المشاركين وعدم جمع أي بيانات تعريفية شخصية.</w:t>
      </w:r>
    </w:p>
    <w:p w14:paraId="53273B53" w14:textId="77777777" w:rsidR="002D0DD5" w:rsidRPr="002D0DD5" w:rsidRDefault="002D0DD5">
      <w:pPr>
        <w:numPr>
          <w:ilvl w:val="0"/>
          <w:numId w:val="22"/>
        </w:numPr>
        <w:bidi/>
        <w:spacing w:after="120"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lastRenderedPageBreak/>
        <w:t>الاستجابات غير المستوفية لشروط الأهلية أو غير المكتملة لمحاور الأداة: تُستبعد بالكامل من قاعدة البيانات النهائية.</w:t>
      </w:r>
    </w:p>
    <w:p w14:paraId="231BCBCD"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وبعد اكتمال هذه الخطوات، ستُعتمَد قاعدة البيانات النهائية التي يُبنى عليها تقييم نموذج القياس ثم النموذج الهيكلي.</w:t>
      </w:r>
    </w:p>
    <w:p w14:paraId="7C66397B"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دليل ترميز البيانات</w:t>
      </w:r>
    </w:p>
    <w:p w14:paraId="78B824DB"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سيُعَدّ دليل ترميز شامل (ملحق ج) يوضح رمز كل سؤال وفقرة، والقيم الرقمية المخصصة لكل فئة من فئات الإجابة، ومعالجة الأسئلة متعددة الاختيار (P8 وP10) عبر متغيرات ثنائية منفصلة (Dummy Variables) لكل خيار، وأي فقرات تحتاج إلى إعادة ترميز (Reverse Coding) إن استُحدثت، وذلك لضمان إمكانية تتبّع عملية الترميز والتحقق منها لاحقًا.</w:t>
      </w:r>
    </w:p>
    <w:p w14:paraId="4B6AEB75"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فحص تحيز الطريقة المشتركة</w:t>
      </w:r>
    </w:p>
    <w:p w14:paraId="5FD7B1C2"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لأن بيانات الدراسة ستُجمع من مصدر واحد وبأداة واحدة هي الاستبانة، فقد يظهر ما يُعرف بتحيز الطريقة المشتركة الذي قد يضخّم العلاقات بين المتغيرات (Podsakoff et al., 2003). وللحدّ من هذا الاحتمال، اعتُمدت أولًا إجراءات وقائية في تصميم الاستبانة نفسها، منها: ضمان سرية الاستجابات وعدم جمع بيانات تعريفية شخصية، وتوضيح صياغة الفقرات وتجنّب الغموض، والفصل المنطقي بصريًا بين أقسام الاستبانة الثلاثة (الأهلية، ومحاور القياس، والبيانات الوصفية) بحيث لا يستنتج المشارك الروابط النظرية المفترضة بين المحاور.</w:t>
      </w:r>
    </w:p>
    <w:p w14:paraId="70CB398A"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وإلى جانب هذه الإجراءات الوقائية، ستُستخدَم اختبارات إحصائية لاحقة مكمِّلة لا بديلة عنها: اختبار العامل الوحيد لهارمان (Harman's Single-Factor Test) للتأكد من أن عاملًا واحدًا لا يفسر النسبة الأكبر من التباين الكلي، إلى جانب فحص الارتباط الخطي الكلي القائم على معاملات تضخم التباين (Full Collinearity VIF) في بيئة PLS-SEM؛ وتُفسَّر القيم الأدنى من (3.3) بوصفها مؤشرًا مساعدًا يدعم عدم وجود تحيز طريقة مشتركة حادّ، لا دليلًا قاطعًا على خلو البيانات كليًا من هذا التحيز (Kock, 2015).</w:t>
      </w:r>
    </w:p>
    <w:p w14:paraId="3F6B49B6"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الأساليب الوصفية</w:t>
      </w:r>
    </w:p>
    <w:p w14:paraId="11F79839" w14:textId="77777777" w:rsidR="002D0DD5" w:rsidRPr="002D0DD5" w:rsidRDefault="002D0DD5" w:rsidP="002D0DD5">
      <w:pPr>
        <w:bidi/>
        <w:spacing w:line="300" w:lineRule="auto"/>
        <w:rPr>
          <w:rFonts w:ascii="Simplified Arabic" w:eastAsia="Arial" w:hAnsi="Simplified Arabic" w:cs="Simplified Arabic"/>
        </w:rPr>
      </w:pPr>
      <w:r w:rsidRPr="002D0DD5">
        <w:rPr>
          <w:rFonts w:ascii="Simplified Arabic" w:eastAsia="Arial" w:hAnsi="Simplified Arabic" w:cs="Simplified Arabic"/>
          <w:rtl/>
        </w:rPr>
        <w:t>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p>
    <w:p w14:paraId="629772A9"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t>تقييم نموذج القياس</w:t>
      </w:r>
    </w:p>
    <w:p w14:paraId="6716A0D3"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يُقصد به التحقق من جودة قياس المتغيرات الكامنة عبر فقراتها، ويشمل فحص التحميلات الخارجية، ومعاملات ألفا كرونباخ وrho_A والثبات المركب للاتساق الداخلي، ومتوسط التباين المستخرج (AVE) للصدق التقاربي، واختبار (HTMT) مع فترات ثقته للصدق التمايزي، وفق القيم المرجعية والإجراءات الموضحة سابقًا، باستخدام بيانات العينة الأساسية.</w:t>
      </w:r>
    </w:p>
    <w:p w14:paraId="6A2499EA" w14:textId="77777777" w:rsidR="002D0DD5" w:rsidRPr="002D0DD5" w:rsidRDefault="002D0DD5" w:rsidP="002D0DD5">
      <w:pPr>
        <w:bidi/>
        <w:spacing w:before="220" w:after="120" w:line="240" w:lineRule="auto"/>
        <w:rPr>
          <w:rFonts w:ascii="Simplified Arabic" w:eastAsia="Arial" w:hAnsi="Simplified Arabic" w:cs="Simplified Arabic"/>
        </w:rPr>
      </w:pPr>
      <w:r w:rsidRPr="002D0DD5">
        <w:rPr>
          <w:rFonts w:ascii="Simplified Arabic" w:eastAsia="Arial" w:hAnsi="Simplified Arabic" w:cs="Simplified Arabic"/>
          <w:b/>
          <w:bCs/>
          <w:rtl/>
        </w:rPr>
        <w:lastRenderedPageBreak/>
        <w:t>تقييم النموذج الهيكلي واختبار الفرضيات</w:t>
      </w:r>
    </w:p>
    <w:p w14:paraId="193188FE"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يُقصد به اختبار العلاقات بين المتغيرات، ويشمل تقييم النموذج الهيكلي تقدير معاملات المسار (</w:t>
      </w:r>
      <w:r w:rsidRPr="002D0DD5">
        <w:rPr>
          <w:rFonts w:ascii="Simplified Arabic" w:eastAsia="Arial" w:hAnsi="Simplified Arabic" w:cs="Simplified Arabic"/>
          <w:color w:val="EE0000"/>
        </w:rPr>
        <w:t>Path Coefficients</w:t>
      </w:r>
      <w:r w:rsidRPr="002D0DD5">
        <w:rPr>
          <w:rFonts w:ascii="Simplified Arabic" w:eastAsia="Arial" w:hAnsi="Simplified Arabic" w:cs="Simplified Arabic"/>
          <w:color w:val="EE0000"/>
          <w:rtl/>
        </w:rPr>
        <w:t>) واختبار دلالتها باستخدام إجراء إعادة المعاينة (</w:t>
      </w:r>
      <w:r w:rsidRPr="002D0DD5">
        <w:rPr>
          <w:rFonts w:ascii="Simplified Arabic" w:eastAsia="Arial" w:hAnsi="Simplified Arabic" w:cs="Simplified Arabic"/>
          <w:color w:val="EE0000"/>
        </w:rPr>
        <w:t>Bootstrapping</w:t>
      </w:r>
      <w:r w:rsidRPr="002D0DD5">
        <w:rPr>
          <w:rFonts w:ascii="Simplified Arabic" w:eastAsia="Arial" w:hAnsi="Simplified Arabic" w:cs="Simplified Arabic"/>
          <w:color w:val="EE0000"/>
          <w:rtl/>
        </w:rPr>
        <w:t>) بعدد (10,000) عينة فرعية عند مستوى ثقة (95%)، مع استخدام قيمة ثابتة لمولد الأرقام العشوائية (</w:t>
      </w:r>
      <w:r w:rsidRPr="002D0DD5">
        <w:rPr>
          <w:rFonts w:ascii="Simplified Arabic" w:eastAsia="Arial" w:hAnsi="Simplified Arabic" w:cs="Simplified Arabic"/>
          <w:color w:val="EE0000"/>
        </w:rPr>
        <w:t>Fixed Seed</w:t>
      </w:r>
      <w:r w:rsidRPr="002D0DD5">
        <w:rPr>
          <w:rFonts w:ascii="Simplified Arabic" w:eastAsia="Arial" w:hAnsi="Simplified Arabic" w:cs="Simplified Arabic"/>
          <w:color w:val="EE0000"/>
          <w:rtl/>
        </w:rPr>
        <w:t xml:space="preserve">) لدعم قابلية تكرار النتائج، واعتماد فترات الثقة غير المعلمية المناسبة التي يوفرها </w:t>
      </w:r>
      <w:r w:rsidRPr="002D0DD5">
        <w:rPr>
          <w:rFonts w:ascii="Simplified Arabic" w:eastAsia="Arial" w:hAnsi="Simplified Arabic" w:cs="Simplified Arabic"/>
          <w:color w:val="EE0000"/>
        </w:rPr>
        <w:t>SmartPLS</w:t>
      </w:r>
      <w:r w:rsidRPr="002D0DD5">
        <w:rPr>
          <w:rFonts w:ascii="Simplified Arabic" w:eastAsia="Arial" w:hAnsi="Simplified Arabic" w:cs="Simplified Arabic"/>
          <w:color w:val="EE0000"/>
          <w:rtl/>
        </w:rPr>
        <w:t>، ومنها فترة الثقة المصححة للتحيز والمتسارعة (</w:t>
      </w:r>
      <w:r w:rsidRPr="002D0DD5">
        <w:rPr>
          <w:rFonts w:ascii="Simplified Arabic" w:eastAsia="Arial" w:hAnsi="Simplified Arabic" w:cs="Simplified Arabic"/>
          <w:color w:val="EE0000"/>
        </w:rPr>
        <w:t>BCa</w:t>
      </w:r>
      <w:r w:rsidRPr="002D0DD5">
        <w:rPr>
          <w:rFonts w:ascii="Simplified Arabic" w:eastAsia="Arial" w:hAnsi="Simplified Arabic" w:cs="Simplified Arabic"/>
          <w:color w:val="EE0000"/>
          <w:rtl/>
        </w:rPr>
        <w:t>) عند اعتمادها في التحليل النهائي.</w:t>
      </w:r>
    </w:p>
    <w:p w14:paraId="1C6129BB" w14:textId="77777777" w:rsidR="002D0DD5" w:rsidRPr="002D0DD5" w:rsidRDefault="002D0DD5" w:rsidP="002D0DD5">
      <w:pPr>
        <w:bidi/>
        <w:spacing w:line="300" w:lineRule="auto"/>
        <w:rPr>
          <w:rFonts w:ascii="Simplified Arabic" w:eastAsia="Arial" w:hAnsi="Simplified Arabic" w:cs="Simplified Arabic"/>
          <w:color w:val="EE0000"/>
          <w:rtl/>
        </w:rPr>
      </w:pPr>
      <w:r w:rsidRPr="002D0DD5">
        <w:rPr>
          <w:rFonts w:ascii="Simplified Arabic" w:eastAsia="Arial" w:hAnsi="Simplified Arabic" w:cs="Simplified Arabic"/>
          <w:color w:val="EE0000"/>
          <w:rtl/>
        </w:rPr>
        <w:t>وتكميلاً لتقييم النموذج الهيكلي، ستُفحص أحجام الأثر (</w:t>
      </w:r>
      <w:r w:rsidRPr="002D0DD5">
        <w:rPr>
          <w:rFonts w:ascii="Simplified Arabic" w:eastAsia="Arial" w:hAnsi="Simplified Arabic" w:cs="Simplified Arabic"/>
          <w:color w:val="EE0000"/>
        </w:rPr>
        <w:t>f²</w:t>
      </w:r>
      <w:r w:rsidRPr="002D0DD5">
        <w:rPr>
          <w:rFonts w:ascii="Simplified Arabic" w:eastAsia="Arial" w:hAnsi="Simplified Arabic" w:cs="Simplified Arabic"/>
          <w:color w:val="EE0000"/>
          <w:rtl/>
        </w:rPr>
        <w:t xml:space="preserve">) للمسارات التفسيرية، كما ستُقيَّم القدرة التنبؤية خارج العينة باستخدام إجراء </w:t>
      </w:r>
      <w:r w:rsidRPr="002D0DD5">
        <w:rPr>
          <w:rFonts w:ascii="Simplified Arabic" w:eastAsia="Arial" w:hAnsi="Simplified Arabic" w:cs="Simplified Arabic"/>
          <w:color w:val="EE0000"/>
        </w:rPr>
        <w:t>PLSpredict</w:t>
      </w:r>
      <w:r w:rsidRPr="002D0DD5">
        <w:rPr>
          <w:rFonts w:ascii="Simplified Arabic" w:eastAsia="Arial" w:hAnsi="Simplified Arabic" w:cs="Simplified Arabic"/>
          <w:color w:val="EE0000"/>
          <w:rtl/>
        </w:rPr>
        <w:t xml:space="preserve"> في </w:t>
      </w:r>
      <w:r w:rsidRPr="002D0DD5">
        <w:rPr>
          <w:rFonts w:ascii="Simplified Arabic" w:eastAsia="Arial" w:hAnsi="Simplified Arabic" w:cs="Simplified Arabic"/>
          <w:color w:val="EE0000"/>
        </w:rPr>
        <w:t>SmartPLS</w:t>
      </w:r>
      <w:r w:rsidRPr="002D0DD5">
        <w:rPr>
          <w:rFonts w:ascii="Simplified Arabic" w:eastAsia="Arial" w:hAnsi="Simplified Arabic" w:cs="Simplified Arabic"/>
          <w:color w:val="EE0000"/>
          <w:rtl/>
        </w:rPr>
        <w:t>، بالاعتماد على التحقق المتقاطع ذي العشر طيات (10-</w:t>
      </w:r>
      <w:r w:rsidRPr="002D0DD5">
        <w:rPr>
          <w:rFonts w:ascii="Simplified Arabic" w:eastAsia="Arial" w:hAnsi="Simplified Arabic" w:cs="Simplified Arabic"/>
          <w:color w:val="EE0000"/>
        </w:rPr>
        <w:t>fold cross-validation</w:t>
      </w:r>
      <w:r w:rsidRPr="002D0DD5">
        <w:rPr>
          <w:rFonts w:ascii="Simplified Arabic" w:eastAsia="Arial" w:hAnsi="Simplified Arabic" w:cs="Simplified Arabic"/>
          <w:color w:val="EE0000"/>
          <w:rtl/>
        </w:rPr>
        <w:t xml:space="preserve">) مع عشر عمليات تكرار، وفحص قيم </w:t>
      </w:r>
      <w:r w:rsidRPr="002D0DD5">
        <w:rPr>
          <w:rFonts w:ascii="Simplified Arabic" w:eastAsia="Arial" w:hAnsi="Simplified Arabic" w:cs="Simplified Arabic"/>
          <w:color w:val="EE0000"/>
        </w:rPr>
        <w:t>Q²_predict</w:t>
      </w:r>
      <w:r w:rsidRPr="002D0DD5">
        <w:rPr>
          <w:rFonts w:ascii="Simplified Arabic" w:eastAsia="Arial" w:hAnsi="Simplified Arabic" w:cs="Simplified Arabic"/>
          <w:color w:val="EE0000"/>
          <w:rtl/>
        </w:rPr>
        <w:t xml:space="preserve"> ومؤشري الخطأ التنبؤي </w:t>
      </w:r>
      <w:r w:rsidRPr="002D0DD5">
        <w:rPr>
          <w:rFonts w:ascii="Simplified Arabic" w:eastAsia="Arial" w:hAnsi="Simplified Arabic" w:cs="Simplified Arabic"/>
          <w:color w:val="EE0000"/>
        </w:rPr>
        <w:t>RMSE</w:t>
      </w:r>
      <w:r w:rsidRPr="002D0DD5">
        <w:rPr>
          <w:rFonts w:ascii="Simplified Arabic" w:eastAsia="Arial" w:hAnsi="Simplified Arabic" w:cs="Simplified Arabic"/>
          <w:color w:val="EE0000"/>
          <w:rtl/>
        </w:rPr>
        <w:t xml:space="preserve"> و</w:t>
      </w:r>
      <w:r w:rsidRPr="002D0DD5">
        <w:rPr>
          <w:rFonts w:ascii="Simplified Arabic" w:eastAsia="Arial" w:hAnsi="Simplified Arabic" w:cs="Simplified Arabic"/>
          <w:color w:val="EE0000"/>
        </w:rPr>
        <w:t>MAE</w:t>
      </w:r>
      <w:r w:rsidRPr="002D0DD5">
        <w:rPr>
          <w:rFonts w:ascii="Simplified Arabic" w:eastAsia="Arial" w:hAnsi="Simplified Arabic" w:cs="Simplified Arabic"/>
          <w:color w:val="EE0000"/>
          <w:rtl/>
        </w:rPr>
        <w:t xml:space="preserve"> ومقارنتها بنتائج النموذج الخطي المرجعي (</w:t>
      </w:r>
      <w:r w:rsidRPr="002D0DD5">
        <w:rPr>
          <w:rFonts w:ascii="Simplified Arabic" w:eastAsia="Arial" w:hAnsi="Simplified Arabic" w:cs="Simplified Arabic"/>
          <w:color w:val="EE0000"/>
        </w:rPr>
        <w:t>LM</w:t>
      </w:r>
      <w:r w:rsidRPr="002D0DD5">
        <w:rPr>
          <w:rFonts w:ascii="Simplified Arabic" w:eastAsia="Arial" w:hAnsi="Simplified Arabic" w:cs="Simplified Arabic"/>
          <w:color w:val="EE0000"/>
          <w:rtl/>
        </w:rPr>
        <w:t>). كما سيُستفاد من اختبار القدرة التنبؤية المتحقق منها تقاطعيًا (</w:t>
      </w:r>
      <w:r w:rsidRPr="002D0DD5">
        <w:rPr>
          <w:rFonts w:ascii="Simplified Arabic" w:eastAsia="Arial" w:hAnsi="Simplified Arabic" w:cs="Simplified Arabic"/>
          <w:color w:val="EE0000"/>
        </w:rPr>
        <w:t>CVPAT</w:t>
      </w:r>
      <w:r w:rsidRPr="002D0DD5">
        <w:rPr>
          <w:rFonts w:ascii="Simplified Arabic" w:eastAsia="Arial" w:hAnsi="Simplified Arabic" w:cs="Simplified Arabic"/>
          <w:color w:val="EE0000"/>
          <w:rtl/>
        </w:rPr>
        <w:t xml:space="preserve">) بوصفه اختبارًا مكملًا للأداء التنبؤي عند الحاجة. وسيُعرض مؤشر </w:t>
      </w:r>
      <w:r w:rsidRPr="002D0DD5">
        <w:rPr>
          <w:rFonts w:ascii="Simplified Arabic" w:eastAsia="Arial" w:hAnsi="Simplified Arabic" w:cs="Simplified Arabic"/>
          <w:color w:val="EE0000"/>
        </w:rPr>
        <w:t>SRMR</w:t>
      </w:r>
      <w:r w:rsidRPr="002D0DD5">
        <w:rPr>
          <w:rFonts w:ascii="Simplified Arabic" w:eastAsia="Arial" w:hAnsi="Simplified Arabic" w:cs="Simplified Arabic"/>
          <w:color w:val="EE0000"/>
          <w:rtl/>
        </w:rPr>
        <w:t xml:space="preserve"> بوصفه مؤشرًا تشخيصيًا مساعدًا للملاءمة، لا معيارًا منفردًا للحكم على قبول نموذج </w:t>
      </w:r>
      <w:r w:rsidRPr="002D0DD5">
        <w:rPr>
          <w:rFonts w:ascii="Simplified Arabic" w:eastAsia="Arial" w:hAnsi="Simplified Arabic" w:cs="Simplified Arabic"/>
          <w:color w:val="EE0000"/>
        </w:rPr>
        <w:t>PLS-SEM</w:t>
      </w:r>
      <w:r w:rsidRPr="002D0DD5">
        <w:rPr>
          <w:rFonts w:ascii="Simplified Arabic" w:eastAsia="Arial" w:hAnsi="Simplified Arabic" w:cs="Simplified Arabic"/>
          <w:color w:val="EE0000"/>
          <w:rtl/>
        </w:rPr>
        <w:t xml:space="preserve"> ككل.</w:t>
      </w:r>
    </w:p>
    <w:p w14:paraId="568A99EA" w14:textId="77777777" w:rsidR="002D0DD5" w:rsidRPr="002D0DD5" w:rsidRDefault="002D0DD5" w:rsidP="002D0DD5">
      <w:pPr>
        <w:bidi/>
        <w:spacing w:line="300" w:lineRule="auto"/>
        <w:rPr>
          <w:rFonts w:ascii="Simplified Arabic" w:eastAsia="Arial" w:hAnsi="Simplified Arabic" w:cs="Simplified Arabic"/>
          <w:color w:val="EE0000"/>
          <w:rtl/>
        </w:rPr>
      </w:pPr>
      <w:r w:rsidRPr="002D0DD5">
        <w:rPr>
          <w:rFonts w:ascii="Simplified Arabic" w:eastAsia="Arial" w:hAnsi="Simplified Arabic" w:cs="Simplified Arabic"/>
          <w:color w:val="EE0000"/>
          <w:rtl/>
        </w:rPr>
        <w:t xml:space="preserve">وسيُختبر الدور الوسيط لجودة عملية التصميم من خلال تقدير الأثر غير المباشر لتوظيف الذكاء الاصطناعي التوليدي في فعالية الأداء التسويقي عبر جودة عملية التصميم، وفحص دلالته وفترة ثقته باستخدام </w:t>
      </w:r>
      <w:r w:rsidRPr="002D0DD5">
        <w:rPr>
          <w:rFonts w:ascii="Simplified Arabic" w:eastAsia="Arial" w:hAnsi="Simplified Arabic" w:cs="Simplified Arabic"/>
          <w:color w:val="EE0000"/>
        </w:rPr>
        <w:t>Bootstrapping</w:t>
      </w:r>
      <w:r w:rsidRPr="002D0DD5">
        <w:rPr>
          <w:rFonts w:ascii="Simplified Arabic" w:eastAsia="Arial" w:hAnsi="Simplified Arabic" w:cs="Simplified Arabic"/>
          <w:color w:val="EE0000"/>
          <w:rtl/>
        </w:rPr>
        <w:t xml:space="preserve">. وبعد ذلك سيُحدد نمط النتيجة وفق تصنيف </w:t>
      </w:r>
      <w:r w:rsidRPr="002D0DD5">
        <w:rPr>
          <w:rFonts w:ascii="Simplified Arabic" w:eastAsia="Arial" w:hAnsi="Simplified Arabic" w:cs="Simplified Arabic"/>
          <w:color w:val="EE0000"/>
        </w:rPr>
        <w:t>Zhao et al</w:t>
      </w:r>
      <w:r w:rsidRPr="002D0DD5">
        <w:rPr>
          <w:rFonts w:ascii="Simplified Arabic" w:eastAsia="Arial" w:hAnsi="Simplified Arabic" w:cs="Simplified Arabic"/>
          <w:color w:val="EE0000"/>
          <w:rtl/>
        </w:rPr>
        <w:t>. (2010): وساطة غير مباشرة فقط (</w:t>
      </w:r>
      <w:r w:rsidRPr="002D0DD5">
        <w:rPr>
          <w:rFonts w:ascii="Simplified Arabic" w:eastAsia="Arial" w:hAnsi="Simplified Arabic" w:cs="Simplified Arabic"/>
          <w:color w:val="EE0000"/>
        </w:rPr>
        <w:t>Indirect-only Mediation</w:t>
      </w:r>
      <w:r w:rsidRPr="002D0DD5">
        <w:rPr>
          <w:rFonts w:ascii="Simplified Arabic" w:eastAsia="Arial" w:hAnsi="Simplified Arabic" w:cs="Simplified Arabic"/>
          <w:color w:val="EE0000"/>
          <w:rtl/>
        </w:rPr>
        <w:t>) عندما يكون الأثر غير المباشر دالًا والمباشر غير دال؛ ووساطة تكاملية (</w:t>
      </w:r>
      <w:r w:rsidRPr="002D0DD5">
        <w:rPr>
          <w:rFonts w:ascii="Simplified Arabic" w:eastAsia="Arial" w:hAnsi="Simplified Arabic" w:cs="Simplified Arabic"/>
          <w:color w:val="EE0000"/>
        </w:rPr>
        <w:t>Complementary Mediation</w:t>
      </w:r>
      <w:r w:rsidRPr="002D0DD5">
        <w:rPr>
          <w:rFonts w:ascii="Simplified Arabic" w:eastAsia="Arial" w:hAnsi="Simplified Arabic" w:cs="Simplified Arabic"/>
          <w:color w:val="EE0000"/>
          <w:rtl/>
        </w:rPr>
        <w:t>) عندما يكون الأثران المباشر وغير المباشر دالين وفي الاتجاه نفسه؛ ووساطة تنافسية (</w:t>
      </w:r>
      <w:r w:rsidRPr="002D0DD5">
        <w:rPr>
          <w:rFonts w:ascii="Simplified Arabic" w:eastAsia="Arial" w:hAnsi="Simplified Arabic" w:cs="Simplified Arabic"/>
          <w:color w:val="EE0000"/>
        </w:rPr>
        <w:t>Competitive Mediation</w:t>
      </w:r>
      <w:r w:rsidRPr="002D0DD5">
        <w:rPr>
          <w:rFonts w:ascii="Simplified Arabic" w:eastAsia="Arial" w:hAnsi="Simplified Arabic" w:cs="Simplified Arabic"/>
          <w:color w:val="EE0000"/>
          <w:rtl/>
        </w:rPr>
        <w:t>) عندما يكون الأثران دالين ولكن في اتجاهين متعاكسين. وإذا لم يكن الأثر غير المباشر دالًا، فسيُميز بين حالة الأثر المباشر فقط (</w:t>
      </w:r>
      <w:r w:rsidRPr="002D0DD5">
        <w:rPr>
          <w:rFonts w:ascii="Simplified Arabic" w:eastAsia="Arial" w:hAnsi="Simplified Arabic" w:cs="Simplified Arabic"/>
          <w:color w:val="EE0000"/>
        </w:rPr>
        <w:t>Direct-only Nonmediation</w:t>
      </w:r>
      <w:r w:rsidRPr="002D0DD5">
        <w:rPr>
          <w:rFonts w:ascii="Simplified Arabic" w:eastAsia="Arial" w:hAnsi="Simplified Arabic" w:cs="Simplified Arabic"/>
          <w:color w:val="EE0000"/>
          <w:rtl/>
        </w:rPr>
        <w:t>) وحالة عدم وجود أثر مباشر أو غير مباشر (</w:t>
      </w:r>
      <w:r w:rsidRPr="002D0DD5">
        <w:rPr>
          <w:rFonts w:ascii="Simplified Arabic" w:eastAsia="Arial" w:hAnsi="Simplified Arabic" w:cs="Simplified Arabic"/>
          <w:color w:val="EE0000"/>
        </w:rPr>
        <w:t>No-effect Nonmediation</w:t>
      </w:r>
      <w:r w:rsidRPr="002D0DD5">
        <w:rPr>
          <w:rFonts w:ascii="Simplified Arabic" w:eastAsia="Arial" w:hAnsi="Simplified Arabic" w:cs="Simplified Arabic"/>
          <w:color w:val="EE0000"/>
          <w:rtl/>
        </w:rPr>
        <w:t>).</w:t>
      </w:r>
    </w:p>
    <w:p w14:paraId="1E3F7B94" w14:textId="77777777" w:rsidR="002D0DD5" w:rsidRPr="002D0DD5" w:rsidRDefault="002D0DD5" w:rsidP="002D0DD5">
      <w:pPr>
        <w:bidi/>
        <w:spacing w:line="300" w:lineRule="auto"/>
        <w:rPr>
          <w:rFonts w:ascii="Simplified Arabic" w:eastAsia="Arial" w:hAnsi="Simplified Arabic" w:cs="Simplified Arabic"/>
          <w:rtl/>
        </w:rPr>
      </w:pPr>
      <w:r w:rsidRPr="002D0DD5">
        <w:rPr>
          <w:rFonts w:ascii="Simplified Arabic" w:eastAsia="Arial" w:hAnsi="Simplified Arabic" w:cs="Simplified Arabic"/>
          <w:rtl/>
        </w:rPr>
        <w:t>أما الدور المعدِّل فيُختبر من خلال أثر التفاعل في علاقة التوظيف بجودة التصميم، ويُجرى لكل متغير معدِّل على حدة؛ إذ يُبنى حد التفاعل بين المتغير المستقل وكل متغير معدِّل داخل برنامج (SmartPLS) بأسلوب المرحلتين (Two-Stage Approach) لما يوفره من قوة إحصائية أعلى وملاءمة لأغراض اختبار الفرضيات (Hair et al., 2022)، فيُختبر تفاعل الدوافع مع التوظيف (GAIU × ADP) في مسار واحد، ويُختبر تفاعل العوائق مع التوظيف (GAIU × BAR) في مسار مستقل، تمييزًا للأثر المعزز عن الأثر المثبط، ثم تُفحص دلالة كل أثر تفاعلي بأسلوب Bootstrapping.</w:t>
      </w:r>
      <w:r w:rsidRPr="002D0DD5">
        <w:rPr>
          <w:rFonts w:ascii="Simplified Arabic" w:eastAsia="Arial" w:hAnsi="Simplified Arabic" w:cs="Simplified Arabic" w:hint="cs"/>
          <w:rtl/>
        </w:rPr>
        <w:t xml:space="preserve"> </w:t>
      </w:r>
    </w:p>
    <w:p w14:paraId="0474A0E1" w14:textId="77777777" w:rsidR="002D0DD5" w:rsidRPr="002D0DD5" w:rsidRDefault="002D0DD5" w:rsidP="002D0DD5">
      <w:pPr>
        <w:bidi/>
        <w:spacing w:line="300" w:lineRule="auto"/>
        <w:rPr>
          <w:rFonts w:ascii="Simplified Arabic" w:eastAsia="Arial" w:hAnsi="Simplified Arabic" w:cs="Simplified Arabic"/>
          <w:rtl/>
        </w:rPr>
      </w:pPr>
      <w:r w:rsidRPr="002D0DD5">
        <w:rPr>
          <w:rFonts w:ascii="Simplified Arabic" w:eastAsia="Arial" w:hAnsi="Simplified Arabic" w:cs="Simplified Arabic"/>
          <w:rtl/>
        </w:rPr>
        <w:t>وكما سبقت الإشارة، سيُستكمَل تقييم النموذج الهيكلي بتحليل حساسية يقارن نتائج النموذج الأساسي بنموذج بديل يضبط تداخل المشاركين داخل الوكالة الواحدة، للتحقق من ثبات الاستنتاجات.</w:t>
      </w:r>
    </w:p>
    <w:p w14:paraId="094C8F7D" w14:textId="77777777" w:rsidR="002D0DD5" w:rsidRPr="002D0DD5" w:rsidRDefault="002D0DD5" w:rsidP="002D0DD5">
      <w:pPr>
        <w:bidi/>
        <w:spacing w:line="300" w:lineRule="auto"/>
        <w:rPr>
          <w:rFonts w:ascii="Simplified Arabic" w:eastAsia="Arial" w:hAnsi="Simplified Arabic" w:cs="Simplified Arabic"/>
        </w:rPr>
      </w:pPr>
    </w:p>
    <w:p w14:paraId="59296748" w14:textId="77777777" w:rsidR="002D0DD5" w:rsidRPr="002D0DD5" w:rsidRDefault="002D0DD5" w:rsidP="002D0DD5">
      <w:pPr>
        <w:bidi/>
        <w:spacing w:before="240" w:after="8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lastRenderedPageBreak/>
        <w:t>جدول (3-9): ربط فرضيات الدراسة بأساليب اختبارها الإحصائية</w:t>
      </w:r>
    </w:p>
    <w:tbl>
      <w:tblPr>
        <w:bidiVisual/>
        <w:tblW w:w="8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4700"/>
        <w:gridCol w:w="2400"/>
      </w:tblGrid>
      <w:tr w:rsidR="002D0DD5" w:rsidRPr="002D0DD5" w14:paraId="649C2096" w14:textId="77777777" w:rsidTr="00911285">
        <w:tc>
          <w:tcPr>
            <w:tcW w:w="900" w:type="dxa"/>
            <w:shd w:val="clear" w:color="auto" w:fill="D9D9D9"/>
            <w:tcMar>
              <w:top w:w="80" w:type="dxa"/>
              <w:left w:w="100" w:type="dxa"/>
              <w:bottom w:w="80" w:type="dxa"/>
              <w:right w:w="100" w:type="dxa"/>
            </w:tcMar>
            <w:vAlign w:val="center"/>
          </w:tcPr>
          <w:p w14:paraId="246C09D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الفرضية</w:t>
            </w:r>
          </w:p>
        </w:tc>
        <w:tc>
          <w:tcPr>
            <w:tcW w:w="4700" w:type="dxa"/>
            <w:shd w:val="clear" w:color="auto" w:fill="D9D9D9"/>
            <w:tcMar>
              <w:top w:w="80" w:type="dxa"/>
              <w:left w:w="100" w:type="dxa"/>
              <w:bottom w:w="80" w:type="dxa"/>
              <w:right w:w="100" w:type="dxa"/>
            </w:tcMar>
            <w:vAlign w:val="center"/>
          </w:tcPr>
          <w:p w14:paraId="5FC1C73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مضمونها</w:t>
            </w:r>
          </w:p>
        </w:tc>
        <w:tc>
          <w:tcPr>
            <w:tcW w:w="2400" w:type="dxa"/>
            <w:shd w:val="clear" w:color="auto" w:fill="D9D9D9"/>
            <w:tcMar>
              <w:top w:w="80" w:type="dxa"/>
              <w:left w:w="100" w:type="dxa"/>
              <w:bottom w:w="80" w:type="dxa"/>
              <w:right w:w="100" w:type="dxa"/>
            </w:tcMar>
            <w:vAlign w:val="center"/>
          </w:tcPr>
          <w:p w14:paraId="28050BA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bCs/>
                <w:rtl/>
              </w:rPr>
              <w:t>أسلوب الاختبار</w:t>
            </w:r>
          </w:p>
        </w:tc>
      </w:tr>
      <w:tr w:rsidR="002D0DD5" w:rsidRPr="002D0DD5" w14:paraId="4AB47DA1" w14:textId="77777777" w:rsidTr="00911285">
        <w:tc>
          <w:tcPr>
            <w:tcW w:w="900" w:type="dxa"/>
            <w:tcMar>
              <w:top w:w="80" w:type="dxa"/>
              <w:left w:w="100" w:type="dxa"/>
              <w:bottom w:w="80" w:type="dxa"/>
              <w:right w:w="100" w:type="dxa"/>
            </w:tcMar>
            <w:vAlign w:val="center"/>
          </w:tcPr>
          <w:p w14:paraId="549B196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H1</w:t>
            </w:r>
          </w:p>
        </w:tc>
        <w:tc>
          <w:tcPr>
            <w:tcW w:w="4700" w:type="dxa"/>
            <w:tcMar>
              <w:top w:w="80" w:type="dxa"/>
              <w:left w:w="100" w:type="dxa"/>
              <w:bottom w:w="80" w:type="dxa"/>
              <w:right w:w="100" w:type="dxa"/>
            </w:tcMar>
            <w:vAlign w:val="center"/>
          </w:tcPr>
          <w:p w14:paraId="5D2B128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علاقة توظيف الذكاء الاصطناعي التوليدي بجودة عملية التصميم.</w:t>
            </w:r>
          </w:p>
        </w:tc>
        <w:tc>
          <w:tcPr>
            <w:tcW w:w="2400" w:type="dxa"/>
            <w:tcMar>
              <w:top w:w="80" w:type="dxa"/>
              <w:left w:w="100" w:type="dxa"/>
              <w:bottom w:w="80" w:type="dxa"/>
              <w:right w:w="100" w:type="dxa"/>
            </w:tcMar>
            <w:vAlign w:val="center"/>
          </w:tcPr>
          <w:p w14:paraId="5872E47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معامل المسار ودلالته (Bootstrapping)</w:t>
            </w:r>
          </w:p>
        </w:tc>
      </w:tr>
      <w:tr w:rsidR="002D0DD5" w:rsidRPr="002D0DD5" w14:paraId="06DBD052" w14:textId="77777777" w:rsidTr="00911285">
        <w:tc>
          <w:tcPr>
            <w:tcW w:w="900" w:type="dxa"/>
            <w:tcMar>
              <w:top w:w="80" w:type="dxa"/>
              <w:left w:w="100" w:type="dxa"/>
              <w:bottom w:w="80" w:type="dxa"/>
              <w:right w:w="100" w:type="dxa"/>
            </w:tcMar>
            <w:vAlign w:val="center"/>
          </w:tcPr>
          <w:p w14:paraId="09446AC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H2</w:t>
            </w:r>
          </w:p>
        </w:tc>
        <w:tc>
          <w:tcPr>
            <w:tcW w:w="4700" w:type="dxa"/>
            <w:tcMar>
              <w:top w:w="80" w:type="dxa"/>
              <w:left w:w="100" w:type="dxa"/>
              <w:bottom w:w="80" w:type="dxa"/>
              <w:right w:w="100" w:type="dxa"/>
            </w:tcMar>
            <w:vAlign w:val="center"/>
          </w:tcPr>
          <w:p w14:paraId="20BFF26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علاقة جودة عملية التصميم بفعالية الأداء التسويقي.</w:t>
            </w:r>
          </w:p>
        </w:tc>
        <w:tc>
          <w:tcPr>
            <w:tcW w:w="2400" w:type="dxa"/>
            <w:tcMar>
              <w:top w:w="80" w:type="dxa"/>
              <w:left w:w="100" w:type="dxa"/>
              <w:bottom w:w="80" w:type="dxa"/>
              <w:right w:w="100" w:type="dxa"/>
            </w:tcMar>
            <w:vAlign w:val="center"/>
          </w:tcPr>
          <w:p w14:paraId="7EC2810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معامل المسار ودلالته (Bootstrapping)</w:t>
            </w:r>
          </w:p>
        </w:tc>
      </w:tr>
      <w:tr w:rsidR="002D0DD5" w:rsidRPr="002D0DD5" w14:paraId="5F8F6EE3" w14:textId="77777777" w:rsidTr="00911285">
        <w:tc>
          <w:tcPr>
            <w:tcW w:w="900" w:type="dxa"/>
            <w:tcMar>
              <w:top w:w="80" w:type="dxa"/>
              <w:left w:w="100" w:type="dxa"/>
              <w:bottom w:w="80" w:type="dxa"/>
              <w:right w:w="100" w:type="dxa"/>
            </w:tcMar>
            <w:vAlign w:val="center"/>
          </w:tcPr>
          <w:p w14:paraId="39D37BE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H3</w:t>
            </w:r>
          </w:p>
        </w:tc>
        <w:tc>
          <w:tcPr>
            <w:tcW w:w="4700" w:type="dxa"/>
            <w:tcMar>
              <w:top w:w="80" w:type="dxa"/>
              <w:left w:w="100" w:type="dxa"/>
              <w:bottom w:w="80" w:type="dxa"/>
              <w:right w:w="100" w:type="dxa"/>
            </w:tcMar>
            <w:vAlign w:val="center"/>
          </w:tcPr>
          <w:p w14:paraId="0144596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أثر التفاعل المعدِّل في علاقة التوظيف بجودة التصميم، ويُختبر في مسارين: تفاعل الدوافع (GAIU × ADP)، وتفاعل العوائق (GAIU × BAR).</w:t>
            </w:r>
          </w:p>
        </w:tc>
        <w:tc>
          <w:tcPr>
            <w:tcW w:w="2400" w:type="dxa"/>
            <w:tcMar>
              <w:top w:w="80" w:type="dxa"/>
              <w:left w:w="100" w:type="dxa"/>
              <w:bottom w:w="80" w:type="dxa"/>
              <w:right w:w="100" w:type="dxa"/>
            </w:tcMar>
            <w:vAlign w:val="center"/>
          </w:tcPr>
          <w:p w14:paraId="3625B4A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تحليل أثر التعديل لكل تفاعل على حدة (Moderation)</w:t>
            </w:r>
          </w:p>
        </w:tc>
      </w:tr>
      <w:tr w:rsidR="002D0DD5" w:rsidRPr="002D0DD5" w14:paraId="5949F8FF" w14:textId="77777777" w:rsidTr="00911285">
        <w:tc>
          <w:tcPr>
            <w:tcW w:w="900" w:type="dxa"/>
            <w:tcMar>
              <w:top w:w="80" w:type="dxa"/>
              <w:left w:w="100" w:type="dxa"/>
              <w:bottom w:w="80" w:type="dxa"/>
              <w:right w:w="100" w:type="dxa"/>
            </w:tcMar>
            <w:vAlign w:val="center"/>
          </w:tcPr>
          <w:p w14:paraId="1C9DDD1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H4</w:t>
            </w:r>
          </w:p>
        </w:tc>
        <w:tc>
          <w:tcPr>
            <w:tcW w:w="4700" w:type="dxa"/>
            <w:tcMar>
              <w:top w:w="80" w:type="dxa"/>
              <w:left w:w="100" w:type="dxa"/>
              <w:bottom w:w="80" w:type="dxa"/>
              <w:right w:w="100" w:type="dxa"/>
            </w:tcMar>
            <w:vAlign w:val="center"/>
          </w:tcPr>
          <w:p w14:paraId="6F36D6E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العلاقة غير المباشرة بين التوظيف وفعالية الأداء عبر وساطة جودة التصميم.</w:t>
            </w:r>
          </w:p>
        </w:tc>
        <w:tc>
          <w:tcPr>
            <w:tcW w:w="2400" w:type="dxa"/>
            <w:tcMar>
              <w:top w:w="80" w:type="dxa"/>
              <w:left w:w="100" w:type="dxa"/>
              <w:bottom w:w="80" w:type="dxa"/>
              <w:right w:w="100" w:type="dxa"/>
            </w:tcMar>
            <w:vAlign w:val="center"/>
          </w:tcPr>
          <w:p w14:paraId="25DE395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rtl/>
              </w:rPr>
              <w:t>تحليل أثر الوساطة (Mediation)</w:t>
            </w:r>
          </w:p>
        </w:tc>
      </w:tr>
    </w:tbl>
    <w:p w14:paraId="05E2324C" w14:textId="77777777" w:rsidR="002D0DD5" w:rsidRPr="002D0DD5" w:rsidRDefault="002D0DD5" w:rsidP="002D0DD5">
      <w:pPr>
        <w:bidi/>
        <w:spacing w:after="200" w:line="276" w:lineRule="auto"/>
        <w:rPr>
          <w:rFonts w:ascii="Simplified Arabic" w:hAnsi="Simplified Arabic" w:cs="Simplified Arabic"/>
          <w:rtl/>
        </w:rPr>
      </w:pPr>
    </w:p>
    <w:p w14:paraId="51B0310D" w14:textId="77777777" w:rsidR="002D0DD5" w:rsidRPr="002D0DD5" w:rsidRDefault="002D0DD5" w:rsidP="002D0DD5">
      <w:pPr>
        <w:bidi/>
        <w:spacing w:after="200" w:line="240" w:lineRule="auto"/>
        <w:jc w:val="both"/>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الجوانب الأخلاقية لإجراءات الدراسة</w:t>
      </w:r>
    </w:p>
    <w:p w14:paraId="6F569656" w14:textId="77777777" w:rsidR="002D0DD5" w:rsidRPr="002D0DD5" w:rsidRDefault="002D0DD5" w:rsidP="002D0DD5">
      <w:pPr>
        <w:bidi/>
        <w:spacing w:line="300" w:lineRule="auto"/>
        <w:rPr>
          <w:rFonts w:ascii="Simplified Arabic" w:eastAsia="Arial" w:hAnsi="Simplified Arabic" w:cs="Simplified Arabic"/>
        </w:rPr>
      </w:pPr>
      <w:r w:rsidRPr="002D0DD5">
        <w:rPr>
          <w:rFonts w:ascii="Simplified Arabic" w:eastAsia="Arial" w:hAnsi="Simplified Arabic" w:cs="Simplified Arabic"/>
          <w:rtl/>
        </w:rPr>
        <w:t>سيلتزم الباحث بأخلاقيات البحث العلمي في جميع مراحل الجانب الميداني من الدراسة، على النحو التالي:</w:t>
      </w:r>
    </w:p>
    <w:p w14:paraId="67D2608B"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موافقة لجنة أخلاقيات البحث العلمي</w:t>
      </w:r>
    </w:p>
    <w:p w14:paraId="0CCEA5B7"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سيُتقدَّم بطلب موافقة أخلاقية إلى لجنة أخلاقيات البحث العلمي بالجامعة قبل بدء أي تطبيق ميداني، بما في ذلك الدراسة الاستطلاعية والمقابلات الإدراكية، وستُدرَج بيانات هذه الموافقة (اسم اللجنة، ورقم الموافقة، وتاريخها) في هذا الموضع فور صدورها.</w:t>
      </w:r>
    </w:p>
    <w:p w14:paraId="6EB82290"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الموافقات الرسمية من الوكالات والجهات المهنية</w:t>
      </w:r>
    </w:p>
    <w:p w14:paraId="2912DA49" w14:textId="77777777" w:rsidR="002D0DD5" w:rsidRPr="002D0DD5" w:rsidRDefault="002D0DD5" w:rsidP="002D0DD5">
      <w:pPr>
        <w:bidi/>
        <w:spacing w:line="300" w:lineRule="auto"/>
        <w:rPr>
          <w:rFonts w:ascii="Simplified Arabic" w:eastAsia="Arial" w:hAnsi="Simplified Arabic" w:cs="Simplified Arabic"/>
          <w:color w:val="EE0000"/>
        </w:rPr>
      </w:pPr>
      <w:r w:rsidRPr="002D0DD5">
        <w:rPr>
          <w:rFonts w:ascii="Simplified Arabic" w:eastAsia="Arial" w:hAnsi="Simplified Arabic" w:cs="Simplified Arabic"/>
          <w:color w:val="EE0000"/>
          <w:rtl/>
        </w:rPr>
        <w:t>سيُتحقَّق، حسب الحاجة، من متطلبات الحصول على موافقة رسمية من إدارات الوكالات أو الجهات المهنية المعنية قبل تعميم رابط الاستبانة داخليًا، وستُرفَق خطابات التسهيل أو الموافقة اللازمة ضمن ملاحق الدراسة عند الحصول عليها.</w:t>
      </w:r>
    </w:p>
    <w:p w14:paraId="534CF29E" w14:textId="77777777" w:rsidR="002D0DD5" w:rsidRPr="002D0DD5" w:rsidRDefault="002D0DD5" w:rsidP="002D0DD5">
      <w:pPr>
        <w:bidi/>
        <w:spacing w:before="220" w:after="120" w:line="240" w:lineRule="auto"/>
        <w:rPr>
          <w:rFonts w:ascii="Simplified Arabic" w:eastAsia="Arial" w:hAnsi="Simplified Arabic" w:cs="Simplified Arabic"/>
          <w:color w:val="EE0000"/>
        </w:rPr>
      </w:pPr>
      <w:r w:rsidRPr="002D0DD5">
        <w:rPr>
          <w:rFonts w:ascii="Simplified Arabic" w:eastAsia="Arial" w:hAnsi="Simplified Arabic" w:cs="Simplified Arabic"/>
          <w:b/>
          <w:bCs/>
          <w:color w:val="EE0000"/>
          <w:rtl/>
        </w:rPr>
        <w:t>الموافقة المستنيرة</w:t>
      </w:r>
    </w:p>
    <w:p w14:paraId="4A0477E8" w14:textId="77777777" w:rsidR="002D0DD5" w:rsidRPr="002D0DD5" w:rsidRDefault="002D0DD5" w:rsidP="002D0DD5">
      <w:pPr>
        <w:bidi/>
        <w:spacing w:line="300" w:lineRule="auto"/>
        <w:rPr>
          <w:rFonts w:ascii="Simplified Arabic" w:eastAsia="Arial" w:hAnsi="Simplified Arabic" w:cs="Simplified Arabic"/>
          <w:color w:val="EE0000"/>
          <w:rtl/>
        </w:rPr>
      </w:pPr>
      <w:r w:rsidRPr="002D0DD5">
        <w:rPr>
          <w:rFonts w:ascii="Simplified Arabic" w:eastAsia="Arial" w:hAnsi="Simplified Arabic" w:cs="Simplified Arabic"/>
          <w:color w:val="EE0000"/>
          <w:rtl/>
        </w:rPr>
        <w:t>ستتضمن صفحة الموافقة المستنيرة في مقدمة الاستبانة الإلكترونية: هدف الدراسة وأهميتها، والجهة القائمة عليها، ومدة الإجابة المتوقعة، وطبيعة المشاركة الطوعية وحق الانسحاب في أي وقت دون أي أثر سلبي، والمخاطر المحتملة (وهي محدودة نظرًا لطبيعة الأسئلة) والفوائد العلمية والمهنية المتوقعة، وضمانات السرية وعدم جمع بيانات تعريفية شخصية، ومعلومات التواصل مع الباحث والمشرف الأكاديمي وجهة الأخلاقيات المختصة عند وجود أي استفسار أو شكوى.</w:t>
      </w:r>
    </w:p>
    <w:p w14:paraId="2878D753" w14:textId="77777777" w:rsidR="002D0DD5" w:rsidRPr="002D0DD5" w:rsidRDefault="002D0DD5" w:rsidP="002D0DD5">
      <w:pPr>
        <w:bidi/>
        <w:spacing w:line="300" w:lineRule="auto"/>
        <w:rPr>
          <w:rFonts w:ascii="Simplified Arabic" w:eastAsia="Arial" w:hAnsi="Simplified Arabic" w:cs="Simplified Arabic"/>
          <w:color w:val="EE0000"/>
        </w:rPr>
      </w:pPr>
    </w:p>
    <w:p w14:paraId="3EE94F0A" w14:textId="77777777" w:rsidR="002D0DD5" w:rsidRPr="002D0DD5" w:rsidRDefault="002D0DD5" w:rsidP="002D0DD5">
      <w:pPr>
        <w:bidi/>
        <w:spacing w:before="300" w:after="150" w:line="240" w:lineRule="auto"/>
        <w:outlineLvl w:val="1"/>
        <w:rPr>
          <w:rFonts w:ascii="Simplified Arabic" w:eastAsia="Arial" w:hAnsi="Simplified Arabic" w:cs="Simplified Arabic"/>
          <w:color w:val="EE0000"/>
        </w:rPr>
      </w:pPr>
      <w:r w:rsidRPr="002D0DD5">
        <w:rPr>
          <w:rFonts w:ascii="Simplified Arabic" w:eastAsia="Arial" w:hAnsi="Simplified Arabic" w:cs="Simplified Arabic"/>
          <w:b/>
          <w:bCs/>
          <w:color w:val="EE0000"/>
          <w:u w:val="single"/>
          <w:rtl/>
        </w:rPr>
        <w:lastRenderedPageBreak/>
        <w:t>ملخص الفصل</w:t>
      </w:r>
    </w:p>
    <w:p w14:paraId="1789FBD7"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استعرض هذا الفصل الإجراءات المنهجية المخطَّط لها لتنفيذ الجانب الميداني من الدراسة. فبعد بيان اعتماد المنهج الوصفي التحليلي وتصميم مقطعي يستخدم لغة تفسيرية-ترابطية متحفظة بدلًا من اللغة السببية، حُدِّد مجتمع الدراسة إجرائيًا بالعاملين في وكالات التسويق الرقمي المرخَّصة العاملة في الرياض وجدة والدمام ضمن فئات وظيفية محددة، مع توثيق مبررات هذا التحديد الجغرافي والوظيفي. وحُدِّد أسلوب المعاينة غير الاحتمالية (ميسرة وكرة ثلج) وضوابط تنويعها وحصصها الاسترشادية، وحجم العينة المستهدف (384 استجابة صالحة فأكثر) استنادًا إلى تحليل القوة الإحصائية مبررًا رئيسًا.</w:t>
      </w:r>
    </w:p>
    <w:p w14:paraId="238F2C57" w14:textId="77777777" w:rsidR="002D0DD5" w:rsidRPr="002D0DD5" w:rsidRDefault="002D0DD5" w:rsidP="002D0DD5">
      <w:pPr>
        <w:bidi/>
        <w:spacing w:line="300" w:lineRule="auto"/>
        <w:jc w:val="both"/>
        <w:rPr>
          <w:rFonts w:ascii="Simplified Arabic" w:eastAsia="Arial" w:hAnsi="Simplified Arabic" w:cs="Simplified Arabic"/>
          <w:color w:val="EE0000"/>
        </w:rPr>
      </w:pPr>
      <w:r w:rsidRPr="002D0DD5">
        <w:rPr>
          <w:rFonts w:ascii="Simplified Arabic" w:eastAsia="Arial" w:hAnsi="Simplified Arabic" w:cs="Simplified Arabic"/>
          <w:color w:val="EE0000"/>
          <w:rtl/>
        </w:rPr>
        <w:t>كما عُرضت خطوات بناء أداة الدراسة وتحكيمها وترجمتها وحساب صدق محتواها الكمي، وإجراءات دراستها الاستطلاعية ومقابلاتها الإدراكية، وخطة التحقق من صدقها التقاربي والتمايزي وثباتها عبر مؤشرات ألفا كرونباخ وrho_A والثبات المركب في إطار نمذجة PLS-SEM. وأخيرًا، فُصِّلت إجراءات تنظيف البيانات ومعالجتها إحصائيًا عبر برنامجي SPSS وSmartPLS، واختبار الفرضيات المباشرة والوسيطة والتفاعلية، والجوانب الأخلاقية التي ستُراعى طوال مراحل التنفيذ الميداني. وتمثل هذه الإجراءات مجتمعة الأساس الذي ستُبنى عليه نتائج الفصل الرابع وتفسيرها.</w:t>
      </w:r>
    </w:p>
    <w:p w14:paraId="46A4D927" w14:textId="77777777" w:rsidR="002D0DD5" w:rsidRPr="002D0DD5" w:rsidRDefault="002D0DD5" w:rsidP="002D0DD5">
      <w:pPr>
        <w:bidi/>
        <w:spacing w:after="200" w:line="276" w:lineRule="auto"/>
        <w:jc w:val="both"/>
        <w:rPr>
          <w:rFonts w:ascii="Simplified Arabic" w:hAnsi="Simplified Arabic" w:cs="Simplified Arabic"/>
          <w:rtl/>
        </w:rPr>
      </w:pPr>
    </w:p>
    <w:p w14:paraId="3D2B74F3" w14:textId="77777777" w:rsidR="002D0DD5" w:rsidRPr="002D0DD5" w:rsidRDefault="002D0DD5" w:rsidP="002D0DD5">
      <w:pPr>
        <w:bidi/>
        <w:spacing w:after="200" w:line="276" w:lineRule="auto"/>
        <w:jc w:val="both"/>
        <w:rPr>
          <w:rFonts w:ascii="Simplified Arabic" w:hAnsi="Simplified Arabic" w:cs="Simplified Arabic"/>
          <w:rtl/>
        </w:rPr>
      </w:pPr>
    </w:p>
    <w:p w14:paraId="47326891" w14:textId="77777777" w:rsidR="002D0DD5" w:rsidRPr="002D0DD5" w:rsidRDefault="002D0DD5" w:rsidP="002D0DD5">
      <w:pPr>
        <w:bidi/>
        <w:spacing w:after="200" w:line="276" w:lineRule="auto"/>
        <w:jc w:val="both"/>
        <w:rPr>
          <w:rFonts w:ascii="Simplified Arabic" w:hAnsi="Simplified Arabic" w:cs="Simplified Arabic"/>
          <w:rtl/>
        </w:rPr>
      </w:pPr>
    </w:p>
    <w:p w14:paraId="73E257CB" w14:textId="77777777" w:rsidR="002D0DD5" w:rsidRPr="002D0DD5" w:rsidRDefault="002D0DD5" w:rsidP="002D0DD5">
      <w:pPr>
        <w:bidi/>
        <w:spacing w:after="200" w:line="276" w:lineRule="auto"/>
        <w:jc w:val="both"/>
        <w:rPr>
          <w:rFonts w:ascii="Simplified Arabic" w:hAnsi="Simplified Arabic" w:cs="Simplified Arabic"/>
          <w:rtl/>
        </w:rPr>
      </w:pPr>
    </w:p>
    <w:p w14:paraId="4D4EEDC6" w14:textId="77777777" w:rsidR="002D0DD5" w:rsidRPr="002D0DD5" w:rsidRDefault="002D0DD5" w:rsidP="002D0DD5">
      <w:pPr>
        <w:bidi/>
        <w:spacing w:after="200" w:line="276" w:lineRule="auto"/>
        <w:jc w:val="both"/>
        <w:rPr>
          <w:rFonts w:ascii="Simplified Arabic" w:hAnsi="Simplified Arabic" w:cs="Simplified Arabic"/>
          <w:rtl/>
        </w:rPr>
      </w:pPr>
    </w:p>
    <w:p w14:paraId="6804957A" w14:textId="77777777" w:rsidR="002D0DD5" w:rsidRPr="002D0DD5" w:rsidRDefault="002D0DD5" w:rsidP="002D0DD5">
      <w:pPr>
        <w:bidi/>
        <w:spacing w:after="200" w:line="276" w:lineRule="auto"/>
        <w:jc w:val="both"/>
        <w:rPr>
          <w:rFonts w:ascii="Simplified Arabic" w:hAnsi="Simplified Arabic" w:cs="Simplified Arabic"/>
          <w:rtl/>
        </w:rPr>
      </w:pPr>
    </w:p>
    <w:p w14:paraId="12E74D47" w14:textId="77777777" w:rsidR="002D0DD5" w:rsidRPr="002D0DD5" w:rsidRDefault="002D0DD5" w:rsidP="002D0DD5">
      <w:pPr>
        <w:bidi/>
        <w:spacing w:after="200" w:line="276" w:lineRule="auto"/>
        <w:jc w:val="both"/>
        <w:rPr>
          <w:rFonts w:ascii="Simplified Arabic" w:hAnsi="Simplified Arabic" w:cs="Simplified Arabic"/>
          <w:rtl/>
        </w:rPr>
      </w:pPr>
    </w:p>
    <w:p w14:paraId="4E8C5C1B" w14:textId="77777777" w:rsidR="002D0DD5" w:rsidRPr="002D0DD5" w:rsidRDefault="002D0DD5" w:rsidP="002D0DD5">
      <w:pPr>
        <w:bidi/>
        <w:spacing w:after="200" w:line="276" w:lineRule="auto"/>
        <w:jc w:val="both"/>
        <w:rPr>
          <w:rFonts w:ascii="Simplified Arabic" w:hAnsi="Simplified Arabic" w:cs="Simplified Arabic"/>
          <w:rtl/>
        </w:rPr>
      </w:pPr>
    </w:p>
    <w:p w14:paraId="79B6644D" w14:textId="77777777" w:rsidR="002D0DD5" w:rsidRPr="002D0DD5" w:rsidRDefault="002D0DD5" w:rsidP="002D0DD5">
      <w:pPr>
        <w:bidi/>
        <w:spacing w:after="200" w:line="276" w:lineRule="auto"/>
        <w:jc w:val="both"/>
        <w:rPr>
          <w:rFonts w:ascii="Simplified Arabic" w:hAnsi="Simplified Arabic" w:cs="Simplified Arabic"/>
          <w:rtl/>
        </w:rPr>
      </w:pPr>
    </w:p>
    <w:p w14:paraId="6532DEC6" w14:textId="77777777" w:rsidR="002D0DD5" w:rsidRPr="002D0DD5" w:rsidRDefault="002D0DD5" w:rsidP="002D0DD5">
      <w:pPr>
        <w:bidi/>
        <w:spacing w:after="200" w:line="276" w:lineRule="auto"/>
        <w:jc w:val="both"/>
        <w:rPr>
          <w:rFonts w:ascii="Simplified Arabic" w:hAnsi="Simplified Arabic" w:cs="Simplified Arabic"/>
          <w:rtl/>
        </w:rPr>
      </w:pPr>
    </w:p>
    <w:p w14:paraId="6B99350F" w14:textId="77777777" w:rsidR="002D0DD5" w:rsidRPr="002D0DD5" w:rsidRDefault="002D0DD5" w:rsidP="002D0DD5">
      <w:pPr>
        <w:bidi/>
        <w:spacing w:after="200" w:line="276" w:lineRule="auto"/>
        <w:jc w:val="both"/>
        <w:rPr>
          <w:rFonts w:ascii="Simplified Arabic" w:hAnsi="Simplified Arabic" w:cs="Simplified Arabic"/>
          <w:rtl/>
        </w:rPr>
      </w:pPr>
    </w:p>
    <w:p w14:paraId="6F956633" w14:textId="77777777" w:rsidR="002D0DD5" w:rsidRPr="002D0DD5" w:rsidRDefault="002D0DD5" w:rsidP="002D0DD5">
      <w:pPr>
        <w:keepNext/>
        <w:bidi/>
        <w:spacing w:after="0" w:line="240" w:lineRule="auto"/>
        <w:jc w:val="center"/>
        <w:rPr>
          <w:rFonts w:ascii="Simplified Arabic" w:eastAsia="Arial" w:hAnsi="Simplified Arabic" w:cs="Simplified Arabic"/>
          <w:bCs/>
          <w:u w:val="single"/>
        </w:rPr>
      </w:pPr>
      <w:r w:rsidRPr="002D0DD5">
        <w:rPr>
          <w:rFonts w:ascii="Simplified Arabic" w:eastAsia="Noto Naskh Arabic" w:hAnsi="Simplified Arabic" w:cs="Simplified Arabic"/>
          <w:bCs/>
          <w:color w:val="FF0000"/>
          <w:u w:val="single"/>
          <w:rtl/>
        </w:rPr>
        <w:t>ملحق (أ): الاستبانة الخاصة بالمبحوثين</w:t>
      </w:r>
    </w:p>
    <w:p w14:paraId="517EA624" w14:textId="77777777" w:rsidR="002D0DD5" w:rsidRPr="002D0DD5" w:rsidRDefault="002D0DD5" w:rsidP="002D0DD5">
      <w:pPr>
        <w:keepNext/>
        <w:bidi/>
        <w:spacing w:after="0" w:line="240" w:lineRule="auto"/>
        <w:rPr>
          <w:rFonts w:ascii="Simplified Arabic" w:eastAsia="Noto Naskh Arabic" w:hAnsi="Simplified Arabic" w:cs="Simplified Arabic"/>
          <w:b/>
          <w:color w:val="000000"/>
          <w:rtl/>
        </w:rPr>
      </w:pPr>
    </w:p>
    <w:p w14:paraId="02B89769" w14:textId="77777777" w:rsidR="002D0DD5" w:rsidRPr="002D0DD5" w:rsidRDefault="002D0DD5" w:rsidP="002D0DD5">
      <w:pPr>
        <w:keepNext/>
        <w:bidi/>
        <w:spacing w:after="0" w:line="240" w:lineRule="auto"/>
        <w:rPr>
          <w:rFonts w:ascii="Simplified Arabic" w:eastAsia="Noto Naskh Arabic" w:hAnsi="Simplified Arabic" w:cs="Simplified Arabic"/>
          <w:b/>
          <w:color w:val="000000"/>
          <w:rtl/>
        </w:rPr>
      </w:pPr>
    </w:p>
    <w:p w14:paraId="7E9552EF" w14:textId="77777777" w:rsidR="002D0DD5" w:rsidRPr="002D0DD5" w:rsidRDefault="002D0DD5" w:rsidP="002D0DD5">
      <w:pPr>
        <w:bidi/>
        <w:spacing w:after="60" w:line="240" w:lineRule="auto"/>
        <w:rPr>
          <w:rFonts w:ascii="Simplified Arabic" w:eastAsia="Noto Naskh Arabic" w:hAnsi="Simplified Arabic" w:cs="Simplified Arabic"/>
          <w:b/>
          <w:rtl/>
        </w:rPr>
      </w:pPr>
      <w:r w:rsidRPr="002D0DD5">
        <w:rPr>
          <w:rFonts w:ascii="Simplified Arabic" w:eastAsia="Noto Naskh Arabic" w:hAnsi="Simplified Arabic" w:cs="Simplified Arabic"/>
          <w:b/>
          <w:rtl/>
        </w:rPr>
        <w:t xml:space="preserve">أخي المبحوث المحترم، </w:t>
      </w:r>
    </w:p>
    <w:p w14:paraId="419B9915"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b/>
          <w:rtl/>
        </w:rPr>
        <w:lastRenderedPageBreak/>
        <w:t>أختي المبحوثة المحترمة،</w:t>
      </w:r>
    </w:p>
    <w:p w14:paraId="094C8795"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rtl/>
        </w:rPr>
        <w:t>تحية طيبة وبعد،</w:t>
      </w:r>
    </w:p>
    <w:p w14:paraId="57FA2782" w14:textId="77777777" w:rsidR="002D0DD5" w:rsidRPr="002D0DD5" w:rsidRDefault="002D0DD5" w:rsidP="002D0DD5">
      <w:pPr>
        <w:bidi/>
        <w:spacing w:after="60" w:line="240" w:lineRule="auto"/>
        <w:rPr>
          <w:rFonts w:ascii="Simplified Arabic" w:eastAsia="Noto Naskh Arabic" w:hAnsi="Simplified Arabic" w:cs="Simplified Arabic"/>
          <w:rtl/>
        </w:rPr>
      </w:pPr>
      <w:r w:rsidRPr="002D0DD5">
        <w:rPr>
          <w:rFonts w:ascii="Simplified Arabic" w:eastAsia="Noto Naskh Arabic" w:hAnsi="Simplified Arabic" w:cs="Simplified Arabic"/>
          <w:rtl/>
        </w:rPr>
        <w:t xml:space="preserve">يقوم الباحث بإجراء دراسة بعنوان: </w:t>
      </w:r>
    </w:p>
    <w:p w14:paraId="32CA91E6" w14:textId="77777777" w:rsidR="002D0DD5" w:rsidRPr="002D0DD5" w:rsidRDefault="002D0DD5" w:rsidP="002D0DD5">
      <w:pPr>
        <w:bidi/>
        <w:spacing w:after="60" w:line="240" w:lineRule="auto"/>
        <w:jc w:val="center"/>
        <w:rPr>
          <w:rFonts w:ascii="Simplified Arabic" w:eastAsia="Noto Naskh Arabic" w:hAnsi="Simplified Arabic" w:cs="Simplified Arabic"/>
          <w:b/>
          <w:bCs/>
          <w:rtl/>
        </w:rPr>
      </w:pPr>
      <w:r w:rsidRPr="002D0DD5">
        <w:rPr>
          <w:rFonts w:ascii="Simplified Arabic" w:eastAsia="Noto Naskh Arabic" w:hAnsi="Simplified Arabic" w:cs="Simplified Arabic"/>
          <w:b/>
          <w:bCs/>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04BFF12"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rtl/>
        </w:rPr>
        <w:t>وذلك استكمالًا لمتطلبات الحصول على درجة الدكتوراه في تخصص التسويق.</w:t>
      </w:r>
    </w:p>
    <w:p w14:paraId="1E851934" w14:textId="77777777" w:rsidR="002D0DD5" w:rsidRPr="002D0DD5" w:rsidRDefault="002D0DD5" w:rsidP="002D0DD5">
      <w:pPr>
        <w:bidi/>
        <w:spacing w:after="60" w:line="240" w:lineRule="auto"/>
        <w:rPr>
          <w:rFonts w:ascii="Simplified Arabic" w:eastAsia="Noto Naskh Arabic" w:hAnsi="Simplified Arabic" w:cs="Simplified Arabic"/>
          <w:rtl/>
        </w:rPr>
      </w:pPr>
    </w:p>
    <w:p w14:paraId="73249430" w14:textId="77777777" w:rsidR="002D0DD5" w:rsidRPr="002D0DD5" w:rsidRDefault="002D0DD5" w:rsidP="002D0DD5">
      <w:pPr>
        <w:bidi/>
        <w:spacing w:after="60" w:line="240" w:lineRule="auto"/>
        <w:rPr>
          <w:rFonts w:ascii="Simplified Arabic" w:eastAsia="Arial" w:hAnsi="Simplified Arabic" w:cs="Simplified Arabic"/>
          <w:rtl/>
        </w:rPr>
      </w:pPr>
      <w:r w:rsidRPr="002D0DD5">
        <w:rPr>
          <w:rFonts w:ascii="Simplified Arabic" w:eastAsia="Noto Naskh Arabic" w:hAnsi="Simplified Arabic" w:cs="Simplified Arabic"/>
          <w:color w:val="FF0000"/>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 والأخلاقية.</w:t>
      </w:r>
    </w:p>
    <w:p w14:paraId="5D55ED65" w14:textId="77777777" w:rsidR="002D0DD5" w:rsidRPr="002D0DD5" w:rsidRDefault="002D0DD5" w:rsidP="002D0DD5">
      <w:pPr>
        <w:bidi/>
        <w:spacing w:after="60" w:line="240" w:lineRule="auto"/>
        <w:rPr>
          <w:rFonts w:ascii="Simplified Arabic" w:eastAsia="Arial" w:hAnsi="Simplified Arabic" w:cs="Simplified Arabic"/>
        </w:rPr>
      </w:pPr>
    </w:p>
    <w:p w14:paraId="4481348D"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color w:val="FF0000"/>
          <w:rtl/>
        </w:rPr>
        <w:t>يتوقع مبدئيًا أن تستغرق الإجابة عن الاستبانة نحو 10–15 دقيقة، وسيُحدد الزمن المتوقع بصورة أدق في ضوء نتائج الدراسة الاستطلاعية. مشاركتك طوعية بالكامل، ويحق لك عدم المشاركة أو الانسحاب قبل إرسال الاستجابة دون أي أثر سلبي. لا تنطوي المشاركة على مخاطر جوهرية تتجاوز التأمل المعتاد في الممارسة المهنية، وتتمثل الفائدة المتوقعة في دعم المعرفة العلمية وتطوير الممارسات المهنية في مجال التسويق الرقمي. وستُعامل البيانات بسرية تامة، ولن تُجمع بيانات تعريفية شخصية غير لازمة، وستُحلل النتائج بصورة إجمالية لا تكشف هوية المشاركين أو الجهات التي يعملون بها. ويُطلب منك الإجابة استنادًا إلى خبرتك المباشرة وملاحظتك الفعلية لممارسات الوكالة ضمن نطاق عملك خلال الاثني عشر شهرًا الأخيرة. ولأي استفسار أو شكوى، ستُدرج قبل التطبيق الفعلي بيانات التواصل المعتمدة للباحث والمشرف الأكاديمي والجهة الأخلاقية المختصة.</w:t>
      </w:r>
    </w:p>
    <w:p w14:paraId="2BC9DE8A" w14:textId="77777777" w:rsidR="002D0DD5" w:rsidRPr="002D0DD5" w:rsidRDefault="002D0DD5" w:rsidP="002D0DD5">
      <w:pPr>
        <w:bidi/>
        <w:spacing w:after="60" w:line="240" w:lineRule="auto"/>
        <w:rPr>
          <w:rFonts w:ascii="Simplified Arabic" w:eastAsia="Arial" w:hAnsi="Simplified Arabic" w:cs="Simplified Arabic"/>
          <w:rtl/>
        </w:rPr>
      </w:pPr>
    </w:p>
    <w:p w14:paraId="7A6B1B63" w14:textId="77777777" w:rsidR="002D0DD5" w:rsidRPr="002D0DD5" w:rsidRDefault="002D0DD5" w:rsidP="002D0DD5">
      <w:pPr>
        <w:bidi/>
        <w:spacing w:after="60" w:line="240" w:lineRule="auto"/>
        <w:rPr>
          <w:rFonts w:ascii="Simplified Arabic" w:eastAsia="Arial" w:hAnsi="Simplified Arabic" w:cs="Simplified Arabic"/>
          <w:rtl/>
        </w:rPr>
      </w:pPr>
      <w:r w:rsidRPr="002D0DD5">
        <w:rPr>
          <w:rFonts w:ascii="Simplified Arabic" w:eastAsia="Arial" w:hAnsi="Simplified Arabic" w:cs="Simplified Arabic"/>
          <w:rtl/>
        </w:rPr>
        <w:t>شاكرًا لكم تعاونكم في مشاركتكم في إنجاز هذا العمل الأكاديمي الذي سوف تكون نتيجته مفيدة</w:t>
      </w:r>
      <w:r w:rsidRPr="002D0DD5">
        <w:rPr>
          <w:rFonts w:ascii="Simplified Arabic" w:eastAsia="Arial" w:hAnsi="Simplified Arabic" w:cs="Simplified Arabic"/>
        </w:rPr>
        <w:t>.</w:t>
      </w:r>
    </w:p>
    <w:p w14:paraId="7A069B33" w14:textId="77777777" w:rsidR="002D0DD5" w:rsidRPr="002D0DD5" w:rsidRDefault="002D0DD5" w:rsidP="002D0DD5">
      <w:pPr>
        <w:bidi/>
        <w:spacing w:after="60" w:line="240" w:lineRule="auto"/>
        <w:rPr>
          <w:rFonts w:ascii="Simplified Arabic" w:eastAsia="Arial" w:hAnsi="Simplified Arabic" w:cs="Simplified Arabic"/>
          <w:rtl/>
        </w:rPr>
      </w:pPr>
    </w:p>
    <w:p w14:paraId="6A7CE5A4" w14:textId="77777777" w:rsidR="002D0DD5" w:rsidRPr="002D0DD5" w:rsidRDefault="002D0DD5" w:rsidP="002D0DD5">
      <w:pPr>
        <w:bidi/>
        <w:spacing w:after="60" w:line="240" w:lineRule="auto"/>
        <w:rPr>
          <w:rFonts w:ascii="Simplified Arabic" w:eastAsia="Arial" w:hAnsi="Simplified Arabic" w:cs="Simplified Arabic"/>
          <w:rtl/>
        </w:rPr>
      </w:pPr>
      <w:r w:rsidRPr="002D0DD5">
        <w:rPr>
          <w:rFonts w:ascii="Simplified Arabic" w:eastAsia="Arial" w:hAnsi="Simplified Arabic" w:cs="Simplified Arabic"/>
          <w:rtl/>
        </w:rPr>
        <w:t>وتفضلوا بقبول فائق الاحترام.</w:t>
      </w:r>
    </w:p>
    <w:p w14:paraId="5482B6FE" w14:textId="77777777" w:rsidR="002D0DD5" w:rsidRPr="002D0DD5" w:rsidRDefault="002D0DD5" w:rsidP="002D0DD5">
      <w:pPr>
        <w:bidi/>
        <w:spacing w:after="60" w:line="240" w:lineRule="auto"/>
        <w:rPr>
          <w:rFonts w:ascii="Simplified Arabic" w:eastAsia="Arial" w:hAnsi="Simplified Arabic" w:cs="Simplified Arabic"/>
          <w:rtl/>
        </w:rPr>
      </w:pPr>
    </w:p>
    <w:p w14:paraId="35B31620" w14:textId="77777777" w:rsidR="002D0DD5" w:rsidRPr="002D0DD5" w:rsidRDefault="002D0DD5" w:rsidP="002D0DD5">
      <w:pPr>
        <w:bidi/>
        <w:spacing w:after="60" w:line="240" w:lineRule="auto"/>
        <w:rPr>
          <w:rFonts w:ascii="Simplified Arabic" w:eastAsia="Arial" w:hAnsi="Simplified Arabic" w:cs="Simplified Arabic"/>
          <w:rtl/>
        </w:rPr>
      </w:pPr>
    </w:p>
    <w:p w14:paraId="32649A06" w14:textId="77777777" w:rsidR="002D0DD5" w:rsidRPr="002D0DD5" w:rsidRDefault="002D0DD5" w:rsidP="002D0DD5">
      <w:pPr>
        <w:bidi/>
        <w:spacing w:after="60" w:line="240" w:lineRule="auto"/>
        <w:rPr>
          <w:rFonts w:ascii="Simplified Arabic" w:eastAsia="Arial" w:hAnsi="Simplified Arabic" w:cs="Simplified Arabic"/>
          <w:rtl/>
        </w:rPr>
      </w:pPr>
    </w:p>
    <w:p w14:paraId="5875AE32" w14:textId="77777777" w:rsidR="002D0DD5" w:rsidRPr="002D0DD5" w:rsidRDefault="002D0DD5" w:rsidP="002D0DD5">
      <w:pPr>
        <w:bidi/>
        <w:spacing w:after="60" w:line="240" w:lineRule="auto"/>
        <w:rPr>
          <w:rFonts w:ascii="Simplified Arabic" w:eastAsia="Arial" w:hAnsi="Simplified Arabic" w:cs="Simplified Arabic"/>
          <w:rtl/>
        </w:rPr>
      </w:pPr>
    </w:p>
    <w:p w14:paraId="35A8A216" w14:textId="77777777" w:rsidR="002D0DD5" w:rsidRPr="002D0DD5" w:rsidRDefault="002D0DD5" w:rsidP="002D0DD5">
      <w:pPr>
        <w:bidi/>
        <w:spacing w:after="60" w:line="240" w:lineRule="auto"/>
        <w:rPr>
          <w:rFonts w:ascii="Simplified Arabic" w:eastAsia="Arial" w:hAnsi="Simplified Arabic" w:cs="Simplified Arabic"/>
          <w:rtl/>
        </w:rPr>
      </w:pPr>
    </w:p>
    <w:p w14:paraId="215EEB61" w14:textId="77777777" w:rsidR="002D0DD5" w:rsidRPr="002D0DD5" w:rsidRDefault="002D0DD5" w:rsidP="002D0DD5">
      <w:pPr>
        <w:bidi/>
        <w:spacing w:after="60" w:line="240" w:lineRule="auto"/>
        <w:rPr>
          <w:rFonts w:ascii="Simplified Arabic" w:eastAsia="Arial" w:hAnsi="Simplified Arabic" w:cs="Simplified Arabic"/>
          <w:rtl/>
        </w:rPr>
      </w:pPr>
    </w:p>
    <w:p w14:paraId="5178A35B" w14:textId="77777777" w:rsidR="002D0DD5" w:rsidRPr="002D0DD5" w:rsidRDefault="002D0DD5" w:rsidP="002D0DD5">
      <w:pPr>
        <w:bidi/>
        <w:spacing w:after="60" w:line="240" w:lineRule="auto"/>
        <w:rPr>
          <w:rFonts w:ascii="Simplified Arabic" w:eastAsia="Arial" w:hAnsi="Simplified Arabic" w:cs="Simplified Arabic"/>
          <w:rtl/>
        </w:rPr>
      </w:pPr>
    </w:p>
    <w:p w14:paraId="1C1FBFF7" w14:textId="77777777" w:rsidR="002D0DD5" w:rsidRPr="002D0DD5" w:rsidRDefault="002D0DD5" w:rsidP="002D0DD5">
      <w:pPr>
        <w:bidi/>
        <w:spacing w:after="60" w:line="240" w:lineRule="auto"/>
        <w:rPr>
          <w:rFonts w:ascii="Simplified Arabic" w:eastAsia="Arial" w:hAnsi="Simplified Arabic" w:cs="Simplified Arabic"/>
          <w:bCs/>
        </w:rPr>
      </w:pPr>
      <w:r w:rsidRPr="002D0DD5">
        <w:rPr>
          <w:rFonts w:ascii="Simplified Arabic" w:eastAsia="Noto Naskh Arabic" w:hAnsi="Simplified Arabic" w:cs="Simplified Arabic"/>
          <w:bCs/>
          <w:color w:val="006699"/>
          <w:rtl/>
        </w:rPr>
        <w:t>أسئلة الأهلية والموافقة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2"/>
        <w:gridCol w:w="3582"/>
        <w:gridCol w:w="4036"/>
      </w:tblGrid>
      <w:tr w:rsidR="002D0DD5" w:rsidRPr="002D0DD5" w14:paraId="027F29E2" w14:textId="77777777" w:rsidTr="00911285">
        <w:trPr>
          <w:cantSplit/>
          <w:jc w:val="center"/>
        </w:trPr>
        <w:tc>
          <w:tcPr>
            <w:tcW w:w="794" w:type="dxa"/>
            <w:shd w:val="clear" w:color="auto" w:fill="D9D9D9"/>
            <w:tcMar>
              <w:top w:w="60" w:type="dxa"/>
              <w:left w:w="80" w:type="dxa"/>
              <w:bottom w:w="60" w:type="dxa"/>
              <w:right w:w="80" w:type="dxa"/>
            </w:tcMar>
            <w:vAlign w:val="center"/>
          </w:tcPr>
          <w:p w14:paraId="09141B6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color w:val="FF0000"/>
                <w:rtl/>
              </w:rPr>
              <w:t>الرمز</w:t>
            </w:r>
          </w:p>
        </w:tc>
        <w:tc>
          <w:tcPr>
            <w:tcW w:w="4422" w:type="dxa"/>
            <w:shd w:val="clear" w:color="auto" w:fill="D9D9D9"/>
            <w:tcMar>
              <w:top w:w="60" w:type="dxa"/>
              <w:left w:w="80" w:type="dxa"/>
              <w:bottom w:w="60" w:type="dxa"/>
              <w:right w:w="80" w:type="dxa"/>
            </w:tcMar>
            <w:vAlign w:val="center"/>
          </w:tcPr>
          <w:p w14:paraId="636C32D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color w:val="FF0000"/>
                <w:rtl/>
              </w:rPr>
              <w:t>السؤال</w:t>
            </w:r>
          </w:p>
        </w:tc>
        <w:tc>
          <w:tcPr>
            <w:tcW w:w="4989" w:type="dxa"/>
            <w:shd w:val="clear" w:color="auto" w:fill="D9D9D9"/>
            <w:tcMar>
              <w:top w:w="60" w:type="dxa"/>
              <w:left w:w="80" w:type="dxa"/>
              <w:bottom w:w="60" w:type="dxa"/>
              <w:right w:w="80" w:type="dxa"/>
            </w:tcMar>
            <w:vAlign w:val="center"/>
          </w:tcPr>
          <w:p w14:paraId="48E7DFB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color w:val="FF0000"/>
                <w:rtl/>
              </w:rPr>
              <w:t>الخيارات</w:t>
            </w:r>
          </w:p>
        </w:tc>
      </w:tr>
      <w:tr w:rsidR="002D0DD5" w:rsidRPr="002D0DD5" w14:paraId="1899F5D3" w14:textId="77777777" w:rsidTr="00911285">
        <w:trPr>
          <w:cantSplit/>
          <w:jc w:val="center"/>
        </w:trPr>
        <w:tc>
          <w:tcPr>
            <w:tcW w:w="794" w:type="dxa"/>
            <w:tcMar>
              <w:top w:w="60" w:type="dxa"/>
              <w:left w:w="80" w:type="dxa"/>
              <w:bottom w:w="60" w:type="dxa"/>
              <w:right w:w="80" w:type="dxa"/>
            </w:tcMar>
            <w:vAlign w:val="center"/>
          </w:tcPr>
          <w:p w14:paraId="63767CD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S1</w:t>
            </w:r>
          </w:p>
        </w:tc>
        <w:tc>
          <w:tcPr>
            <w:tcW w:w="4422" w:type="dxa"/>
            <w:tcMar>
              <w:top w:w="60" w:type="dxa"/>
              <w:left w:w="80" w:type="dxa"/>
              <w:bottom w:w="60" w:type="dxa"/>
              <w:right w:w="80" w:type="dxa"/>
            </w:tcMar>
            <w:vAlign w:val="center"/>
          </w:tcPr>
          <w:p w14:paraId="53A15293"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هل تعمل حاليًا في وكالة تسويق رقمي مرخَّصة عاملة في الرياض أو جدة أو الدمام؟</w:t>
            </w:r>
          </w:p>
        </w:tc>
        <w:tc>
          <w:tcPr>
            <w:tcW w:w="4989" w:type="dxa"/>
            <w:tcMar>
              <w:top w:w="60" w:type="dxa"/>
              <w:left w:w="80" w:type="dxa"/>
              <w:bottom w:w="60" w:type="dxa"/>
              <w:right w:w="80" w:type="dxa"/>
            </w:tcMar>
            <w:vAlign w:val="center"/>
          </w:tcPr>
          <w:p w14:paraId="6EE9C0E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نعم   </w:t>
            </w: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لا</w:t>
            </w:r>
          </w:p>
        </w:tc>
      </w:tr>
      <w:tr w:rsidR="002D0DD5" w:rsidRPr="002D0DD5" w14:paraId="0652DD92" w14:textId="77777777" w:rsidTr="00911285">
        <w:trPr>
          <w:cantSplit/>
          <w:jc w:val="center"/>
        </w:trPr>
        <w:tc>
          <w:tcPr>
            <w:tcW w:w="794" w:type="dxa"/>
            <w:tcMar>
              <w:top w:w="60" w:type="dxa"/>
              <w:left w:w="80" w:type="dxa"/>
              <w:bottom w:w="60" w:type="dxa"/>
              <w:right w:w="80" w:type="dxa"/>
            </w:tcMar>
            <w:vAlign w:val="center"/>
          </w:tcPr>
          <w:p w14:paraId="6578510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lastRenderedPageBreak/>
              <w:t>S2</w:t>
            </w:r>
          </w:p>
        </w:tc>
        <w:tc>
          <w:tcPr>
            <w:tcW w:w="4422" w:type="dxa"/>
            <w:tcMar>
              <w:top w:w="60" w:type="dxa"/>
              <w:left w:w="80" w:type="dxa"/>
              <w:bottom w:w="60" w:type="dxa"/>
              <w:right w:w="80" w:type="dxa"/>
            </w:tcMar>
            <w:vAlign w:val="center"/>
          </w:tcPr>
          <w:p w14:paraId="53C96E48"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هل يرتبط عملك بتخطيط الحملات التسويقية الرقمية أو تصميمها أو تنفيذها أو تحليل أدائها ضمن أحد الأدوار الوظيفية ذات الصلة؟</w:t>
            </w:r>
          </w:p>
        </w:tc>
        <w:tc>
          <w:tcPr>
            <w:tcW w:w="4989" w:type="dxa"/>
            <w:tcMar>
              <w:top w:w="60" w:type="dxa"/>
              <w:left w:w="80" w:type="dxa"/>
              <w:bottom w:w="60" w:type="dxa"/>
              <w:right w:w="80" w:type="dxa"/>
            </w:tcMar>
            <w:vAlign w:val="center"/>
          </w:tcPr>
          <w:p w14:paraId="719899D8"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نعم   </w:t>
            </w: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لا</w:t>
            </w:r>
          </w:p>
        </w:tc>
      </w:tr>
      <w:tr w:rsidR="002D0DD5" w:rsidRPr="002D0DD5" w14:paraId="723F4443" w14:textId="77777777" w:rsidTr="00911285">
        <w:trPr>
          <w:cantSplit/>
          <w:jc w:val="center"/>
        </w:trPr>
        <w:tc>
          <w:tcPr>
            <w:tcW w:w="794" w:type="dxa"/>
            <w:tcMar>
              <w:top w:w="60" w:type="dxa"/>
              <w:left w:w="80" w:type="dxa"/>
              <w:bottom w:w="60" w:type="dxa"/>
              <w:right w:w="80" w:type="dxa"/>
            </w:tcMar>
            <w:vAlign w:val="center"/>
          </w:tcPr>
          <w:p w14:paraId="340AE54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S3</w:t>
            </w:r>
          </w:p>
        </w:tc>
        <w:tc>
          <w:tcPr>
            <w:tcW w:w="4422" w:type="dxa"/>
            <w:tcMar>
              <w:top w:w="60" w:type="dxa"/>
              <w:left w:w="80" w:type="dxa"/>
              <w:bottom w:w="60" w:type="dxa"/>
              <w:right w:w="80" w:type="dxa"/>
            </w:tcMar>
            <w:vAlign w:val="center"/>
          </w:tcPr>
          <w:p w14:paraId="210BD52D"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هل استخدمت بصورة مباشرة وعملية أداة واحدة على الأقل من أدوات الذكاء الاصطناعي التوليدي في سياق العمل على الحملات التسويقية الرقمية خلال آخر 12 شهرًا، وبمعدل لا يقل عن مرة شهريًا؟</w:t>
            </w:r>
          </w:p>
        </w:tc>
        <w:tc>
          <w:tcPr>
            <w:tcW w:w="4989" w:type="dxa"/>
            <w:tcMar>
              <w:top w:w="60" w:type="dxa"/>
              <w:left w:w="80" w:type="dxa"/>
              <w:bottom w:w="60" w:type="dxa"/>
              <w:right w:w="80" w:type="dxa"/>
            </w:tcMar>
            <w:vAlign w:val="center"/>
          </w:tcPr>
          <w:p w14:paraId="5DFDF224"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نعم   </w:t>
            </w: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لا</w:t>
            </w:r>
          </w:p>
        </w:tc>
      </w:tr>
      <w:tr w:rsidR="002D0DD5" w:rsidRPr="002D0DD5" w14:paraId="4BD4CD80" w14:textId="77777777" w:rsidTr="00911285">
        <w:trPr>
          <w:cantSplit/>
          <w:jc w:val="center"/>
        </w:trPr>
        <w:tc>
          <w:tcPr>
            <w:tcW w:w="794" w:type="dxa"/>
            <w:tcMar>
              <w:top w:w="60" w:type="dxa"/>
              <w:left w:w="80" w:type="dxa"/>
              <w:bottom w:w="60" w:type="dxa"/>
              <w:right w:w="80" w:type="dxa"/>
            </w:tcMar>
            <w:vAlign w:val="center"/>
          </w:tcPr>
          <w:p w14:paraId="002AC1D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S4</w:t>
            </w:r>
          </w:p>
        </w:tc>
        <w:tc>
          <w:tcPr>
            <w:tcW w:w="4422" w:type="dxa"/>
            <w:tcMar>
              <w:top w:w="60" w:type="dxa"/>
              <w:left w:w="80" w:type="dxa"/>
              <w:bottom w:w="60" w:type="dxa"/>
              <w:right w:w="80" w:type="dxa"/>
            </w:tcMar>
            <w:vAlign w:val="center"/>
          </w:tcPr>
          <w:p w14:paraId="035B268E"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هل لديك خبرة مستمرة في الوكالة الحالية أو في مجال الحملات التسويقية الرقمية لمدة ستة أشهر فأكثر؟</w:t>
            </w:r>
          </w:p>
        </w:tc>
        <w:tc>
          <w:tcPr>
            <w:tcW w:w="4989" w:type="dxa"/>
            <w:tcMar>
              <w:top w:w="60" w:type="dxa"/>
              <w:left w:w="80" w:type="dxa"/>
              <w:bottom w:w="60" w:type="dxa"/>
              <w:right w:w="80" w:type="dxa"/>
            </w:tcMar>
            <w:vAlign w:val="center"/>
          </w:tcPr>
          <w:p w14:paraId="5AE2DA12"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نعم   </w:t>
            </w: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لا</w:t>
            </w:r>
          </w:p>
        </w:tc>
      </w:tr>
      <w:tr w:rsidR="002D0DD5" w:rsidRPr="002D0DD5" w14:paraId="3959EE22" w14:textId="77777777" w:rsidTr="00911285">
        <w:trPr>
          <w:cantSplit/>
          <w:jc w:val="center"/>
        </w:trPr>
        <w:tc>
          <w:tcPr>
            <w:tcW w:w="794" w:type="dxa"/>
            <w:tcMar>
              <w:top w:w="60" w:type="dxa"/>
              <w:left w:w="80" w:type="dxa"/>
              <w:bottom w:w="60" w:type="dxa"/>
              <w:right w:w="80" w:type="dxa"/>
            </w:tcMar>
            <w:vAlign w:val="center"/>
          </w:tcPr>
          <w:p w14:paraId="3DDC7CD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S5</w:t>
            </w:r>
          </w:p>
        </w:tc>
        <w:tc>
          <w:tcPr>
            <w:tcW w:w="4422" w:type="dxa"/>
            <w:tcMar>
              <w:top w:w="60" w:type="dxa"/>
              <w:left w:w="80" w:type="dxa"/>
              <w:bottom w:w="60" w:type="dxa"/>
              <w:right w:w="80" w:type="dxa"/>
            </w:tcMar>
            <w:vAlign w:val="center"/>
          </w:tcPr>
          <w:p w14:paraId="4EAE4009"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هل توافق طوعًا على المشاركة في هذه الدراسة بعد الاطلاع على معلومات المشاركة والموافقة المستنيرة؟</w:t>
            </w:r>
          </w:p>
        </w:tc>
        <w:tc>
          <w:tcPr>
            <w:tcW w:w="4989" w:type="dxa"/>
            <w:tcMar>
              <w:top w:w="60" w:type="dxa"/>
              <w:left w:w="80" w:type="dxa"/>
              <w:bottom w:w="60" w:type="dxa"/>
              <w:right w:w="80" w:type="dxa"/>
            </w:tcMar>
            <w:vAlign w:val="center"/>
          </w:tcPr>
          <w:p w14:paraId="0DDB83BF"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نعم   </w:t>
            </w:r>
            <w:r w:rsidRPr="002D0DD5">
              <w:rPr>
                <w:rFonts w:ascii="Times New Roman" w:eastAsia="Noto Naskh Arabic" w:hAnsi="Times New Roman" w:cs="Times New Roman"/>
                <w:color w:val="FF0000"/>
                <w:rtl/>
              </w:rPr>
              <w:t>□</w:t>
            </w:r>
            <w:r w:rsidRPr="002D0DD5">
              <w:rPr>
                <w:rFonts w:ascii="Simplified Arabic" w:eastAsia="Noto Naskh Arabic" w:hAnsi="Simplified Arabic" w:cs="Simplified Arabic"/>
                <w:color w:val="FF0000"/>
                <w:rtl/>
              </w:rPr>
              <w:t xml:space="preserve"> لا</w:t>
            </w:r>
          </w:p>
        </w:tc>
      </w:tr>
    </w:tbl>
    <w:p w14:paraId="4A116D96" w14:textId="77777777" w:rsidR="002D0DD5" w:rsidRPr="002D0DD5" w:rsidRDefault="002D0DD5" w:rsidP="002D0DD5">
      <w:pPr>
        <w:bidi/>
        <w:spacing w:after="40" w:line="240" w:lineRule="auto"/>
        <w:jc w:val="right"/>
        <w:rPr>
          <w:rFonts w:ascii="Simplified Arabic" w:eastAsia="Arial" w:hAnsi="Simplified Arabic" w:cs="Simplified Arabic"/>
        </w:rPr>
      </w:pPr>
    </w:p>
    <w:p w14:paraId="19A5E82A"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b/>
          <w:color w:val="FF0000"/>
          <w:rtl/>
        </w:rPr>
        <w:t>ملاحظة: في حال كانت الإجابة بـ «لا» عن أي من الأسئلة S1 إلى S5، تُنهى المشاركة تلقائيًا ولا ينتقل المشارك إلى بقية أقسام الاستبانة.</w:t>
      </w:r>
    </w:p>
    <w:p w14:paraId="0CC8507A" w14:textId="77777777" w:rsidR="002D0DD5" w:rsidRPr="002D0DD5" w:rsidRDefault="002D0DD5" w:rsidP="002D0DD5">
      <w:pPr>
        <w:bidi/>
        <w:spacing w:after="40" w:line="240" w:lineRule="auto"/>
        <w:jc w:val="right"/>
        <w:rPr>
          <w:rFonts w:ascii="Simplified Arabic" w:eastAsia="Arial" w:hAnsi="Simplified Arabic" w:cs="Simplified Arabic"/>
        </w:rPr>
      </w:pPr>
    </w:p>
    <w:p w14:paraId="7BC41B27" w14:textId="77777777" w:rsidR="002D0DD5" w:rsidRPr="002D0DD5" w:rsidRDefault="002D0DD5" w:rsidP="002D0DD5">
      <w:pPr>
        <w:keepNext/>
        <w:bidi/>
        <w:spacing w:after="120" w:line="240" w:lineRule="auto"/>
        <w:rPr>
          <w:rFonts w:ascii="Simplified Arabic" w:eastAsia="Arial" w:hAnsi="Simplified Arabic" w:cs="Simplified Arabic"/>
          <w:bCs/>
        </w:rPr>
      </w:pPr>
      <w:r w:rsidRPr="002D0DD5">
        <w:rPr>
          <w:rFonts w:ascii="Simplified Arabic" w:eastAsia="Noto Naskh Arabic" w:hAnsi="Simplified Arabic" w:cs="Simplified Arabic"/>
          <w:bCs/>
          <w:color w:val="006699"/>
          <w:rtl/>
        </w:rPr>
        <w:t>محاور الاستبانة الموضوعية</w:t>
      </w:r>
    </w:p>
    <w:p w14:paraId="2D52A845"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color w:val="FF0000"/>
          <w:rtl/>
        </w:rPr>
        <w:t>يرجى تحديد درجة موافقتك على كل عبارة من العبارات الآتية وفق مقياس ليكرت الخماسي، واستند في إجاباتك إلى خبرتك المباشرة وملاحظتك الفعلية لممارسات الوكالة ضمن نطاق عملك خلال آخر 12 شهرًا، دون الحكم على جوانب لا تطلع عليها بحكم دورك الوظيفي: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5700"/>
      </w:tblGrid>
      <w:tr w:rsidR="002D0DD5" w:rsidRPr="002D0DD5" w14:paraId="48B3E4C7" w14:textId="77777777" w:rsidTr="00911285">
        <w:trPr>
          <w:jc w:val="center"/>
        </w:trPr>
        <w:tc>
          <w:tcPr>
            <w:tcW w:w="1417" w:type="dxa"/>
            <w:shd w:val="clear" w:color="auto" w:fill="D9D9D9"/>
            <w:tcMar>
              <w:top w:w="60" w:type="dxa"/>
              <w:left w:w="80" w:type="dxa"/>
              <w:bottom w:w="60" w:type="dxa"/>
              <w:right w:w="80" w:type="dxa"/>
            </w:tcMar>
            <w:vAlign w:val="center"/>
          </w:tcPr>
          <w:p w14:paraId="570E37B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الدرجة</w:t>
            </w:r>
          </w:p>
        </w:tc>
        <w:tc>
          <w:tcPr>
            <w:tcW w:w="3118" w:type="dxa"/>
            <w:shd w:val="clear" w:color="auto" w:fill="D9D9D9"/>
            <w:tcMar>
              <w:top w:w="60" w:type="dxa"/>
              <w:left w:w="80" w:type="dxa"/>
              <w:bottom w:w="60" w:type="dxa"/>
              <w:right w:w="80" w:type="dxa"/>
            </w:tcMar>
            <w:vAlign w:val="center"/>
          </w:tcPr>
          <w:p w14:paraId="577BF00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مستوى الموافقة</w:t>
            </w:r>
          </w:p>
        </w:tc>
      </w:tr>
      <w:tr w:rsidR="002D0DD5" w:rsidRPr="002D0DD5" w14:paraId="769CD548" w14:textId="77777777" w:rsidTr="00911285">
        <w:trPr>
          <w:jc w:val="center"/>
        </w:trPr>
        <w:tc>
          <w:tcPr>
            <w:tcW w:w="1417" w:type="dxa"/>
            <w:tcMar>
              <w:top w:w="60" w:type="dxa"/>
              <w:left w:w="80" w:type="dxa"/>
              <w:bottom w:w="60" w:type="dxa"/>
              <w:right w:w="80" w:type="dxa"/>
            </w:tcMar>
            <w:vAlign w:val="center"/>
          </w:tcPr>
          <w:p w14:paraId="385C94E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1</w:t>
            </w:r>
          </w:p>
        </w:tc>
        <w:tc>
          <w:tcPr>
            <w:tcW w:w="3118" w:type="dxa"/>
            <w:tcMar>
              <w:top w:w="60" w:type="dxa"/>
              <w:left w:w="80" w:type="dxa"/>
              <w:bottom w:w="60" w:type="dxa"/>
              <w:right w:w="80" w:type="dxa"/>
            </w:tcMar>
            <w:vAlign w:val="center"/>
          </w:tcPr>
          <w:p w14:paraId="52C8A63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غير موافق بشدة</w:t>
            </w:r>
          </w:p>
        </w:tc>
      </w:tr>
      <w:tr w:rsidR="002D0DD5" w:rsidRPr="002D0DD5" w14:paraId="08DCD184" w14:textId="77777777" w:rsidTr="00911285">
        <w:trPr>
          <w:jc w:val="center"/>
        </w:trPr>
        <w:tc>
          <w:tcPr>
            <w:tcW w:w="1417" w:type="dxa"/>
            <w:tcMar>
              <w:top w:w="60" w:type="dxa"/>
              <w:left w:w="80" w:type="dxa"/>
              <w:bottom w:w="60" w:type="dxa"/>
              <w:right w:w="80" w:type="dxa"/>
            </w:tcMar>
            <w:vAlign w:val="center"/>
          </w:tcPr>
          <w:p w14:paraId="79AF146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2</w:t>
            </w:r>
          </w:p>
        </w:tc>
        <w:tc>
          <w:tcPr>
            <w:tcW w:w="3118" w:type="dxa"/>
            <w:tcMar>
              <w:top w:w="60" w:type="dxa"/>
              <w:left w:w="80" w:type="dxa"/>
              <w:bottom w:w="60" w:type="dxa"/>
              <w:right w:w="80" w:type="dxa"/>
            </w:tcMar>
            <w:vAlign w:val="center"/>
          </w:tcPr>
          <w:p w14:paraId="4CAFA1B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غير موافق</w:t>
            </w:r>
          </w:p>
        </w:tc>
      </w:tr>
      <w:tr w:rsidR="002D0DD5" w:rsidRPr="002D0DD5" w14:paraId="7C97D760" w14:textId="77777777" w:rsidTr="00911285">
        <w:trPr>
          <w:jc w:val="center"/>
        </w:trPr>
        <w:tc>
          <w:tcPr>
            <w:tcW w:w="1417" w:type="dxa"/>
            <w:tcMar>
              <w:top w:w="60" w:type="dxa"/>
              <w:left w:w="80" w:type="dxa"/>
              <w:bottom w:w="60" w:type="dxa"/>
              <w:right w:w="80" w:type="dxa"/>
            </w:tcMar>
            <w:vAlign w:val="center"/>
          </w:tcPr>
          <w:p w14:paraId="1A5E601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3</w:t>
            </w:r>
          </w:p>
        </w:tc>
        <w:tc>
          <w:tcPr>
            <w:tcW w:w="3118" w:type="dxa"/>
            <w:tcMar>
              <w:top w:w="60" w:type="dxa"/>
              <w:left w:w="80" w:type="dxa"/>
              <w:bottom w:w="60" w:type="dxa"/>
              <w:right w:w="80" w:type="dxa"/>
            </w:tcMar>
            <w:vAlign w:val="center"/>
          </w:tcPr>
          <w:p w14:paraId="319A03F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محايد</w:t>
            </w:r>
          </w:p>
        </w:tc>
      </w:tr>
      <w:tr w:rsidR="002D0DD5" w:rsidRPr="002D0DD5" w14:paraId="1FE34819" w14:textId="77777777" w:rsidTr="00911285">
        <w:trPr>
          <w:jc w:val="center"/>
        </w:trPr>
        <w:tc>
          <w:tcPr>
            <w:tcW w:w="1417" w:type="dxa"/>
            <w:tcMar>
              <w:top w:w="60" w:type="dxa"/>
              <w:left w:w="80" w:type="dxa"/>
              <w:bottom w:w="60" w:type="dxa"/>
              <w:right w:w="80" w:type="dxa"/>
            </w:tcMar>
            <w:vAlign w:val="center"/>
          </w:tcPr>
          <w:p w14:paraId="682E6F3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4</w:t>
            </w:r>
          </w:p>
        </w:tc>
        <w:tc>
          <w:tcPr>
            <w:tcW w:w="3118" w:type="dxa"/>
            <w:tcMar>
              <w:top w:w="60" w:type="dxa"/>
              <w:left w:w="80" w:type="dxa"/>
              <w:bottom w:w="60" w:type="dxa"/>
              <w:right w:w="80" w:type="dxa"/>
            </w:tcMar>
            <w:vAlign w:val="center"/>
          </w:tcPr>
          <w:p w14:paraId="586E709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موافق</w:t>
            </w:r>
          </w:p>
        </w:tc>
      </w:tr>
      <w:tr w:rsidR="002D0DD5" w:rsidRPr="002D0DD5" w14:paraId="421E7590" w14:textId="77777777" w:rsidTr="00911285">
        <w:trPr>
          <w:jc w:val="center"/>
        </w:trPr>
        <w:tc>
          <w:tcPr>
            <w:tcW w:w="1417" w:type="dxa"/>
            <w:tcMar>
              <w:top w:w="60" w:type="dxa"/>
              <w:left w:w="80" w:type="dxa"/>
              <w:bottom w:w="60" w:type="dxa"/>
              <w:right w:w="80" w:type="dxa"/>
            </w:tcMar>
            <w:vAlign w:val="center"/>
          </w:tcPr>
          <w:p w14:paraId="6D51B3B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5</w:t>
            </w:r>
          </w:p>
        </w:tc>
        <w:tc>
          <w:tcPr>
            <w:tcW w:w="3118" w:type="dxa"/>
            <w:tcMar>
              <w:top w:w="60" w:type="dxa"/>
              <w:left w:w="80" w:type="dxa"/>
              <w:bottom w:w="60" w:type="dxa"/>
              <w:right w:w="80" w:type="dxa"/>
            </w:tcMar>
            <w:vAlign w:val="center"/>
          </w:tcPr>
          <w:p w14:paraId="7269062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موافق بشدة</w:t>
            </w:r>
          </w:p>
        </w:tc>
      </w:tr>
    </w:tbl>
    <w:p w14:paraId="2590FC57" w14:textId="77777777" w:rsidR="002D0DD5" w:rsidRPr="002D0DD5" w:rsidRDefault="002D0DD5" w:rsidP="002D0DD5">
      <w:pPr>
        <w:bidi/>
        <w:spacing w:after="40" w:line="240" w:lineRule="auto"/>
        <w:jc w:val="right"/>
        <w:rPr>
          <w:rFonts w:ascii="Simplified Arabic" w:eastAsia="Arial" w:hAnsi="Simplified Arabic" w:cs="Simplified Arabic"/>
        </w:rPr>
      </w:pPr>
    </w:p>
    <w:p w14:paraId="462D6614" w14:textId="77777777" w:rsidR="002D0DD5" w:rsidRPr="002D0DD5" w:rsidRDefault="002D0DD5" w:rsidP="002D0DD5">
      <w:pPr>
        <w:keepNext/>
        <w:bidi/>
        <w:spacing w:after="100" w:line="240" w:lineRule="auto"/>
        <w:jc w:val="right"/>
        <w:rPr>
          <w:rFonts w:ascii="Simplified Arabic" w:eastAsia="Noto Naskh Arabic" w:hAnsi="Simplified Arabic" w:cs="Simplified Arabic"/>
          <w:b/>
          <w:color w:val="000000"/>
          <w:rtl/>
        </w:rPr>
      </w:pPr>
    </w:p>
    <w:p w14:paraId="56B1EA40" w14:textId="77777777" w:rsidR="002D0DD5" w:rsidRPr="002D0DD5" w:rsidRDefault="002D0DD5" w:rsidP="002D0DD5">
      <w:pPr>
        <w:keepNext/>
        <w:bidi/>
        <w:spacing w:after="100" w:line="240" w:lineRule="auto"/>
        <w:rPr>
          <w:rFonts w:ascii="Simplified Arabic" w:eastAsia="Arial" w:hAnsi="Simplified Arabic" w:cs="Simplified Arabic"/>
          <w:bCs/>
        </w:rPr>
      </w:pPr>
      <w:r w:rsidRPr="002D0DD5">
        <w:rPr>
          <w:rFonts w:ascii="Simplified Arabic" w:eastAsia="Noto Naskh Arabic" w:hAnsi="Simplified Arabic" w:cs="Simplified Arabic"/>
          <w:bCs/>
          <w:color w:val="000000"/>
          <w:rtl/>
        </w:rPr>
        <w:t>المحور: توظيف تقنيات الذكاء الاصطناعي التوليدي في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2D0DD5" w:rsidRPr="002D0DD5" w14:paraId="1E6EDE33" w14:textId="77777777" w:rsidTr="00911285">
        <w:trPr>
          <w:jc w:val="center"/>
        </w:trPr>
        <w:tc>
          <w:tcPr>
            <w:tcW w:w="850" w:type="dxa"/>
            <w:shd w:val="clear" w:color="auto" w:fill="D9D9D9"/>
            <w:tcMar>
              <w:top w:w="60" w:type="dxa"/>
              <w:left w:w="80" w:type="dxa"/>
              <w:bottom w:w="60" w:type="dxa"/>
              <w:right w:w="80" w:type="dxa"/>
            </w:tcMar>
            <w:vAlign w:val="center"/>
          </w:tcPr>
          <w:p w14:paraId="0274830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4AD44F7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4DF9FFA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AD1453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195A2F5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33D80CC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27004A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5</w:t>
            </w:r>
          </w:p>
        </w:tc>
      </w:tr>
      <w:tr w:rsidR="002D0DD5" w:rsidRPr="002D0DD5" w14:paraId="7573A6D3" w14:textId="77777777" w:rsidTr="00911285">
        <w:trPr>
          <w:jc w:val="center"/>
        </w:trPr>
        <w:tc>
          <w:tcPr>
            <w:tcW w:w="850" w:type="dxa"/>
            <w:tcMar>
              <w:top w:w="60" w:type="dxa"/>
              <w:left w:w="80" w:type="dxa"/>
              <w:bottom w:w="60" w:type="dxa"/>
              <w:right w:w="80" w:type="dxa"/>
            </w:tcMar>
            <w:vAlign w:val="center"/>
          </w:tcPr>
          <w:p w14:paraId="1E4EFD1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lastRenderedPageBreak/>
              <w:t>GAIU1</w:t>
            </w:r>
          </w:p>
        </w:tc>
        <w:tc>
          <w:tcPr>
            <w:tcW w:w="6520" w:type="dxa"/>
            <w:tcMar>
              <w:top w:w="60" w:type="dxa"/>
              <w:left w:w="80" w:type="dxa"/>
              <w:bottom w:w="60" w:type="dxa"/>
              <w:right w:w="80" w:type="dxa"/>
            </w:tcMar>
            <w:vAlign w:val="center"/>
          </w:tcPr>
          <w:p w14:paraId="5750D697"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53453A4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1D9339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49E2A5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2CAFB5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018E0C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269FDAC4" w14:textId="77777777" w:rsidTr="00911285">
        <w:trPr>
          <w:jc w:val="center"/>
        </w:trPr>
        <w:tc>
          <w:tcPr>
            <w:tcW w:w="850" w:type="dxa"/>
            <w:tcMar>
              <w:top w:w="60" w:type="dxa"/>
              <w:left w:w="80" w:type="dxa"/>
              <w:bottom w:w="60" w:type="dxa"/>
              <w:right w:w="80" w:type="dxa"/>
            </w:tcMar>
            <w:vAlign w:val="center"/>
          </w:tcPr>
          <w:p w14:paraId="70D3F4D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GAIU2</w:t>
            </w:r>
          </w:p>
        </w:tc>
        <w:tc>
          <w:tcPr>
            <w:tcW w:w="6520" w:type="dxa"/>
            <w:tcMar>
              <w:top w:w="60" w:type="dxa"/>
              <w:left w:w="80" w:type="dxa"/>
              <w:bottom w:w="60" w:type="dxa"/>
              <w:right w:w="80" w:type="dxa"/>
            </w:tcMar>
            <w:vAlign w:val="center"/>
          </w:tcPr>
          <w:p w14:paraId="0E65F18C"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77F035F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5522D3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C9DD96B"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EAAC5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8649B1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0D4C659" w14:textId="77777777" w:rsidTr="00911285">
        <w:trPr>
          <w:jc w:val="center"/>
        </w:trPr>
        <w:tc>
          <w:tcPr>
            <w:tcW w:w="850" w:type="dxa"/>
            <w:tcMar>
              <w:top w:w="60" w:type="dxa"/>
              <w:left w:w="80" w:type="dxa"/>
              <w:bottom w:w="60" w:type="dxa"/>
              <w:right w:w="80" w:type="dxa"/>
            </w:tcMar>
            <w:vAlign w:val="center"/>
          </w:tcPr>
          <w:p w14:paraId="5D98574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GAIU3</w:t>
            </w:r>
          </w:p>
        </w:tc>
        <w:tc>
          <w:tcPr>
            <w:tcW w:w="6520" w:type="dxa"/>
            <w:tcMar>
              <w:top w:w="60" w:type="dxa"/>
              <w:left w:w="80" w:type="dxa"/>
              <w:bottom w:w="60" w:type="dxa"/>
              <w:right w:w="80" w:type="dxa"/>
            </w:tcMar>
            <w:vAlign w:val="center"/>
          </w:tcPr>
          <w:p w14:paraId="385878D0"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51F846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526354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5D7064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51822E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9FF43B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35E79B75" w14:textId="77777777" w:rsidTr="00911285">
        <w:trPr>
          <w:jc w:val="center"/>
        </w:trPr>
        <w:tc>
          <w:tcPr>
            <w:tcW w:w="850" w:type="dxa"/>
            <w:tcMar>
              <w:top w:w="60" w:type="dxa"/>
              <w:left w:w="80" w:type="dxa"/>
              <w:bottom w:w="60" w:type="dxa"/>
              <w:right w:w="80" w:type="dxa"/>
            </w:tcMar>
            <w:vAlign w:val="center"/>
          </w:tcPr>
          <w:p w14:paraId="2DCA378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GAIU4</w:t>
            </w:r>
          </w:p>
        </w:tc>
        <w:tc>
          <w:tcPr>
            <w:tcW w:w="6520" w:type="dxa"/>
            <w:tcMar>
              <w:top w:w="60" w:type="dxa"/>
              <w:left w:w="80" w:type="dxa"/>
              <w:bottom w:w="60" w:type="dxa"/>
              <w:right w:w="80" w:type="dxa"/>
            </w:tcMar>
            <w:vAlign w:val="center"/>
          </w:tcPr>
          <w:p w14:paraId="41BFE40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799B685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9FE80E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3A34F9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B32415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2021B8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26C90D8" w14:textId="77777777" w:rsidTr="00911285">
        <w:trPr>
          <w:jc w:val="center"/>
        </w:trPr>
        <w:tc>
          <w:tcPr>
            <w:tcW w:w="850" w:type="dxa"/>
            <w:tcMar>
              <w:top w:w="60" w:type="dxa"/>
              <w:left w:w="80" w:type="dxa"/>
              <w:bottom w:w="60" w:type="dxa"/>
              <w:right w:w="80" w:type="dxa"/>
            </w:tcMar>
            <w:vAlign w:val="center"/>
          </w:tcPr>
          <w:p w14:paraId="1143A9E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GAIU5</w:t>
            </w:r>
          </w:p>
        </w:tc>
        <w:tc>
          <w:tcPr>
            <w:tcW w:w="6520" w:type="dxa"/>
            <w:tcMar>
              <w:top w:w="60" w:type="dxa"/>
              <w:left w:w="80" w:type="dxa"/>
              <w:bottom w:w="60" w:type="dxa"/>
              <w:right w:w="80" w:type="dxa"/>
            </w:tcMar>
            <w:vAlign w:val="center"/>
          </w:tcPr>
          <w:p w14:paraId="6BDABB71"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4155CFCB"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4116E6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BC4F5C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E14B78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BD12B0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3C816E6E" w14:textId="77777777" w:rsidTr="00911285">
        <w:trPr>
          <w:jc w:val="center"/>
        </w:trPr>
        <w:tc>
          <w:tcPr>
            <w:tcW w:w="850" w:type="dxa"/>
            <w:tcMar>
              <w:top w:w="60" w:type="dxa"/>
              <w:left w:w="80" w:type="dxa"/>
              <w:bottom w:w="60" w:type="dxa"/>
              <w:right w:w="80" w:type="dxa"/>
            </w:tcMar>
            <w:vAlign w:val="center"/>
          </w:tcPr>
          <w:p w14:paraId="49FD9E7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AC1</w:t>
            </w:r>
          </w:p>
        </w:tc>
        <w:tc>
          <w:tcPr>
            <w:tcW w:w="6520" w:type="dxa"/>
            <w:tcMar>
              <w:top w:w="60" w:type="dxa"/>
              <w:left w:w="80" w:type="dxa"/>
              <w:bottom w:w="60" w:type="dxa"/>
              <w:right w:w="80" w:type="dxa"/>
            </w:tcMar>
            <w:vAlign w:val="center"/>
          </w:tcPr>
          <w:p w14:paraId="21B5EA2B"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لأغراض التحقق من جودة الاستجابة، يرجى اختيار «موافق» لهذه العبارة.</w:t>
            </w:r>
          </w:p>
        </w:tc>
        <w:tc>
          <w:tcPr>
            <w:tcW w:w="567" w:type="dxa"/>
            <w:tcMar>
              <w:top w:w="60" w:type="dxa"/>
              <w:left w:w="80" w:type="dxa"/>
              <w:bottom w:w="60" w:type="dxa"/>
              <w:right w:w="80" w:type="dxa"/>
            </w:tcMar>
            <w:vAlign w:val="center"/>
          </w:tcPr>
          <w:p w14:paraId="5AE5356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263EC30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50CDB59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7EBD5DD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41C4F89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r>
      <w:tr w:rsidR="002D0DD5" w:rsidRPr="002D0DD5" w14:paraId="2A1A9401" w14:textId="77777777" w:rsidTr="00911285">
        <w:trPr>
          <w:jc w:val="center"/>
        </w:trPr>
        <w:tc>
          <w:tcPr>
            <w:tcW w:w="850" w:type="dxa"/>
            <w:tcMar>
              <w:top w:w="60" w:type="dxa"/>
              <w:left w:w="80" w:type="dxa"/>
              <w:bottom w:w="60" w:type="dxa"/>
              <w:right w:w="80" w:type="dxa"/>
            </w:tcMar>
            <w:vAlign w:val="center"/>
          </w:tcPr>
          <w:p w14:paraId="4C7646E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GAIU6</w:t>
            </w:r>
          </w:p>
        </w:tc>
        <w:tc>
          <w:tcPr>
            <w:tcW w:w="6520" w:type="dxa"/>
            <w:tcMar>
              <w:top w:w="60" w:type="dxa"/>
              <w:left w:w="80" w:type="dxa"/>
              <w:bottom w:w="60" w:type="dxa"/>
              <w:right w:w="80" w:type="dxa"/>
            </w:tcMar>
            <w:vAlign w:val="center"/>
          </w:tcPr>
          <w:p w14:paraId="708BF18C"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43BE86F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F4B81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EB0FD1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6E9B10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E38F4F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651F23F" w14:textId="77777777" w:rsidTr="00911285">
        <w:trPr>
          <w:jc w:val="center"/>
        </w:trPr>
        <w:tc>
          <w:tcPr>
            <w:tcW w:w="850" w:type="dxa"/>
            <w:tcMar>
              <w:top w:w="60" w:type="dxa"/>
              <w:left w:w="80" w:type="dxa"/>
              <w:bottom w:w="60" w:type="dxa"/>
              <w:right w:w="80" w:type="dxa"/>
            </w:tcMar>
            <w:vAlign w:val="center"/>
          </w:tcPr>
          <w:p w14:paraId="58ACAFE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GAIU7</w:t>
            </w:r>
          </w:p>
        </w:tc>
        <w:tc>
          <w:tcPr>
            <w:tcW w:w="6520" w:type="dxa"/>
            <w:tcMar>
              <w:top w:w="60" w:type="dxa"/>
              <w:left w:w="80" w:type="dxa"/>
              <w:bottom w:w="60" w:type="dxa"/>
              <w:right w:w="80" w:type="dxa"/>
            </w:tcMar>
            <w:vAlign w:val="center"/>
          </w:tcPr>
          <w:p w14:paraId="73E4D39B"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2C96E55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3E8C9D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4932BE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D07C94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EC1A7D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47CF1691" w14:textId="77777777" w:rsidTr="00911285">
        <w:trPr>
          <w:jc w:val="center"/>
        </w:trPr>
        <w:tc>
          <w:tcPr>
            <w:tcW w:w="850" w:type="dxa"/>
            <w:tcMar>
              <w:top w:w="60" w:type="dxa"/>
              <w:left w:w="80" w:type="dxa"/>
              <w:bottom w:w="60" w:type="dxa"/>
              <w:right w:w="80" w:type="dxa"/>
            </w:tcMar>
            <w:vAlign w:val="center"/>
          </w:tcPr>
          <w:p w14:paraId="40C74BB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GAIU8</w:t>
            </w:r>
          </w:p>
        </w:tc>
        <w:tc>
          <w:tcPr>
            <w:tcW w:w="6520" w:type="dxa"/>
            <w:tcMar>
              <w:top w:w="60" w:type="dxa"/>
              <w:left w:w="80" w:type="dxa"/>
              <w:bottom w:w="60" w:type="dxa"/>
              <w:right w:w="80" w:type="dxa"/>
            </w:tcMar>
            <w:vAlign w:val="center"/>
          </w:tcPr>
          <w:p w14:paraId="38B10DB1"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7B67011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9A1954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6E8175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0D3281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FB5AD8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5CCBC58A" w14:textId="77777777" w:rsidTr="00911285">
        <w:trPr>
          <w:jc w:val="center"/>
        </w:trPr>
        <w:tc>
          <w:tcPr>
            <w:tcW w:w="850" w:type="dxa"/>
            <w:tcMar>
              <w:top w:w="60" w:type="dxa"/>
              <w:left w:w="80" w:type="dxa"/>
              <w:bottom w:w="60" w:type="dxa"/>
              <w:right w:w="80" w:type="dxa"/>
            </w:tcMar>
            <w:vAlign w:val="center"/>
          </w:tcPr>
          <w:p w14:paraId="6EA1A28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GAIU9</w:t>
            </w:r>
          </w:p>
        </w:tc>
        <w:tc>
          <w:tcPr>
            <w:tcW w:w="6520" w:type="dxa"/>
            <w:tcMar>
              <w:top w:w="60" w:type="dxa"/>
              <w:left w:w="80" w:type="dxa"/>
              <w:bottom w:w="60" w:type="dxa"/>
              <w:right w:w="80" w:type="dxa"/>
            </w:tcMar>
            <w:vAlign w:val="center"/>
          </w:tcPr>
          <w:p w14:paraId="49E5C7F3"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0F348F1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E63439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124116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FBD774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295182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836C972" w14:textId="77777777" w:rsidTr="00911285">
        <w:trPr>
          <w:jc w:val="center"/>
        </w:trPr>
        <w:tc>
          <w:tcPr>
            <w:tcW w:w="850" w:type="dxa"/>
            <w:tcMar>
              <w:top w:w="60" w:type="dxa"/>
              <w:left w:w="80" w:type="dxa"/>
              <w:bottom w:w="60" w:type="dxa"/>
              <w:right w:w="80" w:type="dxa"/>
            </w:tcMar>
            <w:vAlign w:val="center"/>
          </w:tcPr>
          <w:p w14:paraId="10661C4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GAIU10</w:t>
            </w:r>
          </w:p>
        </w:tc>
        <w:tc>
          <w:tcPr>
            <w:tcW w:w="6520" w:type="dxa"/>
            <w:tcMar>
              <w:top w:w="60" w:type="dxa"/>
              <w:left w:w="80" w:type="dxa"/>
              <w:bottom w:w="60" w:type="dxa"/>
              <w:right w:w="80" w:type="dxa"/>
            </w:tcMar>
            <w:vAlign w:val="center"/>
          </w:tcPr>
          <w:p w14:paraId="38575470"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094F309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E07096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EFFE53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A096F6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703CF5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bl>
    <w:p w14:paraId="68DB1020" w14:textId="77777777" w:rsidR="002D0DD5" w:rsidRPr="002D0DD5" w:rsidRDefault="002D0DD5" w:rsidP="002D0DD5">
      <w:pPr>
        <w:bidi/>
        <w:spacing w:after="40" w:line="240" w:lineRule="auto"/>
        <w:jc w:val="right"/>
        <w:rPr>
          <w:rFonts w:ascii="Simplified Arabic" w:eastAsia="Arial" w:hAnsi="Simplified Arabic" w:cs="Simplified Arabic"/>
        </w:rPr>
      </w:pPr>
    </w:p>
    <w:p w14:paraId="37068340" w14:textId="77777777" w:rsidR="002D0DD5" w:rsidRPr="002D0DD5" w:rsidRDefault="002D0DD5" w:rsidP="002D0DD5">
      <w:pPr>
        <w:keepNext/>
        <w:bidi/>
        <w:spacing w:after="100" w:line="240" w:lineRule="auto"/>
        <w:rPr>
          <w:rFonts w:ascii="Simplified Arabic" w:eastAsia="Noto Naskh Arabic" w:hAnsi="Simplified Arabic" w:cs="Simplified Arabic"/>
          <w:bCs/>
          <w:color w:val="000000"/>
        </w:rPr>
      </w:pPr>
      <w:r w:rsidRPr="002D0DD5">
        <w:rPr>
          <w:rFonts w:ascii="Simplified Arabic" w:eastAsia="Noto Naskh Arabic" w:hAnsi="Simplified Arabic" w:cs="Simplified Arabic"/>
          <w:bCs/>
          <w:color w:val="000000"/>
          <w:rtl/>
        </w:rPr>
        <w:t>المحور: جودة عملية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2D0DD5" w:rsidRPr="002D0DD5" w14:paraId="1AE80AD9" w14:textId="77777777" w:rsidTr="00911285">
        <w:trPr>
          <w:jc w:val="center"/>
        </w:trPr>
        <w:tc>
          <w:tcPr>
            <w:tcW w:w="850" w:type="dxa"/>
            <w:shd w:val="clear" w:color="auto" w:fill="D9D9D9"/>
            <w:tcMar>
              <w:top w:w="60" w:type="dxa"/>
              <w:left w:w="80" w:type="dxa"/>
              <w:bottom w:w="60" w:type="dxa"/>
              <w:right w:w="80" w:type="dxa"/>
            </w:tcMar>
            <w:vAlign w:val="center"/>
          </w:tcPr>
          <w:p w14:paraId="0FE6101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0804BE3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3901243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7BD7E1B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23FC2EF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CA24D7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198192C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5</w:t>
            </w:r>
          </w:p>
        </w:tc>
      </w:tr>
      <w:tr w:rsidR="002D0DD5" w:rsidRPr="002D0DD5" w14:paraId="19A44A2D" w14:textId="77777777" w:rsidTr="00911285">
        <w:trPr>
          <w:jc w:val="center"/>
        </w:trPr>
        <w:tc>
          <w:tcPr>
            <w:tcW w:w="850" w:type="dxa"/>
            <w:tcMar>
              <w:top w:w="60" w:type="dxa"/>
              <w:left w:w="80" w:type="dxa"/>
              <w:bottom w:w="60" w:type="dxa"/>
              <w:right w:w="80" w:type="dxa"/>
            </w:tcMar>
            <w:vAlign w:val="center"/>
          </w:tcPr>
          <w:p w14:paraId="52F4EFA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CDQ1</w:t>
            </w:r>
          </w:p>
        </w:tc>
        <w:tc>
          <w:tcPr>
            <w:tcW w:w="6520" w:type="dxa"/>
            <w:tcMar>
              <w:top w:w="60" w:type="dxa"/>
              <w:left w:w="80" w:type="dxa"/>
              <w:bottom w:w="60" w:type="dxa"/>
              <w:right w:w="80" w:type="dxa"/>
            </w:tcMar>
            <w:vAlign w:val="center"/>
          </w:tcPr>
          <w:p w14:paraId="199B1584"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يسهم توظيف الذكاء الاصطناعي التوليدي في تقليص الزمن اللازم للانتقال من موجز العميل إلى التصورات الأولية للحملة.</w:t>
            </w:r>
          </w:p>
        </w:tc>
        <w:tc>
          <w:tcPr>
            <w:tcW w:w="567" w:type="dxa"/>
            <w:tcMar>
              <w:top w:w="60" w:type="dxa"/>
              <w:left w:w="80" w:type="dxa"/>
              <w:bottom w:w="60" w:type="dxa"/>
              <w:right w:w="80" w:type="dxa"/>
            </w:tcMar>
            <w:vAlign w:val="center"/>
          </w:tcPr>
          <w:p w14:paraId="6D952AB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E9580E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880166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4E9705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A87DFE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05A68FA2" w14:textId="77777777" w:rsidTr="00911285">
        <w:trPr>
          <w:jc w:val="center"/>
        </w:trPr>
        <w:tc>
          <w:tcPr>
            <w:tcW w:w="850" w:type="dxa"/>
            <w:tcMar>
              <w:top w:w="60" w:type="dxa"/>
              <w:left w:w="80" w:type="dxa"/>
              <w:bottom w:w="60" w:type="dxa"/>
              <w:right w:w="80" w:type="dxa"/>
            </w:tcMar>
            <w:vAlign w:val="center"/>
          </w:tcPr>
          <w:p w14:paraId="4EBE63D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CDQ2</w:t>
            </w:r>
          </w:p>
        </w:tc>
        <w:tc>
          <w:tcPr>
            <w:tcW w:w="6520" w:type="dxa"/>
            <w:tcMar>
              <w:top w:w="60" w:type="dxa"/>
              <w:left w:w="80" w:type="dxa"/>
              <w:bottom w:w="60" w:type="dxa"/>
              <w:right w:w="80" w:type="dxa"/>
            </w:tcMar>
            <w:vAlign w:val="center"/>
          </w:tcPr>
          <w:p w14:paraId="7909BBA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يساعد استخدام هذه التقنيات على إنجاز المهام المتكررة في التصميم والمحتوى بكفاءة أعلى.</w:t>
            </w:r>
          </w:p>
        </w:tc>
        <w:tc>
          <w:tcPr>
            <w:tcW w:w="567" w:type="dxa"/>
            <w:tcMar>
              <w:top w:w="60" w:type="dxa"/>
              <w:left w:w="80" w:type="dxa"/>
              <w:bottom w:w="60" w:type="dxa"/>
              <w:right w:w="80" w:type="dxa"/>
            </w:tcMar>
            <w:vAlign w:val="center"/>
          </w:tcPr>
          <w:p w14:paraId="0570A92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E15C23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3C78BC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94ADB3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7C8991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59D79E6B" w14:textId="77777777" w:rsidTr="00911285">
        <w:trPr>
          <w:jc w:val="center"/>
        </w:trPr>
        <w:tc>
          <w:tcPr>
            <w:tcW w:w="850" w:type="dxa"/>
            <w:tcMar>
              <w:top w:w="60" w:type="dxa"/>
              <w:left w:w="80" w:type="dxa"/>
              <w:bottom w:w="60" w:type="dxa"/>
              <w:right w:w="80" w:type="dxa"/>
            </w:tcMar>
            <w:vAlign w:val="center"/>
          </w:tcPr>
          <w:p w14:paraId="61E0DFC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CDQ3</w:t>
            </w:r>
          </w:p>
        </w:tc>
        <w:tc>
          <w:tcPr>
            <w:tcW w:w="6520" w:type="dxa"/>
            <w:tcMar>
              <w:top w:w="60" w:type="dxa"/>
              <w:left w:w="80" w:type="dxa"/>
              <w:bottom w:w="60" w:type="dxa"/>
              <w:right w:w="80" w:type="dxa"/>
            </w:tcMar>
            <w:vAlign w:val="center"/>
          </w:tcPr>
          <w:p w14:paraId="0AF53899"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يزيد استخدام الذكاء الاصطناعي التوليدي من تنوع البدائل الإبداعية المتاحة قبل اعتماد فكرة الحملة.</w:t>
            </w:r>
          </w:p>
        </w:tc>
        <w:tc>
          <w:tcPr>
            <w:tcW w:w="567" w:type="dxa"/>
            <w:tcMar>
              <w:top w:w="60" w:type="dxa"/>
              <w:left w:w="80" w:type="dxa"/>
              <w:bottom w:w="60" w:type="dxa"/>
              <w:right w:w="80" w:type="dxa"/>
            </w:tcMar>
            <w:vAlign w:val="center"/>
          </w:tcPr>
          <w:p w14:paraId="7C89099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042C98B"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D3A969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BAEED9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0DD036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428886B1" w14:textId="77777777" w:rsidTr="00911285">
        <w:trPr>
          <w:jc w:val="center"/>
        </w:trPr>
        <w:tc>
          <w:tcPr>
            <w:tcW w:w="850" w:type="dxa"/>
            <w:tcMar>
              <w:top w:w="60" w:type="dxa"/>
              <w:left w:w="80" w:type="dxa"/>
              <w:bottom w:w="60" w:type="dxa"/>
              <w:right w:w="80" w:type="dxa"/>
            </w:tcMar>
            <w:vAlign w:val="center"/>
          </w:tcPr>
          <w:p w14:paraId="3FE5443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lastRenderedPageBreak/>
              <w:t>CDQ4</w:t>
            </w:r>
          </w:p>
        </w:tc>
        <w:tc>
          <w:tcPr>
            <w:tcW w:w="6520" w:type="dxa"/>
            <w:tcMar>
              <w:top w:w="60" w:type="dxa"/>
              <w:left w:w="80" w:type="dxa"/>
              <w:bottom w:w="60" w:type="dxa"/>
              <w:right w:w="80" w:type="dxa"/>
            </w:tcMar>
            <w:vAlign w:val="center"/>
          </w:tcPr>
          <w:p w14:paraId="5976C78C"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يساعد الذكاء الاصطناعي التوليدي الفريق على مقارنة البدائل الإبداعية في ضوء أهداف الحملة والجمهور المستهدف.</w:t>
            </w:r>
          </w:p>
        </w:tc>
        <w:tc>
          <w:tcPr>
            <w:tcW w:w="567" w:type="dxa"/>
            <w:tcMar>
              <w:top w:w="60" w:type="dxa"/>
              <w:left w:w="80" w:type="dxa"/>
              <w:bottom w:w="60" w:type="dxa"/>
              <w:right w:w="80" w:type="dxa"/>
            </w:tcMar>
            <w:vAlign w:val="center"/>
          </w:tcPr>
          <w:p w14:paraId="3CD2305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6950AF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ED36B2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FC23F1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9FBF8E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3C23FE4" w14:textId="77777777" w:rsidTr="00911285">
        <w:trPr>
          <w:jc w:val="center"/>
        </w:trPr>
        <w:tc>
          <w:tcPr>
            <w:tcW w:w="850" w:type="dxa"/>
            <w:tcMar>
              <w:top w:w="60" w:type="dxa"/>
              <w:left w:w="80" w:type="dxa"/>
              <w:bottom w:w="60" w:type="dxa"/>
              <w:right w:w="80" w:type="dxa"/>
            </w:tcMar>
            <w:vAlign w:val="center"/>
          </w:tcPr>
          <w:p w14:paraId="0AA406C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CDQ5</w:t>
            </w:r>
          </w:p>
        </w:tc>
        <w:tc>
          <w:tcPr>
            <w:tcW w:w="6520" w:type="dxa"/>
            <w:tcMar>
              <w:top w:w="60" w:type="dxa"/>
              <w:left w:w="80" w:type="dxa"/>
              <w:bottom w:w="60" w:type="dxa"/>
              <w:right w:w="80" w:type="dxa"/>
            </w:tcMar>
            <w:vAlign w:val="center"/>
          </w:tcPr>
          <w:p w14:paraId="51A5996C"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تسهم هذه التقنيات في تحسين اتساق الرسائل والمخرجات التصميمية مع هوية العلامة التجارية.</w:t>
            </w:r>
          </w:p>
        </w:tc>
        <w:tc>
          <w:tcPr>
            <w:tcW w:w="567" w:type="dxa"/>
            <w:tcMar>
              <w:top w:w="60" w:type="dxa"/>
              <w:left w:w="80" w:type="dxa"/>
              <w:bottom w:w="60" w:type="dxa"/>
              <w:right w:w="80" w:type="dxa"/>
            </w:tcMar>
            <w:vAlign w:val="center"/>
          </w:tcPr>
          <w:p w14:paraId="58FBB1D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AE2EE6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EE1E3E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AF1DF8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C181A9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0CEE7475" w14:textId="77777777" w:rsidTr="00911285">
        <w:trPr>
          <w:jc w:val="center"/>
        </w:trPr>
        <w:tc>
          <w:tcPr>
            <w:tcW w:w="850" w:type="dxa"/>
            <w:tcMar>
              <w:top w:w="60" w:type="dxa"/>
              <w:left w:w="80" w:type="dxa"/>
              <w:bottom w:w="60" w:type="dxa"/>
              <w:right w:w="80" w:type="dxa"/>
            </w:tcMar>
            <w:vAlign w:val="center"/>
          </w:tcPr>
          <w:p w14:paraId="7E1A110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CDQ6</w:t>
            </w:r>
          </w:p>
        </w:tc>
        <w:tc>
          <w:tcPr>
            <w:tcW w:w="6520" w:type="dxa"/>
            <w:tcMar>
              <w:top w:w="60" w:type="dxa"/>
              <w:left w:w="80" w:type="dxa"/>
              <w:bottom w:w="60" w:type="dxa"/>
              <w:right w:w="80" w:type="dxa"/>
            </w:tcMar>
            <w:vAlign w:val="center"/>
          </w:tcPr>
          <w:p w14:paraId="490C157B"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6FA0E4B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A7393A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EF35C3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9262DF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8BEDB4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C5946EA" w14:textId="77777777" w:rsidTr="00911285">
        <w:trPr>
          <w:jc w:val="center"/>
        </w:trPr>
        <w:tc>
          <w:tcPr>
            <w:tcW w:w="850" w:type="dxa"/>
            <w:tcMar>
              <w:top w:w="60" w:type="dxa"/>
              <w:left w:w="80" w:type="dxa"/>
              <w:bottom w:w="60" w:type="dxa"/>
              <w:right w:w="80" w:type="dxa"/>
            </w:tcMar>
            <w:vAlign w:val="center"/>
          </w:tcPr>
          <w:p w14:paraId="32F65B2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CDQ7</w:t>
            </w:r>
          </w:p>
        </w:tc>
        <w:tc>
          <w:tcPr>
            <w:tcW w:w="6520" w:type="dxa"/>
            <w:tcMar>
              <w:top w:w="60" w:type="dxa"/>
              <w:left w:w="80" w:type="dxa"/>
              <w:bottom w:w="60" w:type="dxa"/>
              <w:right w:w="80" w:type="dxa"/>
            </w:tcMar>
            <w:vAlign w:val="center"/>
          </w:tcPr>
          <w:p w14:paraId="3014FA22"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تزيد هذه التقنيات من قدرة الفريق على تخصيص المحتوى بما يلائم خصائص الشرائح والمنصات المختلفة.</w:t>
            </w:r>
          </w:p>
        </w:tc>
        <w:tc>
          <w:tcPr>
            <w:tcW w:w="567" w:type="dxa"/>
            <w:tcMar>
              <w:top w:w="60" w:type="dxa"/>
              <w:left w:w="80" w:type="dxa"/>
              <w:bottom w:w="60" w:type="dxa"/>
              <w:right w:w="80" w:type="dxa"/>
            </w:tcMar>
            <w:vAlign w:val="center"/>
          </w:tcPr>
          <w:p w14:paraId="2FCCBEF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CC6268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8C0D00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7F86A5D"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0154DD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5421F837" w14:textId="77777777" w:rsidTr="00911285">
        <w:trPr>
          <w:jc w:val="center"/>
        </w:trPr>
        <w:tc>
          <w:tcPr>
            <w:tcW w:w="850" w:type="dxa"/>
            <w:tcMar>
              <w:top w:w="60" w:type="dxa"/>
              <w:left w:w="80" w:type="dxa"/>
              <w:bottom w:w="60" w:type="dxa"/>
              <w:right w:w="80" w:type="dxa"/>
            </w:tcMar>
            <w:vAlign w:val="center"/>
          </w:tcPr>
          <w:p w14:paraId="0802763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CDQ8</w:t>
            </w:r>
          </w:p>
        </w:tc>
        <w:tc>
          <w:tcPr>
            <w:tcW w:w="6520" w:type="dxa"/>
            <w:tcMar>
              <w:top w:w="60" w:type="dxa"/>
              <w:left w:w="80" w:type="dxa"/>
              <w:bottom w:w="60" w:type="dxa"/>
              <w:right w:w="80" w:type="dxa"/>
            </w:tcMar>
            <w:vAlign w:val="center"/>
          </w:tcPr>
          <w:p w14:paraId="617E1BE2"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تدعم هذه التقنيات دورة المراجعة والتحسين من خلال إتاحة تعديلات سريعة ومدروسة على عناصر الحملة.</w:t>
            </w:r>
          </w:p>
        </w:tc>
        <w:tc>
          <w:tcPr>
            <w:tcW w:w="567" w:type="dxa"/>
            <w:tcMar>
              <w:top w:w="60" w:type="dxa"/>
              <w:left w:w="80" w:type="dxa"/>
              <w:bottom w:w="60" w:type="dxa"/>
              <w:right w:w="80" w:type="dxa"/>
            </w:tcMar>
            <w:vAlign w:val="center"/>
          </w:tcPr>
          <w:p w14:paraId="3E00894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59EB93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5343FB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07CDC9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12784E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bl>
    <w:p w14:paraId="363C4A92" w14:textId="77777777" w:rsidR="002D0DD5" w:rsidRPr="002D0DD5" w:rsidRDefault="002D0DD5" w:rsidP="002D0DD5">
      <w:pPr>
        <w:bidi/>
        <w:spacing w:after="40" w:line="240" w:lineRule="auto"/>
        <w:jc w:val="right"/>
        <w:rPr>
          <w:rFonts w:ascii="Simplified Arabic" w:eastAsia="Arial" w:hAnsi="Simplified Arabic" w:cs="Simplified Arabic"/>
        </w:rPr>
      </w:pPr>
    </w:p>
    <w:p w14:paraId="42058ECB" w14:textId="77777777" w:rsidR="002D0DD5" w:rsidRPr="002D0DD5" w:rsidRDefault="002D0DD5" w:rsidP="002D0DD5">
      <w:pPr>
        <w:keepNext/>
        <w:bidi/>
        <w:spacing w:after="100" w:line="240" w:lineRule="auto"/>
        <w:rPr>
          <w:rFonts w:ascii="Simplified Arabic" w:eastAsia="Noto Naskh Arabic" w:hAnsi="Simplified Arabic" w:cs="Simplified Arabic"/>
          <w:bCs/>
          <w:color w:val="000000"/>
        </w:rPr>
      </w:pPr>
      <w:r w:rsidRPr="002D0DD5">
        <w:rPr>
          <w:rFonts w:ascii="Simplified Arabic" w:eastAsia="Noto Naskh Arabic" w:hAnsi="Simplified Arabic" w:cs="Simplified Arabic"/>
          <w:bCs/>
          <w:color w:val="000000"/>
          <w:rtl/>
        </w:rPr>
        <w:t>المحور: دوافع تبني تقنيات الذكاء الاصطناعي التوليدي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2D0DD5" w:rsidRPr="002D0DD5" w14:paraId="183CD424" w14:textId="77777777" w:rsidTr="00911285">
        <w:trPr>
          <w:jc w:val="center"/>
        </w:trPr>
        <w:tc>
          <w:tcPr>
            <w:tcW w:w="850" w:type="dxa"/>
            <w:shd w:val="clear" w:color="auto" w:fill="D9D9D9"/>
            <w:tcMar>
              <w:top w:w="60" w:type="dxa"/>
              <w:left w:w="80" w:type="dxa"/>
              <w:bottom w:w="60" w:type="dxa"/>
              <w:right w:w="80" w:type="dxa"/>
            </w:tcMar>
            <w:vAlign w:val="center"/>
          </w:tcPr>
          <w:p w14:paraId="6A43CDB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4638131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70412DD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F89C00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2984AF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780ED0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4812E73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5</w:t>
            </w:r>
          </w:p>
        </w:tc>
      </w:tr>
      <w:tr w:rsidR="002D0DD5" w:rsidRPr="002D0DD5" w14:paraId="56860442" w14:textId="77777777" w:rsidTr="00911285">
        <w:trPr>
          <w:jc w:val="center"/>
        </w:trPr>
        <w:tc>
          <w:tcPr>
            <w:tcW w:w="850" w:type="dxa"/>
            <w:tcMar>
              <w:top w:w="60" w:type="dxa"/>
              <w:left w:w="80" w:type="dxa"/>
              <w:bottom w:w="60" w:type="dxa"/>
              <w:right w:w="80" w:type="dxa"/>
            </w:tcMar>
            <w:vAlign w:val="center"/>
          </w:tcPr>
          <w:p w14:paraId="70A3348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ADP1</w:t>
            </w:r>
          </w:p>
        </w:tc>
        <w:tc>
          <w:tcPr>
            <w:tcW w:w="6520" w:type="dxa"/>
            <w:tcMar>
              <w:top w:w="60" w:type="dxa"/>
              <w:left w:w="80" w:type="dxa"/>
              <w:bottom w:w="60" w:type="dxa"/>
              <w:right w:w="80" w:type="dxa"/>
            </w:tcMar>
            <w:vAlign w:val="center"/>
          </w:tcPr>
          <w:p w14:paraId="40231BE0"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1DF12B8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81FBB0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455CA7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A45EEE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7EC124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5A0D263D" w14:textId="77777777" w:rsidTr="00911285">
        <w:trPr>
          <w:jc w:val="center"/>
        </w:trPr>
        <w:tc>
          <w:tcPr>
            <w:tcW w:w="850" w:type="dxa"/>
            <w:tcMar>
              <w:top w:w="60" w:type="dxa"/>
              <w:left w:w="80" w:type="dxa"/>
              <w:bottom w:w="60" w:type="dxa"/>
              <w:right w:w="80" w:type="dxa"/>
            </w:tcMar>
            <w:vAlign w:val="center"/>
          </w:tcPr>
          <w:p w14:paraId="6E5E495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ADP2</w:t>
            </w:r>
          </w:p>
        </w:tc>
        <w:tc>
          <w:tcPr>
            <w:tcW w:w="6520" w:type="dxa"/>
            <w:tcMar>
              <w:top w:w="60" w:type="dxa"/>
              <w:left w:w="80" w:type="dxa"/>
              <w:bottom w:w="60" w:type="dxa"/>
              <w:right w:w="80" w:type="dxa"/>
            </w:tcMar>
            <w:vAlign w:val="center"/>
          </w:tcPr>
          <w:p w14:paraId="323087FE"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0ADDD8A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BCCDC5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D2E3B3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1A1A03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08B461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625C7547" w14:textId="77777777" w:rsidTr="00911285">
        <w:trPr>
          <w:jc w:val="center"/>
        </w:trPr>
        <w:tc>
          <w:tcPr>
            <w:tcW w:w="850" w:type="dxa"/>
            <w:tcMar>
              <w:top w:w="60" w:type="dxa"/>
              <w:left w:w="80" w:type="dxa"/>
              <w:bottom w:w="60" w:type="dxa"/>
              <w:right w:w="80" w:type="dxa"/>
            </w:tcMar>
            <w:vAlign w:val="center"/>
          </w:tcPr>
          <w:p w14:paraId="4580E75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ADP3</w:t>
            </w:r>
          </w:p>
        </w:tc>
        <w:tc>
          <w:tcPr>
            <w:tcW w:w="6520" w:type="dxa"/>
            <w:tcMar>
              <w:top w:w="60" w:type="dxa"/>
              <w:left w:w="80" w:type="dxa"/>
              <w:bottom w:w="60" w:type="dxa"/>
              <w:right w:w="80" w:type="dxa"/>
            </w:tcMar>
            <w:vAlign w:val="center"/>
          </w:tcPr>
          <w:p w14:paraId="7D381E77"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6CF5B2F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8DF91C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3E7AC3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9C5E98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89BF6E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312CFB03" w14:textId="77777777" w:rsidTr="00911285">
        <w:trPr>
          <w:jc w:val="center"/>
        </w:trPr>
        <w:tc>
          <w:tcPr>
            <w:tcW w:w="850" w:type="dxa"/>
            <w:tcMar>
              <w:top w:w="60" w:type="dxa"/>
              <w:left w:w="80" w:type="dxa"/>
              <w:bottom w:w="60" w:type="dxa"/>
              <w:right w:w="80" w:type="dxa"/>
            </w:tcMar>
            <w:vAlign w:val="center"/>
          </w:tcPr>
          <w:p w14:paraId="100C11D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ADP4</w:t>
            </w:r>
          </w:p>
        </w:tc>
        <w:tc>
          <w:tcPr>
            <w:tcW w:w="6520" w:type="dxa"/>
            <w:tcMar>
              <w:top w:w="60" w:type="dxa"/>
              <w:left w:w="80" w:type="dxa"/>
              <w:bottom w:w="60" w:type="dxa"/>
              <w:right w:w="80" w:type="dxa"/>
            </w:tcMar>
            <w:vAlign w:val="center"/>
          </w:tcPr>
          <w:p w14:paraId="3A143D6B"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3584F81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92DF8A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3A9BD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1D4910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2CCAD9B"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15CE14A" w14:textId="77777777" w:rsidTr="00911285">
        <w:trPr>
          <w:jc w:val="center"/>
        </w:trPr>
        <w:tc>
          <w:tcPr>
            <w:tcW w:w="850" w:type="dxa"/>
            <w:tcMar>
              <w:top w:w="60" w:type="dxa"/>
              <w:left w:w="80" w:type="dxa"/>
              <w:bottom w:w="60" w:type="dxa"/>
              <w:right w:w="80" w:type="dxa"/>
            </w:tcMar>
            <w:vAlign w:val="center"/>
          </w:tcPr>
          <w:p w14:paraId="25A6648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ADP5</w:t>
            </w:r>
          </w:p>
        </w:tc>
        <w:tc>
          <w:tcPr>
            <w:tcW w:w="6520" w:type="dxa"/>
            <w:tcMar>
              <w:top w:w="60" w:type="dxa"/>
              <w:left w:w="80" w:type="dxa"/>
              <w:bottom w:w="60" w:type="dxa"/>
              <w:right w:w="80" w:type="dxa"/>
            </w:tcMar>
            <w:vAlign w:val="center"/>
          </w:tcPr>
          <w:p w14:paraId="7B6C537B"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05CB82D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B67D80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9D8A2C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6E857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A6EA28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09DD8295" w14:textId="77777777" w:rsidTr="00911285">
        <w:trPr>
          <w:jc w:val="center"/>
        </w:trPr>
        <w:tc>
          <w:tcPr>
            <w:tcW w:w="850" w:type="dxa"/>
            <w:tcMar>
              <w:top w:w="60" w:type="dxa"/>
              <w:left w:w="80" w:type="dxa"/>
              <w:bottom w:w="60" w:type="dxa"/>
              <w:right w:w="80" w:type="dxa"/>
            </w:tcMar>
            <w:vAlign w:val="center"/>
          </w:tcPr>
          <w:p w14:paraId="133BB71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ADP6</w:t>
            </w:r>
          </w:p>
        </w:tc>
        <w:tc>
          <w:tcPr>
            <w:tcW w:w="6520" w:type="dxa"/>
            <w:tcMar>
              <w:top w:w="60" w:type="dxa"/>
              <w:left w:w="80" w:type="dxa"/>
              <w:bottom w:w="60" w:type="dxa"/>
              <w:right w:w="80" w:type="dxa"/>
            </w:tcMar>
            <w:vAlign w:val="center"/>
          </w:tcPr>
          <w:p w14:paraId="74EBB3B6"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115A3C77"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DCE51B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F217A9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269245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6A4C31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2EC5A2E0" w14:textId="77777777" w:rsidTr="00911285">
        <w:trPr>
          <w:jc w:val="center"/>
        </w:trPr>
        <w:tc>
          <w:tcPr>
            <w:tcW w:w="850" w:type="dxa"/>
            <w:tcMar>
              <w:top w:w="60" w:type="dxa"/>
              <w:left w:w="80" w:type="dxa"/>
              <w:bottom w:w="60" w:type="dxa"/>
              <w:right w:w="80" w:type="dxa"/>
            </w:tcMar>
            <w:vAlign w:val="center"/>
          </w:tcPr>
          <w:p w14:paraId="11E7423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ADP7</w:t>
            </w:r>
          </w:p>
        </w:tc>
        <w:tc>
          <w:tcPr>
            <w:tcW w:w="6520" w:type="dxa"/>
            <w:tcMar>
              <w:top w:w="60" w:type="dxa"/>
              <w:left w:w="80" w:type="dxa"/>
              <w:bottom w:w="60" w:type="dxa"/>
              <w:right w:w="80" w:type="dxa"/>
            </w:tcMar>
            <w:vAlign w:val="center"/>
          </w:tcPr>
          <w:p w14:paraId="6FE3A7F1"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0BAECDB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C161D5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76FD61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87406A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62FB1D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9347561" w14:textId="77777777" w:rsidTr="00911285">
        <w:trPr>
          <w:jc w:val="center"/>
        </w:trPr>
        <w:tc>
          <w:tcPr>
            <w:tcW w:w="850" w:type="dxa"/>
            <w:tcMar>
              <w:top w:w="60" w:type="dxa"/>
              <w:left w:w="80" w:type="dxa"/>
              <w:bottom w:w="60" w:type="dxa"/>
              <w:right w:w="80" w:type="dxa"/>
            </w:tcMar>
            <w:vAlign w:val="center"/>
          </w:tcPr>
          <w:p w14:paraId="6F06403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ADP8</w:t>
            </w:r>
          </w:p>
        </w:tc>
        <w:tc>
          <w:tcPr>
            <w:tcW w:w="6520" w:type="dxa"/>
            <w:tcMar>
              <w:top w:w="60" w:type="dxa"/>
              <w:left w:w="80" w:type="dxa"/>
              <w:bottom w:w="60" w:type="dxa"/>
              <w:right w:w="80" w:type="dxa"/>
            </w:tcMar>
            <w:vAlign w:val="center"/>
          </w:tcPr>
          <w:p w14:paraId="5DD98951"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7D75C97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ABE6FF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6D9FDE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3EEFA2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1FEDB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6AF34F56" w14:textId="77777777" w:rsidTr="00911285">
        <w:trPr>
          <w:jc w:val="center"/>
        </w:trPr>
        <w:tc>
          <w:tcPr>
            <w:tcW w:w="850" w:type="dxa"/>
            <w:tcMar>
              <w:top w:w="60" w:type="dxa"/>
              <w:left w:w="80" w:type="dxa"/>
              <w:bottom w:w="60" w:type="dxa"/>
              <w:right w:w="80" w:type="dxa"/>
            </w:tcMar>
            <w:vAlign w:val="center"/>
          </w:tcPr>
          <w:p w14:paraId="6C87FE7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ADP9</w:t>
            </w:r>
          </w:p>
        </w:tc>
        <w:tc>
          <w:tcPr>
            <w:tcW w:w="6520" w:type="dxa"/>
            <w:tcMar>
              <w:top w:w="60" w:type="dxa"/>
              <w:left w:w="80" w:type="dxa"/>
              <w:bottom w:w="60" w:type="dxa"/>
              <w:right w:w="80" w:type="dxa"/>
            </w:tcMar>
            <w:vAlign w:val="center"/>
          </w:tcPr>
          <w:p w14:paraId="3839777E"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0FA9DE0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2B7E12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3446B0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2C9F22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85BF5D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bl>
    <w:p w14:paraId="1337775A" w14:textId="77777777" w:rsidR="002D0DD5" w:rsidRPr="002D0DD5" w:rsidRDefault="002D0DD5" w:rsidP="002D0DD5">
      <w:pPr>
        <w:bidi/>
        <w:spacing w:after="40" w:line="240" w:lineRule="auto"/>
        <w:jc w:val="right"/>
        <w:rPr>
          <w:rFonts w:ascii="Simplified Arabic" w:eastAsia="Arial" w:hAnsi="Simplified Arabic" w:cs="Simplified Arabic"/>
        </w:rPr>
      </w:pPr>
    </w:p>
    <w:p w14:paraId="51EA7AC1" w14:textId="77777777" w:rsidR="002D0DD5" w:rsidRPr="002D0DD5" w:rsidRDefault="002D0DD5" w:rsidP="002D0DD5">
      <w:pPr>
        <w:keepNext/>
        <w:bidi/>
        <w:spacing w:after="100" w:line="240" w:lineRule="auto"/>
        <w:rPr>
          <w:rFonts w:ascii="Simplified Arabic" w:eastAsia="Noto Naskh Arabic" w:hAnsi="Simplified Arabic" w:cs="Simplified Arabic"/>
          <w:bCs/>
          <w:color w:val="000000"/>
        </w:rPr>
      </w:pPr>
      <w:r w:rsidRPr="002D0DD5">
        <w:rPr>
          <w:rFonts w:ascii="Simplified Arabic" w:eastAsia="Noto Naskh Arabic" w:hAnsi="Simplified Arabic" w:cs="Simplified Arabic"/>
          <w:bCs/>
          <w:color w:val="FF0000"/>
          <w:rtl/>
        </w:rPr>
        <w:lastRenderedPageBreak/>
        <w:t>المحور: العوائق التقنية والبشرية والتنظيمية والأخلاقية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2D0DD5" w:rsidRPr="002D0DD5" w14:paraId="1EAC010C" w14:textId="77777777" w:rsidTr="00911285">
        <w:trPr>
          <w:jc w:val="center"/>
        </w:trPr>
        <w:tc>
          <w:tcPr>
            <w:tcW w:w="850" w:type="dxa"/>
            <w:shd w:val="clear" w:color="auto" w:fill="D9D9D9"/>
            <w:tcMar>
              <w:top w:w="60" w:type="dxa"/>
              <w:left w:w="80" w:type="dxa"/>
              <w:bottom w:w="60" w:type="dxa"/>
              <w:right w:w="80" w:type="dxa"/>
            </w:tcMar>
            <w:vAlign w:val="center"/>
          </w:tcPr>
          <w:p w14:paraId="2B742DC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230C37A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26C0DDA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50037E5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113D94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61835FA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7FA0C0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5</w:t>
            </w:r>
          </w:p>
        </w:tc>
      </w:tr>
      <w:tr w:rsidR="002D0DD5" w:rsidRPr="002D0DD5" w14:paraId="0606745B" w14:textId="77777777" w:rsidTr="00911285">
        <w:trPr>
          <w:jc w:val="center"/>
        </w:trPr>
        <w:tc>
          <w:tcPr>
            <w:tcW w:w="850" w:type="dxa"/>
            <w:tcMar>
              <w:top w:w="60" w:type="dxa"/>
              <w:left w:w="80" w:type="dxa"/>
              <w:bottom w:w="60" w:type="dxa"/>
              <w:right w:w="80" w:type="dxa"/>
            </w:tcMar>
            <w:vAlign w:val="center"/>
          </w:tcPr>
          <w:p w14:paraId="47B0EC0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BAR1</w:t>
            </w:r>
          </w:p>
        </w:tc>
        <w:tc>
          <w:tcPr>
            <w:tcW w:w="6520" w:type="dxa"/>
            <w:tcMar>
              <w:top w:w="60" w:type="dxa"/>
              <w:left w:w="80" w:type="dxa"/>
              <w:bottom w:w="60" w:type="dxa"/>
              <w:right w:w="80" w:type="dxa"/>
            </w:tcMar>
            <w:vAlign w:val="center"/>
          </w:tcPr>
          <w:p w14:paraId="695C5529"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163BE6B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30E54F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7DD7B5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6D09D2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C28D88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219A437D" w14:textId="77777777" w:rsidTr="00911285">
        <w:trPr>
          <w:jc w:val="center"/>
        </w:trPr>
        <w:tc>
          <w:tcPr>
            <w:tcW w:w="850" w:type="dxa"/>
            <w:tcMar>
              <w:top w:w="60" w:type="dxa"/>
              <w:left w:w="80" w:type="dxa"/>
              <w:bottom w:w="60" w:type="dxa"/>
              <w:right w:w="80" w:type="dxa"/>
            </w:tcMar>
            <w:vAlign w:val="center"/>
          </w:tcPr>
          <w:p w14:paraId="40AA6FF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BAR2</w:t>
            </w:r>
          </w:p>
        </w:tc>
        <w:tc>
          <w:tcPr>
            <w:tcW w:w="6520" w:type="dxa"/>
            <w:tcMar>
              <w:top w:w="60" w:type="dxa"/>
              <w:left w:w="80" w:type="dxa"/>
              <w:bottom w:w="60" w:type="dxa"/>
              <w:right w:w="80" w:type="dxa"/>
            </w:tcMar>
            <w:vAlign w:val="center"/>
          </w:tcPr>
          <w:p w14:paraId="65965DAD"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549494DB"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31F7BA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9D8D88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EF72808"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AC779D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FA9730B" w14:textId="77777777" w:rsidTr="00911285">
        <w:trPr>
          <w:jc w:val="center"/>
        </w:trPr>
        <w:tc>
          <w:tcPr>
            <w:tcW w:w="850" w:type="dxa"/>
            <w:tcMar>
              <w:top w:w="60" w:type="dxa"/>
              <w:left w:w="80" w:type="dxa"/>
              <w:bottom w:w="60" w:type="dxa"/>
              <w:right w:w="80" w:type="dxa"/>
            </w:tcMar>
            <w:vAlign w:val="center"/>
          </w:tcPr>
          <w:p w14:paraId="361BDB1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BAR3</w:t>
            </w:r>
          </w:p>
        </w:tc>
        <w:tc>
          <w:tcPr>
            <w:tcW w:w="6520" w:type="dxa"/>
            <w:tcMar>
              <w:top w:w="60" w:type="dxa"/>
              <w:left w:w="80" w:type="dxa"/>
              <w:bottom w:w="60" w:type="dxa"/>
              <w:right w:w="80" w:type="dxa"/>
            </w:tcMar>
            <w:vAlign w:val="center"/>
          </w:tcPr>
          <w:p w14:paraId="65B0E289"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4DEF922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AC71A6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34D477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6BAD2D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836F6D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25676C83" w14:textId="77777777" w:rsidTr="00911285">
        <w:trPr>
          <w:jc w:val="center"/>
        </w:trPr>
        <w:tc>
          <w:tcPr>
            <w:tcW w:w="850" w:type="dxa"/>
            <w:tcMar>
              <w:top w:w="60" w:type="dxa"/>
              <w:left w:w="80" w:type="dxa"/>
              <w:bottom w:w="60" w:type="dxa"/>
              <w:right w:w="80" w:type="dxa"/>
            </w:tcMar>
            <w:vAlign w:val="center"/>
          </w:tcPr>
          <w:p w14:paraId="22AF696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BAR4</w:t>
            </w:r>
          </w:p>
        </w:tc>
        <w:tc>
          <w:tcPr>
            <w:tcW w:w="6520" w:type="dxa"/>
            <w:tcMar>
              <w:top w:w="60" w:type="dxa"/>
              <w:left w:w="80" w:type="dxa"/>
              <w:bottom w:w="60" w:type="dxa"/>
              <w:right w:w="80" w:type="dxa"/>
            </w:tcMar>
            <w:vAlign w:val="center"/>
          </w:tcPr>
          <w:p w14:paraId="3E6A75CC"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1535D87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DBF3B4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C51128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D402CF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20ADA5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11542F1F" w14:textId="77777777" w:rsidTr="00911285">
        <w:trPr>
          <w:jc w:val="center"/>
        </w:trPr>
        <w:tc>
          <w:tcPr>
            <w:tcW w:w="850" w:type="dxa"/>
            <w:tcMar>
              <w:top w:w="60" w:type="dxa"/>
              <w:left w:w="80" w:type="dxa"/>
              <w:bottom w:w="60" w:type="dxa"/>
              <w:right w:w="80" w:type="dxa"/>
            </w:tcMar>
            <w:vAlign w:val="center"/>
          </w:tcPr>
          <w:p w14:paraId="0BBAB1E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BAR5</w:t>
            </w:r>
          </w:p>
        </w:tc>
        <w:tc>
          <w:tcPr>
            <w:tcW w:w="6520" w:type="dxa"/>
            <w:tcMar>
              <w:top w:w="60" w:type="dxa"/>
              <w:left w:w="80" w:type="dxa"/>
              <w:bottom w:w="60" w:type="dxa"/>
              <w:right w:w="80" w:type="dxa"/>
            </w:tcMar>
            <w:vAlign w:val="center"/>
          </w:tcPr>
          <w:p w14:paraId="1447123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05922C5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3BB91B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DD3103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52136C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63EC68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12512476" w14:textId="77777777" w:rsidTr="00911285">
        <w:trPr>
          <w:jc w:val="center"/>
        </w:trPr>
        <w:tc>
          <w:tcPr>
            <w:tcW w:w="850" w:type="dxa"/>
            <w:tcMar>
              <w:top w:w="60" w:type="dxa"/>
              <w:left w:w="80" w:type="dxa"/>
              <w:bottom w:w="60" w:type="dxa"/>
              <w:right w:w="80" w:type="dxa"/>
            </w:tcMar>
            <w:vAlign w:val="center"/>
          </w:tcPr>
          <w:p w14:paraId="65A0839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color w:val="FF0000"/>
                <w:rtl/>
              </w:rPr>
              <w:t>AC2</w:t>
            </w:r>
          </w:p>
        </w:tc>
        <w:tc>
          <w:tcPr>
            <w:tcW w:w="6520" w:type="dxa"/>
            <w:tcMar>
              <w:top w:w="60" w:type="dxa"/>
              <w:left w:w="80" w:type="dxa"/>
              <w:bottom w:w="60" w:type="dxa"/>
              <w:right w:w="80" w:type="dxa"/>
            </w:tcMar>
            <w:vAlign w:val="center"/>
          </w:tcPr>
          <w:p w14:paraId="59E41A3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color w:val="FF0000"/>
                <w:rtl/>
              </w:rPr>
              <w:t>لأغراض التحقق من الانتباه، يرجى اختيار «غير موافق» لهذه العبارة.</w:t>
            </w:r>
          </w:p>
        </w:tc>
        <w:tc>
          <w:tcPr>
            <w:tcW w:w="567" w:type="dxa"/>
            <w:tcMar>
              <w:top w:w="60" w:type="dxa"/>
              <w:left w:w="80" w:type="dxa"/>
              <w:bottom w:w="60" w:type="dxa"/>
              <w:right w:w="80" w:type="dxa"/>
            </w:tcMar>
            <w:vAlign w:val="center"/>
          </w:tcPr>
          <w:p w14:paraId="1ECE368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680D9EC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6D90D65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687B9B3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c>
          <w:tcPr>
            <w:tcW w:w="567" w:type="dxa"/>
            <w:tcMar>
              <w:top w:w="60" w:type="dxa"/>
              <w:left w:w="80" w:type="dxa"/>
              <w:bottom w:w="60" w:type="dxa"/>
              <w:right w:w="80" w:type="dxa"/>
            </w:tcMar>
            <w:vAlign w:val="center"/>
          </w:tcPr>
          <w:p w14:paraId="68FECED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color w:val="FF0000"/>
                <w:rtl/>
              </w:rPr>
              <w:t>□</w:t>
            </w:r>
          </w:p>
        </w:tc>
      </w:tr>
      <w:tr w:rsidR="002D0DD5" w:rsidRPr="002D0DD5" w14:paraId="35A1DD29" w14:textId="77777777" w:rsidTr="00911285">
        <w:trPr>
          <w:jc w:val="center"/>
        </w:trPr>
        <w:tc>
          <w:tcPr>
            <w:tcW w:w="850" w:type="dxa"/>
            <w:tcMar>
              <w:top w:w="60" w:type="dxa"/>
              <w:left w:w="80" w:type="dxa"/>
              <w:bottom w:w="60" w:type="dxa"/>
              <w:right w:w="80" w:type="dxa"/>
            </w:tcMar>
            <w:vAlign w:val="center"/>
          </w:tcPr>
          <w:p w14:paraId="4DF071F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BAR6</w:t>
            </w:r>
          </w:p>
        </w:tc>
        <w:tc>
          <w:tcPr>
            <w:tcW w:w="6520" w:type="dxa"/>
            <w:tcMar>
              <w:top w:w="60" w:type="dxa"/>
              <w:left w:w="80" w:type="dxa"/>
              <w:bottom w:w="60" w:type="dxa"/>
              <w:right w:w="80" w:type="dxa"/>
            </w:tcMar>
            <w:vAlign w:val="center"/>
          </w:tcPr>
          <w:p w14:paraId="1C52272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16B4725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3921F8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7D1892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C86FBE5"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17A8DE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1F2AA95E" w14:textId="77777777" w:rsidTr="00911285">
        <w:trPr>
          <w:jc w:val="center"/>
        </w:trPr>
        <w:tc>
          <w:tcPr>
            <w:tcW w:w="850" w:type="dxa"/>
            <w:tcMar>
              <w:top w:w="60" w:type="dxa"/>
              <w:left w:w="80" w:type="dxa"/>
              <w:bottom w:w="60" w:type="dxa"/>
              <w:right w:w="80" w:type="dxa"/>
            </w:tcMar>
            <w:vAlign w:val="center"/>
          </w:tcPr>
          <w:p w14:paraId="1DAE415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BAR7</w:t>
            </w:r>
          </w:p>
        </w:tc>
        <w:tc>
          <w:tcPr>
            <w:tcW w:w="6520" w:type="dxa"/>
            <w:tcMar>
              <w:top w:w="60" w:type="dxa"/>
              <w:left w:w="80" w:type="dxa"/>
              <w:bottom w:w="60" w:type="dxa"/>
              <w:right w:w="80" w:type="dxa"/>
            </w:tcMar>
            <w:vAlign w:val="center"/>
          </w:tcPr>
          <w:p w14:paraId="410E73F6"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628382C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A3CE10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C9200D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8363701"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2E8FC79"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A28C159" w14:textId="77777777" w:rsidTr="00911285">
        <w:trPr>
          <w:jc w:val="center"/>
        </w:trPr>
        <w:tc>
          <w:tcPr>
            <w:tcW w:w="850" w:type="dxa"/>
            <w:tcMar>
              <w:top w:w="60" w:type="dxa"/>
              <w:left w:w="80" w:type="dxa"/>
              <w:bottom w:w="60" w:type="dxa"/>
              <w:right w:w="80" w:type="dxa"/>
            </w:tcMar>
            <w:vAlign w:val="center"/>
          </w:tcPr>
          <w:p w14:paraId="42B034D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BAR8</w:t>
            </w:r>
          </w:p>
        </w:tc>
        <w:tc>
          <w:tcPr>
            <w:tcW w:w="6520" w:type="dxa"/>
            <w:tcMar>
              <w:top w:w="60" w:type="dxa"/>
              <w:left w:w="80" w:type="dxa"/>
              <w:bottom w:w="60" w:type="dxa"/>
              <w:right w:w="80" w:type="dxa"/>
            </w:tcMar>
            <w:vAlign w:val="center"/>
          </w:tcPr>
          <w:p w14:paraId="7CE8170F"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6EC99D6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7A9258E"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F12930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69F303C"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40A4C94"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74AC8ECB" w14:textId="77777777" w:rsidTr="00911285">
        <w:trPr>
          <w:jc w:val="center"/>
        </w:trPr>
        <w:tc>
          <w:tcPr>
            <w:tcW w:w="850" w:type="dxa"/>
            <w:tcMar>
              <w:top w:w="60" w:type="dxa"/>
              <w:left w:w="80" w:type="dxa"/>
              <w:bottom w:w="60" w:type="dxa"/>
              <w:right w:w="80" w:type="dxa"/>
            </w:tcMar>
            <w:vAlign w:val="center"/>
          </w:tcPr>
          <w:p w14:paraId="088E6FA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BAR9</w:t>
            </w:r>
          </w:p>
        </w:tc>
        <w:tc>
          <w:tcPr>
            <w:tcW w:w="6520" w:type="dxa"/>
            <w:tcMar>
              <w:top w:w="60" w:type="dxa"/>
              <w:left w:w="80" w:type="dxa"/>
              <w:bottom w:w="60" w:type="dxa"/>
              <w:right w:w="80" w:type="dxa"/>
            </w:tcMar>
            <w:vAlign w:val="center"/>
          </w:tcPr>
          <w:p w14:paraId="5B5DA73D"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32E5C5F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3E9A4A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55D519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80EC713"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9F7DB80"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r w:rsidR="002D0DD5" w:rsidRPr="002D0DD5" w14:paraId="3B280556" w14:textId="77777777" w:rsidTr="00911285">
        <w:trPr>
          <w:jc w:val="center"/>
        </w:trPr>
        <w:tc>
          <w:tcPr>
            <w:tcW w:w="850" w:type="dxa"/>
            <w:tcMar>
              <w:top w:w="60" w:type="dxa"/>
              <w:left w:w="80" w:type="dxa"/>
              <w:bottom w:w="60" w:type="dxa"/>
              <w:right w:w="80" w:type="dxa"/>
            </w:tcMar>
            <w:vAlign w:val="center"/>
          </w:tcPr>
          <w:p w14:paraId="1AEF050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BAR10</w:t>
            </w:r>
          </w:p>
        </w:tc>
        <w:tc>
          <w:tcPr>
            <w:tcW w:w="6520" w:type="dxa"/>
            <w:tcMar>
              <w:top w:w="60" w:type="dxa"/>
              <w:left w:w="80" w:type="dxa"/>
              <w:bottom w:w="60" w:type="dxa"/>
              <w:right w:w="80" w:type="dxa"/>
            </w:tcMar>
            <w:vAlign w:val="center"/>
          </w:tcPr>
          <w:p w14:paraId="5EA073A5" w14:textId="77777777" w:rsidR="002D0DD5" w:rsidRPr="002D0DD5" w:rsidRDefault="002D0DD5" w:rsidP="002D0DD5">
            <w:pPr>
              <w:bidi/>
              <w:spacing w:after="0" w:line="240" w:lineRule="auto"/>
              <w:rPr>
                <w:rFonts w:ascii="Simplified Arabic" w:eastAsia="Noto Naskh Arabic" w:hAnsi="Simplified Arabic" w:cs="Simplified Arabic"/>
              </w:rPr>
            </w:pPr>
            <w:r w:rsidRPr="002D0DD5">
              <w:rPr>
                <w:rFonts w:ascii="Simplified Arabic" w:eastAsia="Noto Naskh Arabic" w:hAnsi="Simplified Arabic" w:cs="Simplified Arabic"/>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4C81712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CDFF5AA"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6E02936"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099EE22"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C516F4F" w14:textId="77777777" w:rsidR="002D0DD5" w:rsidRPr="002D0DD5" w:rsidRDefault="002D0DD5" w:rsidP="002D0DD5">
            <w:pPr>
              <w:bidi/>
              <w:spacing w:after="0" w:line="240" w:lineRule="auto"/>
              <w:jc w:val="center"/>
              <w:rPr>
                <w:rFonts w:ascii="Simplified Arabic" w:eastAsia="Noto Naskh Arabic" w:hAnsi="Simplified Arabic" w:cs="Simplified Arabic"/>
              </w:rPr>
            </w:pPr>
            <w:r w:rsidRPr="002D0DD5">
              <w:rPr>
                <w:rFonts w:ascii="Times New Roman" w:eastAsia="Noto Naskh Arabic" w:hAnsi="Times New Roman" w:cs="Times New Roman"/>
                <w:rtl/>
              </w:rPr>
              <w:t>□</w:t>
            </w:r>
          </w:p>
        </w:tc>
      </w:tr>
    </w:tbl>
    <w:p w14:paraId="096193B4" w14:textId="77777777" w:rsidR="002D0DD5" w:rsidRPr="002D0DD5" w:rsidRDefault="002D0DD5" w:rsidP="002D0DD5">
      <w:pPr>
        <w:keepNext/>
        <w:bidi/>
        <w:spacing w:after="100" w:line="240" w:lineRule="auto"/>
        <w:rPr>
          <w:rFonts w:ascii="Simplified Arabic" w:eastAsia="Noto Naskh Arabic" w:hAnsi="Simplified Arabic" w:cs="Simplified Arabic"/>
          <w:bCs/>
          <w:color w:val="000000"/>
        </w:rPr>
      </w:pPr>
      <w:r w:rsidRPr="002D0DD5">
        <w:rPr>
          <w:rFonts w:ascii="Simplified Arabic" w:eastAsia="Noto Naskh Arabic" w:hAnsi="Simplified Arabic" w:cs="Simplified Arabic"/>
          <w:bCs/>
          <w:color w:val="000000"/>
          <w:rtl/>
        </w:rPr>
        <w:t>المحور: فعالية الأداء التسويقي للحملات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2D0DD5" w:rsidRPr="002D0DD5" w14:paraId="3E6C01D6" w14:textId="77777777" w:rsidTr="00911285">
        <w:trPr>
          <w:jc w:val="center"/>
        </w:trPr>
        <w:tc>
          <w:tcPr>
            <w:tcW w:w="850" w:type="dxa"/>
            <w:shd w:val="clear" w:color="auto" w:fill="D9D9D9"/>
            <w:tcMar>
              <w:top w:w="60" w:type="dxa"/>
              <w:left w:w="80" w:type="dxa"/>
              <w:bottom w:w="60" w:type="dxa"/>
              <w:right w:w="80" w:type="dxa"/>
            </w:tcMar>
            <w:vAlign w:val="center"/>
          </w:tcPr>
          <w:p w14:paraId="7F6C239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729EA22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4ABFE93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3F62D99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4E42644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640EADC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222D499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b/>
                <w:rtl/>
              </w:rPr>
              <w:t>5</w:t>
            </w:r>
          </w:p>
        </w:tc>
      </w:tr>
      <w:tr w:rsidR="002D0DD5" w:rsidRPr="002D0DD5" w14:paraId="2DC68854" w14:textId="77777777" w:rsidTr="00911285">
        <w:trPr>
          <w:jc w:val="center"/>
        </w:trPr>
        <w:tc>
          <w:tcPr>
            <w:tcW w:w="850" w:type="dxa"/>
            <w:tcMar>
              <w:top w:w="60" w:type="dxa"/>
              <w:left w:w="80" w:type="dxa"/>
              <w:bottom w:w="60" w:type="dxa"/>
              <w:right w:w="80" w:type="dxa"/>
            </w:tcMar>
            <w:vAlign w:val="center"/>
          </w:tcPr>
          <w:p w14:paraId="508F577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MP1</w:t>
            </w:r>
          </w:p>
        </w:tc>
        <w:tc>
          <w:tcPr>
            <w:tcW w:w="6520" w:type="dxa"/>
            <w:tcMar>
              <w:top w:w="60" w:type="dxa"/>
              <w:left w:w="80" w:type="dxa"/>
              <w:bottom w:w="60" w:type="dxa"/>
              <w:right w:w="80" w:type="dxa"/>
            </w:tcMar>
            <w:vAlign w:val="center"/>
          </w:tcPr>
          <w:p w14:paraId="261C5411"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تسهم الحملات التي يوظف فيها الذكاء الاصطناعي التوليدي في إنتاج محتوى نهائي أكثر ملاءمة لأهداف الحملة.</w:t>
            </w:r>
          </w:p>
        </w:tc>
        <w:tc>
          <w:tcPr>
            <w:tcW w:w="567" w:type="dxa"/>
            <w:tcMar>
              <w:top w:w="60" w:type="dxa"/>
              <w:left w:w="80" w:type="dxa"/>
              <w:bottom w:w="60" w:type="dxa"/>
              <w:right w:w="80" w:type="dxa"/>
            </w:tcMar>
            <w:vAlign w:val="center"/>
          </w:tcPr>
          <w:p w14:paraId="27D1DB1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8CF66D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7A9EDC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D13955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3548D8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3962EA11" w14:textId="77777777" w:rsidTr="00911285">
        <w:trPr>
          <w:jc w:val="center"/>
        </w:trPr>
        <w:tc>
          <w:tcPr>
            <w:tcW w:w="850" w:type="dxa"/>
            <w:tcMar>
              <w:top w:w="60" w:type="dxa"/>
              <w:left w:w="80" w:type="dxa"/>
              <w:bottom w:w="60" w:type="dxa"/>
              <w:right w:w="80" w:type="dxa"/>
            </w:tcMar>
            <w:vAlign w:val="center"/>
          </w:tcPr>
          <w:p w14:paraId="3468C3E6"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MP2</w:t>
            </w:r>
          </w:p>
        </w:tc>
        <w:tc>
          <w:tcPr>
            <w:tcW w:w="6520" w:type="dxa"/>
            <w:tcMar>
              <w:top w:w="60" w:type="dxa"/>
              <w:left w:w="80" w:type="dxa"/>
              <w:bottom w:w="60" w:type="dxa"/>
              <w:right w:w="80" w:type="dxa"/>
            </w:tcMar>
            <w:vAlign w:val="center"/>
          </w:tcPr>
          <w:p w14:paraId="3230300A"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تحقق الحملات المدعومة بهذه التقنيات مستوى أعلى من جودة الرسائل الإعلانية من حيث الوضوح والجاذبية والاتساق.</w:t>
            </w:r>
          </w:p>
        </w:tc>
        <w:tc>
          <w:tcPr>
            <w:tcW w:w="567" w:type="dxa"/>
            <w:tcMar>
              <w:top w:w="60" w:type="dxa"/>
              <w:left w:w="80" w:type="dxa"/>
              <w:bottom w:w="60" w:type="dxa"/>
              <w:right w:w="80" w:type="dxa"/>
            </w:tcMar>
            <w:vAlign w:val="center"/>
          </w:tcPr>
          <w:p w14:paraId="7DAFAF2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7E00605"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853E25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51E9BA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24698D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55DBBB94" w14:textId="77777777" w:rsidTr="00911285">
        <w:trPr>
          <w:jc w:val="center"/>
        </w:trPr>
        <w:tc>
          <w:tcPr>
            <w:tcW w:w="850" w:type="dxa"/>
            <w:tcMar>
              <w:top w:w="60" w:type="dxa"/>
              <w:left w:w="80" w:type="dxa"/>
              <w:bottom w:w="60" w:type="dxa"/>
              <w:right w:w="80" w:type="dxa"/>
            </w:tcMar>
            <w:vAlign w:val="center"/>
          </w:tcPr>
          <w:p w14:paraId="22BA663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MP3</w:t>
            </w:r>
          </w:p>
        </w:tc>
        <w:tc>
          <w:tcPr>
            <w:tcW w:w="6520" w:type="dxa"/>
            <w:tcMar>
              <w:top w:w="60" w:type="dxa"/>
              <w:left w:w="80" w:type="dxa"/>
              <w:bottom w:w="60" w:type="dxa"/>
              <w:right w:w="80" w:type="dxa"/>
            </w:tcMar>
            <w:vAlign w:val="center"/>
          </w:tcPr>
          <w:p w14:paraId="63F0363A"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تساعد هذه التقنيات في تحسين ملاءمة الرسالة التسويقية للجمهور المستهدف عند تنفيذ الحملة.</w:t>
            </w:r>
          </w:p>
        </w:tc>
        <w:tc>
          <w:tcPr>
            <w:tcW w:w="567" w:type="dxa"/>
            <w:tcMar>
              <w:top w:w="60" w:type="dxa"/>
              <w:left w:w="80" w:type="dxa"/>
              <w:bottom w:w="60" w:type="dxa"/>
              <w:right w:w="80" w:type="dxa"/>
            </w:tcMar>
            <w:vAlign w:val="center"/>
          </w:tcPr>
          <w:p w14:paraId="115D3EA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138DED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DC8A51C"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572EAF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4AC6CE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06681F97" w14:textId="77777777" w:rsidTr="00911285">
        <w:trPr>
          <w:jc w:val="center"/>
        </w:trPr>
        <w:tc>
          <w:tcPr>
            <w:tcW w:w="850" w:type="dxa"/>
            <w:tcMar>
              <w:top w:w="60" w:type="dxa"/>
              <w:left w:w="80" w:type="dxa"/>
              <w:bottom w:w="60" w:type="dxa"/>
              <w:right w:w="80" w:type="dxa"/>
            </w:tcMar>
            <w:vAlign w:val="center"/>
          </w:tcPr>
          <w:p w14:paraId="69B803C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lastRenderedPageBreak/>
              <w:t>MP4</w:t>
            </w:r>
          </w:p>
        </w:tc>
        <w:tc>
          <w:tcPr>
            <w:tcW w:w="6520" w:type="dxa"/>
            <w:tcMar>
              <w:top w:w="60" w:type="dxa"/>
              <w:left w:w="80" w:type="dxa"/>
              <w:bottom w:w="60" w:type="dxa"/>
              <w:right w:w="80" w:type="dxa"/>
            </w:tcMar>
            <w:vAlign w:val="center"/>
          </w:tcPr>
          <w:p w14:paraId="53765338"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تسهم الحملات التي تستخدم الذكاء الاصطناعي التوليدي في رفع معدلات التفاعل الرقمي مقارنة بالحملات التقليدية المشابهة.</w:t>
            </w:r>
          </w:p>
        </w:tc>
        <w:tc>
          <w:tcPr>
            <w:tcW w:w="567" w:type="dxa"/>
            <w:tcMar>
              <w:top w:w="60" w:type="dxa"/>
              <w:left w:w="80" w:type="dxa"/>
              <w:bottom w:w="60" w:type="dxa"/>
              <w:right w:w="80" w:type="dxa"/>
            </w:tcMar>
            <w:vAlign w:val="center"/>
          </w:tcPr>
          <w:p w14:paraId="7D63685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9A6485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B31113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46D160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7F3289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1C10AD5E" w14:textId="77777777" w:rsidTr="00911285">
        <w:trPr>
          <w:jc w:val="center"/>
        </w:trPr>
        <w:tc>
          <w:tcPr>
            <w:tcW w:w="850" w:type="dxa"/>
            <w:tcMar>
              <w:top w:w="60" w:type="dxa"/>
              <w:left w:w="80" w:type="dxa"/>
              <w:bottom w:w="60" w:type="dxa"/>
              <w:right w:w="80" w:type="dxa"/>
            </w:tcMar>
            <w:vAlign w:val="center"/>
          </w:tcPr>
          <w:p w14:paraId="6390A05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MP5</w:t>
            </w:r>
          </w:p>
        </w:tc>
        <w:tc>
          <w:tcPr>
            <w:tcW w:w="6520" w:type="dxa"/>
            <w:tcMar>
              <w:top w:w="60" w:type="dxa"/>
              <w:left w:w="80" w:type="dxa"/>
              <w:bottom w:w="60" w:type="dxa"/>
              <w:right w:w="80" w:type="dxa"/>
            </w:tcMar>
            <w:vAlign w:val="center"/>
          </w:tcPr>
          <w:p w14:paraId="3E635A08"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يساعد استخدام هذه التقنيات على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0481C27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10F309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3EC8025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A0FD77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CC9FD8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4F1680E3" w14:textId="77777777" w:rsidTr="00911285">
        <w:trPr>
          <w:jc w:val="center"/>
        </w:trPr>
        <w:tc>
          <w:tcPr>
            <w:tcW w:w="850" w:type="dxa"/>
            <w:tcMar>
              <w:top w:w="60" w:type="dxa"/>
              <w:left w:w="80" w:type="dxa"/>
              <w:bottom w:w="60" w:type="dxa"/>
              <w:right w:w="80" w:type="dxa"/>
            </w:tcMar>
            <w:vAlign w:val="center"/>
          </w:tcPr>
          <w:p w14:paraId="46D7A9F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MP6</w:t>
            </w:r>
          </w:p>
        </w:tc>
        <w:tc>
          <w:tcPr>
            <w:tcW w:w="6520" w:type="dxa"/>
            <w:tcMar>
              <w:top w:w="60" w:type="dxa"/>
              <w:left w:w="80" w:type="dxa"/>
              <w:bottom w:w="60" w:type="dxa"/>
              <w:right w:w="80" w:type="dxa"/>
            </w:tcMar>
            <w:vAlign w:val="center"/>
          </w:tcPr>
          <w:p w14:paraId="5AA0591F"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تدعم هذه التقنيات كفاءة الإنفاق الإعلاني من خلال تقليل الهدر وتحسين توجيه الرسائل.</w:t>
            </w:r>
          </w:p>
        </w:tc>
        <w:tc>
          <w:tcPr>
            <w:tcW w:w="567" w:type="dxa"/>
            <w:tcMar>
              <w:top w:w="60" w:type="dxa"/>
              <w:left w:w="80" w:type="dxa"/>
              <w:bottom w:w="60" w:type="dxa"/>
              <w:right w:w="80" w:type="dxa"/>
            </w:tcMar>
            <w:vAlign w:val="center"/>
          </w:tcPr>
          <w:p w14:paraId="5487E5C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7C871C9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660E57B"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E50A00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61858E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65A809F4" w14:textId="77777777" w:rsidTr="00911285">
        <w:trPr>
          <w:jc w:val="center"/>
        </w:trPr>
        <w:tc>
          <w:tcPr>
            <w:tcW w:w="850" w:type="dxa"/>
            <w:tcMar>
              <w:top w:w="60" w:type="dxa"/>
              <w:left w:w="80" w:type="dxa"/>
              <w:bottom w:w="60" w:type="dxa"/>
              <w:right w:w="80" w:type="dxa"/>
            </w:tcMar>
            <w:vAlign w:val="center"/>
          </w:tcPr>
          <w:p w14:paraId="2D5B5371"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MP7</w:t>
            </w:r>
          </w:p>
        </w:tc>
        <w:tc>
          <w:tcPr>
            <w:tcW w:w="6520" w:type="dxa"/>
            <w:tcMar>
              <w:top w:w="60" w:type="dxa"/>
              <w:left w:w="80" w:type="dxa"/>
              <w:bottom w:w="60" w:type="dxa"/>
              <w:right w:w="80" w:type="dxa"/>
            </w:tcMar>
            <w:vAlign w:val="center"/>
          </w:tcPr>
          <w:p w14:paraId="239CDAC3"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تسهم مخرجات الذكاء الاصطناعي التوليدي في تحسين قدرة الحملة على تحقيق مؤشرات الأداء المحددة مسبقًا.</w:t>
            </w:r>
          </w:p>
        </w:tc>
        <w:tc>
          <w:tcPr>
            <w:tcW w:w="567" w:type="dxa"/>
            <w:tcMar>
              <w:top w:w="60" w:type="dxa"/>
              <w:left w:w="80" w:type="dxa"/>
              <w:bottom w:w="60" w:type="dxa"/>
              <w:right w:w="80" w:type="dxa"/>
            </w:tcMar>
            <w:vAlign w:val="center"/>
          </w:tcPr>
          <w:p w14:paraId="538133F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1EB395B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6A83B1DF"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94BA5C8"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623C777"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2B44C9CB" w14:textId="77777777" w:rsidTr="00911285">
        <w:trPr>
          <w:jc w:val="center"/>
        </w:trPr>
        <w:tc>
          <w:tcPr>
            <w:tcW w:w="850" w:type="dxa"/>
            <w:tcMar>
              <w:top w:w="60" w:type="dxa"/>
              <w:left w:w="80" w:type="dxa"/>
              <w:bottom w:w="60" w:type="dxa"/>
              <w:right w:w="80" w:type="dxa"/>
            </w:tcMar>
            <w:vAlign w:val="center"/>
          </w:tcPr>
          <w:p w14:paraId="7A92BAC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MP8</w:t>
            </w:r>
          </w:p>
        </w:tc>
        <w:tc>
          <w:tcPr>
            <w:tcW w:w="6520" w:type="dxa"/>
            <w:tcMar>
              <w:top w:w="60" w:type="dxa"/>
              <w:left w:w="80" w:type="dxa"/>
              <w:bottom w:w="60" w:type="dxa"/>
              <w:right w:w="80" w:type="dxa"/>
            </w:tcMar>
            <w:vAlign w:val="center"/>
          </w:tcPr>
          <w:p w14:paraId="6A14DFD3"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يعزز استخدام هذه التقنيات رضا العملاء عن سرعة وجودة مخرجات الحملات الرقمية.</w:t>
            </w:r>
          </w:p>
        </w:tc>
        <w:tc>
          <w:tcPr>
            <w:tcW w:w="567" w:type="dxa"/>
            <w:tcMar>
              <w:top w:w="60" w:type="dxa"/>
              <w:left w:w="80" w:type="dxa"/>
              <w:bottom w:w="60" w:type="dxa"/>
              <w:right w:w="80" w:type="dxa"/>
            </w:tcMar>
            <w:vAlign w:val="center"/>
          </w:tcPr>
          <w:p w14:paraId="3DDB990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C89EF7E"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2B581BA"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83E84F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17F49F4"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r w:rsidR="002D0DD5" w:rsidRPr="002D0DD5" w14:paraId="16B0A47A" w14:textId="77777777" w:rsidTr="00911285">
        <w:trPr>
          <w:jc w:val="center"/>
        </w:trPr>
        <w:tc>
          <w:tcPr>
            <w:tcW w:w="850" w:type="dxa"/>
            <w:tcMar>
              <w:top w:w="60" w:type="dxa"/>
              <w:left w:w="80" w:type="dxa"/>
              <w:bottom w:w="60" w:type="dxa"/>
              <w:right w:w="80" w:type="dxa"/>
            </w:tcMar>
            <w:vAlign w:val="center"/>
          </w:tcPr>
          <w:p w14:paraId="08FE3469"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Noto Naskh Arabic" w:hAnsi="Simplified Arabic" w:cs="Simplified Arabic"/>
                <w:rtl/>
              </w:rPr>
              <w:t>MP9</w:t>
            </w:r>
          </w:p>
        </w:tc>
        <w:tc>
          <w:tcPr>
            <w:tcW w:w="6520" w:type="dxa"/>
            <w:tcMar>
              <w:top w:w="60" w:type="dxa"/>
              <w:left w:w="80" w:type="dxa"/>
              <w:bottom w:w="60" w:type="dxa"/>
              <w:right w:w="80" w:type="dxa"/>
            </w:tcMar>
            <w:vAlign w:val="center"/>
          </w:tcPr>
          <w:p w14:paraId="1B2D5472" w14:textId="77777777" w:rsidR="002D0DD5" w:rsidRPr="002D0DD5" w:rsidRDefault="002D0DD5" w:rsidP="002D0DD5">
            <w:pPr>
              <w:bidi/>
              <w:spacing w:after="0" w:line="240" w:lineRule="auto"/>
              <w:rPr>
                <w:rFonts w:ascii="Simplified Arabic" w:eastAsia="Arial" w:hAnsi="Simplified Arabic" w:cs="Simplified Arabic"/>
              </w:rPr>
            </w:pPr>
            <w:r w:rsidRPr="002D0DD5">
              <w:rPr>
                <w:rFonts w:ascii="Simplified Arabic" w:eastAsia="Noto Naskh Arabic" w:hAnsi="Simplified Arabic" w:cs="Simplified Arabic"/>
                <w:rtl/>
              </w:rPr>
              <w:t>بصورة عامة، تبدو الحملات التي يوظف فيها الذكاء الاصطناعي التوليدي أكثر فعالية من الحملات التي لا تستخدمه.</w:t>
            </w:r>
          </w:p>
        </w:tc>
        <w:tc>
          <w:tcPr>
            <w:tcW w:w="567" w:type="dxa"/>
            <w:tcMar>
              <w:top w:w="60" w:type="dxa"/>
              <w:left w:w="80" w:type="dxa"/>
              <w:bottom w:w="60" w:type="dxa"/>
              <w:right w:w="80" w:type="dxa"/>
            </w:tcMar>
            <w:vAlign w:val="center"/>
          </w:tcPr>
          <w:p w14:paraId="350D6B0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5ECF248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4BB887F0"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0143CD92"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c>
          <w:tcPr>
            <w:tcW w:w="567" w:type="dxa"/>
            <w:tcMar>
              <w:top w:w="60" w:type="dxa"/>
              <w:left w:w="80" w:type="dxa"/>
              <w:bottom w:w="60" w:type="dxa"/>
              <w:right w:w="80" w:type="dxa"/>
            </w:tcMar>
            <w:vAlign w:val="center"/>
          </w:tcPr>
          <w:p w14:paraId="2132032D"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Times New Roman" w:eastAsia="Noto Naskh Arabic" w:hAnsi="Times New Roman" w:cs="Times New Roman"/>
                <w:rtl/>
              </w:rPr>
              <w:t>□</w:t>
            </w:r>
          </w:p>
        </w:tc>
      </w:tr>
    </w:tbl>
    <w:p w14:paraId="11A2941C" w14:textId="77777777" w:rsidR="002D0DD5" w:rsidRPr="002D0DD5" w:rsidRDefault="002D0DD5" w:rsidP="002D0DD5">
      <w:pPr>
        <w:bidi/>
        <w:spacing w:after="40" w:line="240" w:lineRule="auto"/>
        <w:jc w:val="right"/>
        <w:rPr>
          <w:rFonts w:ascii="Simplified Arabic" w:eastAsia="Arial" w:hAnsi="Simplified Arabic" w:cs="Simplified Arabic"/>
        </w:rPr>
      </w:pPr>
    </w:p>
    <w:p w14:paraId="25189F59" w14:textId="77777777" w:rsidR="002D0DD5" w:rsidRPr="002D0DD5" w:rsidRDefault="002D0DD5" w:rsidP="002D0DD5">
      <w:pPr>
        <w:keepNext/>
        <w:bidi/>
        <w:spacing w:after="100" w:line="240" w:lineRule="auto"/>
        <w:rPr>
          <w:rFonts w:ascii="Simplified Arabic" w:eastAsia="Noto Naskh Arabic" w:hAnsi="Simplified Arabic" w:cs="Simplified Arabic"/>
          <w:bCs/>
          <w:color w:val="000000"/>
        </w:rPr>
      </w:pPr>
      <w:r w:rsidRPr="002D0DD5">
        <w:rPr>
          <w:rFonts w:ascii="Simplified Arabic" w:eastAsia="Noto Naskh Arabic" w:hAnsi="Simplified Arabic" w:cs="Simplified Arabic"/>
          <w:bCs/>
          <w:color w:val="000000"/>
          <w:rtl/>
        </w:rPr>
        <w:t>سؤال مفتوح اختياري</w:t>
      </w:r>
    </w:p>
    <w:p w14:paraId="3CA5D8C2"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41796E3E"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rtl/>
        </w:rPr>
        <w:t>................................................................................................................................................................</w:t>
      </w:r>
    </w:p>
    <w:p w14:paraId="6A8727EC" w14:textId="77777777" w:rsidR="002D0DD5" w:rsidRPr="002D0DD5" w:rsidRDefault="002D0DD5" w:rsidP="002D0DD5">
      <w:pPr>
        <w:bidi/>
        <w:spacing w:after="60" w:line="240" w:lineRule="auto"/>
        <w:rPr>
          <w:rFonts w:ascii="Simplified Arabic" w:eastAsia="Arial" w:hAnsi="Simplified Arabic" w:cs="Simplified Arabic"/>
        </w:rPr>
      </w:pPr>
      <w:r w:rsidRPr="002D0DD5">
        <w:rPr>
          <w:rFonts w:ascii="Simplified Arabic" w:eastAsia="Noto Naskh Arabic" w:hAnsi="Simplified Arabic" w:cs="Simplified Arabic"/>
          <w:rtl/>
        </w:rPr>
        <w:t>................................................................................................................................................................</w:t>
      </w:r>
    </w:p>
    <w:p w14:paraId="5E137C0C" w14:textId="77777777" w:rsidR="002D0DD5" w:rsidRPr="002D0DD5" w:rsidRDefault="002D0DD5" w:rsidP="002D0DD5">
      <w:pPr>
        <w:bidi/>
        <w:spacing w:after="60" w:line="240" w:lineRule="auto"/>
        <w:rPr>
          <w:rFonts w:ascii="Simplified Arabic" w:eastAsia="Arial" w:hAnsi="Simplified Arabic" w:cs="Simplified Arabic"/>
          <w:rtl/>
        </w:rPr>
      </w:pPr>
      <w:r w:rsidRPr="002D0DD5">
        <w:rPr>
          <w:rFonts w:ascii="Simplified Arabic" w:eastAsia="Noto Naskh Arabic" w:hAnsi="Simplified Arabic" w:cs="Simplified Arabic"/>
          <w:rtl/>
        </w:rPr>
        <w:t>................................................................................................................................................................</w:t>
      </w:r>
    </w:p>
    <w:p w14:paraId="2C8AC71B" w14:textId="77777777" w:rsidR="002D0DD5" w:rsidRPr="002D0DD5" w:rsidRDefault="002D0DD5" w:rsidP="002D0DD5">
      <w:pPr>
        <w:keepNext/>
        <w:bidi/>
        <w:spacing w:after="120" w:line="256" w:lineRule="auto"/>
        <w:rPr>
          <w:rFonts w:ascii="Simplified Arabic" w:eastAsia="Noto Naskh Arabic" w:hAnsi="Simplified Arabic" w:cs="Simplified Arabic"/>
          <w:b/>
          <w:color w:val="006699"/>
        </w:rPr>
      </w:pPr>
    </w:p>
    <w:p w14:paraId="63051C1E" w14:textId="77777777" w:rsidR="002D0DD5" w:rsidRPr="002D0DD5" w:rsidRDefault="002D0DD5" w:rsidP="002D0DD5">
      <w:pPr>
        <w:keepNext/>
        <w:bidi/>
        <w:spacing w:after="120" w:line="256" w:lineRule="auto"/>
        <w:rPr>
          <w:rFonts w:ascii="Simplified Arabic" w:eastAsia="Calibri" w:hAnsi="Simplified Arabic" w:cs="Simplified Arabic"/>
          <w:bCs/>
          <w:rtl/>
        </w:rPr>
      </w:pPr>
      <w:r w:rsidRPr="002D0DD5">
        <w:rPr>
          <w:rFonts w:ascii="Simplified Arabic" w:eastAsia="Noto Naskh Arabic" w:hAnsi="Simplified Arabic" w:cs="Simplified Arabic"/>
          <w:bCs/>
          <w:color w:val="006699"/>
          <w:rtl/>
        </w:rPr>
        <w:t>البيانات الشخصية والوظيفية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3"/>
        <w:gridCol w:w="2445"/>
        <w:gridCol w:w="5172"/>
      </w:tblGrid>
      <w:tr w:rsidR="002D0DD5" w:rsidRPr="002D0DD5" w14:paraId="6DBD4D44"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56148569"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b/>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6C4EF72A"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b/>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2C6D0749"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b/>
                <w:rtl/>
              </w:rPr>
              <w:t>الخيارات</w:t>
            </w:r>
          </w:p>
        </w:tc>
      </w:tr>
      <w:tr w:rsidR="002D0DD5" w:rsidRPr="002D0DD5" w14:paraId="6F70FABC"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24A0A10"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D70D211"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C37B03E"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ذكر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أنثى</w:t>
            </w:r>
          </w:p>
        </w:tc>
      </w:tr>
      <w:tr w:rsidR="002D0DD5" w:rsidRPr="002D0DD5" w14:paraId="3217A16E"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C4FF1AF"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F7BC4A"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7FF2413"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أقل من 25 سنة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من 25 إلى أقل من 35 سنة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من 35 إلى أقل من 45 سنة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45 سنة فأكثر</w:t>
            </w:r>
          </w:p>
        </w:tc>
      </w:tr>
      <w:tr w:rsidR="002D0DD5" w:rsidRPr="002D0DD5" w14:paraId="2D153A4E"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F98D01A"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47458CD"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E7F84C4"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دبلوم فأقل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بكالوريوس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ماجستير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دكتوراه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أخرى: .................</w:t>
            </w:r>
          </w:p>
        </w:tc>
      </w:tr>
      <w:tr w:rsidR="002D0DD5" w:rsidRPr="002D0DD5" w14:paraId="37D26A11"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26A99C8"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lastRenderedPageBreak/>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E9A4028"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E9C28B5"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تخطيط واستراتيجية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إبداع وتصميم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كتابة إعلانية/محتوى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تحليل بيانات وأداء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إدارة حسابات وعملاء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إدارة حملات/شراء إعلامي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إدارة عليا/إشرافية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أخرى: .................</w:t>
            </w:r>
          </w:p>
        </w:tc>
      </w:tr>
      <w:tr w:rsidR="002D0DD5" w:rsidRPr="002D0DD5" w14:paraId="030C1A15"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E3BDE80"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9D3A38C"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73623E6"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أقل من 3 سنوات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من 3 إلى أقل من 7 سنوات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من 7 إلى أقل من 10 سنوات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10 سنوات فأكثر</w:t>
            </w:r>
          </w:p>
        </w:tc>
      </w:tr>
      <w:tr w:rsidR="002D0DD5" w:rsidRPr="002D0DD5" w14:paraId="4B60A18B"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2513DD9"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BE5361"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D91546C"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صغيرة: أقل من 30 موظفًا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متوسطة: من 30 إلى أقل من 100 موظف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كبيرة: 100 موظف فأكثر</w:t>
            </w:r>
          </w:p>
        </w:tc>
      </w:tr>
      <w:tr w:rsidR="002D0DD5" w:rsidRPr="002D0DD5" w14:paraId="3B395FE5"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522415D"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color w:val="FF0000"/>
              </w:rPr>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E326DE5"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color w:val="FF000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FAEAD41"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الرياض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جدة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الدمام</w:t>
            </w:r>
          </w:p>
        </w:tc>
      </w:tr>
      <w:tr w:rsidR="002D0DD5" w:rsidRPr="002D0DD5" w14:paraId="061DDCDB"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320A065"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color w:val="FF000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5B6121E"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color w:val="FF0000"/>
                <w:rtl/>
              </w:rPr>
              <w:t>طبيعة العملاء الذين تخدمهم الوكالة غالبًا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4E1D10E"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جهات حكومية/شبه حكومية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شركات كبرى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منشآت صغيرة ومتوسطة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علامات تجارية ناشئة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قطاعات متعددة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أخرى: .................</w:t>
            </w:r>
          </w:p>
        </w:tc>
      </w:tr>
      <w:tr w:rsidR="002D0DD5" w:rsidRPr="002D0DD5" w14:paraId="402DFC0F"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2AE7E12"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B276170"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0D1EAEA"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استخدام فردي محدود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استخدام تجريبي داخل بعض الفرق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استخدام منتظم في بعض المشاريع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استخدام مؤسسي مدمج في سير العمل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لا أعلم</w:t>
            </w:r>
          </w:p>
        </w:tc>
      </w:tr>
      <w:tr w:rsidR="002D0DD5" w:rsidRPr="002D0DD5" w14:paraId="27E1632C"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2B9867"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6826FCD"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507D0C8"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نماذج لغوية مثل </w:t>
            </w:r>
            <w:r w:rsidRPr="002D0DD5">
              <w:rPr>
                <w:rFonts w:ascii="Simplified Arabic" w:eastAsia="Noto Naskh Arabic" w:hAnsi="Simplified Arabic" w:cs="Simplified Arabic" w:hint="cs"/>
              </w:rPr>
              <w:t>ChatGPT/Gemini</w:t>
            </w:r>
            <w:r w:rsidRPr="002D0DD5">
              <w:rPr>
                <w:rFonts w:ascii="Simplified Arabic" w:eastAsia="Noto Naskh Arabic" w:hAnsi="Simplified Arabic" w:cs="Simplified Arabic" w:hint="cs"/>
                <w:rtl/>
              </w:rPr>
              <w:t xml:space="preserve">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أدوات توليد صور وتصاميم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أدوات توليد فيديو/صوت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أدوات تحليل/تلخيص وتقارير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أدوات أتمتة وتسويق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لا أعلم/غير محدد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أخرى: .................</w:t>
            </w:r>
          </w:p>
        </w:tc>
      </w:tr>
      <w:tr w:rsidR="002D0DD5" w:rsidRPr="002D0DD5" w14:paraId="10FE63B5"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CA652A6"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color w:val="FF000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3BD5E9A"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color w:val="FF000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2E331E7"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لا توجد حملات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حملة واحدة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من 2 إلى 5 حملات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من 6 إلى 10 حملات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أكثر من 10 حملات</w:t>
            </w:r>
          </w:p>
        </w:tc>
      </w:tr>
      <w:tr w:rsidR="002D0DD5" w:rsidRPr="002D0DD5" w14:paraId="284FF27A"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43C2BE"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4929809"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6DF8721"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نعم، مكتوبة وواضحة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نعم، لكنها غير مكتملة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لا توجد   </w:t>
            </w:r>
            <w:r w:rsidRPr="002D0DD5">
              <w:rPr>
                <w:rFonts w:ascii="Times New Roman" w:eastAsia="Noto Naskh Arabic" w:hAnsi="Times New Roman" w:cs="Times New Roman" w:hint="cs"/>
                <w:rtl/>
              </w:rPr>
              <w:t>□</w:t>
            </w:r>
            <w:r w:rsidRPr="002D0DD5">
              <w:rPr>
                <w:rFonts w:ascii="Simplified Arabic" w:eastAsia="Noto Naskh Arabic" w:hAnsi="Simplified Arabic" w:cs="Simplified Arabic" w:hint="cs"/>
                <w:rtl/>
              </w:rPr>
              <w:t xml:space="preserve"> لا أعلم</w:t>
            </w:r>
          </w:p>
        </w:tc>
      </w:tr>
      <w:tr w:rsidR="002D0DD5" w:rsidRPr="002D0DD5" w14:paraId="5B486CEF"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E1604F8"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color w:val="FF000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DC95EFB"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color w:val="FF0000"/>
                <w:rtl/>
              </w:rPr>
              <w:t>طبيعة علاقتك بأدوات الذكاء الاصطناعي التوليدي في الحملات التسويقية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14DA890"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أستخدم الأدوات مباشرة في عملي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أراجع أو أحرر المخرجات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أشارك في قرار استخدام الأدوات أو اختيارها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أشرف على المخرجات أو أعتمدها</w:t>
            </w:r>
          </w:p>
        </w:tc>
      </w:tr>
      <w:tr w:rsidR="002D0DD5" w:rsidRPr="002D0DD5" w14:paraId="1F1EFB3A" w14:textId="77777777" w:rsidTr="00911285">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487F7C0" w14:textId="77777777" w:rsidR="002D0DD5" w:rsidRPr="002D0DD5" w:rsidRDefault="002D0DD5" w:rsidP="002D0DD5">
            <w:pPr>
              <w:bidi/>
              <w:spacing w:after="0" w:line="256" w:lineRule="auto"/>
              <w:jc w:val="center"/>
              <w:rPr>
                <w:rFonts w:ascii="Simplified Arabic" w:eastAsia="Arial" w:hAnsi="Simplified Arabic" w:cs="Simplified Arabic"/>
              </w:rPr>
            </w:pPr>
            <w:r w:rsidRPr="002D0DD5">
              <w:rPr>
                <w:rFonts w:ascii="Simplified Arabic" w:eastAsia="Noto Naskh Arabic" w:hAnsi="Simplified Arabic" w:cs="Simplified Arabic" w:hint="cs"/>
                <w:color w:val="FF0000"/>
              </w:rPr>
              <w:t>P14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F383BF1"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Simplified Arabic" w:eastAsia="Noto Naskh Arabic" w:hAnsi="Simplified Arabic" w:cs="Simplified Arabic" w:hint="cs"/>
                <w:color w:val="FF0000"/>
                <w:rtl/>
              </w:rPr>
              <w:t>قناة الوصول إلى الاستبانة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B60796C" w14:textId="77777777" w:rsidR="002D0DD5" w:rsidRPr="002D0DD5" w:rsidRDefault="002D0DD5" w:rsidP="002D0DD5">
            <w:pPr>
              <w:bidi/>
              <w:spacing w:after="0" w:line="256" w:lineRule="auto"/>
              <w:rPr>
                <w:rFonts w:ascii="Simplified Arabic" w:eastAsia="Arial" w:hAnsi="Simplified Arabic" w:cs="Simplified Arabic"/>
              </w:rPr>
            </w:pP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عن طريق الوكالة/المدير المباشر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جمعية أو مجموعة مهنية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LinkedIn   </w:t>
            </w:r>
            <w:r w:rsidRPr="002D0DD5">
              <w:rPr>
                <w:rFonts w:ascii="Times New Roman" w:eastAsia="Noto Naskh Arabic" w:hAnsi="Times New Roman" w:cs="Times New Roman" w:hint="cs"/>
                <w:color w:val="FF0000"/>
                <w:rtl/>
              </w:rPr>
              <w:t>□</w:t>
            </w:r>
            <w:r w:rsidRPr="002D0DD5">
              <w:rPr>
                <w:rFonts w:ascii="Simplified Arabic" w:eastAsia="Noto Naskh Arabic" w:hAnsi="Simplified Arabic" w:cs="Simplified Arabic" w:hint="cs"/>
                <w:color w:val="FF0000"/>
                <w:rtl/>
              </w:rPr>
              <w:t xml:space="preserve"> شبكة شخصية/إحالة</w:t>
            </w:r>
          </w:p>
        </w:tc>
      </w:tr>
    </w:tbl>
    <w:p w14:paraId="0298B57E" w14:textId="77777777" w:rsidR="002D0DD5" w:rsidRPr="002D0DD5" w:rsidRDefault="002D0DD5" w:rsidP="002D0DD5">
      <w:pPr>
        <w:bidi/>
        <w:spacing w:after="0" w:line="240" w:lineRule="auto"/>
        <w:jc w:val="both"/>
        <w:rPr>
          <w:rFonts w:ascii="Simplified Arabic" w:eastAsia="Arial" w:hAnsi="Simplified Arabic" w:cs="Simplified Arabic"/>
        </w:rPr>
      </w:pPr>
      <w:r w:rsidRPr="002D0DD5">
        <w:rPr>
          <w:rFonts w:ascii="Simplified Arabic" w:eastAsia="Arial" w:hAnsi="Simplified Arabic" w:cs="Simplified Arabic"/>
        </w:rPr>
        <w:lastRenderedPageBreak/>
        <w:br w:type="page"/>
      </w:r>
    </w:p>
    <w:p w14:paraId="377758F3" w14:textId="77777777" w:rsidR="002D0DD5" w:rsidRPr="002D0DD5" w:rsidRDefault="002D0DD5" w:rsidP="002D0DD5">
      <w:pPr>
        <w:keepNext/>
        <w:bidi/>
        <w:spacing w:after="120" w:line="240" w:lineRule="auto"/>
        <w:jc w:val="center"/>
        <w:rPr>
          <w:rFonts w:ascii="Sakkal Majalla" w:eastAsia="Arial" w:hAnsi="Sakkal Majalla" w:cs="Sakkal Majalla"/>
          <w:bCs/>
          <w:sz w:val="28"/>
          <w:szCs w:val="28"/>
          <w:u w:val="single"/>
        </w:rPr>
      </w:pPr>
      <w:r w:rsidRPr="002D0DD5">
        <w:rPr>
          <w:rFonts w:ascii="Sakkal Majalla" w:eastAsia="Noto Naskh Arabic" w:hAnsi="Sakkal Majalla" w:cs="Sakkal Majalla"/>
          <w:bCs/>
          <w:color w:val="FF0000"/>
          <w:sz w:val="36"/>
          <w:szCs w:val="28"/>
          <w:u w:val="single"/>
          <w:rtl/>
        </w:rPr>
        <w:lastRenderedPageBreak/>
        <w:t>ملحق (ب): ربط فقرات أداة الدراسة بمصادرها وطبيعة التعديل</w:t>
      </w:r>
    </w:p>
    <w:p w14:paraId="789C2244" w14:textId="77777777" w:rsidR="002D0DD5" w:rsidRPr="002D0DD5" w:rsidRDefault="002D0DD5" w:rsidP="002D0DD5">
      <w:pPr>
        <w:bidi/>
        <w:spacing w:after="60" w:line="240" w:lineRule="auto"/>
        <w:rPr>
          <w:rFonts w:ascii="Arial" w:eastAsia="Arial" w:hAnsi="Arial" w:cs="Arial"/>
        </w:rPr>
      </w:pPr>
      <w:r w:rsidRPr="002D0DD5">
        <w:rPr>
          <w:rFonts w:ascii="Sakkal Majalla" w:eastAsia="Noto Naskh Arabic" w:hAnsi="Sakkal Majalla" w:cs="Sakkal Majalla"/>
          <w:color w:val="FF0000"/>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7"/>
        <w:gridCol w:w="2589"/>
        <w:gridCol w:w="2413"/>
        <w:gridCol w:w="2501"/>
      </w:tblGrid>
      <w:tr w:rsidR="002D0DD5" w:rsidRPr="002D0DD5" w14:paraId="1D9BC057" w14:textId="77777777" w:rsidTr="00911285">
        <w:trPr>
          <w:trHeight w:val="503"/>
          <w:jc w:val="center"/>
        </w:trPr>
        <w:tc>
          <w:tcPr>
            <w:tcW w:w="964" w:type="dxa"/>
            <w:shd w:val="clear" w:color="auto" w:fill="D9D9D9"/>
            <w:tcMar>
              <w:top w:w="60" w:type="dxa"/>
              <w:left w:w="80" w:type="dxa"/>
              <w:bottom w:w="60" w:type="dxa"/>
              <w:right w:w="80" w:type="dxa"/>
            </w:tcMar>
            <w:vAlign w:val="center"/>
          </w:tcPr>
          <w:p w14:paraId="18DB8032" w14:textId="77777777" w:rsidR="002D0DD5" w:rsidRPr="002D0DD5" w:rsidRDefault="002D0DD5" w:rsidP="002D0DD5">
            <w:pPr>
              <w:bidi/>
              <w:spacing w:after="0" w:line="240" w:lineRule="auto"/>
              <w:jc w:val="center"/>
              <w:rPr>
                <w:rFonts w:ascii="Arial" w:eastAsia="Arial" w:hAnsi="Arial" w:cs="Arial"/>
                <w:sz w:val="20"/>
                <w:szCs w:val="24"/>
              </w:rPr>
            </w:pPr>
            <w:r w:rsidRPr="002D0DD5">
              <w:rPr>
                <w:rFonts w:ascii="Times New Roman" w:eastAsia="Noto Naskh Arabic" w:hAnsi="Times New Roman" w:cs="Arial"/>
                <w:b/>
                <w:color w:val="FF0000"/>
                <w:sz w:val="20"/>
                <w:szCs w:val="24"/>
                <w:rtl/>
              </w:rPr>
              <w:t>رمز الفقرة</w:t>
            </w:r>
          </w:p>
        </w:tc>
        <w:tc>
          <w:tcPr>
            <w:tcW w:w="3288" w:type="dxa"/>
            <w:shd w:val="clear" w:color="auto" w:fill="D9D9D9"/>
            <w:tcMar>
              <w:top w:w="60" w:type="dxa"/>
              <w:left w:w="80" w:type="dxa"/>
              <w:bottom w:w="60" w:type="dxa"/>
              <w:right w:w="80" w:type="dxa"/>
            </w:tcMar>
            <w:vAlign w:val="center"/>
          </w:tcPr>
          <w:p w14:paraId="37D1AA73" w14:textId="77777777" w:rsidR="002D0DD5" w:rsidRPr="002D0DD5" w:rsidRDefault="002D0DD5" w:rsidP="002D0DD5">
            <w:pPr>
              <w:bidi/>
              <w:spacing w:after="0" w:line="240" w:lineRule="auto"/>
              <w:jc w:val="center"/>
              <w:rPr>
                <w:rFonts w:ascii="Arial" w:eastAsia="Arial" w:hAnsi="Arial" w:cs="Arial"/>
                <w:sz w:val="20"/>
                <w:szCs w:val="24"/>
              </w:rPr>
            </w:pPr>
            <w:r w:rsidRPr="002D0DD5">
              <w:rPr>
                <w:rFonts w:ascii="Times New Roman" w:eastAsia="Noto Naskh Arabic" w:hAnsi="Times New Roman" w:cs="Arial"/>
                <w:b/>
                <w:color w:val="FF0000"/>
                <w:sz w:val="20"/>
                <w:szCs w:val="24"/>
                <w:rtl/>
              </w:rPr>
              <w:t>الفقرة</w:t>
            </w:r>
          </w:p>
        </w:tc>
        <w:tc>
          <w:tcPr>
            <w:tcW w:w="3061" w:type="dxa"/>
            <w:shd w:val="clear" w:color="auto" w:fill="D9D9D9"/>
            <w:tcMar>
              <w:top w:w="60" w:type="dxa"/>
              <w:left w:w="80" w:type="dxa"/>
              <w:bottom w:w="60" w:type="dxa"/>
              <w:right w:w="80" w:type="dxa"/>
            </w:tcMar>
            <w:vAlign w:val="center"/>
          </w:tcPr>
          <w:p w14:paraId="0184BEAB" w14:textId="77777777" w:rsidR="002D0DD5" w:rsidRPr="002D0DD5" w:rsidRDefault="002D0DD5" w:rsidP="002D0DD5">
            <w:pPr>
              <w:bidi/>
              <w:spacing w:after="0" w:line="240" w:lineRule="auto"/>
              <w:jc w:val="center"/>
              <w:rPr>
                <w:rFonts w:ascii="Arial" w:eastAsia="Arial" w:hAnsi="Arial" w:cs="Arial"/>
                <w:sz w:val="20"/>
                <w:szCs w:val="24"/>
              </w:rPr>
            </w:pPr>
            <w:r w:rsidRPr="002D0DD5">
              <w:rPr>
                <w:rFonts w:ascii="Times New Roman" w:eastAsia="Noto Naskh Arabic" w:hAnsi="Times New Roman" w:cs="Arial"/>
                <w:b/>
                <w:color w:val="FF0000"/>
                <w:sz w:val="20"/>
                <w:szCs w:val="24"/>
                <w:rtl/>
              </w:rPr>
              <w:t>المصدر</w:t>
            </w:r>
          </w:p>
        </w:tc>
        <w:tc>
          <w:tcPr>
            <w:tcW w:w="3175" w:type="dxa"/>
            <w:shd w:val="clear" w:color="auto" w:fill="D9D9D9"/>
            <w:tcMar>
              <w:top w:w="60" w:type="dxa"/>
              <w:left w:w="80" w:type="dxa"/>
              <w:bottom w:w="60" w:type="dxa"/>
              <w:right w:w="80" w:type="dxa"/>
            </w:tcMar>
            <w:vAlign w:val="center"/>
          </w:tcPr>
          <w:p w14:paraId="5C936522" w14:textId="77777777" w:rsidR="002D0DD5" w:rsidRPr="002D0DD5" w:rsidRDefault="002D0DD5" w:rsidP="002D0DD5">
            <w:pPr>
              <w:bidi/>
              <w:spacing w:after="0" w:line="240" w:lineRule="auto"/>
              <w:jc w:val="center"/>
              <w:rPr>
                <w:rFonts w:ascii="Arial" w:eastAsia="Arial" w:hAnsi="Arial" w:cs="Arial"/>
                <w:sz w:val="20"/>
                <w:szCs w:val="24"/>
              </w:rPr>
            </w:pPr>
            <w:r w:rsidRPr="002D0DD5">
              <w:rPr>
                <w:rFonts w:ascii="Times New Roman" w:eastAsia="Noto Naskh Arabic" w:hAnsi="Times New Roman" w:cs="Arial"/>
                <w:b/>
                <w:color w:val="FF0000"/>
                <w:sz w:val="20"/>
                <w:szCs w:val="24"/>
                <w:rtl/>
              </w:rPr>
              <w:t>طبيعة التعديل</w:t>
            </w:r>
          </w:p>
        </w:tc>
      </w:tr>
      <w:tr w:rsidR="002D0DD5" w:rsidRPr="002D0DD5" w14:paraId="5662D152" w14:textId="77777777" w:rsidTr="00911285">
        <w:trPr>
          <w:jc w:val="center"/>
        </w:trPr>
        <w:tc>
          <w:tcPr>
            <w:tcW w:w="964" w:type="dxa"/>
            <w:tcMar>
              <w:top w:w="60" w:type="dxa"/>
              <w:left w:w="80" w:type="dxa"/>
              <w:bottom w:w="60" w:type="dxa"/>
              <w:right w:w="80" w:type="dxa"/>
            </w:tcMar>
            <w:vAlign w:val="center"/>
          </w:tcPr>
          <w:p w14:paraId="7B2E99A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GAIU1</w:t>
            </w:r>
          </w:p>
        </w:tc>
        <w:tc>
          <w:tcPr>
            <w:tcW w:w="3288" w:type="dxa"/>
            <w:tcMar>
              <w:top w:w="60" w:type="dxa"/>
              <w:left w:w="80" w:type="dxa"/>
              <w:bottom w:w="60" w:type="dxa"/>
              <w:right w:w="80" w:type="dxa"/>
            </w:tcMar>
            <w:vAlign w:val="center"/>
          </w:tcPr>
          <w:p w14:paraId="45C88F0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تحليل السوق والاتجاهات قبل تصميم الحملة</w:t>
            </w:r>
          </w:p>
        </w:tc>
        <w:tc>
          <w:tcPr>
            <w:tcW w:w="3061" w:type="dxa"/>
            <w:tcMar>
              <w:top w:w="60" w:type="dxa"/>
              <w:left w:w="80" w:type="dxa"/>
              <w:bottom w:w="60" w:type="dxa"/>
              <w:right w:w="80" w:type="dxa"/>
            </w:tcMar>
            <w:vAlign w:val="center"/>
          </w:tcPr>
          <w:p w14:paraId="3A23DBC8" w14:textId="77777777" w:rsidR="002D0DD5" w:rsidRPr="002D0DD5" w:rsidRDefault="002D0DD5" w:rsidP="002D0DD5">
            <w:pPr>
              <w:bidi/>
              <w:spacing w:after="0" w:line="240" w:lineRule="auto"/>
              <w:jc w:val="right"/>
              <w:rPr>
                <w:rFonts w:ascii="Arial" w:eastAsia="Arial" w:hAnsi="Arial" w:cs="Arial"/>
              </w:rPr>
            </w:pPr>
            <w:r w:rsidRPr="002D0DD5">
              <w:rPr>
                <w:rFonts w:ascii="Times New Roman" w:eastAsia="Noto Naskh Arabic" w:hAnsi="Times New Roman" w:cs="Arial"/>
                <w:color w:val="FF0000"/>
                <w:sz w:val="18"/>
                <w:rtl/>
              </w:rPr>
              <w:t>Islam et al. (2024); Sharabati et al. (2024)</w:t>
            </w:r>
          </w:p>
        </w:tc>
        <w:tc>
          <w:tcPr>
            <w:tcW w:w="3175" w:type="dxa"/>
            <w:tcMar>
              <w:top w:w="60" w:type="dxa"/>
              <w:left w:w="80" w:type="dxa"/>
              <w:bottom w:w="60" w:type="dxa"/>
              <w:right w:w="80" w:type="dxa"/>
            </w:tcMar>
            <w:vAlign w:val="center"/>
          </w:tcPr>
          <w:p w14:paraId="0CB3522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ربطت الفقرة بمرحلة التخطيط والتحليل داخل وكالات التسويق السعودية.</w:t>
            </w:r>
          </w:p>
        </w:tc>
      </w:tr>
      <w:tr w:rsidR="002D0DD5" w:rsidRPr="002D0DD5" w14:paraId="73EBDDFB" w14:textId="77777777" w:rsidTr="00911285">
        <w:trPr>
          <w:jc w:val="center"/>
        </w:trPr>
        <w:tc>
          <w:tcPr>
            <w:tcW w:w="964" w:type="dxa"/>
            <w:tcMar>
              <w:top w:w="60" w:type="dxa"/>
              <w:left w:w="80" w:type="dxa"/>
              <w:bottom w:w="60" w:type="dxa"/>
              <w:right w:w="80" w:type="dxa"/>
            </w:tcMar>
            <w:vAlign w:val="center"/>
          </w:tcPr>
          <w:p w14:paraId="2805110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GAIU2</w:t>
            </w:r>
          </w:p>
        </w:tc>
        <w:tc>
          <w:tcPr>
            <w:tcW w:w="3288" w:type="dxa"/>
            <w:tcMar>
              <w:top w:w="60" w:type="dxa"/>
              <w:left w:w="80" w:type="dxa"/>
              <w:bottom w:w="60" w:type="dxa"/>
              <w:right w:w="80" w:type="dxa"/>
            </w:tcMar>
            <w:vAlign w:val="center"/>
          </w:tcPr>
          <w:p w14:paraId="656A2183"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بناء تصورات عن الجمهور وتقسيمه</w:t>
            </w:r>
          </w:p>
        </w:tc>
        <w:tc>
          <w:tcPr>
            <w:tcW w:w="3061" w:type="dxa"/>
            <w:tcMar>
              <w:top w:w="60" w:type="dxa"/>
              <w:left w:w="80" w:type="dxa"/>
              <w:bottom w:w="60" w:type="dxa"/>
              <w:right w:w="80" w:type="dxa"/>
            </w:tcMar>
            <w:vAlign w:val="center"/>
          </w:tcPr>
          <w:p w14:paraId="339489B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Mendoza et al. (2025); Heitmann (2024)</w:t>
            </w:r>
          </w:p>
        </w:tc>
        <w:tc>
          <w:tcPr>
            <w:tcW w:w="3175" w:type="dxa"/>
            <w:tcMar>
              <w:top w:w="60" w:type="dxa"/>
              <w:left w:w="80" w:type="dxa"/>
              <w:bottom w:w="60" w:type="dxa"/>
              <w:right w:w="80" w:type="dxa"/>
            </w:tcMar>
            <w:vAlign w:val="center"/>
          </w:tcPr>
          <w:p w14:paraId="6474E7C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صياغة الفقرة لقياس فهم الجمهور ودقة الاستهداف.</w:t>
            </w:r>
          </w:p>
        </w:tc>
      </w:tr>
      <w:tr w:rsidR="002D0DD5" w:rsidRPr="002D0DD5" w14:paraId="79B959DE" w14:textId="77777777" w:rsidTr="00911285">
        <w:trPr>
          <w:jc w:val="center"/>
        </w:trPr>
        <w:tc>
          <w:tcPr>
            <w:tcW w:w="964" w:type="dxa"/>
            <w:tcMar>
              <w:top w:w="60" w:type="dxa"/>
              <w:left w:w="80" w:type="dxa"/>
              <w:bottom w:w="60" w:type="dxa"/>
              <w:right w:w="80" w:type="dxa"/>
            </w:tcMar>
            <w:vAlign w:val="center"/>
          </w:tcPr>
          <w:p w14:paraId="3AAFE49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GAIU3</w:t>
            </w:r>
          </w:p>
        </w:tc>
        <w:tc>
          <w:tcPr>
            <w:tcW w:w="3288" w:type="dxa"/>
            <w:tcMar>
              <w:top w:w="60" w:type="dxa"/>
              <w:left w:w="80" w:type="dxa"/>
              <w:bottom w:w="60" w:type="dxa"/>
              <w:right w:w="80" w:type="dxa"/>
            </w:tcMar>
            <w:vAlign w:val="center"/>
          </w:tcPr>
          <w:p w14:paraId="08E138D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توليد أفكار ومفاهيم إبداعية</w:t>
            </w:r>
          </w:p>
        </w:tc>
        <w:tc>
          <w:tcPr>
            <w:tcW w:w="3061" w:type="dxa"/>
            <w:tcMar>
              <w:top w:w="60" w:type="dxa"/>
              <w:left w:w="80" w:type="dxa"/>
              <w:bottom w:w="60" w:type="dxa"/>
              <w:right w:w="80" w:type="dxa"/>
            </w:tcMar>
            <w:vAlign w:val="center"/>
          </w:tcPr>
          <w:p w14:paraId="434D7A19"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E51F89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تخصيص الفقرة لمرحلة الإبداع وتوليد المفاهيم الأولية.</w:t>
            </w:r>
          </w:p>
        </w:tc>
      </w:tr>
      <w:tr w:rsidR="002D0DD5" w:rsidRPr="002D0DD5" w14:paraId="415BA5AE" w14:textId="77777777" w:rsidTr="00911285">
        <w:trPr>
          <w:jc w:val="center"/>
        </w:trPr>
        <w:tc>
          <w:tcPr>
            <w:tcW w:w="964" w:type="dxa"/>
            <w:tcMar>
              <w:top w:w="60" w:type="dxa"/>
              <w:left w:w="80" w:type="dxa"/>
              <w:bottom w:w="60" w:type="dxa"/>
              <w:right w:w="80" w:type="dxa"/>
            </w:tcMar>
            <w:vAlign w:val="center"/>
          </w:tcPr>
          <w:p w14:paraId="56B98445"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GAIU4</w:t>
            </w:r>
          </w:p>
        </w:tc>
        <w:tc>
          <w:tcPr>
            <w:tcW w:w="3288" w:type="dxa"/>
            <w:tcMar>
              <w:top w:w="60" w:type="dxa"/>
              <w:left w:w="80" w:type="dxa"/>
              <w:bottom w:w="60" w:type="dxa"/>
              <w:right w:w="80" w:type="dxa"/>
            </w:tcMar>
            <w:vAlign w:val="center"/>
          </w:tcPr>
          <w:p w14:paraId="2614373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صياغة بدائل متعددة للنصوص والرسائل</w:t>
            </w:r>
          </w:p>
        </w:tc>
        <w:tc>
          <w:tcPr>
            <w:tcW w:w="3061" w:type="dxa"/>
            <w:tcMar>
              <w:top w:w="60" w:type="dxa"/>
              <w:left w:w="80" w:type="dxa"/>
              <w:bottom w:w="60" w:type="dxa"/>
              <w:right w:w="80" w:type="dxa"/>
            </w:tcMar>
            <w:vAlign w:val="center"/>
          </w:tcPr>
          <w:p w14:paraId="70960A6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Islam et al. (2024); Gujar &amp; Panyam (2024)</w:t>
            </w:r>
          </w:p>
        </w:tc>
        <w:tc>
          <w:tcPr>
            <w:tcW w:w="3175" w:type="dxa"/>
            <w:tcMar>
              <w:top w:w="60" w:type="dxa"/>
              <w:left w:w="80" w:type="dxa"/>
              <w:bottom w:w="60" w:type="dxa"/>
              <w:right w:w="80" w:type="dxa"/>
            </w:tcMar>
            <w:vAlign w:val="center"/>
          </w:tcPr>
          <w:p w14:paraId="4719BC5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إنتاج النصوص التسويقية والرسائل الرئيسة للحملة.</w:t>
            </w:r>
          </w:p>
        </w:tc>
      </w:tr>
      <w:tr w:rsidR="002D0DD5" w:rsidRPr="002D0DD5" w14:paraId="3BB96DCC" w14:textId="77777777" w:rsidTr="00911285">
        <w:trPr>
          <w:jc w:val="center"/>
        </w:trPr>
        <w:tc>
          <w:tcPr>
            <w:tcW w:w="964" w:type="dxa"/>
            <w:tcMar>
              <w:top w:w="60" w:type="dxa"/>
              <w:left w:w="80" w:type="dxa"/>
              <w:bottom w:w="60" w:type="dxa"/>
              <w:right w:w="80" w:type="dxa"/>
            </w:tcMar>
            <w:vAlign w:val="center"/>
          </w:tcPr>
          <w:p w14:paraId="73EFEE0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GAIU5</w:t>
            </w:r>
          </w:p>
        </w:tc>
        <w:tc>
          <w:tcPr>
            <w:tcW w:w="3288" w:type="dxa"/>
            <w:tcMar>
              <w:top w:w="60" w:type="dxa"/>
              <w:left w:w="80" w:type="dxa"/>
              <w:bottom w:w="60" w:type="dxa"/>
              <w:right w:w="80" w:type="dxa"/>
            </w:tcMar>
            <w:vAlign w:val="center"/>
          </w:tcPr>
          <w:p w14:paraId="568AAED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إنتاج تصورات أو عناصر تصميمية مبدئية</w:t>
            </w:r>
          </w:p>
        </w:tc>
        <w:tc>
          <w:tcPr>
            <w:tcW w:w="3061" w:type="dxa"/>
            <w:tcMar>
              <w:top w:w="60" w:type="dxa"/>
              <w:left w:w="80" w:type="dxa"/>
              <w:bottom w:w="60" w:type="dxa"/>
              <w:right w:w="80" w:type="dxa"/>
            </w:tcMar>
            <w:vAlign w:val="center"/>
          </w:tcPr>
          <w:p w14:paraId="216298D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5E8F54E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إضافة البعد البصري بوصفه جزءًا من تصميم الحملات الرقمية.</w:t>
            </w:r>
          </w:p>
        </w:tc>
      </w:tr>
      <w:tr w:rsidR="002D0DD5" w:rsidRPr="002D0DD5" w14:paraId="50554735" w14:textId="77777777" w:rsidTr="00911285">
        <w:trPr>
          <w:jc w:val="center"/>
        </w:trPr>
        <w:tc>
          <w:tcPr>
            <w:tcW w:w="964" w:type="dxa"/>
            <w:tcMar>
              <w:top w:w="60" w:type="dxa"/>
              <w:left w:w="80" w:type="dxa"/>
              <w:bottom w:w="60" w:type="dxa"/>
              <w:right w:w="80" w:type="dxa"/>
            </w:tcMar>
            <w:vAlign w:val="center"/>
          </w:tcPr>
          <w:p w14:paraId="53B60E5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GAIU6</w:t>
            </w:r>
          </w:p>
        </w:tc>
        <w:tc>
          <w:tcPr>
            <w:tcW w:w="3288" w:type="dxa"/>
            <w:tcMar>
              <w:top w:w="60" w:type="dxa"/>
              <w:left w:w="80" w:type="dxa"/>
              <w:bottom w:w="60" w:type="dxa"/>
              <w:right w:w="80" w:type="dxa"/>
            </w:tcMar>
            <w:vAlign w:val="center"/>
          </w:tcPr>
          <w:p w14:paraId="0A4FFFC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تكييف المحتوى مع خصائص المنصات الرقمية</w:t>
            </w:r>
          </w:p>
        </w:tc>
        <w:tc>
          <w:tcPr>
            <w:tcW w:w="3061" w:type="dxa"/>
            <w:tcMar>
              <w:top w:w="60" w:type="dxa"/>
              <w:left w:w="80" w:type="dxa"/>
              <w:bottom w:w="60" w:type="dxa"/>
              <w:right w:w="80" w:type="dxa"/>
            </w:tcMar>
            <w:vAlign w:val="center"/>
          </w:tcPr>
          <w:p w14:paraId="3A148B0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Islam et al. (2024); Heitmann (2024)</w:t>
            </w:r>
          </w:p>
        </w:tc>
        <w:tc>
          <w:tcPr>
            <w:tcW w:w="3175" w:type="dxa"/>
            <w:tcMar>
              <w:top w:w="60" w:type="dxa"/>
              <w:left w:w="80" w:type="dxa"/>
              <w:bottom w:w="60" w:type="dxa"/>
              <w:right w:w="80" w:type="dxa"/>
            </w:tcMar>
            <w:vAlign w:val="center"/>
          </w:tcPr>
          <w:p w14:paraId="412555B1"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بملاءمة المحتوى للمنصات المختلفة.</w:t>
            </w:r>
          </w:p>
        </w:tc>
      </w:tr>
      <w:tr w:rsidR="002D0DD5" w:rsidRPr="002D0DD5" w14:paraId="077FB2B0" w14:textId="77777777" w:rsidTr="00911285">
        <w:trPr>
          <w:jc w:val="center"/>
        </w:trPr>
        <w:tc>
          <w:tcPr>
            <w:tcW w:w="964" w:type="dxa"/>
            <w:tcMar>
              <w:top w:w="60" w:type="dxa"/>
              <w:left w:w="80" w:type="dxa"/>
              <w:bottom w:w="60" w:type="dxa"/>
              <w:right w:w="80" w:type="dxa"/>
            </w:tcMar>
            <w:vAlign w:val="center"/>
          </w:tcPr>
          <w:p w14:paraId="7299A94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GAIU7</w:t>
            </w:r>
          </w:p>
        </w:tc>
        <w:tc>
          <w:tcPr>
            <w:tcW w:w="3288" w:type="dxa"/>
            <w:tcMar>
              <w:top w:w="60" w:type="dxa"/>
              <w:left w:w="80" w:type="dxa"/>
              <w:bottom w:w="60" w:type="dxa"/>
              <w:right w:w="80" w:type="dxa"/>
            </w:tcMar>
            <w:vAlign w:val="center"/>
          </w:tcPr>
          <w:p w14:paraId="0BFFC74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اقتراح صيغ للرسائل بحسب شرائح الجمهور</w:t>
            </w:r>
          </w:p>
        </w:tc>
        <w:tc>
          <w:tcPr>
            <w:tcW w:w="3061" w:type="dxa"/>
            <w:tcMar>
              <w:top w:w="60" w:type="dxa"/>
              <w:left w:w="80" w:type="dxa"/>
              <w:bottom w:w="60" w:type="dxa"/>
              <w:right w:w="80" w:type="dxa"/>
            </w:tcMar>
            <w:vAlign w:val="center"/>
          </w:tcPr>
          <w:p w14:paraId="6E8D01E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Mendoza et al. (2025); Nuremberg Institute for Market Decisions (2024)</w:t>
            </w:r>
          </w:p>
        </w:tc>
        <w:tc>
          <w:tcPr>
            <w:tcW w:w="3175" w:type="dxa"/>
            <w:tcMar>
              <w:top w:w="60" w:type="dxa"/>
              <w:left w:w="80" w:type="dxa"/>
              <w:bottom w:w="60" w:type="dxa"/>
              <w:right w:w="80" w:type="dxa"/>
            </w:tcMar>
            <w:vAlign w:val="center"/>
          </w:tcPr>
          <w:p w14:paraId="328DDDB8"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تنويع الرسائل وفق خصائص الجمهور.</w:t>
            </w:r>
          </w:p>
        </w:tc>
      </w:tr>
      <w:tr w:rsidR="002D0DD5" w:rsidRPr="002D0DD5" w14:paraId="33FB37C3" w14:textId="77777777" w:rsidTr="00911285">
        <w:trPr>
          <w:jc w:val="center"/>
        </w:trPr>
        <w:tc>
          <w:tcPr>
            <w:tcW w:w="964" w:type="dxa"/>
            <w:tcMar>
              <w:top w:w="60" w:type="dxa"/>
              <w:left w:w="80" w:type="dxa"/>
              <w:bottom w:w="60" w:type="dxa"/>
              <w:right w:w="80" w:type="dxa"/>
            </w:tcMar>
            <w:vAlign w:val="center"/>
          </w:tcPr>
          <w:p w14:paraId="48F6D16B"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GAIU8</w:t>
            </w:r>
          </w:p>
        </w:tc>
        <w:tc>
          <w:tcPr>
            <w:tcW w:w="3288" w:type="dxa"/>
            <w:tcMar>
              <w:top w:w="60" w:type="dxa"/>
              <w:left w:w="80" w:type="dxa"/>
              <w:bottom w:w="60" w:type="dxa"/>
              <w:right w:w="80" w:type="dxa"/>
            </w:tcMar>
            <w:vAlign w:val="center"/>
          </w:tcPr>
          <w:p w14:paraId="3FCCDAA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إدخال المخرجات في العصف الذهني والمراجعة</w:t>
            </w:r>
          </w:p>
        </w:tc>
        <w:tc>
          <w:tcPr>
            <w:tcW w:w="3061" w:type="dxa"/>
            <w:tcMar>
              <w:top w:w="60" w:type="dxa"/>
              <w:left w:w="80" w:type="dxa"/>
              <w:bottom w:w="60" w:type="dxa"/>
              <w:right w:w="80" w:type="dxa"/>
            </w:tcMar>
            <w:vAlign w:val="center"/>
          </w:tcPr>
          <w:p w14:paraId="30ECF7E9"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IAB Tech Lab (2024); Doshi et al. (2025)</w:t>
            </w:r>
          </w:p>
        </w:tc>
        <w:tc>
          <w:tcPr>
            <w:tcW w:w="3175" w:type="dxa"/>
            <w:tcMar>
              <w:top w:w="60" w:type="dxa"/>
              <w:left w:w="80" w:type="dxa"/>
              <w:bottom w:w="60" w:type="dxa"/>
              <w:right w:w="80" w:type="dxa"/>
            </w:tcMar>
            <w:vAlign w:val="center"/>
          </w:tcPr>
          <w:p w14:paraId="0DEF64D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دمج مخرجات التقنية في سير العمل الجماعي.</w:t>
            </w:r>
          </w:p>
        </w:tc>
      </w:tr>
      <w:tr w:rsidR="002D0DD5" w:rsidRPr="002D0DD5" w14:paraId="025C0486" w14:textId="77777777" w:rsidTr="00911285">
        <w:trPr>
          <w:jc w:val="center"/>
        </w:trPr>
        <w:tc>
          <w:tcPr>
            <w:tcW w:w="964" w:type="dxa"/>
            <w:tcMar>
              <w:top w:w="60" w:type="dxa"/>
              <w:left w:w="80" w:type="dxa"/>
              <w:bottom w:w="60" w:type="dxa"/>
              <w:right w:w="80" w:type="dxa"/>
            </w:tcMar>
            <w:vAlign w:val="center"/>
          </w:tcPr>
          <w:p w14:paraId="4796F02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GAIU9</w:t>
            </w:r>
          </w:p>
        </w:tc>
        <w:tc>
          <w:tcPr>
            <w:tcW w:w="3288" w:type="dxa"/>
            <w:tcMar>
              <w:top w:w="60" w:type="dxa"/>
              <w:left w:w="80" w:type="dxa"/>
              <w:bottom w:w="60" w:type="dxa"/>
              <w:right w:w="80" w:type="dxa"/>
            </w:tcMar>
            <w:vAlign w:val="center"/>
          </w:tcPr>
          <w:p w14:paraId="048810D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تلخيص بيانات الأداء واقتراح تحسينات</w:t>
            </w:r>
          </w:p>
        </w:tc>
        <w:tc>
          <w:tcPr>
            <w:tcW w:w="3061" w:type="dxa"/>
            <w:tcMar>
              <w:top w:w="60" w:type="dxa"/>
              <w:left w:w="80" w:type="dxa"/>
              <w:bottom w:w="60" w:type="dxa"/>
              <w:right w:w="80" w:type="dxa"/>
            </w:tcMar>
            <w:vAlign w:val="center"/>
          </w:tcPr>
          <w:p w14:paraId="72FAC791"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Islam et al. (2024); Doshi et al. (2025)</w:t>
            </w:r>
          </w:p>
        </w:tc>
        <w:tc>
          <w:tcPr>
            <w:tcW w:w="3175" w:type="dxa"/>
            <w:tcMar>
              <w:top w:w="60" w:type="dxa"/>
              <w:left w:w="80" w:type="dxa"/>
              <w:bottom w:w="60" w:type="dxa"/>
              <w:right w:w="80" w:type="dxa"/>
            </w:tcMar>
            <w:vAlign w:val="center"/>
          </w:tcPr>
          <w:p w14:paraId="19C7001C"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بمرحلة التحليل والتحسين.</w:t>
            </w:r>
          </w:p>
        </w:tc>
      </w:tr>
      <w:tr w:rsidR="002D0DD5" w:rsidRPr="002D0DD5" w14:paraId="08EE2193" w14:textId="77777777" w:rsidTr="00911285">
        <w:trPr>
          <w:jc w:val="center"/>
        </w:trPr>
        <w:tc>
          <w:tcPr>
            <w:tcW w:w="964" w:type="dxa"/>
            <w:tcMar>
              <w:top w:w="60" w:type="dxa"/>
              <w:left w:w="80" w:type="dxa"/>
              <w:bottom w:w="60" w:type="dxa"/>
              <w:right w:w="80" w:type="dxa"/>
            </w:tcMar>
            <w:vAlign w:val="center"/>
          </w:tcPr>
          <w:p w14:paraId="1F262DB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GAIU10</w:t>
            </w:r>
          </w:p>
        </w:tc>
        <w:tc>
          <w:tcPr>
            <w:tcW w:w="3288" w:type="dxa"/>
            <w:tcMar>
              <w:top w:w="60" w:type="dxa"/>
              <w:left w:w="80" w:type="dxa"/>
              <w:bottom w:w="60" w:type="dxa"/>
              <w:right w:w="80" w:type="dxa"/>
            </w:tcMar>
            <w:vAlign w:val="center"/>
          </w:tcPr>
          <w:p w14:paraId="16B3D52B"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دمج التقنية في سير عمل تصميم الحملات</w:t>
            </w:r>
          </w:p>
        </w:tc>
        <w:tc>
          <w:tcPr>
            <w:tcW w:w="3061" w:type="dxa"/>
            <w:tcMar>
              <w:top w:w="60" w:type="dxa"/>
              <w:left w:w="80" w:type="dxa"/>
              <w:bottom w:w="60" w:type="dxa"/>
              <w:right w:w="80" w:type="dxa"/>
            </w:tcMar>
            <w:vAlign w:val="center"/>
          </w:tcPr>
          <w:p w14:paraId="0C05926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4CCDA98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مستوى الدمج المؤسسي لا الاستخدام الفردي العارض.</w:t>
            </w:r>
          </w:p>
        </w:tc>
      </w:tr>
      <w:tr w:rsidR="002D0DD5" w:rsidRPr="002D0DD5" w14:paraId="2E50ABEC" w14:textId="77777777" w:rsidTr="00911285">
        <w:trPr>
          <w:jc w:val="center"/>
        </w:trPr>
        <w:tc>
          <w:tcPr>
            <w:tcW w:w="964" w:type="dxa"/>
            <w:tcMar>
              <w:top w:w="60" w:type="dxa"/>
              <w:left w:w="80" w:type="dxa"/>
              <w:bottom w:w="60" w:type="dxa"/>
              <w:right w:w="80" w:type="dxa"/>
            </w:tcMar>
            <w:vAlign w:val="center"/>
          </w:tcPr>
          <w:p w14:paraId="328AC35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CDQ1</w:t>
            </w:r>
          </w:p>
        </w:tc>
        <w:tc>
          <w:tcPr>
            <w:tcW w:w="3288" w:type="dxa"/>
            <w:tcMar>
              <w:top w:w="60" w:type="dxa"/>
              <w:left w:w="80" w:type="dxa"/>
              <w:bottom w:w="60" w:type="dxa"/>
              <w:right w:w="80" w:type="dxa"/>
            </w:tcMar>
            <w:vAlign w:val="center"/>
          </w:tcPr>
          <w:p w14:paraId="1074D0A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6C7452CE"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Heitmann (2024); McKinsey &amp; Company (2024)</w:t>
            </w:r>
          </w:p>
        </w:tc>
        <w:tc>
          <w:tcPr>
            <w:tcW w:w="3175" w:type="dxa"/>
            <w:tcMar>
              <w:top w:w="60" w:type="dxa"/>
              <w:left w:w="80" w:type="dxa"/>
              <w:bottom w:w="60" w:type="dxa"/>
              <w:right w:w="80" w:type="dxa"/>
            </w:tcMar>
            <w:vAlign w:val="center"/>
          </w:tcPr>
          <w:p w14:paraId="45998A0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بمؤشر السرعة في جودة التصميم.</w:t>
            </w:r>
          </w:p>
        </w:tc>
      </w:tr>
      <w:tr w:rsidR="002D0DD5" w:rsidRPr="002D0DD5" w14:paraId="58362D2F" w14:textId="77777777" w:rsidTr="00911285">
        <w:trPr>
          <w:jc w:val="center"/>
        </w:trPr>
        <w:tc>
          <w:tcPr>
            <w:tcW w:w="964" w:type="dxa"/>
            <w:tcMar>
              <w:top w:w="60" w:type="dxa"/>
              <w:left w:w="80" w:type="dxa"/>
              <w:bottom w:w="60" w:type="dxa"/>
              <w:right w:w="80" w:type="dxa"/>
            </w:tcMar>
            <w:vAlign w:val="center"/>
          </w:tcPr>
          <w:p w14:paraId="67E048D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CDQ2</w:t>
            </w:r>
          </w:p>
        </w:tc>
        <w:tc>
          <w:tcPr>
            <w:tcW w:w="3288" w:type="dxa"/>
            <w:tcMar>
              <w:top w:w="60" w:type="dxa"/>
              <w:left w:w="80" w:type="dxa"/>
              <w:bottom w:w="60" w:type="dxa"/>
              <w:right w:w="80" w:type="dxa"/>
            </w:tcMar>
            <w:vAlign w:val="center"/>
          </w:tcPr>
          <w:p w14:paraId="22580EBE"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إنجاز المهام المتكررة بكفاءة أعلى</w:t>
            </w:r>
          </w:p>
        </w:tc>
        <w:tc>
          <w:tcPr>
            <w:tcW w:w="3061" w:type="dxa"/>
            <w:tcMar>
              <w:top w:w="60" w:type="dxa"/>
              <w:left w:w="80" w:type="dxa"/>
              <w:bottom w:w="60" w:type="dxa"/>
              <w:right w:w="80" w:type="dxa"/>
            </w:tcMar>
            <w:vAlign w:val="center"/>
          </w:tcPr>
          <w:p w14:paraId="273A5B4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Islam et al. (2024); McKinsey &amp; Company (2024)</w:t>
            </w:r>
          </w:p>
        </w:tc>
        <w:tc>
          <w:tcPr>
            <w:tcW w:w="3175" w:type="dxa"/>
            <w:tcMar>
              <w:top w:w="60" w:type="dxa"/>
              <w:left w:w="80" w:type="dxa"/>
              <w:bottom w:w="60" w:type="dxa"/>
              <w:right w:w="80" w:type="dxa"/>
            </w:tcMar>
            <w:vAlign w:val="center"/>
          </w:tcPr>
          <w:p w14:paraId="04CD6F5E"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الكفاءة التشغيلية داخل عملية التصميم.</w:t>
            </w:r>
          </w:p>
        </w:tc>
      </w:tr>
      <w:tr w:rsidR="002D0DD5" w:rsidRPr="002D0DD5" w14:paraId="5981B774" w14:textId="77777777" w:rsidTr="00911285">
        <w:trPr>
          <w:jc w:val="center"/>
        </w:trPr>
        <w:tc>
          <w:tcPr>
            <w:tcW w:w="964" w:type="dxa"/>
            <w:tcMar>
              <w:top w:w="60" w:type="dxa"/>
              <w:left w:w="80" w:type="dxa"/>
              <w:bottom w:w="60" w:type="dxa"/>
              <w:right w:w="80" w:type="dxa"/>
            </w:tcMar>
            <w:vAlign w:val="center"/>
          </w:tcPr>
          <w:p w14:paraId="31703B3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CDQ3</w:t>
            </w:r>
          </w:p>
        </w:tc>
        <w:tc>
          <w:tcPr>
            <w:tcW w:w="3288" w:type="dxa"/>
            <w:tcMar>
              <w:top w:w="60" w:type="dxa"/>
              <w:left w:w="80" w:type="dxa"/>
              <w:bottom w:w="60" w:type="dxa"/>
              <w:right w:w="80" w:type="dxa"/>
            </w:tcMar>
            <w:vAlign w:val="center"/>
          </w:tcPr>
          <w:p w14:paraId="399C905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زيادة تنوع البدائل الإبداعية</w:t>
            </w:r>
          </w:p>
        </w:tc>
        <w:tc>
          <w:tcPr>
            <w:tcW w:w="3061" w:type="dxa"/>
            <w:tcMar>
              <w:top w:w="60" w:type="dxa"/>
              <w:left w:w="80" w:type="dxa"/>
              <w:bottom w:w="60" w:type="dxa"/>
              <w:right w:w="80" w:type="dxa"/>
            </w:tcMar>
            <w:vAlign w:val="center"/>
          </w:tcPr>
          <w:p w14:paraId="465A0789"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6DFF9E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بمؤشر تنوع البدائل.</w:t>
            </w:r>
          </w:p>
        </w:tc>
      </w:tr>
      <w:tr w:rsidR="002D0DD5" w:rsidRPr="002D0DD5" w14:paraId="1E54BEE5" w14:textId="77777777" w:rsidTr="00911285">
        <w:trPr>
          <w:jc w:val="center"/>
        </w:trPr>
        <w:tc>
          <w:tcPr>
            <w:tcW w:w="964" w:type="dxa"/>
            <w:tcMar>
              <w:top w:w="60" w:type="dxa"/>
              <w:left w:w="80" w:type="dxa"/>
              <w:bottom w:w="60" w:type="dxa"/>
              <w:right w:w="80" w:type="dxa"/>
            </w:tcMar>
            <w:vAlign w:val="center"/>
          </w:tcPr>
          <w:p w14:paraId="6067B60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CDQ4</w:t>
            </w:r>
          </w:p>
        </w:tc>
        <w:tc>
          <w:tcPr>
            <w:tcW w:w="3288" w:type="dxa"/>
            <w:tcMar>
              <w:top w:w="60" w:type="dxa"/>
              <w:left w:w="80" w:type="dxa"/>
              <w:bottom w:w="60" w:type="dxa"/>
              <w:right w:w="80" w:type="dxa"/>
            </w:tcMar>
            <w:vAlign w:val="center"/>
          </w:tcPr>
          <w:p w14:paraId="05BE2E8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مقارنة البدائل وفق الأهداف والجمهور</w:t>
            </w:r>
          </w:p>
        </w:tc>
        <w:tc>
          <w:tcPr>
            <w:tcW w:w="3061" w:type="dxa"/>
            <w:tcMar>
              <w:top w:w="60" w:type="dxa"/>
              <w:left w:w="80" w:type="dxa"/>
              <w:bottom w:w="60" w:type="dxa"/>
              <w:right w:w="80" w:type="dxa"/>
            </w:tcMar>
            <w:vAlign w:val="center"/>
          </w:tcPr>
          <w:p w14:paraId="6C0C265E"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Doshi et al. (2025); Nguyen et al. (2025)</w:t>
            </w:r>
          </w:p>
        </w:tc>
        <w:tc>
          <w:tcPr>
            <w:tcW w:w="3175" w:type="dxa"/>
            <w:tcMar>
              <w:top w:w="60" w:type="dxa"/>
              <w:left w:w="80" w:type="dxa"/>
              <w:bottom w:w="60" w:type="dxa"/>
              <w:right w:w="80" w:type="dxa"/>
            </w:tcMar>
            <w:vAlign w:val="center"/>
          </w:tcPr>
          <w:p w14:paraId="2928D3DE"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إضافة معيار المفاضلة العلمية بين البدائل.</w:t>
            </w:r>
          </w:p>
        </w:tc>
      </w:tr>
      <w:tr w:rsidR="002D0DD5" w:rsidRPr="002D0DD5" w14:paraId="47AD95F6" w14:textId="77777777" w:rsidTr="00911285">
        <w:trPr>
          <w:jc w:val="center"/>
        </w:trPr>
        <w:tc>
          <w:tcPr>
            <w:tcW w:w="964" w:type="dxa"/>
            <w:tcMar>
              <w:top w:w="60" w:type="dxa"/>
              <w:left w:w="80" w:type="dxa"/>
              <w:bottom w:w="60" w:type="dxa"/>
              <w:right w:w="80" w:type="dxa"/>
            </w:tcMar>
            <w:vAlign w:val="center"/>
          </w:tcPr>
          <w:p w14:paraId="342C297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lastRenderedPageBreak/>
              <w:t>CDQ5</w:t>
            </w:r>
          </w:p>
        </w:tc>
        <w:tc>
          <w:tcPr>
            <w:tcW w:w="3288" w:type="dxa"/>
            <w:tcMar>
              <w:top w:w="60" w:type="dxa"/>
              <w:left w:w="80" w:type="dxa"/>
              <w:bottom w:w="60" w:type="dxa"/>
              <w:right w:w="80" w:type="dxa"/>
            </w:tcMar>
            <w:vAlign w:val="center"/>
          </w:tcPr>
          <w:p w14:paraId="1D3F7EA4"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اتساق الرسائل والمخرجات مع هوية العلامة</w:t>
            </w:r>
          </w:p>
        </w:tc>
        <w:tc>
          <w:tcPr>
            <w:tcW w:w="3061" w:type="dxa"/>
            <w:tcMar>
              <w:top w:w="60" w:type="dxa"/>
              <w:left w:w="80" w:type="dxa"/>
              <w:bottom w:w="60" w:type="dxa"/>
              <w:right w:w="80" w:type="dxa"/>
            </w:tcMar>
            <w:vAlign w:val="center"/>
          </w:tcPr>
          <w:p w14:paraId="27EA2D3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5DD4CC4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الاتساق مع الهوية لا الجودة العامة فقط.</w:t>
            </w:r>
          </w:p>
        </w:tc>
      </w:tr>
      <w:tr w:rsidR="002D0DD5" w:rsidRPr="002D0DD5" w14:paraId="68723982" w14:textId="77777777" w:rsidTr="00911285">
        <w:trPr>
          <w:jc w:val="center"/>
        </w:trPr>
        <w:tc>
          <w:tcPr>
            <w:tcW w:w="964" w:type="dxa"/>
            <w:tcMar>
              <w:top w:w="60" w:type="dxa"/>
              <w:left w:w="80" w:type="dxa"/>
              <w:bottom w:w="60" w:type="dxa"/>
              <w:right w:w="80" w:type="dxa"/>
            </w:tcMar>
            <w:vAlign w:val="center"/>
          </w:tcPr>
          <w:p w14:paraId="695ED3D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CDQ6</w:t>
            </w:r>
          </w:p>
        </w:tc>
        <w:tc>
          <w:tcPr>
            <w:tcW w:w="3288" w:type="dxa"/>
            <w:tcMar>
              <w:top w:w="60" w:type="dxa"/>
              <w:left w:w="80" w:type="dxa"/>
              <w:bottom w:w="60" w:type="dxa"/>
              <w:right w:w="80" w:type="dxa"/>
            </w:tcMar>
            <w:vAlign w:val="center"/>
          </w:tcPr>
          <w:p w14:paraId="75F2826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تحسين دقة تصور الجمهور قبل الإطلاق</w:t>
            </w:r>
          </w:p>
        </w:tc>
        <w:tc>
          <w:tcPr>
            <w:tcW w:w="3061" w:type="dxa"/>
            <w:tcMar>
              <w:top w:w="60" w:type="dxa"/>
              <w:left w:w="80" w:type="dxa"/>
              <w:bottom w:w="60" w:type="dxa"/>
              <w:right w:w="80" w:type="dxa"/>
            </w:tcMar>
            <w:vAlign w:val="center"/>
          </w:tcPr>
          <w:p w14:paraId="738271D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Heitmann (2024); Mendoza et al. (2025)</w:t>
            </w:r>
          </w:p>
        </w:tc>
        <w:tc>
          <w:tcPr>
            <w:tcW w:w="3175" w:type="dxa"/>
            <w:tcMar>
              <w:top w:w="60" w:type="dxa"/>
              <w:left w:w="80" w:type="dxa"/>
              <w:bottom w:w="60" w:type="dxa"/>
              <w:right w:w="80" w:type="dxa"/>
            </w:tcMar>
            <w:vAlign w:val="center"/>
          </w:tcPr>
          <w:p w14:paraId="6E55B0F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بدقة الاستهداف قبل إطلاق الحملة.</w:t>
            </w:r>
          </w:p>
        </w:tc>
      </w:tr>
      <w:tr w:rsidR="002D0DD5" w:rsidRPr="002D0DD5" w14:paraId="5CDD2185" w14:textId="77777777" w:rsidTr="00911285">
        <w:trPr>
          <w:jc w:val="center"/>
        </w:trPr>
        <w:tc>
          <w:tcPr>
            <w:tcW w:w="964" w:type="dxa"/>
            <w:tcMar>
              <w:top w:w="60" w:type="dxa"/>
              <w:left w:w="80" w:type="dxa"/>
              <w:bottom w:w="60" w:type="dxa"/>
              <w:right w:w="80" w:type="dxa"/>
            </w:tcMar>
            <w:vAlign w:val="center"/>
          </w:tcPr>
          <w:p w14:paraId="01152B5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CDQ7</w:t>
            </w:r>
          </w:p>
        </w:tc>
        <w:tc>
          <w:tcPr>
            <w:tcW w:w="3288" w:type="dxa"/>
            <w:tcMar>
              <w:top w:w="60" w:type="dxa"/>
              <w:left w:w="80" w:type="dxa"/>
              <w:bottom w:w="60" w:type="dxa"/>
              <w:right w:w="80" w:type="dxa"/>
            </w:tcMar>
            <w:vAlign w:val="center"/>
          </w:tcPr>
          <w:p w14:paraId="242C466E"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تخصيص المحتوى حسب الشرائح والمنصات</w:t>
            </w:r>
          </w:p>
        </w:tc>
        <w:tc>
          <w:tcPr>
            <w:tcW w:w="3061" w:type="dxa"/>
            <w:tcMar>
              <w:top w:w="60" w:type="dxa"/>
              <w:left w:w="80" w:type="dxa"/>
              <w:bottom w:w="60" w:type="dxa"/>
              <w:right w:w="80" w:type="dxa"/>
            </w:tcMar>
            <w:vAlign w:val="center"/>
          </w:tcPr>
          <w:p w14:paraId="5196A8A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1BD1DB7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تخصيص المحتوى حسب الجمهور والمنصة.</w:t>
            </w:r>
          </w:p>
        </w:tc>
      </w:tr>
      <w:tr w:rsidR="002D0DD5" w:rsidRPr="002D0DD5" w14:paraId="51CE1050" w14:textId="77777777" w:rsidTr="00911285">
        <w:trPr>
          <w:jc w:val="center"/>
        </w:trPr>
        <w:tc>
          <w:tcPr>
            <w:tcW w:w="964" w:type="dxa"/>
            <w:tcMar>
              <w:top w:w="60" w:type="dxa"/>
              <w:left w:w="80" w:type="dxa"/>
              <w:bottom w:w="60" w:type="dxa"/>
              <w:right w:w="80" w:type="dxa"/>
            </w:tcMar>
            <w:vAlign w:val="center"/>
          </w:tcPr>
          <w:p w14:paraId="2A5BDB7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CDQ8</w:t>
            </w:r>
          </w:p>
        </w:tc>
        <w:tc>
          <w:tcPr>
            <w:tcW w:w="3288" w:type="dxa"/>
            <w:tcMar>
              <w:top w:w="60" w:type="dxa"/>
              <w:left w:w="80" w:type="dxa"/>
              <w:bottom w:w="60" w:type="dxa"/>
              <w:right w:w="80" w:type="dxa"/>
            </w:tcMar>
            <w:vAlign w:val="center"/>
          </w:tcPr>
          <w:p w14:paraId="20FFFAAB"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دعم دورة المراجعة والتحسين</w:t>
            </w:r>
          </w:p>
        </w:tc>
        <w:tc>
          <w:tcPr>
            <w:tcW w:w="3061" w:type="dxa"/>
            <w:tcMar>
              <w:top w:w="60" w:type="dxa"/>
              <w:left w:w="80" w:type="dxa"/>
              <w:bottom w:w="60" w:type="dxa"/>
              <w:right w:w="80" w:type="dxa"/>
            </w:tcMar>
            <w:vAlign w:val="center"/>
          </w:tcPr>
          <w:p w14:paraId="174024B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IAB Tech Lab (2024); Nguyen et al. (2025)</w:t>
            </w:r>
          </w:p>
        </w:tc>
        <w:tc>
          <w:tcPr>
            <w:tcW w:w="3175" w:type="dxa"/>
            <w:tcMar>
              <w:top w:w="60" w:type="dxa"/>
              <w:left w:w="80" w:type="dxa"/>
              <w:bottom w:w="60" w:type="dxa"/>
              <w:right w:w="80" w:type="dxa"/>
            </w:tcMar>
            <w:vAlign w:val="center"/>
          </w:tcPr>
          <w:p w14:paraId="12CCB1C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بالمراجعة والتحسين المستمر.</w:t>
            </w:r>
          </w:p>
        </w:tc>
      </w:tr>
      <w:tr w:rsidR="002D0DD5" w:rsidRPr="002D0DD5" w14:paraId="56971E9F" w14:textId="77777777" w:rsidTr="00911285">
        <w:trPr>
          <w:jc w:val="center"/>
        </w:trPr>
        <w:tc>
          <w:tcPr>
            <w:tcW w:w="964" w:type="dxa"/>
            <w:tcMar>
              <w:top w:w="60" w:type="dxa"/>
              <w:left w:w="80" w:type="dxa"/>
              <w:bottom w:w="60" w:type="dxa"/>
              <w:right w:w="80" w:type="dxa"/>
            </w:tcMar>
            <w:vAlign w:val="center"/>
          </w:tcPr>
          <w:p w14:paraId="6954BD2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ADP1</w:t>
            </w:r>
          </w:p>
        </w:tc>
        <w:tc>
          <w:tcPr>
            <w:tcW w:w="3288" w:type="dxa"/>
            <w:tcMar>
              <w:top w:w="60" w:type="dxa"/>
              <w:left w:w="80" w:type="dxa"/>
              <w:bottom w:w="60" w:type="dxa"/>
              <w:right w:w="80" w:type="dxa"/>
            </w:tcMar>
            <w:vAlign w:val="center"/>
          </w:tcPr>
          <w:p w14:paraId="72E9772D"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تقليص الوقت اللازم للتخطيط والإنتاج</w:t>
            </w:r>
          </w:p>
        </w:tc>
        <w:tc>
          <w:tcPr>
            <w:tcW w:w="3061" w:type="dxa"/>
            <w:tcMar>
              <w:top w:w="60" w:type="dxa"/>
              <w:left w:w="80" w:type="dxa"/>
              <w:bottom w:w="60" w:type="dxa"/>
              <w:right w:w="80" w:type="dxa"/>
            </w:tcMar>
            <w:vAlign w:val="center"/>
          </w:tcPr>
          <w:p w14:paraId="018DFCC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McKinsey &amp; Company (2024); Bazurto Pico &amp; Sánchez Bailón (2025)</w:t>
            </w:r>
          </w:p>
        </w:tc>
        <w:tc>
          <w:tcPr>
            <w:tcW w:w="3175" w:type="dxa"/>
            <w:tcMar>
              <w:top w:w="60" w:type="dxa"/>
              <w:left w:w="80" w:type="dxa"/>
              <w:bottom w:w="60" w:type="dxa"/>
              <w:right w:w="80" w:type="dxa"/>
            </w:tcMar>
            <w:vAlign w:val="center"/>
          </w:tcPr>
          <w:p w14:paraId="3F27027C"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الدافع التشغيلي المرتبط بتقليل الوقت.</w:t>
            </w:r>
          </w:p>
        </w:tc>
      </w:tr>
      <w:tr w:rsidR="002D0DD5" w:rsidRPr="002D0DD5" w14:paraId="1C4AD653" w14:textId="77777777" w:rsidTr="00911285">
        <w:trPr>
          <w:jc w:val="center"/>
        </w:trPr>
        <w:tc>
          <w:tcPr>
            <w:tcW w:w="964" w:type="dxa"/>
            <w:tcMar>
              <w:top w:w="60" w:type="dxa"/>
              <w:left w:w="80" w:type="dxa"/>
              <w:bottom w:w="60" w:type="dxa"/>
              <w:right w:w="80" w:type="dxa"/>
            </w:tcMar>
            <w:vAlign w:val="center"/>
          </w:tcPr>
          <w:p w14:paraId="7E7E9B5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ADP2</w:t>
            </w:r>
          </w:p>
        </w:tc>
        <w:tc>
          <w:tcPr>
            <w:tcW w:w="3288" w:type="dxa"/>
            <w:tcMar>
              <w:top w:w="60" w:type="dxa"/>
              <w:left w:w="80" w:type="dxa"/>
              <w:bottom w:w="60" w:type="dxa"/>
              <w:right w:w="80" w:type="dxa"/>
            </w:tcMar>
            <w:vAlign w:val="center"/>
          </w:tcPr>
          <w:p w14:paraId="5A195F4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رفع إنتاجية فرق العمل</w:t>
            </w:r>
          </w:p>
        </w:tc>
        <w:tc>
          <w:tcPr>
            <w:tcW w:w="3061" w:type="dxa"/>
            <w:tcMar>
              <w:top w:w="60" w:type="dxa"/>
              <w:left w:w="80" w:type="dxa"/>
              <w:bottom w:w="60" w:type="dxa"/>
              <w:right w:w="80" w:type="dxa"/>
            </w:tcMar>
            <w:vAlign w:val="center"/>
          </w:tcPr>
          <w:p w14:paraId="1A69BD9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Masnita et al. (2024); Islam et al. (2024)</w:t>
            </w:r>
          </w:p>
        </w:tc>
        <w:tc>
          <w:tcPr>
            <w:tcW w:w="3175" w:type="dxa"/>
            <w:tcMar>
              <w:top w:w="60" w:type="dxa"/>
              <w:left w:w="80" w:type="dxa"/>
              <w:bottom w:w="60" w:type="dxa"/>
              <w:right w:w="80" w:type="dxa"/>
            </w:tcMar>
            <w:vAlign w:val="center"/>
          </w:tcPr>
          <w:p w14:paraId="659B925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دافع الإنتاجية داخل الوكالات.</w:t>
            </w:r>
          </w:p>
        </w:tc>
      </w:tr>
      <w:tr w:rsidR="002D0DD5" w:rsidRPr="002D0DD5" w14:paraId="157332A8" w14:textId="77777777" w:rsidTr="00911285">
        <w:trPr>
          <w:jc w:val="center"/>
        </w:trPr>
        <w:tc>
          <w:tcPr>
            <w:tcW w:w="964" w:type="dxa"/>
            <w:tcMar>
              <w:top w:w="60" w:type="dxa"/>
              <w:left w:w="80" w:type="dxa"/>
              <w:bottom w:w="60" w:type="dxa"/>
              <w:right w:w="80" w:type="dxa"/>
            </w:tcMar>
            <w:vAlign w:val="center"/>
          </w:tcPr>
          <w:p w14:paraId="7E0CEE23"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ADP3</w:t>
            </w:r>
          </w:p>
        </w:tc>
        <w:tc>
          <w:tcPr>
            <w:tcW w:w="3288" w:type="dxa"/>
            <w:tcMar>
              <w:top w:w="60" w:type="dxa"/>
              <w:left w:w="80" w:type="dxa"/>
              <w:bottom w:w="60" w:type="dxa"/>
              <w:right w:w="80" w:type="dxa"/>
            </w:tcMar>
            <w:vAlign w:val="center"/>
          </w:tcPr>
          <w:p w14:paraId="5118B99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3C93A51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Kshetri et al. (2023); Heitmann (2024)</w:t>
            </w:r>
          </w:p>
        </w:tc>
        <w:tc>
          <w:tcPr>
            <w:tcW w:w="3175" w:type="dxa"/>
            <w:tcMar>
              <w:top w:w="60" w:type="dxa"/>
              <w:left w:w="80" w:type="dxa"/>
              <w:bottom w:w="60" w:type="dxa"/>
              <w:right w:w="80" w:type="dxa"/>
            </w:tcMar>
            <w:vAlign w:val="center"/>
          </w:tcPr>
          <w:p w14:paraId="07319D7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بتحويل الجهد إلى المهام الأعلى قيمة.</w:t>
            </w:r>
          </w:p>
        </w:tc>
      </w:tr>
      <w:tr w:rsidR="002D0DD5" w:rsidRPr="002D0DD5" w14:paraId="41C3927F" w14:textId="77777777" w:rsidTr="00911285">
        <w:trPr>
          <w:jc w:val="center"/>
        </w:trPr>
        <w:tc>
          <w:tcPr>
            <w:tcW w:w="964" w:type="dxa"/>
            <w:tcMar>
              <w:top w:w="60" w:type="dxa"/>
              <w:left w:w="80" w:type="dxa"/>
              <w:bottom w:w="60" w:type="dxa"/>
              <w:right w:w="80" w:type="dxa"/>
            </w:tcMar>
            <w:vAlign w:val="center"/>
          </w:tcPr>
          <w:p w14:paraId="7F6B08A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ADP4</w:t>
            </w:r>
          </w:p>
        </w:tc>
        <w:tc>
          <w:tcPr>
            <w:tcW w:w="3288" w:type="dxa"/>
            <w:tcMar>
              <w:top w:w="60" w:type="dxa"/>
              <w:left w:w="80" w:type="dxa"/>
              <w:bottom w:w="60" w:type="dxa"/>
              <w:right w:w="80" w:type="dxa"/>
            </w:tcMar>
            <w:vAlign w:val="center"/>
          </w:tcPr>
          <w:p w14:paraId="4837122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خفض تكاليف المهام التشغيلية المتكررة</w:t>
            </w:r>
          </w:p>
        </w:tc>
        <w:tc>
          <w:tcPr>
            <w:tcW w:w="3061" w:type="dxa"/>
            <w:tcMar>
              <w:top w:w="60" w:type="dxa"/>
              <w:left w:w="80" w:type="dxa"/>
              <w:bottom w:w="60" w:type="dxa"/>
              <w:right w:w="80" w:type="dxa"/>
            </w:tcMar>
            <w:vAlign w:val="center"/>
          </w:tcPr>
          <w:p w14:paraId="03BF6FC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McKinsey &amp; Company (2024); Kumar (2023)</w:t>
            </w:r>
          </w:p>
        </w:tc>
        <w:tc>
          <w:tcPr>
            <w:tcW w:w="3175" w:type="dxa"/>
            <w:tcMar>
              <w:top w:w="60" w:type="dxa"/>
              <w:left w:w="80" w:type="dxa"/>
              <w:bottom w:w="60" w:type="dxa"/>
              <w:right w:w="80" w:type="dxa"/>
            </w:tcMar>
            <w:vAlign w:val="center"/>
          </w:tcPr>
          <w:p w14:paraId="622F0AF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دافع تقليل التكلفة.</w:t>
            </w:r>
          </w:p>
        </w:tc>
      </w:tr>
      <w:tr w:rsidR="002D0DD5" w:rsidRPr="002D0DD5" w14:paraId="054E5B32" w14:textId="77777777" w:rsidTr="00911285">
        <w:trPr>
          <w:jc w:val="center"/>
        </w:trPr>
        <w:tc>
          <w:tcPr>
            <w:tcW w:w="964" w:type="dxa"/>
            <w:tcMar>
              <w:top w:w="60" w:type="dxa"/>
              <w:left w:w="80" w:type="dxa"/>
              <w:bottom w:w="60" w:type="dxa"/>
              <w:right w:w="80" w:type="dxa"/>
            </w:tcMar>
            <w:vAlign w:val="center"/>
          </w:tcPr>
          <w:p w14:paraId="06D7EEE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ADP5</w:t>
            </w:r>
          </w:p>
        </w:tc>
        <w:tc>
          <w:tcPr>
            <w:tcW w:w="3288" w:type="dxa"/>
            <w:tcMar>
              <w:top w:w="60" w:type="dxa"/>
              <w:left w:w="80" w:type="dxa"/>
              <w:bottom w:w="60" w:type="dxa"/>
              <w:right w:w="80" w:type="dxa"/>
            </w:tcMar>
            <w:vAlign w:val="center"/>
          </w:tcPr>
          <w:p w14:paraId="24F4C273"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توقعات العملاء لمخرجات أسرع وأكثر تنوعًا</w:t>
            </w:r>
          </w:p>
        </w:tc>
        <w:tc>
          <w:tcPr>
            <w:tcW w:w="3061" w:type="dxa"/>
            <w:tcMar>
              <w:top w:w="60" w:type="dxa"/>
              <w:left w:w="80" w:type="dxa"/>
              <w:bottom w:w="60" w:type="dxa"/>
              <w:right w:w="80" w:type="dxa"/>
            </w:tcMar>
            <w:vAlign w:val="center"/>
          </w:tcPr>
          <w:p w14:paraId="5CD487E6"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Masnita et al. (2024)</w:t>
            </w:r>
          </w:p>
        </w:tc>
        <w:tc>
          <w:tcPr>
            <w:tcW w:w="3175" w:type="dxa"/>
            <w:tcMar>
              <w:top w:w="60" w:type="dxa"/>
              <w:left w:w="80" w:type="dxa"/>
              <w:bottom w:w="60" w:type="dxa"/>
              <w:right w:w="80" w:type="dxa"/>
            </w:tcMar>
            <w:vAlign w:val="center"/>
          </w:tcPr>
          <w:p w14:paraId="606E5F64"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إضافة توقعات العملاء بوصفها دافعًا سوقيًا.</w:t>
            </w:r>
          </w:p>
        </w:tc>
      </w:tr>
      <w:tr w:rsidR="002D0DD5" w:rsidRPr="002D0DD5" w14:paraId="79632449" w14:textId="77777777" w:rsidTr="00911285">
        <w:trPr>
          <w:jc w:val="center"/>
        </w:trPr>
        <w:tc>
          <w:tcPr>
            <w:tcW w:w="964" w:type="dxa"/>
            <w:tcMar>
              <w:top w:w="60" w:type="dxa"/>
              <w:left w:w="80" w:type="dxa"/>
              <w:bottom w:w="60" w:type="dxa"/>
              <w:right w:w="80" w:type="dxa"/>
            </w:tcMar>
            <w:vAlign w:val="center"/>
          </w:tcPr>
          <w:p w14:paraId="2A0D34CE"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ADP6</w:t>
            </w:r>
          </w:p>
        </w:tc>
        <w:tc>
          <w:tcPr>
            <w:tcW w:w="3288" w:type="dxa"/>
            <w:tcMar>
              <w:top w:w="60" w:type="dxa"/>
              <w:left w:w="80" w:type="dxa"/>
              <w:bottom w:w="60" w:type="dxa"/>
              <w:right w:w="80" w:type="dxa"/>
            </w:tcMar>
            <w:vAlign w:val="center"/>
          </w:tcPr>
          <w:p w14:paraId="57AF79AF"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مواكبة المنافسين وتقديم خدمات أكثر تطورًا</w:t>
            </w:r>
          </w:p>
        </w:tc>
        <w:tc>
          <w:tcPr>
            <w:tcW w:w="3061" w:type="dxa"/>
            <w:tcMar>
              <w:top w:w="60" w:type="dxa"/>
              <w:left w:w="80" w:type="dxa"/>
              <w:bottom w:w="60" w:type="dxa"/>
              <w:right w:w="80" w:type="dxa"/>
            </w:tcMar>
            <w:vAlign w:val="center"/>
          </w:tcPr>
          <w:p w14:paraId="01DC06E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Sharabati et al. (2024); العتيبي واليوبي (2024)</w:t>
            </w:r>
          </w:p>
        </w:tc>
        <w:tc>
          <w:tcPr>
            <w:tcW w:w="3175" w:type="dxa"/>
            <w:tcMar>
              <w:top w:w="60" w:type="dxa"/>
              <w:left w:w="80" w:type="dxa"/>
              <w:bottom w:w="60" w:type="dxa"/>
              <w:right w:w="80" w:type="dxa"/>
            </w:tcMar>
            <w:vAlign w:val="center"/>
          </w:tcPr>
          <w:p w14:paraId="71021EC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الدافع التنافسي والابتكار التسويقي.</w:t>
            </w:r>
          </w:p>
        </w:tc>
      </w:tr>
      <w:tr w:rsidR="002D0DD5" w:rsidRPr="002D0DD5" w14:paraId="1DD11204" w14:textId="77777777" w:rsidTr="00911285">
        <w:trPr>
          <w:jc w:val="center"/>
        </w:trPr>
        <w:tc>
          <w:tcPr>
            <w:tcW w:w="964" w:type="dxa"/>
            <w:tcMar>
              <w:top w:w="60" w:type="dxa"/>
              <w:left w:w="80" w:type="dxa"/>
              <w:bottom w:w="60" w:type="dxa"/>
              <w:right w:w="80" w:type="dxa"/>
            </w:tcMar>
            <w:vAlign w:val="center"/>
          </w:tcPr>
          <w:p w14:paraId="6B74089E"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ADP7</w:t>
            </w:r>
          </w:p>
        </w:tc>
        <w:tc>
          <w:tcPr>
            <w:tcW w:w="3288" w:type="dxa"/>
            <w:tcMar>
              <w:top w:w="60" w:type="dxa"/>
              <w:left w:w="80" w:type="dxa"/>
              <w:bottom w:w="60" w:type="dxa"/>
              <w:right w:w="80" w:type="dxa"/>
            </w:tcMar>
            <w:vAlign w:val="center"/>
          </w:tcPr>
          <w:p w14:paraId="5D7B783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تحسين تخصيص الرسائل والمحتوى</w:t>
            </w:r>
          </w:p>
        </w:tc>
        <w:tc>
          <w:tcPr>
            <w:tcW w:w="3061" w:type="dxa"/>
            <w:tcMar>
              <w:top w:w="60" w:type="dxa"/>
              <w:left w:w="80" w:type="dxa"/>
              <w:bottom w:w="60" w:type="dxa"/>
              <w:right w:w="80" w:type="dxa"/>
            </w:tcMar>
            <w:vAlign w:val="center"/>
          </w:tcPr>
          <w:p w14:paraId="64C0396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3D666F8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دافع التخصيص.</w:t>
            </w:r>
          </w:p>
        </w:tc>
      </w:tr>
      <w:tr w:rsidR="002D0DD5" w:rsidRPr="002D0DD5" w14:paraId="129E007E" w14:textId="77777777" w:rsidTr="00911285">
        <w:trPr>
          <w:jc w:val="center"/>
        </w:trPr>
        <w:tc>
          <w:tcPr>
            <w:tcW w:w="964" w:type="dxa"/>
            <w:tcMar>
              <w:top w:w="60" w:type="dxa"/>
              <w:left w:w="80" w:type="dxa"/>
              <w:bottom w:w="60" w:type="dxa"/>
              <w:right w:w="80" w:type="dxa"/>
            </w:tcMar>
            <w:vAlign w:val="center"/>
          </w:tcPr>
          <w:p w14:paraId="78ACEEF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ADP8</w:t>
            </w:r>
          </w:p>
        </w:tc>
        <w:tc>
          <w:tcPr>
            <w:tcW w:w="3288" w:type="dxa"/>
            <w:tcMar>
              <w:top w:w="60" w:type="dxa"/>
              <w:left w:w="80" w:type="dxa"/>
              <w:bottom w:w="60" w:type="dxa"/>
              <w:right w:w="80" w:type="dxa"/>
            </w:tcMar>
            <w:vAlign w:val="center"/>
          </w:tcPr>
          <w:p w14:paraId="1D58F09F"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توليد أفكار وأساليب إبداعية جديدة</w:t>
            </w:r>
          </w:p>
        </w:tc>
        <w:tc>
          <w:tcPr>
            <w:tcW w:w="3061" w:type="dxa"/>
            <w:tcMar>
              <w:top w:w="60" w:type="dxa"/>
              <w:left w:w="80" w:type="dxa"/>
              <w:bottom w:w="60" w:type="dxa"/>
              <w:right w:w="80" w:type="dxa"/>
            </w:tcMar>
            <w:vAlign w:val="center"/>
          </w:tcPr>
          <w:p w14:paraId="7813CAB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2A54CF3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بالدافع الإبداعي.</w:t>
            </w:r>
          </w:p>
        </w:tc>
      </w:tr>
      <w:tr w:rsidR="002D0DD5" w:rsidRPr="002D0DD5" w14:paraId="79522E3A" w14:textId="77777777" w:rsidTr="00911285">
        <w:trPr>
          <w:jc w:val="center"/>
        </w:trPr>
        <w:tc>
          <w:tcPr>
            <w:tcW w:w="964" w:type="dxa"/>
            <w:tcMar>
              <w:top w:w="60" w:type="dxa"/>
              <w:left w:w="80" w:type="dxa"/>
              <w:bottom w:w="60" w:type="dxa"/>
              <w:right w:w="80" w:type="dxa"/>
            </w:tcMar>
            <w:vAlign w:val="center"/>
          </w:tcPr>
          <w:p w14:paraId="5285AC4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ADP9</w:t>
            </w:r>
          </w:p>
        </w:tc>
        <w:tc>
          <w:tcPr>
            <w:tcW w:w="3288" w:type="dxa"/>
            <w:tcMar>
              <w:top w:w="60" w:type="dxa"/>
              <w:left w:w="80" w:type="dxa"/>
              <w:bottom w:w="60" w:type="dxa"/>
              <w:right w:w="80" w:type="dxa"/>
            </w:tcMar>
            <w:vAlign w:val="center"/>
          </w:tcPr>
          <w:p w14:paraId="6D2E023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تقديم قيمة تسويقية أعلى للعملاء</w:t>
            </w:r>
          </w:p>
        </w:tc>
        <w:tc>
          <w:tcPr>
            <w:tcW w:w="3061" w:type="dxa"/>
            <w:tcMar>
              <w:top w:w="60" w:type="dxa"/>
              <w:left w:w="80" w:type="dxa"/>
              <w:bottom w:w="60" w:type="dxa"/>
              <w:right w:w="80" w:type="dxa"/>
            </w:tcMar>
            <w:vAlign w:val="center"/>
          </w:tcPr>
          <w:p w14:paraId="1917F88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Sharabati et al. (2024); Nuremberg Institute for Market Decisions (2024)</w:t>
            </w:r>
          </w:p>
        </w:tc>
        <w:tc>
          <w:tcPr>
            <w:tcW w:w="3175" w:type="dxa"/>
            <w:tcMar>
              <w:top w:w="60" w:type="dxa"/>
              <w:left w:w="80" w:type="dxa"/>
              <w:bottom w:w="60" w:type="dxa"/>
              <w:right w:w="80" w:type="dxa"/>
            </w:tcMar>
            <w:vAlign w:val="center"/>
          </w:tcPr>
          <w:p w14:paraId="47A75419"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القيمة التسويقية المدركة من التبني.</w:t>
            </w:r>
          </w:p>
        </w:tc>
      </w:tr>
      <w:tr w:rsidR="002D0DD5" w:rsidRPr="002D0DD5" w14:paraId="6798BB14" w14:textId="77777777" w:rsidTr="00911285">
        <w:trPr>
          <w:jc w:val="center"/>
        </w:trPr>
        <w:tc>
          <w:tcPr>
            <w:tcW w:w="964" w:type="dxa"/>
            <w:tcMar>
              <w:top w:w="60" w:type="dxa"/>
              <w:left w:w="80" w:type="dxa"/>
              <w:bottom w:w="60" w:type="dxa"/>
              <w:right w:w="80" w:type="dxa"/>
            </w:tcMar>
            <w:vAlign w:val="center"/>
          </w:tcPr>
          <w:p w14:paraId="60C45D8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BAR1</w:t>
            </w:r>
          </w:p>
        </w:tc>
        <w:tc>
          <w:tcPr>
            <w:tcW w:w="3288" w:type="dxa"/>
            <w:tcMar>
              <w:top w:w="60" w:type="dxa"/>
              <w:left w:w="80" w:type="dxa"/>
              <w:bottom w:w="60" w:type="dxa"/>
              <w:right w:w="80" w:type="dxa"/>
            </w:tcMar>
            <w:vAlign w:val="center"/>
          </w:tcPr>
          <w:p w14:paraId="68450AFD"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ضعف دقة المخرجات أو عدم ملاءمتها للسياق</w:t>
            </w:r>
          </w:p>
        </w:tc>
        <w:tc>
          <w:tcPr>
            <w:tcW w:w="3061" w:type="dxa"/>
            <w:tcMar>
              <w:top w:w="60" w:type="dxa"/>
              <w:left w:w="80" w:type="dxa"/>
              <w:bottom w:w="60" w:type="dxa"/>
              <w:right w:w="80" w:type="dxa"/>
            </w:tcMar>
            <w:vAlign w:val="center"/>
          </w:tcPr>
          <w:p w14:paraId="3BC36AE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SDAIA (2024); Kshetri et al. (2023)</w:t>
            </w:r>
          </w:p>
        </w:tc>
        <w:tc>
          <w:tcPr>
            <w:tcW w:w="3175" w:type="dxa"/>
            <w:tcMar>
              <w:top w:w="60" w:type="dxa"/>
              <w:left w:w="80" w:type="dxa"/>
              <w:bottom w:w="60" w:type="dxa"/>
              <w:right w:w="80" w:type="dxa"/>
            </w:tcMar>
            <w:vAlign w:val="center"/>
          </w:tcPr>
          <w:p w14:paraId="52E99F7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عائق جودة المخرجات والملاءمة المحلية.</w:t>
            </w:r>
          </w:p>
        </w:tc>
      </w:tr>
      <w:tr w:rsidR="002D0DD5" w:rsidRPr="002D0DD5" w14:paraId="689761D9" w14:textId="77777777" w:rsidTr="00911285">
        <w:trPr>
          <w:jc w:val="center"/>
        </w:trPr>
        <w:tc>
          <w:tcPr>
            <w:tcW w:w="964" w:type="dxa"/>
            <w:tcMar>
              <w:top w:w="60" w:type="dxa"/>
              <w:left w:w="80" w:type="dxa"/>
              <w:bottom w:w="60" w:type="dxa"/>
              <w:right w:w="80" w:type="dxa"/>
            </w:tcMar>
            <w:vAlign w:val="center"/>
          </w:tcPr>
          <w:p w14:paraId="694DD65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BAR2</w:t>
            </w:r>
          </w:p>
        </w:tc>
        <w:tc>
          <w:tcPr>
            <w:tcW w:w="3288" w:type="dxa"/>
            <w:tcMar>
              <w:top w:w="60" w:type="dxa"/>
              <w:left w:w="80" w:type="dxa"/>
              <w:bottom w:w="60" w:type="dxa"/>
              <w:right w:w="80" w:type="dxa"/>
            </w:tcMar>
            <w:vAlign w:val="center"/>
          </w:tcPr>
          <w:p w14:paraId="6A24ACE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أخطاء لغوية أو مفاهيمية باللغة العربية</w:t>
            </w:r>
          </w:p>
        </w:tc>
        <w:tc>
          <w:tcPr>
            <w:tcW w:w="3061" w:type="dxa"/>
            <w:tcMar>
              <w:top w:w="60" w:type="dxa"/>
              <w:left w:w="80" w:type="dxa"/>
              <w:bottom w:w="60" w:type="dxa"/>
              <w:right w:w="80" w:type="dxa"/>
            </w:tcMar>
            <w:vAlign w:val="center"/>
          </w:tcPr>
          <w:p w14:paraId="1C0A304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عبد الرزاق (2022); SDAIA (2024)</w:t>
            </w:r>
          </w:p>
        </w:tc>
        <w:tc>
          <w:tcPr>
            <w:tcW w:w="3175" w:type="dxa"/>
            <w:tcMar>
              <w:top w:w="60" w:type="dxa"/>
              <w:left w:w="80" w:type="dxa"/>
              <w:bottom w:w="60" w:type="dxa"/>
              <w:right w:w="80" w:type="dxa"/>
            </w:tcMar>
            <w:vAlign w:val="center"/>
          </w:tcPr>
          <w:p w14:paraId="4DEBC2A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تخصيص الفقرة لتحديات اللغة العربية والمراجعة البشرية.</w:t>
            </w:r>
          </w:p>
        </w:tc>
      </w:tr>
      <w:tr w:rsidR="002D0DD5" w:rsidRPr="002D0DD5" w14:paraId="157993EF" w14:textId="77777777" w:rsidTr="00911285">
        <w:trPr>
          <w:jc w:val="center"/>
        </w:trPr>
        <w:tc>
          <w:tcPr>
            <w:tcW w:w="964" w:type="dxa"/>
            <w:tcMar>
              <w:top w:w="60" w:type="dxa"/>
              <w:left w:w="80" w:type="dxa"/>
              <w:bottom w:w="60" w:type="dxa"/>
              <w:right w:w="80" w:type="dxa"/>
            </w:tcMar>
            <w:vAlign w:val="center"/>
          </w:tcPr>
          <w:p w14:paraId="1291B23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BAR3</w:t>
            </w:r>
          </w:p>
        </w:tc>
        <w:tc>
          <w:tcPr>
            <w:tcW w:w="3288" w:type="dxa"/>
            <w:tcMar>
              <w:top w:w="60" w:type="dxa"/>
              <w:left w:w="80" w:type="dxa"/>
              <w:bottom w:w="60" w:type="dxa"/>
              <w:right w:w="80" w:type="dxa"/>
            </w:tcMar>
            <w:vAlign w:val="center"/>
          </w:tcPr>
          <w:p w14:paraId="7A6F203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1434440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Kumar (2023); McKinsey &amp; Company (2024)</w:t>
            </w:r>
          </w:p>
        </w:tc>
        <w:tc>
          <w:tcPr>
            <w:tcW w:w="3175" w:type="dxa"/>
            <w:tcMar>
              <w:top w:w="60" w:type="dxa"/>
              <w:left w:w="80" w:type="dxa"/>
              <w:bottom w:w="60" w:type="dxa"/>
              <w:right w:w="80" w:type="dxa"/>
            </w:tcMar>
            <w:vAlign w:val="center"/>
          </w:tcPr>
          <w:p w14:paraId="3421F32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عائق التكلفة وتوفر الأدوات.</w:t>
            </w:r>
          </w:p>
        </w:tc>
      </w:tr>
      <w:tr w:rsidR="002D0DD5" w:rsidRPr="002D0DD5" w14:paraId="10A54304" w14:textId="77777777" w:rsidTr="00911285">
        <w:trPr>
          <w:jc w:val="center"/>
        </w:trPr>
        <w:tc>
          <w:tcPr>
            <w:tcW w:w="964" w:type="dxa"/>
            <w:tcMar>
              <w:top w:w="60" w:type="dxa"/>
              <w:left w:w="80" w:type="dxa"/>
              <w:bottom w:w="60" w:type="dxa"/>
              <w:right w:w="80" w:type="dxa"/>
            </w:tcMar>
            <w:vAlign w:val="center"/>
          </w:tcPr>
          <w:p w14:paraId="742CE1DB"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BAR4</w:t>
            </w:r>
          </w:p>
        </w:tc>
        <w:tc>
          <w:tcPr>
            <w:tcW w:w="3288" w:type="dxa"/>
            <w:tcMar>
              <w:top w:w="60" w:type="dxa"/>
              <w:left w:w="80" w:type="dxa"/>
              <w:bottom w:w="60" w:type="dxa"/>
              <w:right w:w="80" w:type="dxa"/>
            </w:tcMar>
            <w:vAlign w:val="center"/>
          </w:tcPr>
          <w:p w14:paraId="78E18AF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صعوبة الدمج مع أنظمة العمل والمنصات</w:t>
            </w:r>
          </w:p>
        </w:tc>
        <w:tc>
          <w:tcPr>
            <w:tcW w:w="3061" w:type="dxa"/>
            <w:tcMar>
              <w:top w:w="60" w:type="dxa"/>
              <w:left w:w="80" w:type="dxa"/>
              <w:bottom w:w="60" w:type="dxa"/>
              <w:right w:w="80" w:type="dxa"/>
            </w:tcMar>
            <w:vAlign w:val="center"/>
          </w:tcPr>
          <w:p w14:paraId="7F9C071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1FC982A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عائق التكامل التقني والتنظيمي.</w:t>
            </w:r>
          </w:p>
        </w:tc>
      </w:tr>
      <w:tr w:rsidR="002D0DD5" w:rsidRPr="002D0DD5" w14:paraId="6C1E506E" w14:textId="77777777" w:rsidTr="00911285">
        <w:trPr>
          <w:jc w:val="center"/>
        </w:trPr>
        <w:tc>
          <w:tcPr>
            <w:tcW w:w="964" w:type="dxa"/>
            <w:tcMar>
              <w:top w:w="60" w:type="dxa"/>
              <w:left w:w="80" w:type="dxa"/>
              <w:bottom w:w="60" w:type="dxa"/>
              <w:right w:w="80" w:type="dxa"/>
            </w:tcMar>
            <w:vAlign w:val="center"/>
          </w:tcPr>
          <w:p w14:paraId="2F08B2D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BAR5</w:t>
            </w:r>
          </w:p>
        </w:tc>
        <w:tc>
          <w:tcPr>
            <w:tcW w:w="3288" w:type="dxa"/>
            <w:tcMar>
              <w:top w:w="60" w:type="dxa"/>
              <w:left w:w="80" w:type="dxa"/>
              <w:bottom w:w="60" w:type="dxa"/>
              <w:right w:w="80" w:type="dxa"/>
            </w:tcMar>
            <w:vAlign w:val="center"/>
          </w:tcPr>
          <w:p w14:paraId="7BC1B965"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نقص مهارات صياغة الأوامر وتقييم المخرجات</w:t>
            </w:r>
          </w:p>
        </w:tc>
        <w:tc>
          <w:tcPr>
            <w:tcW w:w="3061" w:type="dxa"/>
            <w:tcMar>
              <w:top w:w="60" w:type="dxa"/>
              <w:left w:w="80" w:type="dxa"/>
              <w:bottom w:w="60" w:type="dxa"/>
              <w:right w:w="80" w:type="dxa"/>
            </w:tcMar>
            <w:vAlign w:val="center"/>
          </w:tcPr>
          <w:p w14:paraId="51F248F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Kshetri et al. (2023); محيسن، مجاهد، وبصبوص (2025)</w:t>
            </w:r>
          </w:p>
        </w:tc>
        <w:tc>
          <w:tcPr>
            <w:tcW w:w="3175" w:type="dxa"/>
            <w:tcMar>
              <w:top w:w="60" w:type="dxa"/>
              <w:left w:w="80" w:type="dxa"/>
              <w:bottom w:w="60" w:type="dxa"/>
              <w:right w:w="80" w:type="dxa"/>
            </w:tcMar>
            <w:vAlign w:val="center"/>
          </w:tcPr>
          <w:p w14:paraId="56E6B799"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مهارات هندسة التلقين وتقييم الجودة.</w:t>
            </w:r>
          </w:p>
        </w:tc>
      </w:tr>
      <w:tr w:rsidR="002D0DD5" w:rsidRPr="002D0DD5" w14:paraId="258DF2B3" w14:textId="77777777" w:rsidTr="00911285">
        <w:trPr>
          <w:jc w:val="center"/>
        </w:trPr>
        <w:tc>
          <w:tcPr>
            <w:tcW w:w="964" w:type="dxa"/>
            <w:tcMar>
              <w:top w:w="60" w:type="dxa"/>
              <w:left w:w="80" w:type="dxa"/>
              <w:bottom w:w="60" w:type="dxa"/>
              <w:right w:w="80" w:type="dxa"/>
            </w:tcMar>
            <w:vAlign w:val="center"/>
          </w:tcPr>
          <w:p w14:paraId="620082B8"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lastRenderedPageBreak/>
              <w:t>BAR6</w:t>
            </w:r>
          </w:p>
        </w:tc>
        <w:tc>
          <w:tcPr>
            <w:tcW w:w="3288" w:type="dxa"/>
            <w:tcMar>
              <w:top w:w="60" w:type="dxa"/>
              <w:left w:w="80" w:type="dxa"/>
              <w:bottom w:w="60" w:type="dxa"/>
              <w:right w:w="80" w:type="dxa"/>
            </w:tcMar>
            <w:vAlign w:val="center"/>
          </w:tcPr>
          <w:p w14:paraId="48A3C94D"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محدودية البرامج التدريبية المتخصصة</w:t>
            </w:r>
          </w:p>
        </w:tc>
        <w:tc>
          <w:tcPr>
            <w:tcW w:w="3061" w:type="dxa"/>
            <w:tcMar>
              <w:top w:w="60" w:type="dxa"/>
              <w:left w:w="80" w:type="dxa"/>
              <w:bottom w:w="60" w:type="dxa"/>
              <w:right w:w="80" w:type="dxa"/>
            </w:tcMar>
            <w:vAlign w:val="center"/>
          </w:tcPr>
          <w:p w14:paraId="4E6E5D7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محيسن، مجاهد، وبصبوص (2025); Masnita et al. (2024)</w:t>
            </w:r>
          </w:p>
        </w:tc>
        <w:tc>
          <w:tcPr>
            <w:tcW w:w="3175" w:type="dxa"/>
            <w:tcMar>
              <w:top w:w="60" w:type="dxa"/>
              <w:left w:w="80" w:type="dxa"/>
              <w:bottom w:w="60" w:type="dxa"/>
              <w:right w:w="80" w:type="dxa"/>
            </w:tcMar>
            <w:vAlign w:val="center"/>
          </w:tcPr>
          <w:p w14:paraId="7B05B8C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بفجوة التدريب العملي.</w:t>
            </w:r>
          </w:p>
        </w:tc>
      </w:tr>
      <w:tr w:rsidR="002D0DD5" w:rsidRPr="002D0DD5" w14:paraId="5A59A5D1" w14:textId="77777777" w:rsidTr="00911285">
        <w:trPr>
          <w:jc w:val="center"/>
        </w:trPr>
        <w:tc>
          <w:tcPr>
            <w:tcW w:w="964" w:type="dxa"/>
            <w:tcMar>
              <w:top w:w="60" w:type="dxa"/>
              <w:left w:w="80" w:type="dxa"/>
              <w:bottom w:w="60" w:type="dxa"/>
              <w:right w:w="80" w:type="dxa"/>
            </w:tcMar>
            <w:vAlign w:val="center"/>
          </w:tcPr>
          <w:p w14:paraId="51A4793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BAR7</w:t>
            </w:r>
          </w:p>
        </w:tc>
        <w:tc>
          <w:tcPr>
            <w:tcW w:w="3288" w:type="dxa"/>
            <w:tcMar>
              <w:top w:w="60" w:type="dxa"/>
              <w:left w:w="80" w:type="dxa"/>
              <w:bottom w:w="60" w:type="dxa"/>
              <w:right w:w="80" w:type="dxa"/>
            </w:tcMar>
            <w:vAlign w:val="center"/>
          </w:tcPr>
          <w:p w14:paraId="2DCA478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مقاومة التغيير وتفضيل الأساليب التقليدية</w:t>
            </w:r>
          </w:p>
        </w:tc>
        <w:tc>
          <w:tcPr>
            <w:tcW w:w="3061" w:type="dxa"/>
            <w:tcMar>
              <w:top w:w="60" w:type="dxa"/>
              <w:left w:w="80" w:type="dxa"/>
              <w:bottom w:w="60" w:type="dxa"/>
              <w:right w:w="80" w:type="dxa"/>
            </w:tcMar>
            <w:vAlign w:val="center"/>
          </w:tcPr>
          <w:p w14:paraId="44271A7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Dwivedi et al. (2023); Sharabati et al. (2024)</w:t>
            </w:r>
          </w:p>
        </w:tc>
        <w:tc>
          <w:tcPr>
            <w:tcW w:w="3175" w:type="dxa"/>
            <w:tcMar>
              <w:top w:w="60" w:type="dxa"/>
              <w:left w:w="80" w:type="dxa"/>
              <w:bottom w:w="60" w:type="dxa"/>
              <w:right w:w="80" w:type="dxa"/>
            </w:tcMar>
            <w:vAlign w:val="center"/>
          </w:tcPr>
          <w:p w14:paraId="2B2F8DA4"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عائق مقاومة التغيير داخل الوكالات.</w:t>
            </w:r>
          </w:p>
        </w:tc>
      </w:tr>
      <w:tr w:rsidR="002D0DD5" w:rsidRPr="002D0DD5" w14:paraId="5D1982CF" w14:textId="77777777" w:rsidTr="00911285">
        <w:trPr>
          <w:jc w:val="center"/>
        </w:trPr>
        <w:tc>
          <w:tcPr>
            <w:tcW w:w="964" w:type="dxa"/>
            <w:tcMar>
              <w:top w:w="60" w:type="dxa"/>
              <w:left w:w="80" w:type="dxa"/>
              <w:bottom w:w="60" w:type="dxa"/>
              <w:right w:w="80" w:type="dxa"/>
            </w:tcMar>
            <w:vAlign w:val="center"/>
          </w:tcPr>
          <w:p w14:paraId="3C3B2994"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BAR8</w:t>
            </w:r>
          </w:p>
        </w:tc>
        <w:tc>
          <w:tcPr>
            <w:tcW w:w="3288" w:type="dxa"/>
            <w:tcMar>
              <w:top w:w="60" w:type="dxa"/>
              <w:left w:w="80" w:type="dxa"/>
              <w:bottom w:w="60" w:type="dxa"/>
              <w:right w:w="80" w:type="dxa"/>
            </w:tcMar>
            <w:vAlign w:val="center"/>
          </w:tcPr>
          <w:p w14:paraId="44B6E6C3"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مخاوف حماية البيانات وخصوصية الحملات</w:t>
            </w:r>
          </w:p>
        </w:tc>
        <w:tc>
          <w:tcPr>
            <w:tcW w:w="3061" w:type="dxa"/>
            <w:tcMar>
              <w:top w:w="60" w:type="dxa"/>
              <w:left w:w="80" w:type="dxa"/>
              <w:bottom w:w="60" w:type="dxa"/>
              <w:right w:w="80" w:type="dxa"/>
            </w:tcMar>
            <w:vAlign w:val="center"/>
          </w:tcPr>
          <w:p w14:paraId="37BF921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SDAIA (2024); هيئة الحكومة الرقمية (2023)</w:t>
            </w:r>
          </w:p>
        </w:tc>
        <w:tc>
          <w:tcPr>
            <w:tcW w:w="3175" w:type="dxa"/>
            <w:tcMar>
              <w:top w:w="60" w:type="dxa"/>
              <w:left w:w="80" w:type="dxa"/>
              <w:bottom w:w="60" w:type="dxa"/>
              <w:right w:w="80" w:type="dxa"/>
            </w:tcMar>
            <w:vAlign w:val="center"/>
          </w:tcPr>
          <w:p w14:paraId="4B537E1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بالخصوصية وأمن البيانات.</w:t>
            </w:r>
          </w:p>
        </w:tc>
      </w:tr>
      <w:tr w:rsidR="002D0DD5" w:rsidRPr="002D0DD5" w14:paraId="1750359F" w14:textId="77777777" w:rsidTr="00911285">
        <w:trPr>
          <w:jc w:val="center"/>
        </w:trPr>
        <w:tc>
          <w:tcPr>
            <w:tcW w:w="964" w:type="dxa"/>
            <w:tcMar>
              <w:top w:w="60" w:type="dxa"/>
              <w:left w:w="80" w:type="dxa"/>
              <w:bottom w:w="60" w:type="dxa"/>
              <w:right w:w="80" w:type="dxa"/>
            </w:tcMar>
            <w:vAlign w:val="center"/>
          </w:tcPr>
          <w:p w14:paraId="36BC377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BAR9</w:t>
            </w:r>
          </w:p>
        </w:tc>
        <w:tc>
          <w:tcPr>
            <w:tcW w:w="3288" w:type="dxa"/>
            <w:tcMar>
              <w:top w:w="60" w:type="dxa"/>
              <w:left w:w="80" w:type="dxa"/>
              <w:bottom w:w="60" w:type="dxa"/>
              <w:right w:w="80" w:type="dxa"/>
            </w:tcMar>
            <w:vAlign w:val="center"/>
          </w:tcPr>
          <w:p w14:paraId="6DA871C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7222875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ملتقى أسبار (2023); SDAIA (2024)</w:t>
            </w:r>
          </w:p>
        </w:tc>
        <w:tc>
          <w:tcPr>
            <w:tcW w:w="3175" w:type="dxa"/>
            <w:tcMar>
              <w:top w:w="60" w:type="dxa"/>
              <w:left w:w="80" w:type="dxa"/>
              <w:bottom w:w="60" w:type="dxa"/>
              <w:right w:w="80" w:type="dxa"/>
            </w:tcMar>
            <w:vAlign w:val="center"/>
          </w:tcPr>
          <w:p w14:paraId="31AEBB3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تخصيص الفقرة لعائق الملكية الفكرية والمسؤولية القانونية.</w:t>
            </w:r>
          </w:p>
        </w:tc>
      </w:tr>
      <w:tr w:rsidR="002D0DD5" w:rsidRPr="002D0DD5" w14:paraId="3C1D1466" w14:textId="77777777" w:rsidTr="00911285">
        <w:trPr>
          <w:jc w:val="center"/>
        </w:trPr>
        <w:tc>
          <w:tcPr>
            <w:tcW w:w="964" w:type="dxa"/>
            <w:tcMar>
              <w:top w:w="60" w:type="dxa"/>
              <w:left w:w="80" w:type="dxa"/>
              <w:bottom w:w="60" w:type="dxa"/>
              <w:right w:w="80" w:type="dxa"/>
            </w:tcMar>
            <w:vAlign w:val="center"/>
          </w:tcPr>
          <w:p w14:paraId="7B25E10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BAR10</w:t>
            </w:r>
          </w:p>
        </w:tc>
        <w:tc>
          <w:tcPr>
            <w:tcW w:w="3288" w:type="dxa"/>
            <w:tcMar>
              <w:top w:w="60" w:type="dxa"/>
              <w:left w:w="80" w:type="dxa"/>
              <w:bottom w:w="60" w:type="dxa"/>
              <w:right w:w="80" w:type="dxa"/>
            </w:tcMar>
            <w:vAlign w:val="center"/>
          </w:tcPr>
          <w:p w14:paraId="7737130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16E1B7A8"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Dwivedi et al. (2023); SDAIA (2024)</w:t>
            </w:r>
          </w:p>
        </w:tc>
        <w:tc>
          <w:tcPr>
            <w:tcW w:w="3175" w:type="dxa"/>
            <w:tcMar>
              <w:top w:w="60" w:type="dxa"/>
              <w:left w:w="80" w:type="dxa"/>
              <w:bottom w:w="60" w:type="dxa"/>
              <w:right w:w="80" w:type="dxa"/>
            </w:tcMar>
            <w:vAlign w:val="center"/>
          </w:tcPr>
          <w:p w14:paraId="6C4F5FD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عائق الحوكمة والسياسات الداخلية.</w:t>
            </w:r>
          </w:p>
        </w:tc>
      </w:tr>
      <w:tr w:rsidR="002D0DD5" w:rsidRPr="002D0DD5" w14:paraId="3F2A20E6" w14:textId="77777777" w:rsidTr="00911285">
        <w:trPr>
          <w:jc w:val="center"/>
        </w:trPr>
        <w:tc>
          <w:tcPr>
            <w:tcW w:w="964" w:type="dxa"/>
            <w:tcMar>
              <w:top w:w="60" w:type="dxa"/>
              <w:left w:w="80" w:type="dxa"/>
              <w:bottom w:w="60" w:type="dxa"/>
              <w:right w:w="80" w:type="dxa"/>
            </w:tcMar>
            <w:vAlign w:val="center"/>
          </w:tcPr>
          <w:p w14:paraId="42A45D9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MP1</w:t>
            </w:r>
          </w:p>
        </w:tc>
        <w:tc>
          <w:tcPr>
            <w:tcW w:w="3288" w:type="dxa"/>
            <w:tcMar>
              <w:top w:w="60" w:type="dxa"/>
              <w:left w:w="80" w:type="dxa"/>
              <w:bottom w:w="60" w:type="dxa"/>
              <w:right w:w="80" w:type="dxa"/>
            </w:tcMar>
            <w:vAlign w:val="center"/>
          </w:tcPr>
          <w:p w14:paraId="36A7C0E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إنتاج محتوى نهائي أكثر ملاءمة لأهداف الحملة</w:t>
            </w:r>
          </w:p>
        </w:tc>
        <w:tc>
          <w:tcPr>
            <w:tcW w:w="3061" w:type="dxa"/>
            <w:tcMar>
              <w:top w:w="60" w:type="dxa"/>
              <w:left w:w="80" w:type="dxa"/>
              <w:bottom w:w="60" w:type="dxa"/>
              <w:right w:w="80" w:type="dxa"/>
            </w:tcMar>
            <w:vAlign w:val="center"/>
          </w:tcPr>
          <w:p w14:paraId="5CA01D3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Nuremberg Institute for Market Decisions (2024); Islam et al. (2024)</w:t>
            </w:r>
          </w:p>
        </w:tc>
        <w:tc>
          <w:tcPr>
            <w:tcW w:w="3175" w:type="dxa"/>
            <w:tcMar>
              <w:top w:w="60" w:type="dxa"/>
              <w:left w:w="80" w:type="dxa"/>
              <w:bottom w:w="60" w:type="dxa"/>
              <w:right w:w="80" w:type="dxa"/>
            </w:tcMar>
            <w:vAlign w:val="center"/>
          </w:tcPr>
          <w:p w14:paraId="058E4CEF"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بمؤشر جودة المحتوى النهائي.</w:t>
            </w:r>
          </w:p>
        </w:tc>
      </w:tr>
      <w:tr w:rsidR="002D0DD5" w:rsidRPr="002D0DD5" w14:paraId="0B9C7F8B" w14:textId="77777777" w:rsidTr="00911285">
        <w:trPr>
          <w:jc w:val="center"/>
        </w:trPr>
        <w:tc>
          <w:tcPr>
            <w:tcW w:w="964" w:type="dxa"/>
            <w:tcMar>
              <w:top w:w="60" w:type="dxa"/>
              <w:left w:w="80" w:type="dxa"/>
              <w:bottom w:w="60" w:type="dxa"/>
              <w:right w:w="80" w:type="dxa"/>
            </w:tcMar>
            <w:vAlign w:val="center"/>
          </w:tcPr>
          <w:p w14:paraId="4E3CFA9C"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MP2</w:t>
            </w:r>
          </w:p>
        </w:tc>
        <w:tc>
          <w:tcPr>
            <w:tcW w:w="3288" w:type="dxa"/>
            <w:tcMar>
              <w:top w:w="60" w:type="dxa"/>
              <w:left w:w="80" w:type="dxa"/>
              <w:bottom w:w="60" w:type="dxa"/>
              <w:right w:w="80" w:type="dxa"/>
            </w:tcMar>
            <w:vAlign w:val="center"/>
          </w:tcPr>
          <w:p w14:paraId="1467117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511586B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Gujar &amp; Panyam (2024); Heitmann (2024)</w:t>
            </w:r>
          </w:p>
        </w:tc>
        <w:tc>
          <w:tcPr>
            <w:tcW w:w="3175" w:type="dxa"/>
            <w:tcMar>
              <w:top w:w="60" w:type="dxa"/>
              <w:left w:w="80" w:type="dxa"/>
              <w:bottom w:w="60" w:type="dxa"/>
              <w:right w:w="80" w:type="dxa"/>
            </w:tcMar>
            <w:vAlign w:val="center"/>
          </w:tcPr>
          <w:p w14:paraId="41DE638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جودة الرسائل الإعلانية.</w:t>
            </w:r>
          </w:p>
        </w:tc>
      </w:tr>
      <w:tr w:rsidR="002D0DD5" w:rsidRPr="002D0DD5" w14:paraId="33E66978" w14:textId="77777777" w:rsidTr="00911285">
        <w:trPr>
          <w:jc w:val="center"/>
        </w:trPr>
        <w:tc>
          <w:tcPr>
            <w:tcW w:w="964" w:type="dxa"/>
            <w:tcMar>
              <w:top w:w="60" w:type="dxa"/>
              <w:left w:w="80" w:type="dxa"/>
              <w:bottom w:w="60" w:type="dxa"/>
              <w:right w:w="80" w:type="dxa"/>
            </w:tcMar>
            <w:vAlign w:val="center"/>
          </w:tcPr>
          <w:p w14:paraId="0DD5C101"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MP3</w:t>
            </w:r>
          </w:p>
        </w:tc>
        <w:tc>
          <w:tcPr>
            <w:tcW w:w="3288" w:type="dxa"/>
            <w:tcMar>
              <w:top w:w="60" w:type="dxa"/>
              <w:left w:w="80" w:type="dxa"/>
              <w:bottom w:w="60" w:type="dxa"/>
              <w:right w:w="80" w:type="dxa"/>
            </w:tcMar>
            <w:vAlign w:val="center"/>
          </w:tcPr>
          <w:p w14:paraId="5C59FE1B"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ملاءمة الرسالة للجمهور المستهدف</w:t>
            </w:r>
          </w:p>
        </w:tc>
        <w:tc>
          <w:tcPr>
            <w:tcW w:w="3061" w:type="dxa"/>
            <w:tcMar>
              <w:top w:w="60" w:type="dxa"/>
              <w:left w:w="80" w:type="dxa"/>
              <w:bottom w:w="60" w:type="dxa"/>
              <w:right w:w="80" w:type="dxa"/>
            </w:tcMar>
            <w:vAlign w:val="center"/>
          </w:tcPr>
          <w:p w14:paraId="03763B3D"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69CB3613"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بدقة ملاءمة الرسالة للجمهور.</w:t>
            </w:r>
          </w:p>
        </w:tc>
      </w:tr>
      <w:tr w:rsidR="002D0DD5" w:rsidRPr="002D0DD5" w14:paraId="7FD67C1A" w14:textId="77777777" w:rsidTr="00911285">
        <w:trPr>
          <w:jc w:val="center"/>
        </w:trPr>
        <w:tc>
          <w:tcPr>
            <w:tcW w:w="964" w:type="dxa"/>
            <w:tcMar>
              <w:top w:w="60" w:type="dxa"/>
              <w:left w:w="80" w:type="dxa"/>
              <w:bottom w:w="60" w:type="dxa"/>
              <w:right w:w="80" w:type="dxa"/>
            </w:tcMar>
            <w:vAlign w:val="center"/>
          </w:tcPr>
          <w:p w14:paraId="2968F005"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MP4</w:t>
            </w:r>
          </w:p>
        </w:tc>
        <w:tc>
          <w:tcPr>
            <w:tcW w:w="3288" w:type="dxa"/>
            <w:tcMar>
              <w:top w:w="60" w:type="dxa"/>
              <w:left w:w="80" w:type="dxa"/>
              <w:bottom w:w="60" w:type="dxa"/>
              <w:right w:w="80" w:type="dxa"/>
            </w:tcMar>
            <w:vAlign w:val="center"/>
          </w:tcPr>
          <w:p w14:paraId="39CCB7F9"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رفع معدلات التفاعل الرقمي</w:t>
            </w:r>
          </w:p>
        </w:tc>
        <w:tc>
          <w:tcPr>
            <w:tcW w:w="3061" w:type="dxa"/>
            <w:tcMar>
              <w:top w:w="60" w:type="dxa"/>
              <w:left w:w="80" w:type="dxa"/>
              <w:bottom w:w="60" w:type="dxa"/>
              <w:right w:w="80" w:type="dxa"/>
            </w:tcMar>
            <w:vAlign w:val="center"/>
          </w:tcPr>
          <w:p w14:paraId="7DBAA238"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الخطيب (2024); Gujar &amp; Panyam (2024)</w:t>
            </w:r>
          </w:p>
        </w:tc>
        <w:tc>
          <w:tcPr>
            <w:tcW w:w="3175" w:type="dxa"/>
            <w:tcMar>
              <w:top w:w="60" w:type="dxa"/>
              <w:left w:w="80" w:type="dxa"/>
              <w:bottom w:w="60" w:type="dxa"/>
              <w:right w:w="80" w:type="dxa"/>
            </w:tcMar>
            <w:vAlign w:val="center"/>
          </w:tcPr>
          <w:p w14:paraId="7BEE4B9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تخصيص الفقرة لمؤشر التفاعل الرقمي.</w:t>
            </w:r>
          </w:p>
        </w:tc>
      </w:tr>
      <w:tr w:rsidR="002D0DD5" w:rsidRPr="002D0DD5" w14:paraId="6212E945" w14:textId="77777777" w:rsidTr="00911285">
        <w:trPr>
          <w:jc w:val="center"/>
        </w:trPr>
        <w:tc>
          <w:tcPr>
            <w:tcW w:w="964" w:type="dxa"/>
            <w:tcMar>
              <w:top w:w="60" w:type="dxa"/>
              <w:left w:w="80" w:type="dxa"/>
              <w:bottom w:w="60" w:type="dxa"/>
              <w:right w:w="80" w:type="dxa"/>
            </w:tcMar>
            <w:vAlign w:val="center"/>
          </w:tcPr>
          <w:p w14:paraId="6263DDB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MP5</w:t>
            </w:r>
          </w:p>
        </w:tc>
        <w:tc>
          <w:tcPr>
            <w:tcW w:w="3288" w:type="dxa"/>
            <w:tcMar>
              <w:top w:w="60" w:type="dxa"/>
              <w:left w:w="80" w:type="dxa"/>
              <w:bottom w:w="60" w:type="dxa"/>
              <w:right w:w="80" w:type="dxa"/>
            </w:tcMar>
            <w:vAlign w:val="center"/>
          </w:tcPr>
          <w:p w14:paraId="2C3DA174"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5367AF2A"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اللهيبي وآخرون (2024); Nuremberg Institute for Market Decisions (2024)</w:t>
            </w:r>
          </w:p>
        </w:tc>
        <w:tc>
          <w:tcPr>
            <w:tcW w:w="3175" w:type="dxa"/>
            <w:tcMar>
              <w:top w:w="60" w:type="dxa"/>
              <w:left w:w="80" w:type="dxa"/>
              <w:bottom w:w="60" w:type="dxa"/>
              <w:right w:w="80" w:type="dxa"/>
            </w:tcMar>
            <w:vAlign w:val="center"/>
          </w:tcPr>
          <w:p w14:paraId="4BB7B7CC"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بالتحويل وتوليد العملاء المحتملين.</w:t>
            </w:r>
          </w:p>
        </w:tc>
      </w:tr>
      <w:tr w:rsidR="002D0DD5" w:rsidRPr="002D0DD5" w14:paraId="7B025211" w14:textId="77777777" w:rsidTr="00911285">
        <w:trPr>
          <w:jc w:val="center"/>
        </w:trPr>
        <w:tc>
          <w:tcPr>
            <w:tcW w:w="964" w:type="dxa"/>
            <w:tcMar>
              <w:top w:w="60" w:type="dxa"/>
              <w:left w:w="80" w:type="dxa"/>
              <w:bottom w:w="60" w:type="dxa"/>
              <w:right w:w="80" w:type="dxa"/>
            </w:tcMar>
            <w:vAlign w:val="center"/>
          </w:tcPr>
          <w:p w14:paraId="0A8BE5F2"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MP6</w:t>
            </w:r>
          </w:p>
        </w:tc>
        <w:tc>
          <w:tcPr>
            <w:tcW w:w="3288" w:type="dxa"/>
            <w:tcMar>
              <w:top w:w="60" w:type="dxa"/>
              <w:left w:w="80" w:type="dxa"/>
              <w:bottom w:w="60" w:type="dxa"/>
              <w:right w:w="80" w:type="dxa"/>
            </w:tcMar>
            <w:vAlign w:val="center"/>
          </w:tcPr>
          <w:p w14:paraId="34011B47"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كفاءة الإنفاق الإعلاني وتقليل الهدر</w:t>
            </w:r>
          </w:p>
        </w:tc>
        <w:tc>
          <w:tcPr>
            <w:tcW w:w="3061" w:type="dxa"/>
            <w:tcMar>
              <w:top w:w="60" w:type="dxa"/>
              <w:left w:w="80" w:type="dxa"/>
              <w:bottom w:w="60" w:type="dxa"/>
              <w:right w:w="80" w:type="dxa"/>
            </w:tcMar>
            <w:vAlign w:val="center"/>
          </w:tcPr>
          <w:p w14:paraId="29804CA2"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McKinsey &amp; Company (2024); Islam et al. (2024)</w:t>
            </w:r>
          </w:p>
        </w:tc>
        <w:tc>
          <w:tcPr>
            <w:tcW w:w="3175" w:type="dxa"/>
            <w:tcMar>
              <w:top w:w="60" w:type="dxa"/>
              <w:left w:w="80" w:type="dxa"/>
              <w:bottom w:w="60" w:type="dxa"/>
              <w:right w:w="80" w:type="dxa"/>
            </w:tcMar>
            <w:vAlign w:val="center"/>
          </w:tcPr>
          <w:p w14:paraId="3A08B486"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كفاءة الإنفاق الإعلاني.</w:t>
            </w:r>
          </w:p>
        </w:tc>
      </w:tr>
      <w:tr w:rsidR="002D0DD5" w:rsidRPr="002D0DD5" w14:paraId="1C1C74B3" w14:textId="77777777" w:rsidTr="00911285">
        <w:trPr>
          <w:jc w:val="center"/>
        </w:trPr>
        <w:tc>
          <w:tcPr>
            <w:tcW w:w="964" w:type="dxa"/>
            <w:tcMar>
              <w:top w:w="60" w:type="dxa"/>
              <w:left w:w="80" w:type="dxa"/>
              <w:bottom w:w="60" w:type="dxa"/>
              <w:right w:w="80" w:type="dxa"/>
            </w:tcMar>
            <w:vAlign w:val="center"/>
          </w:tcPr>
          <w:p w14:paraId="23134AC4"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MP7</w:t>
            </w:r>
          </w:p>
        </w:tc>
        <w:tc>
          <w:tcPr>
            <w:tcW w:w="3288" w:type="dxa"/>
            <w:tcMar>
              <w:top w:w="60" w:type="dxa"/>
              <w:left w:w="80" w:type="dxa"/>
              <w:bottom w:w="60" w:type="dxa"/>
              <w:right w:w="80" w:type="dxa"/>
            </w:tcMar>
            <w:vAlign w:val="center"/>
          </w:tcPr>
          <w:p w14:paraId="36280CF5"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تحقيق مؤشرات الأداء المحددة مسبقًا</w:t>
            </w:r>
          </w:p>
        </w:tc>
        <w:tc>
          <w:tcPr>
            <w:tcW w:w="3061" w:type="dxa"/>
            <w:tcMar>
              <w:top w:w="60" w:type="dxa"/>
              <w:left w:w="80" w:type="dxa"/>
              <w:bottom w:w="60" w:type="dxa"/>
              <w:right w:w="80" w:type="dxa"/>
            </w:tcMar>
            <w:vAlign w:val="center"/>
          </w:tcPr>
          <w:p w14:paraId="3985DEFB"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Doshi et al. (2025); Nuremberg Institute for Market Decisions (2024)</w:t>
            </w:r>
          </w:p>
        </w:tc>
        <w:tc>
          <w:tcPr>
            <w:tcW w:w="3175" w:type="dxa"/>
            <w:tcMar>
              <w:top w:w="60" w:type="dxa"/>
              <w:left w:w="80" w:type="dxa"/>
              <w:bottom w:w="60" w:type="dxa"/>
              <w:right w:w="80" w:type="dxa"/>
            </w:tcMar>
            <w:vAlign w:val="center"/>
          </w:tcPr>
          <w:p w14:paraId="5FC82410"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ربط الفقرة بمؤشرات الأداء التسويقي.</w:t>
            </w:r>
          </w:p>
        </w:tc>
      </w:tr>
      <w:tr w:rsidR="002D0DD5" w:rsidRPr="002D0DD5" w14:paraId="2BB22C4C" w14:textId="77777777" w:rsidTr="00911285">
        <w:trPr>
          <w:jc w:val="center"/>
        </w:trPr>
        <w:tc>
          <w:tcPr>
            <w:tcW w:w="964" w:type="dxa"/>
            <w:tcMar>
              <w:top w:w="60" w:type="dxa"/>
              <w:left w:w="80" w:type="dxa"/>
              <w:bottom w:w="60" w:type="dxa"/>
              <w:right w:w="80" w:type="dxa"/>
            </w:tcMar>
            <w:vAlign w:val="center"/>
          </w:tcPr>
          <w:p w14:paraId="0AB5A650"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MP8</w:t>
            </w:r>
          </w:p>
        </w:tc>
        <w:tc>
          <w:tcPr>
            <w:tcW w:w="3288" w:type="dxa"/>
            <w:tcMar>
              <w:top w:w="60" w:type="dxa"/>
              <w:left w:w="80" w:type="dxa"/>
              <w:bottom w:w="60" w:type="dxa"/>
              <w:right w:w="80" w:type="dxa"/>
            </w:tcMar>
            <w:vAlign w:val="center"/>
          </w:tcPr>
          <w:p w14:paraId="75B9EFC6"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رضا العملاء عن سرعة وجودة المخرجات</w:t>
            </w:r>
          </w:p>
        </w:tc>
        <w:tc>
          <w:tcPr>
            <w:tcW w:w="3061" w:type="dxa"/>
            <w:tcMar>
              <w:top w:w="60" w:type="dxa"/>
              <w:left w:w="80" w:type="dxa"/>
              <w:bottom w:w="60" w:type="dxa"/>
              <w:right w:w="80" w:type="dxa"/>
            </w:tcMar>
            <w:vAlign w:val="center"/>
          </w:tcPr>
          <w:p w14:paraId="79307F4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بياري (2025); Mendoza et al. (2025)</w:t>
            </w:r>
          </w:p>
        </w:tc>
        <w:tc>
          <w:tcPr>
            <w:tcW w:w="3175" w:type="dxa"/>
            <w:tcMar>
              <w:top w:w="60" w:type="dxa"/>
              <w:left w:w="80" w:type="dxa"/>
              <w:bottom w:w="60" w:type="dxa"/>
              <w:right w:w="80" w:type="dxa"/>
            </w:tcMar>
            <w:vAlign w:val="center"/>
          </w:tcPr>
          <w:p w14:paraId="548FCCD7"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رضا العملاء عن مخرجات الحملة.</w:t>
            </w:r>
          </w:p>
        </w:tc>
      </w:tr>
      <w:tr w:rsidR="002D0DD5" w:rsidRPr="002D0DD5" w14:paraId="0D06DFFF" w14:textId="77777777" w:rsidTr="00911285">
        <w:trPr>
          <w:jc w:val="center"/>
        </w:trPr>
        <w:tc>
          <w:tcPr>
            <w:tcW w:w="964" w:type="dxa"/>
            <w:tcMar>
              <w:top w:w="60" w:type="dxa"/>
              <w:left w:w="80" w:type="dxa"/>
              <w:bottom w:w="60" w:type="dxa"/>
              <w:right w:w="80" w:type="dxa"/>
            </w:tcMar>
            <w:vAlign w:val="center"/>
          </w:tcPr>
          <w:p w14:paraId="6D5A316E"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MP9</w:t>
            </w:r>
          </w:p>
        </w:tc>
        <w:tc>
          <w:tcPr>
            <w:tcW w:w="3288" w:type="dxa"/>
            <w:tcMar>
              <w:top w:w="60" w:type="dxa"/>
              <w:left w:w="80" w:type="dxa"/>
              <w:bottom w:w="60" w:type="dxa"/>
              <w:right w:w="80" w:type="dxa"/>
            </w:tcMar>
            <w:vAlign w:val="center"/>
          </w:tcPr>
          <w:p w14:paraId="3827304A" w14:textId="77777777" w:rsidR="002D0DD5" w:rsidRPr="002D0DD5" w:rsidRDefault="002D0DD5" w:rsidP="002D0DD5">
            <w:pPr>
              <w:bidi/>
              <w:spacing w:after="0" w:line="240" w:lineRule="auto"/>
              <w:jc w:val="center"/>
              <w:rPr>
                <w:rFonts w:ascii="Arial" w:eastAsia="Arial" w:hAnsi="Arial" w:cs="Arial"/>
              </w:rPr>
            </w:pPr>
            <w:r w:rsidRPr="002D0DD5">
              <w:rPr>
                <w:rFonts w:ascii="Times New Roman" w:eastAsia="Noto Naskh Arabic" w:hAnsi="Times New Roman" w:cs="Arial"/>
                <w:color w:val="FF0000"/>
                <w:sz w:val="18"/>
                <w:rtl/>
              </w:rPr>
              <w:t>الفعالية العامة للحملات المدعومة بالذكاء الاصطناعي</w:t>
            </w:r>
          </w:p>
        </w:tc>
        <w:tc>
          <w:tcPr>
            <w:tcW w:w="3061" w:type="dxa"/>
            <w:tcMar>
              <w:top w:w="60" w:type="dxa"/>
              <w:left w:w="80" w:type="dxa"/>
              <w:bottom w:w="60" w:type="dxa"/>
              <w:right w:w="80" w:type="dxa"/>
            </w:tcMar>
            <w:vAlign w:val="center"/>
          </w:tcPr>
          <w:p w14:paraId="52744CF1"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اللهيبي وآخرون (2024); بياري (2025)</w:t>
            </w:r>
          </w:p>
        </w:tc>
        <w:tc>
          <w:tcPr>
            <w:tcW w:w="3175" w:type="dxa"/>
            <w:tcMar>
              <w:top w:w="60" w:type="dxa"/>
              <w:left w:w="80" w:type="dxa"/>
              <w:bottom w:w="60" w:type="dxa"/>
              <w:right w:w="80" w:type="dxa"/>
            </w:tcMar>
            <w:vAlign w:val="center"/>
          </w:tcPr>
          <w:p w14:paraId="52B88D05" w14:textId="77777777" w:rsidR="002D0DD5" w:rsidRPr="002D0DD5" w:rsidRDefault="002D0DD5" w:rsidP="002D0DD5">
            <w:pPr>
              <w:bidi/>
              <w:spacing w:after="0" w:line="240" w:lineRule="auto"/>
              <w:rPr>
                <w:rFonts w:ascii="Arial" w:eastAsia="Arial" w:hAnsi="Arial" w:cs="Arial"/>
              </w:rPr>
            </w:pPr>
            <w:r w:rsidRPr="002D0DD5">
              <w:rPr>
                <w:rFonts w:ascii="Times New Roman" w:eastAsia="Noto Naskh Arabic" w:hAnsi="Times New Roman" w:cs="Arial"/>
                <w:color w:val="FF0000"/>
                <w:sz w:val="18"/>
                <w:rtl/>
              </w:rPr>
              <w:t>قياس الفعالية التسويقية العامة المدركة.</w:t>
            </w:r>
          </w:p>
        </w:tc>
      </w:tr>
    </w:tbl>
    <w:p w14:paraId="5BCBF1AF" w14:textId="77777777" w:rsidR="002D0DD5" w:rsidRPr="002D0DD5" w:rsidRDefault="002D0DD5" w:rsidP="002D0DD5">
      <w:pPr>
        <w:bidi/>
        <w:spacing w:after="0" w:line="240" w:lineRule="auto"/>
        <w:rPr>
          <w:rFonts w:ascii="Arial" w:eastAsia="Arial" w:hAnsi="Arial" w:cs="Arial"/>
          <w:rtl/>
        </w:rPr>
      </w:pPr>
      <w:r w:rsidRPr="002D0DD5">
        <w:rPr>
          <w:rFonts w:ascii="Arial" w:eastAsia="Arial" w:hAnsi="Arial" w:cs="Arial"/>
        </w:rPr>
        <w:br w:type="page"/>
      </w:r>
    </w:p>
    <w:p w14:paraId="3A039B52" w14:textId="77777777" w:rsidR="002D0DD5" w:rsidRPr="002D0DD5" w:rsidRDefault="002D0DD5" w:rsidP="002D0DD5">
      <w:pPr>
        <w:keepNext/>
        <w:bidi/>
        <w:spacing w:after="120" w:line="240" w:lineRule="auto"/>
        <w:jc w:val="center"/>
        <w:rPr>
          <w:rFonts w:ascii="Sakkal Majalla" w:eastAsia="Noto Naskh Arabic" w:hAnsi="Sakkal Majalla" w:cs="Sakkal Majalla"/>
          <w:bCs/>
          <w:color w:val="FF0000"/>
          <w:sz w:val="36"/>
          <w:szCs w:val="28"/>
          <w:u w:val="single"/>
        </w:rPr>
      </w:pPr>
      <w:r w:rsidRPr="002D0DD5">
        <w:rPr>
          <w:rFonts w:ascii="Sakkal Majalla" w:eastAsia="Noto Naskh Arabic" w:hAnsi="Sakkal Majalla" w:cs="Sakkal Majalla"/>
          <w:bCs/>
          <w:color w:val="FF0000"/>
          <w:sz w:val="36"/>
          <w:szCs w:val="28"/>
          <w:u w:val="single"/>
          <w:rtl/>
        </w:rPr>
        <w:lastRenderedPageBreak/>
        <w:t>ملحق (ج): دليل ترميز بيانات الاستبانة</w:t>
      </w:r>
    </w:p>
    <w:p w14:paraId="376A5CFA"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يوضح هذا الملحق رموز أسئلة الأداة وفقراتها وقواعد الترميز المسبقة لإعداد ملف البيانات للتحليل الإحصائي. ولا تمثل القيم الواردة نتائج للدراسة، وإنما قواعد تشغيلية للترميز والتحقق من جودة البيانات.</w:t>
      </w:r>
    </w:p>
    <w:tbl>
      <w:tblPr>
        <w:bidiVisual/>
        <w:tblW w:w="0" w:type="auto"/>
        <w:jc w:val="center"/>
        <w:tblLook w:val="04A0" w:firstRow="1" w:lastRow="0" w:firstColumn="1" w:lastColumn="0" w:noHBand="0" w:noVBand="1"/>
      </w:tblPr>
      <w:tblGrid>
        <w:gridCol w:w="826"/>
        <w:gridCol w:w="5209"/>
        <w:gridCol w:w="2261"/>
      </w:tblGrid>
      <w:tr w:rsidR="002D0DD5" w:rsidRPr="002D0DD5" w14:paraId="7367897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067DA18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color w:val="FF0000"/>
                <w:rtl/>
                <w:lang w:val="ar-SA"/>
              </w:rPr>
              <w:t>الرمز</w:t>
            </w:r>
          </w:p>
        </w:tc>
        <w:tc>
          <w:tcPr>
            <w:tcW w:w="5209"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1CAADFE3" w14:textId="77777777" w:rsidR="002D0DD5" w:rsidRPr="002D0DD5" w:rsidRDefault="002D0DD5" w:rsidP="002D0DD5">
            <w:pPr>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color w:val="FF0000"/>
                <w:rtl/>
              </w:rPr>
              <w:t>السؤال أو الفقرة</w:t>
            </w:r>
          </w:p>
        </w:tc>
        <w:tc>
          <w:tcPr>
            <w:tcW w:w="2261"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625BB62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b/>
                <w:color w:val="FF0000"/>
                <w:rtl/>
                <w:lang w:val="ar-SA"/>
              </w:rPr>
              <w:t>قاعدة الترميز</w:t>
            </w:r>
          </w:p>
        </w:tc>
      </w:tr>
      <w:tr w:rsidR="002D0DD5" w:rsidRPr="002D0DD5" w14:paraId="5F14B1F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12C81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S1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9931D67" w14:textId="77777777" w:rsidR="002D0DD5" w:rsidRPr="002D0DD5" w:rsidRDefault="002D0DD5" w:rsidP="002D0DD5">
            <w:pPr>
              <w:keepLines/>
              <w:bidi/>
              <w:spacing w:after="0" w:line="240" w:lineRule="auto"/>
              <w:rPr>
                <w:rFonts w:ascii="Simplified Arabic" w:eastAsia="Arial" w:hAnsi="Simplified Arabic" w:cs="Simplified Arabic"/>
                <w:rtl/>
              </w:rPr>
            </w:pPr>
            <w:r w:rsidRPr="002D0DD5">
              <w:rPr>
                <w:rFonts w:ascii="Simplified Arabic" w:eastAsia="Arial" w:hAnsi="Simplified Arabic" w:cs="Simplified Arabic"/>
                <w:color w:val="FF0000"/>
                <w:rtl/>
                <w:lang w:val="ar-SA"/>
              </w:rPr>
              <w:t>هل تعمل حاليًا في وكالة تسويق رقمي مرخَّصة عاملة في الرياض أو جدة أو الدمام؟</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BDBECB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القيمة ١</w:t>
            </w:r>
            <w:r w:rsidRPr="002D0DD5">
              <w:rPr>
                <w:rFonts w:ascii="Simplified Arabic" w:eastAsia="Arial" w:hAnsi="Simplified Arabic" w:cs="Simplified Arabic"/>
                <w:color w:val="FF0000"/>
                <w:rtl/>
                <w:lang w:val="ar-SA"/>
              </w:rPr>
              <w:br/>
              <w:t>لا، القيمة ٠</w:t>
            </w:r>
          </w:p>
        </w:tc>
      </w:tr>
      <w:tr w:rsidR="002D0DD5" w:rsidRPr="002D0DD5" w14:paraId="1624561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FD601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S2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5C7E78"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هل يرتبط عملك بتخطيط الحملات التسويقية الرقمية أو تصميمها أو تنفيذها أو تحليل أدائها ضمن أحد الأدوار الوظيفية ذات الصلة؟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6C7DD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القيمة ١</w:t>
            </w:r>
            <w:r w:rsidRPr="002D0DD5">
              <w:rPr>
                <w:rFonts w:ascii="Simplified Arabic" w:eastAsia="Arial" w:hAnsi="Simplified Arabic" w:cs="Simplified Arabic"/>
                <w:color w:val="FF0000"/>
                <w:rtl/>
                <w:lang w:val="ar-SA"/>
              </w:rPr>
              <w:br/>
              <w:t>لا، القيمة ٠</w:t>
            </w:r>
          </w:p>
        </w:tc>
      </w:tr>
      <w:tr w:rsidR="002D0DD5" w:rsidRPr="002D0DD5" w14:paraId="2BB622B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07273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S3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C783CA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هل استخدمت بصورة مباشرة وعملية أداة واحدة على الأقل من أدوات الذكاء الاصطناعي التوليدي في سياق العمل على الحملات التسويقية الرقمية خلال آخر اثني عشر شهرًا، وبمعدل لا يقل عن مرة واحدة شهريًا؟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BBC8E9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القيمة ١</w:t>
            </w:r>
            <w:r w:rsidRPr="002D0DD5">
              <w:rPr>
                <w:rFonts w:ascii="Simplified Arabic" w:eastAsia="Arial" w:hAnsi="Simplified Arabic" w:cs="Simplified Arabic"/>
                <w:color w:val="FF0000"/>
                <w:rtl/>
                <w:lang w:val="ar-SA"/>
              </w:rPr>
              <w:br/>
              <w:t>لا، القيمة ٠</w:t>
            </w:r>
          </w:p>
        </w:tc>
      </w:tr>
      <w:tr w:rsidR="002D0DD5" w:rsidRPr="002D0DD5" w14:paraId="5C50A216"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5EE914"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S4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205DE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هل لديك خبرة مستمرة في الوكالة الحالية أو في مجال الحملات التسويقية الرقمية لمدة ستة أشهر فأكثر؟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5BE9B1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القيمة ١</w:t>
            </w:r>
            <w:r w:rsidRPr="002D0DD5">
              <w:rPr>
                <w:rFonts w:ascii="Simplified Arabic" w:eastAsia="Arial" w:hAnsi="Simplified Arabic" w:cs="Simplified Arabic"/>
                <w:color w:val="FF0000"/>
                <w:rtl/>
                <w:lang w:val="ar-SA"/>
              </w:rPr>
              <w:br/>
              <w:t>لا، القيمة ٠</w:t>
            </w:r>
          </w:p>
        </w:tc>
      </w:tr>
      <w:tr w:rsidR="002D0DD5" w:rsidRPr="002D0DD5" w14:paraId="7DA18676"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6712F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S5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94E5F1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هل توافق طوعًا على المشاركة في هذه الدراسة بعد الاطلاع على معلومات المشاركة والموافقة المستنيرة؟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A2263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القيمة ١</w:t>
            </w:r>
            <w:r w:rsidRPr="002D0DD5">
              <w:rPr>
                <w:rFonts w:ascii="Simplified Arabic" w:eastAsia="Arial" w:hAnsi="Simplified Arabic" w:cs="Simplified Arabic"/>
                <w:color w:val="FF0000"/>
                <w:rtl/>
                <w:lang w:val="ar-SA"/>
              </w:rPr>
              <w:br/>
              <w:t>لا، القيمة ٠</w:t>
            </w:r>
          </w:p>
        </w:tc>
      </w:tr>
      <w:tr w:rsidR="002D0DD5" w:rsidRPr="002D0DD5" w14:paraId="1FFFF80E"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B065B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39DE7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تستخدم الوكالة أدوات الذكاء الاصطناعي التوليدي في تحليل السوق والاتجاهات قبل تصميم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193B2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6548C5A"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9DBE83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6913A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توظف هذه الأدوات في بناء تصورات عن الجمهور المستهدف وتقسيمه إلى شرائح قابلة للاستهداف.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23969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A855653"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99115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F3B1CBC"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تُستخدم تقنيات الذكاء الاصطناعي التوليدي في توليد أفكار أولية ومفاهيم إبداعية للحملات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CA21F4"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ADF9F9E"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84D68F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CC0E27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تساعد هذه التقنيات في صياغة بدائل متعددة للنصوص الإعلانية والعناوين والرسائل الرئيسة.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BD9A9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5588713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FB3C7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GAIU5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4AEFA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تُستخدم أدوات التوليد البصري في إنتاج تصورات أو عناصر تصميمية مبدئية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D7C40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67E535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E6C7D6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AC1</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53130519"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لأغراض التحقق من جودة الاستجابة، يرجى اختيار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1BB76A8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مقياس ليكرت من ١ إلى ٥</w:t>
            </w:r>
            <w:r w:rsidRPr="002D0DD5">
              <w:rPr>
                <w:rFonts w:ascii="Simplified Arabic" w:eastAsia="Arial" w:hAnsi="Simplified Arabic" w:cs="Simplified Arabic"/>
                <w:color w:val="FF0000"/>
                <w:rtl/>
                <w:lang w:val="ar-SA"/>
              </w:rPr>
              <w:br/>
              <w:t>الإجابة المتوقعة: موافق، وقيمتها ٤</w:t>
            </w:r>
          </w:p>
        </w:tc>
      </w:tr>
      <w:tr w:rsidR="002D0DD5" w:rsidRPr="002D0DD5" w14:paraId="658C6BBD"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751424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692ED5"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توظف هذه التقنيات في تكييف المحتوى مع خصائص المنصات الرقمية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36775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69390B7"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0E218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29192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تُستخدم أدوات الذكاء الاصطناعي التوليدي في اقتراح صيغ مختلفة للرسائل بما يتناسب مع شرائح الجمهور.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B6B03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7A4364C"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62388A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3F710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تدخل مخرجات الذكاء الاصطناعي التوليدي ضمن جلسات العصف الذهني والمراجعة الإبداعية داخل الفريق.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DED52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419F721"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C3E87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3BAC5F2"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تُستخدم هذه الأدوات في تلخيص بيانات الأداء واقتراح تحسينات أثناء تنفيذ الحملة أو بعدها.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F48BA2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BC379B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32A971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GAIU10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F308A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أصبح توظيف الذكاء الاصطناعي التوليدي جزءًا واضحًا من سير عمل تصميم الحملات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9EAF9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A523D42"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5223CD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CDQ1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D852DF7"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يسهم توظيف الذكاء الاصطناعي التوليدي في تقليص الزمن اللازم للانتقال من موجز العميل إلى التصورات الأولية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41547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0AEA89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004F99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E93122"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يساعد استخدام هذه التقنيات على إنجاز المهام المتكررة في التصميم والمحتوى بكفاءة أعلى.</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0EE68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927F38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85FFF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B8BA02"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يزيد استخدام الذكاء الاصطناعي التوليدي من تنوع البدائل الإبداعية المتاحة قبل اعتماد فكرة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BC4D4E4"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B32F13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B6BE4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ADF4F8"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يساعد الذكاء الاصطناعي التوليدي الفريق على مقارنة البدائل الإبداعية في ضوء أهداف الحملة والجمهور المستهدف.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19BA5C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9A65CFB"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C5DDBB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7C22564"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تسهم هذه التقنيات في تحسين اتساق الرسائل والمخرجات التصميمية مع هوية العلامة التجارية.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E212C1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4741297"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E49DA1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411E3E"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تساعد مخرجات الذكاء الاصطناعي التوليدي في تحسين دقة تصور الجمهور المناسب للحملة قبل إطلاقها.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32019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57C54533"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F9F3B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CDQ7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066FB1"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تزيد هذه التقنيات من قدرة الفريق على تخصيص المحتوى بما يلائم خصائص الشرائح والمنصات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CF7C17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7E40D733"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FC88F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CDQ8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2085D1"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تدعم هذه التقنيات دورة المراجعة والتحسين من خلال إتاحة تعديلات سريعة ومدروسة على عناصر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BA5AF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A4441B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8CAA2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685FE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يمثل تقليص الوقت اللازم لإنجاز مهام التخطيط والإنتاج أحد الدوافع الرئيسة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34E50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698D30C"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9B194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265B7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يمثل رفع إنتاجية فرق العمل دافعًا مهمًا لتبني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E8EC7E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2079803"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FE5482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0ED7DE"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يساعد تبني هذه التقنيات على إعادة توجيه جهد الفريق من المهام الروتينية إلى المهام ذات القيمة الإبداعية والاستراتيجية.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7C1A3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9F7FDBE"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5F7C9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3C5E7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يمثل خفض تكاليف بعض المهام التشغيلية المتكررة دافعًا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01B7E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CFF8C76"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CE350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D5CABB"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تدفع توقعات العملاء بالحصول على مخرجات أسرع وأكثر تنوعًا الوكالة إلى تبني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2CF125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141D18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BC8A8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1BE41E"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تمثل الرغبة في مواكبة المنافسين وتقديم خدمات أكثر تطورًا دافعًا رئيسًا لتوظيف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0B22C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FE4696C"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1032C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ADP7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7A1854"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يمثل تحسين القدرة على تخصيص الرسائل والمحتوى لكل شريحة من الجمهور دافعًا مهمًا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03FBE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121D79F0"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AD223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5073501"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يسهم السعي إلى توليد أفكار وأساليب إبداعية جديدة في تعزيز توجه الوكالة نحو استخدام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089661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32301831"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FDBA4E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ADP9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852456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ترى الوكالة أن تبني الذكاء الاصطناعي التوليدي يعزز قدرتها على تقديم قيمة تسويقية أعلى للعملاء.</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3C5FB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926BC36"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1CD22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EB852BB"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ضعف دقة بعض المخرجات التوليدية أو عدم ملاءمتها للسياق المحلي السعودي يحد من الاستفادة منها.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04A9AF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2A4C9D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0F20F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71345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وجود أخطاء لغوية أو مفاهيمية في المحتوى المولّد باللغة العربية يتطلب مراجعة بشرية مكثفة.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F1004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162A43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DFDDF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55475E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ارتفاع تكلفة الاشتراكات أو محدودية توفر الأدوات المناسبة داخل الوكالة يعيق التوظيف المنتظم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3ADDF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55DD5FB3"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4307D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6904A2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صعوبة دمج أدوات الذكاء الاصطناعي التوليدي مع أنظمة العمل والمنصات المستخدمة في الوكالة تحد من فعاليتها.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79707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C9F9134"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AD2C4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BAR5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882F88"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نقص مهارات الفريق في صياغة الأوامر التوليدية وتقييم المخرجات يضعف الاستفادة من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942D6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B32BA07"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092533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AC2</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88FCD8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لأغراض التحقق من الانتباه، يرجى اختيار «غير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FCC49A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مقياس ليكرت من ١ إلى ٥</w:t>
            </w:r>
            <w:r w:rsidRPr="002D0DD5">
              <w:rPr>
                <w:rFonts w:ascii="Simplified Arabic" w:eastAsia="Arial" w:hAnsi="Simplified Arabic" w:cs="Simplified Arabic"/>
                <w:color w:val="FF0000"/>
                <w:rtl/>
                <w:lang w:val="ar-SA"/>
              </w:rPr>
              <w:br/>
              <w:t>الإجابة المتوقعة: غير موافق، وقيمتها ٢</w:t>
            </w:r>
          </w:p>
        </w:tc>
      </w:tr>
      <w:tr w:rsidR="002D0DD5" w:rsidRPr="002D0DD5" w14:paraId="01457410"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176C0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97CE9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محدودية البرامج التدريبية المتخصصة في استخدام الذكاء الاصطناعي التوليدي داخل مجال التسويق تمثل عائقًا عمليًا.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DE2BD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1A0A36D"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08234D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31402B"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مقاومة بعض العاملين للتغيير أو تفضيلهم للأساليب التقليدية يحد من دمج هذه التقنيات في سير العمل.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2779BC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015C65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AAA369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EFBDB0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تثير حماية بيانات العملاء وخصوصية الحملات مخاوف تحد من 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0D662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016CF4EE"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6679A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54EBA8"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الغموض المرتبط بحقوق الملكية الفكرية والمسؤولية عن المحتوى المولّد يقيد الاستخدام الواسع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E161A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5CC231E8"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FD021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BAR10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45E59A"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غياب سياسات داخلية واضحة تحدد ضوابط الاستخدام والمراجعة والاعتماد يعيق التبني المنظم لهذه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886218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C87BC9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016BA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MP1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8B7507"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تسهم الحملات التي يوظف فيها الذكاء الاصطناعي التوليدي في إنتاج محتوى نهائي أكثر ملاءمة لأهداف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15707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F971630"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5C1F9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34B93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تحقق الحملات المدعومة بهذه التقنيات مستوى أعلى من جودة الرسائل الإعلانية من حيث الوضوح والجاذبية والاتساق.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B1AF18"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1EB7255D"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23B33E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4350E2"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تساعد هذه التقنيات في تحسين ملاءمة الرسالة التسويقية للجمهور المستهدف عند تنفيذ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829C6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68FF1258"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321239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606580"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تسهم الحملات التي تستخدم الذكاء الاصطناعي التوليدي في رفع معدلات التفاعل الرقمي مقارنة بالحملات التقليدية المشابهة.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22B82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15B400B"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6FAEE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396CF0F"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يساعد استخدام هذه التقنيات على تحسين معدلات التحويل أو توليد العملاء المحتملين عند توافر أهداف قابلة للقياس.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9229D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505EB48D"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B4CF4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806BC7"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تدعم هذه التقنيات كفاءة الإنفاق الإعلاني من خلال تقليل الهدر وتحسين توجيه الرسائل.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B35F5F"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7B941A1E"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C41546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508CD9"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تسهم مخرجات الذكاء الاصطناعي التوليدي في تحسين قدرة الحملة على تحقيق مؤشرات الأداء المحددة مسبقًا.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3843F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7B3A486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BBAE45C"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MP8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D79A2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يعزز استخدام هذه التقنيات رضا العملاء عن سرعة وجودة مخرجات الحملات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429AD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41059290"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F8504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MP9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2CFBA1"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بصورة عامة، تبدو الحملات التي يوظف فيها الذكاء الاصطناعي التوليدي أكثر فعالية من الحملات التي لا تستخدمه.</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BE13A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غير موافق بشدة، القيمة ١</w:t>
            </w:r>
            <w:r w:rsidRPr="002D0DD5">
              <w:rPr>
                <w:rFonts w:ascii="Simplified Arabic" w:eastAsia="Arial" w:hAnsi="Simplified Arabic" w:cs="Simplified Arabic"/>
                <w:color w:val="FF0000"/>
                <w:rtl/>
                <w:lang w:val="ar-SA"/>
              </w:rPr>
              <w:br/>
              <w:t>غير موافق، القيمة ٢</w:t>
            </w:r>
            <w:r w:rsidRPr="002D0DD5">
              <w:rPr>
                <w:rFonts w:ascii="Simplified Arabic" w:eastAsia="Arial" w:hAnsi="Simplified Arabic" w:cs="Simplified Arabic"/>
                <w:color w:val="FF0000"/>
                <w:rtl/>
                <w:lang w:val="ar-SA"/>
              </w:rPr>
              <w:br/>
              <w:t>محايد، القيمة ٣</w:t>
            </w:r>
            <w:r w:rsidRPr="002D0DD5">
              <w:rPr>
                <w:rFonts w:ascii="Simplified Arabic" w:eastAsia="Arial" w:hAnsi="Simplified Arabic" w:cs="Simplified Arabic"/>
                <w:color w:val="FF0000"/>
                <w:rtl/>
                <w:lang w:val="ar-SA"/>
              </w:rPr>
              <w:br/>
              <w:t>موافق، القيمة ٤</w:t>
            </w:r>
            <w:r w:rsidRPr="002D0DD5">
              <w:rPr>
                <w:rFonts w:ascii="Simplified Arabic" w:eastAsia="Arial" w:hAnsi="Simplified Arabic" w:cs="Simplified Arabic"/>
                <w:color w:val="FF0000"/>
                <w:rtl/>
                <w:lang w:val="ar-SA"/>
              </w:rPr>
              <w:br/>
              <w:t>موافق بشدة، القيمة ٥</w:t>
            </w:r>
          </w:p>
        </w:tc>
      </w:tr>
      <w:tr w:rsidR="002D0DD5" w:rsidRPr="002D0DD5" w14:paraId="2D685FC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D4796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431FA5"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الجنس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21B6A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ذكر، القيمة ١</w:t>
            </w:r>
            <w:r w:rsidRPr="002D0DD5">
              <w:rPr>
                <w:rFonts w:ascii="Simplified Arabic" w:eastAsia="Arial" w:hAnsi="Simplified Arabic" w:cs="Simplified Arabic"/>
                <w:color w:val="FF0000"/>
                <w:rtl/>
                <w:lang w:val="ar-SA"/>
              </w:rPr>
              <w:br/>
              <w:t>أنثى، القيمة ٢</w:t>
            </w:r>
          </w:p>
        </w:tc>
      </w:tr>
      <w:tr w:rsidR="002D0DD5" w:rsidRPr="002D0DD5" w14:paraId="5BFC8D4C"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3064D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98468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الفئة العمرية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3D636A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أقل من ٢٥ سنة، القيمة ١</w:t>
            </w:r>
            <w:r w:rsidRPr="002D0DD5">
              <w:rPr>
                <w:rFonts w:ascii="Simplified Arabic" w:eastAsia="Arial" w:hAnsi="Simplified Arabic" w:cs="Simplified Arabic"/>
                <w:color w:val="FF0000"/>
                <w:rtl/>
                <w:lang w:val="ar-SA"/>
              </w:rPr>
              <w:br/>
              <w:t>من ٢٥ إلى أقل من ٣٥ سنة، القيمة ٢</w:t>
            </w:r>
            <w:r w:rsidRPr="002D0DD5">
              <w:rPr>
                <w:rFonts w:ascii="Simplified Arabic" w:eastAsia="Arial" w:hAnsi="Simplified Arabic" w:cs="Simplified Arabic"/>
                <w:color w:val="FF0000"/>
                <w:rtl/>
                <w:lang w:val="ar-SA"/>
              </w:rPr>
              <w:br/>
              <w:t>من ٣٥ إلى أقل من ٤٥ سنة، القيمة ٣</w:t>
            </w:r>
            <w:r w:rsidRPr="002D0DD5">
              <w:rPr>
                <w:rFonts w:ascii="Simplified Arabic" w:eastAsia="Arial" w:hAnsi="Simplified Arabic" w:cs="Simplified Arabic"/>
                <w:color w:val="FF0000"/>
                <w:rtl/>
                <w:lang w:val="ar-SA"/>
              </w:rPr>
              <w:br/>
              <w:t>٤٥ سنة فأكثر، القيمة ٤</w:t>
            </w:r>
          </w:p>
        </w:tc>
      </w:tr>
      <w:tr w:rsidR="002D0DD5" w:rsidRPr="002D0DD5" w14:paraId="3C6D6376"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C57F85"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DB9BBCC"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المؤهل العلمي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6680F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دبلوم فأقل، القيمة ١</w:t>
            </w:r>
            <w:r w:rsidRPr="002D0DD5">
              <w:rPr>
                <w:rFonts w:ascii="Simplified Arabic" w:eastAsia="Arial" w:hAnsi="Simplified Arabic" w:cs="Simplified Arabic"/>
                <w:color w:val="FF0000"/>
                <w:rtl/>
                <w:lang w:val="ar-SA"/>
              </w:rPr>
              <w:br/>
              <w:t>بكالوريوس، القيمة ٢</w:t>
            </w:r>
            <w:r w:rsidRPr="002D0DD5">
              <w:rPr>
                <w:rFonts w:ascii="Simplified Arabic" w:eastAsia="Arial" w:hAnsi="Simplified Arabic" w:cs="Simplified Arabic"/>
                <w:color w:val="FF0000"/>
                <w:rtl/>
                <w:lang w:val="ar-SA"/>
              </w:rPr>
              <w:br/>
              <w:t>ماجستير، القيمة ٣</w:t>
            </w:r>
            <w:r w:rsidRPr="002D0DD5">
              <w:rPr>
                <w:rFonts w:ascii="Simplified Arabic" w:eastAsia="Arial" w:hAnsi="Simplified Arabic" w:cs="Simplified Arabic"/>
                <w:color w:val="FF0000"/>
                <w:rtl/>
                <w:lang w:val="ar-SA"/>
              </w:rPr>
              <w:br/>
              <w:t>دكتوراه، القيمة ٤</w:t>
            </w:r>
            <w:r w:rsidRPr="002D0DD5">
              <w:rPr>
                <w:rFonts w:ascii="Simplified Arabic" w:eastAsia="Arial" w:hAnsi="Simplified Arabic" w:cs="Simplified Arabic"/>
                <w:color w:val="FF0000"/>
                <w:rtl/>
                <w:lang w:val="ar-SA"/>
              </w:rPr>
              <w:br/>
              <w:t>أخرى، القيمة ٥</w:t>
            </w:r>
          </w:p>
        </w:tc>
      </w:tr>
      <w:tr w:rsidR="002D0DD5" w:rsidRPr="002D0DD5" w14:paraId="1C1C3B30"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8D6B6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5E177A"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المسمى أو الدور الوظيفي الأقرب لطبيعة عملك</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B75A9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تخطيط واستراتيجية، القيمة ١</w:t>
            </w:r>
            <w:r w:rsidRPr="002D0DD5">
              <w:rPr>
                <w:rFonts w:ascii="Simplified Arabic" w:eastAsia="Arial" w:hAnsi="Simplified Arabic" w:cs="Simplified Arabic"/>
                <w:color w:val="FF0000"/>
                <w:rtl/>
                <w:lang w:val="ar-SA"/>
              </w:rPr>
              <w:br/>
              <w:t>إبداع وتصميم، القيمة ٢</w:t>
            </w:r>
            <w:r w:rsidRPr="002D0DD5">
              <w:rPr>
                <w:rFonts w:ascii="Simplified Arabic" w:eastAsia="Arial" w:hAnsi="Simplified Arabic" w:cs="Simplified Arabic"/>
                <w:color w:val="FF0000"/>
                <w:rtl/>
                <w:lang w:val="ar-SA"/>
              </w:rPr>
              <w:br/>
              <w:t>كتابة إعلانية أو محتوى، القيمة ٣</w:t>
            </w:r>
            <w:r w:rsidRPr="002D0DD5">
              <w:rPr>
                <w:rFonts w:ascii="Simplified Arabic" w:eastAsia="Arial" w:hAnsi="Simplified Arabic" w:cs="Simplified Arabic"/>
                <w:color w:val="FF0000"/>
                <w:rtl/>
                <w:lang w:val="ar-SA"/>
              </w:rPr>
              <w:br/>
              <w:t>تحليل بيانات وأداء، القيمة ٤</w:t>
            </w:r>
            <w:r w:rsidRPr="002D0DD5">
              <w:rPr>
                <w:rFonts w:ascii="Simplified Arabic" w:eastAsia="Arial" w:hAnsi="Simplified Arabic" w:cs="Simplified Arabic"/>
                <w:color w:val="FF0000"/>
                <w:rtl/>
                <w:lang w:val="ar-SA"/>
              </w:rPr>
              <w:br/>
              <w:t>إدارة حسابات وعملاء، القيمة ٥</w:t>
            </w:r>
            <w:r w:rsidRPr="002D0DD5">
              <w:rPr>
                <w:rFonts w:ascii="Simplified Arabic" w:eastAsia="Arial" w:hAnsi="Simplified Arabic" w:cs="Simplified Arabic"/>
                <w:color w:val="FF0000"/>
                <w:rtl/>
                <w:lang w:val="ar-SA"/>
              </w:rPr>
              <w:br/>
              <w:t>إدارة حملات أو شراء إعلامي، القيمة ٦</w:t>
            </w:r>
            <w:r w:rsidRPr="002D0DD5">
              <w:rPr>
                <w:rFonts w:ascii="Simplified Arabic" w:eastAsia="Arial" w:hAnsi="Simplified Arabic" w:cs="Simplified Arabic"/>
                <w:color w:val="FF0000"/>
                <w:rtl/>
                <w:lang w:val="ar-SA"/>
              </w:rPr>
              <w:br/>
              <w:t>إدارة عليا أو إشرافية، القيمة ٧</w:t>
            </w:r>
            <w:r w:rsidRPr="002D0DD5">
              <w:rPr>
                <w:rFonts w:ascii="Simplified Arabic" w:eastAsia="Arial" w:hAnsi="Simplified Arabic" w:cs="Simplified Arabic"/>
                <w:color w:val="FF0000"/>
                <w:rtl/>
                <w:lang w:val="ar-SA"/>
              </w:rPr>
              <w:br/>
              <w:t>أخرى، القيمة ٨</w:t>
            </w:r>
          </w:p>
        </w:tc>
      </w:tr>
      <w:tr w:rsidR="002D0DD5" w:rsidRPr="002D0DD5" w14:paraId="18DC8B1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17677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6E947ED"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سنوات الخبرة في التسويق الرقمي أو الاتصال التسويقي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79271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أقل من ٣ سنوات، القيمة ١</w:t>
            </w:r>
            <w:r w:rsidRPr="002D0DD5">
              <w:rPr>
                <w:rFonts w:ascii="Simplified Arabic" w:eastAsia="Arial" w:hAnsi="Simplified Arabic" w:cs="Simplified Arabic"/>
                <w:color w:val="FF0000"/>
                <w:rtl/>
                <w:lang w:val="ar-SA"/>
              </w:rPr>
              <w:br/>
              <w:t>من ٣ إلى أقل من ٧ سنوات، القيمة ٢</w:t>
            </w:r>
            <w:r w:rsidRPr="002D0DD5">
              <w:rPr>
                <w:rFonts w:ascii="Simplified Arabic" w:eastAsia="Arial" w:hAnsi="Simplified Arabic" w:cs="Simplified Arabic"/>
                <w:color w:val="FF0000"/>
                <w:rtl/>
                <w:lang w:val="ar-SA"/>
              </w:rPr>
              <w:br/>
              <w:t>من ٧ إلى أقل من ١٠ سنوات، القيمة ٣</w:t>
            </w:r>
            <w:r w:rsidRPr="002D0DD5">
              <w:rPr>
                <w:rFonts w:ascii="Simplified Arabic" w:eastAsia="Arial" w:hAnsi="Simplified Arabic" w:cs="Simplified Arabic"/>
                <w:color w:val="FF0000"/>
                <w:rtl/>
                <w:lang w:val="ar-SA"/>
              </w:rPr>
              <w:br/>
              <w:t>١٠ سنوات فأكثر، القيمة ٤</w:t>
            </w:r>
          </w:p>
        </w:tc>
      </w:tr>
      <w:tr w:rsidR="002D0DD5" w:rsidRPr="002D0DD5" w14:paraId="219CD8E4"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D10257"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053AFA6"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حجم الوكالة من حيث عدد الموظفين</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58670A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صغيرة: أقل من ٣٠ موظفًا، القيمة ١</w:t>
            </w:r>
            <w:r w:rsidRPr="002D0DD5">
              <w:rPr>
                <w:rFonts w:ascii="Simplified Arabic" w:eastAsia="Arial" w:hAnsi="Simplified Arabic" w:cs="Simplified Arabic"/>
                <w:color w:val="FF0000"/>
                <w:rtl/>
                <w:lang w:val="ar-SA"/>
              </w:rPr>
              <w:br/>
              <w:t>متوسطة: من ٣٠ إلى أقل من ١٠٠ موظف، القيمة ٢</w:t>
            </w:r>
            <w:r w:rsidRPr="002D0DD5">
              <w:rPr>
                <w:rFonts w:ascii="Simplified Arabic" w:eastAsia="Arial" w:hAnsi="Simplified Arabic" w:cs="Simplified Arabic"/>
                <w:color w:val="FF0000"/>
                <w:rtl/>
                <w:lang w:val="ar-SA"/>
              </w:rPr>
              <w:br/>
              <w:t>كبيرة: ١٠٠ موظف فأكثر، القيمة ٣</w:t>
            </w:r>
          </w:p>
        </w:tc>
      </w:tr>
      <w:tr w:rsidR="002D0DD5" w:rsidRPr="002D0DD5" w14:paraId="1377454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395FF9"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238F5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الموقع الرئيس للوكالة داخل المملكة العربية السعودية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3E4202"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الرياض، القيمة ١</w:t>
            </w:r>
            <w:r w:rsidRPr="002D0DD5">
              <w:rPr>
                <w:rFonts w:ascii="Simplified Arabic" w:eastAsia="Arial" w:hAnsi="Simplified Arabic" w:cs="Simplified Arabic"/>
                <w:color w:val="FF0000"/>
                <w:rtl/>
                <w:lang w:val="ar-SA"/>
              </w:rPr>
              <w:br/>
              <w:t>جدة، القيمة ٢</w:t>
            </w:r>
            <w:r w:rsidRPr="002D0DD5">
              <w:rPr>
                <w:rFonts w:ascii="Simplified Arabic" w:eastAsia="Arial" w:hAnsi="Simplified Arabic" w:cs="Simplified Arabic"/>
                <w:color w:val="FF0000"/>
                <w:rtl/>
                <w:lang w:val="ar-SA"/>
              </w:rPr>
              <w:br/>
              <w:t>الدمام، القيمة ٣</w:t>
            </w:r>
          </w:p>
        </w:tc>
      </w:tr>
      <w:tr w:rsidR="002D0DD5" w:rsidRPr="002D0DD5" w14:paraId="1878C717"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A9AD0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60BA04"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طبيعة العملاء الذين تخدمهم الوكالة غالبًا؛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D13A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يُنشأ متغير ثنائي مستقل لكل خيار</w:t>
            </w:r>
            <w:r w:rsidRPr="002D0DD5">
              <w:rPr>
                <w:rFonts w:ascii="Simplified Arabic" w:eastAsia="Arial" w:hAnsi="Simplified Arabic" w:cs="Simplified Arabic"/>
                <w:color w:val="FF0000"/>
                <w:rtl/>
                <w:lang w:val="ar-SA"/>
              </w:rPr>
              <w:br/>
              <w:t>مختار، القيمة ١</w:t>
            </w:r>
            <w:r w:rsidRPr="002D0DD5">
              <w:rPr>
                <w:rFonts w:ascii="Simplified Arabic" w:eastAsia="Arial" w:hAnsi="Simplified Arabic" w:cs="Simplified Arabic"/>
                <w:color w:val="FF0000"/>
                <w:rtl/>
                <w:lang w:val="ar-SA"/>
              </w:rPr>
              <w:br/>
              <w:t>غير مختار، القيمة ٠</w:t>
            </w:r>
          </w:p>
        </w:tc>
      </w:tr>
      <w:tr w:rsidR="002D0DD5" w:rsidRPr="002D0DD5" w14:paraId="7DB91D79"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C7A7EC4"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5E14FF"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مستوى نضج استخدام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E5854C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استخدام فردي محدود، القيمة ١</w:t>
            </w:r>
            <w:r w:rsidRPr="002D0DD5">
              <w:rPr>
                <w:rFonts w:ascii="Simplified Arabic" w:eastAsia="Arial" w:hAnsi="Simplified Arabic" w:cs="Simplified Arabic"/>
                <w:color w:val="FF0000"/>
                <w:rtl/>
                <w:lang w:val="ar-SA"/>
              </w:rPr>
              <w:br/>
              <w:t>استخدام تجريبي داخل بعض الفرق، القيمة ٢</w:t>
            </w:r>
            <w:r w:rsidRPr="002D0DD5">
              <w:rPr>
                <w:rFonts w:ascii="Simplified Arabic" w:eastAsia="Arial" w:hAnsi="Simplified Arabic" w:cs="Simplified Arabic"/>
                <w:color w:val="FF0000"/>
                <w:rtl/>
                <w:lang w:val="ar-SA"/>
              </w:rPr>
              <w:br/>
              <w:t>استخدام منتظم في بعض المشاريع، القيمة ٣</w:t>
            </w:r>
            <w:r w:rsidRPr="002D0DD5">
              <w:rPr>
                <w:rFonts w:ascii="Simplified Arabic" w:eastAsia="Arial" w:hAnsi="Simplified Arabic" w:cs="Simplified Arabic"/>
                <w:color w:val="FF0000"/>
                <w:rtl/>
                <w:lang w:val="ar-SA"/>
              </w:rPr>
              <w:br/>
              <w:t>استخدام مؤسسي مدمج في سير العمل، القيمة ٤</w:t>
            </w:r>
            <w:r w:rsidRPr="002D0DD5">
              <w:rPr>
                <w:rFonts w:ascii="Simplified Arabic" w:eastAsia="Arial" w:hAnsi="Simplified Arabic" w:cs="Simplified Arabic"/>
                <w:color w:val="FF0000"/>
                <w:rtl/>
                <w:lang w:val="ar-SA"/>
              </w:rPr>
              <w:br/>
              <w:t>لا أعلم، القيمة ٥</w:t>
            </w:r>
          </w:p>
        </w:tc>
      </w:tr>
      <w:tr w:rsidR="002D0DD5" w:rsidRPr="002D0DD5" w14:paraId="07F73778"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C9A3A"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A572DF"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أنواع أدوات الذكاء الاصطناعي التوليدي المستخدمة بانتظام في الوكالة؛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3499A6"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يُنشأ متغير ثنائي مستقل لكل خيار</w:t>
            </w:r>
            <w:r w:rsidRPr="002D0DD5">
              <w:rPr>
                <w:rFonts w:ascii="Simplified Arabic" w:eastAsia="Arial" w:hAnsi="Simplified Arabic" w:cs="Simplified Arabic"/>
                <w:color w:val="FF0000"/>
                <w:rtl/>
                <w:lang w:val="ar-SA"/>
              </w:rPr>
              <w:br/>
              <w:t>مختار، القيمة ١</w:t>
            </w:r>
            <w:r w:rsidRPr="002D0DD5">
              <w:rPr>
                <w:rFonts w:ascii="Simplified Arabic" w:eastAsia="Arial" w:hAnsi="Simplified Arabic" w:cs="Simplified Arabic"/>
                <w:color w:val="FF0000"/>
                <w:rtl/>
                <w:lang w:val="ar-SA"/>
              </w:rPr>
              <w:br/>
              <w:t>غير مختار، القيمة ٠</w:t>
            </w:r>
          </w:p>
        </w:tc>
      </w:tr>
      <w:tr w:rsidR="002D0DD5" w:rsidRPr="002D0DD5" w14:paraId="62A9F64D"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217B8FB"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lastRenderedPageBreak/>
              <w:t>P11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3204C79"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عدد الحملات الرقمية التي شاركت فيها واستخدمت فيها أدوات ذكاء اصطناعي توليدي خلال آخر اثني عشر شهرًا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22AF40"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لا توجد حملات، القيمة ٠</w:t>
            </w:r>
            <w:r w:rsidRPr="002D0DD5">
              <w:rPr>
                <w:rFonts w:ascii="Simplified Arabic" w:eastAsia="Arial" w:hAnsi="Simplified Arabic" w:cs="Simplified Arabic"/>
                <w:color w:val="FF0000"/>
                <w:rtl/>
                <w:lang w:val="ar-SA"/>
              </w:rPr>
              <w:br/>
              <w:t>حملة واحدة، القيمة ١</w:t>
            </w:r>
            <w:r w:rsidRPr="002D0DD5">
              <w:rPr>
                <w:rFonts w:ascii="Simplified Arabic" w:eastAsia="Arial" w:hAnsi="Simplified Arabic" w:cs="Simplified Arabic"/>
                <w:color w:val="FF0000"/>
                <w:rtl/>
                <w:lang w:val="ar-SA"/>
              </w:rPr>
              <w:br/>
              <w:t>من حملتين إلى ٥ حملات، القيمة ٢</w:t>
            </w:r>
            <w:r w:rsidRPr="002D0DD5">
              <w:rPr>
                <w:rFonts w:ascii="Simplified Arabic" w:eastAsia="Arial" w:hAnsi="Simplified Arabic" w:cs="Simplified Arabic"/>
                <w:color w:val="FF0000"/>
                <w:rtl/>
                <w:lang w:val="ar-SA"/>
              </w:rPr>
              <w:br/>
              <w:t>من ٦ إلى ١٠ حملات، القيمة ٣</w:t>
            </w:r>
            <w:r w:rsidRPr="002D0DD5">
              <w:rPr>
                <w:rFonts w:ascii="Simplified Arabic" w:eastAsia="Arial" w:hAnsi="Simplified Arabic" w:cs="Simplified Arabic"/>
                <w:color w:val="FF0000"/>
                <w:rtl/>
                <w:lang w:val="ar-SA"/>
              </w:rPr>
              <w:br/>
              <w:t>أكثر من ١٠ حملات، القيمة ٤</w:t>
            </w:r>
          </w:p>
        </w:tc>
      </w:tr>
      <w:tr w:rsidR="002D0DD5" w:rsidRPr="002D0DD5" w14:paraId="078C1A95"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5ACFD3"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P12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FE3A20E"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هل توجد في الوكالة سياسة أو ضوابط داخلية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CA2B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نعم، مكتوبة وواضحة، القيمة ١</w:t>
            </w:r>
            <w:r w:rsidRPr="002D0DD5">
              <w:rPr>
                <w:rFonts w:ascii="Simplified Arabic" w:eastAsia="Arial" w:hAnsi="Simplified Arabic" w:cs="Simplified Arabic"/>
                <w:color w:val="FF0000"/>
                <w:rtl/>
                <w:lang w:val="ar-SA"/>
              </w:rPr>
              <w:br/>
              <w:t>نعم، لكنها غير مكتملة، القيمة ٢</w:t>
            </w:r>
            <w:r w:rsidRPr="002D0DD5">
              <w:rPr>
                <w:rFonts w:ascii="Simplified Arabic" w:eastAsia="Arial" w:hAnsi="Simplified Arabic" w:cs="Simplified Arabic"/>
                <w:color w:val="FF0000"/>
                <w:rtl/>
                <w:lang w:val="ar-SA"/>
              </w:rPr>
              <w:br/>
              <w:t>لا توجد، القيمة ٣</w:t>
            </w:r>
            <w:r w:rsidRPr="002D0DD5">
              <w:rPr>
                <w:rFonts w:ascii="Simplified Arabic" w:eastAsia="Arial" w:hAnsi="Simplified Arabic" w:cs="Simplified Arabic"/>
                <w:color w:val="FF0000"/>
                <w:rtl/>
                <w:lang w:val="ar-SA"/>
              </w:rPr>
              <w:br/>
              <w:t>لا أعلم، القيمة ٤</w:t>
            </w:r>
          </w:p>
        </w:tc>
      </w:tr>
      <w:tr w:rsidR="002D0DD5" w:rsidRPr="002D0DD5" w14:paraId="20A49417"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E48B84"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P13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C90212"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طبيعة علاقتك بأدوات الذكاء الاصطناعي التوليدي في الحملات التسويقية؛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0615271"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يُنشأ متغير ثنائي مستقل لكل خيار</w:t>
            </w:r>
            <w:r w:rsidRPr="002D0DD5">
              <w:rPr>
                <w:rFonts w:ascii="Simplified Arabic" w:eastAsia="Arial" w:hAnsi="Simplified Arabic" w:cs="Simplified Arabic"/>
                <w:color w:val="FF0000"/>
                <w:rtl/>
                <w:lang w:val="ar-SA"/>
              </w:rPr>
              <w:br/>
              <w:t>مختار، القيمة ١</w:t>
            </w:r>
            <w:r w:rsidRPr="002D0DD5">
              <w:rPr>
                <w:rFonts w:ascii="Simplified Arabic" w:eastAsia="Arial" w:hAnsi="Simplified Arabic" w:cs="Simplified Arabic"/>
                <w:color w:val="FF0000"/>
                <w:rtl/>
                <w:lang w:val="ar-SA"/>
              </w:rPr>
              <w:br/>
              <w:t>غير مختار، القيمة ٠</w:t>
            </w:r>
          </w:p>
        </w:tc>
      </w:tr>
      <w:tr w:rsidR="002D0DD5" w:rsidRPr="002D0DD5" w14:paraId="16576CBF" w14:textId="77777777" w:rsidTr="00911285">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D2046E"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Pr>
              <w:t>P14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00D423"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قناة الوصول إلى الاستبانة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D73D4D" w14:textId="77777777" w:rsidR="002D0DD5" w:rsidRPr="002D0DD5" w:rsidRDefault="002D0DD5" w:rsidP="002D0DD5">
            <w:pPr>
              <w:keepLines/>
              <w:bidi/>
              <w:spacing w:after="0" w:line="240" w:lineRule="auto"/>
              <w:jc w:val="center"/>
              <w:rPr>
                <w:rFonts w:ascii="Simplified Arabic" w:eastAsia="Arial" w:hAnsi="Simplified Arabic" w:cs="Simplified Arabic"/>
              </w:rPr>
            </w:pPr>
            <w:r w:rsidRPr="002D0DD5">
              <w:rPr>
                <w:rFonts w:ascii="Simplified Arabic" w:eastAsia="Arial" w:hAnsi="Simplified Arabic" w:cs="Simplified Arabic"/>
                <w:color w:val="FF0000"/>
                <w:rtl/>
                <w:lang w:val="ar-SA"/>
              </w:rPr>
              <w:t>عن طريق الوكالة أو المدير المباشر، القيمة ١</w:t>
            </w:r>
            <w:r w:rsidRPr="002D0DD5">
              <w:rPr>
                <w:rFonts w:ascii="Simplified Arabic" w:eastAsia="Arial" w:hAnsi="Simplified Arabic" w:cs="Simplified Arabic"/>
                <w:color w:val="FF0000"/>
                <w:rtl/>
                <w:lang w:val="ar-SA"/>
              </w:rPr>
              <w:br/>
              <w:t>جمعية أو مجموعة مهنية، القيمة ٢</w:t>
            </w:r>
            <w:r w:rsidRPr="002D0DD5">
              <w:rPr>
                <w:rFonts w:ascii="Simplified Arabic" w:eastAsia="Arial" w:hAnsi="Simplified Arabic" w:cs="Simplified Arabic"/>
                <w:color w:val="FF0000"/>
                <w:rtl/>
                <w:lang w:val="ar-SA"/>
              </w:rPr>
              <w:br/>
              <w:t>لينكدإن، القيمة ٣</w:t>
            </w:r>
            <w:r w:rsidRPr="002D0DD5">
              <w:rPr>
                <w:rFonts w:ascii="Simplified Arabic" w:eastAsia="Arial" w:hAnsi="Simplified Arabic" w:cs="Simplified Arabic"/>
                <w:color w:val="FF0000"/>
                <w:rtl/>
                <w:lang w:val="ar-SA"/>
              </w:rPr>
              <w:br/>
              <w:t>شبكة شخصية أو إحالة، القيمة ٤</w:t>
            </w:r>
          </w:p>
        </w:tc>
      </w:tr>
    </w:tbl>
    <w:p w14:paraId="32F39097" w14:textId="77777777" w:rsidR="002D0DD5" w:rsidRPr="002D0DD5" w:rsidRDefault="002D0DD5" w:rsidP="002D0DD5">
      <w:pPr>
        <w:keepLines/>
        <w:bidi/>
        <w:spacing w:after="0" w:line="240" w:lineRule="auto"/>
        <w:rPr>
          <w:rFonts w:ascii="Simplified Arabic" w:eastAsia="Arial" w:hAnsi="Simplified Arabic" w:cs="Simplified Arabic"/>
        </w:rPr>
      </w:pPr>
      <w:r w:rsidRPr="002D0DD5">
        <w:rPr>
          <w:rFonts w:ascii="Simplified Arabic" w:eastAsia="Arial" w:hAnsi="Simplified Arabic" w:cs="Simplified Arabic"/>
          <w:color w:val="FF0000"/>
          <w:rtl/>
          <w:lang w:val="ar-SA"/>
        </w:rPr>
        <w:t>ملاحظة: تُترك الخلايا ذات القيم المفقودة فارغة في ملف البيانات، ثم تُعالج وفق بروتوكول تنظيف البيانات الوارد في الفصل الثالث. ولا تتضمن الصورة الحالية للأداة أي فقرة عكسية؛ وإذا استُحدثت فقرة عكسية بعد التحكيم أو الدراسة الاستطلاعية، فتُوثق صراحةً قبل بدء التحليل.</w:t>
      </w:r>
    </w:p>
    <w:p w14:paraId="44FEB9FC" w14:textId="77777777" w:rsidR="002D0DD5" w:rsidRPr="002D0DD5" w:rsidRDefault="002D0DD5" w:rsidP="002D0DD5">
      <w:pPr>
        <w:bidi/>
        <w:spacing w:after="200" w:line="276" w:lineRule="auto"/>
        <w:jc w:val="both"/>
        <w:rPr>
          <w:rFonts w:ascii="Simplified Arabic" w:hAnsi="Simplified Arabic" w:cs="Simplified Arabic"/>
          <w:rtl/>
        </w:rPr>
      </w:pPr>
    </w:p>
    <w:p w14:paraId="7B31DD2C" w14:textId="77777777" w:rsidR="002D0DD5" w:rsidRPr="002D0DD5" w:rsidRDefault="002D0DD5" w:rsidP="002D0DD5">
      <w:pPr>
        <w:bidi/>
        <w:spacing w:after="200" w:line="276" w:lineRule="auto"/>
        <w:jc w:val="both"/>
        <w:rPr>
          <w:rFonts w:ascii="Simplified Arabic" w:hAnsi="Simplified Arabic" w:cs="Simplified Arabic"/>
          <w:rtl/>
        </w:rPr>
      </w:pPr>
    </w:p>
    <w:p w14:paraId="42FEDF04" w14:textId="77777777" w:rsidR="002D0DD5" w:rsidRPr="002D0DD5" w:rsidRDefault="002D0DD5" w:rsidP="002D0DD5">
      <w:pPr>
        <w:bidi/>
        <w:spacing w:after="200" w:line="276" w:lineRule="auto"/>
        <w:jc w:val="both"/>
        <w:rPr>
          <w:rFonts w:ascii="Simplified Arabic" w:hAnsi="Simplified Arabic" w:cs="Simplified Arabic"/>
          <w:rtl/>
        </w:rPr>
      </w:pPr>
    </w:p>
    <w:p w14:paraId="46BE6402" w14:textId="77777777" w:rsidR="002D0DD5" w:rsidRPr="002D0DD5" w:rsidRDefault="002D0DD5" w:rsidP="002D0DD5">
      <w:pPr>
        <w:bidi/>
        <w:spacing w:after="200" w:line="276" w:lineRule="auto"/>
        <w:jc w:val="both"/>
        <w:rPr>
          <w:rFonts w:ascii="Simplified Arabic" w:hAnsi="Simplified Arabic" w:cs="Simplified Arabic"/>
          <w:rtl/>
        </w:rPr>
      </w:pPr>
    </w:p>
    <w:p w14:paraId="110F8C7A" w14:textId="77777777" w:rsidR="002D0DD5" w:rsidRPr="002D0DD5" w:rsidRDefault="002D0DD5" w:rsidP="002D0DD5">
      <w:pPr>
        <w:bidi/>
        <w:spacing w:after="200" w:line="276" w:lineRule="auto"/>
        <w:jc w:val="both"/>
        <w:rPr>
          <w:rFonts w:ascii="Simplified Arabic" w:hAnsi="Simplified Arabic" w:cs="Simplified Arabic"/>
          <w:rtl/>
        </w:rPr>
      </w:pPr>
    </w:p>
    <w:p w14:paraId="1C8CDF71" w14:textId="77777777" w:rsidR="002D0DD5" w:rsidRPr="002D0DD5" w:rsidRDefault="002D0DD5" w:rsidP="002D0DD5">
      <w:pPr>
        <w:bidi/>
        <w:spacing w:after="200" w:line="276" w:lineRule="auto"/>
        <w:jc w:val="both"/>
        <w:rPr>
          <w:rFonts w:ascii="Simplified Arabic" w:hAnsi="Simplified Arabic" w:cs="Simplified Arabic"/>
          <w:rtl/>
        </w:rPr>
      </w:pPr>
    </w:p>
    <w:p w14:paraId="6364B197" w14:textId="77777777" w:rsidR="002D0DD5" w:rsidRPr="002D0DD5" w:rsidRDefault="002D0DD5" w:rsidP="002D0DD5">
      <w:pPr>
        <w:bidi/>
        <w:spacing w:after="200" w:line="276" w:lineRule="auto"/>
        <w:rPr>
          <w:rFonts w:ascii="Sakkal Majalla" w:hAnsi="Sakkal Majalla" w:cs="Sakkal Majalla"/>
          <w:b/>
          <w:bCs/>
          <w:color w:val="00B0F0"/>
          <w:sz w:val="36"/>
          <w:szCs w:val="36"/>
          <w:u w:val="single"/>
          <w:rtl/>
        </w:rPr>
      </w:pPr>
      <w:r w:rsidRPr="002D0DD5">
        <w:rPr>
          <w:rFonts w:ascii="Sakkal Majalla" w:hAnsi="Sakkal Majalla" w:cs="Sakkal Majalla" w:hint="cs"/>
          <w:b/>
          <w:bCs/>
          <w:color w:val="00B0F0"/>
          <w:sz w:val="36"/>
          <w:szCs w:val="36"/>
          <w:u w:val="single"/>
          <w:rtl/>
        </w:rPr>
        <w:lastRenderedPageBreak/>
        <w:t>المراجع</w:t>
      </w:r>
      <w:r w:rsidRPr="002D0DD5">
        <w:rPr>
          <w:rFonts w:ascii="Sakkal Majalla" w:hAnsi="Sakkal Majalla" w:cs="Sakkal Majalla"/>
          <w:b/>
          <w:bCs/>
          <w:color w:val="00B0F0"/>
          <w:sz w:val="36"/>
          <w:szCs w:val="36"/>
          <w:u w:val="single"/>
          <w:rtl/>
        </w:rPr>
        <w:t>:</w:t>
      </w:r>
    </w:p>
    <w:p w14:paraId="28FDC8E5" w14:textId="77777777" w:rsidR="002D0DD5" w:rsidRPr="002D0DD5" w:rsidRDefault="002D0DD5" w:rsidP="002D0DD5">
      <w:pPr>
        <w:bidi/>
        <w:spacing w:after="200" w:line="240" w:lineRule="auto"/>
        <w:rPr>
          <w:rFonts w:ascii="Sakkal Majalla" w:hAnsi="Sakkal Majalla" w:cs="Sakkal Majalla"/>
          <w:b/>
          <w:bCs/>
          <w:color w:val="1F497D" w:themeColor="text2"/>
          <w:sz w:val="32"/>
          <w:szCs w:val="32"/>
          <w:u w:val="single"/>
          <w:rtl/>
        </w:rPr>
      </w:pPr>
      <w:r w:rsidRPr="002D0DD5">
        <w:rPr>
          <w:rFonts w:ascii="Sakkal Majalla" w:hAnsi="Sakkal Majalla" w:cs="Sakkal Majalla"/>
          <w:b/>
          <w:bCs/>
          <w:color w:val="1F497D" w:themeColor="text2"/>
          <w:sz w:val="32"/>
          <w:szCs w:val="32"/>
          <w:u w:val="single"/>
          <w:rtl/>
        </w:rPr>
        <w:t>الم</w:t>
      </w:r>
      <w:r w:rsidRPr="002D0DD5">
        <w:rPr>
          <w:rFonts w:ascii="Sakkal Majalla" w:hAnsi="Sakkal Majalla" w:cs="Sakkal Majalla" w:hint="cs"/>
          <w:b/>
          <w:bCs/>
          <w:color w:val="1F497D" w:themeColor="text2"/>
          <w:sz w:val="32"/>
          <w:szCs w:val="32"/>
          <w:u w:val="single"/>
          <w:rtl/>
        </w:rPr>
        <w:t>راجع العربية</w:t>
      </w:r>
    </w:p>
    <w:p w14:paraId="2B10C745"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hint="cs"/>
          <w:b/>
          <w:bCs/>
          <w:color w:val="EE0000"/>
          <w:sz w:val="24"/>
          <w:szCs w:val="24"/>
          <w:rtl/>
        </w:rPr>
        <w:t xml:space="preserve"> </w:t>
      </w:r>
      <w:r w:rsidRPr="002D0DD5">
        <w:rPr>
          <w:rFonts w:ascii="Simplified Arabic" w:eastAsia="Times New Roman" w:hAnsi="Simplified Arabic" w:cs="Simplified Arabic"/>
          <w:b/>
          <w:bCs/>
          <w:color w:val="EE0000"/>
          <w:sz w:val="28"/>
          <w:szCs w:val="28"/>
          <w:rtl/>
        </w:rPr>
        <w:t xml:space="preserve">الأسدودي، ن. ن. </w:t>
      </w:r>
      <w:r w:rsidRPr="002D0DD5">
        <w:rPr>
          <w:rFonts w:ascii="Simplified Arabic" w:eastAsia="Times New Roman" w:hAnsi="Simplified Arabic" w:cs="Simplified Arabic"/>
          <w:color w:val="EE0000"/>
          <w:sz w:val="28"/>
          <w:szCs w:val="28"/>
          <w:rtl/>
        </w:rPr>
        <w:t xml:space="preserve">(2023). تطبيق آليات الذكاء الاصطناعي في التسويق الرقمي وآثارها في تحقيق المزايا التنافسية: دراسة ميدانية على الخبراء. </w:t>
      </w:r>
      <w:r w:rsidRPr="002D0DD5">
        <w:rPr>
          <w:rFonts w:ascii="Simplified Arabic" w:eastAsia="Times New Roman" w:hAnsi="Simplified Arabic" w:cs="Simplified Arabic"/>
          <w:i/>
          <w:iCs/>
          <w:color w:val="EE0000"/>
          <w:sz w:val="28"/>
          <w:szCs w:val="28"/>
          <w:rtl/>
        </w:rPr>
        <w:t>مجلة البحوث الإعلامية</w:t>
      </w:r>
      <w:r w:rsidRPr="002D0DD5">
        <w:rPr>
          <w:rFonts w:ascii="Simplified Arabic" w:eastAsia="Times New Roman" w:hAnsi="Simplified Arabic" w:cs="Simplified Arabic"/>
          <w:color w:val="EE0000"/>
          <w:sz w:val="28"/>
          <w:szCs w:val="28"/>
          <w:rtl/>
        </w:rPr>
        <w:t>، 67(2), 837–902.</w:t>
      </w:r>
    </w:p>
    <w:p w14:paraId="3DB95FE2"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1" w:history="1">
        <w:r w:rsidRPr="002D0DD5">
          <w:rPr>
            <w:rFonts w:ascii="Simplified Arabic" w:eastAsia="Times New Roman" w:hAnsi="Simplified Arabic" w:cs="Simplified Arabic"/>
            <w:color w:val="EE0000"/>
            <w:sz w:val="20"/>
            <w:szCs w:val="20"/>
            <w:u w:val="single"/>
          </w:rPr>
          <w:t>https://doi.org/10.21608/jsb.2023.230616.1633</w:t>
        </w:r>
      </w:hyperlink>
      <w:r w:rsidRPr="002D0DD5">
        <w:rPr>
          <w:rFonts w:ascii="Simplified Arabic" w:eastAsia="Times New Roman" w:hAnsi="Simplified Arabic" w:cs="Simplified Arabic"/>
          <w:color w:val="EE0000"/>
          <w:sz w:val="27"/>
          <w:szCs w:val="27"/>
        </w:rPr>
        <w:t xml:space="preserve"> </w:t>
      </w:r>
    </w:p>
    <w:p w14:paraId="0BA03553"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آل مرعي، ع. ب. ع. </w:t>
      </w:r>
      <w:r w:rsidRPr="002D0DD5">
        <w:rPr>
          <w:rFonts w:ascii="Simplified Arabic" w:eastAsia="Times New Roman" w:hAnsi="Simplified Arabic" w:cs="Simplified Arabic"/>
          <w:color w:val="EE0000"/>
          <w:sz w:val="28"/>
          <w:szCs w:val="28"/>
          <w:rtl/>
        </w:rPr>
        <w:t xml:space="preserve">(2024). إدراك الشباب السعودي لتقنيات الذكاء الاصطناعي وتأثيراتها على تحقيق جودة المحتوى المرئي عبر وسائل الإعلام: دراسة ميدانية. </w:t>
      </w:r>
      <w:r w:rsidRPr="002D0DD5">
        <w:rPr>
          <w:rFonts w:ascii="Simplified Arabic" w:eastAsia="Times New Roman" w:hAnsi="Simplified Arabic" w:cs="Simplified Arabic"/>
          <w:i/>
          <w:iCs/>
          <w:color w:val="EE0000"/>
          <w:sz w:val="28"/>
          <w:szCs w:val="28"/>
          <w:rtl/>
        </w:rPr>
        <w:t>مجلة البحوث الإعلامية</w:t>
      </w:r>
      <w:r w:rsidRPr="002D0DD5">
        <w:rPr>
          <w:rFonts w:ascii="Simplified Arabic" w:eastAsia="Times New Roman" w:hAnsi="Simplified Arabic" w:cs="Simplified Arabic"/>
          <w:color w:val="EE0000"/>
          <w:sz w:val="28"/>
          <w:szCs w:val="28"/>
          <w:rtl/>
        </w:rPr>
        <w:t>، 72(2), 957–1054.</w:t>
      </w:r>
    </w:p>
    <w:p w14:paraId="1C2A6AED"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2" w:history="1">
        <w:r w:rsidRPr="002D0DD5">
          <w:rPr>
            <w:rFonts w:ascii="Simplified Arabic" w:eastAsia="Times New Roman" w:hAnsi="Simplified Arabic" w:cs="Simplified Arabic"/>
            <w:color w:val="EE0000"/>
            <w:sz w:val="20"/>
            <w:szCs w:val="20"/>
            <w:u w:val="single"/>
          </w:rPr>
          <w:t>https://doi.org/10.21608/jsb.2024.307517.1782</w:t>
        </w:r>
      </w:hyperlink>
      <w:r w:rsidRPr="002D0DD5">
        <w:rPr>
          <w:rFonts w:ascii="Simplified Arabic" w:eastAsia="Times New Roman" w:hAnsi="Simplified Arabic" w:cs="Simplified Arabic"/>
          <w:color w:val="EE0000"/>
          <w:sz w:val="27"/>
          <w:szCs w:val="27"/>
        </w:rPr>
        <w:t xml:space="preserve"> </w:t>
      </w:r>
    </w:p>
    <w:p w14:paraId="2254BB4D"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البخيت، م. ع. </w:t>
      </w:r>
      <w:r w:rsidRPr="002D0DD5">
        <w:rPr>
          <w:rFonts w:ascii="Simplified Arabic" w:eastAsia="Times New Roman" w:hAnsi="Simplified Arabic" w:cs="Simplified Arabic"/>
          <w:color w:val="EE0000"/>
          <w:sz w:val="28"/>
          <w:szCs w:val="28"/>
          <w:rtl/>
        </w:rPr>
        <w:t xml:space="preserve">(2025). واقع استخدام تطبيقات الذكاء الاصطناعي لدى أعضاء هيئة التدريس بكلية الآداب والفنون بجامعة حائل: دراسة ميدانية. </w:t>
      </w:r>
      <w:r w:rsidRPr="002D0DD5">
        <w:rPr>
          <w:rFonts w:ascii="Simplified Arabic" w:eastAsia="Times New Roman" w:hAnsi="Simplified Arabic" w:cs="Simplified Arabic"/>
          <w:i/>
          <w:iCs/>
          <w:color w:val="EE0000"/>
          <w:sz w:val="28"/>
          <w:szCs w:val="28"/>
          <w:rtl/>
        </w:rPr>
        <w:t>مجلة جامعة الملك عبدالعزيز: الاتصال والدراسات الإعلامية</w:t>
      </w:r>
      <w:r w:rsidRPr="002D0DD5">
        <w:rPr>
          <w:rFonts w:ascii="Simplified Arabic" w:eastAsia="Times New Roman" w:hAnsi="Simplified Arabic" w:cs="Simplified Arabic"/>
          <w:color w:val="EE0000"/>
          <w:sz w:val="28"/>
          <w:szCs w:val="28"/>
          <w:rtl/>
        </w:rPr>
        <w:t>، 2(1), 178–203.</w:t>
      </w:r>
    </w:p>
    <w:p w14:paraId="27A22B1A"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3" w:history="1">
        <w:r w:rsidRPr="002D0DD5">
          <w:rPr>
            <w:rFonts w:ascii="Simplified Arabic" w:eastAsia="Times New Roman" w:hAnsi="Simplified Arabic" w:cs="Simplified Arabic"/>
            <w:color w:val="EE0000"/>
            <w:sz w:val="20"/>
            <w:szCs w:val="20"/>
            <w:u w:val="single"/>
          </w:rPr>
          <w:t>https://doi.org/10.4197/Comm.2-1.5</w:t>
        </w:r>
      </w:hyperlink>
      <w:r w:rsidRPr="002D0DD5">
        <w:rPr>
          <w:rFonts w:ascii="Simplified Arabic" w:eastAsia="Times New Roman" w:hAnsi="Simplified Arabic" w:cs="Simplified Arabic"/>
          <w:color w:val="EE0000"/>
          <w:sz w:val="27"/>
          <w:szCs w:val="27"/>
        </w:rPr>
        <w:t xml:space="preserve"> </w:t>
      </w:r>
    </w:p>
    <w:p w14:paraId="135C4BC8"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الخطيب، أ. س. م. ع. </w:t>
      </w:r>
      <w:r w:rsidRPr="002D0DD5">
        <w:rPr>
          <w:rFonts w:ascii="Simplified Arabic" w:eastAsia="Times New Roman" w:hAnsi="Simplified Arabic" w:cs="Simplified Arabic"/>
          <w:color w:val="EE0000"/>
          <w:sz w:val="28"/>
          <w:szCs w:val="28"/>
          <w:rtl/>
        </w:rPr>
        <w:t xml:space="preserve">(2024). تأثير تقنيات التسويق الرقمي المدعومة بالذكاء الاصطناعي في السلوك الشرائي: دراسة ميدانية على عملاء المتاجر الإلكترونية. </w:t>
      </w:r>
      <w:r w:rsidRPr="002D0DD5">
        <w:rPr>
          <w:rFonts w:ascii="Simplified Arabic" w:eastAsia="Times New Roman" w:hAnsi="Simplified Arabic" w:cs="Simplified Arabic"/>
          <w:i/>
          <w:iCs/>
          <w:color w:val="EE0000"/>
          <w:sz w:val="28"/>
          <w:szCs w:val="28"/>
          <w:rtl/>
        </w:rPr>
        <w:t>مجلة جامعة الصالحية الجديدة للعلوم الإدارية والاقتصادية</w:t>
      </w:r>
      <w:r w:rsidRPr="002D0DD5">
        <w:rPr>
          <w:rFonts w:ascii="Simplified Arabic" w:eastAsia="Times New Roman" w:hAnsi="Simplified Arabic" w:cs="Simplified Arabic"/>
          <w:color w:val="EE0000"/>
          <w:sz w:val="28"/>
          <w:szCs w:val="28"/>
          <w:rtl/>
        </w:rPr>
        <w:t>، 1(2), 159–219.</w:t>
      </w:r>
    </w:p>
    <w:p w14:paraId="56D3E822"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4" w:history="1">
        <w:r w:rsidRPr="002D0DD5">
          <w:rPr>
            <w:rFonts w:ascii="Simplified Arabic" w:eastAsia="Times New Roman" w:hAnsi="Simplified Arabic" w:cs="Simplified Arabic"/>
            <w:color w:val="EE0000"/>
            <w:sz w:val="20"/>
            <w:szCs w:val="20"/>
            <w:u w:val="single"/>
          </w:rPr>
          <w:t>https://doi.org/10.21608/jsasc.2024.335098.1016</w:t>
        </w:r>
      </w:hyperlink>
      <w:r w:rsidRPr="002D0DD5">
        <w:rPr>
          <w:rFonts w:ascii="Simplified Arabic" w:eastAsia="Times New Roman" w:hAnsi="Simplified Arabic" w:cs="Simplified Arabic"/>
          <w:color w:val="EE0000"/>
          <w:sz w:val="27"/>
          <w:szCs w:val="27"/>
        </w:rPr>
        <w:t xml:space="preserve"> </w:t>
      </w:r>
    </w:p>
    <w:p w14:paraId="1A7D4E33"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رمضان، ن. </w:t>
      </w:r>
      <w:r w:rsidRPr="002D0DD5">
        <w:rPr>
          <w:rFonts w:ascii="Simplified Arabic" w:eastAsia="Times New Roman" w:hAnsi="Simplified Arabic" w:cs="Simplified Arabic"/>
          <w:color w:val="EE0000"/>
          <w:sz w:val="28"/>
          <w:szCs w:val="28"/>
          <w:rtl/>
        </w:rPr>
        <w:t xml:space="preserve">(2025، 27 مايو). </w:t>
      </w:r>
      <w:r w:rsidRPr="002D0DD5">
        <w:rPr>
          <w:rFonts w:ascii="Simplified Arabic" w:eastAsia="Times New Roman" w:hAnsi="Simplified Arabic" w:cs="Simplified Arabic"/>
          <w:i/>
          <w:iCs/>
          <w:color w:val="EE0000"/>
          <w:sz w:val="28"/>
          <w:szCs w:val="28"/>
          <w:rtl/>
        </w:rPr>
        <w:t>من العام إلى الفردي... كيف يغيّر الذكاء الاصطناعي قواعد التسويق في السعودية؟</w:t>
      </w:r>
      <w:r w:rsidRPr="002D0DD5">
        <w:rPr>
          <w:rFonts w:ascii="Simplified Arabic" w:eastAsia="Times New Roman" w:hAnsi="Simplified Arabic" w:cs="Simplified Arabic"/>
          <w:color w:val="EE0000"/>
          <w:sz w:val="28"/>
          <w:szCs w:val="28"/>
          <w:rtl/>
        </w:rPr>
        <w:t xml:space="preserve"> </w:t>
      </w:r>
      <w:r w:rsidRPr="002D0DD5">
        <w:rPr>
          <w:rFonts w:ascii="Simplified Arabic" w:eastAsia="Times New Roman" w:hAnsi="Simplified Arabic" w:cs="Simplified Arabic"/>
          <w:i/>
          <w:iCs/>
          <w:color w:val="EE0000"/>
          <w:sz w:val="28"/>
          <w:szCs w:val="28"/>
          <w:rtl/>
        </w:rPr>
        <w:t>الشرق الأوسط.</w:t>
      </w:r>
    </w:p>
    <w:p w14:paraId="542DB8F1"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5" w:history="1">
        <w:r w:rsidRPr="002D0DD5">
          <w:rPr>
            <w:rFonts w:ascii="Simplified Arabic" w:eastAsia="Times New Roman" w:hAnsi="Simplified Arabic" w:cs="Simplified Arabic"/>
            <w:color w:val="EE0000"/>
            <w:sz w:val="20"/>
            <w:szCs w:val="20"/>
            <w:u w:val="single"/>
          </w:rPr>
          <w: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w:t>
        </w:r>
      </w:hyperlink>
      <w:r w:rsidRPr="002D0DD5">
        <w:rPr>
          <w:rFonts w:ascii="Simplified Arabic" w:eastAsia="Times New Roman" w:hAnsi="Simplified Arabic" w:cs="Simplified Arabic"/>
          <w:color w:val="EE0000"/>
          <w:sz w:val="27"/>
          <w:szCs w:val="27"/>
        </w:rPr>
        <w:t xml:space="preserve"> </w:t>
      </w:r>
    </w:p>
    <w:p w14:paraId="791CDB26"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عبد الرازق، م. م. </w:t>
      </w:r>
      <w:r w:rsidRPr="002D0DD5">
        <w:rPr>
          <w:rFonts w:ascii="Simplified Arabic" w:eastAsia="Times New Roman" w:hAnsi="Simplified Arabic" w:cs="Simplified Arabic"/>
          <w:color w:val="EE0000"/>
          <w:sz w:val="28"/>
          <w:szCs w:val="28"/>
          <w:rtl/>
        </w:rPr>
        <w:t xml:space="preserve">(2022). تقنيات الذكاء الاصطناعي في الإعلام: الواقع والتطورات المستقبلية: دراسة تطبيقية على القائمين بالاتصال بالوسائل الإعلامية المصرية والعربية. </w:t>
      </w:r>
      <w:r w:rsidRPr="002D0DD5">
        <w:rPr>
          <w:rFonts w:ascii="Simplified Arabic" w:eastAsia="Times New Roman" w:hAnsi="Simplified Arabic" w:cs="Simplified Arabic"/>
          <w:i/>
          <w:iCs/>
          <w:color w:val="EE0000"/>
          <w:sz w:val="28"/>
          <w:szCs w:val="28"/>
          <w:rtl/>
        </w:rPr>
        <w:t>المجلة المصرية لبحوث الإعلام</w:t>
      </w:r>
      <w:r w:rsidRPr="002D0DD5">
        <w:rPr>
          <w:rFonts w:ascii="Simplified Arabic" w:eastAsia="Times New Roman" w:hAnsi="Simplified Arabic" w:cs="Simplified Arabic"/>
          <w:color w:val="EE0000"/>
          <w:sz w:val="28"/>
          <w:szCs w:val="28"/>
          <w:rtl/>
        </w:rPr>
        <w:t>، 81, 1–74.</w:t>
      </w:r>
    </w:p>
    <w:p w14:paraId="63104CB2"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Pr>
      </w:pPr>
      <w:hyperlink r:id="rId16" w:history="1">
        <w:r w:rsidRPr="002D0DD5">
          <w:rPr>
            <w:rFonts w:ascii="Simplified Arabic" w:eastAsia="Times New Roman" w:hAnsi="Simplified Arabic" w:cs="Simplified Arabic"/>
            <w:color w:val="EE0000"/>
            <w:sz w:val="20"/>
            <w:szCs w:val="20"/>
            <w:u w:val="single"/>
          </w:rPr>
          <w:t>https://doi.org/10.21608/ejsc.2022.272038</w:t>
        </w:r>
      </w:hyperlink>
      <w:r w:rsidRPr="002D0DD5">
        <w:rPr>
          <w:rFonts w:ascii="Simplified Arabic" w:eastAsia="Times New Roman" w:hAnsi="Simplified Arabic" w:cs="Simplified Arabic"/>
          <w:color w:val="EE0000"/>
          <w:sz w:val="27"/>
          <w:szCs w:val="27"/>
        </w:rPr>
        <w:t xml:space="preserve"> </w:t>
      </w:r>
    </w:p>
    <w:p w14:paraId="035B274D"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lastRenderedPageBreak/>
        <w:t xml:space="preserve">العتيبي، ع. </w:t>
      </w:r>
      <w:r w:rsidRPr="002D0DD5">
        <w:rPr>
          <w:rFonts w:ascii="Simplified Arabic" w:eastAsia="Times New Roman" w:hAnsi="Simplified Arabic" w:cs="Simplified Arabic"/>
          <w:color w:val="EE0000"/>
          <w:sz w:val="28"/>
          <w:szCs w:val="28"/>
          <w:rtl/>
        </w:rPr>
        <w:t xml:space="preserve">(2024). </w:t>
      </w:r>
      <w:r w:rsidRPr="002D0DD5">
        <w:rPr>
          <w:rFonts w:ascii="Simplified Arabic" w:eastAsia="Times New Roman" w:hAnsi="Simplified Arabic" w:cs="Simplified Arabic"/>
          <w:i/>
          <w:iCs/>
          <w:color w:val="EE0000"/>
          <w:sz w:val="28"/>
          <w:szCs w:val="28"/>
          <w:rtl/>
        </w:rPr>
        <w:t>أهم إحصائيات عن التسويق الإلكتروني بشكل عام لسنة 2024.</w:t>
      </w:r>
      <w:r w:rsidRPr="002D0DD5">
        <w:rPr>
          <w:rFonts w:ascii="Simplified Arabic" w:eastAsia="Times New Roman" w:hAnsi="Simplified Arabic" w:cs="Simplified Arabic"/>
          <w:color w:val="EE0000"/>
          <w:sz w:val="28"/>
          <w:szCs w:val="28"/>
          <w:rtl/>
        </w:rPr>
        <w:t xml:space="preserve"> عبد الرحمن العتيبي.</w:t>
      </w:r>
    </w:p>
    <w:p w14:paraId="5AFF7842"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7" w:history="1">
        <w:r w:rsidRPr="002D0DD5">
          <w:rPr>
            <w:rFonts w:ascii="Simplified Arabic" w:eastAsia="Times New Roman" w:hAnsi="Simplified Arabic" w:cs="Simplified Arabic"/>
            <w:color w:val="EE0000"/>
            <w:sz w:val="20"/>
            <w:szCs w:val="20"/>
            <w:u w:val="single"/>
          </w:rPr>
          <w:t>https://abdulrahmanalotaibi.sa/%D8%A7%D8%AD%D8%B5%D8%A7%D8%A6%D9%8A%D8%A7%D8%AA-%D8%B9%D9%86-%D8%A7%D9%84%D8%AA%D8%B3%D9%88%D9%8A%D9%82-%D8%A7%D9%84%D8%A7%D9%84%D9%83%D8%AA%D8%B1%D9%88%D9%86%D9%8A/</w:t>
        </w:r>
      </w:hyperlink>
      <w:r w:rsidRPr="002D0DD5">
        <w:rPr>
          <w:rFonts w:ascii="Simplified Arabic" w:eastAsia="Times New Roman" w:hAnsi="Simplified Arabic" w:cs="Simplified Arabic"/>
          <w:color w:val="EE0000"/>
          <w:sz w:val="27"/>
          <w:szCs w:val="27"/>
        </w:rPr>
        <w:t xml:space="preserve"> </w:t>
      </w:r>
    </w:p>
    <w:p w14:paraId="15B55A2A"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اللهيبي، س. ع.، وسماكة، ع. م. ع. </w:t>
      </w:r>
      <w:r w:rsidRPr="002D0DD5">
        <w:rPr>
          <w:rFonts w:ascii="Simplified Arabic" w:eastAsia="Times New Roman" w:hAnsi="Simplified Arabic" w:cs="Simplified Arabic"/>
          <w:color w:val="EE0000"/>
          <w:sz w:val="28"/>
          <w:szCs w:val="28"/>
          <w:rtl/>
        </w:rPr>
        <w:t xml:space="preserve">(2024). أثر تطبيق الذكاء الاصطناعي على الأداء التسويقي المصرفي: دراسة تحليلية لآراء عينة من العاملين في القطاع المصرفي الحكومي في محافظة النجف الأشرف. </w:t>
      </w:r>
      <w:r w:rsidRPr="002D0DD5">
        <w:rPr>
          <w:rFonts w:ascii="Simplified Arabic" w:eastAsia="Times New Roman" w:hAnsi="Simplified Arabic" w:cs="Simplified Arabic"/>
          <w:i/>
          <w:iCs/>
          <w:color w:val="EE0000"/>
          <w:sz w:val="28"/>
          <w:szCs w:val="28"/>
          <w:rtl/>
        </w:rPr>
        <w:t>مجلة الغري للعلوم الاقتصادية والإدارية</w:t>
      </w:r>
      <w:r w:rsidRPr="002D0DD5">
        <w:rPr>
          <w:rFonts w:ascii="Simplified Arabic" w:eastAsia="Times New Roman" w:hAnsi="Simplified Arabic" w:cs="Simplified Arabic"/>
          <w:color w:val="EE0000"/>
          <w:sz w:val="28"/>
          <w:szCs w:val="28"/>
          <w:rtl/>
        </w:rPr>
        <w:t>، 20(3), 438–469.</w:t>
      </w:r>
    </w:p>
    <w:p w14:paraId="6950BD18"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8" w:history="1">
        <w:r w:rsidRPr="002D0DD5">
          <w:rPr>
            <w:rFonts w:ascii="Simplified Arabic" w:eastAsia="Times New Roman" w:hAnsi="Simplified Arabic" w:cs="Simplified Arabic"/>
            <w:color w:val="EE0000"/>
            <w:sz w:val="20"/>
            <w:szCs w:val="20"/>
            <w:u w:val="single"/>
          </w:rPr>
          <w:t>https://doi.org/10.36325/ghjec.v20i3.16786</w:t>
        </w:r>
      </w:hyperlink>
      <w:r w:rsidRPr="002D0DD5">
        <w:rPr>
          <w:rFonts w:ascii="Simplified Arabic" w:eastAsia="Times New Roman" w:hAnsi="Simplified Arabic" w:cs="Simplified Arabic"/>
          <w:color w:val="EE0000"/>
          <w:sz w:val="27"/>
          <w:szCs w:val="27"/>
        </w:rPr>
        <w:t xml:space="preserve"> </w:t>
      </w:r>
    </w:p>
    <w:p w14:paraId="597338A1"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محيسن، ح. أ.، مجاهد، ح.، وبصبوص، ر. </w:t>
      </w:r>
      <w:r w:rsidRPr="002D0DD5">
        <w:rPr>
          <w:rFonts w:ascii="Simplified Arabic" w:eastAsia="Times New Roman" w:hAnsi="Simplified Arabic" w:cs="Simplified Arabic"/>
          <w:color w:val="EE0000"/>
          <w:sz w:val="28"/>
          <w:szCs w:val="28"/>
          <w:rtl/>
        </w:rPr>
        <w:t xml:space="preserve">(2025). أثر هندسة التلقين لأدوات الذكاء الاصطناعي التوليدي في جودة إنتاج المحتوى النصي التسويقي العربي. </w:t>
      </w:r>
      <w:r w:rsidRPr="002D0DD5">
        <w:rPr>
          <w:rFonts w:ascii="Simplified Arabic" w:eastAsia="Times New Roman" w:hAnsi="Simplified Arabic" w:cs="Simplified Arabic"/>
          <w:i/>
          <w:iCs/>
          <w:color w:val="EE0000"/>
          <w:sz w:val="28"/>
          <w:szCs w:val="28"/>
          <w:rtl/>
        </w:rPr>
        <w:t>مجلة جامعة فلسطين الأهلية للبحوث والدراسات</w:t>
      </w:r>
      <w:r w:rsidRPr="002D0DD5">
        <w:rPr>
          <w:rFonts w:ascii="Simplified Arabic" w:eastAsia="Times New Roman" w:hAnsi="Simplified Arabic" w:cs="Simplified Arabic"/>
          <w:color w:val="EE0000"/>
          <w:sz w:val="28"/>
          <w:szCs w:val="28"/>
          <w:rtl/>
        </w:rPr>
        <w:t>، 4(2), 161–198.</w:t>
      </w:r>
    </w:p>
    <w:p w14:paraId="34505C72"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19" w:history="1">
        <w:r w:rsidRPr="002D0DD5">
          <w:rPr>
            <w:rFonts w:ascii="Simplified Arabic" w:eastAsia="Times New Roman" w:hAnsi="Simplified Arabic" w:cs="Simplified Arabic"/>
            <w:color w:val="EE0000"/>
            <w:sz w:val="20"/>
            <w:szCs w:val="20"/>
            <w:u w:val="single"/>
          </w:rPr>
          <w:t>https://doi.org/10.59994/pau.2025.2.161</w:t>
        </w:r>
      </w:hyperlink>
      <w:r w:rsidRPr="002D0DD5">
        <w:rPr>
          <w:rFonts w:ascii="Simplified Arabic" w:eastAsia="Times New Roman" w:hAnsi="Simplified Arabic" w:cs="Simplified Arabic"/>
          <w:color w:val="EE0000"/>
          <w:sz w:val="27"/>
          <w:szCs w:val="27"/>
        </w:rPr>
        <w:t xml:space="preserve"> </w:t>
      </w:r>
    </w:p>
    <w:p w14:paraId="09F740BB"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ملتقى أسبار. </w:t>
      </w:r>
      <w:r w:rsidRPr="002D0DD5">
        <w:rPr>
          <w:rFonts w:ascii="Simplified Arabic" w:eastAsia="Times New Roman" w:hAnsi="Simplified Arabic" w:cs="Simplified Arabic"/>
          <w:color w:val="EE0000"/>
          <w:sz w:val="28"/>
          <w:szCs w:val="28"/>
          <w:rtl/>
        </w:rPr>
        <w:t xml:space="preserve">(2023، 1 أكتوبر). </w:t>
      </w:r>
      <w:r w:rsidRPr="002D0DD5">
        <w:rPr>
          <w:rFonts w:ascii="Simplified Arabic" w:eastAsia="Times New Roman" w:hAnsi="Simplified Arabic" w:cs="Simplified Arabic"/>
          <w:i/>
          <w:iCs/>
          <w:color w:val="EE0000"/>
          <w:sz w:val="28"/>
          <w:szCs w:val="28"/>
          <w:rtl/>
        </w:rPr>
        <w:t>استشراف تطبيقات الذكاء الاصطناعي في خدمة الإعلام السعودي وقضايا المملكة</w:t>
      </w:r>
      <w:r w:rsidRPr="002D0DD5">
        <w:rPr>
          <w:rFonts w:ascii="Simplified Arabic" w:eastAsia="Times New Roman" w:hAnsi="Simplified Arabic" w:cs="Simplified Arabic"/>
          <w:color w:val="EE0000"/>
          <w:sz w:val="28"/>
          <w:szCs w:val="28"/>
          <w:rtl/>
        </w:rPr>
        <w:t xml:space="preserve"> [تقرير رقم 115].</w:t>
      </w:r>
    </w:p>
    <w:p w14:paraId="6D7B0C10"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20" w:history="1">
        <w:r w:rsidRPr="002D0DD5">
          <w:rPr>
            <w:rFonts w:ascii="Simplified Arabic" w:eastAsia="Times New Roman" w:hAnsi="Simplified Arabic" w:cs="Simplified Arabic"/>
            <w:color w:val="EE0000"/>
            <w:sz w:val="20"/>
            <w:szCs w:val="20"/>
            <w:u w:val="single"/>
          </w:rPr>
          <w:t>https://asbar.com/report/%D8%AA%D9%82%D8%B1%D9%8A%D8%B1-%D8%B1%D9%82%D9%85-115/</w:t>
        </w:r>
      </w:hyperlink>
      <w:r w:rsidRPr="002D0DD5">
        <w:rPr>
          <w:rFonts w:ascii="Simplified Arabic" w:eastAsia="Times New Roman" w:hAnsi="Simplified Arabic" w:cs="Simplified Arabic"/>
          <w:color w:val="EE0000"/>
          <w:sz w:val="27"/>
          <w:szCs w:val="27"/>
        </w:rPr>
        <w:t xml:space="preserve"> </w:t>
      </w:r>
    </w:p>
    <w:p w14:paraId="248AC29E"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الهيئة السعودية للبيانات والذكاء الاصطناعي (سدايا). </w:t>
      </w:r>
      <w:r w:rsidRPr="002D0DD5">
        <w:rPr>
          <w:rFonts w:ascii="Simplified Arabic" w:eastAsia="Times New Roman" w:hAnsi="Simplified Arabic" w:cs="Simplified Arabic"/>
          <w:color w:val="EE0000"/>
          <w:sz w:val="28"/>
          <w:szCs w:val="28"/>
          <w:rtl/>
        </w:rPr>
        <w:t>(2024</w:t>
      </w:r>
      <w:r w:rsidRPr="002D0DD5">
        <w:rPr>
          <w:rFonts w:ascii="Simplified Arabic" w:eastAsia="Times New Roman" w:hAnsi="Simplified Arabic" w:cs="Simplified Arabic"/>
          <w:color w:val="EE0000"/>
          <w:sz w:val="28"/>
          <w:szCs w:val="28"/>
        </w:rPr>
        <w:t>b</w:t>
      </w:r>
      <w:r w:rsidRPr="002D0DD5">
        <w:rPr>
          <w:rFonts w:ascii="Simplified Arabic" w:eastAsia="Times New Roman" w:hAnsi="Simplified Arabic" w:cs="Simplified Arabic"/>
          <w:color w:val="EE0000"/>
          <w:sz w:val="28"/>
          <w:szCs w:val="28"/>
          <w:rtl/>
        </w:rPr>
        <w:t xml:space="preserve">). </w:t>
      </w:r>
      <w:r w:rsidRPr="002D0DD5">
        <w:rPr>
          <w:rFonts w:ascii="Simplified Arabic" w:eastAsia="Times New Roman" w:hAnsi="Simplified Arabic" w:cs="Simplified Arabic"/>
          <w:i/>
          <w:iCs/>
          <w:color w:val="EE0000"/>
          <w:sz w:val="28"/>
          <w:szCs w:val="28"/>
          <w:rtl/>
        </w:rPr>
        <w:t>معادلة النمو الجديدة: فرصة الذكاء الاصطناعي التوليدي في المملكة العربية السعودية.</w:t>
      </w:r>
    </w:p>
    <w:p w14:paraId="7A58E429"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21" w:history="1">
        <w:r w:rsidRPr="002D0DD5">
          <w:rPr>
            <w:rFonts w:ascii="Simplified Arabic" w:eastAsia="Times New Roman" w:hAnsi="Simplified Arabic" w:cs="Simplified Arabic"/>
            <w:color w:val="EE0000"/>
            <w:sz w:val="20"/>
            <w:szCs w:val="20"/>
            <w:u w:val="single"/>
          </w:rPr>
          <w:t>https://sdaia.gov.sa/ar/MediaCenter/KnowledgeCenter/Pages/SDAIAPublications.aspx</w:t>
        </w:r>
      </w:hyperlink>
      <w:r w:rsidRPr="002D0DD5">
        <w:rPr>
          <w:rFonts w:ascii="Simplified Arabic" w:eastAsia="Times New Roman" w:hAnsi="Simplified Arabic" w:cs="Simplified Arabic"/>
          <w:color w:val="EE0000"/>
          <w:sz w:val="27"/>
          <w:szCs w:val="27"/>
        </w:rPr>
        <w:t xml:space="preserve"> </w:t>
      </w:r>
    </w:p>
    <w:p w14:paraId="3F360503"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الهيئة العامة لتنظيم الإعلام. </w:t>
      </w:r>
      <w:r w:rsidRPr="002D0DD5">
        <w:rPr>
          <w:rFonts w:ascii="Simplified Arabic" w:eastAsia="Times New Roman" w:hAnsi="Simplified Arabic" w:cs="Simplified Arabic"/>
          <w:color w:val="EE0000"/>
          <w:sz w:val="28"/>
          <w:szCs w:val="28"/>
          <w:rtl/>
        </w:rPr>
        <w:t xml:space="preserve">(د.ت.). </w:t>
      </w:r>
      <w:r w:rsidRPr="002D0DD5">
        <w:rPr>
          <w:rFonts w:ascii="Simplified Arabic" w:eastAsia="Times New Roman" w:hAnsi="Simplified Arabic" w:cs="Simplified Arabic"/>
          <w:i/>
          <w:iCs/>
          <w:color w:val="EE0000"/>
          <w:sz w:val="28"/>
          <w:szCs w:val="28"/>
          <w:rtl/>
        </w:rPr>
        <w:t>قطاع الإعلانات.</w:t>
      </w:r>
      <w:r w:rsidRPr="002D0DD5">
        <w:rPr>
          <w:rFonts w:ascii="Simplified Arabic" w:eastAsia="Times New Roman" w:hAnsi="Simplified Arabic" w:cs="Simplified Arabic"/>
          <w:color w:val="EE0000"/>
          <w:sz w:val="28"/>
          <w:szCs w:val="28"/>
          <w:rtl/>
        </w:rPr>
        <w:t xml:space="preserve"> تم الاسترجاع في 9 أغسطس 2026، من</w:t>
      </w:r>
    </w:p>
    <w:p w14:paraId="166B1158"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22" w:history="1">
        <w:r w:rsidRPr="002D0DD5">
          <w:rPr>
            <w:rFonts w:ascii="Simplified Arabic" w:eastAsia="Times New Roman" w:hAnsi="Simplified Arabic" w:cs="Simplified Arabic"/>
            <w:color w:val="EE0000"/>
            <w:sz w:val="20"/>
            <w:szCs w:val="20"/>
            <w:u w:val="single"/>
          </w:rPr>
          <w:t>https://investment.gmedia.gov.sa/details/advertising.html</w:t>
        </w:r>
      </w:hyperlink>
      <w:r w:rsidRPr="002D0DD5">
        <w:rPr>
          <w:rFonts w:ascii="Simplified Arabic" w:eastAsia="Times New Roman" w:hAnsi="Simplified Arabic" w:cs="Simplified Arabic"/>
          <w:color w:val="EE0000"/>
          <w:sz w:val="27"/>
          <w:szCs w:val="27"/>
        </w:rPr>
        <w:t xml:space="preserve"> </w:t>
      </w:r>
    </w:p>
    <w:p w14:paraId="24851ADD"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المركز السعودي للأعمال. </w:t>
      </w:r>
      <w:r w:rsidRPr="002D0DD5">
        <w:rPr>
          <w:rFonts w:ascii="Simplified Arabic" w:eastAsia="Times New Roman" w:hAnsi="Simplified Arabic" w:cs="Simplified Arabic"/>
          <w:color w:val="EE0000"/>
          <w:sz w:val="28"/>
          <w:szCs w:val="28"/>
          <w:rtl/>
        </w:rPr>
        <w:t xml:space="preserve">(د.ت.). </w:t>
      </w:r>
      <w:r w:rsidRPr="002D0DD5">
        <w:rPr>
          <w:rFonts w:ascii="Simplified Arabic" w:eastAsia="Times New Roman" w:hAnsi="Simplified Arabic" w:cs="Simplified Arabic"/>
          <w:i/>
          <w:iCs/>
          <w:color w:val="EE0000"/>
          <w:sz w:val="28"/>
          <w:szCs w:val="28"/>
          <w:rtl/>
        </w:rPr>
        <w:t>مكاتب الدعاية والإعلان الإعلامية المرئية والمسموعة ومكاتب التسويق ووكالات الدعاية.</w:t>
      </w:r>
      <w:r w:rsidRPr="002D0DD5">
        <w:rPr>
          <w:rFonts w:ascii="Simplified Arabic" w:eastAsia="Times New Roman" w:hAnsi="Simplified Arabic" w:cs="Simplified Arabic"/>
          <w:color w:val="EE0000"/>
          <w:sz w:val="28"/>
          <w:szCs w:val="28"/>
          <w:rtl/>
        </w:rPr>
        <w:t xml:space="preserve"> تم الاسترجاع في 9 أغسطس 2026، من</w:t>
      </w:r>
    </w:p>
    <w:p w14:paraId="2164451D"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tl/>
        </w:rPr>
      </w:pPr>
      <w:hyperlink r:id="rId23" w:history="1">
        <w:r w:rsidRPr="002D0DD5">
          <w:rPr>
            <w:rFonts w:ascii="Simplified Arabic" w:eastAsia="Times New Roman" w:hAnsi="Simplified Arabic" w:cs="Simplified Arabic"/>
            <w:color w:val="EE0000"/>
            <w:sz w:val="20"/>
            <w:szCs w:val="20"/>
            <w:u w:val="single"/>
          </w:rPr>
          <w:t>https://business.sa/eservices/details/3871715e-ab32-4b90-e2c3-08dc6d4c5607</w:t>
        </w:r>
      </w:hyperlink>
      <w:r w:rsidRPr="002D0DD5">
        <w:rPr>
          <w:rFonts w:ascii="Simplified Arabic" w:eastAsia="Times New Roman" w:hAnsi="Simplified Arabic" w:cs="Simplified Arabic"/>
          <w:color w:val="EE0000"/>
          <w:sz w:val="27"/>
          <w:szCs w:val="27"/>
        </w:rPr>
        <w:t xml:space="preserve"> </w:t>
      </w:r>
    </w:p>
    <w:p w14:paraId="1EBC1F30" w14:textId="77777777" w:rsidR="002D0DD5" w:rsidRPr="002D0DD5" w:rsidRDefault="002D0DD5" w:rsidP="002D0DD5">
      <w:pPr>
        <w:shd w:val="clear" w:color="auto" w:fill="FFFFFF"/>
        <w:bidi/>
        <w:spacing w:after="0" w:line="240" w:lineRule="auto"/>
        <w:ind w:hanging="720"/>
        <w:rPr>
          <w:rFonts w:ascii="Simplified Arabic" w:eastAsia="Times New Roman" w:hAnsi="Simplified Arabic" w:cs="Simplified Arabic"/>
          <w:color w:val="EE0000"/>
          <w:sz w:val="27"/>
          <w:szCs w:val="27"/>
        </w:rPr>
      </w:pPr>
      <w:r w:rsidRPr="002D0DD5">
        <w:rPr>
          <w:rFonts w:ascii="Simplified Arabic" w:eastAsia="Times New Roman" w:hAnsi="Simplified Arabic" w:cs="Simplified Arabic"/>
          <w:b/>
          <w:bCs/>
          <w:color w:val="EE0000"/>
          <w:sz w:val="28"/>
          <w:szCs w:val="28"/>
          <w:rtl/>
        </w:rPr>
        <w:t xml:space="preserve">وزارة التجارة. </w:t>
      </w:r>
      <w:r w:rsidRPr="002D0DD5">
        <w:rPr>
          <w:rFonts w:ascii="Simplified Arabic" w:eastAsia="Times New Roman" w:hAnsi="Simplified Arabic" w:cs="Simplified Arabic"/>
          <w:color w:val="EE0000"/>
          <w:sz w:val="28"/>
          <w:szCs w:val="28"/>
          <w:rtl/>
        </w:rPr>
        <w:t xml:space="preserve">(2026، 7 أبريل). </w:t>
      </w:r>
      <w:r w:rsidRPr="002D0DD5">
        <w:rPr>
          <w:rFonts w:ascii="Simplified Arabic" w:eastAsia="Times New Roman" w:hAnsi="Simplified Arabic" w:cs="Simplified Arabic"/>
          <w:i/>
          <w:iCs/>
          <w:color w:val="EE0000"/>
          <w:sz w:val="28"/>
          <w:szCs w:val="28"/>
          <w:rtl/>
        </w:rPr>
        <w:t>«التجارة» تُصدر نشرة قطاع الأعمال.. وتبرز نمو سجلات الذكاء الاصطناعي والقطاعات الواعدة ضمن رؤية 2030.</w:t>
      </w:r>
    </w:p>
    <w:p w14:paraId="32052A03" w14:textId="77777777" w:rsidR="002D0DD5" w:rsidRPr="002D0DD5" w:rsidRDefault="002D0DD5" w:rsidP="002D0DD5">
      <w:pPr>
        <w:shd w:val="clear" w:color="auto" w:fill="FFFFFF"/>
        <w:spacing w:after="0" w:line="240" w:lineRule="auto"/>
        <w:rPr>
          <w:rFonts w:ascii="Simplified Arabic" w:eastAsia="Times New Roman" w:hAnsi="Simplified Arabic" w:cs="Simplified Arabic"/>
          <w:color w:val="EE0000"/>
          <w:sz w:val="27"/>
          <w:szCs w:val="27"/>
        </w:rPr>
      </w:pPr>
      <w:hyperlink r:id="rId24" w:history="1">
        <w:r w:rsidRPr="002D0DD5">
          <w:rPr>
            <w:rFonts w:ascii="Simplified Arabic" w:eastAsia="Times New Roman" w:hAnsi="Simplified Arabic" w:cs="Simplified Arabic"/>
            <w:color w:val="EE0000"/>
            <w:sz w:val="20"/>
            <w:szCs w:val="20"/>
            <w:u w:val="single"/>
          </w:rPr>
          <w:t>https://mc.gov.sa/ar/mediacenter/News/Pages/07-04-26-01.aspx</w:t>
        </w:r>
      </w:hyperlink>
      <w:r w:rsidRPr="002D0DD5">
        <w:rPr>
          <w:rFonts w:ascii="Simplified Arabic" w:eastAsia="Times New Roman" w:hAnsi="Simplified Arabic" w:cs="Simplified Arabic"/>
          <w:color w:val="EE0000"/>
          <w:sz w:val="27"/>
          <w:szCs w:val="27"/>
        </w:rPr>
        <w:t xml:space="preserve"> </w:t>
      </w:r>
    </w:p>
    <w:p w14:paraId="0B298A10" w14:textId="77777777" w:rsidR="002D0DD5" w:rsidRPr="002D0DD5" w:rsidRDefault="002D0DD5" w:rsidP="002D0DD5">
      <w:pPr>
        <w:bidi/>
        <w:spacing w:after="200" w:line="240" w:lineRule="auto"/>
        <w:rPr>
          <w:rFonts w:asciiTheme="majorBidi" w:hAnsiTheme="majorBidi" w:cstheme="majorBidi"/>
          <w:rtl/>
        </w:rPr>
      </w:pPr>
    </w:p>
    <w:p w14:paraId="53A23A8A" w14:textId="77777777" w:rsidR="002D0DD5" w:rsidRPr="002D0DD5" w:rsidRDefault="002D0DD5" w:rsidP="002D0DD5">
      <w:pPr>
        <w:bidi/>
        <w:spacing w:after="200" w:line="240" w:lineRule="auto"/>
        <w:rPr>
          <w:rFonts w:ascii="Sakkal Majalla" w:hAnsi="Sakkal Majalla" w:cs="Sakkal Majalla"/>
          <w:b/>
          <w:bCs/>
          <w:color w:val="1F497D" w:themeColor="text2"/>
          <w:sz w:val="32"/>
          <w:szCs w:val="32"/>
          <w:u w:val="single"/>
          <w:rtl/>
        </w:rPr>
      </w:pPr>
      <w:r w:rsidRPr="002D0DD5">
        <w:rPr>
          <w:rFonts w:ascii="Sakkal Majalla" w:hAnsi="Sakkal Majalla" w:cs="Sakkal Majalla" w:hint="cs"/>
          <w:b/>
          <w:bCs/>
          <w:color w:val="1F497D" w:themeColor="text2"/>
          <w:sz w:val="32"/>
          <w:szCs w:val="32"/>
          <w:u w:val="single"/>
          <w:rtl/>
        </w:rPr>
        <w:t xml:space="preserve">المراجع الأجنبية </w:t>
      </w:r>
    </w:p>
    <w:p w14:paraId="11AC98DA"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Al-Emran, M., Al-Qaysi, N., Al-Sharafi, M. A., Khoshkam, M., Foroughi, B., &amp; Ghobakhloo, M.</w:t>
      </w:r>
      <w:r w:rsidRPr="002D0DD5">
        <w:rPr>
          <w:rFonts w:asciiTheme="majorBidi" w:hAnsiTheme="majorBidi" w:cstheme="majorBidi"/>
          <w:color w:val="EE0000"/>
        </w:rPr>
        <w:t xml:space="preserve"> (2025). Role of perceived threats and knowledge management in shaping generative AI use in education and its impact on social sustainability. </w:t>
      </w:r>
      <w:r w:rsidRPr="002D0DD5">
        <w:rPr>
          <w:rFonts w:asciiTheme="majorBidi" w:hAnsiTheme="majorBidi" w:cstheme="majorBidi"/>
          <w:i/>
          <w:iCs/>
          <w:color w:val="EE0000"/>
        </w:rPr>
        <w:t xml:space="preserve">The </w:t>
      </w:r>
      <w:r w:rsidRPr="002D0DD5">
        <w:rPr>
          <w:rFonts w:asciiTheme="majorBidi" w:hAnsiTheme="majorBidi" w:cstheme="majorBidi"/>
          <w:i/>
          <w:iCs/>
          <w:color w:val="EE0000"/>
        </w:rPr>
        <w:lastRenderedPageBreak/>
        <w:t>International Journal of Management Education</w:t>
      </w:r>
      <w:r w:rsidRPr="002D0DD5">
        <w:rPr>
          <w:rFonts w:asciiTheme="majorBidi" w:hAnsiTheme="majorBidi" w:cstheme="majorBidi"/>
          <w:color w:val="EE0000"/>
        </w:rPr>
        <w:t xml:space="preserve">, </w:t>
      </w:r>
      <w:r w:rsidRPr="002D0DD5">
        <w:rPr>
          <w:rFonts w:asciiTheme="majorBidi" w:hAnsiTheme="majorBidi" w:cstheme="majorBidi"/>
          <w:i/>
          <w:iCs/>
          <w:color w:val="EE0000"/>
        </w:rPr>
        <w:t>23</w:t>
      </w:r>
      <w:r w:rsidRPr="002D0DD5">
        <w:rPr>
          <w:rFonts w:asciiTheme="majorBidi" w:hAnsiTheme="majorBidi" w:cstheme="majorBidi"/>
          <w:color w:val="EE0000"/>
        </w:rPr>
        <w:t xml:space="preserve">(1), Article 101105. </w:t>
      </w:r>
      <w:hyperlink r:id="rId25" w:history="1">
        <w:r w:rsidRPr="002D0DD5">
          <w:rPr>
            <w:rFonts w:asciiTheme="majorBidi" w:hAnsiTheme="majorBidi" w:cstheme="majorBidi"/>
            <w:color w:val="EE0000"/>
            <w:u w:val="single"/>
          </w:rPr>
          <w:t>https://doi.org/10.1016/j.ijme.2024.101105</w:t>
        </w:r>
      </w:hyperlink>
      <w:r w:rsidRPr="002D0DD5">
        <w:rPr>
          <w:rFonts w:asciiTheme="majorBidi" w:hAnsiTheme="majorBidi" w:cstheme="majorBidi"/>
          <w:color w:val="EE0000"/>
        </w:rPr>
        <w:t xml:space="preserve"> </w:t>
      </w:r>
    </w:p>
    <w:p w14:paraId="25709912"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Aljabari, M., Althuwaini, S., Bouguerra, A., Sharabati, A., Allahham, M., &amp; Allan, M.</w:t>
      </w:r>
      <w:r w:rsidRPr="002D0DD5">
        <w:rPr>
          <w:rFonts w:asciiTheme="majorBidi" w:hAnsiTheme="majorBidi" w:cstheme="majorBidi"/>
          <w:color w:val="EE0000"/>
        </w:rPr>
        <w:t xml:space="preserve"> (2024). The impact of digital marketing strategies on innovation: The mediating role of AI: A critical study of SMEs in the KSA market. </w:t>
      </w:r>
      <w:r w:rsidRPr="002D0DD5">
        <w:rPr>
          <w:rFonts w:asciiTheme="majorBidi" w:hAnsiTheme="majorBidi" w:cstheme="majorBidi"/>
          <w:i/>
          <w:iCs/>
          <w:color w:val="EE0000"/>
        </w:rPr>
        <w:t>International Journal of Data and Network Science</w:t>
      </w:r>
      <w:r w:rsidRPr="002D0DD5">
        <w:rPr>
          <w:rFonts w:asciiTheme="majorBidi" w:hAnsiTheme="majorBidi" w:cstheme="majorBidi"/>
          <w:color w:val="EE0000"/>
        </w:rPr>
        <w:t xml:space="preserve">, </w:t>
      </w:r>
      <w:r w:rsidRPr="002D0DD5">
        <w:rPr>
          <w:rFonts w:asciiTheme="majorBidi" w:hAnsiTheme="majorBidi" w:cstheme="majorBidi"/>
          <w:i/>
          <w:iCs/>
          <w:color w:val="EE0000"/>
        </w:rPr>
        <w:t>8</w:t>
      </w:r>
      <w:r w:rsidRPr="002D0DD5">
        <w:rPr>
          <w:rFonts w:asciiTheme="majorBidi" w:hAnsiTheme="majorBidi" w:cstheme="majorBidi"/>
          <w:color w:val="EE0000"/>
        </w:rPr>
        <w:t xml:space="preserve">(4), 2029–2036. </w:t>
      </w:r>
      <w:hyperlink r:id="rId26" w:history="1">
        <w:r w:rsidRPr="002D0DD5">
          <w:rPr>
            <w:rFonts w:asciiTheme="majorBidi" w:hAnsiTheme="majorBidi" w:cstheme="majorBidi"/>
            <w:color w:val="EE0000"/>
            <w:u w:val="single"/>
          </w:rPr>
          <w:t>https://doi.org/10.5267/j.ijdns.2024.7.006</w:t>
        </w:r>
      </w:hyperlink>
      <w:r w:rsidRPr="002D0DD5">
        <w:rPr>
          <w:rFonts w:asciiTheme="majorBidi" w:hAnsiTheme="majorBidi" w:cstheme="majorBidi"/>
          <w:color w:val="EE0000"/>
        </w:rPr>
        <w:t xml:space="preserve"> </w:t>
      </w:r>
    </w:p>
    <w:p w14:paraId="6BAD1204"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Alotaibi, M. M., &amp; Al-Youbi, L. A.</w:t>
      </w:r>
      <w:r w:rsidRPr="002D0DD5">
        <w:rPr>
          <w:rFonts w:asciiTheme="majorBidi" w:hAnsiTheme="majorBidi" w:cstheme="majorBidi"/>
          <w:color w:val="EE0000"/>
        </w:rPr>
        <w:t xml:space="preserve"> (2024). The impact of artificial intelligence techniques on marketing innovation: An applied study on Mobily company in Saudi Arabia. </w:t>
      </w:r>
      <w:r w:rsidRPr="002D0DD5">
        <w:rPr>
          <w:rFonts w:asciiTheme="majorBidi" w:hAnsiTheme="majorBidi" w:cstheme="majorBidi"/>
          <w:i/>
          <w:iCs/>
          <w:color w:val="EE0000"/>
        </w:rPr>
        <w:t>Journal of Humanities &amp; Social Sciences, 8</w:t>
      </w:r>
      <w:r w:rsidRPr="002D0DD5">
        <w:rPr>
          <w:rFonts w:asciiTheme="majorBidi" w:hAnsiTheme="majorBidi" w:cstheme="majorBidi"/>
          <w:color w:val="EE0000"/>
        </w:rPr>
        <w:t xml:space="preserve">(11), 10–26. </w:t>
      </w:r>
      <w:hyperlink r:id="rId27" w:history="1">
        <w:r w:rsidRPr="002D0DD5">
          <w:rPr>
            <w:rFonts w:asciiTheme="majorBidi" w:hAnsiTheme="majorBidi" w:cstheme="majorBidi"/>
            <w:color w:val="EE0000"/>
            <w:u w:val="single"/>
          </w:rPr>
          <w:t>https://doi.org/10.26389/AJSRP.L180924</w:t>
        </w:r>
      </w:hyperlink>
      <w:r w:rsidRPr="002D0DD5">
        <w:rPr>
          <w:rFonts w:asciiTheme="majorBidi" w:hAnsiTheme="majorBidi" w:cstheme="majorBidi"/>
          <w:color w:val="EE0000"/>
        </w:rPr>
        <w:t xml:space="preserve"> </w:t>
      </w:r>
    </w:p>
    <w:p w14:paraId="6999126B"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Ameen, N., Tarhini, A., Reppel, A., &amp; Anand, A.</w:t>
      </w:r>
      <w:r w:rsidRPr="002D0DD5">
        <w:rPr>
          <w:rFonts w:asciiTheme="majorBidi" w:hAnsiTheme="majorBidi" w:cstheme="majorBidi"/>
          <w:color w:val="EE0000"/>
        </w:rPr>
        <w:t xml:space="preserve"> (2021). Customer experiences in the age of artificial intelligence. </w:t>
      </w:r>
      <w:r w:rsidRPr="002D0DD5">
        <w:rPr>
          <w:rFonts w:asciiTheme="majorBidi" w:hAnsiTheme="majorBidi" w:cstheme="majorBidi"/>
          <w:i/>
          <w:iCs/>
          <w:color w:val="EE0000"/>
        </w:rPr>
        <w:t>Computers in Human Behavior</w:t>
      </w:r>
      <w:r w:rsidRPr="002D0DD5">
        <w:rPr>
          <w:rFonts w:asciiTheme="majorBidi" w:hAnsiTheme="majorBidi" w:cstheme="majorBidi"/>
          <w:color w:val="EE0000"/>
        </w:rPr>
        <w:t xml:space="preserve">, </w:t>
      </w:r>
      <w:r w:rsidRPr="002D0DD5">
        <w:rPr>
          <w:rFonts w:asciiTheme="majorBidi" w:hAnsiTheme="majorBidi" w:cstheme="majorBidi"/>
          <w:i/>
          <w:iCs/>
          <w:color w:val="EE0000"/>
        </w:rPr>
        <w:t>114</w:t>
      </w:r>
      <w:r w:rsidRPr="002D0DD5">
        <w:rPr>
          <w:rFonts w:asciiTheme="majorBidi" w:hAnsiTheme="majorBidi" w:cstheme="majorBidi"/>
          <w:color w:val="EE0000"/>
        </w:rPr>
        <w:t xml:space="preserve">, Article 106548. </w:t>
      </w:r>
      <w:hyperlink r:id="rId28" w:history="1">
        <w:r w:rsidRPr="002D0DD5">
          <w:rPr>
            <w:rFonts w:asciiTheme="majorBidi" w:hAnsiTheme="majorBidi" w:cstheme="majorBidi"/>
            <w:color w:val="EE0000"/>
            <w:u w:val="single"/>
          </w:rPr>
          <w:t>https://doi.org/10.1016/j.chb.2020.106548</w:t>
        </w:r>
      </w:hyperlink>
      <w:r w:rsidRPr="002D0DD5">
        <w:rPr>
          <w:rFonts w:asciiTheme="majorBidi" w:hAnsiTheme="majorBidi" w:cstheme="majorBidi"/>
          <w:color w:val="EE0000"/>
        </w:rPr>
        <w:t xml:space="preserve"> </w:t>
      </w:r>
    </w:p>
    <w:p w14:paraId="30649386"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Ben Khalifa, W. A., Alshorman, B. A., Seddik, W. A. S., Zahou, A. M. E., Torky, M. S., Rizk, M. F., Hussein, W. A. M., Rabie, M. H., &amp; Yousif, M. A. A. B.</w:t>
      </w:r>
      <w:r w:rsidRPr="002D0DD5">
        <w:rPr>
          <w:rFonts w:asciiTheme="majorBidi" w:hAnsiTheme="majorBidi" w:cstheme="majorBidi"/>
          <w:color w:val="EE0000"/>
        </w:rPr>
        <w:t xml:space="preserve"> (2023). The reality of using artificial intelligence applications in developing e-marketing in the Kingdom of Saudi Arabia. </w:t>
      </w:r>
      <w:r w:rsidRPr="002D0DD5">
        <w:rPr>
          <w:rFonts w:asciiTheme="majorBidi" w:hAnsiTheme="majorBidi" w:cstheme="majorBidi"/>
          <w:i/>
          <w:iCs/>
          <w:color w:val="EE0000"/>
        </w:rPr>
        <w:t>Migration Letters</w:t>
      </w:r>
      <w:r w:rsidRPr="002D0DD5">
        <w:rPr>
          <w:rFonts w:asciiTheme="majorBidi" w:hAnsiTheme="majorBidi" w:cstheme="majorBidi"/>
          <w:color w:val="EE0000"/>
        </w:rPr>
        <w:t xml:space="preserve">, </w:t>
      </w:r>
      <w:r w:rsidRPr="002D0DD5">
        <w:rPr>
          <w:rFonts w:asciiTheme="majorBidi" w:hAnsiTheme="majorBidi" w:cstheme="majorBidi"/>
          <w:i/>
          <w:iCs/>
          <w:color w:val="EE0000"/>
        </w:rPr>
        <w:t>20</w:t>
      </w:r>
      <w:r w:rsidRPr="002D0DD5">
        <w:rPr>
          <w:rFonts w:asciiTheme="majorBidi" w:hAnsiTheme="majorBidi" w:cstheme="majorBidi"/>
          <w:color w:val="EE0000"/>
        </w:rPr>
        <w:t xml:space="preserve">(S3), 146–158. </w:t>
      </w:r>
      <w:hyperlink r:id="rId29" w:history="1">
        <w:r w:rsidRPr="002D0DD5">
          <w:rPr>
            <w:rFonts w:asciiTheme="majorBidi" w:hAnsiTheme="majorBidi" w:cstheme="majorBidi"/>
            <w:color w:val="EE0000"/>
            <w:u w:val="single"/>
          </w:rPr>
          <w:t>https://doi.org/10.59670/ml.v20iS3.3768</w:t>
        </w:r>
      </w:hyperlink>
      <w:r w:rsidRPr="002D0DD5">
        <w:rPr>
          <w:rFonts w:asciiTheme="majorBidi" w:hAnsiTheme="majorBidi" w:cstheme="majorBidi"/>
          <w:color w:val="EE0000"/>
        </w:rPr>
        <w:t xml:space="preserve"> </w:t>
      </w:r>
    </w:p>
    <w:p w14:paraId="1D7C50CD"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Beyari, H.</w:t>
      </w:r>
      <w:r w:rsidRPr="002D0DD5">
        <w:rPr>
          <w:rFonts w:asciiTheme="majorBidi" w:hAnsiTheme="majorBidi" w:cstheme="majorBidi"/>
        </w:rPr>
        <w:t xml:space="preserve"> (2025). Assessing artificial intelligence’s impact on ecustomer loyalty in the Saudi Arabian market. </w:t>
      </w:r>
      <w:r w:rsidRPr="002D0DD5">
        <w:rPr>
          <w:rFonts w:asciiTheme="majorBidi" w:hAnsiTheme="majorBidi" w:cstheme="majorBidi"/>
          <w:i/>
          <w:iCs/>
        </w:rPr>
        <w:t>Frontiers in Artificial Intelligence, 8</w:t>
      </w:r>
      <w:r w:rsidRPr="002D0DD5">
        <w:rPr>
          <w:rFonts w:asciiTheme="majorBidi" w:hAnsiTheme="majorBidi" w:cstheme="majorBidi"/>
        </w:rPr>
        <w:t xml:space="preserve">, Article 1541678. </w:t>
      </w:r>
      <w:hyperlink r:id="rId30" w:history="1">
        <w:r w:rsidRPr="002D0DD5">
          <w:rPr>
            <w:rFonts w:asciiTheme="majorBidi" w:hAnsiTheme="majorBidi" w:cstheme="majorBidi"/>
            <w:u w:val="single"/>
          </w:rPr>
          <w:t>https://doi.org/10.3389/frai.2025.1541678</w:t>
        </w:r>
      </w:hyperlink>
      <w:r w:rsidRPr="002D0DD5">
        <w:rPr>
          <w:rFonts w:asciiTheme="majorBidi" w:hAnsiTheme="majorBidi" w:cstheme="majorBidi"/>
        </w:rPr>
        <w:t xml:space="preserve">  </w:t>
      </w:r>
    </w:p>
    <w:p w14:paraId="45348923"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Buder, F., Hesel, N., &amp; Heimstädt, A.</w:t>
      </w:r>
      <w:r w:rsidRPr="002D0DD5">
        <w:rPr>
          <w:rFonts w:asciiTheme="majorBidi" w:hAnsiTheme="majorBidi" w:cstheme="majorBidi"/>
          <w:color w:val="EE0000"/>
        </w:rPr>
        <w:t xml:space="preserve"> (2024). </w:t>
      </w:r>
      <w:r w:rsidRPr="002D0DD5">
        <w:rPr>
          <w:rFonts w:asciiTheme="majorBidi" w:hAnsiTheme="majorBidi" w:cstheme="majorBidi"/>
          <w:i/>
          <w:iCs/>
          <w:color w:val="EE0000"/>
        </w:rPr>
        <w:t>Beyond the buzz: Creating marketing value with generative AI</w:t>
      </w:r>
      <w:r w:rsidRPr="002D0DD5">
        <w:rPr>
          <w:rFonts w:asciiTheme="majorBidi" w:hAnsiTheme="majorBidi" w:cstheme="majorBidi"/>
          <w:color w:val="EE0000"/>
        </w:rPr>
        <w:t xml:space="preserve"> [Research report]. Nuremberg Institute for Market Decisions. </w:t>
      </w:r>
      <w:hyperlink r:id="rId31" w:history="1">
        <w:r w:rsidRPr="002D0DD5">
          <w:rPr>
            <w:rFonts w:asciiTheme="majorBidi" w:hAnsiTheme="majorBidi" w:cstheme="majorBidi"/>
            <w:color w:val="EE0000"/>
            <w:u w:val="single"/>
          </w:rPr>
          <w:t>https://www.nim.org/en/research/projects-overview/detail-research-project/beyond-the-buzz-creating-marketing-value-with-generative-ai-research-report</w:t>
        </w:r>
      </w:hyperlink>
      <w:r w:rsidRPr="002D0DD5">
        <w:rPr>
          <w:rFonts w:asciiTheme="majorBidi" w:hAnsiTheme="majorBidi" w:cstheme="majorBidi"/>
          <w:color w:val="EE0000"/>
        </w:rPr>
        <w:t xml:space="preserve"> </w:t>
      </w:r>
    </w:p>
    <w:p w14:paraId="0B7DD431"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Cochran, W. G.</w:t>
      </w:r>
      <w:r w:rsidRPr="002D0DD5">
        <w:rPr>
          <w:rFonts w:asciiTheme="majorBidi" w:hAnsiTheme="majorBidi" w:cstheme="majorBidi"/>
        </w:rPr>
        <w:t xml:space="preserve"> (1977). </w:t>
      </w:r>
      <w:r w:rsidRPr="002D0DD5">
        <w:rPr>
          <w:rFonts w:asciiTheme="majorBidi" w:hAnsiTheme="majorBidi" w:cstheme="majorBidi"/>
          <w:i/>
          <w:iCs/>
        </w:rPr>
        <w:t>Sampling techniques</w:t>
      </w:r>
      <w:r w:rsidRPr="002D0DD5">
        <w:rPr>
          <w:rFonts w:asciiTheme="majorBidi" w:hAnsiTheme="majorBidi" w:cstheme="majorBidi"/>
        </w:rPr>
        <w:t xml:space="preserve"> (3rd ed.). John Wiley &amp; Sons. </w:t>
      </w:r>
    </w:p>
    <w:p w14:paraId="7542126C"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Creswell, J. W., &amp; Creswell, J. D.</w:t>
      </w:r>
      <w:r w:rsidRPr="002D0DD5">
        <w:rPr>
          <w:rFonts w:asciiTheme="majorBidi" w:hAnsiTheme="majorBidi" w:cstheme="majorBidi"/>
        </w:rPr>
        <w:t xml:space="preserve"> (2018). </w:t>
      </w:r>
      <w:r w:rsidRPr="002D0DD5">
        <w:rPr>
          <w:rFonts w:asciiTheme="majorBidi" w:hAnsiTheme="majorBidi" w:cstheme="majorBidi"/>
          <w:i/>
          <w:iCs/>
        </w:rPr>
        <w:t>Research design: Qualitative, quantitative, and mixed methods approaches</w:t>
      </w:r>
      <w:r w:rsidRPr="002D0DD5">
        <w:rPr>
          <w:rFonts w:asciiTheme="majorBidi" w:hAnsiTheme="majorBidi" w:cstheme="majorBidi"/>
        </w:rPr>
        <w:t xml:space="preserve"> (5th ed.). SAGE Publications. </w:t>
      </w:r>
    </w:p>
    <w:p w14:paraId="02C9A30A"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Dimitrieska, S.</w:t>
      </w:r>
      <w:r w:rsidRPr="002D0DD5">
        <w:rPr>
          <w:rFonts w:asciiTheme="majorBidi" w:hAnsiTheme="majorBidi" w:cstheme="majorBidi"/>
        </w:rPr>
        <w:t xml:space="preserve"> (2024). Generative artificial intelligence and advertising. </w:t>
      </w:r>
      <w:r w:rsidRPr="002D0DD5">
        <w:rPr>
          <w:rFonts w:asciiTheme="majorBidi" w:hAnsiTheme="majorBidi" w:cstheme="majorBidi"/>
          <w:i/>
          <w:iCs/>
        </w:rPr>
        <w:t>Trends in Economics, Finance and Management Journal, 6</w:t>
      </w:r>
      <w:r w:rsidRPr="002D0DD5">
        <w:rPr>
          <w:rFonts w:asciiTheme="majorBidi" w:hAnsiTheme="majorBidi" w:cstheme="majorBidi"/>
        </w:rPr>
        <w:t xml:space="preserve">(1), 23–33. </w:t>
      </w:r>
      <w:hyperlink r:id="rId32" w:history="1">
        <w:r w:rsidRPr="002D0DD5">
          <w:rPr>
            <w:rFonts w:asciiTheme="majorBidi" w:hAnsiTheme="majorBidi" w:cstheme="majorBidi"/>
            <w:u w:val="single"/>
          </w:rPr>
          <w:t>https://doi.org/10.69648/EYZI2281</w:t>
        </w:r>
      </w:hyperlink>
      <w:r w:rsidRPr="002D0DD5">
        <w:rPr>
          <w:rFonts w:asciiTheme="majorBidi" w:hAnsiTheme="majorBidi" w:cstheme="majorBidi"/>
        </w:rPr>
        <w:t xml:space="preserve">   </w:t>
      </w:r>
    </w:p>
    <w:p w14:paraId="0C805608"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Doshi, A. R., Bell, J. J., Mirzayev, E., &amp; Vanneste, B. S.</w:t>
      </w:r>
      <w:r w:rsidRPr="002D0DD5">
        <w:rPr>
          <w:rFonts w:asciiTheme="majorBidi" w:hAnsiTheme="majorBidi" w:cstheme="majorBidi"/>
        </w:rPr>
        <w:t xml:space="preserve"> (2025). Generative artificial intelligence and evaluating strategic decisions. </w:t>
      </w:r>
      <w:r w:rsidRPr="002D0DD5">
        <w:rPr>
          <w:rFonts w:asciiTheme="majorBidi" w:hAnsiTheme="majorBidi" w:cstheme="majorBidi"/>
          <w:i/>
          <w:iCs/>
        </w:rPr>
        <w:t>Strategic Management Journal, 46</w:t>
      </w:r>
      <w:r w:rsidRPr="002D0DD5">
        <w:rPr>
          <w:rFonts w:asciiTheme="majorBidi" w:hAnsiTheme="majorBidi" w:cstheme="majorBidi"/>
        </w:rPr>
        <w:t xml:space="preserve">(3), 583–610. </w:t>
      </w:r>
      <w:hyperlink r:id="rId33" w:history="1">
        <w:r w:rsidRPr="002D0DD5">
          <w:rPr>
            <w:rFonts w:asciiTheme="majorBidi" w:hAnsiTheme="majorBidi" w:cstheme="majorBidi"/>
            <w:u w:val="single"/>
          </w:rPr>
          <w:t>https://doi.org/10.1002/smj.3677</w:t>
        </w:r>
      </w:hyperlink>
      <w:r w:rsidRPr="002D0DD5">
        <w:rPr>
          <w:rFonts w:asciiTheme="majorBidi" w:hAnsiTheme="majorBidi" w:cstheme="majorBidi"/>
        </w:rPr>
        <w:t xml:space="preserve"> </w:t>
      </w:r>
    </w:p>
    <w:p w14:paraId="32712882"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Dwivedi, Y. K., Kshetri, N., Hughes, L., Slade, E. L., Jeyaraj, A., Kar, A. K., Baabdullah, A. M., Koohang, A., Raghavan, V., Ahuja, M., Albanna, H., Albashrawi, M. A., Al-Busaidi, A. S., Balakrishnan, J., Barlette, Y., Basu, S., Bose, I., Brooks, L., Buhalis, D., … Wright, R.</w:t>
      </w:r>
      <w:r w:rsidRPr="002D0DD5">
        <w:rPr>
          <w:rFonts w:asciiTheme="majorBidi" w:hAnsiTheme="majorBidi" w:cstheme="majorBidi"/>
          <w:color w:val="EE0000"/>
        </w:rPr>
        <w:t xml:space="preserve"> (2023). Opinion paper: “So what if ChatGPT wrote it?” Multidisciplinary perspectives on opportunities, challenges and implications of generative conversational AI for research, practice and policy. </w:t>
      </w:r>
      <w:r w:rsidRPr="002D0DD5">
        <w:rPr>
          <w:rFonts w:asciiTheme="majorBidi" w:hAnsiTheme="majorBidi" w:cstheme="majorBidi"/>
          <w:i/>
          <w:iCs/>
          <w:color w:val="EE0000"/>
        </w:rPr>
        <w:lastRenderedPageBreak/>
        <w:t>International Journal of Information Management</w:t>
      </w:r>
      <w:r w:rsidRPr="002D0DD5">
        <w:rPr>
          <w:rFonts w:asciiTheme="majorBidi" w:hAnsiTheme="majorBidi" w:cstheme="majorBidi"/>
          <w:color w:val="EE0000"/>
        </w:rPr>
        <w:t xml:space="preserve">, </w:t>
      </w:r>
      <w:r w:rsidRPr="002D0DD5">
        <w:rPr>
          <w:rFonts w:asciiTheme="majorBidi" w:hAnsiTheme="majorBidi" w:cstheme="majorBidi"/>
          <w:i/>
          <w:iCs/>
          <w:color w:val="EE0000"/>
        </w:rPr>
        <w:t>71</w:t>
      </w:r>
      <w:r w:rsidRPr="002D0DD5">
        <w:rPr>
          <w:rFonts w:asciiTheme="majorBidi" w:hAnsiTheme="majorBidi" w:cstheme="majorBidi"/>
          <w:color w:val="EE0000"/>
        </w:rPr>
        <w:t xml:space="preserve">, Article 102642. </w:t>
      </w:r>
      <w:hyperlink r:id="rId34" w:history="1">
        <w:r w:rsidRPr="002D0DD5">
          <w:rPr>
            <w:rFonts w:asciiTheme="majorBidi" w:hAnsiTheme="majorBidi" w:cstheme="majorBidi"/>
            <w:color w:val="EE0000"/>
            <w:u w:val="single"/>
          </w:rPr>
          <w:t>https://doi.org/10.1016/j.ijinfomgt.2023.102642</w:t>
        </w:r>
      </w:hyperlink>
      <w:r w:rsidRPr="002D0DD5">
        <w:rPr>
          <w:rFonts w:asciiTheme="majorBidi" w:hAnsiTheme="majorBidi" w:cstheme="majorBidi"/>
          <w:color w:val="EE0000"/>
        </w:rPr>
        <w:t xml:space="preserve"> </w:t>
      </w:r>
    </w:p>
    <w:p w14:paraId="3A2BC528"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Etikan, I., Musa, S. A., &amp; Alkassim, R. S.</w:t>
      </w:r>
      <w:r w:rsidRPr="002D0DD5">
        <w:rPr>
          <w:rFonts w:asciiTheme="majorBidi" w:hAnsiTheme="majorBidi" w:cstheme="majorBidi"/>
        </w:rPr>
        <w:t xml:space="preserve"> (2016). Comparison of convenience sampling and purposive sampling. </w:t>
      </w:r>
      <w:r w:rsidRPr="002D0DD5">
        <w:rPr>
          <w:rFonts w:asciiTheme="majorBidi" w:hAnsiTheme="majorBidi" w:cstheme="majorBidi"/>
          <w:i/>
          <w:iCs/>
        </w:rPr>
        <w:t>American Journal of Theoretical and Applied Statistics, 5</w:t>
      </w:r>
      <w:r w:rsidRPr="002D0DD5">
        <w:rPr>
          <w:rFonts w:asciiTheme="majorBidi" w:hAnsiTheme="majorBidi" w:cstheme="majorBidi"/>
        </w:rPr>
        <w:t xml:space="preserve">(1), 1–5. </w:t>
      </w:r>
      <w:hyperlink r:id="rId35" w:history="1">
        <w:r w:rsidRPr="002D0DD5">
          <w:rPr>
            <w:rFonts w:asciiTheme="majorBidi" w:hAnsiTheme="majorBidi" w:cstheme="majorBidi"/>
            <w:u w:val="single"/>
          </w:rPr>
          <w:t>https://doi.org/10.11648/j.ajtas.20160501.11</w:t>
        </w:r>
      </w:hyperlink>
      <w:r w:rsidRPr="002D0DD5">
        <w:rPr>
          <w:rFonts w:asciiTheme="majorBidi" w:hAnsiTheme="majorBidi" w:cstheme="majorBidi"/>
        </w:rPr>
        <w:t xml:space="preserve">  </w:t>
      </w:r>
    </w:p>
    <w:p w14:paraId="3C375421"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Gujar, P., &amp; Panyam, S.</w:t>
      </w:r>
      <w:r w:rsidRPr="002D0DD5">
        <w:rPr>
          <w:rFonts w:asciiTheme="majorBidi" w:hAnsiTheme="majorBidi" w:cstheme="majorBidi"/>
        </w:rPr>
        <w:t xml:space="preserve"> (2024). Generative AI in digital advertising campaigns. </w:t>
      </w:r>
      <w:r w:rsidRPr="002D0DD5">
        <w:rPr>
          <w:rFonts w:asciiTheme="majorBidi" w:hAnsiTheme="majorBidi" w:cstheme="majorBidi"/>
          <w:i/>
          <w:iCs/>
        </w:rPr>
        <w:t>International Journal of Computer Trends and Technology, 72</w:t>
      </w:r>
      <w:r w:rsidRPr="002D0DD5">
        <w:rPr>
          <w:rFonts w:asciiTheme="majorBidi" w:hAnsiTheme="majorBidi" w:cstheme="majorBidi"/>
        </w:rPr>
        <w:t xml:space="preserve">(5), 51–55. </w:t>
      </w:r>
      <w:hyperlink r:id="rId36" w:history="1">
        <w:r w:rsidRPr="002D0DD5">
          <w:rPr>
            <w:rFonts w:asciiTheme="majorBidi" w:hAnsiTheme="majorBidi" w:cstheme="majorBidi"/>
            <w:u w:val="single"/>
          </w:rPr>
          <w:t>https://doi.org/10.14445/22312803/IJCTT-V72I5P106</w:t>
        </w:r>
      </w:hyperlink>
      <w:r w:rsidRPr="002D0DD5">
        <w:rPr>
          <w:rFonts w:asciiTheme="majorBidi" w:hAnsiTheme="majorBidi" w:cstheme="majorBidi"/>
        </w:rPr>
        <w:t xml:space="preserve">  </w:t>
      </w:r>
    </w:p>
    <w:p w14:paraId="31A347D0"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Hair, J. F., Hult, G. T. M., Ringle, C. M., &amp; Sarstedt, M.</w:t>
      </w:r>
      <w:r w:rsidRPr="002D0DD5">
        <w:rPr>
          <w:rFonts w:asciiTheme="majorBidi" w:hAnsiTheme="majorBidi" w:cstheme="majorBidi"/>
        </w:rPr>
        <w:t xml:space="preserve"> (2022). </w:t>
      </w:r>
      <w:r w:rsidRPr="002D0DD5">
        <w:rPr>
          <w:rFonts w:asciiTheme="majorBidi" w:hAnsiTheme="majorBidi" w:cstheme="majorBidi"/>
          <w:i/>
          <w:iCs/>
        </w:rPr>
        <w:t>A primer on partial least squares structural equation modeling (PLS-SEM)</w:t>
      </w:r>
      <w:r w:rsidRPr="002D0DD5">
        <w:rPr>
          <w:rFonts w:asciiTheme="majorBidi" w:hAnsiTheme="majorBidi" w:cstheme="majorBidi"/>
        </w:rPr>
        <w:t xml:space="preserve"> (3rd ed.). SAGE Publications. </w:t>
      </w:r>
    </w:p>
    <w:p w14:paraId="6006B786"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Heitmann, M.</w:t>
      </w:r>
      <w:r w:rsidRPr="002D0DD5">
        <w:rPr>
          <w:rFonts w:asciiTheme="majorBidi" w:hAnsiTheme="majorBidi" w:cstheme="majorBidi"/>
        </w:rPr>
        <w:t xml:space="preserve"> (2024). Generative AI for marketing content creation: New rules for an old game. </w:t>
      </w:r>
      <w:r w:rsidRPr="002D0DD5">
        <w:rPr>
          <w:rFonts w:asciiTheme="majorBidi" w:hAnsiTheme="majorBidi" w:cstheme="majorBidi"/>
          <w:i/>
          <w:iCs/>
        </w:rPr>
        <w:t>NIM Marketing Intelligence Review, 16</w:t>
      </w:r>
      <w:r w:rsidRPr="002D0DD5">
        <w:rPr>
          <w:rFonts w:asciiTheme="majorBidi" w:hAnsiTheme="majorBidi" w:cstheme="majorBidi"/>
        </w:rPr>
        <w:t xml:space="preserve">(1), 10–17. </w:t>
      </w:r>
      <w:hyperlink r:id="rId37" w:history="1">
        <w:r w:rsidRPr="002D0DD5">
          <w:rPr>
            <w:rFonts w:asciiTheme="majorBidi" w:hAnsiTheme="majorBidi" w:cstheme="majorBidi"/>
            <w:u w:val="single"/>
          </w:rPr>
          <w:t>https://doi.org/10.2478/nimmir-2024-0002</w:t>
        </w:r>
      </w:hyperlink>
      <w:r w:rsidRPr="002D0DD5">
        <w:rPr>
          <w:rFonts w:asciiTheme="majorBidi" w:hAnsiTheme="majorBidi" w:cstheme="majorBidi"/>
        </w:rPr>
        <w:t xml:space="preserve">  </w:t>
      </w:r>
    </w:p>
    <w:p w14:paraId="7CBB7C06"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IAB Tech Lab.</w:t>
      </w:r>
      <w:r w:rsidRPr="002D0DD5">
        <w:rPr>
          <w:rFonts w:asciiTheme="majorBidi" w:hAnsiTheme="majorBidi" w:cstheme="majorBidi"/>
          <w:color w:val="EE0000"/>
        </w:rPr>
        <w:t xml:space="preserve"> (2024, October 16). </w:t>
      </w:r>
      <w:r w:rsidRPr="002D0DD5">
        <w:rPr>
          <w:rFonts w:asciiTheme="majorBidi" w:hAnsiTheme="majorBidi" w:cstheme="majorBidi"/>
          <w:i/>
          <w:iCs/>
          <w:color w:val="EE0000"/>
        </w:rPr>
        <w:t>AI in advertising primer</w:t>
      </w:r>
      <w:r w:rsidRPr="002D0DD5">
        <w:rPr>
          <w:rFonts w:asciiTheme="majorBidi" w:hAnsiTheme="majorBidi" w:cstheme="majorBidi"/>
          <w:color w:val="EE0000"/>
        </w:rPr>
        <w:t xml:space="preserve">. </w:t>
      </w:r>
      <w:hyperlink r:id="rId38" w:history="1">
        <w:r w:rsidRPr="002D0DD5">
          <w:rPr>
            <w:rFonts w:asciiTheme="majorBidi" w:hAnsiTheme="majorBidi" w:cstheme="majorBidi"/>
            <w:color w:val="EE0000"/>
            <w:u w:val="single"/>
          </w:rPr>
          <w:t>https://iabtechlab.com/iab-tech-lab-releases-ai-in-advertising-primer/</w:t>
        </w:r>
      </w:hyperlink>
      <w:r w:rsidRPr="002D0DD5">
        <w:rPr>
          <w:rFonts w:asciiTheme="majorBidi" w:hAnsiTheme="majorBidi" w:cstheme="majorBidi"/>
          <w:color w:val="EE0000"/>
        </w:rPr>
        <w:t xml:space="preserve"> </w:t>
      </w:r>
    </w:p>
    <w:p w14:paraId="3F91E50C"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Islam, T., Miron, A., Nandy, M., Choudrie, J., Liu, X., &amp; Li, Y.</w:t>
      </w:r>
      <w:r w:rsidRPr="002D0DD5">
        <w:rPr>
          <w:rFonts w:asciiTheme="majorBidi" w:hAnsiTheme="majorBidi" w:cstheme="majorBidi"/>
        </w:rPr>
        <w:t xml:space="preserve"> (2024). Transforming digital marketing with generative AI. </w:t>
      </w:r>
      <w:r w:rsidRPr="002D0DD5">
        <w:rPr>
          <w:rFonts w:asciiTheme="majorBidi" w:hAnsiTheme="majorBidi" w:cstheme="majorBidi"/>
          <w:i/>
          <w:iCs/>
        </w:rPr>
        <w:t>Computers, 13</w:t>
      </w:r>
      <w:r w:rsidRPr="002D0DD5">
        <w:rPr>
          <w:rFonts w:asciiTheme="majorBidi" w:hAnsiTheme="majorBidi" w:cstheme="majorBidi"/>
        </w:rPr>
        <w:t xml:space="preserve">(7), 168. </w:t>
      </w:r>
      <w:hyperlink r:id="rId39" w:history="1">
        <w:r w:rsidRPr="002D0DD5">
          <w:rPr>
            <w:rFonts w:asciiTheme="majorBidi" w:hAnsiTheme="majorBidi" w:cstheme="majorBidi"/>
            <w:u w:val="single"/>
          </w:rPr>
          <w:t>https://doi.org/10.3390/computers13070168</w:t>
        </w:r>
      </w:hyperlink>
      <w:r w:rsidRPr="002D0DD5">
        <w:rPr>
          <w:rFonts w:asciiTheme="majorBidi" w:hAnsiTheme="majorBidi" w:cstheme="majorBidi"/>
        </w:rPr>
        <w:t xml:space="preserve"> </w:t>
      </w:r>
    </w:p>
    <w:p w14:paraId="5B0CC25E"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Kılınç, H. K., &amp; Keçecioğlu, Ö. F.</w:t>
      </w:r>
      <w:r w:rsidRPr="002D0DD5">
        <w:rPr>
          <w:rFonts w:asciiTheme="majorBidi" w:hAnsiTheme="majorBidi" w:cstheme="majorBidi"/>
        </w:rPr>
        <w:t xml:space="preserve"> (2024). Generative artificial intelligence: A historical and future perspective. </w:t>
      </w:r>
      <w:r w:rsidRPr="002D0DD5">
        <w:rPr>
          <w:rFonts w:asciiTheme="majorBidi" w:hAnsiTheme="majorBidi" w:cstheme="majorBidi"/>
          <w:i/>
          <w:iCs/>
        </w:rPr>
        <w:t>Academic Platform Journal of Engineering and Smart Systems, 12</w:t>
      </w:r>
      <w:r w:rsidRPr="002D0DD5">
        <w:rPr>
          <w:rFonts w:asciiTheme="majorBidi" w:hAnsiTheme="majorBidi" w:cstheme="majorBidi"/>
        </w:rPr>
        <w:t xml:space="preserve">(2), 47–58. </w:t>
      </w:r>
      <w:hyperlink r:id="rId40" w:history="1">
        <w:r w:rsidRPr="002D0DD5">
          <w:rPr>
            <w:rFonts w:asciiTheme="majorBidi" w:hAnsiTheme="majorBidi" w:cstheme="majorBidi"/>
            <w:u w:val="single"/>
          </w:rPr>
          <w:t>https://doi.org/10.21541/apjess.1398155</w:t>
        </w:r>
      </w:hyperlink>
      <w:r w:rsidRPr="002D0DD5">
        <w:rPr>
          <w:rFonts w:asciiTheme="majorBidi" w:hAnsiTheme="majorBidi" w:cstheme="majorBidi"/>
        </w:rPr>
        <w:t xml:space="preserve"> </w:t>
      </w:r>
    </w:p>
    <w:p w14:paraId="13897528"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Kock, N.</w:t>
      </w:r>
      <w:r w:rsidRPr="002D0DD5">
        <w:rPr>
          <w:rFonts w:asciiTheme="majorBidi" w:hAnsiTheme="majorBidi" w:cstheme="majorBidi"/>
        </w:rPr>
        <w:t xml:space="preserve"> (2015). Common method bias in PLS-SEM: A full collinearity assessment approach. </w:t>
      </w:r>
      <w:r w:rsidRPr="002D0DD5">
        <w:rPr>
          <w:rFonts w:asciiTheme="majorBidi" w:hAnsiTheme="majorBidi" w:cstheme="majorBidi"/>
          <w:i/>
          <w:iCs/>
        </w:rPr>
        <w:t>International Journal of e-Collaboration, 11</w:t>
      </w:r>
      <w:r w:rsidRPr="002D0DD5">
        <w:rPr>
          <w:rFonts w:asciiTheme="majorBidi" w:hAnsiTheme="majorBidi" w:cstheme="majorBidi"/>
        </w:rPr>
        <w:t xml:space="preserve">(4), 1–10. </w:t>
      </w:r>
      <w:hyperlink r:id="rId41" w:history="1">
        <w:r w:rsidRPr="002D0DD5">
          <w:rPr>
            <w:rFonts w:asciiTheme="majorBidi" w:hAnsiTheme="majorBidi" w:cstheme="majorBidi"/>
            <w:u w:val="single"/>
          </w:rPr>
          <w:t>https://doi.org/10.4018/ijec.2015100101</w:t>
        </w:r>
      </w:hyperlink>
      <w:r w:rsidRPr="002D0DD5">
        <w:rPr>
          <w:rFonts w:asciiTheme="majorBidi" w:hAnsiTheme="majorBidi" w:cstheme="majorBidi"/>
        </w:rPr>
        <w:t xml:space="preserve">  </w:t>
      </w:r>
    </w:p>
    <w:p w14:paraId="1B602D51"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Kshetri, N., Dwivedi, Y., Davenport, T., &amp; Panteli, N.</w:t>
      </w:r>
      <w:r w:rsidRPr="002D0DD5">
        <w:rPr>
          <w:rFonts w:asciiTheme="majorBidi" w:hAnsiTheme="majorBidi" w:cstheme="majorBidi"/>
        </w:rPr>
        <w:t xml:space="preserve"> (2023). Generative artificial intelligence in marketing: Applications, opportunities, challenges, and research agenda. </w:t>
      </w:r>
      <w:r w:rsidRPr="002D0DD5">
        <w:rPr>
          <w:rFonts w:asciiTheme="majorBidi" w:hAnsiTheme="majorBidi" w:cstheme="majorBidi"/>
          <w:i/>
          <w:iCs/>
        </w:rPr>
        <w:t>International Journal of Information Management, 75</w:t>
      </w:r>
      <w:r w:rsidRPr="002D0DD5">
        <w:rPr>
          <w:rFonts w:asciiTheme="majorBidi" w:hAnsiTheme="majorBidi" w:cstheme="majorBidi"/>
        </w:rPr>
        <w:t xml:space="preserve">, Article 102716. </w:t>
      </w:r>
      <w:hyperlink r:id="rId42" w:history="1">
        <w:r w:rsidRPr="002D0DD5">
          <w:rPr>
            <w:rFonts w:asciiTheme="majorBidi" w:hAnsiTheme="majorBidi" w:cstheme="majorBidi"/>
            <w:u w:val="single"/>
          </w:rPr>
          <w:t>https://doi.org/10.1016/j.ijinfomgt.2023.102716</w:t>
        </w:r>
      </w:hyperlink>
      <w:r w:rsidRPr="002D0DD5">
        <w:rPr>
          <w:rFonts w:asciiTheme="majorBidi" w:hAnsiTheme="majorBidi" w:cstheme="majorBidi"/>
        </w:rPr>
        <w:t xml:space="preserve"> </w:t>
      </w:r>
    </w:p>
    <w:p w14:paraId="53B72F3A"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Kujore, V., Adebayo, A., Sambakiu, O., &amp; Segbenu, B. S.</w:t>
      </w:r>
      <w:r w:rsidRPr="002D0DD5">
        <w:rPr>
          <w:rFonts w:asciiTheme="majorBidi" w:hAnsiTheme="majorBidi" w:cstheme="majorBidi"/>
        </w:rPr>
        <w:t xml:space="preserve"> (2025). Transformative role of generative AI in marketing content creation and brand engagement strategies. </w:t>
      </w:r>
      <w:r w:rsidRPr="002D0DD5">
        <w:rPr>
          <w:rFonts w:asciiTheme="majorBidi" w:hAnsiTheme="majorBidi" w:cstheme="majorBidi"/>
          <w:i/>
          <w:iCs/>
        </w:rPr>
        <w:t>GSC Advanced Research and Reviews, 23</w:t>
      </w:r>
      <w:r w:rsidRPr="002D0DD5">
        <w:rPr>
          <w:rFonts w:asciiTheme="majorBidi" w:hAnsiTheme="majorBidi" w:cstheme="majorBidi"/>
        </w:rPr>
        <w:t xml:space="preserve">(3), 1–11. </w:t>
      </w:r>
      <w:hyperlink r:id="rId43" w:history="1">
        <w:r w:rsidRPr="002D0DD5">
          <w:rPr>
            <w:rFonts w:asciiTheme="majorBidi" w:hAnsiTheme="majorBidi" w:cstheme="majorBidi"/>
            <w:u w:val="single"/>
          </w:rPr>
          <w:t>https://doi.org/10.30574/gscarr.2025.23.3.0145</w:t>
        </w:r>
      </w:hyperlink>
      <w:r w:rsidRPr="002D0DD5">
        <w:rPr>
          <w:rFonts w:asciiTheme="majorBidi" w:hAnsiTheme="majorBidi" w:cstheme="majorBidi"/>
        </w:rPr>
        <w:t xml:space="preserve">  </w:t>
      </w:r>
    </w:p>
    <w:p w14:paraId="359BA3C1"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Masnita, Y., Kasuma Ali, J., Zahra, A., Wilson, N., &amp; Murwonugroho, W.</w:t>
      </w:r>
      <w:r w:rsidRPr="002D0DD5">
        <w:rPr>
          <w:rFonts w:asciiTheme="majorBidi" w:hAnsiTheme="majorBidi" w:cstheme="majorBidi"/>
        </w:rPr>
        <w:t xml:space="preserve"> (2024). Artificial intelligence in marketing: Literature review and future research agenda. </w:t>
      </w:r>
      <w:r w:rsidRPr="002D0DD5">
        <w:rPr>
          <w:rFonts w:asciiTheme="majorBidi" w:hAnsiTheme="majorBidi" w:cstheme="majorBidi"/>
          <w:i/>
          <w:iCs/>
        </w:rPr>
        <w:t>Journal of System and Management Sciences, 14</w:t>
      </w:r>
      <w:r w:rsidRPr="002D0DD5">
        <w:rPr>
          <w:rFonts w:asciiTheme="majorBidi" w:hAnsiTheme="majorBidi" w:cstheme="majorBidi"/>
        </w:rPr>
        <w:t xml:space="preserve">(1), 120–140. </w:t>
      </w:r>
      <w:hyperlink r:id="rId44" w:history="1">
        <w:r w:rsidRPr="002D0DD5">
          <w:rPr>
            <w:rFonts w:asciiTheme="majorBidi" w:hAnsiTheme="majorBidi" w:cstheme="majorBidi"/>
            <w:u w:val="single"/>
          </w:rPr>
          <w:t>https://doi.org/10.33168/JSMS.2024.0108</w:t>
        </w:r>
      </w:hyperlink>
      <w:r w:rsidRPr="002D0DD5">
        <w:rPr>
          <w:rFonts w:asciiTheme="majorBidi" w:hAnsiTheme="majorBidi" w:cstheme="majorBidi"/>
        </w:rPr>
        <w:t xml:space="preserve"> </w:t>
      </w:r>
    </w:p>
    <w:p w14:paraId="2EE5FB3B"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McKinsey &amp; Company.</w:t>
      </w:r>
      <w:r w:rsidRPr="002D0DD5">
        <w:rPr>
          <w:rFonts w:asciiTheme="majorBidi" w:hAnsiTheme="majorBidi" w:cstheme="majorBidi"/>
          <w:color w:val="EE0000"/>
        </w:rPr>
        <w:t xml:space="preserve"> (2024, November 6). </w:t>
      </w:r>
      <w:r w:rsidRPr="002D0DD5">
        <w:rPr>
          <w:rFonts w:asciiTheme="majorBidi" w:hAnsiTheme="majorBidi" w:cstheme="majorBidi"/>
          <w:i/>
          <w:iCs/>
          <w:color w:val="EE0000"/>
        </w:rPr>
        <w:t>The state of gen AI in the Middle East’s GCC countries: A 2024 report card</w:t>
      </w:r>
      <w:r w:rsidRPr="002D0DD5">
        <w:rPr>
          <w:rFonts w:asciiTheme="majorBidi" w:hAnsiTheme="majorBidi" w:cstheme="majorBidi"/>
          <w:color w:val="EE0000"/>
        </w:rPr>
        <w:t xml:space="preserve">. </w:t>
      </w:r>
      <w:hyperlink r:id="rId45" w:history="1">
        <w:r w:rsidRPr="002D0DD5">
          <w:rPr>
            <w:rFonts w:asciiTheme="majorBidi" w:hAnsiTheme="majorBidi" w:cstheme="majorBidi"/>
            <w:color w:val="EE0000"/>
            <w:u w:val="single"/>
          </w:rPr>
          <w:t>https://www.mckinsey.com/capabilities/quantumblack/our-insights/the-state-of-gen-ai-in-the-middle-easts-gcc-countries-a-2024-report-card</w:t>
        </w:r>
      </w:hyperlink>
      <w:r w:rsidRPr="002D0DD5">
        <w:rPr>
          <w:rFonts w:asciiTheme="majorBidi" w:hAnsiTheme="majorBidi" w:cstheme="majorBidi"/>
          <w:color w:val="EE0000"/>
        </w:rPr>
        <w:t xml:space="preserve"> </w:t>
      </w:r>
    </w:p>
    <w:p w14:paraId="47E3D149"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Mendoza, J. A. G., Franco, H. H. M., &amp; Torres, O. A. P.</w:t>
      </w:r>
      <w:r w:rsidRPr="002D0DD5">
        <w:rPr>
          <w:rFonts w:asciiTheme="majorBidi" w:hAnsiTheme="majorBidi" w:cstheme="majorBidi"/>
          <w:color w:val="EE0000"/>
        </w:rPr>
        <w:t xml:space="preserve"> (2025). Artificial intelligence in digital marketing: Quantitative analysis of its impact on customer personalization. </w:t>
      </w:r>
      <w:r w:rsidRPr="002D0DD5">
        <w:rPr>
          <w:rFonts w:asciiTheme="majorBidi" w:hAnsiTheme="majorBidi" w:cstheme="majorBidi"/>
          <w:i/>
          <w:iCs/>
          <w:color w:val="EE0000"/>
        </w:rPr>
        <w:t>Journal of Posthumanism</w:t>
      </w:r>
      <w:r w:rsidRPr="002D0DD5">
        <w:rPr>
          <w:rFonts w:asciiTheme="majorBidi" w:hAnsiTheme="majorBidi" w:cstheme="majorBidi"/>
          <w:color w:val="EE0000"/>
        </w:rPr>
        <w:t xml:space="preserve">, </w:t>
      </w:r>
      <w:r w:rsidRPr="002D0DD5">
        <w:rPr>
          <w:rFonts w:asciiTheme="majorBidi" w:hAnsiTheme="majorBidi" w:cstheme="majorBidi"/>
          <w:i/>
          <w:iCs/>
          <w:color w:val="EE0000"/>
        </w:rPr>
        <w:t>5</w:t>
      </w:r>
      <w:r w:rsidRPr="002D0DD5">
        <w:rPr>
          <w:rFonts w:asciiTheme="majorBidi" w:hAnsiTheme="majorBidi" w:cstheme="majorBidi"/>
          <w:color w:val="EE0000"/>
        </w:rPr>
        <w:t xml:space="preserve">(6), 4206–4218. </w:t>
      </w:r>
      <w:hyperlink r:id="rId46" w:history="1">
        <w:r w:rsidRPr="002D0DD5">
          <w:rPr>
            <w:rFonts w:asciiTheme="majorBidi" w:hAnsiTheme="majorBidi" w:cstheme="majorBidi"/>
            <w:color w:val="EE0000"/>
            <w:u w:val="single"/>
          </w:rPr>
          <w:t>https://doi.org/10.63332/joph.v5i6.2596</w:t>
        </w:r>
      </w:hyperlink>
      <w:r w:rsidRPr="002D0DD5">
        <w:rPr>
          <w:rFonts w:asciiTheme="majorBidi" w:hAnsiTheme="majorBidi" w:cstheme="majorBidi"/>
          <w:color w:val="EE0000"/>
        </w:rPr>
        <w:t xml:space="preserve"> </w:t>
      </w:r>
    </w:p>
    <w:p w14:paraId="09E0C8F8"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Nguyen, C. A., Langan, R. J., &amp; Anderson, J. E.</w:t>
      </w:r>
      <w:r w:rsidRPr="002D0DD5">
        <w:rPr>
          <w:rFonts w:asciiTheme="majorBidi" w:hAnsiTheme="majorBidi" w:cstheme="majorBidi"/>
          <w:color w:val="EE0000"/>
        </w:rPr>
        <w:t xml:space="preserve"> (2025). Integrating generative AI into team-based marketing workflows. </w:t>
      </w:r>
      <w:r w:rsidRPr="002D0DD5">
        <w:rPr>
          <w:rFonts w:asciiTheme="majorBidi" w:hAnsiTheme="majorBidi" w:cstheme="majorBidi"/>
          <w:i/>
          <w:iCs/>
          <w:color w:val="EE0000"/>
        </w:rPr>
        <w:t>Business Forum, 30</w:t>
      </w:r>
      <w:r w:rsidRPr="002D0DD5">
        <w:rPr>
          <w:rFonts w:asciiTheme="majorBidi" w:hAnsiTheme="majorBidi" w:cstheme="majorBidi"/>
          <w:color w:val="EE0000"/>
        </w:rPr>
        <w:t xml:space="preserve">(2). </w:t>
      </w:r>
      <w:hyperlink r:id="rId47" w:history="1">
        <w:r w:rsidRPr="002D0DD5">
          <w:rPr>
            <w:rFonts w:asciiTheme="majorBidi" w:hAnsiTheme="majorBidi" w:cstheme="majorBidi"/>
            <w:color w:val="EE0000"/>
            <w:u w:val="single"/>
          </w:rPr>
          <w:t>https://www.calstatela.edu/business/businessforum/business-forum-vol-30-issue-2</w:t>
        </w:r>
      </w:hyperlink>
      <w:r w:rsidRPr="002D0DD5">
        <w:rPr>
          <w:rFonts w:asciiTheme="majorBidi" w:hAnsiTheme="majorBidi" w:cstheme="majorBidi"/>
          <w:color w:val="EE0000"/>
        </w:rPr>
        <w:t xml:space="preserve"> </w:t>
      </w:r>
    </w:p>
    <w:p w14:paraId="0F8A97B5"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Podsakoff, P. M., MacKenzie, S. B., Lee, J.-Y., &amp; Podsakoff, N. P.</w:t>
      </w:r>
      <w:r w:rsidRPr="002D0DD5">
        <w:rPr>
          <w:rFonts w:asciiTheme="majorBidi" w:hAnsiTheme="majorBidi" w:cstheme="majorBidi"/>
        </w:rPr>
        <w:t xml:space="preserve"> (2003). Common method biases in behavioral research: A critical review of the literature and recommended remedies. </w:t>
      </w:r>
      <w:r w:rsidRPr="002D0DD5">
        <w:rPr>
          <w:rFonts w:asciiTheme="majorBidi" w:hAnsiTheme="majorBidi" w:cstheme="majorBidi"/>
          <w:i/>
          <w:iCs/>
        </w:rPr>
        <w:t>Journal of Applied Psychology, 88</w:t>
      </w:r>
      <w:r w:rsidRPr="002D0DD5">
        <w:rPr>
          <w:rFonts w:asciiTheme="majorBidi" w:hAnsiTheme="majorBidi" w:cstheme="majorBidi"/>
        </w:rPr>
        <w:t xml:space="preserve">(5), 879–903. </w:t>
      </w:r>
      <w:hyperlink r:id="rId48" w:history="1">
        <w:r w:rsidRPr="002D0DD5">
          <w:rPr>
            <w:rFonts w:asciiTheme="majorBidi" w:hAnsiTheme="majorBidi" w:cstheme="majorBidi"/>
            <w:u w:val="single"/>
          </w:rPr>
          <w:t>https://doi.org/10.1037/0021-9010.88.5.879</w:t>
        </w:r>
      </w:hyperlink>
      <w:r w:rsidRPr="002D0DD5">
        <w:rPr>
          <w:rFonts w:asciiTheme="majorBidi" w:hAnsiTheme="majorBidi" w:cstheme="majorBidi"/>
        </w:rPr>
        <w:t xml:space="preserve">  </w:t>
      </w:r>
    </w:p>
    <w:p w14:paraId="52EAA46A"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Saudi Data &amp; AI Authority (SDAIA).</w:t>
      </w:r>
      <w:r w:rsidRPr="002D0DD5">
        <w:rPr>
          <w:rFonts w:asciiTheme="majorBidi" w:hAnsiTheme="majorBidi" w:cstheme="majorBidi"/>
          <w:color w:val="EE0000"/>
        </w:rPr>
        <w:t xml:space="preserve"> (2024a). </w:t>
      </w:r>
      <w:r w:rsidRPr="002D0DD5">
        <w:rPr>
          <w:rFonts w:asciiTheme="majorBidi" w:hAnsiTheme="majorBidi" w:cstheme="majorBidi"/>
          <w:i/>
          <w:iCs/>
          <w:color w:val="EE0000"/>
        </w:rPr>
        <w:t>Generative artificial intelligence guidelines for the public</w:t>
      </w:r>
      <w:r w:rsidRPr="002D0DD5">
        <w:rPr>
          <w:rFonts w:asciiTheme="majorBidi" w:hAnsiTheme="majorBidi" w:cstheme="majorBidi"/>
          <w:color w:val="EE0000"/>
        </w:rPr>
        <w:t xml:space="preserve">. </w:t>
      </w:r>
      <w:hyperlink r:id="rId49" w:history="1">
        <w:r w:rsidRPr="002D0DD5">
          <w:rPr>
            <w:rFonts w:asciiTheme="majorBidi" w:hAnsiTheme="majorBidi" w:cstheme="majorBidi"/>
            <w:color w:val="EE0000"/>
            <w:u w:val="single"/>
          </w:rPr>
          <w:t>https://sdaia.gov.sa/en/SDAIA/about/Files/GenerativeAIPublicEN.pdf</w:t>
        </w:r>
      </w:hyperlink>
      <w:r w:rsidRPr="002D0DD5">
        <w:rPr>
          <w:rFonts w:asciiTheme="majorBidi" w:hAnsiTheme="majorBidi" w:cstheme="majorBidi"/>
          <w:color w:val="EE0000"/>
        </w:rPr>
        <w:t xml:space="preserve"> </w:t>
      </w:r>
    </w:p>
    <w:p w14:paraId="0EB2500D"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Saunders, M., Lewis, P., &amp; Thornhill, A.</w:t>
      </w:r>
      <w:r w:rsidRPr="002D0DD5">
        <w:rPr>
          <w:rFonts w:asciiTheme="majorBidi" w:hAnsiTheme="majorBidi" w:cstheme="majorBidi"/>
        </w:rPr>
        <w:t xml:space="preserve"> (2019). </w:t>
      </w:r>
      <w:r w:rsidRPr="002D0DD5">
        <w:rPr>
          <w:rFonts w:asciiTheme="majorBidi" w:hAnsiTheme="majorBidi" w:cstheme="majorBidi"/>
          <w:i/>
          <w:iCs/>
        </w:rPr>
        <w:t>Research methods for business students</w:t>
      </w:r>
      <w:r w:rsidRPr="002D0DD5">
        <w:rPr>
          <w:rFonts w:asciiTheme="majorBidi" w:hAnsiTheme="majorBidi" w:cstheme="majorBidi"/>
        </w:rPr>
        <w:t xml:space="preserve"> (8th ed.). Pearson Education. </w:t>
      </w:r>
    </w:p>
    <w:p w14:paraId="69B5B885"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Sharabati, A.-A. A., Ali, A. A. A., Allahham, M. I., Hussein, A. A., Alheet, A. F., &amp; Mohammad, A. S.</w:t>
      </w:r>
      <w:r w:rsidRPr="002D0DD5">
        <w:rPr>
          <w:rFonts w:asciiTheme="majorBidi" w:hAnsiTheme="majorBidi" w:cstheme="majorBidi"/>
        </w:rPr>
        <w:t xml:space="preserve"> (2024). The impact of digital marketing on the performance of SMEs: An analytical study in light of modern digital transformations. </w:t>
      </w:r>
      <w:r w:rsidRPr="002D0DD5">
        <w:rPr>
          <w:rFonts w:asciiTheme="majorBidi" w:hAnsiTheme="majorBidi" w:cstheme="majorBidi"/>
          <w:i/>
          <w:iCs/>
        </w:rPr>
        <w:t>Sustainability, 16</w:t>
      </w:r>
      <w:r w:rsidRPr="002D0DD5">
        <w:rPr>
          <w:rFonts w:asciiTheme="majorBidi" w:hAnsiTheme="majorBidi" w:cstheme="majorBidi"/>
        </w:rPr>
        <w:t xml:space="preserve">(19), 8667. </w:t>
      </w:r>
      <w:hyperlink r:id="rId50" w:history="1">
        <w:r w:rsidRPr="002D0DD5">
          <w:rPr>
            <w:rFonts w:asciiTheme="majorBidi" w:hAnsiTheme="majorBidi" w:cstheme="majorBidi"/>
            <w:u w:val="single"/>
          </w:rPr>
          <w:t>https://doi.org/10.3390/su16198667</w:t>
        </w:r>
      </w:hyperlink>
      <w:r w:rsidRPr="002D0DD5">
        <w:rPr>
          <w:rFonts w:asciiTheme="majorBidi" w:hAnsiTheme="majorBidi" w:cstheme="majorBidi"/>
        </w:rPr>
        <w:t xml:space="preserve">  </w:t>
      </w:r>
    </w:p>
    <w:p w14:paraId="7B74B030"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Social Media Today.</w:t>
      </w:r>
      <w:r w:rsidRPr="002D0DD5">
        <w:rPr>
          <w:rFonts w:asciiTheme="majorBidi" w:hAnsiTheme="majorBidi" w:cstheme="majorBidi"/>
          <w:color w:val="EE0000"/>
        </w:rPr>
        <w:t xml:space="preserve"> (2025, July 8). </w:t>
      </w:r>
      <w:r w:rsidRPr="002D0DD5">
        <w:rPr>
          <w:rFonts w:asciiTheme="majorBidi" w:hAnsiTheme="majorBidi" w:cstheme="majorBidi"/>
          <w:i/>
          <w:iCs/>
          <w:color w:val="EE0000"/>
        </w:rPr>
        <w:t>Digital marketing statistics of 2025: H1 by the numbers</w:t>
      </w:r>
      <w:r w:rsidRPr="002D0DD5">
        <w:rPr>
          <w:rFonts w:asciiTheme="majorBidi" w:hAnsiTheme="majorBidi" w:cstheme="majorBidi"/>
          <w:color w:val="EE0000"/>
        </w:rPr>
        <w:t xml:space="preserve">. </w:t>
      </w:r>
      <w:hyperlink r:id="rId51" w:history="1">
        <w:r w:rsidRPr="002D0DD5">
          <w:rPr>
            <w:rFonts w:asciiTheme="majorBidi" w:hAnsiTheme="majorBidi" w:cstheme="majorBidi"/>
            <w:color w:val="EE0000"/>
            <w:u w:val="single"/>
          </w:rPr>
          <w:t>https://www.socialmediatoday.com/news/digital-marketing-statistics-2025-h1-by-the-numbers/752547/</w:t>
        </w:r>
      </w:hyperlink>
      <w:r w:rsidRPr="002D0DD5">
        <w:rPr>
          <w:rFonts w:asciiTheme="majorBidi" w:hAnsiTheme="majorBidi" w:cstheme="majorBidi"/>
          <w:color w:val="EE0000"/>
        </w:rPr>
        <w:t xml:space="preserve"> </w:t>
      </w:r>
    </w:p>
    <w:p w14:paraId="46981487" w14:textId="77777777" w:rsidR="002D0DD5" w:rsidRPr="002D0DD5" w:rsidRDefault="002D0DD5" w:rsidP="002D0DD5">
      <w:pPr>
        <w:spacing w:after="200" w:line="276" w:lineRule="auto"/>
        <w:ind w:left="720" w:hanging="720"/>
        <w:rPr>
          <w:rFonts w:asciiTheme="majorBidi" w:hAnsiTheme="majorBidi" w:cstheme="majorBidi"/>
          <w:color w:val="EE0000"/>
        </w:rPr>
      </w:pPr>
      <w:r w:rsidRPr="002D0DD5">
        <w:rPr>
          <w:rFonts w:asciiTheme="majorBidi" w:hAnsiTheme="majorBidi" w:cstheme="majorBidi"/>
          <w:b/>
          <w:bCs/>
          <w:color w:val="EE0000"/>
        </w:rPr>
        <w:t>Strategy&amp; (PwC Middle East).</w:t>
      </w:r>
      <w:r w:rsidRPr="002D0DD5">
        <w:rPr>
          <w:rFonts w:asciiTheme="majorBidi" w:hAnsiTheme="majorBidi" w:cstheme="majorBidi"/>
          <w:color w:val="EE0000"/>
        </w:rPr>
        <w:t xml:space="preserve"> (2024). </w:t>
      </w:r>
      <w:r w:rsidRPr="002D0DD5">
        <w:rPr>
          <w:rFonts w:asciiTheme="majorBidi" w:hAnsiTheme="majorBidi" w:cstheme="majorBidi"/>
          <w:i/>
          <w:iCs/>
          <w:color w:val="EE0000"/>
        </w:rPr>
        <w:t>Overcoming regional ecosystem challenges in AI</w:t>
      </w:r>
      <w:r w:rsidRPr="002D0DD5">
        <w:rPr>
          <w:rFonts w:asciiTheme="majorBidi" w:hAnsiTheme="majorBidi" w:cstheme="majorBidi"/>
          <w:color w:val="EE0000"/>
        </w:rPr>
        <w:t xml:space="preserve">. </w:t>
      </w:r>
      <w:hyperlink r:id="rId52" w:history="1">
        <w:r w:rsidRPr="002D0DD5">
          <w:rPr>
            <w:rFonts w:asciiTheme="majorBidi" w:hAnsiTheme="majorBidi" w:cstheme="majorBidi"/>
            <w:color w:val="EE0000"/>
            <w:u w:val="single"/>
          </w:rPr>
          <w:t>https://www.strategyand.pwc.com/m1/en/industries/technology/regional-ecosystem-challenges-in-ai.html</w:t>
        </w:r>
      </w:hyperlink>
      <w:r w:rsidRPr="002D0DD5">
        <w:rPr>
          <w:rFonts w:asciiTheme="majorBidi" w:hAnsiTheme="majorBidi" w:cstheme="majorBidi"/>
          <w:color w:val="EE0000"/>
        </w:rPr>
        <w:t xml:space="preserve"> </w:t>
      </w:r>
    </w:p>
    <w:p w14:paraId="535858E2"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Wang, Y., Sauka, K., &amp; Situmeang, F. B. I.</w:t>
      </w:r>
      <w:r w:rsidRPr="002D0DD5">
        <w:rPr>
          <w:rFonts w:asciiTheme="majorBidi" w:hAnsiTheme="majorBidi" w:cstheme="majorBidi"/>
        </w:rPr>
        <w:t xml:space="preserve"> (2025). Anthropomorphism and transparency interplay on consumer behaviour in generative AIdriven marketing communication. </w:t>
      </w:r>
      <w:r w:rsidRPr="002D0DD5">
        <w:rPr>
          <w:rFonts w:asciiTheme="majorBidi" w:hAnsiTheme="majorBidi" w:cstheme="majorBidi"/>
          <w:i/>
          <w:iCs/>
        </w:rPr>
        <w:t>Journal of Consumer Marketing, 42</w:t>
      </w:r>
      <w:r w:rsidRPr="002D0DD5">
        <w:rPr>
          <w:rFonts w:asciiTheme="majorBidi" w:hAnsiTheme="majorBidi" w:cstheme="majorBidi"/>
        </w:rPr>
        <w:t xml:space="preserve">(4), 512–536. </w:t>
      </w:r>
      <w:hyperlink r:id="rId53" w:history="1">
        <w:r w:rsidRPr="002D0DD5">
          <w:rPr>
            <w:rFonts w:asciiTheme="majorBidi" w:hAnsiTheme="majorBidi" w:cstheme="majorBidi"/>
            <w:u w:val="single"/>
          </w:rPr>
          <w:t>https://doi.org/10.1108/JCM-04-2024-6806</w:t>
        </w:r>
      </w:hyperlink>
      <w:r w:rsidRPr="002D0DD5">
        <w:rPr>
          <w:rFonts w:asciiTheme="majorBidi" w:hAnsiTheme="majorBidi" w:cstheme="majorBidi"/>
        </w:rPr>
        <w:t xml:space="preserve">  </w:t>
      </w:r>
    </w:p>
    <w:p w14:paraId="7F56A7C5"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b/>
          <w:bCs/>
        </w:rPr>
        <w:t>Zhao, X., Lynch, J. G., Jr., &amp; Chen, Q.</w:t>
      </w:r>
      <w:r w:rsidRPr="002D0DD5">
        <w:rPr>
          <w:rFonts w:asciiTheme="majorBidi" w:hAnsiTheme="majorBidi" w:cstheme="majorBidi"/>
        </w:rPr>
        <w:t xml:space="preserve"> (2010). Reconsidering Baron and Kenny: Myths and truths about mediation analysis. </w:t>
      </w:r>
      <w:r w:rsidRPr="002D0DD5">
        <w:rPr>
          <w:rFonts w:asciiTheme="majorBidi" w:hAnsiTheme="majorBidi" w:cstheme="majorBidi"/>
          <w:i/>
          <w:iCs/>
        </w:rPr>
        <w:t>Journal of Consumer Research, 37</w:t>
      </w:r>
      <w:r w:rsidRPr="002D0DD5">
        <w:rPr>
          <w:rFonts w:asciiTheme="majorBidi" w:hAnsiTheme="majorBidi" w:cstheme="majorBidi"/>
        </w:rPr>
        <w:t xml:space="preserve">(2), 197–206. </w:t>
      </w:r>
      <w:hyperlink r:id="rId54" w:history="1">
        <w:r w:rsidRPr="002D0DD5">
          <w:rPr>
            <w:rFonts w:asciiTheme="majorBidi" w:hAnsiTheme="majorBidi" w:cstheme="majorBidi"/>
            <w:u w:val="single"/>
          </w:rPr>
          <w:t>https://doi.org/10.1086/651257</w:t>
        </w:r>
      </w:hyperlink>
      <w:r w:rsidRPr="002D0DD5">
        <w:rPr>
          <w:rFonts w:asciiTheme="majorBidi" w:hAnsiTheme="majorBidi" w:cstheme="majorBidi"/>
        </w:rPr>
        <w:t xml:space="preserve">  </w:t>
      </w:r>
    </w:p>
    <w:p w14:paraId="3A6F3052" w14:textId="77777777" w:rsidR="002D0DD5" w:rsidRPr="002D0DD5" w:rsidRDefault="002D0DD5" w:rsidP="002D0DD5">
      <w:pPr>
        <w:spacing w:after="200" w:line="276" w:lineRule="auto"/>
        <w:ind w:left="720" w:hanging="720"/>
        <w:rPr>
          <w:rFonts w:asciiTheme="majorBidi" w:hAnsiTheme="majorBidi" w:cstheme="majorBidi"/>
        </w:rPr>
      </w:pPr>
      <w:r w:rsidRPr="002D0DD5">
        <w:rPr>
          <w:rFonts w:asciiTheme="majorBidi" w:hAnsiTheme="majorBidi" w:cstheme="majorBidi"/>
        </w:rPr>
        <w:t xml:space="preserve"> </w:t>
      </w:r>
    </w:p>
    <w:p w14:paraId="58FC407A" w14:textId="77777777" w:rsidR="002D0DD5" w:rsidRDefault="002D0DD5" w:rsidP="002D0DD5">
      <w:pPr>
        <w:bidi/>
        <w:spacing w:after="200" w:line="276" w:lineRule="auto"/>
        <w:jc w:val="both"/>
        <w:rPr>
          <w:rFonts w:ascii="Simplified Arabic" w:hAnsi="Simplified Arabic" w:cs="Simplified Arabic"/>
          <w:rtl/>
        </w:rPr>
      </w:pPr>
    </w:p>
    <w:sectPr w:rsidR="002D0DD5" w:rsidSect="00395E1F">
      <w:headerReference w:type="even" r:id="rId55"/>
      <w:headerReference w:type="default" r:id="rId56"/>
      <w:footerReference w:type="even" r:id="rId57"/>
      <w:footerReference w:type="default" r:id="rId58"/>
      <w:headerReference w:type="first" r:id="rId59"/>
      <w:footerReference w:type="first" r:id="rId6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50471B" w14:textId="77777777" w:rsidR="00886B50" w:rsidRDefault="00886B50" w:rsidP="00F628F0">
      <w:pPr>
        <w:spacing w:after="0" w:line="240" w:lineRule="auto"/>
      </w:pPr>
      <w:r>
        <w:separator/>
      </w:r>
    </w:p>
  </w:endnote>
  <w:endnote w:type="continuationSeparator" w:id="0">
    <w:p w14:paraId="42692599" w14:textId="77777777" w:rsidR="00886B50" w:rsidRDefault="00886B5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Naskh Arabic">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07896" w14:textId="77777777" w:rsidR="0045025F" w:rsidRDefault="0045025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EE23A21" w:rsidR="00883E09" w:rsidRPr="00883E09" w:rsidRDefault="00264677" w:rsidP="0045025F">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025F" w:rsidRPr="0045025F">
      <w:rPr>
        <w:rFonts w:ascii="Arial" w:hAnsi="Arial" w:cs="Arial"/>
        <w:b/>
        <w:bCs/>
        <w:color w:val="0070C0"/>
        <w:sz w:val="18"/>
        <w:szCs w:val="18"/>
        <w:rtl/>
      </w:rPr>
      <w:t xml:space="preserve"> </w:t>
    </w:r>
    <w:r w:rsidR="0045025F"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F171BD" w14:textId="77777777" w:rsidR="00886B50" w:rsidRDefault="00886B50" w:rsidP="00F628F0">
      <w:pPr>
        <w:spacing w:after="0" w:line="240" w:lineRule="auto"/>
      </w:pPr>
      <w:r>
        <w:separator/>
      </w:r>
    </w:p>
  </w:footnote>
  <w:footnote w:type="continuationSeparator" w:id="0">
    <w:p w14:paraId="188A978C" w14:textId="77777777" w:rsidR="00886B50" w:rsidRDefault="00886B5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886B50">
    <w:pPr>
      <w:pStyle w:val="a4"/>
    </w:pPr>
    <w:r>
      <w:rPr>
        <w:noProof/>
      </w:rPr>
      <w:pict w14:anchorId="72305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886B50">
    <w:pPr>
      <w:pStyle w:val="a4"/>
    </w:pPr>
    <w:r>
      <w:rPr>
        <w:noProof/>
      </w:rPr>
      <w:pict w14:anchorId="5B7E88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886B50">
        <w:pPr>
          <w:pStyle w:val="a4"/>
        </w:pPr>
        <w:r>
          <w:rPr>
            <w:noProof/>
          </w:rPr>
          <w:pict w14:anchorId="172A6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002F6"/>
    <w:multiLevelType w:val="hybridMultilevel"/>
    <w:tmpl w:val="FFFFFFFF"/>
    <w:lvl w:ilvl="0" w:tplc="A1B65FBE">
      <w:start w:val="1"/>
      <w:numFmt w:val="bullet"/>
      <w:lvlText w:val="•"/>
      <w:lvlJc w:val="right"/>
      <w:pPr>
        <w:ind w:right="720" w:hanging="260"/>
      </w:pPr>
    </w:lvl>
    <w:lvl w:ilvl="1" w:tplc="902C85B0">
      <w:numFmt w:val="decimal"/>
      <w:lvlText w:val=""/>
      <w:lvlJc w:val="left"/>
    </w:lvl>
    <w:lvl w:ilvl="2" w:tplc="33CEB5CA">
      <w:numFmt w:val="decimal"/>
      <w:lvlText w:val=""/>
      <w:lvlJc w:val="left"/>
    </w:lvl>
    <w:lvl w:ilvl="3" w:tplc="A7FACB16">
      <w:numFmt w:val="decimal"/>
      <w:lvlText w:val=""/>
      <w:lvlJc w:val="left"/>
    </w:lvl>
    <w:lvl w:ilvl="4" w:tplc="7EAAAC00">
      <w:numFmt w:val="decimal"/>
      <w:lvlText w:val=""/>
      <w:lvlJc w:val="left"/>
    </w:lvl>
    <w:lvl w:ilvl="5" w:tplc="17D0D3D8">
      <w:numFmt w:val="decimal"/>
      <w:lvlText w:val=""/>
      <w:lvlJc w:val="left"/>
    </w:lvl>
    <w:lvl w:ilvl="6" w:tplc="B6F2193A">
      <w:numFmt w:val="decimal"/>
      <w:lvlText w:val=""/>
      <w:lvlJc w:val="left"/>
    </w:lvl>
    <w:lvl w:ilvl="7" w:tplc="38A20624">
      <w:numFmt w:val="decimal"/>
      <w:lvlText w:val=""/>
      <w:lvlJc w:val="left"/>
    </w:lvl>
    <w:lvl w:ilvl="8" w:tplc="04E8AA0A">
      <w:numFmt w:val="decimal"/>
      <w:lvlText w:val=""/>
      <w:lvlJc w:val="left"/>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80E34"/>
    <w:multiLevelType w:val="hybridMultilevel"/>
    <w:tmpl w:val="FFFFFFFF"/>
    <w:lvl w:ilvl="0" w:tplc="0F686EEA">
      <w:start w:val="1"/>
      <w:numFmt w:val="decimal"/>
      <w:lvlText w:val="%1."/>
      <w:lvlJc w:val="right"/>
      <w:pPr>
        <w:ind w:right="720" w:hanging="260"/>
      </w:pPr>
    </w:lvl>
    <w:lvl w:ilvl="1" w:tplc="681A24DE">
      <w:numFmt w:val="decimal"/>
      <w:lvlText w:val=""/>
      <w:lvlJc w:val="left"/>
    </w:lvl>
    <w:lvl w:ilvl="2" w:tplc="C79A148E">
      <w:numFmt w:val="decimal"/>
      <w:lvlText w:val=""/>
      <w:lvlJc w:val="left"/>
    </w:lvl>
    <w:lvl w:ilvl="3" w:tplc="CF3A8A74">
      <w:numFmt w:val="decimal"/>
      <w:lvlText w:val=""/>
      <w:lvlJc w:val="left"/>
    </w:lvl>
    <w:lvl w:ilvl="4" w:tplc="1550F57C">
      <w:numFmt w:val="decimal"/>
      <w:lvlText w:val=""/>
      <w:lvlJc w:val="left"/>
    </w:lvl>
    <w:lvl w:ilvl="5" w:tplc="60A86B90">
      <w:numFmt w:val="decimal"/>
      <w:lvlText w:val=""/>
      <w:lvlJc w:val="left"/>
    </w:lvl>
    <w:lvl w:ilvl="6" w:tplc="F6CA2D9A">
      <w:numFmt w:val="decimal"/>
      <w:lvlText w:val=""/>
      <w:lvlJc w:val="left"/>
    </w:lvl>
    <w:lvl w:ilvl="7" w:tplc="BCF80B34">
      <w:numFmt w:val="decimal"/>
      <w:lvlText w:val=""/>
      <w:lvlJc w:val="left"/>
    </w:lvl>
    <w:lvl w:ilvl="8" w:tplc="09707934">
      <w:numFmt w:val="decimal"/>
      <w:lvlText w:val=""/>
      <w:lvlJc w:val="left"/>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1"/>
  </w:num>
  <w:num w:numId="3" w16cid:durableId="1539509467">
    <w:abstractNumId w:val="16"/>
  </w:num>
  <w:num w:numId="4" w16cid:durableId="1909067862">
    <w:abstractNumId w:val="13"/>
  </w:num>
  <w:num w:numId="5" w16cid:durableId="1679650334">
    <w:abstractNumId w:val="12"/>
  </w:num>
  <w:num w:numId="6" w16cid:durableId="592784671">
    <w:abstractNumId w:val="20"/>
  </w:num>
  <w:num w:numId="7" w16cid:durableId="435633386">
    <w:abstractNumId w:val="2"/>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1"/>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0"/>
  </w:num>
  <w:num w:numId="19" w16cid:durableId="919213346">
    <w:abstractNumId w:val="15"/>
  </w:num>
  <w:num w:numId="20" w16cid:durableId="1335955242">
    <w:abstractNumId w:val="14"/>
  </w:num>
  <w:num w:numId="21" w16cid:durableId="1316956123">
    <w:abstractNumId w:val="17"/>
    <w:lvlOverride w:ilvl="0">
      <w:startOverride w:val="1"/>
    </w:lvlOverride>
  </w:num>
  <w:num w:numId="22" w16cid:durableId="1904103729">
    <w:abstractNumId w:val="3"/>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22442"/>
    <w:rsid w:val="000252C0"/>
    <w:rsid w:val="00027A34"/>
    <w:rsid w:val="000322E7"/>
    <w:rsid w:val="000343D5"/>
    <w:rsid w:val="00044CFD"/>
    <w:rsid w:val="0005238F"/>
    <w:rsid w:val="000528EF"/>
    <w:rsid w:val="0005455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04C2B"/>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CB8"/>
    <w:rsid w:val="002010FC"/>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0DD5"/>
    <w:rsid w:val="002D3349"/>
    <w:rsid w:val="002D46ED"/>
    <w:rsid w:val="002D638C"/>
    <w:rsid w:val="002D68BB"/>
    <w:rsid w:val="002D72E5"/>
    <w:rsid w:val="002E03CF"/>
    <w:rsid w:val="002E33D3"/>
    <w:rsid w:val="002E7312"/>
    <w:rsid w:val="002E7D73"/>
    <w:rsid w:val="002F0EEA"/>
    <w:rsid w:val="002F20A7"/>
    <w:rsid w:val="002F20B5"/>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5025F"/>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0B1E"/>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54FEB"/>
    <w:rsid w:val="007565F1"/>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6B5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97F9A"/>
    <w:rsid w:val="009A22B4"/>
    <w:rsid w:val="009B3649"/>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5EDA"/>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5018"/>
    <w:rsid w:val="00D66F8C"/>
    <w:rsid w:val="00D70797"/>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97/Comm.2-1.5" TargetMode="External"/><Relationship Id="rId18" Type="http://schemas.openxmlformats.org/officeDocument/2006/relationships/hyperlink" Target="https://doi.org/10.36325/ghjec.v20i3.16786" TargetMode="External"/><Relationship Id="rId26" Type="http://schemas.openxmlformats.org/officeDocument/2006/relationships/hyperlink" Target="https://doi.org/10.5267/j.ijdns.2024.7.006" TargetMode="External"/><Relationship Id="rId39" Type="http://schemas.openxmlformats.org/officeDocument/2006/relationships/hyperlink" Target="https://doi.org/10.3390/computers13070168" TargetMode="External"/><Relationship Id="rId21" Type="http://schemas.openxmlformats.org/officeDocument/2006/relationships/hyperlink" Target="https://sdaia.gov.sa/ar/MediaCenter/KnowledgeCenter/Pages/SDAIAPublications.aspx" TargetMode="External"/><Relationship Id="rId34" Type="http://schemas.openxmlformats.org/officeDocument/2006/relationships/hyperlink" Target="https://doi.org/10.1016/j.ijinfomgt.2023.102642" TargetMode="External"/><Relationship Id="rId42" Type="http://schemas.openxmlformats.org/officeDocument/2006/relationships/hyperlink" Target="https://doi.org/10.1016/j.ijinfomgt.2023.102716" TargetMode="External"/><Relationship Id="rId47" Type="http://schemas.openxmlformats.org/officeDocument/2006/relationships/hyperlink" Target="https://www.calstatela.edu/business/businessforum/business-forum-vol-30-issue-2" TargetMode="External"/><Relationship Id="rId50" Type="http://schemas.openxmlformats.org/officeDocument/2006/relationships/hyperlink" Target="https://doi.org/10.3390/su1619866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59670/ml.v20iS3.3768" TargetMode="External"/><Relationship Id="rId11" Type="http://schemas.openxmlformats.org/officeDocument/2006/relationships/hyperlink" Target="https://doi.org/10.21608/jsb.2023.230616.1633" TargetMode="External"/><Relationship Id="rId24" Type="http://schemas.openxmlformats.org/officeDocument/2006/relationships/hyperlink" Target="https://mc.gov.sa/ar/mediacenter/News/Pages/07-04-26-01.aspx" TargetMode="External"/><Relationship Id="rId32" Type="http://schemas.openxmlformats.org/officeDocument/2006/relationships/hyperlink" Target="https://doi.org/10.69648/EYZI2281" TargetMode="External"/><Relationship Id="rId37" Type="http://schemas.openxmlformats.org/officeDocument/2006/relationships/hyperlink" Target="https://doi.org/10.2478/nimmir-2024-0002" TargetMode="External"/><Relationship Id="rId40" Type="http://schemas.openxmlformats.org/officeDocument/2006/relationships/hyperlink" Target="https://doi.org/10.21541/apjess.1398155" TargetMode="External"/><Relationship Id="rId45" Type="http://schemas.openxmlformats.org/officeDocument/2006/relationships/hyperlink" Target="https://www.mckinsey.com/capabilities/quantumblack/our-insights/the-state-of-gen-ai-in-the-middle-easts-gcc-countries-a-2024-report-card" TargetMode="External"/><Relationship Id="rId53" Type="http://schemas.openxmlformats.org/officeDocument/2006/relationships/hyperlink" Target="https://doi.org/10.1108/JCM-04-2024-6806"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59994/pau.2025.2.161" TargetMode="External"/><Relationship Id="rId14" Type="http://schemas.openxmlformats.org/officeDocument/2006/relationships/hyperlink" Target="https://doi.org/10.21608/jsasc.2024.335098.1016" TargetMode="External"/><Relationship Id="rId22" Type="http://schemas.openxmlformats.org/officeDocument/2006/relationships/hyperlink" Target="https://investment.gmedia.gov.sa/details/advertising.html" TargetMode="External"/><Relationship Id="rId27" Type="http://schemas.openxmlformats.org/officeDocument/2006/relationships/hyperlink" Target="https://doi.org/10.26389/AJSRP.L180924" TargetMode="External"/><Relationship Id="rId30" Type="http://schemas.openxmlformats.org/officeDocument/2006/relationships/hyperlink" Target="https://doi.org/10.3389/frai.2025.1541678" TargetMode="External"/><Relationship Id="rId35" Type="http://schemas.openxmlformats.org/officeDocument/2006/relationships/hyperlink" Target="https://doi.org/10.11648/j.ajtas.20160501.11" TargetMode="External"/><Relationship Id="rId43" Type="http://schemas.openxmlformats.org/officeDocument/2006/relationships/hyperlink" Target="https://doi.org/10.30574/gscarr.2025.23.3.0145" TargetMode="External"/><Relationship Id="rId48" Type="http://schemas.openxmlformats.org/officeDocument/2006/relationships/hyperlink" Target="https://doi.org/10.1037/0021-9010.88.5.879"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socialmediatoday.com/news/digital-marketing-statistics-2025-h1-by-the-numbers/752547/" TargetMode="External"/><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abdulrahmanalotaibi.sa/%D8%A7%D8%AD%D8%B5%D8%A7%D8%A6%D9%8A%D8%A7%D8%AA-%D8%B9%D9%86-%D8%A7%D9%84%D8%AA%D8%B3%D9%88%D9%8A%D9%82-%D8%A7%D9%84%D8%A7%D9%84%D9%83%D8%AA%D8%B1%D9%88%D9%86%D9%8A/" TargetMode="External"/><Relationship Id="rId25" Type="http://schemas.openxmlformats.org/officeDocument/2006/relationships/hyperlink" Target="https://doi.org/10.1016/j.ijme.2024.101105" TargetMode="External"/><Relationship Id="rId33" Type="http://schemas.openxmlformats.org/officeDocument/2006/relationships/hyperlink" Target="https://doi.org/10.1002/smj.3677" TargetMode="External"/><Relationship Id="rId38" Type="http://schemas.openxmlformats.org/officeDocument/2006/relationships/hyperlink" Target="https://iabtechlab.com/iab-tech-lab-releases-ai-in-advertising-primer/" TargetMode="External"/><Relationship Id="rId46" Type="http://schemas.openxmlformats.org/officeDocument/2006/relationships/hyperlink" Target="https://doi.org/10.63332/joph.v5i6.2596" TargetMode="External"/><Relationship Id="rId59" Type="http://schemas.openxmlformats.org/officeDocument/2006/relationships/header" Target="header3.xml"/><Relationship Id="rId20" Type="http://schemas.openxmlformats.org/officeDocument/2006/relationships/hyperlink" Target="https://asbar.com/report/%D8%AA%D9%82%D8%B1%D9%8A%D8%B1-%D8%B1%D9%82%D9%85-115/" TargetMode="External"/><Relationship Id="rId41" Type="http://schemas.openxmlformats.org/officeDocument/2006/relationships/hyperlink" Target="https://doi.org/10.4018/ijec.2015100101" TargetMode="External"/><Relationship Id="rId54" Type="http://schemas.openxmlformats.org/officeDocument/2006/relationships/hyperlink" Target="https://doi.org/10.1086/65125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 TargetMode="External"/><Relationship Id="rId23" Type="http://schemas.openxmlformats.org/officeDocument/2006/relationships/hyperlink" Target="https://business.sa/eservices/details/3871715e-ab32-4b90-e2c3-08dc6d4c5607" TargetMode="External"/><Relationship Id="rId28" Type="http://schemas.openxmlformats.org/officeDocument/2006/relationships/hyperlink" Target="https://doi.org/10.1016/j.chb.2020.106548" TargetMode="External"/><Relationship Id="rId36" Type="http://schemas.openxmlformats.org/officeDocument/2006/relationships/hyperlink" Target="https://doi.org/10.14445/22312803/IJCTT-V72I5P106" TargetMode="External"/><Relationship Id="rId49" Type="http://schemas.openxmlformats.org/officeDocument/2006/relationships/hyperlink" Target="https://sdaia.gov.sa/en/SDAIA/about/Files/GenerativeAIPublicEN.pdf" TargetMode="External"/><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nim.org/en/research/projects-overview/detail-research-project/beyond-the-buzz-creating-marketing-value-with-generative-ai-research-report" TargetMode="External"/><Relationship Id="rId44" Type="http://schemas.openxmlformats.org/officeDocument/2006/relationships/hyperlink" Target="https://doi.org/10.33168/JSMS.2024.0108" TargetMode="External"/><Relationship Id="rId52" Type="http://schemas.openxmlformats.org/officeDocument/2006/relationships/hyperlink" Target="https://www.strategyand.pwc.com/m1/en/industries/technology/regional-ecosystem-challenges-in-ai.html"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87</Pages>
  <Words>27830</Words>
  <Characters>158635</Characters>
  <Application>Microsoft Office Word</Application>
  <DocSecurity>0</DocSecurity>
  <Lines>1321</Lines>
  <Paragraphs>372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3</cp:revision>
  <cp:lastPrinted>2025-07-06T06:14:00Z</cp:lastPrinted>
  <dcterms:created xsi:type="dcterms:W3CDTF">2026-08-09T15:17:00Z</dcterms:created>
  <dcterms:modified xsi:type="dcterms:W3CDTF">2026-08-09T15:20:00Z</dcterms:modified>
</cp:coreProperties>
</file>