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D235" w14:textId="77777777" w:rsidR="00D33CA6" w:rsidRDefault="00D33CA6" w:rsidP="00F5781A">
      <w:pPr>
        <w:bidi/>
        <w:spacing w:line="240" w:lineRule="auto"/>
        <w:ind w:hanging="283"/>
        <w:jc w:val="both"/>
        <w:rPr>
          <w:rFonts w:ascii="ae_Cortoba" w:hAnsi="ae_Cortoba" w:cs="ae_Cortoba"/>
          <w:b/>
          <w:bCs/>
          <w:color w:val="548DD4" w:themeColor="text2" w:themeTint="99"/>
          <w:sz w:val="40"/>
          <w:szCs w:val="40"/>
        </w:rPr>
      </w:pPr>
    </w:p>
    <w:p w14:paraId="03AA2888" w14:textId="41FC90EE" w:rsidR="007A31DC" w:rsidRDefault="00264677" w:rsidP="00D33CA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41258472" w:rsidR="00395E1F" w:rsidRPr="00395E1F" w:rsidRDefault="00395E1F" w:rsidP="00395E1F">
      <w:pPr>
        <w:bidi/>
        <w:jc w:val="center"/>
        <w:rPr>
          <w:rFonts w:ascii="Arial" w:hAnsi="Arial" w:cs="Akhbar MT"/>
          <w:b/>
          <w:bCs/>
          <w:sz w:val="44"/>
          <w:szCs w:val="44"/>
          <w:rtl/>
        </w:rPr>
      </w:pPr>
    </w:p>
    <w:p w14:paraId="1A9CD56B" w14:textId="6E239A8A" w:rsidR="007A31DC" w:rsidRPr="00BE609B" w:rsidRDefault="00640912" w:rsidP="00BE609B">
      <w:pPr>
        <w:bidi/>
        <w:jc w:val="center"/>
        <w:rPr>
          <w:rFonts w:ascii="Arial" w:hAnsi="Arial" w:cs="Monotype Koufi"/>
          <w:b/>
          <w:bCs/>
          <w:sz w:val="44"/>
          <w:szCs w:val="44"/>
          <w:rtl/>
        </w:rPr>
      </w:pPr>
      <w:r>
        <w:rPr>
          <w:rFonts w:ascii="Arial" w:hAnsi="Arial" w:cs="Monotype Koufi" w:hint="cs"/>
          <w:b/>
          <w:bCs/>
          <w:sz w:val="44"/>
          <w:szCs w:val="44"/>
          <w:rtl/>
        </w:rPr>
        <w:t>بحث علمي</w:t>
      </w:r>
      <w:r w:rsidR="00BE609B">
        <w:rPr>
          <w:rFonts w:ascii="Arial" w:hAnsi="Arial" w:cs="Monotype Koufi" w:hint="cs"/>
          <w:b/>
          <w:bCs/>
          <w:sz w:val="44"/>
          <w:szCs w:val="44"/>
          <w:rtl/>
        </w:rPr>
        <w:t xml:space="preserve"> </w:t>
      </w:r>
      <w:r w:rsidR="007A31DC" w:rsidRPr="007A31DC">
        <w:rPr>
          <w:rFonts w:ascii="Arial" w:hAnsi="Arial" w:cs="Arial" w:hint="cs"/>
          <w:b/>
          <w:bCs/>
          <w:sz w:val="44"/>
          <w:szCs w:val="44"/>
          <w:rtl/>
        </w:rPr>
        <w:t>لتسجيل 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6DB560E6" w:rsidR="00BE609B" w:rsidRPr="004A45AD" w:rsidRDefault="004A45AD" w:rsidP="004A45AD">
      <w:pPr>
        <w:spacing w:line="480" w:lineRule="auto"/>
        <w:ind w:left="534" w:hanging="340"/>
        <w:jc w:val="right"/>
        <w:rPr>
          <w:rFonts w:asciiTheme="minorBidi" w:eastAsia="Times New Roman" w:hAnsiTheme="minorBidi"/>
          <w:b/>
          <w:bCs/>
          <w:color w:val="0070C0"/>
          <w:sz w:val="28"/>
          <w:szCs w:val="28"/>
          <w:rtl/>
        </w:rPr>
      </w:pPr>
      <w:r w:rsidRPr="004A45AD">
        <w:rPr>
          <w:rFonts w:asciiTheme="minorBidi" w:eastAsia="Times New Roman" w:hAnsiTheme="minorBidi"/>
          <w:b/>
          <w:bCs/>
          <w:color w:val="0070C0"/>
          <w:sz w:val="28"/>
          <w:szCs w:val="28"/>
          <w:rtl/>
        </w:rPr>
        <w:t>أثر تطبيق مبادئ الاستدامة على أداء المشاريع الإنشائية: دراسة تطبيقية على الشركات الإنشائية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3AF2BCD8"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32B64D6C" w14:textId="352BD5C9" w:rsidR="008754A3" w:rsidRPr="0021489E" w:rsidRDefault="004A45AD" w:rsidP="008754A3">
      <w:pPr>
        <w:pStyle w:val="NormalWeb"/>
        <w:bidi/>
        <w:spacing w:before="0" w:beforeAutospacing="0" w:after="0" w:afterAutospacing="0" w:line="480" w:lineRule="auto"/>
        <w:ind w:right="-270"/>
        <w:jc w:val="right"/>
        <w:rPr>
          <w:rFonts w:ascii="Traditional Arabic" w:hAnsi="Traditional Arabic" w:cs="Traditional Arabic"/>
          <w:b/>
          <w:bCs/>
          <w:color w:val="0070C0"/>
          <w:sz w:val="28"/>
          <w:szCs w:val="28"/>
          <w:rtl/>
        </w:rPr>
      </w:pPr>
      <w:r w:rsidRPr="004A45AD">
        <w:rPr>
          <w:rFonts w:ascii="Traditional Arabic" w:hAnsi="Traditional Arabic" w:cs="Traditional Arabic"/>
          <w:b/>
          <w:bCs/>
          <w:color w:val="0070C0"/>
          <w:sz w:val="28"/>
          <w:szCs w:val="28"/>
        </w:rPr>
        <w:t>The Impact of Applying Sustainability Principles on Construction Project Performance: An Applied Study of Saudi Construction Companies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471A7140" w:rsidR="004B484B" w:rsidRPr="004B484B" w:rsidRDefault="006A3529" w:rsidP="006A3529">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2D7F33B" w:rsidR="004B484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عبدالله عايد الحربي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19FADAFF" w:rsidR="00BE609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241002419</w:t>
            </w:r>
          </w:p>
        </w:tc>
      </w:tr>
      <w:tr w:rsidR="004B484B" w14:paraId="627B39DB" w14:textId="0373C5D2" w:rsidTr="00BE609B">
        <w:tc>
          <w:tcPr>
            <w:tcW w:w="1763" w:type="dxa"/>
          </w:tcPr>
          <w:p w14:paraId="0FCA9608" w14:textId="142E9091" w:rsidR="004B484B" w:rsidRPr="004B484B" w:rsidRDefault="006A3529"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B85CA3" w:rsidR="004B484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5424B82" w14:textId="77C13A44" w:rsidR="009701C8" w:rsidRDefault="00883E09" w:rsidP="0021489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17A3A">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017A3A">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190B870" w14:textId="0A5A971F" w:rsidR="00626EDA" w:rsidRDefault="00D4553D" w:rsidP="00705F51">
      <w:pPr>
        <w:bidi/>
        <w:spacing w:after="200" w:line="480" w:lineRule="auto"/>
        <w:rPr>
          <w:rFonts w:ascii="Traditional Arabic" w:hAnsi="Traditional Arabic" w:cs="Traditional Arabic"/>
          <w:b/>
          <w:bCs/>
          <w:sz w:val="32"/>
          <w:szCs w:val="32"/>
          <w:u w:val="single"/>
          <w:rtl/>
        </w:rPr>
      </w:pPr>
      <w:r w:rsidRPr="00D4553D">
        <w:rPr>
          <w:rFonts w:ascii="Traditional Arabic" w:hAnsi="Traditional Arabic" w:cs="Traditional Arabic" w:hint="cs"/>
          <w:b/>
          <w:bCs/>
          <w:sz w:val="32"/>
          <w:szCs w:val="32"/>
          <w:u w:val="single"/>
          <w:rtl/>
        </w:rPr>
        <w:lastRenderedPageBreak/>
        <w:t>الف</w:t>
      </w:r>
      <w:r>
        <w:rPr>
          <w:rFonts w:ascii="Traditional Arabic" w:hAnsi="Traditional Arabic" w:cs="Traditional Arabic" w:hint="cs"/>
          <w:b/>
          <w:bCs/>
          <w:sz w:val="32"/>
          <w:szCs w:val="32"/>
          <w:u w:val="single"/>
          <w:rtl/>
        </w:rPr>
        <w:t>ـــ</w:t>
      </w:r>
      <w:r w:rsidRPr="00D4553D">
        <w:rPr>
          <w:rFonts w:ascii="Traditional Arabic" w:hAnsi="Traditional Arabic" w:cs="Traditional Arabic" w:hint="cs"/>
          <w:b/>
          <w:bCs/>
          <w:sz w:val="32"/>
          <w:szCs w:val="32"/>
          <w:u w:val="single"/>
          <w:rtl/>
        </w:rPr>
        <w:t>ه</w:t>
      </w:r>
      <w:r>
        <w:rPr>
          <w:rFonts w:ascii="Traditional Arabic" w:hAnsi="Traditional Arabic" w:cs="Traditional Arabic" w:hint="cs"/>
          <w:b/>
          <w:bCs/>
          <w:sz w:val="32"/>
          <w:szCs w:val="32"/>
          <w:u w:val="single"/>
          <w:rtl/>
        </w:rPr>
        <w:t>ــ</w:t>
      </w:r>
      <w:r w:rsidRPr="00D4553D">
        <w:rPr>
          <w:rFonts w:ascii="Traditional Arabic" w:hAnsi="Traditional Arabic" w:cs="Traditional Arabic" w:hint="cs"/>
          <w:b/>
          <w:bCs/>
          <w:sz w:val="32"/>
          <w:szCs w:val="32"/>
          <w:u w:val="single"/>
          <w:rtl/>
        </w:rPr>
        <w:t>رس</w:t>
      </w:r>
      <w:r>
        <w:rPr>
          <w:rFonts w:ascii="Traditional Arabic" w:hAnsi="Traditional Arabic" w:cs="Traditional Arabic" w:hint="cs"/>
          <w:b/>
          <w:bCs/>
          <w:sz w:val="32"/>
          <w:szCs w:val="32"/>
          <w:u w:val="single"/>
          <w:rtl/>
        </w:rPr>
        <w:t>:</w:t>
      </w:r>
    </w:p>
    <w:tbl>
      <w:tblPr>
        <w:tblStyle w:val="PlainTable1"/>
        <w:tblW w:w="9727" w:type="dxa"/>
        <w:tblInd w:w="-714" w:type="dxa"/>
        <w:tblLook w:val="04A0" w:firstRow="1" w:lastRow="0" w:firstColumn="1" w:lastColumn="0" w:noHBand="0" w:noVBand="1"/>
      </w:tblPr>
      <w:tblGrid>
        <w:gridCol w:w="1278"/>
        <w:gridCol w:w="7511"/>
        <w:gridCol w:w="938"/>
      </w:tblGrid>
      <w:tr w:rsidR="00063CE9" w:rsidRPr="00BF4A85" w14:paraId="49CCFD9A" w14:textId="77777777" w:rsidTr="00A20DAC">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278" w:type="dxa"/>
            <w:hideMark/>
          </w:tcPr>
          <w:p w14:paraId="5D5402A5" w14:textId="598AAE2E" w:rsidR="00BF4A85" w:rsidRPr="00BF4A85" w:rsidRDefault="00BF4A85" w:rsidP="00A7297B">
            <w:pPr>
              <w:bidi/>
              <w:spacing w:after="200" w:line="276" w:lineRule="auto"/>
              <w:rPr>
                <w:rFonts w:asciiTheme="majorBidi" w:hAnsiTheme="majorBidi" w:cstheme="majorBidi"/>
                <w:sz w:val="24"/>
                <w:szCs w:val="24"/>
              </w:rPr>
            </w:pPr>
            <w:r w:rsidRPr="00BF4A85">
              <w:rPr>
                <w:rFonts w:asciiTheme="majorBidi" w:hAnsiTheme="majorBidi" w:cstheme="majorBidi"/>
                <w:sz w:val="24"/>
                <w:szCs w:val="24"/>
                <w:rtl/>
              </w:rPr>
              <w:t>رقم الصفحة</w:t>
            </w:r>
          </w:p>
        </w:tc>
        <w:tc>
          <w:tcPr>
            <w:tcW w:w="7511" w:type="dxa"/>
          </w:tcPr>
          <w:p w14:paraId="7AF66348" w14:textId="25FF5143" w:rsidR="00BF4A85" w:rsidRPr="00BF4A85" w:rsidRDefault="00BF4A85" w:rsidP="00A7297B">
            <w:pPr>
              <w:bidi/>
              <w:spacing w:after="200"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BF4A85">
              <w:rPr>
                <w:rFonts w:asciiTheme="majorBidi" w:hAnsiTheme="majorBidi" w:cstheme="majorBidi"/>
                <w:sz w:val="24"/>
                <w:szCs w:val="24"/>
                <w:rtl/>
              </w:rPr>
              <w:t>العنوان</w:t>
            </w:r>
          </w:p>
        </w:tc>
        <w:tc>
          <w:tcPr>
            <w:tcW w:w="938" w:type="dxa"/>
          </w:tcPr>
          <w:p w14:paraId="594BBE36" w14:textId="77777777" w:rsidR="00BF4A85" w:rsidRPr="00BF4A85" w:rsidRDefault="00BF4A85" w:rsidP="00A7297B">
            <w:pPr>
              <w:bidi/>
              <w:spacing w:after="200"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BF4A85">
              <w:rPr>
                <w:rFonts w:asciiTheme="majorBidi" w:hAnsiTheme="majorBidi" w:cstheme="majorBidi"/>
                <w:sz w:val="24"/>
                <w:szCs w:val="24"/>
                <w:rtl/>
              </w:rPr>
              <w:t>الرقم</w:t>
            </w:r>
          </w:p>
        </w:tc>
      </w:tr>
      <w:tr w:rsidR="00D52585" w:rsidRPr="00BF4A85" w14:paraId="132A2047" w14:textId="77777777" w:rsidTr="0005566B">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1278" w:type="dxa"/>
            <w:shd w:val="clear" w:color="auto" w:fill="BFBFBF" w:themeFill="background1" w:themeFillShade="BF"/>
          </w:tcPr>
          <w:p w14:paraId="12452F99" w14:textId="09914C89" w:rsidR="00D52585" w:rsidRDefault="00E6075C" w:rsidP="00A7297B">
            <w:pPr>
              <w:bidi/>
              <w:spacing w:after="200" w:line="276" w:lineRule="auto"/>
              <w:jc w:val="center"/>
              <w:rPr>
                <w:rFonts w:asciiTheme="majorBidi" w:hAnsiTheme="majorBidi" w:cstheme="majorBidi" w:hint="cs"/>
                <w:sz w:val="24"/>
                <w:szCs w:val="24"/>
                <w:rtl/>
              </w:rPr>
            </w:pPr>
            <w:r>
              <w:rPr>
                <w:rFonts w:asciiTheme="majorBidi" w:hAnsiTheme="majorBidi" w:cstheme="majorBidi" w:hint="cs"/>
                <w:sz w:val="24"/>
                <w:szCs w:val="24"/>
                <w:rtl/>
              </w:rPr>
              <w:t>3</w:t>
            </w:r>
          </w:p>
        </w:tc>
        <w:tc>
          <w:tcPr>
            <w:tcW w:w="7511" w:type="dxa"/>
            <w:shd w:val="clear" w:color="auto" w:fill="BFBFBF" w:themeFill="background1" w:themeFillShade="BF"/>
          </w:tcPr>
          <w:p w14:paraId="033FA8AC" w14:textId="6FE58D56" w:rsidR="00D52585" w:rsidRDefault="00D52585"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 xml:space="preserve">الفصل الاول </w:t>
            </w:r>
          </w:p>
        </w:tc>
        <w:tc>
          <w:tcPr>
            <w:tcW w:w="938" w:type="dxa"/>
            <w:shd w:val="clear" w:color="auto" w:fill="BFBFBF" w:themeFill="background1" w:themeFillShade="BF"/>
          </w:tcPr>
          <w:p w14:paraId="3C3688C7" w14:textId="1CA013B9" w:rsidR="00D52585" w:rsidRDefault="00D52585"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1</w:t>
            </w:r>
          </w:p>
        </w:tc>
      </w:tr>
      <w:tr w:rsidR="00CC2042" w:rsidRPr="00BF4A85" w14:paraId="18DF647A" w14:textId="77777777" w:rsidTr="00A20DAC">
        <w:trPr>
          <w:trHeight w:val="374"/>
        </w:trPr>
        <w:tc>
          <w:tcPr>
            <w:cnfStyle w:val="001000000000" w:firstRow="0" w:lastRow="0" w:firstColumn="1" w:lastColumn="0" w:oddVBand="0" w:evenVBand="0" w:oddHBand="0" w:evenHBand="0" w:firstRowFirstColumn="0" w:firstRowLastColumn="0" w:lastRowFirstColumn="0" w:lastRowLastColumn="0"/>
            <w:tcW w:w="1278" w:type="dxa"/>
            <w:hideMark/>
          </w:tcPr>
          <w:p w14:paraId="5829CA92" w14:textId="606EE551" w:rsidR="00BF4A85" w:rsidRPr="00BF4A85" w:rsidRDefault="00E6075C" w:rsidP="00A7297B">
            <w:pPr>
              <w:bidi/>
              <w:spacing w:after="200" w:line="276" w:lineRule="auto"/>
              <w:jc w:val="center"/>
              <w:rPr>
                <w:rFonts w:asciiTheme="majorBidi" w:hAnsiTheme="majorBidi" w:cstheme="majorBidi"/>
                <w:sz w:val="24"/>
                <w:szCs w:val="24"/>
                <w:rtl/>
              </w:rPr>
            </w:pPr>
            <w:r>
              <w:rPr>
                <w:rFonts w:asciiTheme="majorBidi" w:hAnsiTheme="majorBidi" w:cstheme="majorBidi" w:hint="cs"/>
                <w:sz w:val="24"/>
                <w:szCs w:val="24"/>
                <w:rtl/>
              </w:rPr>
              <w:t>4</w:t>
            </w:r>
          </w:p>
        </w:tc>
        <w:tc>
          <w:tcPr>
            <w:tcW w:w="7511" w:type="dxa"/>
          </w:tcPr>
          <w:p w14:paraId="564D23C5" w14:textId="5B135450" w:rsidR="00BF4A85" w:rsidRPr="00BF4A85" w:rsidRDefault="00063CE9"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مقدمة الدراسة</w:t>
            </w:r>
          </w:p>
        </w:tc>
        <w:tc>
          <w:tcPr>
            <w:tcW w:w="938" w:type="dxa"/>
          </w:tcPr>
          <w:p w14:paraId="68622983" w14:textId="355059D3" w:rsidR="00BF4A85" w:rsidRPr="00BF4A85" w:rsidRDefault="00BF4A85"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w:t>
            </w:r>
            <w:r w:rsidR="00A20DAC">
              <w:rPr>
                <w:rFonts w:asciiTheme="majorBidi" w:hAnsiTheme="majorBidi" w:cstheme="majorBidi" w:hint="cs"/>
                <w:b/>
                <w:bCs/>
                <w:sz w:val="24"/>
                <w:szCs w:val="24"/>
                <w:rtl/>
              </w:rPr>
              <w:t>-1</w:t>
            </w:r>
            <w:r w:rsidR="00E6075C">
              <w:rPr>
                <w:rFonts w:asciiTheme="majorBidi" w:hAnsiTheme="majorBidi" w:cstheme="majorBidi" w:hint="cs"/>
                <w:b/>
                <w:bCs/>
                <w:sz w:val="24"/>
                <w:szCs w:val="24"/>
                <w:rtl/>
              </w:rPr>
              <w:t>-1</w:t>
            </w:r>
          </w:p>
        </w:tc>
      </w:tr>
      <w:tr w:rsidR="00CC2042" w:rsidRPr="00BF4A85" w14:paraId="492BB86E" w14:textId="77777777" w:rsidTr="00A20DAC">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278" w:type="dxa"/>
            <w:hideMark/>
          </w:tcPr>
          <w:p w14:paraId="4D1E66A6" w14:textId="1C59DBAB"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6</w:t>
            </w:r>
          </w:p>
        </w:tc>
        <w:tc>
          <w:tcPr>
            <w:tcW w:w="7511" w:type="dxa"/>
          </w:tcPr>
          <w:p w14:paraId="2254CF57" w14:textId="1ABBD7EA" w:rsidR="00BF4A85" w:rsidRPr="00BF4A85" w:rsidRDefault="00063CE9"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مشكلة الدراسة وأسئلتها</w:t>
            </w:r>
          </w:p>
        </w:tc>
        <w:tc>
          <w:tcPr>
            <w:tcW w:w="938" w:type="dxa"/>
          </w:tcPr>
          <w:p w14:paraId="2AA2F8B3" w14:textId="6419F7C8" w:rsidR="00BF4A85" w:rsidRPr="00BF4A85" w:rsidRDefault="00E6075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w:t>
            </w:r>
            <w:r w:rsidR="00A20DAC">
              <w:rPr>
                <w:rFonts w:asciiTheme="majorBidi" w:hAnsiTheme="majorBidi" w:cstheme="majorBidi" w:hint="cs"/>
                <w:b/>
                <w:bCs/>
                <w:sz w:val="24"/>
                <w:szCs w:val="24"/>
                <w:rtl/>
              </w:rPr>
              <w:t>1-2</w:t>
            </w:r>
          </w:p>
        </w:tc>
      </w:tr>
      <w:tr w:rsidR="00CC2042" w:rsidRPr="00BF4A85" w14:paraId="07B9B2B1" w14:textId="77777777" w:rsidTr="00A20DAC">
        <w:trPr>
          <w:trHeight w:val="570"/>
        </w:trPr>
        <w:tc>
          <w:tcPr>
            <w:cnfStyle w:val="001000000000" w:firstRow="0" w:lastRow="0" w:firstColumn="1" w:lastColumn="0" w:oddVBand="0" w:evenVBand="0" w:oddHBand="0" w:evenHBand="0" w:firstRowFirstColumn="0" w:firstRowLastColumn="0" w:lastRowFirstColumn="0" w:lastRowLastColumn="0"/>
            <w:tcW w:w="1278" w:type="dxa"/>
            <w:hideMark/>
          </w:tcPr>
          <w:p w14:paraId="2D4F1FCA" w14:textId="276CCFF2"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8</w:t>
            </w:r>
          </w:p>
        </w:tc>
        <w:tc>
          <w:tcPr>
            <w:tcW w:w="7511" w:type="dxa"/>
          </w:tcPr>
          <w:p w14:paraId="4F835B54" w14:textId="155459CD" w:rsidR="00BF4A85" w:rsidRPr="00BF4A85" w:rsidRDefault="00063CE9"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أهمية الدراسة (النظرية</w:t>
            </w:r>
            <w:r w:rsidR="000754F9">
              <w:rPr>
                <w:rFonts w:asciiTheme="majorBidi" w:hAnsiTheme="majorBidi" w:cstheme="majorBidi" w:hint="cs"/>
                <w:b/>
                <w:bCs/>
                <w:sz w:val="24"/>
                <w:szCs w:val="24"/>
                <w:rtl/>
              </w:rPr>
              <w:t xml:space="preserve"> و التطبيقية</w:t>
            </w:r>
            <w:r>
              <w:rPr>
                <w:rFonts w:asciiTheme="majorBidi" w:hAnsiTheme="majorBidi" w:cstheme="majorBidi" w:hint="cs"/>
                <w:b/>
                <w:bCs/>
                <w:sz w:val="24"/>
                <w:szCs w:val="24"/>
                <w:rtl/>
              </w:rPr>
              <w:t>)</w:t>
            </w:r>
          </w:p>
        </w:tc>
        <w:tc>
          <w:tcPr>
            <w:tcW w:w="938" w:type="dxa"/>
          </w:tcPr>
          <w:p w14:paraId="7D538246" w14:textId="20C5CECF" w:rsidR="00BF4A85" w:rsidRPr="00BF4A85"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3</w:t>
            </w:r>
          </w:p>
        </w:tc>
      </w:tr>
      <w:tr w:rsidR="00CC2042" w:rsidRPr="00BF4A85" w14:paraId="6AEA31CD" w14:textId="77777777" w:rsidTr="00A20DAC">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278" w:type="dxa"/>
            <w:hideMark/>
          </w:tcPr>
          <w:p w14:paraId="7A08DC21" w14:textId="41216F2D"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10</w:t>
            </w:r>
          </w:p>
        </w:tc>
        <w:tc>
          <w:tcPr>
            <w:tcW w:w="7511" w:type="dxa"/>
          </w:tcPr>
          <w:p w14:paraId="40F1E828" w14:textId="33373CB9" w:rsidR="00BF4A85" w:rsidRPr="00BF4A85" w:rsidRDefault="00063CE9"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أهداف الدراسة</w:t>
            </w:r>
          </w:p>
        </w:tc>
        <w:tc>
          <w:tcPr>
            <w:tcW w:w="938" w:type="dxa"/>
          </w:tcPr>
          <w:p w14:paraId="1B641E46" w14:textId="7171E9D7" w:rsidR="00BF4A85" w:rsidRPr="00BF4A85"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4</w:t>
            </w:r>
          </w:p>
        </w:tc>
      </w:tr>
      <w:tr w:rsidR="00CC2042" w:rsidRPr="00BF4A85" w14:paraId="637CC976" w14:textId="77777777" w:rsidTr="00A20DAC">
        <w:trPr>
          <w:trHeight w:val="564"/>
        </w:trPr>
        <w:tc>
          <w:tcPr>
            <w:cnfStyle w:val="001000000000" w:firstRow="0" w:lastRow="0" w:firstColumn="1" w:lastColumn="0" w:oddVBand="0" w:evenVBand="0" w:oddHBand="0" w:evenHBand="0" w:firstRowFirstColumn="0" w:firstRowLastColumn="0" w:lastRowFirstColumn="0" w:lastRowLastColumn="0"/>
            <w:tcW w:w="1278" w:type="dxa"/>
            <w:hideMark/>
          </w:tcPr>
          <w:p w14:paraId="35858587" w14:textId="495FAE3A"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12</w:t>
            </w:r>
          </w:p>
        </w:tc>
        <w:tc>
          <w:tcPr>
            <w:tcW w:w="7511" w:type="dxa"/>
          </w:tcPr>
          <w:p w14:paraId="5E604FDA" w14:textId="4A2185EE" w:rsidR="00BF4A85" w:rsidRPr="00BF4A85" w:rsidRDefault="00063CE9"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فرضيات الدراسة</w:t>
            </w:r>
          </w:p>
        </w:tc>
        <w:tc>
          <w:tcPr>
            <w:tcW w:w="938" w:type="dxa"/>
          </w:tcPr>
          <w:p w14:paraId="2FE446CC" w14:textId="30A48FF8" w:rsidR="00BF4A85" w:rsidRPr="00BF4A85"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5</w:t>
            </w:r>
          </w:p>
        </w:tc>
      </w:tr>
      <w:tr w:rsidR="00CC2042" w:rsidRPr="00BF4A85" w14:paraId="6299EDE7" w14:textId="77777777" w:rsidTr="00A20DAC">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278" w:type="dxa"/>
            <w:hideMark/>
          </w:tcPr>
          <w:p w14:paraId="4549AD67" w14:textId="1D9F1109"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13</w:t>
            </w:r>
          </w:p>
        </w:tc>
        <w:tc>
          <w:tcPr>
            <w:tcW w:w="7511" w:type="dxa"/>
          </w:tcPr>
          <w:p w14:paraId="368E13B9" w14:textId="08EE31DD" w:rsidR="00BF4A85" w:rsidRPr="00BF4A85" w:rsidRDefault="00063CE9"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نموذج الدراسة</w:t>
            </w:r>
          </w:p>
        </w:tc>
        <w:tc>
          <w:tcPr>
            <w:tcW w:w="938" w:type="dxa"/>
          </w:tcPr>
          <w:p w14:paraId="039768BE" w14:textId="45D4C02E" w:rsidR="00BF4A85" w:rsidRPr="00BF4A85"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6</w:t>
            </w:r>
          </w:p>
        </w:tc>
      </w:tr>
      <w:tr w:rsidR="00CC2042" w:rsidRPr="00BF4A85" w14:paraId="7B06E66B" w14:textId="77777777" w:rsidTr="00A20DAC">
        <w:trPr>
          <w:trHeight w:val="564"/>
        </w:trPr>
        <w:tc>
          <w:tcPr>
            <w:cnfStyle w:val="001000000000" w:firstRow="0" w:lastRow="0" w:firstColumn="1" w:lastColumn="0" w:oddVBand="0" w:evenVBand="0" w:oddHBand="0" w:evenHBand="0" w:firstRowFirstColumn="0" w:firstRowLastColumn="0" w:lastRowFirstColumn="0" w:lastRowLastColumn="0"/>
            <w:tcW w:w="1278" w:type="dxa"/>
            <w:hideMark/>
          </w:tcPr>
          <w:p w14:paraId="014A4FD1" w14:textId="757D6A65"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14</w:t>
            </w:r>
          </w:p>
        </w:tc>
        <w:tc>
          <w:tcPr>
            <w:tcW w:w="7511" w:type="dxa"/>
          </w:tcPr>
          <w:p w14:paraId="1AE4BB07" w14:textId="7C7DD224" w:rsidR="00BF4A85" w:rsidRPr="00BF4A85" w:rsidRDefault="00BF4A85"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BF4A85">
              <w:rPr>
                <w:rFonts w:asciiTheme="majorBidi" w:hAnsiTheme="majorBidi" w:cstheme="majorBidi"/>
                <w:b/>
                <w:bCs/>
                <w:sz w:val="24"/>
                <w:szCs w:val="24"/>
                <w:rtl/>
              </w:rPr>
              <w:t>م</w:t>
            </w:r>
            <w:r w:rsidR="00063CE9">
              <w:rPr>
                <w:rFonts w:asciiTheme="majorBidi" w:hAnsiTheme="majorBidi" w:cstheme="majorBidi" w:hint="cs"/>
                <w:b/>
                <w:bCs/>
                <w:sz w:val="24"/>
                <w:szCs w:val="24"/>
                <w:rtl/>
              </w:rPr>
              <w:t>صطلحات الدراسة وتعريفاتها الاجرائية</w:t>
            </w:r>
          </w:p>
        </w:tc>
        <w:tc>
          <w:tcPr>
            <w:tcW w:w="938" w:type="dxa"/>
          </w:tcPr>
          <w:p w14:paraId="53E7B490" w14:textId="07100498" w:rsidR="00BF4A85" w:rsidRPr="00BF4A85"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7</w:t>
            </w:r>
          </w:p>
        </w:tc>
      </w:tr>
      <w:tr w:rsidR="00957FCA" w:rsidRPr="00BF4A85" w14:paraId="23644DC6" w14:textId="77777777" w:rsidTr="00A20DAC">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278" w:type="dxa"/>
          </w:tcPr>
          <w:p w14:paraId="452FB735" w14:textId="5F6101E1"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15</w:t>
            </w:r>
          </w:p>
        </w:tc>
        <w:tc>
          <w:tcPr>
            <w:tcW w:w="7511" w:type="dxa"/>
          </w:tcPr>
          <w:p w14:paraId="5294359C" w14:textId="4F9F7ABA" w:rsidR="00BF4A85" w:rsidRPr="00BF4A85" w:rsidRDefault="00957FCA"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 xml:space="preserve">إجراءات الدراسة (منهج الدراسة </w:t>
            </w:r>
            <w:r>
              <w:rPr>
                <w:rFonts w:asciiTheme="majorBidi" w:hAnsiTheme="majorBidi" w:cstheme="majorBidi"/>
                <w:b/>
                <w:bCs/>
                <w:sz w:val="24"/>
                <w:szCs w:val="24"/>
                <w:rtl/>
              </w:rPr>
              <w:t>–</w:t>
            </w:r>
            <w:r>
              <w:rPr>
                <w:rFonts w:asciiTheme="majorBidi" w:hAnsiTheme="majorBidi" w:cstheme="majorBidi" w:hint="cs"/>
                <w:b/>
                <w:bCs/>
                <w:sz w:val="24"/>
                <w:szCs w:val="24"/>
                <w:rtl/>
              </w:rPr>
              <w:t xml:space="preserve"> مجتمع وعينة الدراسة)</w:t>
            </w:r>
          </w:p>
        </w:tc>
        <w:tc>
          <w:tcPr>
            <w:tcW w:w="938" w:type="dxa"/>
          </w:tcPr>
          <w:p w14:paraId="1AD974D8" w14:textId="16630C31" w:rsidR="00BF4A85" w:rsidRPr="00BF4A85"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8</w:t>
            </w:r>
          </w:p>
        </w:tc>
      </w:tr>
      <w:tr w:rsidR="00957FCA" w:rsidRPr="00BF4A85" w14:paraId="7F30B830" w14:textId="77777777" w:rsidTr="00A20DAC">
        <w:trPr>
          <w:trHeight w:val="564"/>
        </w:trPr>
        <w:tc>
          <w:tcPr>
            <w:cnfStyle w:val="001000000000" w:firstRow="0" w:lastRow="0" w:firstColumn="1" w:lastColumn="0" w:oddVBand="0" w:evenVBand="0" w:oddHBand="0" w:evenHBand="0" w:firstRowFirstColumn="0" w:firstRowLastColumn="0" w:lastRowFirstColumn="0" w:lastRowLastColumn="0"/>
            <w:tcW w:w="1278" w:type="dxa"/>
          </w:tcPr>
          <w:p w14:paraId="1B8654DD" w14:textId="6B39A30C"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16</w:t>
            </w:r>
          </w:p>
        </w:tc>
        <w:tc>
          <w:tcPr>
            <w:tcW w:w="7511" w:type="dxa"/>
          </w:tcPr>
          <w:p w14:paraId="0B726354" w14:textId="4AA3A50B" w:rsidR="00BF4A85" w:rsidRPr="00BF4A85" w:rsidRDefault="00957FCA"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حدود الدراسة</w:t>
            </w:r>
          </w:p>
        </w:tc>
        <w:tc>
          <w:tcPr>
            <w:tcW w:w="938" w:type="dxa"/>
          </w:tcPr>
          <w:p w14:paraId="3E59341B" w14:textId="13E6B1DB" w:rsidR="00BF4A85" w:rsidRPr="00BF4A85"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9</w:t>
            </w:r>
          </w:p>
        </w:tc>
      </w:tr>
      <w:tr w:rsidR="00CC2042" w:rsidRPr="00BF4A85" w14:paraId="21030EE4" w14:textId="77777777" w:rsidTr="00A20DAC">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278" w:type="dxa"/>
          </w:tcPr>
          <w:p w14:paraId="46889817" w14:textId="03390379"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17</w:t>
            </w:r>
          </w:p>
        </w:tc>
        <w:tc>
          <w:tcPr>
            <w:tcW w:w="7511" w:type="dxa"/>
          </w:tcPr>
          <w:p w14:paraId="013F9163" w14:textId="4ABA404E" w:rsidR="00BF4A85" w:rsidRPr="00BF4A85" w:rsidRDefault="00957FCA"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وسائل جمع البيانات</w:t>
            </w:r>
          </w:p>
        </w:tc>
        <w:tc>
          <w:tcPr>
            <w:tcW w:w="938" w:type="dxa"/>
          </w:tcPr>
          <w:p w14:paraId="7EB92D12" w14:textId="7A62AB3F" w:rsidR="00BF4A85" w:rsidRPr="00BF4A85"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10</w:t>
            </w:r>
          </w:p>
        </w:tc>
      </w:tr>
      <w:tr w:rsidR="00CC2042" w:rsidRPr="00BF4A85" w14:paraId="22F27CB4" w14:textId="77777777" w:rsidTr="00A20DAC">
        <w:trPr>
          <w:trHeight w:val="564"/>
        </w:trPr>
        <w:tc>
          <w:tcPr>
            <w:cnfStyle w:val="001000000000" w:firstRow="0" w:lastRow="0" w:firstColumn="1" w:lastColumn="0" w:oddVBand="0" w:evenVBand="0" w:oddHBand="0" w:evenHBand="0" w:firstRowFirstColumn="0" w:firstRowLastColumn="0" w:lastRowFirstColumn="0" w:lastRowLastColumn="0"/>
            <w:tcW w:w="1278" w:type="dxa"/>
          </w:tcPr>
          <w:p w14:paraId="09E23BBF" w14:textId="314C06C9"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17</w:t>
            </w:r>
          </w:p>
        </w:tc>
        <w:tc>
          <w:tcPr>
            <w:tcW w:w="7511" w:type="dxa"/>
          </w:tcPr>
          <w:p w14:paraId="471ABC2B" w14:textId="19DF88E1" w:rsidR="00BF4A85" w:rsidRPr="00BF4A85" w:rsidRDefault="00957FCA"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المعالجات الاحصائية المقترحة</w:t>
            </w:r>
          </w:p>
        </w:tc>
        <w:tc>
          <w:tcPr>
            <w:tcW w:w="938" w:type="dxa"/>
          </w:tcPr>
          <w:p w14:paraId="67B196C9" w14:textId="014C2674" w:rsidR="00BF4A85" w:rsidRPr="00BF4A85"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11</w:t>
            </w:r>
          </w:p>
        </w:tc>
      </w:tr>
      <w:tr w:rsidR="00CC2042" w:rsidRPr="00BF4A85" w14:paraId="6F3CE098" w14:textId="77777777" w:rsidTr="00A20DAC">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278" w:type="dxa"/>
          </w:tcPr>
          <w:p w14:paraId="12DB8641" w14:textId="4AEA898D" w:rsidR="00BF4A85" w:rsidRPr="00BF4A85" w:rsidRDefault="00E6075C"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18</w:t>
            </w:r>
          </w:p>
        </w:tc>
        <w:tc>
          <w:tcPr>
            <w:tcW w:w="7511" w:type="dxa"/>
          </w:tcPr>
          <w:p w14:paraId="0ABA2D07" w14:textId="75887B10" w:rsidR="00BF4A85" w:rsidRPr="00BF4A85" w:rsidRDefault="00957FCA"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خطوات تنفيذ خطة الدراسة</w:t>
            </w:r>
          </w:p>
        </w:tc>
        <w:tc>
          <w:tcPr>
            <w:tcW w:w="938" w:type="dxa"/>
          </w:tcPr>
          <w:p w14:paraId="235E2EFA" w14:textId="153446EB" w:rsidR="00BF4A85" w:rsidRPr="00BF4A85"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1-1-</w:t>
            </w:r>
            <w:r w:rsidR="00EB3D96">
              <w:rPr>
                <w:rFonts w:asciiTheme="majorBidi" w:hAnsiTheme="majorBidi" w:cstheme="majorBidi" w:hint="cs"/>
                <w:b/>
                <w:bCs/>
                <w:sz w:val="24"/>
                <w:szCs w:val="24"/>
                <w:rtl/>
              </w:rPr>
              <w:t>12</w:t>
            </w:r>
          </w:p>
        </w:tc>
      </w:tr>
      <w:tr w:rsidR="00D12BF6" w:rsidRPr="00BF4A85" w14:paraId="41251569" w14:textId="77777777" w:rsidTr="00A20DAC">
        <w:trPr>
          <w:trHeight w:val="564"/>
        </w:trPr>
        <w:tc>
          <w:tcPr>
            <w:cnfStyle w:val="001000000000" w:firstRow="0" w:lastRow="0" w:firstColumn="1" w:lastColumn="0" w:oddVBand="0" w:evenVBand="0" w:oddHBand="0" w:evenHBand="0" w:firstRowFirstColumn="0" w:firstRowLastColumn="0" w:lastRowFirstColumn="0" w:lastRowLastColumn="0"/>
            <w:tcW w:w="1278" w:type="dxa"/>
          </w:tcPr>
          <w:p w14:paraId="13DB57F7" w14:textId="4C7A8A12" w:rsidR="00D12BF6" w:rsidRDefault="00E6075C" w:rsidP="00A7297B">
            <w:pPr>
              <w:bidi/>
              <w:spacing w:after="200" w:line="276" w:lineRule="auto"/>
              <w:jc w:val="center"/>
              <w:rPr>
                <w:rFonts w:asciiTheme="majorBidi" w:hAnsiTheme="majorBidi" w:cstheme="majorBidi"/>
                <w:sz w:val="24"/>
                <w:szCs w:val="24"/>
                <w:rtl/>
              </w:rPr>
            </w:pPr>
            <w:r>
              <w:rPr>
                <w:rFonts w:asciiTheme="majorBidi" w:hAnsiTheme="majorBidi" w:cstheme="majorBidi" w:hint="cs"/>
                <w:sz w:val="24"/>
                <w:szCs w:val="24"/>
                <w:rtl/>
              </w:rPr>
              <w:t>19</w:t>
            </w:r>
          </w:p>
        </w:tc>
        <w:tc>
          <w:tcPr>
            <w:tcW w:w="7511" w:type="dxa"/>
          </w:tcPr>
          <w:p w14:paraId="60CA53A1" w14:textId="5DBDF268" w:rsidR="00D12BF6" w:rsidRDefault="00D12BF6"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الجانب النظري</w:t>
            </w:r>
          </w:p>
        </w:tc>
        <w:tc>
          <w:tcPr>
            <w:tcW w:w="938" w:type="dxa"/>
          </w:tcPr>
          <w:p w14:paraId="4CF72A78" w14:textId="5BD309DD" w:rsidR="00D12BF6"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1-2</w:t>
            </w:r>
          </w:p>
        </w:tc>
      </w:tr>
      <w:tr w:rsidR="00A7297B" w:rsidRPr="00BF4A85" w14:paraId="1D0F6CB3" w14:textId="77777777" w:rsidTr="00A20DAC">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278" w:type="dxa"/>
          </w:tcPr>
          <w:p w14:paraId="698557EC" w14:textId="606BE972" w:rsidR="00A7297B" w:rsidRDefault="00515BCF" w:rsidP="00A7297B">
            <w:pPr>
              <w:bidi/>
              <w:spacing w:after="200" w:line="276" w:lineRule="auto"/>
              <w:jc w:val="center"/>
              <w:rPr>
                <w:rFonts w:asciiTheme="majorBidi" w:hAnsiTheme="majorBidi" w:cstheme="majorBidi" w:hint="cs"/>
                <w:sz w:val="24"/>
                <w:szCs w:val="24"/>
                <w:rtl/>
              </w:rPr>
            </w:pPr>
            <w:r>
              <w:rPr>
                <w:rFonts w:asciiTheme="majorBidi" w:hAnsiTheme="majorBidi" w:cstheme="majorBidi" w:hint="cs"/>
                <w:sz w:val="24"/>
                <w:szCs w:val="24"/>
                <w:rtl/>
              </w:rPr>
              <w:t>20</w:t>
            </w:r>
          </w:p>
        </w:tc>
        <w:tc>
          <w:tcPr>
            <w:tcW w:w="7511" w:type="dxa"/>
          </w:tcPr>
          <w:p w14:paraId="3B8AED06" w14:textId="30FDEBB7" w:rsidR="00A7297B" w:rsidRDefault="007D1670"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مفهوم الاستدامة في المشاريع الانشائية</w:t>
            </w:r>
          </w:p>
        </w:tc>
        <w:tc>
          <w:tcPr>
            <w:tcW w:w="938" w:type="dxa"/>
          </w:tcPr>
          <w:p w14:paraId="5BB3D56C" w14:textId="2ED23470" w:rsidR="00A7297B"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1-2-1</w:t>
            </w:r>
          </w:p>
        </w:tc>
      </w:tr>
      <w:tr w:rsidR="00A7297B" w:rsidRPr="00BF4A85" w14:paraId="0AE78906" w14:textId="77777777" w:rsidTr="00A20DAC">
        <w:trPr>
          <w:trHeight w:val="564"/>
        </w:trPr>
        <w:tc>
          <w:tcPr>
            <w:cnfStyle w:val="001000000000" w:firstRow="0" w:lastRow="0" w:firstColumn="1" w:lastColumn="0" w:oddVBand="0" w:evenVBand="0" w:oddHBand="0" w:evenHBand="0" w:firstRowFirstColumn="0" w:firstRowLastColumn="0" w:lastRowFirstColumn="0" w:lastRowLastColumn="0"/>
            <w:tcW w:w="1278" w:type="dxa"/>
          </w:tcPr>
          <w:p w14:paraId="7FEC4BA3" w14:textId="21CCBE22" w:rsidR="00A7297B" w:rsidRDefault="00515BCF" w:rsidP="00A7297B">
            <w:pPr>
              <w:bidi/>
              <w:spacing w:after="200" w:line="276" w:lineRule="auto"/>
              <w:jc w:val="center"/>
              <w:rPr>
                <w:rFonts w:asciiTheme="majorBidi" w:hAnsiTheme="majorBidi" w:cstheme="majorBidi" w:hint="cs"/>
                <w:sz w:val="24"/>
                <w:szCs w:val="24"/>
                <w:rtl/>
              </w:rPr>
            </w:pPr>
            <w:r>
              <w:rPr>
                <w:rFonts w:asciiTheme="majorBidi" w:hAnsiTheme="majorBidi" w:cstheme="majorBidi" w:hint="cs"/>
                <w:sz w:val="24"/>
                <w:szCs w:val="24"/>
                <w:rtl/>
              </w:rPr>
              <w:t>24</w:t>
            </w:r>
          </w:p>
        </w:tc>
        <w:tc>
          <w:tcPr>
            <w:tcW w:w="7511" w:type="dxa"/>
          </w:tcPr>
          <w:p w14:paraId="271E9F4E" w14:textId="260F128B" w:rsidR="00A7297B" w:rsidRDefault="007D1670"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معايير الاستدامة في القطاع الانشائي</w:t>
            </w:r>
          </w:p>
        </w:tc>
        <w:tc>
          <w:tcPr>
            <w:tcW w:w="938" w:type="dxa"/>
          </w:tcPr>
          <w:p w14:paraId="5CD24D2C" w14:textId="212A0176" w:rsidR="00A7297B"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1-2-2</w:t>
            </w:r>
          </w:p>
        </w:tc>
      </w:tr>
      <w:tr w:rsidR="00A7297B" w:rsidRPr="00BF4A85" w14:paraId="0736FA60" w14:textId="77777777" w:rsidTr="00A20DAC">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278" w:type="dxa"/>
          </w:tcPr>
          <w:p w14:paraId="3C451E2E" w14:textId="0D9DAC36" w:rsidR="00A7297B" w:rsidRDefault="00515BCF" w:rsidP="00A7297B">
            <w:pPr>
              <w:bidi/>
              <w:spacing w:after="200" w:line="276" w:lineRule="auto"/>
              <w:jc w:val="center"/>
              <w:rPr>
                <w:rFonts w:asciiTheme="majorBidi" w:hAnsiTheme="majorBidi" w:cstheme="majorBidi" w:hint="cs"/>
                <w:sz w:val="24"/>
                <w:szCs w:val="24"/>
                <w:rtl/>
              </w:rPr>
            </w:pPr>
            <w:r>
              <w:rPr>
                <w:rFonts w:asciiTheme="majorBidi" w:hAnsiTheme="majorBidi" w:cstheme="majorBidi" w:hint="cs"/>
                <w:sz w:val="24"/>
                <w:szCs w:val="24"/>
                <w:rtl/>
              </w:rPr>
              <w:t>25</w:t>
            </w:r>
          </w:p>
        </w:tc>
        <w:tc>
          <w:tcPr>
            <w:tcW w:w="7511" w:type="dxa"/>
          </w:tcPr>
          <w:p w14:paraId="42A396FD" w14:textId="1FC9DBD2" w:rsidR="00A7297B" w:rsidRDefault="007D1670"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اثر تبني مفهوم الاستدامة على اداء المشاريع الانشائية</w:t>
            </w:r>
          </w:p>
        </w:tc>
        <w:tc>
          <w:tcPr>
            <w:tcW w:w="938" w:type="dxa"/>
          </w:tcPr>
          <w:p w14:paraId="18E43E4E" w14:textId="6A981C2C" w:rsidR="00A7297B"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1-2-3</w:t>
            </w:r>
          </w:p>
        </w:tc>
      </w:tr>
      <w:tr w:rsidR="00A7297B" w:rsidRPr="00BF4A85" w14:paraId="0A099AD5" w14:textId="77777777" w:rsidTr="00A20DAC">
        <w:trPr>
          <w:trHeight w:val="564"/>
        </w:trPr>
        <w:tc>
          <w:tcPr>
            <w:cnfStyle w:val="001000000000" w:firstRow="0" w:lastRow="0" w:firstColumn="1" w:lastColumn="0" w:oddVBand="0" w:evenVBand="0" w:oddHBand="0" w:evenHBand="0" w:firstRowFirstColumn="0" w:firstRowLastColumn="0" w:lastRowFirstColumn="0" w:lastRowLastColumn="0"/>
            <w:tcW w:w="1278" w:type="dxa"/>
          </w:tcPr>
          <w:p w14:paraId="54B16B5B" w14:textId="73FB5BBA" w:rsidR="00A7297B" w:rsidRDefault="00515BCF" w:rsidP="00A7297B">
            <w:pPr>
              <w:bidi/>
              <w:spacing w:after="200" w:line="276" w:lineRule="auto"/>
              <w:jc w:val="center"/>
              <w:rPr>
                <w:rFonts w:asciiTheme="majorBidi" w:hAnsiTheme="majorBidi" w:cstheme="majorBidi" w:hint="cs"/>
                <w:sz w:val="24"/>
                <w:szCs w:val="24"/>
                <w:rtl/>
              </w:rPr>
            </w:pPr>
            <w:r>
              <w:rPr>
                <w:rFonts w:asciiTheme="majorBidi" w:hAnsiTheme="majorBidi" w:cstheme="majorBidi" w:hint="cs"/>
                <w:sz w:val="24"/>
                <w:szCs w:val="24"/>
                <w:rtl/>
              </w:rPr>
              <w:t>39</w:t>
            </w:r>
          </w:p>
        </w:tc>
        <w:tc>
          <w:tcPr>
            <w:tcW w:w="7511" w:type="dxa"/>
          </w:tcPr>
          <w:p w14:paraId="35707034" w14:textId="7D00FD44" w:rsidR="00A7297B" w:rsidRDefault="007D1670"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الدراسات السابقة</w:t>
            </w:r>
          </w:p>
        </w:tc>
        <w:tc>
          <w:tcPr>
            <w:tcW w:w="938" w:type="dxa"/>
          </w:tcPr>
          <w:p w14:paraId="358D552E" w14:textId="5CE4C9D1" w:rsidR="00A7297B"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1-2-4</w:t>
            </w:r>
          </w:p>
        </w:tc>
      </w:tr>
      <w:tr w:rsidR="00A7297B" w:rsidRPr="00BF4A85" w14:paraId="61DF0116" w14:textId="77777777" w:rsidTr="00A20DAC">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278" w:type="dxa"/>
          </w:tcPr>
          <w:p w14:paraId="248836C5" w14:textId="7462FABE" w:rsidR="00A7297B" w:rsidRDefault="007F4A59" w:rsidP="00A7297B">
            <w:pPr>
              <w:bidi/>
              <w:spacing w:after="200" w:line="276" w:lineRule="auto"/>
              <w:jc w:val="center"/>
              <w:rPr>
                <w:rFonts w:asciiTheme="majorBidi" w:hAnsiTheme="majorBidi" w:cstheme="majorBidi" w:hint="cs"/>
                <w:sz w:val="24"/>
                <w:szCs w:val="24"/>
                <w:rtl/>
              </w:rPr>
            </w:pPr>
            <w:r>
              <w:rPr>
                <w:rFonts w:asciiTheme="majorBidi" w:hAnsiTheme="majorBidi" w:cstheme="majorBidi" w:hint="cs"/>
                <w:sz w:val="24"/>
                <w:szCs w:val="24"/>
                <w:rtl/>
              </w:rPr>
              <w:t>49</w:t>
            </w:r>
          </w:p>
        </w:tc>
        <w:tc>
          <w:tcPr>
            <w:tcW w:w="7511" w:type="dxa"/>
          </w:tcPr>
          <w:p w14:paraId="18A9F41E" w14:textId="1F1BA424" w:rsidR="00A7297B" w:rsidRDefault="007D1670"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الفجوة البحثية</w:t>
            </w:r>
          </w:p>
        </w:tc>
        <w:tc>
          <w:tcPr>
            <w:tcW w:w="938" w:type="dxa"/>
          </w:tcPr>
          <w:p w14:paraId="4B06E07D" w14:textId="28DE7905" w:rsidR="00A7297B" w:rsidRDefault="00A20DAC" w:rsidP="00A7297B">
            <w:pPr>
              <w:bidi/>
              <w:spacing w:after="200"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sz w:val="24"/>
                <w:szCs w:val="24"/>
                <w:rtl/>
              </w:rPr>
            </w:pPr>
            <w:r>
              <w:rPr>
                <w:rFonts w:asciiTheme="majorBidi" w:hAnsiTheme="majorBidi" w:cstheme="majorBidi" w:hint="cs"/>
                <w:b/>
                <w:bCs/>
                <w:sz w:val="24"/>
                <w:szCs w:val="24"/>
                <w:rtl/>
              </w:rPr>
              <w:t>1-2-5</w:t>
            </w:r>
          </w:p>
        </w:tc>
      </w:tr>
      <w:tr w:rsidR="0005566B" w:rsidRPr="00BF4A85" w14:paraId="3B967B9A" w14:textId="77777777" w:rsidTr="0005566B">
        <w:trPr>
          <w:trHeight w:val="564"/>
        </w:trPr>
        <w:tc>
          <w:tcPr>
            <w:cnfStyle w:val="001000000000" w:firstRow="0" w:lastRow="0" w:firstColumn="1" w:lastColumn="0" w:oddVBand="0" w:evenVBand="0" w:oddHBand="0" w:evenHBand="0" w:firstRowFirstColumn="0" w:firstRowLastColumn="0" w:lastRowFirstColumn="0" w:lastRowLastColumn="0"/>
            <w:tcW w:w="1278" w:type="dxa"/>
            <w:shd w:val="clear" w:color="auto" w:fill="BFBFBF" w:themeFill="background1" w:themeFillShade="BF"/>
          </w:tcPr>
          <w:p w14:paraId="254A3C9C" w14:textId="3C8B25E2" w:rsidR="00BF4A85" w:rsidRPr="00BF4A85" w:rsidRDefault="001C704B" w:rsidP="00A7297B">
            <w:pPr>
              <w:bidi/>
              <w:spacing w:after="200" w:line="276" w:lineRule="auto"/>
              <w:jc w:val="center"/>
              <w:rPr>
                <w:rFonts w:asciiTheme="majorBidi" w:hAnsiTheme="majorBidi" w:cstheme="majorBidi"/>
                <w:sz w:val="24"/>
                <w:szCs w:val="24"/>
              </w:rPr>
            </w:pPr>
            <w:r>
              <w:rPr>
                <w:rFonts w:asciiTheme="majorBidi" w:hAnsiTheme="majorBidi" w:cstheme="majorBidi" w:hint="cs"/>
                <w:sz w:val="24"/>
                <w:szCs w:val="24"/>
                <w:rtl/>
              </w:rPr>
              <w:t>50</w:t>
            </w:r>
          </w:p>
        </w:tc>
        <w:tc>
          <w:tcPr>
            <w:tcW w:w="7511" w:type="dxa"/>
            <w:shd w:val="clear" w:color="auto" w:fill="BFBFBF" w:themeFill="background1" w:themeFillShade="BF"/>
          </w:tcPr>
          <w:p w14:paraId="2C03E505" w14:textId="5C090885" w:rsidR="00BF4A85" w:rsidRPr="00BF4A85" w:rsidRDefault="00957FCA"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المراجع</w:t>
            </w:r>
            <w:r w:rsidR="008C0BC0">
              <w:rPr>
                <w:rFonts w:asciiTheme="majorBidi" w:hAnsiTheme="majorBidi" w:cstheme="majorBidi" w:hint="cs"/>
                <w:b/>
                <w:bCs/>
                <w:sz w:val="24"/>
                <w:szCs w:val="24"/>
                <w:rtl/>
              </w:rPr>
              <w:t xml:space="preserve"> العربية والانجليزية</w:t>
            </w:r>
          </w:p>
        </w:tc>
        <w:tc>
          <w:tcPr>
            <w:tcW w:w="938" w:type="dxa"/>
            <w:shd w:val="clear" w:color="auto" w:fill="BFBFBF" w:themeFill="background1" w:themeFillShade="BF"/>
          </w:tcPr>
          <w:p w14:paraId="2C75BB12" w14:textId="102D9BF3" w:rsidR="00BF4A85" w:rsidRPr="00BF4A85" w:rsidRDefault="00A20DAC" w:rsidP="00A7297B">
            <w:pPr>
              <w:bidi/>
              <w:spacing w:after="200"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hint="cs"/>
                <w:b/>
                <w:bCs/>
                <w:sz w:val="24"/>
                <w:szCs w:val="24"/>
                <w:rtl/>
              </w:rPr>
              <w:t>2</w:t>
            </w:r>
          </w:p>
        </w:tc>
      </w:tr>
    </w:tbl>
    <w:p w14:paraId="75094578" w14:textId="77777777" w:rsidR="00626EDA" w:rsidRDefault="00626EDA" w:rsidP="00626EDA">
      <w:pPr>
        <w:bidi/>
        <w:spacing w:after="200" w:line="480" w:lineRule="auto"/>
        <w:rPr>
          <w:rFonts w:ascii="Traditional Arabic" w:hAnsi="Traditional Arabic" w:cs="Traditional Arabic"/>
          <w:b/>
          <w:bCs/>
          <w:sz w:val="28"/>
          <w:szCs w:val="28"/>
          <w:u w:val="single"/>
          <w:rtl/>
        </w:rPr>
      </w:pPr>
    </w:p>
    <w:p w14:paraId="177A76D5" w14:textId="77777777" w:rsidR="00D52585" w:rsidRDefault="00D52585" w:rsidP="0021489E">
      <w:pPr>
        <w:bidi/>
        <w:spacing w:after="200" w:line="480" w:lineRule="auto"/>
        <w:rPr>
          <w:rFonts w:ascii="Traditional Arabic" w:hAnsi="Traditional Arabic" w:cs="Traditional Arabic"/>
          <w:b/>
          <w:bCs/>
          <w:sz w:val="28"/>
          <w:szCs w:val="28"/>
          <w:u w:val="single"/>
          <w:rtl/>
        </w:rPr>
      </w:pPr>
    </w:p>
    <w:p w14:paraId="7D9CDDE6"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570EBF1F"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445AEDBC" w14:textId="77777777" w:rsidR="00091309" w:rsidRDefault="00091309" w:rsidP="00091309">
      <w:pPr>
        <w:bidi/>
        <w:spacing w:after="200" w:line="480" w:lineRule="auto"/>
        <w:rPr>
          <w:rFonts w:ascii="Traditional Arabic" w:hAnsi="Traditional Arabic" w:cs="Traditional Arabic"/>
          <w:b/>
          <w:bCs/>
          <w:sz w:val="28"/>
          <w:szCs w:val="28"/>
          <w:u w:val="single"/>
          <w:rtl/>
        </w:rPr>
      </w:pPr>
    </w:p>
    <w:p w14:paraId="4AD0CF1B"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488B3B4E" w14:textId="79278152" w:rsidR="00D52585" w:rsidRPr="002C0601" w:rsidRDefault="00D52585" w:rsidP="002C0601">
      <w:pPr>
        <w:pStyle w:val="ListParagraph"/>
        <w:numPr>
          <w:ilvl w:val="0"/>
          <w:numId w:val="49"/>
        </w:numPr>
        <w:bidi/>
        <w:spacing w:after="200" w:line="480" w:lineRule="auto"/>
        <w:jc w:val="center"/>
        <w:rPr>
          <w:rFonts w:ascii="Traditional Arabic" w:hAnsi="Traditional Arabic" w:cs="Traditional Arabic"/>
          <w:b/>
          <w:bCs/>
          <w:sz w:val="140"/>
          <w:szCs w:val="140"/>
          <w:rtl/>
        </w:rPr>
      </w:pPr>
      <w:r w:rsidRPr="002C0601">
        <w:rPr>
          <w:rFonts w:ascii="Traditional Arabic" w:hAnsi="Traditional Arabic" w:cs="Traditional Arabic" w:hint="cs"/>
          <w:b/>
          <w:bCs/>
          <w:sz w:val="140"/>
          <w:szCs w:val="140"/>
          <w:rtl/>
        </w:rPr>
        <w:t>الفصل الأول</w:t>
      </w:r>
    </w:p>
    <w:p w14:paraId="5E8D6BAC"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2D87A939"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1AF6E954"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783844D3"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044CCDA1" w14:textId="6411FFA1" w:rsidR="0021489E" w:rsidRPr="008B55FF" w:rsidRDefault="007D1670" w:rsidP="00D52585">
      <w:pPr>
        <w:bidi/>
        <w:spacing w:after="200" w:line="48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1-</w:t>
      </w:r>
      <w:r w:rsidR="008B55FF">
        <w:rPr>
          <w:rFonts w:ascii="Traditional Arabic" w:hAnsi="Traditional Arabic" w:cs="Traditional Arabic" w:hint="cs"/>
          <w:b/>
          <w:bCs/>
          <w:sz w:val="28"/>
          <w:szCs w:val="28"/>
          <w:rtl/>
        </w:rPr>
        <w:t xml:space="preserve">1-1 </w:t>
      </w:r>
      <w:r w:rsidR="0021489E" w:rsidRPr="008B55FF">
        <w:rPr>
          <w:rFonts w:ascii="Traditional Arabic" w:hAnsi="Traditional Arabic" w:cs="Traditional Arabic"/>
          <w:b/>
          <w:bCs/>
          <w:sz w:val="28"/>
          <w:szCs w:val="28"/>
          <w:u w:val="single"/>
          <w:rtl/>
        </w:rPr>
        <w:t>مقدمة الدراسة</w:t>
      </w:r>
    </w:p>
    <w:p w14:paraId="11793BA9" w14:textId="77A7B96B" w:rsidR="0021489E" w:rsidRPr="0076197C" w:rsidRDefault="0021489E" w:rsidP="00376BA4">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شهد مجال التخطيط والتصميم العمراني تطورًا ملحوظًا في السنوات الأخيرة، حيث أصبحت الاستدامة أحد الأهداف الأساسية في المشروعات العمرانية. ويرجع إلى تزايد الحاجة للحفاظ على الموارد البيئية والطبيعية، وتقليل الهدر في المواد والطاقة، مما يسهم في تحقيق توازن بين متطلبات التنمية الحديثة وحماية البيئة للأجيال القادمة. فقد بات من الضروري اعتماد ممارسات أكثر استدامة تضمن الاستخدام الأمثل للموارد وتحد من التأثيرات البيئية السلبية التي قد تترتب على المشاريع الإنشائية التقليدية</w:t>
      </w:r>
      <w:r w:rsidR="00193ED3" w:rsidRPr="0076197C">
        <w:rPr>
          <w:rFonts w:ascii="Traditional Arabic" w:hAnsi="Traditional Arabic" w:cs="Traditional Arabic"/>
          <w:sz w:val="28"/>
          <w:szCs w:val="28"/>
          <w:rtl/>
        </w:rPr>
        <w:t xml:space="preserve"> حيث أشار حميد (2022) إلى أن من أبرز ممارسات الاستدامة في المشاريع الإنشائية: إعادة استخدام البنية التحتية والمواد، وإعادة تدوير المياه، والاعتماد على مصادر الطاقة المتجددة، مثل الطاقة الشمسية والرياح.</w:t>
      </w:r>
    </w:p>
    <w:p w14:paraId="72F26F46"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تمثل الاستدامة في المشاريع العمرانية نهجًا متكاملًا يسعى إلى تحقيق الكفاءة الاقتصادية والبيئية والاجتماعية، مما يسهم في تعزيز جودة الحياة وضمان استمرارية الموارد. وفي قطاع البناء والتشييد، يبرز تطبيق مبادئ الاستدامة من خلال اعتماد ممارسات تهدف إلى تقليل التأثير البيئي وتحقيق الاستخدام الأمثل للموارد. من بين هذه الممارسات إعادة استخدام البنية التحتية والمواد، حيث يتم تجديد وإعادة استخدام الهياكل القائمة والاستفادة من المواد المعاد تدويرها، مما يقلل من استهلاك الموارد الجديدة ويحد من النفايات. كما يشمل إعادة تدوير المياه عبر معالجتها وإعادة استخدامها في ري المساحات الخضراء وأغراض أخرى، الأمر الذي يسهم في خفض استهلاك المياه العذبة وتعزيز كفاءة إدارتها. كما يشكل الاعتماد على مصادر الطاقة المتجددة، مثل الطاقة الشمسية والرياح، خطوة أساسية نحو تقليل الاعتماد على المصادر التقليدية للطاقة وخفض انبعاثات الكربن(حميد ،2022).</w:t>
      </w:r>
    </w:p>
    <w:p w14:paraId="59A3C910"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lastRenderedPageBreak/>
        <w:t>يعد تطبيق هذه المبادئ في المشاريع الإنشائية عاملًا جوهريًا في تعزيز الاستدامة وتحقيق التنمية المستدامة، وهو ما يفرض ضرورة دراسة مدى التزام الشركات الإنشائية السعودية بهذه الممارسات، وتأثيره على جودة المشروعات وتكلفتها وجدولها الزمني. ومن هنا تنبع أهمية هذه الدراسة في تحليل واقع الاستدامة في المشاريع الإنشائية السعودية، وتقييم أثرها على القطاع، مما يسهم في تقديم رؤى واضحة تدعم تبني ممارسات أكثر استدامة في المستقبل</w:t>
      </w:r>
      <w:r w:rsidRPr="0076197C">
        <w:rPr>
          <w:rFonts w:ascii="Traditional Arabic" w:hAnsi="Traditional Arabic" w:cs="Traditional Arabic"/>
          <w:sz w:val="28"/>
          <w:szCs w:val="28"/>
        </w:rPr>
        <w:t>.</w:t>
      </w:r>
    </w:p>
    <w:p w14:paraId="7B6555BB"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تنطلق دوافع هذا البحث من الأهمية المتزايدة للاستدامة في قطاع البناء والتشييد، خاصة في ظل التوجهات العالمية نحو تقليل التأثير البيئي للمشروعات وتعزيز الكفاءة في استهلاك الموارد. كما أن رؤية المملكة العربية السعودية 2030 تؤكد على أهمية تحقيق التنمية المستدامة في مختلف القطاعات، مما يجعل من الضروري فهم مدى جاهزية الشركات الإنشائية السعودية لتبني ممارسات الاستدامة، والتعرف على مدى تأثيره على نجاح المشاريع. كما تسهم هذه الدراسة في توفير إطار معرفي يساعد الجهات المعنية، سواء كانت حكومية، استثمارية، أو أكاديمية، في تطوير استراتيجيات وسياسات تدعم تطبيق مبادئ الاستدامة وتعزز من تنافسية القطاع الإنشائي السعودي على المستوى الإقليمي والدولي</w:t>
      </w:r>
      <w:r w:rsidRPr="0076197C">
        <w:rPr>
          <w:rFonts w:ascii="Traditional Arabic" w:hAnsi="Traditional Arabic" w:cs="Traditional Arabic"/>
          <w:sz w:val="28"/>
          <w:szCs w:val="28"/>
        </w:rPr>
        <w:t>.</w:t>
      </w:r>
    </w:p>
    <w:p w14:paraId="7996EEDA" w14:textId="77777777" w:rsidR="0021489E" w:rsidRPr="0076197C" w:rsidRDefault="0021489E" w:rsidP="0021489E">
      <w:pPr>
        <w:bidi/>
        <w:spacing w:after="200"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يأتي هذا البحث استجابة لحاجة متزايدة إلى توفير بيانات علمية دقيقة حول واقع الاستدامة في المشاريع الإنشائية السعودية، حيث لا تزال العديد من الدراسات تركز على تجارب عالمية دون تقديم تحليلات معمقة للسياق المحلي. ومن هنا، فإن تقديم دراسة تطبيقية تستند إلى بيانات ميدانية وتحليل واقعي يساهم في سد هذه الفجوة البحثية، ويوفر نتائج يمكن الاستفادة منها عمليًا في تطوير استراتيجيات أكثر فاعلية لتعزيز الاستدامة في قطاع البناء والتشييد</w:t>
      </w:r>
      <w:r w:rsidRPr="0076197C">
        <w:rPr>
          <w:rFonts w:ascii="Traditional Arabic" w:hAnsi="Traditional Arabic" w:cs="Traditional Arabic"/>
          <w:sz w:val="28"/>
          <w:szCs w:val="28"/>
        </w:rPr>
        <w:t>.</w:t>
      </w:r>
    </w:p>
    <w:p w14:paraId="0FFDDED3"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2BECD786" w14:textId="77777777" w:rsidR="00193ED3" w:rsidRPr="0076197C" w:rsidRDefault="00193ED3" w:rsidP="00193ED3">
      <w:pPr>
        <w:bidi/>
        <w:spacing w:after="200" w:line="480" w:lineRule="auto"/>
        <w:rPr>
          <w:rFonts w:ascii="Traditional Arabic" w:hAnsi="Traditional Arabic" w:cs="Traditional Arabic"/>
          <w:sz w:val="28"/>
          <w:szCs w:val="28"/>
        </w:rPr>
      </w:pPr>
    </w:p>
    <w:p w14:paraId="2E560E38" w14:textId="7E3FC75F" w:rsidR="0021489E" w:rsidRPr="008B55FF" w:rsidRDefault="008B55FF" w:rsidP="0021489E">
      <w:pPr>
        <w:bidi/>
        <w:spacing w:after="200" w:line="48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1-2</w:t>
      </w:r>
      <w:r>
        <w:rPr>
          <w:rFonts w:ascii="Traditional Arabic" w:hAnsi="Traditional Arabic" w:cs="Traditional Arabic" w:hint="cs"/>
          <w:b/>
          <w:bCs/>
          <w:sz w:val="28"/>
          <w:szCs w:val="28"/>
          <w:rtl/>
        </w:rPr>
        <w:t xml:space="preserve"> </w:t>
      </w:r>
      <w:r w:rsidR="0021489E" w:rsidRPr="008B55FF">
        <w:rPr>
          <w:rFonts w:ascii="Traditional Arabic" w:hAnsi="Traditional Arabic" w:cs="Traditional Arabic"/>
          <w:b/>
          <w:bCs/>
          <w:sz w:val="28"/>
          <w:szCs w:val="28"/>
          <w:u w:val="single"/>
          <w:rtl/>
        </w:rPr>
        <w:t>مشكلة الدراسة وأسئلتها</w:t>
      </w:r>
      <w:r w:rsidR="0021489E" w:rsidRPr="008B55FF">
        <w:rPr>
          <w:rFonts w:ascii="Traditional Arabic" w:hAnsi="Traditional Arabic" w:cs="Traditional Arabic"/>
          <w:b/>
          <w:bCs/>
          <w:sz w:val="28"/>
          <w:szCs w:val="28"/>
          <w:rtl/>
        </w:rPr>
        <w:t xml:space="preserve">   </w:t>
      </w:r>
    </w:p>
    <w:p w14:paraId="3A025456" w14:textId="77777777" w:rsidR="003B4CA1" w:rsidRPr="0076197C" w:rsidRDefault="003B4CA1" w:rsidP="003B4CA1">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رغم الاعتراف العالمي المتزايد بأهمية دمج مبادئ الاستدامة في المشاريع الإنشائية، إلا أن تطبيق هذه المبادئ في السياقات المحلية لا يزال يواجه تحديات متعددة تتعلق بالإدراك، والالتزام، والكفاءة الاقتصادية. وبحسب تقرير برنامج الأمم المتحدة للبيئة</w:t>
      </w:r>
      <w:r w:rsidRPr="0076197C">
        <w:rPr>
          <w:rFonts w:ascii="Traditional Arabic" w:hAnsi="Traditional Arabic" w:cs="Traditional Arabic"/>
          <w:sz w:val="28"/>
          <w:szCs w:val="28"/>
        </w:rPr>
        <w:t xml:space="preserve"> (UNEP, 2022)</w:t>
      </w:r>
      <w:r w:rsidRPr="0076197C">
        <w:rPr>
          <w:rFonts w:ascii="Traditional Arabic" w:hAnsi="Traditional Arabic" w:cs="Traditional Arabic"/>
          <w:sz w:val="28"/>
          <w:szCs w:val="28"/>
          <w:rtl/>
        </w:rPr>
        <w:t>، فإن قطاع البناء مسؤول عن 37% من انبعاثات الكربون التشغيلية على مستوى العالم، مما يجعله محورًا رئيسيًا في جهود التحول نحو الاستدامة</w:t>
      </w:r>
      <w:r w:rsidRPr="0076197C">
        <w:rPr>
          <w:rFonts w:ascii="Traditional Arabic" w:hAnsi="Traditional Arabic" w:cs="Traditional Arabic"/>
          <w:sz w:val="28"/>
          <w:szCs w:val="28"/>
        </w:rPr>
        <w:t>.</w:t>
      </w:r>
    </w:p>
    <w:p w14:paraId="066A45CF" w14:textId="77777777" w:rsidR="003B4CA1" w:rsidRPr="0076197C" w:rsidRDefault="003B4CA1" w:rsidP="003B4CA1">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المملكة العربية السعودية، يتسارع الاهتمام الرسمي بتبني ممارسات الاستدامة في إطار رؤية 2030، إلا أن الواقع العملي يكشف عن تفاوت واضح في مستوى تبني هذه الممارسات بين الشركات الإنشائية، وعدم وضوح الأثر الفعلي لها على نتائج المشاريع من حيث الجودة، التكلفة، أو الالتزام الزمني. وتشير دراسات مثل</w:t>
      </w:r>
      <w:r w:rsidRPr="0076197C">
        <w:rPr>
          <w:rFonts w:ascii="Traditional Arabic" w:hAnsi="Traditional Arabic" w:cs="Traditional Arabic"/>
          <w:sz w:val="28"/>
          <w:szCs w:val="28"/>
        </w:rPr>
        <w:t xml:space="preserve"> Rajabi et al. (2022) </w:t>
      </w:r>
      <w:r w:rsidRPr="0076197C">
        <w:rPr>
          <w:rFonts w:ascii="Traditional Arabic" w:hAnsi="Traditional Arabic" w:cs="Traditional Arabic"/>
          <w:sz w:val="28"/>
          <w:szCs w:val="28"/>
          <w:rtl/>
        </w:rPr>
        <w:t>إلى أن وجود مؤشرات تقييم دقيقة للاستدامة يرتبط ارتباطًا وثيقًا بنجاح المشاريع، إلا أن عوامل مثل التكاليف الأولية المرتفعة، ونقص الخبرات، وضعف الإطار التنظيمي، تظل من أبرز العوائق أمام التطبيق الفعّال</w:t>
      </w:r>
      <w:r w:rsidRPr="0076197C">
        <w:rPr>
          <w:rFonts w:ascii="Traditional Arabic" w:hAnsi="Traditional Arabic" w:cs="Traditional Arabic"/>
          <w:sz w:val="28"/>
          <w:szCs w:val="28"/>
        </w:rPr>
        <w:t>.</w:t>
      </w:r>
    </w:p>
    <w:p w14:paraId="37B4DBED" w14:textId="6A7DB628" w:rsidR="004A45AD" w:rsidRPr="0076197C" w:rsidRDefault="004A45AD" w:rsidP="004A45AD">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من هذا المنطلق، تنبع الحاجة إلى دراسة علمية تحليلية تسعى إلى استكشاف العلاقة بين تطبيق مبادئ الاستدامة وأداء المشاريع الإنشائية في المملكة، وفهم التحديات التي تحول دون تحقيق هذا التكامل. كما تبرز أهمية البحث في تطوير أدوات قياس فع</w:t>
      </w:r>
      <w:r w:rsidR="00C13483" w:rsidRPr="0076197C">
        <w:rPr>
          <w:rFonts w:ascii="Traditional Arabic" w:hAnsi="Traditional Arabic" w:cs="Traditional Arabic"/>
          <w:sz w:val="28"/>
          <w:szCs w:val="28"/>
          <w:rtl/>
        </w:rPr>
        <w:t>ا</w:t>
      </w:r>
      <w:r w:rsidRPr="0076197C">
        <w:rPr>
          <w:rFonts w:ascii="Traditional Arabic" w:hAnsi="Traditional Arabic" w:cs="Traditional Arabic"/>
          <w:sz w:val="28"/>
          <w:szCs w:val="28"/>
          <w:rtl/>
        </w:rPr>
        <w:t>لة تساعد على تقييم مدى نجاح تطبيق الاستدامة، بما يسهم في تعزيز جودة التنفيذ وتقليل الهدر وتحقيق الجدوى الاقتصادية والبيئية للمشروعات</w:t>
      </w:r>
    </w:p>
    <w:p w14:paraId="2BCC3A4F" w14:textId="77777777" w:rsidR="004A45AD" w:rsidRPr="0076197C" w:rsidRDefault="004A45AD" w:rsidP="004A45AD">
      <w:pPr>
        <w:bidi/>
        <w:spacing w:after="200" w:line="480" w:lineRule="auto"/>
        <w:rPr>
          <w:rFonts w:ascii="Traditional Arabic" w:hAnsi="Traditional Arabic" w:cs="Traditional Arabic"/>
          <w:sz w:val="28"/>
          <w:szCs w:val="28"/>
        </w:rPr>
      </w:pPr>
    </w:p>
    <w:p w14:paraId="3D5497B3" w14:textId="77777777" w:rsidR="0021489E" w:rsidRPr="0076197C" w:rsidRDefault="0021489E" w:rsidP="0021489E">
      <w:pPr>
        <w:bidi/>
        <w:spacing w:after="200" w:line="480" w:lineRule="auto"/>
        <w:rPr>
          <w:rFonts w:ascii="Traditional Arabic" w:hAnsi="Traditional Arabic" w:cs="Traditional Arabic"/>
          <w:sz w:val="28"/>
          <w:szCs w:val="28"/>
          <w:u w:val="single"/>
        </w:rPr>
      </w:pPr>
      <w:r w:rsidRPr="0076197C">
        <w:rPr>
          <w:rFonts w:ascii="Traditional Arabic" w:hAnsi="Traditional Arabic" w:cs="Traditional Arabic"/>
          <w:b/>
          <w:bCs/>
          <w:sz w:val="28"/>
          <w:szCs w:val="28"/>
          <w:u w:val="single"/>
          <w:rtl/>
        </w:rPr>
        <w:lastRenderedPageBreak/>
        <w:t>التساؤلات البحثية</w:t>
      </w:r>
    </w:p>
    <w:p w14:paraId="714C9068"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للإجابة على مشكلة البحث وتحقيق أهداف الدراسة، تسعى الدراسة إلى الإجابة عن الأسئلة التالية</w:t>
      </w:r>
      <w:r w:rsidRPr="0076197C">
        <w:rPr>
          <w:rFonts w:ascii="Traditional Arabic" w:hAnsi="Traditional Arabic" w:cs="Traditional Arabic"/>
          <w:sz w:val="28"/>
          <w:szCs w:val="28"/>
        </w:rPr>
        <w:t>:</w:t>
      </w:r>
    </w:p>
    <w:p w14:paraId="437DCF12"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ما هو أثر تطبيق مبادئ الاستدامة على التكلفة الإجمالية للمشاريع الإنشائية؟</w:t>
      </w:r>
    </w:p>
    <w:p w14:paraId="4C7DB809"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كيف يؤثر تطبيق مبادئ الاستدامة على رضا العملاء في المشاريع الإنشائية؟</w:t>
      </w:r>
    </w:p>
    <w:p w14:paraId="0E0A0A96"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ما هو تأثير تطبيق مبادئ الاستدامة على جودة المشاريع الإنشائية؟</w:t>
      </w:r>
    </w:p>
    <w:p w14:paraId="3244E3C0"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كيف يؤثر تطبيق مبادئ الاستدامة على الالتزام بالجدول الزمني لتسليم المشاريع الإنشائية؟</w:t>
      </w:r>
    </w:p>
    <w:p w14:paraId="17E20CA0"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هل تلعب العوامل البيئية والتنظيمية للمشروع (حجم المشروع، نوع المشروع، السياسات الحكومية، مستوى الوعي بالممارسات الحكومية) دورًا وسيطًا في العلاقة بين تطبيق مبادئ الاستدامة وأداء المشاريع الإنشائية؟</w:t>
      </w:r>
    </w:p>
    <w:p w14:paraId="2D1FD5DA" w14:textId="77777777" w:rsidR="0021489E" w:rsidRPr="0076197C" w:rsidRDefault="0021489E" w:rsidP="0021489E">
      <w:pPr>
        <w:bidi/>
        <w:spacing w:after="200" w:line="480" w:lineRule="auto"/>
        <w:rPr>
          <w:rFonts w:ascii="Traditional Arabic" w:hAnsi="Traditional Arabic" w:cs="Traditional Arabic"/>
          <w:b/>
          <w:bCs/>
          <w:sz w:val="28"/>
          <w:szCs w:val="28"/>
          <w:rtl/>
        </w:rPr>
      </w:pPr>
    </w:p>
    <w:p w14:paraId="71CD989F" w14:textId="77777777" w:rsidR="004A45AD" w:rsidRPr="0076197C" w:rsidRDefault="004A45AD" w:rsidP="004A45AD">
      <w:pPr>
        <w:bidi/>
        <w:spacing w:after="200" w:line="480" w:lineRule="auto"/>
        <w:rPr>
          <w:rFonts w:ascii="Traditional Arabic" w:hAnsi="Traditional Arabic" w:cs="Traditional Arabic"/>
          <w:b/>
          <w:bCs/>
          <w:sz w:val="28"/>
          <w:szCs w:val="28"/>
          <w:rtl/>
        </w:rPr>
      </w:pPr>
    </w:p>
    <w:p w14:paraId="7918E507" w14:textId="77777777" w:rsidR="004A45AD" w:rsidRPr="0076197C" w:rsidRDefault="004A45AD" w:rsidP="004A45AD">
      <w:pPr>
        <w:bidi/>
        <w:spacing w:after="200" w:line="480" w:lineRule="auto"/>
        <w:rPr>
          <w:rFonts w:ascii="Traditional Arabic" w:hAnsi="Traditional Arabic" w:cs="Traditional Arabic"/>
          <w:b/>
          <w:bCs/>
          <w:sz w:val="28"/>
          <w:szCs w:val="28"/>
          <w:rtl/>
        </w:rPr>
      </w:pPr>
    </w:p>
    <w:p w14:paraId="57A60FB7" w14:textId="77777777" w:rsidR="004A45AD" w:rsidRPr="0076197C" w:rsidRDefault="004A45AD" w:rsidP="004A45AD">
      <w:pPr>
        <w:bidi/>
        <w:spacing w:after="200" w:line="480" w:lineRule="auto"/>
        <w:rPr>
          <w:rFonts w:ascii="Traditional Arabic" w:hAnsi="Traditional Arabic" w:cs="Traditional Arabic"/>
          <w:b/>
          <w:bCs/>
          <w:sz w:val="28"/>
          <w:szCs w:val="28"/>
          <w:rtl/>
        </w:rPr>
      </w:pPr>
    </w:p>
    <w:p w14:paraId="1785E2BC"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28C9344F" w14:textId="77777777" w:rsidR="00293633" w:rsidRPr="0076197C" w:rsidRDefault="00293633" w:rsidP="00293633">
      <w:pPr>
        <w:bidi/>
        <w:spacing w:after="200" w:line="480" w:lineRule="auto"/>
        <w:rPr>
          <w:rFonts w:ascii="Traditional Arabic" w:hAnsi="Traditional Arabic" w:cs="Traditional Arabic"/>
          <w:sz w:val="28"/>
          <w:szCs w:val="28"/>
          <w:rtl/>
        </w:rPr>
      </w:pPr>
    </w:p>
    <w:p w14:paraId="14138A46" w14:textId="2AE56C68" w:rsidR="0021489E" w:rsidRPr="0076197C" w:rsidRDefault="008B55FF" w:rsidP="0021489E">
      <w:pPr>
        <w:bidi/>
        <w:spacing w:after="200" w:line="480" w:lineRule="auto"/>
        <w:rPr>
          <w:rFonts w:ascii="Traditional Arabic" w:hAnsi="Traditional Arabic" w:cs="Traditional Arabic"/>
          <w:b/>
          <w:bCs/>
          <w:sz w:val="28"/>
          <w:szCs w:val="28"/>
          <w:u w:val="single"/>
        </w:rPr>
      </w:pPr>
      <w:r w:rsidRPr="008B55FF">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w:t>
      </w:r>
      <w:r w:rsidRPr="008B55FF">
        <w:rPr>
          <w:rFonts w:ascii="Traditional Arabic" w:hAnsi="Traditional Arabic" w:cs="Traditional Arabic" w:hint="cs"/>
          <w:b/>
          <w:bCs/>
          <w:sz w:val="28"/>
          <w:szCs w:val="28"/>
          <w:rtl/>
        </w:rPr>
        <w:t xml:space="preserve">-3 </w:t>
      </w:r>
      <w:r w:rsidR="0021489E" w:rsidRPr="0076197C">
        <w:rPr>
          <w:rFonts w:ascii="Traditional Arabic" w:hAnsi="Traditional Arabic" w:cs="Traditional Arabic"/>
          <w:b/>
          <w:bCs/>
          <w:sz w:val="28"/>
          <w:szCs w:val="28"/>
          <w:u w:val="single"/>
          <w:rtl/>
        </w:rPr>
        <w:t>أهمية الدراسة (النظرية والتطبيقية)</w:t>
      </w:r>
    </w:p>
    <w:p w14:paraId="4CAC6197"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تشير الإحصائيات العالمية إلى أن قطاع البناء والتشييد يمثل أكثر من </w:t>
      </w:r>
      <w:r w:rsidRPr="0076197C">
        <w:rPr>
          <w:rFonts w:ascii="Traditional Arabic" w:hAnsi="Traditional Arabic" w:cs="Traditional Arabic"/>
          <w:sz w:val="28"/>
          <w:szCs w:val="28"/>
        </w:rPr>
        <w:t xml:space="preserve">34% </w:t>
      </w:r>
      <w:r w:rsidRPr="0076197C">
        <w:rPr>
          <w:rFonts w:ascii="Traditional Arabic" w:hAnsi="Traditional Arabic" w:cs="Traditional Arabic"/>
          <w:sz w:val="28"/>
          <w:szCs w:val="28"/>
          <w:rtl/>
        </w:rPr>
        <w:t xml:space="preserve">من الطلب العالمي على الطاقة، ويساهم بحوالي </w:t>
      </w:r>
      <w:r w:rsidRPr="0076197C">
        <w:rPr>
          <w:rFonts w:ascii="Traditional Arabic" w:hAnsi="Traditional Arabic" w:cs="Traditional Arabic"/>
          <w:sz w:val="28"/>
          <w:szCs w:val="28"/>
        </w:rPr>
        <w:t xml:space="preserve">37% </w:t>
      </w:r>
      <w:r w:rsidRPr="0076197C">
        <w:rPr>
          <w:rFonts w:ascii="Traditional Arabic" w:hAnsi="Traditional Arabic" w:cs="Traditional Arabic"/>
          <w:sz w:val="28"/>
          <w:szCs w:val="28"/>
          <w:rtl/>
        </w:rPr>
        <w:t>من انبعاثات ثاني أكسيد الكربون المرتبطة بالعمليات التشغيلية في عام 2021، وفقًا لتقرير برنامج الأمم المتحدة للبيئة</w:t>
      </w:r>
      <w:r w:rsidRPr="0076197C">
        <w:rPr>
          <w:rFonts w:ascii="Traditional Arabic" w:hAnsi="Traditional Arabic" w:cs="Traditional Arabic"/>
          <w:sz w:val="28"/>
          <w:szCs w:val="28"/>
        </w:rPr>
        <w:t xml:space="preserve"> (UNEP, 2022). </w:t>
      </w:r>
      <w:r w:rsidRPr="0076197C">
        <w:rPr>
          <w:rFonts w:ascii="Traditional Arabic" w:hAnsi="Traditional Arabic" w:cs="Traditional Arabic"/>
          <w:sz w:val="28"/>
          <w:szCs w:val="28"/>
          <w:rtl/>
        </w:rPr>
        <w:t>هذه الأرقام تعكس التأثير البيئي الكبير لهذا القطاع، مما يبرز الحاجة الملحة إلى تعزيز ممارسات الاستدامة وتقليل البصمة الكربونية للمشروعات الإنشائية</w:t>
      </w:r>
      <w:r w:rsidRPr="0076197C">
        <w:rPr>
          <w:rFonts w:ascii="Traditional Arabic" w:hAnsi="Traditional Arabic" w:cs="Traditional Arabic"/>
          <w:sz w:val="28"/>
          <w:szCs w:val="28"/>
        </w:rPr>
        <w:t>.</w:t>
      </w:r>
    </w:p>
    <w:p w14:paraId="0C28C69C"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على المستوى المحلي، يُعتبر قطاع البناء في المملكة العربية السعودية أحد المحركات الرئيسية للاقتصاد، حيث يساهم بنسبة كبيرة في الناتج المحلي الإجمالي، ويشهد نموًا متسارعًا في ظل رؤية السعودية 2030 التي تركز على التنمية المستدامة. كما أن تبني الاستدامة في المشاريع الإنشائية يمكن أن يؤدي إلى خفض استهلاك الموارد وتقليل التكاليف التشغيلية، وزيادة الكفاءة في تنفيذ المشاريع، وفقًا لدراسات حديثة تناولت تأثير الاستدامة على أداء المشاريع الإنشائية في المنطقة</w:t>
      </w:r>
      <w:r w:rsidRPr="0076197C">
        <w:rPr>
          <w:rFonts w:ascii="Traditional Arabic" w:hAnsi="Traditional Arabic" w:cs="Traditional Arabic"/>
          <w:sz w:val="28"/>
          <w:szCs w:val="28"/>
        </w:rPr>
        <w:t>.</w:t>
      </w:r>
    </w:p>
    <w:p w14:paraId="1357FF9A"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بناءً على هذه المعطيات، تكتسب الدراسة الحالية أهمية كبيرة من ناحيتين رئيسيتين</w:t>
      </w:r>
      <w:r w:rsidRPr="0076197C">
        <w:rPr>
          <w:rFonts w:ascii="Traditional Arabic" w:hAnsi="Traditional Arabic" w:cs="Traditional Arabic"/>
          <w:sz w:val="28"/>
          <w:szCs w:val="28"/>
        </w:rPr>
        <w:t>:</w:t>
      </w:r>
    </w:p>
    <w:p w14:paraId="31F581E0" w14:textId="77777777" w:rsidR="0021489E" w:rsidRPr="0076197C" w:rsidRDefault="0021489E" w:rsidP="0021489E">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أولًا: الأهمية النظرية</w:t>
      </w:r>
    </w:p>
    <w:p w14:paraId="32843A6E" w14:textId="77777777" w:rsidR="0021489E" w:rsidRPr="0076197C" w:rsidRDefault="0021489E" w:rsidP="0021489E">
      <w:pPr>
        <w:numPr>
          <w:ilvl w:val="0"/>
          <w:numId w:val="35"/>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تعزيز الفهم الأكاديمي</w:t>
      </w:r>
      <w:r w:rsidRPr="0076197C">
        <w:rPr>
          <w:rFonts w:ascii="Traditional Arabic" w:hAnsi="Traditional Arabic" w:cs="Traditional Arabic"/>
          <w:sz w:val="28"/>
          <w:szCs w:val="28"/>
        </w:rPr>
        <w:br/>
      </w:r>
      <w:r w:rsidRPr="0076197C">
        <w:rPr>
          <w:rFonts w:ascii="Traditional Arabic" w:hAnsi="Traditional Arabic" w:cs="Traditional Arabic"/>
          <w:sz w:val="28"/>
          <w:szCs w:val="28"/>
          <w:rtl/>
        </w:rPr>
        <w:t>تساعد هذه الدراسة في توسيع المعرفة الأكاديمية حول مفهوم الاستدامة في قطاع البناء والتشييد، مما يدعم تطوير الأبحاث العلمية في هذا المجال. كما توفر للباحثين والطلاب تحليلات ونتائج تتعلق بتأثير الاستدامة على المشاريع الإنشائية، مما يفتح آفاقًا جديدة للبحث العلمي</w:t>
      </w:r>
      <w:r w:rsidRPr="0076197C">
        <w:rPr>
          <w:rFonts w:ascii="Traditional Arabic" w:hAnsi="Traditional Arabic" w:cs="Traditional Arabic"/>
          <w:sz w:val="28"/>
          <w:szCs w:val="28"/>
        </w:rPr>
        <w:t>.</w:t>
      </w:r>
    </w:p>
    <w:p w14:paraId="15C24F73" w14:textId="77777777" w:rsidR="0021489E" w:rsidRPr="0076197C" w:rsidRDefault="0021489E" w:rsidP="0021489E">
      <w:pPr>
        <w:numPr>
          <w:ilvl w:val="0"/>
          <w:numId w:val="35"/>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lastRenderedPageBreak/>
        <w:t>تطوير معايير قياس الأداء</w:t>
      </w:r>
      <w:r w:rsidRPr="0076197C">
        <w:rPr>
          <w:rFonts w:ascii="Traditional Arabic" w:hAnsi="Traditional Arabic" w:cs="Traditional Arabic"/>
          <w:sz w:val="28"/>
          <w:szCs w:val="28"/>
        </w:rPr>
        <w:br/>
      </w:r>
      <w:r w:rsidRPr="0076197C">
        <w:rPr>
          <w:rFonts w:ascii="Traditional Arabic" w:hAnsi="Traditional Arabic" w:cs="Traditional Arabic"/>
          <w:sz w:val="28"/>
          <w:szCs w:val="28"/>
          <w:rtl/>
        </w:rPr>
        <w:t>تسهم الدراسة في إثراء الأدبيات العلمية من خلال اقتراح وتطوير معايير وأدوات لقياس مدى نجاح تطبيق الاستدامة في المشاريع الإنشائية</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يمكن لهذه المعايير أن تكون مرجعًا أساسيًا للباحثين عند دراسة أداء المشاريع المستدامة وتحليل تأثيرها على الجوانب الاقتصادية والبيئية والاجتماعية</w:t>
      </w:r>
      <w:r w:rsidRPr="0076197C">
        <w:rPr>
          <w:rFonts w:ascii="Traditional Arabic" w:hAnsi="Traditional Arabic" w:cs="Traditional Arabic"/>
          <w:sz w:val="28"/>
          <w:szCs w:val="28"/>
        </w:rPr>
        <w:t>.</w:t>
      </w:r>
    </w:p>
    <w:p w14:paraId="5A6EBF2D" w14:textId="77777777" w:rsidR="0021489E" w:rsidRPr="0076197C" w:rsidRDefault="0021489E" w:rsidP="0021489E">
      <w:pPr>
        <w:numPr>
          <w:ilvl w:val="0"/>
          <w:numId w:val="35"/>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تحقيق التنمية المستدامة</w:t>
      </w:r>
      <w:r w:rsidRPr="0076197C">
        <w:rPr>
          <w:rFonts w:ascii="Traditional Arabic" w:hAnsi="Traditional Arabic" w:cs="Traditional Arabic"/>
          <w:sz w:val="28"/>
          <w:szCs w:val="28"/>
        </w:rPr>
        <w:br/>
      </w:r>
      <w:r w:rsidRPr="0076197C">
        <w:rPr>
          <w:rFonts w:ascii="Traditional Arabic" w:hAnsi="Traditional Arabic" w:cs="Traditional Arabic"/>
          <w:sz w:val="28"/>
          <w:szCs w:val="28"/>
          <w:rtl/>
        </w:rPr>
        <w:t>تقدم الدراسة رؤية نظرية متكاملة حول دور الاستدامة في تعزيز التنمية المستدامة، من خلال تحليل العلاقة بين ممارسات البناء المستدامة وأثرها على الاقتصاد والبيئة والمجتمع</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وتوفر هذه الرؤية إطارًا علميًا يمكن الاعتماد عليه في الأبحاث المستقبلية المتعلقة بالتنمية المستدامة</w:t>
      </w:r>
      <w:r w:rsidRPr="0076197C">
        <w:rPr>
          <w:rFonts w:ascii="Traditional Arabic" w:hAnsi="Traditional Arabic" w:cs="Traditional Arabic"/>
          <w:sz w:val="28"/>
          <w:szCs w:val="28"/>
        </w:rPr>
        <w:t>.</w:t>
      </w:r>
    </w:p>
    <w:p w14:paraId="65A8F75D" w14:textId="77777777" w:rsidR="0021489E" w:rsidRPr="0076197C" w:rsidRDefault="0021489E" w:rsidP="0021489E">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ثانيًا: الأهمية التطبيقية</w:t>
      </w:r>
    </w:p>
    <w:p w14:paraId="1E2698B5" w14:textId="77777777" w:rsidR="0021489E" w:rsidRPr="0076197C" w:rsidRDefault="0021489E" w:rsidP="0021489E">
      <w:pPr>
        <w:numPr>
          <w:ilvl w:val="0"/>
          <w:numId w:val="36"/>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تحسين الممارسات الصناعية</w:t>
      </w:r>
      <w:r w:rsidRPr="0076197C">
        <w:rPr>
          <w:rFonts w:ascii="Traditional Arabic" w:hAnsi="Traditional Arabic" w:cs="Traditional Arabic"/>
          <w:sz w:val="28"/>
          <w:szCs w:val="28"/>
        </w:rPr>
        <w:br/>
      </w:r>
      <w:r w:rsidRPr="0076197C">
        <w:rPr>
          <w:rFonts w:ascii="Traditional Arabic" w:hAnsi="Traditional Arabic" w:cs="Traditional Arabic"/>
          <w:sz w:val="28"/>
          <w:szCs w:val="28"/>
          <w:rtl/>
        </w:rPr>
        <w:t>توفر الدراسة توصيات عملية للشركات الإنشائية حول كيفية تبني وتنفيذ ممارسات الاستدامة بفعالية. من خلال تحليل تأثير الاستدامة على جودة المشاريع وكفاءتها، يمكن مساعدة الشركات على تحسين الأداء، تقليل التكاليف التشغيلية، وزيادة رضا العملاء</w:t>
      </w:r>
      <w:r w:rsidRPr="0076197C">
        <w:rPr>
          <w:rFonts w:ascii="Traditional Arabic" w:hAnsi="Traditional Arabic" w:cs="Traditional Arabic"/>
          <w:sz w:val="28"/>
          <w:szCs w:val="28"/>
        </w:rPr>
        <w:t>.</w:t>
      </w:r>
    </w:p>
    <w:p w14:paraId="49BD1D23" w14:textId="77777777" w:rsidR="0021489E" w:rsidRPr="0076197C" w:rsidRDefault="0021489E" w:rsidP="0021489E">
      <w:pPr>
        <w:numPr>
          <w:ilvl w:val="0"/>
          <w:numId w:val="36"/>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دعم السياسات الحكومية</w:t>
      </w:r>
      <w:r w:rsidRPr="0076197C">
        <w:rPr>
          <w:rFonts w:ascii="Traditional Arabic" w:hAnsi="Traditional Arabic" w:cs="Traditional Arabic"/>
          <w:sz w:val="28"/>
          <w:szCs w:val="28"/>
        </w:rPr>
        <w:br/>
      </w:r>
      <w:r w:rsidRPr="0076197C">
        <w:rPr>
          <w:rFonts w:ascii="Traditional Arabic" w:hAnsi="Traditional Arabic" w:cs="Traditional Arabic"/>
          <w:sz w:val="28"/>
          <w:szCs w:val="28"/>
          <w:rtl/>
        </w:rPr>
        <w:t xml:space="preserve">يمكن أن تسهم نتائج البحث في مساعدة صناع القرار والجهات الحكومية على تطوير استراتيجيات مستدامة </w:t>
      </w:r>
      <w:r w:rsidRPr="0076197C">
        <w:rPr>
          <w:rFonts w:ascii="Traditional Arabic" w:hAnsi="Traditional Arabic" w:cs="Traditional Arabic"/>
          <w:sz w:val="28"/>
          <w:szCs w:val="28"/>
          <w:rtl/>
        </w:rPr>
        <w:lastRenderedPageBreak/>
        <w:t>في قطاع البناء</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من خلال تقديم بيانات وتحليلات مدروسة، يمكن دعم الجهود الحكومية لتحقيق أهداف رؤية السعودية 2030 وتعزيز الالتزام بالمعايير البيئية</w:t>
      </w:r>
      <w:r w:rsidRPr="0076197C">
        <w:rPr>
          <w:rFonts w:ascii="Traditional Arabic" w:hAnsi="Traditional Arabic" w:cs="Traditional Arabic"/>
          <w:sz w:val="28"/>
          <w:szCs w:val="28"/>
        </w:rPr>
        <w:t>.</w:t>
      </w:r>
    </w:p>
    <w:p w14:paraId="7713A932" w14:textId="77777777" w:rsidR="0021489E" w:rsidRPr="0076197C" w:rsidRDefault="0021489E" w:rsidP="0021489E">
      <w:pPr>
        <w:numPr>
          <w:ilvl w:val="0"/>
          <w:numId w:val="36"/>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توجيه الاستثمارات</w:t>
      </w:r>
      <w:r w:rsidRPr="0076197C">
        <w:rPr>
          <w:rFonts w:ascii="Traditional Arabic" w:hAnsi="Traditional Arabic" w:cs="Traditional Arabic"/>
          <w:sz w:val="28"/>
          <w:szCs w:val="28"/>
        </w:rPr>
        <w:br/>
      </w:r>
      <w:r w:rsidRPr="0076197C">
        <w:rPr>
          <w:rFonts w:ascii="Traditional Arabic" w:hAnsi="Traditional Arabic" w:cs="Traditional Arabic"/>
          <w:sz w:val="28"/>
          <w:szCs w:val="28"/>
          <w:rtl/>
        </w:rPr>
        <w:t>تساعد الدراسة في توجيه الاستثمارات نحو المشاريع المستدامة، مما يسهم في تحقيق عوائد مالية طويلة الأجل وتقليل الأثر البيئي</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من خلال تقديم أدلة علمية على الفوائد الاقتصادية للاستدامة، يمكن تحفيز المستثمرين على دعم المشاريع التي تعتمد على ممارسات مستدامة</w:t>
      </w:r>
      <w:r w:rsidRPr="0076197C">
        <w:rPr>
          <w:rFonts w:ascii="Traditional Arabic" w:hAnsi="Traditional Arabic" w:cs="Traditional Arabic"/>
          <w:sz w:val="28"/>
          <w:szCs w:val="28"/>
        </w:rPr>
        <w:t>.</w:t>
      </w:r>
    </w:p>
    <w:p w14:paraId="484EC911" w14:textId="77777777" w:rsidR="0021489E" w:rsidRPr="0076197C" w:rsidRDefault="0021489E" w:rsidP="0021489E">
      <w:pPr>
        <w:numPr>
          <w:ilvl w:val="0"/>
          <w:numId w:val="36"/>
        </w:numPr>
        <w:bidi/>
        <w:spacing w:after="200" w:line="480" w:lineRule="auto"/>
        <w:rPr>
          <w:rFonts w:ascii="Traditional Arabic" w:hAnsi="Traditional Arabic" w:cs="Traditional Arabic"/>
          <w:sz w:val="28"/>
          <w:szCs w:val="28"/>
          <w:rtl/>
        </w:rPr>
      </w:pPr>
      <w:r w:rsidRPr="0076197C">
        <w:rPr>
          <w:rFonts w:ascii="Traditional Arabic" w:hAnsi="Traditional Arabic" w:cs="Traditional Arabic"/>
          <w:b/>
          <w:bCs/>
          <w:sz w:val="28"/>
          <w:szCs w:val="28"/>
          <w:rtl/>
        </w:rPr>
        <w:t>تعزيز الوعي المجتمعي</w:t>
      </w:r>
      <w:r w:rsidRPr="0076197C">
        <w:rPr>
          <w:rFonts w:ascii="Traditional Arabic" w:hAnsi="Traditional Arabic" w:cs="Traditional Arabic"/>
          <w:sz w:val="28"/>
          <w:szCs w:val="28"/>
        </w:rPr>
        <w:br/>
      </w:r>
      <w:r w:rsidRPr="0076197C">
        <w:rPr>
          <w:rFonts w:ascii="Traditional Arabic" w:hAnsi="Traditional Arabic" w:cs="Traditional Arabic"/>
          <w:sz w:val="28"/>
          <w:szCs w:val="28"/>
          <w:rtl/>
        </w:rPr>
        <w:t>تساهم نتائج الدراسة في زيادة الوعي حول أهمية الاستدامة، سواء بين العاملين في قطاع البناء أو بين أفراد المجتمع. يمكن أن يساعد في تغيير سلوك الأفراد نحو ممارسات أكثر استدامة، مثل تقليل استهلاك الموارد ودعم المباني الخضراء والمستدامة</w:t>
      </w:r>
      <w:r w:rsidRPr="0076197C">
        <w:rPr>
          <w:rFonts w:ascii="Traditional Arabic" w:hAnsi="Traditional Arabic" w:cs="Traditional Arabic"/>
          <w:sz w:val="28"/>
          <w:szCs w:val="28"/>
        </w:rPr>
        <w:t>.</w:t>
      </w:r>
    </w:p>
    <w:p w14:paraId="11846C38" w14:textId="3E859271" w:rsidR="0021489E" w:rsidRPr="0076197C" w:rsidRDefault="00F75D91" w:rsidP="0021489E">
      <w:pPr>
        <w:bidi/>
        <w:spacing w:after="200" w:line="480" w:lineRule="auto"/>
        <w:rPr>
          <w:rFonts w:ascii="Traditional Arabic" w:hAnsi="Traditional Arabic" w:cs="Traditional Arabic"/>
          <w:b/>
          <w:bCs/>
          <w:sz w:val="28"/>
          <w:szCs w:val="28"/>
          <w:u w:val="single"/>
          <w:rtl/>
        </w:rPr>
      </w:pPr>
      <w:r w:rsidRPr="00F75D91">
        <w:rPr>
          <w:rFonts w:ascii="Traditional Arabic" w:hAnsi="Traditional Arabic" w:cs="Traditional Arabic" w:hint="cs"/>
          <w:b/>
          <w:bCs/>
          <w:sz w:val="28"/>
          <w:szCs w:val="28"/>
          <w:rtl/>
        </w:rPr>
        <w:t>1</w:t>
      </w:r>
      <w:r w:rsidR="007D1670">
        <w:rPr>
          <w:rFonts w:ascii="Traditional Arabic" w:hAnsi="Traditional Arabic" w:cs="Traditional Arabic" w:hint="cs"/>
          <w:b/>
          <w:bCs/>
          <w:sz w:val="28"/>
          <w:szCs w:val="28"/>
          <w:rtl/>
        </w:rPr>
        <w:t>-1</w:t>
      </w:r>
      <w:r w:rsidRPr="00F75D91">
        <w:rPr>
          <w:rFonts w:ascii="Traditional Arabic" w:hAnsi="Traditional Arabic" w:cs="Traditional Arabic" w:hint="cs"/>
          <w:b/>
          <w:bCs/>
          <w:sz w:val="28"/>
          <w:szCs w:val="28"/>
          <w:rtl/>
        </w:rPr>
        <w:t>-4</w:t>
      </w:r>
      <w:r>
        <w:rPr>
          <w:rFonts w:ascii="Traditional Arabic" w:hAnsi="Traditional Arabic" w:cs="Traditional Arabic" w:hint="cs"/>
          <w:b/>
          <w:bCs/>
          <w:sz w:val="28"/>
          <w:szCs w:val="28"/>
          <w:u w:val="single"/>
          <w:rtl/>
        </w:rPr>
        <w:t xml:space="preserve"> </w:t>
      </w:r>
      <w:r w:rsidR="0021489E" w:rsidRPr="0076197C">
        <w:rPr>
          <w:rFonts w:ascii="Traditional Arabic" w:hAnsi="Traditional Arabic" w:cs="Traditional Arabic"/>
          <w:b/>
          <w:bCs/>
          <w:sz w:val="28"/>
          <w:szCs w:val="28"/>
          <w:u w:val="single"/>
          <w:rtl/>
        </w:rPr>
        <w:t>أهداف الدراسة</w:t>
      </w:r>
    </w:p>
    <w:p w14:paraId="0A66E3D9" w14:textId="77777777" w:rsidR="004A45AD" w:rsidRPr="0076197C" w:rsidRDefault="004A45AD" w:rsidP="004A45AD">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تهدف هذه الدراسة إلى تحليل أثر تطبيق مبادئ الاستدامة على </w:t>
      </w:r>
      <w:r w:rsidRPr="0076197C">
        <w:rPr>
          <w:rFonts w:ascii="Traditional Arabic" w:hAnsi="Traditional Arabic" w:cs="Traditional Arabic"/>
          <w:b/>
          <w:bCs/>
          <w:sz w:val="28"/>
          <w:szCs w:val="28"/>
          <w:rtl/>
        </w:rPr>
        <w:t>أداء المشاريع الإنشائية</w:t>
      </w:r>
      <w:r w:rsidRPr="0076197C">
        <w:rPr>
          <w:rFonts w:ascii="Traditional Arabic" w:hAnsi="Traditional Arabic" w:cs="Traditional Arabic"/>
          <w:sz w:val="28"/>
          <w:szCs w:val="28"/>
          <w:rtl/>
        </w:rPr>
        <w:t xml:space="preserve"> في المملكة العربية السعودية، حيث يتم قياس الأداء من خلال أربعة أبعاد رئيسية</w:t>
      </w:r>
      <w:r w:rsidRPr="0076197C">
        <w:rPr>
          <w:rFonts w:ascii="Traditional Arabic" w:hAnsi="Traditional Arabic" w:cs="Traditional Arabic"/>
          <w:sz w:val="28"/>
          <w:szCs w:val="28"/>
        </w:rPr>
        <w:t xml:space="preserve">: </w:t>
      </w:r>
      <w:r w:rsidRPr="0076197C">
        <w:rPr>
          <w:rFonts w:ascii="Traditional Arabic" w:hAnsi="Traditional Arabic" w:cs="Traditional Arabic"/>
          <w:b/>
          <w:bCs/>
          <w:sz w:val="28"/>
          <w:szCs w:val="28"/>
          <w:rtl/>
        </w:rPr>
        <w:t>جودة المشروع، تكلفته، الجدول الزمني لتنفيذه، ورضا العملاء</w:t>
      </w:r>
      <w:r w:rsidRPr="0076197C">
        <w:rPr>
          <w:rFonts w:ascii="Traditional Arabic" w:hAnsi="Traditional Arabic" w:cs="Traditional Arabic"/>
          <w:sz w:val="28"/>
          <w:szCs w:val="28"/>
        </w:rPr>
        <w:t>.</w:t>
      </w:r>
    </w:p>
    <w:p w14:paraId="283FC291" w14:textId="42E8F603" w:rsidR="004A45AD" w:rsidRPr="0076197C" w:rsidRDefault="004A45AD" w:rsidP="004A45AD">
      <w:pPr>
        <w:bidi/>
        <w:spacing w:after="200" w:line="480" w:lineRule="auto"/>
        <w:rPr>
          <w:rFonts w:ascii="Traditional Arabic" w:hAnsi="Traditional Arabic" w:cs="Traditional Arabic"/>
          <w:sz w:val="28"/>
          <w:szCs w:val="28"/>
        </w:rPr>
      </w:pPr>
    </w:p>
    <w:p w14:paraId="3117FA23" w14:textId="7C15448F" w:rsidR="004A45AD" w:rsidRPr="0076197C" w:rsidRDefault="004A45AD" w:rsidP="004A45AD">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lastRenderedPageBreak/>
        <w:t xml:space="preserve">الأهداف الفرعية </w:t>
      </w:r>
    </w:p>
    <w:p w14:paraId="748375CF"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تحليل أثر تطبيق مبادئ الاستدامة على التكلفة الإجمالية للمشاريع الإنشائية</w:t>
      </w:r>
      <w:r w:rsidRPr="0076197C">
        <w:rPr>
          <w:rFonts w:ascii="Traditional Arabic" w:eastAsia="Times New Roman" w:hAnsi="Traditional Arabic" w:cs="Traditional Arabic"/>
          <w:sz w:val="28"/>
          <w:szCs w:val="28"/>
        </w:rPr>
        <w:t>.</w:t>
      </w:r>
    </w:p>
    <w:p w14:paraId="724B6B46"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دراسة تأثير تطبيق مبادئ الاستدامة على رضا العملاء في المشاريع الإنشائية</w:t>
      </w:r>
      <w:r w:rsidRPr="0076197C">
        <w:rPr>
          <w:rFonts w:ascii="Traditional Arabic" w:eastAsia="Times New Roman" w:hAnsi="Traditional Arabic" w:cs="Traditional Arabic"/>
          <w:sz w:val="28"/>
          <w:szCs w:val="28"/>
        </w:rPr>
        <w:t>.</w:t>
      </w:r>
    </w:p>
    <w:p w14:paraId="525F5DFB"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تقييم أثر تطبيق مبادئ الاستدامة على جودة المشاريع الإنشائية</w:t>
      </w:r>
      <w:r w:rsidRPr="0076197C">
        <w:rPr>
          <w:rFonts w:ascii="Traditional Arabic" w:eastAsia="Times New Roman" w:hAnsi="Traditional Arabic" w:cs="Traditional Arabic"/>
          <w:sz w:val="28"/>
          <w:szCs w:val="28"/>
        </w:rPr>
        <w:t>.</w:t>
      </w:r>
    </w:p>
    <w:p w14:paraId="2FA54246"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تحليل تأثير تطبيق مبادئ الاستدامة على الالتزام بالجدول الزمني لتسليم المشاريع</w:t>
      </w:r>
      <w:r w:rsidRPr="0076197C">
        <w:rPr>
          <w:rFonts w:ascii="Traditional Arabic" w:eastAsia="Times New Roman" w:hAnsi="Traditional Arabic" w:cs="Traditional Arabic"/>
          <w:sz w:val="28"/>
          <w:szCs w:val="28"/>
        </w:rPr>
        <w:t>.</w:t>
      </w:r>
    </w:p>
    <w:p w14:paraId="71EC33F8"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دراسة دور العوامل البيئية والتنظيمية للمشروع (حجم المشروع، نوع المشروع، السياسات الحكومية، مستوى الوعي بالممارسات الحكومية) في العلاقة بين تطبيق مبادئ الاستدامة وأداء المشاريع الإنشائية</w:t>
      </w:r>
      <w:r w:rsidRPr="0076197C">
        <w:rPr>
          <w:rFonts w:ascii="Traditional Arabic" w:eastAsia="Times New Roman" w:hAnsi="Traditional Arabic" w:cs="Traditional Arabic"/>
          <w:sz w:val="28"/>
          <w:szCs w:val="28"/>
        </w:rPr>
        <w:t>.</w:t>
      </w:r>
    </w:p>
    <w:p w14:paraId="0D92A84F"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تقديم توصيات لتحسين دمج مبادئ الاستدامة في إدارة المشاريع الإنشائية بالمملكة العربية السعودية</w:t>
      </w:r>
      <w:r w:rsidRPr="0076197C">
        <w:rPr>
          <w:rFonts w:ascii="Traditional Arabic" w:eastAsia="Times New Roman" w:hAnsi="Traditional Arabic" w:cs="Traditional Arabic"/>
          <w:sz w:val="28"/>
          <w:szCs w:val="28"/>
        </w:rPr>
        <w:t>.</w:t>
      </w:r>
    </w:p>
    <w:p w14:paraId="14E6511A" w14:textId="77777777" w:rsidR="004A45AD" w:rsidRPr="0076197C" w:rsidRDefault="004A45AD" w:rsidP="004A45AD">
      <w:pPr>
        <w:bidi/>
        <w:spacing w:after="200" w:line="480" w:lineRule="auto"/>
        <w:rPr>
          <w:rFonts w:ascii="Traditional Arabic" w:hAnsi="Traditional Arabic" w:cs="Traditional Arabic"/>
          <w:sz w:val="28"/>
          <w:szCs w:val="28"/>
          <w:rtl/>
        </w:rPr>
      </w:pPr>
    </w:p>
    <w:p w14:paraId="6D5954BA"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7F4B0DE4"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06A914CC"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5EAFA768"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4ED438A7"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3E5FC537" w14:textId="77777777" w:rsidR="00D327DE" w:rsidRPr="0076197C" w:rsidRDefault="00D327DE" w:rsidP="00D327DE">
      <w:pPr>
        <w:bidi/>
        <w:spacing w:after="200" w:line="480" w:lineRule="auto"/>
        <w:rPr>
          <w:rFonts w:ascii="Traditional Arabic" w:hAnsi="Traditional Arabic" w:cs="Traditional Arabic"/>
          <w:sz w:val="28"/>
          <w:szCs w:val="28"/>
          <w:rtl/>
        </w:rPr>
      </w:pPr>
    </w:p>
    <w:p w14:paraId="54089818" w14:textId="3DEA2242" w:rsidR="0021489E" w:rsidRPr="00A64588" w:rsidRDefault="00365DC1" w:rsidP="00A64588">
      <w:pPr>
        <w:bidi/>
        <w:spacing w:after="200" w:line="480" w:lineRule="auto"/>
        <w:rPr>
          <w:rFonts w:ascii="Traditional Arabic" w:hAnsi="Traditional Arabic" w:cs="Traditional Arabic"/>
          <w:b/>
          <w:bCs/>
          <w:sz w:val="28"/>
          <w:szCs w:val="28"/>
          <w:rtl/>
        </w:rPr>
      </w:pPr>
      <w:r w:rsidRPr="00365DC1">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w:t>
      </w:r>
      <w:r w:rsidR="007D1670" w:rsidRPr="007D1670">
        <w:rPr>
          <w:rFonts w:ascii="Traditional Arabic" w:hAnsi="Traditional Arabic" w:cs="Traditional Arabic" w:hint="cs"/>
          <w:b/>
          <w:bCs/>
          <w:sz w:val="28"/>
          <w:szCs w:val="28"/>
          <w:rtl/>
        </w:rPr>
        <w:t>1-5</w:t>
      </w:r>
      <w:r>
        <w:rPr>
          <w:rFonts w:ascii="Traditional Arabic" w:hAnsi="Traditional Arabic" w:cs="Traditional Arabic" w:hint="cs"/>
          <w:b/>
          <w:bCs/>
          <w:sz w:val="28"/>
          <w:szCs w:val="28"/>
          <w:u w:val="single"/>
          <w:rtl/>
        </w:rPr>
        <w:t xml:space="preserve"> </w:t>
      </w:r>
      <w:r w:rsidR="0021489E" w:rsidRPr="0076197C">
        <w:rPr>
          <w:rFonts w:ascii="Traditional Arabic" w:hAnsi="Traditional Arabic" w:cs="Traditional Arabic"/>
          <w:b/>
          <w:bCs/>
          <w:sz w:val="28"/>
          <w:szCs w:val="28"/>
          <w:u w:val="single"/>
          <w:rtl/>
        </w:rPr>
        <w:t>فرضيات الدراسة</w:t>
      </w:r>
    </w:p>
    <w:p w14:paraId="15DF20B3" w14:textId="756FFF84" w:rsidR="00D327DE" w:rsidRPr="0076197C" w:rsidRDefault="0021489E" w:rsidP="00D327D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رغم الجهود المبذولة من قبل الحكومة السعودية لتعزيز الاستدامة في مختلف القطاعات، بما فيها قطاع البناء والتشييد، لا تزال هناك تساؤلات حول مدى تطبيق الشركات الإنشائية لهذه المبادئ في مشاريعها وتتجلى فروض البحث في النقاط التالية:</w:t>
      </w:r>
    </w:p>
    <w:p w14:paraId="2BF63FAE" w14:textId="4F26725F" w:rsidR="00D327DE" w:rsidRPr="0076197C"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Pr>
      </w:pPr>
      <w:r w:rsidRPr="0076197C">
        <w:rPr>
          <w:rFonts w:ascii="Traditional Arabic" w:eastAsia="Times New Roman" w:hAnsi="Traditional Arabic" w:cs="Traditional Arabic"/>
          <w:b/>
          <w:bCs/>
          <w:sz w:val="28"/>
          <w:szCs w:val="28"/>
          <w:u w:val="single"/>
          <w:rtl/>
        </w:rPr>
        <w:t>الفرضية الرئيسية</w:t>
      </w:r>
    </w:p>
    <w:p w14:paraId="20F5C915" w14:textId="6EF78D4E" w:rsidR="00D327DE" w:rsidRPr="0076197C" w:rsidRDefault="00D327DE" w:rsidP="00D327DE">
      <w:pPr>
        <w:bidi/>
        <w:spacing w:beforeAutospacing="1" w:after="100" w:afterAutospacing="1" w:line="24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w:t>
      </w:r>
      <w:r w:rsidRPr="0076197C">
        <w:rPr>
          <w:rFonts w:ascii="Traditional Arabic" w:eastAsia="Times New Roman" w:hAnsi="Traditional Arabic" w:cs="Traditional Arabic"/>
          <w:sz w:val="28"/>
          <w:szCs w:val="28"/>
        </w:rPr>
        <w:t xml:space="preserve"> </w:t>
      </w:r>
      <w:r w:rsidRPr="0076197C">
        <w:rPr>
          <w:rFonts w:ascii="Traditional Arabic" w:eastAsia="Times New Roman" w:hAnsi="Traditional Arabic" w:cs="Traditional Arabic"/>
          <w:sz w:val="28"/>
          <w:szCs w:val="28"/>
          <w:rtl/>
        </w:rPr>
        <w:t>توجد علاقة ذات دلالة إحصائية بين تطبيق مبادئ الاستدامة وأداء المشاريع الإنشائية في الشركات الإنشائية السعودية</w:t>
      </w:r>
      <w:r w:rsidRPr="0076197C">
        <w:rPr>
          <w:rFonts w:ascii="Traditional Arabic" w:eastAsia="Times New Roman" w:hAnsi="Traditional Arabic" w:cs="Traditional Arabic"/>
          <w:sz w:val="28"/>
          <w:szCs w:val="28"/>
        </w:rPr>
        <w:t>.</w:t>
      </w:r>
    </w:p>
    <w:p w14:paraId="1030006D" w14:textId="77777777" w:rsidR="00D327DE" w:rsidRPr="0076197C" w:rsidRDefault="00D327DE" w:rsidP="00D327DE">
      <w:pPr>
        <w:bidi/>
        <w:spacing w:after="0" w:line="240" w:lineRule="auto"/>
        <w:rPr>
          <w:rFonts w:ascii="Traditional Arabic" w:eastAsia="Times New Roman" w:hAnsi="Traditional Arabic" w:cs="Traditional Arabic"/>
          <w:sz w:val="28"/>
          <w:szCs w:val="28"/>
        </w:rPr>
      </w:pPr>
    </w:p>
    <w:p w14:paraId="1C8D0840" w14:textId="49364474" w:rsidR="00D327DE" w:rsidRPr="0076197C" w:rsidRDefault="00D327DE" w:rsidP="00D327DE">
      <w:pPr>
        <w:bidi/>
        <w:spacing w:before="100" w:beforeAutospacing="1" w:after="100" w:afterAutospacing="1" w:line="240" w:lineRule="auto"/>
        <w:outlineLvl w:val="2"/>
        <w:rPr>
          <w:rFonts w:ascii="Traditional Arabic" w:eastAsia="Times New Roman" w:hAnsi="Traditional Arabic" w:cs="Traditional Arabic" w:hint="cs"/>
          <w:b/>
          <w:bCs/>
          <w:sz w:val="28"/>
          <w:szCs w:val="28"/>
          <w:u w:val="single"/>
          <w:rtl/>
        </w:rPr>
      </w:pPr>
      <w:r w:rsidRPr="0076197C">
        <w:rPr>
          <w:rFonts w:ascii="Traditional Arabic" w:eastAsia="Times New Roman" w:hAnsi="Traditional Arabic" w:cs="Traditional Arabic"/>
          <w:b/>
          <w:bCs/>
          <w:sz w:val="28"/>
          <w:szCs w:val="28"/>
          <w:u w:val="single"/>
          <w:rtl/>
        </w:rPr>
        <w:t>الفرضيات الفرعية (بصيغة موحدة</w:t>
      </w:r>
      <w:r w:rsidR="007B66CB">
        <w:rPr>
          <w:rFonts w:ascii="Traditional Arabic" w:eastAsia="Times New Roman" w:hAnsi="Traditional Arabic" w:cs="Traditional Arabic" w:hint="cs"/>
          <w:b/>
          <w:bCs/>
          <w:sz w:val="28"/>
          <w:szCs w:val="28"/>
          <w:u w:val="single"/>
          <w:rtl/>
        </w:rPr>
        <w:t>)</w:t>
      </w:r>
    </w:p>
    <w:p w14:paraId="698250FF" w14:textId="5A8846AC"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H1</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w:t>
      </w:r>
      <w:r w:rsidRPr="0076197C">
        <w:rPr>
          <w:rFonts w:ascii="Traditional Arabic" w:eastAsia="Times New Roman" w:hAnsi="Traditional Arabic" w:cs="Traditional Arabic"/>
          <w:sz w:val="28"/>
          <w:szCs w:val="28"/>
        </w:rPr>
        <w:t xml:space="preserve"> </w:t>
      </w:r>
      <w:r w:rsidR="00222D10" w:rsidRPr="0076197C">
        <w:rPr>
          <w:rFonts w:ascii="Traditional Arabic" w:eastAsia="Times New Roman" w:hAnsi="Traditional Arabic" w:cs="Traditional Arabic"/>
          <w:sz w:val="28"/>
          <w:szCs w:val="28"/>
          <w:rtl/>
        </w:rPr>
        <w:t xml:space="preserve">توجد علاقة ذات دلالة إحصائية بين </w:t>
      </w:r>
      <w:r w:rsidRPr="0076197C">
        <w:rPr>
          <w:rFonts w:ascii="Traditional Arabic" w:eastAsia="Times New Roman" w:hAnsi="Traditional Arabic" w:cs="Traditional Arabic"/>
          <w:sz w:val="28"/>
          <w:szCs w:val="28"/>
          <w:rtl/>
        </w:rPr>
        <w:t xml:space="preserve">تطبيق مبادئ الاستدامة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التكلفة الإجمالية للمشاريع الإنشائية</w:t>
      </w:r>
      <w:r w:rsidRPr="0076197C">
        <w:rPr>
          <w:rFonts w:ascii="Traditional Arabic" w:eastAsia="Times New Roman" w:hAnsi="Traditional Arabic" w:cs="Traditional Arabic"/>
          <w:sz w:val="28"/>
          <w:szCs w:val="28"/>
        </w:rPr>
        <w:t>.</w:t>
      </w:r>
    </w:p>
    <w:p w14:paraId="476A26FF" w14:textId="77613D55"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2:</w:t>
      </w:r>
      <w:r w:rsidRPr="0076197C">
        <w:rPr>
          <w:rFonts w:ascii="Traditional Arabic" w:eastAsia="Times New Roman" w:hAnsi="Traditional Arabic" w:cs="Traditional Arabic"/>
          <w:sz w:val="28"/>
          <w:szCs w:val="28"/>
        </w:rPr>
        <w:t xml:space="preserve"> </w:t>
      </w:r>
      <w:r w:rsidR="00222D10" w:rsidRPr="0076197C">
        <w:rPr>
          <w:rFonts w:ascii="Traditional Arabic" w:eastAsia="Times New Roman" w:hAnsi="Traditional Arabic" w:cs="Traditional Arabic"/>
          <w:sz w:val="28"/>
          <w:szCs w:val="28"/>
          <w:rtl/>
        </w:rPr>
        <w:t>توجد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رضا العملاء في المشاريع الإنشائية</w:t>
      </w:r>
      <w:r w:rsidRPr="0076197C">
        <w:rPr>
          <w:rFonts w:ascii="Traditional Arabic" w:eastAsia="Times New Roman" w:hAnsi="Traditional Arabic" w:cs="Traditional Arabic"/>
          <w:sz w:val="28"/>
          <w:szCs w:val="28"/>
        </w:rPr>
        <w:t>.</w:t>
      </w:r>
    </w:p>
    <w:p w14:paraId="4E66CEBE" w14:textId="6FA7AD7D"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3:</w:t>
      </w:r>
      <w:r w:rsidRPr="0076197C">
        <w:rPr>
          <w:rFonts w:ascii="Traditional Arabic" w:eastAsia="Times New Roman" w:hAnsi="Traditional Arabic" w:cs="Traditional Arabic"/>
          <w:sz w:val="28"/>
          <w:szCs w:val="28"/>
        </w:rPr>
        <w:t xml:space="preserve"> </w:t>
      </w:r>
      <w:r w:rsidR="00222D10" w:rsidRPr="0076197C">
        <w:rPr>
          <w:rFonts w:ascii="Traditional Arabic" w:eastAsia="Times New Roman" w:hAnsi="Traditional Arabic" w:cs="Traditional Arabic"/>
          <w:sz w:val="28"/>
          <w:szCs w:val="28"/>
          <w:rtl/>
        </w:rPr>
        <w:t>توجد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جودة المشاريع الإنشائية</w:t>
      </w:r>
      <w:r w:rsidRPr="0076197C">
        <w:rPr>
          <w:rFonts w:ascii="Traditional Arabic" w:eastAsia="Times New Roman" w:hAnsi="Traditional Arabic" w:cs="Traditional Arabic"/>
          <w:sz w:val="28"/>
          <w:szCs w:val="28"/>
        </w:rPr>
        <w:t>.</w:t>
      </w:r>
    </w:p>
    <w:p w14:paraId="59161B26" w14:textId="76ACF274"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4:</w:t>
      </w:r>
      <w:r w:rsidRPr="0076197C">
        <w:rPr>
          <w:rFonts w:ascii="Traditional Arabic" w:eastAsia="Times New Roman" w:hAnsi="Traditional Arabic" w:cs="Traditional Arabic"/>
          <w:sz w:val="28"/>
          <w:szCs w:val="28"/>
        </w:rPr>
        <w:t xml:space="preserve"> </w:t>
      </w:r>
      <w:r w:rsidR="00222D10" w:rsidRPr="0076197C">
        <w:rPr>
          <w:rFonts w:ascii="Traditional Arabic" w:eastAsia="Times New Roman" w:hAnsi="Traditional Arabic" w:cs="Traditional Arabic"/>
          <w:sz w:val="28"/>
          <w:szCs w:val="28"/>
          <w:rtl/>
        </w:rPr>
        <w:t>توجد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 xml:space="preserve">و </w:t>
      </w:r>
      <w:r w:rsidRPr="0076197C">
        <w:rPr>
          <w:rFonts w:ascii="Traditional Arabic" w:eastAsia="Times New Roman" w:hAnsi="Traditional Arabic" w:cs="Traditional Arabic"/>
          <w:sz w:val="28"/>
          <w:szCs w:val="28"/>
          <w:rtl/>
        </w:rPr>
        <w:t>الالتزام بالجدول الزمني لتسليم المشاريع الإنشائية</w:t>
      </w:r>
      <w:r w:rsidRPr="0076197C">
        <w:rPr>
          <w:rFonts w:ascii="Traditional Arabic" w:eastAsia="Times New Roman" w:hAnsi="Traditional Arabic" w:cs="Traditional Arabic"/>
          <w:sz w:val="28"/>
          <w:szCs w:val="28"/>
        </w:rPr>
        <w:t>.</w:t>
      </w:r>
    </w:p>
    <w:p w14:paraId="401C6FA0" w14:textId="556EF230"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5:</w:t>
      </w:r>
      <w:r w:rsidRPr="0076197C">
        <w:rPr>
          <w:rFonts w:ascii="Traditional Arabic" w:eastAsia="Times New Roman" w:hAnsi="Traditional Arabic" w:cs="Traditional Arabic"/>
          <w:sz w:val="28"/>
          <w:szCs w:val="28"/>
        </w:rPr>
        <w:t xml:space="preserve"> </w:t>
      </w:r>
      <w:r w:rsidRPr="0076197C">
        <w:rPr>
          <w:rFonts w:ascii="Traditional Arabic" w:eastAsia="Times New Roman" w:hAnsi="Traditional Arabic" w:cs="Traditional Arabic"/>
          <w:sz w:val="28"/>
          <w:szCs w:val="28"/>
          <w:rtl/>
        </w:rPr>
        <w:t>تتوسط العوامل البيئية والتنظيمية للمشروع (حجم المشروع، نوع المشروع، السياسات الحكومية، مستوى الوعي بالممارسات الحكومية) العلاقة بين تطبيق مبادئ الاستدامة وأداء المشاريع الإنشائية</w:t>
      </w:r>
      <w:r w:rsidRPr="0076197C">
        <w:rPr>
          <w:rFonts w:ascii="Traditional Arabic" w:eastAsia="Times New Roman" w:hAnsi="Traditional Arabic" w:cs="Traditional Arabic"/>
          <w:sz w:val="28"/>
          <w:szCs w:val="28"/>
        </w:rPr>
        <w:t>.</w:t>
      </w:r>
    </w:p>
    <w:p w14:paraId="097A393D" w14:textId="77777777" w:rsidR="00D327DE" w:rsidRPr="0076197C" w:rsidRDefault="00D327DE" w:rsidP="00D327DE">
      <w:pPr>
        <w:bidi/>
        <w:spacing w:after="200" w:line="480" w:lineRule="auto"/>
        <w:rPr>
          <w:rFonts w:ascii="Traditional Arabic" w:hAnsi="Traditional Arabic" w:cs="Traditional Arabic"/>
          <w:b/>
          <w:bCs/>
          <w:sz w:val="28"/>
          <w:szCs w:val="28"/>
          <w:u w:val="single"/>
          <w:rtl/>
        </w:rPr>
      </w:pPr>
    </w:p>
    <w:p w14:paraId="6C95525E" w14:textId="6B6AE706" w:rsidR="0021489E" w:rsidRPr="0076197C" w:rsidRDefault="00A54BAC" w:rsidP="00D327DE">
      <w:pPr>
        <w:bidi/>
        <w:spacing w:after="200" w:line="480" w:lineRule="auto"/>
        <w:rPr>
          <w:rFonts w:ascii="Traditional Arabic" w:hAnsi="Traditional Arabic" w:cs="Traditional Arabic"/>
          <w:b/>
          <w:bCs/>
          <w:sz w:val="28"/>
          <w:szCs w:val="28"/>
          <w:u w:val="single"/>
          <w:rtl/>
        </w:rPr>
      </w:pPr>
      <w:r w:rsidRPr="00A54BAC">
        <w:rPr>
          <w:rFonts w:ascii="Traditional Arabic" w:hAnsi="Traditional Arabic" w:cs="Traditional Arabic" w:hint="cs"/>
          <w:b/>
          <w:bCs/>
          <w:sz w:val="28"/>
          <w:szCs w:val="28"/>
          <w:rtl/>
        </w:rPr>
        <w:lastRenderedPageBreak/>
        <w:t>1-</w:t>
      </w:r>
      <w:r w:rsidR="00495654">
        <w:rPr>
          <w:rFonts w:ascii="Traditional Arabic" w:hAnsi="Traditional Arabic" w:cs="Traditional Arabic" w:hint="cs"/>
          <w:b/>
          <w:bCs/>
          <w:sz w:val="28"/>
          <w:szCs w:val="28"/>
          <w:rtl/>
        </w:rPr>
        <w:t>1-6</w:t>
      </w:r>
      <w:r w:rsidRPr="00A54BAC">
        <w:rPr>
          <w:rFonts w:ascii="Traditional Arabic" w:hAnsi="Traditional Arabic" w:cs="Traditional Arabic" w:hint="cs"/>
          <w:b/>
          <w:bCs/>
          <w:sz w:val="28"/>
          <w:szCs w:val="28"/>
          <w:rtl/>
        </w:rPr>
        <w:t xml:space="preserve"> </w:t>
      </w:r>
      <w:r w:rsidR="0021489E" w:rsidRPr="0076197C">
        <w:rPr>
          <w:rFonts w:ascii="Traditional Arabic" w:hAnsi="Traditional Arabic" w:cs="Traditional Arabic"/>
          <w:b/>
          <w:bCs/>
          <w:sz w:val="28"/>
          <w:szCs w:val="28"/>
          <w:u w:val="single"/>
          <w:rtl/>
        </w:rPr>
        <w:t>نموذج الدراسة</w:t>
      </w:r>
    </w:p>
    <w:p w14:paraId="3785C886"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نموذج الدراسة يهدف إلى تحليل تأثير تطبيق مبادئ الاستدامة على أداء المشاريع الإنشائية في الشركات السعودية. يتكون النموذج من ثلاثة متغيرات رئيسية:</w:t>
      </w:r>
    </w:p>
    <w:p w14:paraId="226A9792" w14:textId="77777777" w:rsidR="0021489E" w:rsidRPr="0076197C" w:rsidRDefault="0021489E" w:rsidP="0021489E">
      <w:pPr>
        <w:pStyle w:val="ListParagraph"/>
        <w:numPr>
          <w:ilvl w:val="0"/>
          <w:numId w:val="21"/>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المتغير المستقل: تطبيق مبادئ الاستدامة</w:t>
      </w:r>
    </w:p>
    <w:p w14:paraId="6E457C2D" w14:textId="27709B0A" w:rsidR="0021489E" w:rsidRPr="0076197C" w:rsidRDefault="0021489E" w:rsidP="0021489E">
      <w:pPr>
        <w:pStyle w:val="ListParagraph"/>
        <w:numPr>
          <w:ilvl w:val="0"/>
          <w:numId w:val="21"/>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المتغير التابع: أداء المشروع</w:t>
      </w:r>
    </w:p>
    <w:p w14:paraId="7AB9B6C4" w14:textId="2D1C7A4B" w:rsidR="0021489E" w:rsidRPr="0076197C" w:rsidRDefault="002E4E50" w:rsidP="0021489E">
      <w:pPr>
        <w:pStyle w:val="ListParagraph"/>
        <w:numPr>
          <w:ilvl w:val="0"/>
          <w:numId w:val="21"/>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noProof/>
          <w:sz w:val="28"/>
          <w:szCs w:val="28"/>
          <w:rtl/>
        </w:rPr>
        <w:drawing>
          <wp:anchor distT="0" distB="0" distL="114300" distR="114300" simplePos="0" relativeHeight="251660800" behindDoc="0" locked="0" layoutInCell="1" allowOverlap="1" wp14:anchorId="2EE4DD7B" wp14:editId="350D1ECF">
            <wp:simplePos x="0" y="0"/>
            <wp:positionH relativeFrom="margin">
              <wp:align>right</wp:align>
            </wp:positionH>
            <wp:positionV relativeFrom="paragraph">
              <wp:posOffset>504825</wp:posOffset>
            </wp:positionV>
            <wp:extent cx="5238750" cy="3038475"/>
            <wp:effectExtent l="0" t="0" r="0" b="9525"/>
            <wp:wrapTopAndBottom/>
            <wp:docPr id="114084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84791" name=""/>
                    <pic:cNvPicPr/>
                  </pic:nvPicPr>
                  <pic:blipFill>
                    <a:blip r:embed="rId9">
                      <a:extLst>
                        <a:ext uri="{28A0092B-C50C-407E-A947-70E740481C1C}">
                          <a14:useLocalDpi xmlns:a14="http://schemas.microsoft.com/office/drawing/2010/main" val="0"/>
                        </a:ext>
                      </a:extLst>
                    </a:blip>
                    <a:stretch>
                      <a:fillRect/>
                    </a:stretch>
                  </pic:blipFill>
                  <pic:spPr>
                    <a:xfrm>
                      <a:off x="0" y="0"/>
                      <a:ext cx="5238750" cy="3038475"/>
                    </a:xfrm>
                    <a:prstGeom prst="rect">
                      <a:avLst/>
                    </a:prstGeom>
                  </pic:spPr>
                </pic:pic>
              </a:graphicData>
            </a:graphic>
            <wp14:sizeRelH relativeFrom="margin">
              <wp14:pctWidth>0</wp14:pctWidth>
            </wp14:sizeRelH>
            <wp14:sizeRelV relativeFrom="margin">
              <wp14:pctHeight>0</wp14:pctHeight>
            </wp14:sizeRelV>
          </wp:anchor>
        </w:drawing>
      </w:r>
      <w:r w:rsidR="0021489E" w:rsidRPr="0076197C">
        <w:rPr>
          <w:rFonts w:ascii="Traditional Arabic" w:hAnsi="Traditional Arabic" w:cs="Traditional Arabic"/>
          <w:sz w:val="28"/>
          <w:szCs w:val="28"/>
          <w:rtl/>
        </w:rPr>
        <w:t>المتغيرات الوسيطة/المعدلة: حجم الشركة، نوع المشروع، السياسات الحكومية، ومستوى الوعي بالاستدامة.</w:t>
      </w:r>
    </w:p>
    <w:p w14:paraId="1195F142" w14:textId="77777777" w:rsidR="002E4E50" w:rsidRPr="0076197C" w:rsidRDefault="002E4E50" w:rsidP="00832917">
      <w:pPr>
        <w:bidi/>
        <w:spacing w:after="200" w:line="480" w:lineRule="auto"/>
        <w:rPr>
          <w:rFonts w:ascii="Traditional Arabic" w:hAnsi="Traditional Arabic" w:cs="Traditional Arabic"/>
          <w:sz w:val="28"/>
          <w:szCs w:val="28"/>
        </w:rPr>
      </w:pPr>
    </w:p>
    <w:p w14:paraId="03D75B65" w14:textId="77777777" w:rsidR="0021489E" w:rsidRPr="0076197C" w:rsidRDefault="0021489E" w:rsidP="0021489E">
      <w:pPr>
        <w:bidi/>
        <w:spacing w:after="200" w:line="480" w:lineRule="auto"/>
        <w:rPr>
          <w:rFonts w:ascii="Traditional Arabic" w:hAnsi="Traditional Arabic" w:cs="Traditional Arabic"/>
          <w:sz w:val="28"/>
          <w:szCs w:val="28"/>
          <w:rtl/>
        </w:rPr>
      </w:pPr>
      <w:r w:rsidRPr="0076197C">
        <w:rPr>
          <w:rFonts w:ascii="Traditional Arabic" w:hAnsi="Traditional Arabic" w:cs="Traditional Arabic"/>
          <w:b/>
          <w:bCs/>
          <w:sz w:val="28"/>
          <w:szCs w:val="28"/>
          <w:u w:val="single"/>
          <w:cs/>
        </w:rPr>
        <w:t>‎</w:t>
      </w:r>
    </w:p>
    <w:p w14:paraId="5F916006" w14:textId="77777777" w:rsidR="00293633" w:rsidRPr="0076197C" w:rsidRDefault="00293633" w:rsidP="0021489E">
      <w:pPr>
        <w:bidi/>
        <w:spacing w:after="200" w:line="480" w:lineRule="auto"/>
        <w:rPr>
          <w:rFonts w:ascii="Traditional Arabic" w:hAnsi="Traditional Arabic" w:cs="Traditional Arabic"/>
          <w:b/>
          <w:bCs/>
          <w:sz w:val="28"/>
          <w:szCs w:val="28"/>
          <w:u w:val="single"/>
          <w:rtl/>
        </w:rPr>
      </w:pPr>
    </w:p>
    <w:p w14:paraId="0250B392" w14:textId="77777777" w:rsidR="00CA1EC1" w:rsidRPr="0076197C" w:rsidRDefault="00CA1EC1" w:rsidP="00CA1EC1">
      <w:pPr>
        <w:bidi/>
        <w:spacing w:after="200" w:line="480" w:lineRule="auto"/>
        <w:rPr>
          <w:rFonts w:ascii="Traditional Arabic" w:hAnsi="Traditional Arabic" w:cs="Traditional Arabic"/>
          <w:b/>
          <w:bCs/>
          <w:sz w:val="28"/>
          <w:szCs w:val="28"/>
          <w:u w:val="single"/>
          <w:rtl/>
        </w:rPr>
      </w:pPr>
    </w:p>
    <w:p w14:paraId="4CEB775D" w14:textId="0A334A86" w:rsidR="0021489E" w:rsidRPr="0076197C" w:rsidRDefault="00B26866" w:rsidP="00CA1EC1">
      <w:pPr>
        <w:bidi/>
        <w:spacing w:after="200" w:line="480" w:lineRule="auto"/>
        <w:rPr>
          <w:rFonts w:ascii="Traditional Arabic" w:hAnsi="Traditional Arabic" w:cs="Traditional Arabic"/>
          <w:b/>
          <w:bCs/>
          <w:sz w:val="28"/>
          <w:szCs w:val="28"/>
          <w:u w:val="single"/>
          <w:rtl/>
        </w:rPr>
      </w:pPr>
      <w:r w:rsidRPr="00B26866">
        <w:rPr>
          <w:rFonts w:ascii="Traditional Arabic" w:hAnsi="Traditional Arabic" w:cs="Traditional Arabic" w:hint="cs"/>
          <w:b/>
          <w:bCs/>
          <w:sz w:val="28"/>
          <w:szCs w:val="28"/>
          <w:rtl/>
        </w:rPr>
        <w:lastRenderedPageBreak/>
        <w:t>1</w:t>
      </w:r>
      <w:r w:rsidR="00495654">
        <w:rPr>
          <w:rFonts w:ascii="Traditional Arabic" w:hAnsi="Traditional Arabic" w:cs="Traditional Arabic" w:hint="cs"/>
          <w:b/>
          <w:bCs/>
          <w:sz w:val="28"/>
          <w:szCs w:val="28"/>
          <w:rtl/>
        </w:rPr>
        <w:t>-1-7</w:t>
      </w:r>
      <w:r>
        <w:rPr>
          <w:rFonts w:ascii="Traditional Arabic" w:hAnsi="Traditional Arabic" w:cs="Traditional Arabic" w:hint="cs"/>
          <w:b/>
          <w:bCs/>
          <w:sz w:val="28"/>
          <w:szCs w:val="28"/>
          <w:u w:val="single"/>
          <w:rtl/>
        </w:rPr>
        <w:t xml:space="preserve"> </w:t>
      </w:r>
      <w:r w:rsidR="0021489E" w:rsidRPr="0076197C">
        <w:rPr>
          <w:rFonts w:ascii="Traditional Arabic" w:hAnsi="Traditional Arabic" w:cs="Traditional Arabic"/>
          <w:b/>
          <w:bCs/>
          <w:sz w:val="28"/>
          <w:szCs w:val="28"/>
          <w:u w:val="single"/>
          <w:rtl/>
        </w:rPr>
        <w:t>مصطلحات الدراسة وتعريفاتها الاجرائية</w:t>
      </w:r>
    </w:p>
    <w:p w14:paraId="004F036E" w14:textId="77777777" w:rsidR="0021489E" w:rsidRPr="0076197C" w:rsidRDefault="0021489E" w:rsidP="0021489E">
      <w:pPr>
        <w:pStyle w:val="ListParagraph"/>
        <w:numPr>
          <w:ilvl w:val="0"/>
          <w:numId w:val="15"/>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الاستدامة: تطبيق ممارسات تهدف إلى تلبية احتياجات الحاضر دون المساس بقدرة الأجيال القادمة على تلبية احتياجاتهم. (التعريف الإجرائي: سيتم قياس الاستدامة من خلال مؤشرات مثل نسبة استخدام المواد المعاد تدويرها، معدل استهلاك الطاقة والمياه، كمية النفايات الناتجة).</w:t>
      </w:r>
    </w:p>
    <w:p w14:paraId="724341DD" w14:textId="77777777" w:rsidR="0021489E" w:rsidRPr="0076197C" w:rsidRDefault="0021489E" w:rsidP="0021489E">
      <w:pPr>
        <w:pStyle w:val="ListParagraph"/>
        <w:numPr>
          <w:ilvl w:val="0"/>
          <w:numId w:val="15"/>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أداء المشروع: مدى تحقيق المشروع للأهداف المحددة من حيث الجودة، التكلفة، والجدول الزمني. (التعريف الإجرائي: سيتم قياس أداء المشروع من خلال استبيانات لتقييم رضا العملاء، تحليل التكاليف الفعلية مقابل التكاليف المقدرة، ومقارنة الجدول الزمني الفعلي بالجدول الزمني المخطط).</w:t>
      </w:r>
    </w:p>
    <w:p w14:paraId="38342942" w14:textId="77777777" w:rsidR="00944DBD" w:rsidRPr="0076197C" w:rsidRDefault="0021489E" w:rsidP="0021489E">
      <w:pPr>
        <w:pStyle w:val="ListParagraph"/>
        <w:numPr>
          <w:ilvl w:val="0"/>
          <w:numId w:val="15"/>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الشركات الإنشائية السعودية: الشركات المسجلة رسميًا في المملكة العربية السعودية والتي تعمل في قطاع البناء والتشييد. (التعريف الإجرائي: سيتم تحديد الشركات الإنشائية السعودية بناءً على سجلات وزارة الشؤون البلدية </w:t>
      </w:r>
    </w:p>
    <w:p w14:paraId="0BD5C7B0" w14:textId="72E96972" w:rsidR="00944DBD" w:rsidRPr="0076197C" w:rsidRDefault="0021489E" w:rsidP="00CA1EC1">
      <w:pPr>
        <w:pStyle w:val="ListParagraph"/>
        <w:bidi/>
        <w:spacing w:after="200" w:line="480" w:lineRule="auto"/>
        <w:ind w:left="360"/>
        <w:rPr>
          <w:rFonts w:ascii="Traditional Arabic" w:hAnsi="Traditional Arabic" w:cs="Traditional Arabic"/>
          <w:sz w:val="28"/>
          <w:szCs w:val="28"/>
          <w:rtl/>
        </w:rPr>
      </w:pPr>
      <w:r w:rsidRPr="0076197C">
        <w:rPr>
          <w:rFonts w:ascii="Traditional Arabic" w:hAnsi="Traditional Arabic" w:cs="Traditional Arabic"/>
          <w:sz w:val="28"/>
          <w:szCs w:val="28"/>
          <w:rtl/>
        </w:rPr>
        <w:t>والقروية والإسكان والغرف التجارية).</w:t>
      </w:r>
    </w:p>
    <w:p w14:paraId="50B56A07" w14:textId="264EAD19" w:rsidR="00CA1EC1" w:rsidRPr="0076197C" w:rsidRDefault="00CA1EC1" w:rsidP="00CA1EC1">
      <w:pPr>
        <w:bidi/>
        <w:spacing w:after="200" w:line="480" w:lineRule="auto"/>
        <w:rPr>
          <w:rFonts w:ascii="Traditional Arabic" w:hAnsi="Traditional Arabic" w:cs="Traditional Arabic"/>
          <w:b/>
          <w:bCs/>
          <w:sz w:val="28"/>
          <w:szCs w:val="28"/>
          <w:u w:val="single"/>
        </w:rPr>
      </w:pPr>
      <w:r w:rsidRPr="0076197C">
        <w:rPr>
          <w:rFonts w:ascii="Traditional Arabic" w:hAnsi="Traditional Arabic" w:cs="Traditional Arabic"/>
          <w:b/>
          <w:bCs/>
          <w:sz w:val="28"/>
          <w:szCs w:val="28"/>
          <w:u w:val="single"/>
          <w:cs/>
        </w:rPr>
        <w:t>‎</w:t>
      </w:r>
      <w:r w:rsidRPr="0076197C">
        <w:rPr>
          <w:rFonts w:ascii="Traditional Arabic" w:hAnsi="Traditional Arabic" w:cs="Traditional Arabic"/>
          <w:b/>
          <w:bCs/>
          <w:sz w:val="28"/>
          <w:szCs w:val="28"/>
          <w:u w:val="single"/>
          <w:rtl/>
        </w:rPr>
        <w:t xml:space="preserve"> المصطلحات في مجال التنمية المستدامة</w:t>
      </w:r>
    </w:p>
    <w:p w14:paraId="5AB16A41" w14:textId="77777777" w:rsidR="00CA1EC1" w:rsidRPr="0076197C" w:rsidRDefault="00CA1EC1" w:rsidP="00CA1EC1">
      <w:pPr>
        <w:pStyle w:val="ListParagraph"/>
        <w:numPr>
          <w:ilvl w:val="0"/>
          <w:numId w:val="12"/>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التنمية المستدامة (</w:t>
      </w:r>
      <w:r w:rsidRPr="0076197C">
        <w:rPr>
          <w:rFonts w:ascii="Traditional Arabic" w:hAnsi="Traditional Arabic" w:cs="Traditional Arabic"/>
          <w:b/>
          <w:bCs/>
          <w:sz w:val="28"/>
          <w:szCs w:val="28"/>
        </w:rPr>
        <w:t>Sustainable Development</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تعني تلبية احتياجات الجيل الحالي دون المساس بقدرة الأجيال القادمة على تلبية احتياجاتها الخاصة.</w:t>
      </w:r>
    </w:p>
    <w:p w14:paraId="6346260A" w14:textId="77777777" w:rsidR="00CA1EC1" w:rsidRPr="0076197C" w:rsidRDefault="00CA1EC1" w:rsidP="00CA1EC1">
      <w:pPr>
        <w:pStyle w:val="ListParagraph"/>
        <w:numPr>
          <w:ilvl w:val="0"/>
          <w:numId w:val="14"/>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الاستدامة البيئية (</w:t>
      </w:r>
      <w:r w:rsidRPr="0076197C">
        <w:rPr>
          <w:rFonts w:ascii="Traditional Arabic" w:hAnsi="Traditional Arabic" w:cs="Traditional Arabic"/>
          <w:b/>
          <w:bCs/>
          <w:sz w:val="28"/>
          <w:szCs w:val="28"/>
        </w:rPr>
        <w:t>Environmental Sustainability</w:t>
      </w:r>
      <w:r w:rsidRPr="0076197C">
        <w:rPr>
          <w:rFonts w:ascii="Traditional Arabic" w:hAnsi="Traditional Arabic" w:cs="Traditional Arabic"/>
          <w:sz w:val="28"/>
          <w:szCs w:val="28"/>
          <w:rtl/>
        </w:rPr>
        <w:t>): الحفاظ على توازن البيئة دون تلفها أو استنزافها.</w:t>
      </w:r>
    </w:p>
    <w:p w14:paraId="152E3317" w14:textId="77777777" w:rsidR="00CA1EC1" w:rsidRPr="0076197C" w:rsidRDefault="00CA1EC1" w:rsidP="00CA1EC1">
      <w:pPr>
        <w:pStyle w:val="ListParagraph"/>
        <w:numPr>
          <w:ilvl w:val="0"/>
          <w:numId w:val="14"/>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lastRenderedPageBreak/>
        <w:t>الاستدامة الاقتصادية (</w:t>
      </w:r>
      <w:r w:rsidRPr="0076197C">
        <w:rPr>
          <w:rFonts w:ascii="Traditional Arabic" w:hAnsi="Traditional Arabic" w:cs="Traditional Arabic"/>
          <w:b/>
          <w:bCs/>
          <w:sz w:val="28"/>
          <w:szCs w:val="28"/>
        </w:rPr>
        <w:t>Economic Sustainability</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الحفاظ على نمو الاقتصاد دون المساس بالموارد الطبيعية.</w:t>
      </w:r>
    </w:p>
    <w:p w14:paraId="286AAA96" w14:textId="77777777" w:rsidR="00CA1EC1" w:rsidRPr="0076197C" w:rsidRDefault="00CA1EC1" w:rsidP="00CA1EC1">
      <w:pPr>
        <w:pStyle w:val="ListParagraph"/>
        <w:numPr>
          <w:ilvl w:val="0"/>
          <w:numId w:val="14"/>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الاستدامة الاجتماعية (</w:t>
      </w:r>
      <w:r w:rsidRPr="0076197C">
        <w:rPr>
          <w:rFonts w:ascii="Traditional Arabic" w:hAnsi="Traditional Arabic" w:cs="Traditional Arabic"/>
          <w:b/>
          <w:bCs/>
          <w:sz w:val="28"/>
          <w:szCs w:val="28"/>
        </w:rPr>
        <w:t>Social Sustainability</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الحفاظ على التوازن والعدالة الاجتماعية.</w:t>
      </w:r>
    </w:p>
    <w:p w14:paraId="1F1EFCEF" w14:textId="77777777" w:rsidR="00CA1EC1" w:rsidRPr="0076197C" w:rsidRDefault="00CA1EC1" w:rsidP="00CA1EC1">
      <w:pPr>
        <w:pStyle w:val="ListParagraph"/>
        <w:numPr>
          <w:ilvl w:val="0"/>
          <w:numId w:val="14"/>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الطاقة المستدامة (</w:t>
      </w:r>
      <w:r w:rsidRPr="0076197C">
        <w:rPr>
          <w:rFonts w:ascii="Traditional Arabic" w:hAnsi="Traditional Arabic" w:cs="Traditional Arabic"/>
          <w:b/>
          <w:bCs/>
          <w:sz w:val="28"/>
          <w:szCs w:val="28"/>
        </w:rPr>
        <w:t>Sustainable Energy</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الطاقة التي يمكن الحصول عليها بشكل مستدام دون الإضرار بالبيئة.</w:t>
      </w:r>
    </w:p>
    <w:p w14:paraId="02DA1865" w14:textId="77777777" w:rsidR="00CA1EC1" w:rsidRPr="0076197C" w:rsidRDefault="00CA1EC1" w:rsidP="00CA1EC1">
      <w:pPr>
        <w:pStyle w:val="ListParagraph"/>
        <w:numPr>
          <w:ilvl w:val="0"/>
          <w:numId w:val="14"/>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التنوع البيولوجي (</w:t>
      </w:r>
      <w:r w:rsidRPr="0076197C">
        <w:rPr>
          <w:rFonts w:ascii="Traditional Arabic" w:hAnsi="Traditional Arabic" w:cs="Traditional Arabic"/>
          <w:b/>
          <w:bCs/>
          <w:sz w:val="28"/>
          <w:szCs w:val="28"/>
        </w:rPr>
        <w:t>Biodiversity</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تنوع الحياة النباتية والحيوانية في مجتمع أو نظام بيئي معين.</w:t>
      </w:r>
    </w:p>
    <w:p w14:paraId="6A8425A9" w14:textId="5F65442E" w:rsidR="00CA1EC1" w:rsidRPr="0076197C" w:rsidRDefault="00CA1EC1" w:rsidP="00CA1EC1">
      <w:pPr>
        <w:pStyle w:val="ListParagraph"/>
        <w:numPr>
          <w:ilvl w:val="0"/>
          <w:numId w:val="14"/>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أهداف التنمية المستدامة (</w:t>
      </w:r>
      <w:r w:rsidRPr="0076197C">
        <w:rPr>
          <w:rFonts w:ascii="Traditional Arabic" w:hAnsi="Traditional Arabic" w:cs="Traditional Arabic"/>
          <w:b/>
          <w:bCs/>
          <w:sz w:val="28"/>
          <w:szCs w:val="28"/>
        </w:rPr>
        <w:t>Sustainable Development Goals - SDGs</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مجموعة من الأهداف العالمية التي تهدف إلى تحقيق التنمية المستدامة في مختلف الجوانب الاقتصادية والاجتماعية والبيئية.</w:t>
      </w:r>
    </w:p>
    <w:p w14:paraId="2E705DF2" w14:textId="19631394" w:rsidR="0021489E" w:rsidRPr="0076197C" w:rsidRDefault="00CC5CF6" w:rsidP="0021489E">
      <w:pPr>
        <w:bidi/>
        <w:spacing w:after="0" w:line="480" w:lineRule="auto"/>
        <w:rPr>
          <w:rFonts w:ascii="Traditional Arabic" w:hAnsi="Traditional Arabic" w:cs="Traditional Arabic"/>
          <w:b/>
          <w:bCs/>
          <w:sz w:val="28"/>
          <w:szCs w:val="28"/>
          <w:u w:val="single"/>
          <w:rtl/>
        </w:rPr>
      </w:pPr>
      <w:r w:rsidRPr="00CC5CF6">
        <w:rPr>
          <w:rFonts w:ascii="Traditional Arabic" w:hAnsi="Traditional Arabic" w:cs="Traditional Arabic" w:hint="cs"/>
          <w:b/>
          <w:bCs/>
          <w:sz w:val="28"/>
          <w:szCs w:val="28"/>
          <w:rtl/>
        </w:rPr>
        <w:t>1</w:t>
      </w:r>
      <w:r w:rsidR="00495654">
        <w:rPr>
          <w:rFonts w:ascii="Traditional Arabic" w:hAnsi="Traditional Arabic" w:cs="Traditional Arabic" w:hint="cs"/>
          <w:b/>
          <w:bCs/>
          <w:sz w:val="28"/>
          <w:szCs w:val="28"/>
          <w:rtl/>
        </w:rPr>
        <w:t>-1-</w:t>
      </w:r>
      <w:r w:rsidRPr="00CC5CF6">
        <w:rPr>
          <w:rFonts w:ascii="Traditional Arabic" w:hAnsi="Traditional Arabic" w:cs="Traditional Arabic" w:hint="cs"/>
          <w:b/>
          <w:bCs/>
          <w:sz w:val="28"/>
          <w:szCs w:val="28"/>
          <w:rtl/>
        </w:rPr>
        <w:t>8</w:t>
      </w:r>
      <w:r>
        <w:rPr>
          <w:rFonts w:ascii="Traditional Arabic" w:hAnsi="Traditional Arabic" w:cs="Traditional Arabic" w:hint="cs"/>
          <w:b/>
          <w:bCs/>
          <w:sz w:val="28"/>
          <w:szCs w:val="28"/>
          <w:u w:val="single"/>
          <w:rtl/>
        </w:rPr>
        <w:t xml:space="preserve"> </w:t>
      </w:r>
      <w:r w:rsidR="0021489E" w:rsidRPr="0076197C">
        <w:rPr>
          <w:rFonts w:ascii="Traditional Arabic" w:hAnsi="Traditional Arabic" w:cs="Traditional Arabic"/>
          <w:b/>
          <w:bCs/>
          <w:sz w:val="28"/>
          <w:szCs w:val="28"/>
          <w:u w:val="single"/>
          <w:rtl/>
        </w:rPr>
        <w:t>إجراءات الدراسة:</w:t>
      </w:r>
      <w:r w:rsidR="0021489E" w:rsidRPr="0076197C">
        <w:rPr>
          <w:rFonts w:ascii="Traditional Arabic" w:hAnsi="Traditional Arabic" w:cs="Traditional Arabic"/>
          <w:b/>
          <w:bCs/>
          <w:sz w:val="28"/>
          <w:szCs w:val="28"/>
          <w:rtl/>
        </w:rPr>
        <w:t xml:space="preserve">  </w:t>
      </w:r>
    </w:p>
    <w:p w14:paraId="27D0C676" w14:textId="77777777" w:rsidR="0021489E" w:rsidRPr="0076197C" w:rsidRDefault="0021489E" w:rsidP="0021489E">
      <w:pPr>
        <w:bidi/>
        <w:spacing w:after="0" w:line="480" w:lineRule="auto"/>
        <w:rPr>
          <w:rFonts w:ascii="Traditional Arabic" w:hAnsi="Traditional Arabic" w:cs="Traditional Arabic"/>
          <w:b/>
          <w:bCs/>
          <w:sz w:val="28"/>
          <w:szCs w:val="28"/>
          <w:u w:val="single"/>
          <w:rtl/>
        </w:rPr>
      </w:pPr>
      <w:r w:rsidRPr="0076197C">
        <w:rPr>
          <w:rFonts w:ascii="Traditional Arabic" w:hAnsi="Traditional Arabic" w:cs="Traditional Arabic"/>
          <w:b/>
          <w:bCs/>
          <w:sz w:val="28"/>
          <w:szCs w:val="28"/>
          <w:u w:val="single"/>
          <w:rtl/>
        </w:rPr>
        <w:t>منهج الدراسة:</w:t>
      </w:r>
    </w:p>
    <w:p w14:paraId="0F5A6387" w14:textId="77777777" w:rsidR="0021489E" w:rsidRPr="0076197C" w:rsidRDefault="0021489E" w:rsidP="0021489E">
      <w:pPr>
        <w:bidi/>
        <w:spacing w:after="200"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يعتمد هذا البحث على المنهج الوصفي التحليلي، وهو أحد الأساليب البحثية الشائعة التي تهدف إلى وصف الظاهرة المدروسة وتحليلها من خلال جمع البيانات ودراستها بطرق منهجية</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سيتم تطبيق هذا المنهج في دراسة تأثير تطبيق مبادئ الاستدامة على المشاريع الإنشائية في المملكة العربية السعودية، حيث سيتم جمع البيانات باستخدام الاستبيانات كأداة رئيسية للحصول على معلومات مباشرة من المشاركين في قطاع البناء والتشييد. ستساعد هذه الاستبيانات في تحديد مستوى وعي الشركات بممارسات الاستدامة، وتحليل تأثيرها على جودة المشاريع، التكاليف، والجدول الزمني</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lastRenderedPageBreak/>
        <w:t>كما سيتم استخدام الأساليب الإحصائية لتحليل البيانات المستخرجة، مما يسهم في استخلاص نتائج دقيقة تدعم الفرضيات المطروحة، وتقديم توصيات عملية تسهم في تعزيز تطبيق الاستدامة في المشاريع المستقبلية</w:t>
      </w:r>
      <w:r w:rsidRPr="0076197C">
        <w:rPr>
          <w:rFonts w:ascii="Traditional Arabic" w:hAnsi="Traditional Arabic" w:cs="Traditional Arabic"/>
          <w:sz w:val="28"/>
          <w:szCs w:val="28"/>
        </w:rPr>
        <w:t>.</w:t>
      </w:r>
    </w:p>
    <w:p w14:paraId="19A8F089" w14:textId="230CB111" w:rsidR="0021489E" w:rsidRPr="0076197C" w:rsidRDefault="0021489E" w:rsidP="0021489E">
      <w:pPr>
        <w:bidi/>
        <w:spacing w:after="200" w:line="480" w:lineRule="auto"/>
        <w:rPr>
          <w:rFonts w:ascii="Traditional Arabic" w:hAnsi="Traditional Arabic" w:cs="Traditional Arabic"/>
          <w:b/>
          <w:bCs/>
          <w:sz w:val="28"/>
          <w:szCs w:val="28"/>
          <w:u w:val="single"/>
          <w:rtl/>
        </w:rPr>
      </w:pPr>
      <w:r w:rsidRPr="0076197C">
        <w:rPr>
          <w:rFonts w:ascii="Traditional Arabic" w:hAnsi="Traditional Arabic" w:cs="Traditional Arabic"/>
          <w:b/>
          <w:bCs/>
          <w:sz w:val="28"/>
          <w:szCs w:val="28"/>
          <w:u w:val="single"/>
          <w:rtl/>
        </w:rPr>
        <w:t>مجتمع وعينة الدراسة</w:t>
      </w:r>
    </w:p>
    <w:p w14:paraId="01207DFB" w14:textId="77777777" w:rsidR="0021489E" w:rsidRPr="0076197C" w:rsidRDefault="0021489E" w:rsidP="0021489E">
      <w:pPr>
        <w:pStyle w:val="ListParagraph"/>
        <w:numPr>
          <w:ilvl w:val="0"/>
          <w:numId w:val="6"/>
        </w:numPr>
        <w:bidi/>
        <w:spacing w:after="200" w:line="480" w:lineRule="auto"/>
        <w:ind w:left="720"/>
        <w:rPr>
          <w:rFonts w:ascii="Traditional Arabic" w:hAnsi="Traditional Arabic" w:cs="Traditional Arabic"/>
          <w:b/>
          <w:bCs/>
          <w:sz w:val="28"/>
          <w:szCs w:val="28"/>
        </w:rPr>
      </w:pPr>
      <w:r w:rsidRPr="0076197C">
        <w:rPr>
          <w:rFonts w:ascii="Traditional Arabic" w:hAnsi="Traditional Arabic" w:cs="Traditional Arabic"/>
          <w:b/>
          <w:bCs/>
          <w:sz w:val="28"/>
          <w:szCs w:val="28"/>
          <w:rtl/>
        </w:rPr>
        <w:t>مجتمع الدراسة:</w:t>
      </w:r>
    </w:p>
    <w:p w14:paraId="568DC13A" w14:textId="77777777" w:rsidR="0021489E" w:rsidRPr="0076197C" w:rsidRDefault="0021489E" w:rsidP="0021489E">
      <w:pPr>
        <w:bidi/>
        <w:spacing w:after="200" w:line="480" w:lineRule="auto"/>
        <w:ind w:left="360"/>
        <w:rPr>
          <w:rFonts w:ascii="Traditional Arabic" w:hAnsi="Traditional Arabic" w:cs="Traditional Arabic"/>
          <w:b/>
          <w:bCs/>
          <w:sz w:val="28"/>
          <w:szCs w:val="28"/>
          <w:rtl/>
        </w:rPr>
      </w:pPr>
      <w:r w:rsidRPr="0076197C">
        <w:rPr>
          <w:rFonts w:ascii="Traditional Arabic" w:hAnsi="Traditional Arabic" w:cs="Traditional Arabic"/>
          <w:sz w:val="28"/>
          <w:szCs w:val="28"/>
          <w:rtl/>
        </w:rPr>
        <w:t>مجتمع وعينة الدراسة: مجتمع الدراسة هو بعض الشركات الإنشائية المسجلة في الغرف التجارية في أحد المدن الرئيسية في المملكة العربية السعودية (جدة). سيتم اختيار عينة عشوائية طبقية من هذا المجتمع، مع مراعاة حجم الشركات وتخصصاتها. سيتم تحديد حجم العينة بناءً على معادلة إحصائية تضمن تمثيل المجتمع بدقة.</w:t>
      </w:r>
    </w:p>
    <w:p w14:paraId="405777A5" w14:textId="77777777" w:rsidR="00515FA4" w:rsidRPr="0076197C" w:rsidRDefault="00515FA4" w:rsidP="00515FA4">
      <w:pPr>
        <w:bidi/>
        <w:spacing w:after="200" w:line="480" w:lineRule="auto"/>
        <w:ind w:left="360"/>
        <w:rPr>
          <w:rFonts w:ascii="Traditional Arabic" w:hAnsi="Traditional Arabic" w:cs="Traditional Arabic"/>
          <w:b/>
          <w:bCs/>
          <w:sz w:val="28"/>
          <w:szCs w:val="28"/>
          <w:rtl/>
        </w:rPr>
      </w:pPr>
    </w:p>
    <w:p w14:paraId="173AAD02" w14:textId="5EF0F1E7" w:rsidR="0021489E" w:rsidRPr="0076197C" w:rsidRDefault="006A10B1" w:rsidP="0021489E">
      <w:pPr>
        <w:bidi/>
        <w:spacing w:after="0" w:line="480" w:lineRule="auto"/>
        <w:rPr>
          <w:rFonts w:ascii="Traditional Arabic" w:hAnsi="Traditional Arabic" w:cs="Traditional Arabic"/>
          <w:b/>
          <w:bCs/>
          <w:sz w:val="28"/>
          <w:szCs w:val="28"/>
          <w:u w:val="single"/>
          <w:rtl/>
        </w:rPr>
      </w:pPr>
      <w:r w:rsidRPr="006A10B1">
        <w:rPr>
          <w:rFonts w:ascii="Traditional Arabic" w:hAnsi="Traditional Arabic" w:cs="Traditional Arabic" w:hint="cs"/>
          <w:b/>
          <w:bCs/>
          <w:sz w:val="28"/>
          <w:szCs w:val="28"/>
          <w:rtl/>
        </w:rPr>
        <w:t>1</w:t>
      </w:r>
      <w:r w:rsidR="00892791">
        <w:rPr>
          <w:rFonts w:ascii="Traditional Arabic" w:hAnsi="Traditional Arabic" w:cs="Traditional Arabic" w:hint="cs"/>
          <w:b/>
          <w:bCs/>
          <w:sz w:val="28"/>
          <w:szCs w:val="28"/>
          <w:rtl/>
        </w:rPr>
        <w:t>-1-</w:t>
      </w:r>
      <w:r w:rsidRPr="006A10B1">
        <w:rPr>
          <w:rFonts w:ascii="Traditional Arabic" w:hAnsi="Traditional Arabic" w:cs="Traditional Arabic" w:hint="cs"/>
          <w:b/>
          <w:bCs/>
          <w:sz w:val="28"/>
          <w:szCs w:val="28"/>
          <w:rtl/>
        </w:rPr>
        <w:t>9</w:t>
      </w:r>
      <w:r>
        <w:rPr>
          <w:rFonts w:ascii="Traditional Arabic" w:hAnsi="Traditional Arabic" w:cs="Traditional Arabic" w:hint="cs"/>
          <w:b/>
          <w:bCs/>
          <w:sz w:val="28"/>
          <w:szCs w:val="28"/>
          <w:u w:val="single"/>
          <w:rtl/>
        </w:rPr>
        <w:t xml:space="preserve"> </w:t>
      </w:r>
      <w:r w:rsidR="0021489E" w:rsidRPr="0076197C">
        <w:rPr>
          <w:rFonts w:ascii="Traditional Arabic" w:hAnsi="Traditional Arabic" w:cs="Traditional Arabic"/>
          <w:b/>
          <w:bCs/>
          <w:sz w:val="28"/>
          <w:szCs w:val="28"/>
          <w:u w:val="single"/>
          <w:rtl/>
        </w:rPr>
        <w:t>حدود الدراسة: (المكانية ، الزمانية ، البشرية)</w:t>
      </w:r>
    </w:p>
    <w:p w14:paraId="410BE9FD" w14:textId="77777777" w:rsidR="0021489E" w:rsidRPr="0076197C" w:rsidRDefault="0021489E" w:rsidP="0021489E">
      <w:pPr>
        <w:pStyle w:val="ListParagraph"/>
        <w:numPr>
          <w:ilvl w:val="0"/>
          <w:numId w:val="16"/>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u w:val="single"/>
          <w:rtl/>
        </w:rPr>
        <w:t>المكانية:</w:t>
      </w:r>
      <w:r w:rsidRPr="0076197C">
        <w:rPr>
          <w:rFonts w:ascii="Traditional Arabic" w:hAnsi="Traditional Arabic" w:cs="Traditional Arabic"/>
          <w:sz w:val="28"/>
          <w:szCs w:val="28"/>
          <w:rtl/>
        </w:rPr>
        <w:t xml:space="preserve"> مدينة جدة في المملكة العربية السعودية.</w:t>
      </w:r>
    </w:p>
    <w:p w14:paraId="011C5499" w14:textId="4DC9E2AE" w:rsidR="0021489E" w:rsidRPr="0076197C" w:rsidRDefault="0021489E" w:rsidP="0021489E">
      <w:pPr>
        <w:pStyle w:val="ListParagraph"/>
        <w:numPr>
          <w:ilvl w:val="0"/>
          <w:numId w:val="16"/>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u w:val="single"/>
          <w:rtl/>
        </w:rPr>
        <w:t>الزمانية:</w:t>
      </w:r>
      <w:r w:rsidRPr="0076197C">
        <w:rPr>
          <w:rFonts w:ascii="Traditional Arabic" w:hAnsi="Traditional Arabic" w:cs="Traditional Arabic"/>
          <w:sz w:val="28"/>
          <w:szCs w:val="28"/>
          <w:rtl/>
        </w:rPr>
        <w:t xml:space="preserve"> المشاريع القائمة خلال الفترة من 2020 إلى 2025.</w:t>
      </w:r>
    </w:p>
    <w:p w14:paraId="62C4BECC" w14:textId="71FF9FA4" w:rsidR="008754A3" w:rsidRPr="0076197C" w:rsidRDefault="0021489E" w:rsidP="00944DBD">
      <w:pPr>
        <w:pStyle w:val="ListParagraph"/>
        <w:numPr>
          <w:ilvl w:val="0"/>
          <w:numId w:val="16"/>
        </w:numPr>
        <w:bidi/>
        <w:spacing w:after="200" w:line="480" w:lineRule="auto"/>
        <w:rPr>
          <w:rFonts w:ascii="Traditional Arabic" w:hAnsi="Traditional Arabic" w:cs="Traditional Arabic"/>
          <w:sz w:val="28"/>
          <w:szCs w:val="28"/>
          <w:rtl/>
        </w:rPr>
      </w:pPr>
      <w:r w:rsidRPr="0076197C">
        <w:rPr>
          <w:rFonts w:ascii="Traditional Arabic" w:hAnsi="Traditional Arabic" w:cs="Traditional Arabic"/>
          <w:b/>
          <w:bCs/>
          <w:sz w:val="28"/>
          <w:szCs w:val="28"/>
          <w:u w:val="single"/>
          <w:rtl/>
        </w:rPr>
        <w:t>البشرية:</w:t>
      </w:r>
      <w:r w:rsidRPr="0076197C">
        <w:rPr>
          <w:rFonts w:ascii="Traditional Arabic" w:hAnsi="Traditional Arabic" w:cs="Traditional Arabic"/>
          <w:sz w:val="28"/>
          <w:szCs w:val="28"/>
          <w:rtl/>
        </w:rPr>
        <w:t xml:space="preserve"> مديري المشاريع، المهندسين، والاستشاريين والعاملين في الشركات الإنشائية في المملكة العربية السعودية (مدينة جدة).</w:t>
      </w:r>
    </w:p>
    <w:p w14:paraId="55AABB8C" w14:textId="77777777" w:rsidR="00A523AA" w:rsidRPr="0076197C" w:rsidRDefault="00A523AA" w:rsidP="008754A3">
      <w:pPr>
        <w:bidi/>
        <w:spacing w:after="200" w:line="480" w:lineRule="auto"/>
        <w:rPr>
          <w:rFonts w:ascii="Traditional Arabic" w:hAnsi="Traditional Arabic" w:cs="Traditional Arabic"/>
          <w:b/>
          <w:bCs/>
          <w:sz w:val="28"/>
          <w:szCs w:val="28"/>
          <w:u w:val="single"/>
          <w:rtl/>
        </w:rPr>
      </w:pPr>
    </w:p>
    <w:p w14:paraId="2406AFD9" w14:textId="77777777" w:rsidR="00A523AA" w:rsidRPr="0076197C" w:rsidRDefault="00A523AA" w:rsidP="00A523AA">
      <w:pPr>
        <w:bidi/>
        <w:spacing w:after="200" w:line="480" w:lineRule="auto"/>
        <w:rPr>
          <w:rFonts w:ascii="Traditional Arabic" w:hAnsi="Traditional Arabic" w:cs="Traditional Arabic"/>
          <w:b/>
          <w:bCs/>
          <w:sz w:val="28"/>
          <w:szCs w:val="28"/>
          <w:u w:val="single"/>
          <w:rtl/>
        </w:rPr>
      </w:pPr>
    </w:p>
    <w:p w14:paraId="35BB470A" w14:textId="076ED523" w:rsidR="0021489E" w:rsidRPr="0076197C" w:rsidRDefault="008A78BC" w:rsidP="00A523AA">
      <w:pPr>
        <w:bidi/>
        <w:spacing w:after="200" w:line="480" w:lineRule="auto"/>
        <w:rPr>
          <w:rFonts w:ascii="Traditional Arabic" w:hAnsi="Traditional Arabic" w:cs="Traditional Arabic"/>
          <w:b/>
          <w:bCs/>
          <w:sz w:val="28"/>
          <w:szCs w:val="28"/>
          <w:u w:val="single"/>
          <w:rtl/>
        </w:rPr>
      </w:pPr>
      <w:r w:rsidRPr="008A78BC">
        <w:rPr>
          <w:rFonts w:ascii="Traditional Arabic" w:hAnsi="Traditional Arabic" w:cs="Traditional Arabic" w:hint="cs"/>
          <w:b/>
          <w:bCs/>
          <w:sz w:val="28"/>
          <w:szCs w:val="28"/>
          <w:rtl/>
        </w:rPr>
        <w:lastRenderedPageBreak/>
        <w:t>1-</w:t>
      </w:r>
      <w:r w:rsidR="00892791">
        <w:rPr>
          <w:rFonts w:ascii="Traditional Arabic" w:hAnsi="Traditional Arabic" w:cs="Traditional Arabic" w:hint="cs"/>
          <w:b/>
          <w:bCs/>
          <w:sz w:val="28"/>
          <w:szCs w:val="28"/>
          <w:rtl/>
        </w:rPr>
        <w:t>1-10</w:t>
      </w:r>
      <w:r w:rsidR="00892791" w:rsidRPr="00892791">
        <w:rPr>
          <w:rFonts w:ascii="Traditional Arabic" w:hAnsi="Traditional Arabic" w:cs="Traditional Arabic" w:hint="cs"/>
          <w:b/>
          <w:bCs/>
          <w:sz w:val="28"/>
          <w:szCs w:val="28"/>
          <w:rtl/>
        </w:rPr>
        <w:t xml:space="preserve"> </w:t>
      </w:r>
      <w:r w:rsidR="0021489E" w:rsidRPr="0076197C">
        <w:rPr>
          <w:rFonts w:ascii="Traditional Arabic" w:hAnsi="Traditional Arabic" w:cs="Traditional Arabic"/>
          <w:b/>
          <w:bCs/>
          <w:sz w:val="28"/>
          <w:szCs w:val="28"/>
          <w:u w:val="single"/>
          <w:rtl/>
        </w:rPr>
        <w:t>وسائل جمع بيانات الدراسة</w:t>
      </w:r>
    </w:p>
    <w:p w14:paraId="6CA10C45" w14:textId="77777777" w:rsidR="0021489E" w:rsidRPr="0076197C" w:rsidRDefault="0021489E" w:rsidP="0021489E">
      <w:pPr>
        <w:pStyle w:val="ListParagraph"/>
        <w:numPr>
          <w:ilvl w:val="0"/>
          <w:numId w:val="20"/>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u w:val="single"/>
          <w:rtl/>
        </w:rPr>
        <w:t>الاستبيانات</w:t>
      </w:r>
      <w:r w:rsidRPr="0076197C">
        <w:rPr>
          <w:rFonts w:ascii="Traditional Arabic" w:hAnsi="Traditional Arabic" w:cs="Traditional Arabic"/>
          <w:sz w:val="28"/>
          <w:szCs w:val="28"/>
          <w:u w:val="single"/>
          <w:rtl/>
        </w:rPr>
        <w:t>:</w:t>
      </w:r>
      <w:r w:rsidRPr="0076197C">
        <w:rPr>
          <w:rFonts w:ascii="Traditional Arabic" w:hAnsi="Traditional Arabic" w:cs="Traditional Arabic"/>
          <w:sz w:val="28"/>
          <w:szCs w:val="28"/>
          <w:rtl/>
        </w:rPr>
        <w:t xml:space="preserve"> سيتم تصميم استبيان يتضمن أسئلة مغلقة ومفتوحة لتقييم مستوى تطبيق الاستدامة في المشاريع، وجمع بيانات حول أداء المشاريع. (مثال: ما مدى تطبيق الشركات لممارسات ترشيد استهلاك الطاقة في مشاريعكم؟)</w:t>
      </w:r>
    </w:p>
    <w:p w14:paraId="79609166" w14:textId="77777777" w:rsidR="0021489E" w:rsidRPr="0076197C" w:rsidRDefault="0021489E" w:rsidP="0021489E">
      <w:pPr>
        <w:pStyle w:val="ListParagraph"/>
        <w:numPr>
          <w:ilvl w:val="0"/>
          <w:numId w:val="18"/>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 xml:space="preserve">تحليل الوثائق: </w:t>
      </w:r>
      <w:r w:rsidRPr="0076197C">
        <w:rPr>
          <w:rFonts w:ascii="Traditional Arabic" w:hAnsi="Traditional Arabic" w:cs="Traditional Arabic"/>
          <w:sz w:val="28"/>
          <w:szCs w:val="28"/>
          <w:rtl/>
        </w:rPr>
        <w:t xml:space="preserve">سيتم تحليل الوثائق المتعلقة بالمشاريع (مثل تقارير الاستدامة، خطط إدارة النفايات، شهادات </w:t>
      </w:r>
      <w:r w:rsidRPr="0076197C">
        <w:rPr>
          <w:rFonts w:ascii="Traditional Arabic" w:hAnsi="Traditional Arabic" w:cs="Traditional Arabic"/>
          <w:sz w:val="28"/>
          <w:szCs w:val="28"/>
        </w:rPr>
        <w:t>LEED</w:t>
      </w:r>
      <w:r w:rsidRPr="0076197C">
        <w:rPr>
          <w:rFonts w:ascii="Traditional Arabic" w:hAnsi="Traditional Arabic" w:cs="Traditional Arabic"/>
          <w:sz w:val="28"/>
          <w:szCs w:val="28"/>
          <w:rtl/>
        </w:rPr>
        <w:t>) لتقييم مستوى تطبيق الاستدامة.</w:t>
      </w:r>
    </w:p>
    <w:p w14:paraId="3FAEA2A2" w14:textId="77777777" w:rsidR="009A3BE8" w:rsidRPr="0076197C" w:rsidRDefault="009A3BE8" w:rsidP="009A3BE8">
      <w:pPr>
        <w:pStyle w:val="ListParagraph"/>
        <w:bidi/>
        <w:spacing w:after="200" w:line="480" w:lineRule="auto"/>
        <w:ind w:left="360"/>
        <w:rPr>
          <w:rFonts w:ascii="Traditional Arabic" w:hAnsi="Traditional Arabic" w:cs="Traditional Arabic"/>
          <w:b/>
          <w:bCs/>
          <w:sz w:val="28"/>
          <w:szCs w:val="28"/>
        </w:rPr>
      </w:pPr>
    </w:p>
    <w:p w14:paraId="08B6EA46" w14:textId="4E1FBB2E" w:rsidR="0021489E" w:rsidRPr="00892791" w:rsidRDefault="0021489E" w:rsidP="00892791">
      <w:pPr>
        <w:pStyle w:val="ListParagraph"/>
        <w:numPr>
          <w:ilvl w:val="2"/>
          <w:numId w:val="54"/>
        </w:numPr>
        <w:bidi/>
        <w:spacing w:after="200" w:line="480" w:lineRule="auto"/>
        <w:rPr>
          <w:rFonts w:ascii="Traditional Arabic" w:hAnsi="Traditional Arabic" w:cs="Traditional Arabic"/>
          <w:b/>
          <w:bCs/>
          <w:sz w:val="28"/>
          <w:szCs w:val="28"/>
          <w:u w:val="single"/>
        </w:rPr>
      </w:pPr>
      <w:r w:rsidRPr="00892791">
        <w:rPr>
          <w:rFonts w:ascii="Traditional Arabic" w:hAnsi="Traditional Arabic" w:cs="Traditional Arabic"/>
          <w:b/>
          <w:bCs/>
          <w:sz w:val="28"/>
          <w:szCs w:val="28"/>
          <w:u w:val="single"/>
          <w:rtl/>
        </w:rPr>
        <w:t>المعالجات الإحصائية المقترحة</w:t>
      </w:r>
    </w:p>
    <w:p w14:paraId="6C46286A" w14:textId="77777777" w:rsidR="0021489E" w:rsidRPr="0076197C" w:rsidRDefault="0021489E" w:rsidP="0021489E">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الإحصاء الوصفي:</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لحساب المتوسطات، الانحرافات المعيارية، والتوزيعات التكرارية للمتغيرات.</w:t>
      </w:r>
    </w:p>
    <w:p w14:paraId="5A89520F"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تحليل الانحدار:</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لتحليل العلاقة بين تطبيق الاستدامة وأداء المشروع.</w:t>
      </w:r>
    </w:p>
    <w:p w14:paraId="611DE47C" w14:textId="77777777" w:rsidR="0021489E" w:rsidRPr="0076197C" w:rsidRDefault="0021489E" w:rsidP="0021489E">
      <w:pPr>
        <w:bidi/>
        <w:spacing w:after="200" w:line="480" w:lineRule="auto"/>
        <w:rPr>
          <w:rFonts w:ascii="Traditional Arabic" w:hAnsi="Traditional Arabic" w:cs="Traditional Arabic"/>
          <w:b/>
          <w:bCs/>
          <w:sz w:val="28"/>
          <w:szCs w:val="28"/>
          <w:rtl/>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اختبارات الفروق:</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اختبار الفروق بين مجموعات مختلفة من الشركات (مثل الشركات الكبيرة والصغيرة).</w:t>
      </w:r>
    </w:p>
    <w:p w14:paraId="359E800D" w14:textId="77777777" w:rsidR="009A3BE8" w:rsidRPr="0076197C" w:rsidRDefault="009A3BE8" w:rsidP="009A3BE8">
      <w:pPr>
        <w:bidi/>
        <w:spacing w:after="200" w:line="480" w:lineRule="auto"/>
        <w:rPr>
          <w:rFonts w:ascii="Traditional Arabic" w:hAnsi="Traditional Arabic" w:cs="Traditional Arabic"/>
          <w:b/>
          <w:bCs/>
          <w:sz w:val="28"/>
          <w:szCs w:val="28"/>
          <w:u w:val="single"/>
          <w:rtl/>
        </w:rPr>
      </w:pPr>
    </w:p>
    <w:p w14:paraId="7FE2C6D5" w14:textId="77777777" w:rsidR="00A523AA" w:rsidRPr="0076197C" w:rsidRDefault="00A523AA" w:rsidP="00A523AA">
      <w:pPr>
        <w:bidi/>
        <w:spacing w:after="200" w:line="480" w:lineRule="auto"/>
        <w:rPr>
          <w:rFonts w:ascii="Traditional Arabic" w:hAnsi="Traditional Arabic" w:cs="Traditional Arabic"/>
          <w:b/>
          <w:bCs/>
          <w:sz w:val="28"/>
          <w:szCs w:val="28"/>
          <w:u w:val="single"/>
          <w:rtl/>
        </w:rPr>
      </w:pPr>
    </w:p>
    <w:p w14:paraId="36C84153" w14:textId="77777777" w:rsidR="00A523AA" w:rsidRPr="0076197C" w:rsidRDefault="00A523AA" w:rsidP="00A523AA">
      <w:pPr>
        <w:bidi/>
        <w:spacing w:after="200" w:line="480" w:lineRule="auto"/>
        <w:rPr>
          <w:rFonts w:ascii="Traditional Arabic" w:hAnsi="Traditional Arabic" w:cs="Traditional Arabic"/>
          <w:b/>
          <w:bCs/>
          <w:sz w:val="28"/>
          <w:szCs w:val="28"/>
          <w:u w:val="single"/>
          <w:rtl/>
        </w:rPr>
      </w:pPr>
    </w:p>
    <w:p w14:paraId="05A1E705" w14:textId="6DD3F88B" w:rsidR="0021489E" w:rsidRPr="0076197C" w:rsidRDefault="008A78BC" w:rsidP="008754A3">
      <w:pPr>
        <w:bidi/>
        <w:spacing w:after="200" w:line="480" w:lineRule="auto"/>
        <w:rPr>
          <w:rFonts w:ascii="Traditional Arabic" w:hAnsi="Traditional Arabic" w:cs="Traditional Arabic"/>
          <w:b/>
          <w:bCs/>
          <w:sz w:val="28"/>
          <w:szCs w:val="28"/>
          <w:u w:val="single"/>
        </w:rPr>
      </w:pPr>
      <w:r w:rsidRPr="008A78BC">
        <w:rPr>
          <w:rFonts w:ascii="Traditional Arabic" w:hAnsi="Traditional Arabic" w:cs="Traditional Arabic" w:hint="cs"/>
          <w:b/>
          <w:bCs/>
          <w:sz w:val="28"/>
          <w:szCs w:val="28"/>
          <w:rtl/>
        </w:rPr>
        <w:lastRenderedPageBreak/>
        <w:t>1</w:t>
      </w:r>
      <w:r w:rsidR="00892791">
        <w:rPr>
          <w:rFonts w:ascii="Traditional Arabic" w:hAnsi="Traditional Arabic" w:cs="Traditional Arabic" w:hint="cs"/>
          <w:b/>
          <w:bCs/>
          <w:sz w:val="28"/>
          <w:szCs w:val="28"/>
          <w:rtl/>
        </w:rPr>
        <w:t xml:space="preserve">-1-12 </w:t>
      </w:r>
      <w:r w:rsidR="0021489E" w:rsidRPr="0076197C">
        <w:rPr>
          <w:rFonts w:ascii="Traditional Arabic" w:hAnsi="Traditional Arabic" w:cs="Traditional Arabic"/>
          <w:b/>
          <w:bCs/>
          <w:sz w:val="28"/>
          <w:szCs w:val="28"/>
          <w:u w:val="single"/>
          <w:rtl/>
        </w:rPr>
        <w:t>خطوات تنفيذ خطة الدراسة</w:t>
      </w:r>
    </w:p>
    <w:tbl>
      <w:tblPr>
        <w:tblStyle w:val="PlainTable1"/>
        <w:tblW w:w="0" w:type="auto"/>
        <w:jc w:val="center"/>
        <w:tblLook w:val="04A0" w:firstRow="1" w:lastRow="0" w:firstColumn="1" w:lastColumn="0" w:noHBand="0" w:noVBand="1"/>
      </w:tblPr>
      <w:tblGrid>
        <w:gridCol w:w="1860"/>
        <w:gridCol w:w="4196"/>
        <w:gridCol w:w="576"/>
      </w:tblGrid>
      <w:tr w:rsidR="0021489E" w:rsidRPr="0076197C" w14:paraId="4C15076A" w14:textId="77777777" w:rsidTr="002148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285CF2" w14:textId="77777777" w:rsidR="0021489E" w:rsidRPr="0076197C" w:rsidRDefault="0021489E" w:rsidP="00CB0C95">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الفترة الزمنية (بالشهر)</w:t>
            </w:r>
          </w:p>
        </w:tc>
        <w:tc>
          <w:tcPr>
            <w:tcW w:w="0" w:type="auto"/>
          </w:tcPr>
          <w:p w14:paraId="3A82773F" w14:textId="77777777" w:rsidR="0021489E" w:rsidRPr="0076197C" w:rsidRDefault="0021489E" w:rsidP="00CB0C95">
            <w:pPr>
              <w:bidi/>
              <w:spacing w:after="200" w:line="48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76197C">
              <w:rPr>
                <w:rFonts w:ascii="Traditional Arabic" w:hAnsi="Traditional Arabic" w:cs="Traditional Arabic"/>
                <w:sz w:val="28"/>
                <w:szCs w:val="28"/>
                <w:rtl/>
              </w:rPr>
              <w:t>المرحلة</w:t>
            </w:r>
          </w:p>
        </w:tc>
        <w:tc>
          <w:tcPr>
            <w:tcW w:w="0" w:type="auto"/>
          </w:tcPr>
          <w:p w14:paraId="3A2582BB" w14:textId="77777777" w:rsidR="0021489E" w:rsidRPr="0076197C" w:rsidRDefault="0021489E" w:rsidP="00CB0C95">
            <w:pPr>
              <w:bidi/>
              <w:spacing w:after="200" w:line="48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76197C">
              <w:rPr>
                <w:rFonts w:ascii="Traditional Arabic" w:hAnsi="Traditional Arabic" w:cs="Traditional Arabic"/>
                <w:sz w:val="28"/>
                <w:szCs w:val="28"/>
                <w:rtl/>
              </w:rPr>
              <w:t>الرقم</w:t>
            </w:r>
          </w:p>
        </w:tc>
      </w:tr>
      <w:tr w:rsidR="0021489E" w:rsidRPr="0076197C" w14:paraId="0EBEE5F2" w14:textId="77777777" w:rsidTr="002148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CA5249" w14:textId="0ED99965" w:rsidR="0021489E" w:rsidRPr="0076197C" w:rsidRDefault="00FD3A90" w:rsidP="00FD3A90">
            <w:pPr>
              <w:bidi/>
              <w:spacing w:after="200" w:line="480" w:lineRule="auto"/>
              <w:jc w:val="center"/>
              <w:rPr>
                <w:rFonts w:ascii="Traditional Arabic" w:hAnsi="Traditional Arabic" w:cs="Traditional Arabic"/>
                <w:sz w:val="28"/>
                <w:szCs w:val="28"/>
              </w:rPr>
            </w:pPr>
            <w:r w:rsidRPr="0076197C">
              <w:rPr>
                <w:rFonts w:ascii="Traditional Arabic" w:hAnsi="Traditional Arabic" w:cs="Traditional Arabic"/>
                <w:sz w:val="28"/>
                <w:szCs w:val="28"/>
                <w:rtl/>
              </w:rPr>
              <w:t>1 - 2</w:t>
            </w:r>
          </w:p>
        </w:tc>
        <w:tc>
          <w:tcPr>
            <w:tcW w:w="0" w:type="auto"/>
          </w:tcPr>
          <w:p w14:paraId="35C3A020"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مراجعة الأدبيات والدراسات السابقة</w:t>
            </w:r>
          </w:p>
        </w:tc>
        <w:tc>
          <w:tcPr>
            <w:tcW w:w="0" w:type="auto"/>
          </w:tcPr>
          <w:p w14:paraId="2CE2AACB"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1</w:t>
            </w:r>
          </w:p>
        </w:tc>
      </w:tr>
      <w:tr w:rsidR="0021489E" w:rsidRPr="0076197C" w14:paraId="33FD1D7B" w14:textId="77777777" w:rsidTr="0021489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88313B" w14:textId="3675C462" w:rsidR="0021489E" w:rsidRPr="0076197C" w:rsidRDefault="00FD3A90" w:rsidP="00FD3A90">
            <w:pPr>
              <w:bidi/>
              <w:spacing w:after="200" w:line="480" w:lineRule="auto"/>
              <w:jc w:val="center"/>
              <w:rPr>
                <w:rFonts w:ascii="Traditional Arabic" w:hAnsi="Traditional Arabic" w:cs="Traditional Arabic"/>
                <w:sz w:val="28"/>
                <w:szCs w:val="28"/>
                <w:rtl/>
              </w:rPr>
            </w:pPr>
            <w:r w:rsidRPr="0076197C">
              <w:rPr>
                <w:rFonts w:ascii="Traditional Arabic" w:hAnsi="Traditional Arabic" w:cs="Traditional Arabic"/>
                <w:sz w:val="28"/>
                <w:szCs w:val="28"/>
                <w:rtl/>
              </w:rPr>
              <w:t>3 - 4</w:t>
            </w:r>
          </w:p>
        </w:tc>
        <w:tc>
          <w:tcPr>
            <w:tcW w:w="0" w:type="auto"/>
          </w:tcPr>
          <w:p w14:paraId="1FD586BE"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تطوير أدوات جمع البيانات (الاستبيانات)</w:t>
            </w:r>
          </w:p>
        </w:tc>
        <w:tc>
          <w:tcPr>
            <w:tcW w:w="0" w:type="auto"/>
          </w:tcPr>
          <w:p w14:paraId="5D9EE67C"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2</w:t>
            </w:r>
          </w:p>
        </w:tc>
      </w:tr>
      <w:tr w:rsidR="0021489E" w:rsidRPr="0076197C" w14:paraId="74CC0E9B" w14:textId="77777777" w:rsidTr="002148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60C9E2" w14:textId="10C85C15" w:rsidR="0021489E" w:rsidRPr="0076197C" w:rsidRDefault="00FD3A90" w:rsidP="00FD3A90">
            <w:pPr>
              <w:bidi/>
              <w:spacing w:after="200" w:line="480" w:lineRule="auto"/>
              <w:jc w:val="center"/>
              <w:rPr>
                <w:rFonts w:ascii="Traditional Arabic" w:hAnsi="Traditional Arabic" w:cs="Traditional Arabic"/>
                <w:sz w:val="28"/>
                <w:szCs w:val="28"/>
                <w:rtl/>
              </w:rPr>
            </w:pPr>
            <w:r w:rsidRPr="0076197C">
              <w:rPr>
                <w:rFonts w:ascii="Traditional Arabic" w:hAnsi="Traditional Arabic" w:cs="Traditional Arabic"/>
                <w:sz w:val="28"/>
                <w:szCs w:val="28"/>
                <w:rtl/>
              </w:rPr>
              <w:t>5</w:t>
            </w:r>
          </w:p>
        </w:tc>
        <w:tc>
          <w:tcPr>
            <w:tcW w:w="0" w:type="auto"/>
          </w:tcPr>
          <w:p w14:paraId="6C2DA08A"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الحصول على الموافقات اللازمة من الجهات المعنية</w:t>
            </w:r>
          </w:p>
        </w:tc>
        <w:tc>
          <w:tcPr>
            <w:tcW w:w="0" w:type="auto"/>
          </w:tcPr>
          <w:p w14:paraId="2D74CC3D"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3</w:t>
            </w:r>
          </w:p>
        </w:tc>
      </w:tr>
      <w:tr w:rsidR="0021489E" w:rsidRPr="0076197C" w14:paraId="46787C64" w14:textId="77777777" w:rsidTr="0021489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595754" w14:textId="09C5F1A5" w:rsidR="0021489E" w:rsidRPr="0076197C" w:rsidRDefault="00FD3A90" w:rsidP="00FD3A90">
            <w:pPr>
              <w:bidi/>
              <w:spacing w:after="200" w:line="480" w:lineRule="auto"/>
              <w:jc w:val="center"/>
              <w:rPr>
                <w:rFonts w:ascii="Traditional Arabic" w:hAnsi="Traditional Arabic" w:cs="Traditional Arabic"/>
                <w:sz w:val="28"/>
                <w:szCs w:val="28"/>
                <w:rtl/>
              </w:rPr>
            </w:pPr>
            <w:r w:rsidRPr="0076197C">
              <w:rPr>
                <w:rFonts w:ascii="Traditional Arabic" w:hAnsi="Traditional Arabic" w:cs="Traditional Arabic"/>
                <w:sz w:val="28"/>
                <w:szCs w:val="28"/>
                <w:rtl/>
              </w:rPr>
              <w:t>6</w:t>
            </w:r>
          </w:p>
        </w:tc>
        <w:tc>
          <w:tcPr>
            <w:tcW w:w="0" w:type="auto"/>
          </w:tcPr>
          <w:p w14:paraId="257817A5"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اختيار عينة الدراسة</w:t>
            </w:r>
          </w:p>
        </w:tc>
        <w:tc>
          <w:tcPr>
            <w:tcW w:w="0" w:type="auto"/>
          </w:tcPr>
          <w:p w14:paraId="0B2FDE86"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4</w:t>
            </w:r>
          </w:p>
        </w:tc>
      </w:tr>
      <w:tr w:rsidR="0021489E" w:rsidRPr="0076197C" w14:paraId="21582D77" w14:textId="77777777" w:rsidTr="002148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48EDA2" w14:textId="41A19594" w:rsidR="0021489E" w:rsidRPr="0076197C" w:rsidRDefault="00FD3A90" w:rsidP="00FD3A90">
            <w:pPr>
              <w:bidi/>
              <w:spacing w:after="200" w:line="480" w:lineRule="auto"/>
              <w:jc w:val="center"/>
              <w:rPr>
                <w:rFonts w:ascii="Traditional Arabic" w:hAnsi="Traditional Arabic" w:cs="Traditional Arabic"/>
                <w:sz w:val="28"/>
                <w:szCs w:val="28"/>
                <w:rtl/>
              </w:rPr>
            </w:pPr>
            <w:r w:rsidRPr="0076197C">
              <w:rPr>
                <w:rFonts w:ascii="Traditional Arabic" w:hAnsi="Traditional Arabic" w:cs="Traditional Arabic"/>
                <w:sz w:val="28"/>
                <w:szCs w:val="28"/>
                <w:rtl/>
              </w:rPr>
              <w:t>7 - 9</w:t>
            </w:r>
          </w:p>
        </w:tc>
        <w:tc>
          <w:tcPr>
            <w:tcW w:w="0" w:type="auto"/>
          </w:tcPr>
          <w:p w14:paraId="63D12981"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جمع البيانات من خلال الاستبيانات وتحليل الوثائق</w:t>
            </w:r>
          </w:p>
        </w:tc>
        <w:tc>
          <w:tcPr>
            <w:tcW w:w="0" w:type="auto"/>
          </w:tcPr>
          <w:p w14:paraId="6A3228E8"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5</w:t>
            </w:r>
          </w:p>
        </w:tc>
      </w:tr>
      <w:tr w:rsidR="0021489E" w:rsidRPr="0076197C" w14:paraId="1594592C" w14:textId="77777777" w:rsidTr="0021489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D4F842" w14:textId="19CF9ECF" w:rsidR="0021489E" w:rsidRPr="0076197C" w:rsidRDefault="00FD3A90" w:rsidP="00FD3A90">
            <w:pPr>
              <w:bidi/>
              <w:spacing w:after="200" w:line="480" w:lineRule="auto"/>
              <w:jc w:val="center"/>
              <w:rPr>
                <w:rFonts w:ascii="Traditional Arabic" w:hAnsi="Traditional Arabic" w:cs="Traditional Arabic"/>
                <w:sz w:val="28"/>
                <w:szCs w:val="28"/>
                <w:rtl/>
              </w:rPr>
            </w:pPr>
            <w:r w:rsidRPr="0076197C">
              <w:rPr>
                <w:rFonts w:ascii="Traditional Arabic" w:hAnsi="Traditional Arabic" w:cs="Traditional Arabic"/>
                <w:sz w:val="28"/>
                <w:szCs w:val="28"/>
                <w:rtl/>
              </w:rPr>
              <w:t>10 - 12</w:t>
            </w:r>
          </w:p>
        </w:tc>
        <w:tc>
          <w:tcPr>
            <w:tcW w:w="0" w:type="auto"/>
          </w:tcPr>
          <w:p w14:paraId="5B44E77F"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تحليل البيانات باستخدام الأساليب الإحصائية المناسبة</w:t>
            </w:r>
          </w:p>
        </w:tc>
        <w:tc>
          <w:tcPr>
            <w:tcW w:w="0" w:type="auto"/>
          </w:tcPr>
          <w:p w14:paraId="7D71E613"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6</w:t>
            </w:r>
          </w:p>
        </w:tc>
      </w:tr>
      <w:tr w:rsidR="0021489E" w:rsidRPr="0076197C" w14:paraId="1F482E50" w14:textId="77777777" w:rsidTr="002148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2DA09B" w14:textId="42B3E66F" w:rsidR="0021489E" w:rsidRPr="0076197C" w:rsidRDefault="00FD3A90" w:rsidP="00FD3A90">
            <w:pPr>
              <w:bidi/>
              <w:spacing w:after="200" w:line="480" w:lineRule="auto"/>
              <w:jc w:val="center"/>
              <w:rPr>
                <w:rFonts w:ascii="Traditional Arabic" w:hAnsi="Traditional Arabic" w:cs="Traditional Arabic"/>
                <w:sz w:val="28"/>
                <w:szCs w:val="28"/>
                <w:rtl/>
              </w:rPr>
            </w:pPr>
            <w:r w:rsidRPr="0076197C">
              <w:rPr>
                <w:rFonts w:ascii="Traditional Arabic" w:hAnsi="Traditional Arabic" w:cs="Traditional Arabic"/>
                <w:sz w:val="28"/>
                <w:szCs w:val="28"/>
                <w:rtl/>
              </w:rPr>
              <w:t>13 - 15</w:t>
            </w:r>
          </w:p>
        </w:tc>
        <w:tc>
          <w:tcPr>
            <w:tcW w:w="0" w:type="auto"/>
          </w:tcPr>
          <w:p w14:paraId="2C776048"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تفسير النتائج وكتابة التقرير النهائي</w:t>
            </w:r>
          </w:p>
        </w:tc>
        <w:tc>
          <w:tcPr>
            <w:tcW w:w="0" w:type="auto"/>
          </w:tcPr>
          <w:p w14:paraId="7AB57B4D" w14:textId="77777777" w:rsidR="0021489E" w:rsidRPr="0076197C" w:rsidRDefault="0021489E" w:rsidP="00CB0C95">
            <w:pPr>
              <w:bidi/>
              <w:spacing w:after="200" w:line="48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7</w:t>
            </w:r>
          </w:p>
        </w:tc>
      </w:tr>
      <w:tr w:rsidR="0021489E" w:rsidRPr="0076197C" w14:paraId="72EABB56" w14:textId="77777777" w:rsidTr="0021489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2577EC" w14:textId="5CDC065D" w:rsidR="0021489E" w:rsidRPr="0076197C" w:rsidRDefault="00FD3A90" w:rsidP="00FD3A90">
            <w:pPr>
              <w:bidi/>
              <w:spacing w:after="200" w:line="480" w:lineRule="auto"/>
              <w:jc w:val="center"/>
              <w:rPr>
                <w:rFonts w:ascii="Traditional Arabic" w:hAnsi="Traditional Arabic" w:cs="Traditional Arabic"/>
                <w:sz w:val="28"/>
                <w:szCs w:val="28"/>
                <w:rtl/>
              </w:rPr>
            </w:pPr>
            <w:r w:rsidRPr="0076197C">
              <w:rPr>
                <w:rFonts w:ascii="Traditional Arabic" w:hAnsi="Traditional Arabic" w:cs="Traditional Arabic"/>
                <w:sz w:val="28"/>
                <w:szCs w:val="28"/>
                <w:rtl/>
              </w:rPr>
              <w:t>16</w:t>
            </w:r>
          </w:p>
        </w:tc>
        <w:tc>
          <w:tcPr>
            <w:tcW w:w="0" w:type="auto"/>
          </w:tcPr>
          <w:p w14:paraId="4B766FCD"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tl/>
              </w:rPr>
              <w:t>مناقشة النتائج وتقديم التوصيات</w:t>
            </w:r>
          </w:p>
        </w:tc>
        <w:tc>
          <w:tcPr>
            <w:tcW w:w="0" w:type="auto"/>
          </w:tcPr>
          <w:p w14:paraId="19ABE7DD" w14:textId="77777777" w:rsidR="0021489E" w:rsidRPr="0076197C" w:rsidRDefault="0021489E" w:rsidP="00CB0C95">
            <w:pPr>
              <w:bidi/>
              <w:spacing w:after="200" w:line="48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6197C">
              <w:rPr>
                <w:rFonts w:ascii="Traditional Arabic" w:hAnsi="Traditional Arabic" w:cs="Traditional Arabic"/>
                <w:b/>
                <w:bCs/>
                <w:sz w:val="28"/>
                <w:szCs w:val="28"/>
              </w:rPr>
              <w:t>8</w:t>
            </w:r>
          </w:p>
        </w:tc>
      </w:tr>
    </w:tbl>
    <w:p w14:paraId="3221B8F8" w14:textId="77777777" w:rsidR="0021489E" w:rsidRPr="0076197C" w:rsidRDefault="0021489E" w:rsidP="0021489E">
      <w:pPr>
        <w:bidi/>
        <w:spacing w:after="200" w:line="480" w:lineRule="auto"/>
        <w:rPr>
          <w:rFonts w:ascii="Traditional Arabic" w:hAnsi="Traditional Arabic" w:cs="Traditional Arabic"/>
          <w:b/>
          <w:bCs/>
          <w:sz w:val="28"/>
          <w:szCs w:val="28"/>
          <w:u w:val="single"/>
          <w:rtl/>
        </w:rPr>
      </w:pPr>
    </w:p>
    <w:p w14:paraId="299BB5E7" w14:textId="77777777" w:rsidR="00BC7853" w:rsidRPr="0076197C" w:rsidRDefault="00BC7853" w:rsidP="00BC7853">
      <w:pPr>
        <w:bidi/>
        <w:spacing w:after="200" w:line="480" w:lineRule="auto"/>
        <w:rPr>
          <w:rFonts w:ascii="Traditional Arabic" w:hAnsi="Traditional Arabic" w:cs="Traditional Arabic"/>
          <w:b/>
          <w:bCs/>
          <w:sz w:val="28"/>
          <w:szCs w:val="28"/>
          <w:u w:val="single"/>
          <w:rtl/>
        </w:rPr>
      </w:pPr>
    </w:p>
    <w:p w14:paraId="3022911A" w14:textId="77777777" w:rsidR="00BC7853" w:rsidRPr="0076197C" w:rsidRDefault="00BC7853" w:rsidP="00BC7853">
      <w:pPr>
        <w:bidi/>
        <w:spacing w:after="200" w:line="480" w:lineRule="auto"/>
        <w:rPr>
          <w:rFonts w:ascii="Traditional Arabic" w:hAnsi="Traditional Arabic" w:cs="Traditional Arabic"/>
          <w:b/>
          <w:bCs/>
          <w:sz w:val="28"/>
          <w:szCs w:val="28"/>
          <w:u w:val="single"/>
          <w:rtl/>
        </w:rPr>
      </w:pPr>
    </w:p>
    <w:p w14:paraId="480C9A2B" w14:textId="13BA123F" w:rsidR="00BC7853" w:rsidRPr="0076197C" w:rsidRDefault="00D33465" w:rsidP="00D12BF6">
      <w:pPr>
        <w:bidi/>
        <w:spacing w:line="480" w:lineRule="auto"/>
        <w:rPr>
          <w:rFonts w:ascii="Traditional Arabic" w:hAnsi="Traditional Arabic" w:cs="Traditional Arabic"/>
          <w:b/>
          <w:bCs/>
          <w:sz w:val="28"/>
          <w:szCs w:val="28"/>
          <w:u w:val="single"/>
          <w:rtl/>
        </w:rPr>
      </w:pPr>
      <w:r>
        <w:rPr>
          <w:rFonts w:ascii="Traditional Arabic" w:hAnsi="Traditional Arabic" w:cs="Traditional Arabic" w:hint="cs"/>
          <w:b/>
          <w:bCs/>
          <w:sz w:val="28"/>
          <w:szCs w:val="28"/>
          <w:rtl/>
        </w:rPr>
        <w:lastRenderedPageBreak/>
        <w:t>1-2</w:t>
      </w:r>
      <w:r w:rsidR="00170A9A">
        <w:rPr>
          <w:rFonts w:ascii="Traditional Arabic" w:hAnsi="Traditional Arabic" w:cs="Traditional Arabic" w:hint="cs"/>
          <w:b/>
          <w:bCs/>
          <w:sz w:val="28"/>
          <w:szCs w:val="28"/>
          <w:u w:val="single"/>
          <w:rtl/>
        </w:rPr>
        <w:t xml:space="preserve"> </w:t>
      </w:r>
      <w:r w:rsidR="00BC7853" w:rsidRPr="0076197C">
        <w:rPr>
          <w:rFonts w:ascii="Traditional Arabic" w:hAnsi="Traditional Arabic" w:cs="Traditional Arabic"/>
          <w:b/>
          <w:bCs/>
          <w:sz w:val="28"/>
          <w:szCs w:val="28"/>
          <w:u w:val="single"/>
          <w:rtl/>
        </w:rPr>
        <w:t>الجانب النظري</w:t>
      </w:r>
    </w:p>
    <w:p w14:paraId="268345C7"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يُعد الإطار النظري أحد المرتكزات الأساسية في البحوث العلمية، إذ يُوفر الخلفية المفاهيمية والمنهجية التي يتم من خلالها فهم المشكلة البحثية وتحليلها. وفي سياق هذا البحث، الذي يتناول "أثر تطبيق مبادئ الاستدامة على أداء المشاريع الإنشائية في المملكة العربية السعودية"، يُشكل هذا الفصل منطلقًا لفهم الأبعاد النظرية ذات الصلة، وبناء العلاقات بين مفاهيم الاستدامة، وجودة الأداء، والمؤشرات التي تحكم نجاح أو فشل المشاريع</w:t>
      </w:r>
      <w:r w:rsidRPr="0076197C">
        <w:rPr>
          <w:rFonts w:ascii="Traditional Arabic" w:hAnsi="Traditional Arabic" w:cs="Traditional Arabic"/>
          <w:sz w:val="28"/>
          <w:szCs w:val="28"/>
        </w:rPr>
        <w:t>.</w:t>
      </w:r>
    </w:p>
    <w:p w14:paraId="1518BB30"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لقد أصبحت الاستدامة محورًا رئيسيًا في صناعة التشييد والبناء، مع تصاعد التحديات البيئية والاجتماعية والاقتصادية، التي تفرض على المشاريع الإنشائية الالتزام بأطر جديدة من التفكير والتخطيط والتنفيذ. فالمشاريع لم تعد تُقيم فقط من خلال قدرتها على تسليم منتج نهائي، بل أيضًا من خلال مدى التزامها باستخدام الموارد بكفاءة، وتحقيق التوازن بين الجدوى الاقتصادية وحماية البيئة ورفاهية المجتمعات. وهو ما يتوافق مع رؤية المملكة العربية السعودية 2030 التي جعلت من الاستدامة هدفًا استراتيجيًا عابرًا للقطاعات</w:t>
      </w:r>
      <w:r w:rsidRPr="0076197C">
        <w:rPr>
          <w:rFonts w:ascii="Traditional Arabic" w:hAnsi="Traditional Arabic" w:cs="Traditional Arabic"/>
          <w:sz w:val="28"/>
          <w:szCs w:val="28"/>
        </w:rPr>
        <w:t>.</w:t>
      </w:r>
    </w:p>
    <w:p w14:paraId="70D1D662"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ينقسم هذا الفصل إلى عدة محاور تتناول أولًا: المفهوم العام للاستدامة في المشاريع الإنشائية، وأبعادها البيئية والاقتصادية والاجتماعية. ثم ينتقل إلى تعريف أداء المشاريع ومؤشرات قياسه، مثل التكلفة، الوقت، الجودة، السلامة، ورضا العملاء. بعد ذلك، يستعرض الفصل العلاقة بين ممارسات الاستدامة وأداء المشاريع من حيث الكفاءة التشغيلية، التكاليف طويلة المدى، السمعة التنافسية، والامتثال للأنظمة البيئية، بالاستناد إلى مجموعة من الدراسات الحديثة والتجارب الواقعية في السياق السعودي. ويُختتم الفصل بمراجعة نقدية للدراسات السابقة، وتحديد الفجوة المعرفية التي يسعى هذا البحث إلى معالجتها</w:t>
      </w:r>
      <w:r w:rsidRPr="0076197C">
        <w:rPr>
          <w:rFonts w:ascii="Traditional Arabic" w:hAnsi="Traditional Arabic" w:cs="Traditional Arabic"/>
          <w:sz w:val="28"/>
          <w:szCs w:val="28"/>
        </w:rPr>
        <w:t>.</w:t>
      </w:r>
    </w:p>
    <w:p w14:paraId="3D1A656A" w14:textId="4A4354B4" w:rsidR="00BC7853" w:rsidRPr="00170A9A" w:rsidRDefault="00D33465" w:rsidP="00170A9A">
      <w:pPr>
        <w:bidi/>
        <w:spacing w:line="480" w:lineRule="auto"/>
        <w:ind w:left="360"/>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1-2-1</w:t>
      </w:r>
      <w:r w:rsidR="00BC7853" w:rsidRPr="00170A9A">
        <w:rPr>
          <w:rFonts w:ascii="Traditional Arabic" w:hAnsi="Traditional Arabic" w:cs="Traditional Arabic"/>
          <w:b/>
          <w:bCs/>
          <w:sz w:val="28"/>
          <w:szCs w:val="28"/>
          <w:rtl/>
        </w:rPr>
        <w:t xml:space="preserve"> </w:t>
      </w:r>
      <w:r w:rsidR="00BC7853" w:rsidRPr="00170A9A">
        <w:rPr>
          <w:rFonts w:ascii="Traditional Arabic" w:hAnsi="Traditional Arabic" w:cs="Traditional Arabic"/>
          <w:b/>
          <w:bCs/>
          <w:sz w:val="28"/>
          <w:szCs w:val="28"/>
          <w:u w:val="single"/>
          <w:rtl/>
        </w:rPr>
        <w:t>مفهوم الاستدامة في المشاريع الإنشائية</w:t>
      </w:r>
    </w:p>
    <w:p w14:paraId="38B15811"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تُعد الاستدامة من المفاهيم المركزية في علوم التخطيط والتنمية المعاصرة، إذ تهدف إلى إيجاد توازن بين التقدم الاقتصادي، والحفاظ على البيئة، وتحقيق رفاه اجتماعي عادل. في السياق الإنشائي، تكتسب الاستدامة بعدًا عمليًا يتجاوز المفهوم النظري، حيث تتجسد في مجموعة من السياسات والممارسات التي تراعي استمرارية الموارد البيئية، وتحقيق كفاءة اقتصادية، وتعزيز العدالة المجتمعية عبر مختلف مراحل دورة حياة المشروع. ويُعرّف مفهوم الاستدامة في المشاريع الإنشائية على أنه نهج متكامل يُعنى بإدارة الموارد الطبيعية والمالية والبشرية بطريقة تحافظ على البيئة، وتُحقق الكفاءة، وتُلبي حاجات المجتمع الحالي دون المساس بحقوق الأجيال القادمة في ذات الموارد (الحسن والفارسي، 2025)</w:t>
      </w:r>
      <w:r w:rsidRPr="0076197C">
        <w:rPr>
          <w:rFonts w:ascii="Traditional Arabic" w:hAnsi="Traditional Arabic" w:cs="Traditional Arabic"/>
          <w:sz w:val="28"/>
          <w:szCs w:val="28"/>
        </w:rPr>
        <w:t>.</w:t>
      </w:r>
    </w:p>
    <w:p w14:paraId="068C65BC"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تعكس الاستدامة الإنشائية التزامًا طويل الأمد من قبل الجهات المنفذة والمشرفة، لا يقتصر فقط على جودة المنتج النهائي، بل يشمل أثر المشروع في كل مراحله على المحيط الطبيعي والاجتماعي. وقد أشار تقرير وزارة الاقتصاد والتخطيط السعودية (2018) إلى أن المملكة تدمج أهداف التنمية المستدامة في سياساتها العامة من خلال رؤية 2030، والتي تهدف إلى تحفيز النمو الاقتصادي المستدام، وتحسين كفاءة الطاقة، وتعزيز التنمية الاجتماعية، وهو ما يُعد ترجمة عملية لمبادئ الاستدامة في المشاريع</w:t>
      </w:r>
      <w:r w:rsidRPr="0076197C">
        <w:rPr>
          <w:rFonts w:ascii="Traditional Arabic" w:hAnsi="Traditional Arabic" w:cs="Traditional Arabic"/>
          <w:sz w:val="28"/>
          <w:szCs w:val="28"/>
        </w:rPr>
        <w:t>.</w:t>
      </w:r>
    </w:p>
    <w:p w14:paraId="5327A3CE"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في هذا السياق، تبرز أبعاد الاستدامة الثلاثة، وهي البيئة، والاقتصاد، والمجتمع، كمكونات أساسية يقتضي تفعيلها بشكل متوازن لتحقيق استدامة حقيقية في المشاريع الإنشائية</w:t>
      </w:r>
      <w:r w:rsidRPr="0076197C">
        <w:rPr>
          <w:rFonts w:ascii="Traditional Arabic" w:hAnsi="Traditional Arabic" w:cs="Traditional Arabic"/>
          <w:sz w:val="28"/>
          <w:szCs w:val="28"/>
        </w:rPr>
        <w:t>.</w:t>
      </w:r>
    </w:p>
    <w:p w14:paraId="32C3ECC1" w14:textId="77777777" w:rsidR="00BC7853" w:rsidRDefault="00BC7853" w:rsidP="00BC7853">
      <w:pPr>
        <w:bidi/>
        <w:spacing w:line="480" w:lineRule="auto"/>
        <w:rPr>
          <w:rFonts w:ascii="Traditional Arabic" w:hAnsi="Traditional Arabic" w:cs="Traditional Arabic"/>
          <w:sz w:val="28"/>
          <w:szCs w:val="28"/>
          <w:rtl/>
        </w:rPr>
      </w:pPr>
    </w:p>
    <w:p w14:paraId="4FADD2D5" w14:textId="77777777" w:rsidR="0076197C" w:rsidRPr="0076197C" w:rsidRDefault="0076197C" w:rsidP="0076197C">
      <w:pPr>
        <w:bidi/>
        <w:spacing w:line="480" w:lineRule="auto"/>
        <w:rPr>
          <w:rFonts w:ascii="Traditional Arabic" w:hAnsi="Traditional Arabic" w:cs="Traditional Arabic"/>
          <w:sz w:val="28"/>
          <w:szCs w:val="28"/>
        </w:rPr>
      </w:pPr>
    </w:p>
    <w:p w14:paraId="215E7691" w14:textId="77777777" w:rsidR="00BC7853" w:rsidRPr="00170A9A" w:rsidRDefault="00BC7853" w:rsidP="00BC7853">
      <w:pPr>
        <w:pStyle w:val="ListParagraph"/>
        <w:numPr>
          <w:ilvl w:val="0"/>
          <w:numId w:val="44"/>
        </w:numPr>
        <w:bidi/>
        <w:spacing w:line="480" w:lineRule="auto"/>
        <w:rPr>
          <w:rFonts w:ascii="Traditional Arabic" w:hAnsi="Traditional Arabic" w:cs="Traditional Arabic"/>
          <w:b/>
          <w:bCs/>
          <w:sz w:val="28"/>
          <w:szCs w:val="28"/>
          <w:u w:val="single"/>
        </w:rPr>
      </w:pPr>
      <w:r w:rsidRPr="00170A9A">
        <w:rPr>
          <w:rFonts w:ascii="Traditional Arabic" w:hAnsi="Traditional Arabic" w:cs="Traditional Arabic"/>
          <w:b/>
          <w:bCs/>
          <w:sz w:val="28"/>
          <w:szCs w:val="28"/>
          <w:u w:val="single"/>
          <w:rtl/>
        </w:rPr>
        <w:lastRenderedPageBreak/>
        <w:t>البعد البيئي للاستدامة</w:t>
      </w:r>
    </w:p>
    <w:p w14:paraId="3FF752F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يمثل البعد البيئي الركيزة الأولى التي تنطلق منها فلسفة الاستدامة، لا سيما في قطاع البناء الذي يُعد من أكبر المساهمين في استنزاف الموارد الطبيعية وانبعاثات الكربون على مستوى العالم. ويشمل هذا البعد الاستخدام الرشيد للموارد مثل المياه والطاقة، واعتماد تقنيات البناء الأخضر، وإدارة النفايات بكفاءة. وقد بيّنت دراسة الحسن والفارسي (2025) أن تأخير المشاريع يؤدي إلى تفاقم الأثر البيئي من خلال استنزاف إضافي للموارد وارتفاع الانبعاثات الكربونية الناتجة عن التمديد غير المخطط لفترة التنفيذ، مما يجعل دمج البعد البيئي في التخطيط أمراً بالغ الأهمية</w:t>
      </w:r>
      <w:r w:rsidRPr="0076197C">
        <w:rPr>
          <w:rFonts w:ascii="Traditional Arabic" w:hAnsi="Traditional Arabic" w:cs="Traditional Arabic"/>
          <w:sz w:val="28"/>
          <w:szCs w:val="28"/>
        </w:rPr>
        <w:t>.</w:t>
      </w:r>
    </w:p>
    <w:p w14:paraId="0E36DA13"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هذا الإطار، أكدت دراسة البقعي والهزايمة (2023) أن الممارسات الصديقة للبيئة، مثل تقليل استخدام الورق واعتماد أنظمة لترشيد استهلاك الماء والكهرباء، تُسهم بفاعلية في خفض البصمة البيئية للمشاريع. كما أن الاعتماد على الطاقة المتجددة، مثل الطاقة الشمسية وطاقة الرياح، وتطبيق مبادئ إعادة التدوير عبر شركات مثل "سرك"، يمثلان ممارسات فعالة لتحقيق أهداف هذا البعد. وقد بيّنت البيانات الواردة في الدراسة أن 64% من مؤشرات التنمية البيئية المستدامة في أمانة جدة تعود إلى ممارسات الإدارة الخضراء</w:t>
      </w:r>
      <w:r w:rsidRPr="0076197C">
        <w:rPr>
          <w:rFonts w:ascii="Traditional Arabic" w:hAnsi="Traditional Arabic" w:cs="Traditional Arabic"/>
          <w:sz w:val="28"/>
          <w:szCs w:val="28"/>
        </w:rPr>
        <w:t>.</w:t>
      </w:r>
    </w:p>
    <w:p w14:paraId="6958C68B"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أما على مستوى السياسات الوطنية، فقد أشار تقرير وزارة الاقتصاد والتخطيط السعودية (2018) إلى برامج ومبادرات مثل "السعودية الخضراء" و"البرنامج الوطني للطاقة المتجددة" الذي يستهدف إنتاج 9.5 جيجاواط من الطاقة المتجددة، كمؤشرات واضحة على التوجه الجاد لتعزيز البعد البيئي للاستدامة في المشاريع الكبرى</w:t>
      </w:r>
      <w:r w:rsidRPr="0076197C">
        <w:rPr>
          <w:rFonts w:ascii="Traditional Arabic" w:hAnsi="Traditional Arabic" w:cs="Traditional Arabic"/>
          <w:sz w:val="28"/>
          <w:szCs w:val="28"/>
        </w:rPr>
        <w:t>.</w:t>
      </w:r>
    </w:p>
    <w:p w14:paraId="0DC5B2D1" w14:textId="77777777" w:rsidR="00BC7853" w:rsidRDefault="00BC7853" w:rsidP="00BC7853">
      <w:pPr>
        <w:bidi/>
        <w:spacing w:line="480" w:lineRule="auto"/>
        <w:rPr>
          <w:rFonts w:ascii="Traditional Arabic" w:hAnsi="Traditional Arabic" w:cs="Traditional Arabic"/>
          <w:sz w:val="28"/>
          <w:szCs w:val="28"/>
          <w:rtl/>
        </w:rPr>
      </w:pPr>
    </w:p>
    <w:p w14:paraId="3000F5B1" w14:textId="77777777" w:rsidR="0076197C" w:rsidRPr="0076197C" w:rsidRDefault="0076197C" w:rsidP="0076197C">
      <w:pPr>
        <w:bidi/>
        <w:spacing w:line="480" w:lineRule="auto"/>
        <w:rPr>
          <w:rFonts w:ascii="Traditional Arabic" w:hAnsi="Traditional Arabic" w:cs="Traditional Arabic"/>
          <w:sz w:val="28"/>
          <w:szCs w:val="28"/>
        </w:rPr>
      </w:pPr>
    </w:p>
    <w:p w14:paraId="7469BA1D" w14:textId="77777777" w:rsidR="00BC7853" w:rsidRPr="00170A9A" w:rsidRDefault="00BC7853" w:rsidP="00BC7853">
      <w:pPr>
        <w:pStyle w:val="ListParagraph"/>
        <w:numPr>
          <w:ilvl w:val="0"/>
          <w:numId w:val="44"/>
        </w:numPr>
        <w:bidi/>
        <w:spacing w:line="480" w:lineRule="auto"/>
        <w:rPr>
          <w:rFonts w:ascii="Traditional Arabic" w:hAnsi="Traditional Arabic" w:cs="Traditional Arabic"/>
          <w:b/>
          <w:bCs/>
          <w:sz w:val="28"/>
          <w:szCs w:val="28"/>
          <w:u w:val="single"/>
        </w:rPr>
      </w:pPr>
      <w:r w:rsidRPr="00170A9A">
        <w:rPr>
          <w:rFonts w:ascii="Traditional Arabic" w:hAnsi="Traditional Arabic" w:cs="Traditional Arabic"/>
          <w:b/>
          <w:bCs/>
          <w:sz w:val="28"/>
          <w:szCs w:val="28"/>
          <w:u w:val="single"/>
          <w:rtl/>
        </w:rPr>
        <w:lastRenderedPageBreak/>
        <w:t>البعد الاقتصادي للاستدامة</w:t>
      </w:r>
    </w:p>
    <w:p w14:paraId="1715E199"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يرتبط البعد الاقتصادي بالجدوى المالية للمشروعات، ليس فقط في ضوء تكلفتها الأولية، بل أيضًا من خلال النظر إلى الأثر الاقتصادي طويل الأجل المترتب على استهلاك الموارد، وإدارة التشغيل، والصيانة، والتفاعل مع السوق. في دراسة الحسن والفارسي (2025)، يتضح أن تأخير تنفيذ المشاريع لا يؤدي فقط إلى ارتفاع تكاليف العمالة والمواد، بل يؤثر أيضًا سلبًا على جاذبية المشاريع للمستثمرين بسبب انخفاض الكفاءة المالية. ومن هنا، تظهر الحاجة لتبني خطط استدامة اقتصادية تراعي تقليل الهدر وزيادة كفاءة الموارد، ما يؤدي إلى تعزيز العوائد وتقليل المخاطر المالية</w:t>
      </w:r>
      <w:r w:rsidRPr="0076197C">
        <w:rPr>
          <w:rFonts w:ascii="Traditional Arabic" w:hAnsi="Traditional Arabic" w:cs="Traditional Arabic"/>
          <w:sz w:val="28"/>
          <w:szCs w:val="28"/>
        </w:rPr>
        <w:t>.</w:t>
      </w:r>
    </w:p>
    <w:p w14:paraId="3D7C762F"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تذهب دراسة البقعي والهزايمة (2023) إلى ما هو أبعد من ذلك، إذ تعتبر أن تبني الإدارة الخضراء يساهم في تعزيز السمعة التنافسية للشركات، وبالتالي زيادة القدرة على جذب استثمارات مستقبلية. كما تشير إلى أن تبني استراتيجيات استدامة يمكن أن يوفر مخصصات مالية من خلال تقليل استهلاك الطاقة، وإعادة تدوير الموارد، وهو ما يدعم تحقيق النمو الاقتصادي دون المساس بالبيئة. كذلك، يعكس تقرير وزارة الاقتصاد والتخطيط (2018) حرص المملكة على تنويع مصادر الدخل وزيادة مساهمة القطاع الخاص إلى 65% من الناتج المحلي كأحد أهداف الاستدامة الاقتصادية</w:t>
      </w:r>
      <w:r w:rsidRPr="0076197C">
        <w:rPr>
          <w:rFonts w:ascii="Traditional Arabic" w:hAnsi="Traditional Arabic" w:cs="Traditional Arabic"/>
          <w:sz w:val="28"/>
          <w:szCs w:val="28"/>
        </w:rPr>
        <w:t>.</w:t>
      </w:r>
    </w:p>
    <w:p w14:paraId="6ACECD7A"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وفي دراسة العابد وآخرين (2022)، يتضح أن اعتماد تقنيات مثل نظم المعلومات الجغرافية</w:t>
      </w:r>
      <w:r w:rsidRPr="0076197C">
        <w:rPr>
          <w:rFonts w:ascii="Traditional Arabic" w:hAnsi="Traditional Arabic" w:cs="Traditional Arabic"/>
          <w:sz w:val="28"/>
          <w:szCs w:val="28"/>
        </w:rPr>
        <w:t xml:space="preserve"> (GIS) </w:t>
      </w:r>
      <w:r w:rsidRPr="0076197C">
        <w:rPr>
          <w:rFonts w:ascii="Traditional Arabic" w:hAnsi="Traditional Arabic" w:cs="Traditional Arabic"/>
          <w:sz w:val="28"/>
          <w:szCs w:val="28"/>
          <w:rtl/>
        </w:rPr>
        <w:t>واستخدام الطاقة الشمسية في المشاريع السكنية يعزز كفاءة استخدام الموارد، ويقلل من التكاليف التشغيلية، الأمر الذي يُعد تجسيدًا عمليًا لمبادئ الاستدامة الاقتصادية في البيئة العمرانية السعودية</w:t>
      </w:r>
      <w:r w:rsidRPr="0076197C">
        <w:rPr>
          <w:rFonts w:ascii="Traditional Arabic" w:hAnsi="Traditional Arabic" w:cs="Traditional Arabic"/>
          <w:sz w:val="28"/>
          <w:szCs w:val="28"/>
        </w:rPr>
        <w:t>.</w:t>
      </w:r>
    </w:p>
    <w:p w14:paraId="1AADAA73" w14:textId="77777777" w:rsidR="00BC7853" w:rsidRPr="0076197C" w:rsidRDefault="00BC7853" w:rsidP="00BC7853">
      <w:pPr>
        <w:bidi/>
        <w:spacing w:line="480" w:lineRule="auto"/>
        <w:rPr>
          <w:rFonts w:ascii="Traditional Arabic" w:hAnsi="Traditional Arabic" w:cs="Traditional Arabic"/>
          <w:sz w:val="28"/>
          <w:szCs w:val="28"/>
          <w:rtl/>
        </w:rPr>
      </w:pPr>
    </w:p>
    <w:p w14:paraId="1B8ABE8C" w14:textId="77777777" w:rsidR="005535FC" w:rsidRPr="0076197C" w:rsidRDefault="005535FC" w:rsidP="005535FC">
      <w:pPr>
        <w:bidi/>
        <w:spacing w:line="480" w:lineRule="auto"/>
        <w:rPr>
          <w:rFonts w:ascii="Traditional Arabic" w:hAnsi="Traditional Arabic" w:cs="Traditional Arabic"/>
          <w:sz w:val="28"/>
          <w:szCs w:val="28"/>
        </w:rPr>
      </w:pPr>
    </w:p>
    <w:p w14:paraId="1370AB43" w14:textId="77777777" w:rsidR="00BC7853" w:rsidRPr="00170A9A" w:rsidRDefault="00BC7853" w:rsidP="00BC7853">
      <w:pPr>
        <w:pStyle w:val="ListParagraph"/>
        <w:numPr>
          <w:ilvl w:val="0"/>
          <w:numId w:val="44"/>
        </w:numPr>
        <w:bidi/>
        <w:spacing w:line="480" w:lineRule="auto"/>
        <w:rPr>
          <w:rFonts w:ascii="Traditional Arabic" w:hAnsi="Traditional Arabic" w:cs="Traditional Arabic"/>
          <w:b/>
          <w:bCs/>
          <w:sz w:val="28"/>
          <w:szCs w:val="28"/>
          <w:u w:val="single"/>
        </w:rPr>
      </w:pPr>
      <w:r w:rsidRPr="00170A9A">
        <w:rPr>
          <w:rFonts w:ascii="Traditional Arabic" w:hAnsi="Traditional Arabic" w:cs="Traditional Arabic"/>
          <w:b/>
          <w:bCs/>
          <w:sz w:val="28"/>
          <w:szCs w:val="28"/>
          <w:u w:val="single"/>
          <w:rtl/>
        </w:rPr>
        <w:lastRenderedPageBreak/>
        <w:t>البعد الاجتماعي للاستدامة</w:t>
      </w:r>
    </w:p>
    <w:p w14:paraId="6466E6A1"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يُعد البعد الاجتماعي في مشاريع البناء من أكثر الأبعاد ارتباطًا بالنتائج الإنسانية للمشروع، حيث يعكس مدى مساهمة المشروع في تحسين جودة الحياة للمجتمعات المستفيدة. وقد أظهرت دراسة الحسن والفارسي (2025) أن التأخر في تسليم المشاريع يؤدي إلى تعطيل تقديم خدمات حيوية مثل المدارس والمراكز الصحية، مما يؤثر مباشرة على التنمية الاجتماعية في المناطق المستهدفة</w:t>
      </w:r>
      <w:r w:rsidRPr="0076197C">
        <w:rPr>
          <w:rFonts w:ascii="Traditional Arabic" w:hAnsi="Traditional Arabic" w:cs="Traditional Arabic"/>
          <w:sz w:val="28"/>
          <w:szCs w:val="28"/>
        </w:rPr>
        <w:t>.</w:t>
      </w:r>
    </w:p>
    <w:p w14:paraId="5AAA9EA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ويتناول البقعي والهزايمة (2023) هذا البعد من خلال تحليل مبادرات المسؤولية الاجتماعية الخضراء، مثل حملات تنظيف البيئة وزراعة الأشجار، باعتبارها الأداة الأكثر تأثيرًا في تعزيز العلاقة بين الشركة والمجتمع. وتُظهر الدراسة أن هذه المبادرات لا تقتصر على تحسين الصورة العامة للمؤسسات، بل تسهم بشكل ملموس في تحقيق العدالة البيئية والاجتماعية. وتشير البيانات إلى أن المسؤولية الاجتماعية الخضراء كانت البعد الأكثر تأثيرًا في تحقيق الاستدامة، بمعامل انحدار بلغ 0.28، وعلاقة ارتباطية بلغت 0.80 بين تطبيق الإدارة الخضراء وتحقيق التنمية البيئية المستدامة</w:t>
      </w:r>
      <w:r w:rsidRPr="0076197C">
        <w:rPr>
          <w:rFonts w:ascii="Traditional Arabic" w:hAnsi="Traditional Arabic" w:cs="Traditional Arabic"/>
          <w:sz w:val="28"/>
          <w:szCs w:val="28"/>
        </w:rPr>
        <w:t>.</w:t>
      </w:r>
    </w:p>
    <w:p w14:paraId="5E9569A6"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أما في سياق تقرير المملكة (2018)، فقد برزت الجهود الاجتماعية في مبادرات مثل "برنامج حساب المواطن"، وبرامج تمكين المرأة، وتحسين الخدمات الصحية والتعليمية، كترجمة للبعد الاجتماعي في الاستدامة على مستوى السياسات الحكومية. وتُعد هذه المبادرات امتدادًا طبيعيًا لاستدامة المشاريع الإنشائية التي تُسهم في تطوير البنية التحتية والخدمات المجتمعية، بما ينعكس إيجابيًا على مؤشرات جودة الحياة</w:t>
      </w:r>
      <w:r w:rsidRPr="0076197C">
        <w:rPr>
          <w:rFonts w:ascii="Traditional Arabic" w:hAnsi="Traditional Arabic" w:cs="Traditional Arabic"/>
          <w:sz w:val="28"/>
          <w:szCs w:val="28"/>
        </w:rPr>
        <w:t>.</w:t>
      </w:r>
    </w:p>
    <w:p w14:paraId="2502DE3F" w14:textId="77777777" w:rsidR="00BC7853" w:rsidRDefault="00BC7853" w:rsidP="00BC7853">
      <w:pPr>
        <w:bidi/>
        <w:spacing w:line="480" w:lineRule="auto"/>
        <w:rPr>
          <w:rFonts w:ascii="Traditional Arabic" w:hAnsi="Traditional Arabic" w:cs="Traditional Arabic"/>
          <w:sz w:val="28"/>
          <w:szCs w:val="28"/>
          <w:rtl/>
        </w:rPr>
      </w:pPr>
    </w:p>
    <w:p w14:paraId="58A95586" w14:textId="77777777" w:rsidR="0076197C" w:rsidRPr="0076197C" w:rsidRDefault="0076197C" w:rsidP="0076197C">
      <w:pPr>
        <w:bidi/>
        <w:spacing w:line="480" w:lineRule="auto"/>
        <w:rPr>
          <w:rFonts w:ascii="Traditional Arabic" w:hAnsi="Traditional Arabic" w:cs="Traditional Arabic"/>
          <w:sz w:val="28"/>
          <w:szCs w:val="28"/>
        </w:rPr>
      </w:pPr>
    </w:p>
    <w:p w14:paraId="7A14E1A9" w14:textId="322BAD89" w:rsidR="00BC7853" w:rsidRPr="0076197C" w:rsidRDefault="00D33465" w:rsidP="00BC7853">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1-2-2</w:t>
      </w:r>
      <w:r w:rsidR="00BC7853" w:rsidRPr="0076197C">
        <w:rPr>
          <w:rFonts w:ascii="Traditional Arabic" w:hAnsi="Traditional Arabic" w:cs="Traditional Arabic"/>
          <w:b/>
          <w:bCs/>
          <w:sz w:val="28"/>
          <w:szCs w:val="28"/>
          <w:rtl/>
        </w:rPr>
        <w:t xml:space="preserve"> </w:t>
      </w:r>
      <w:r w:rsidR="00BC7853" w:rsidRPr="00170A9A">
        <w:rPr>
          <w:rFonts w:ascii="Traditional Arabic" w:hAnsi="Traditional Arabic" w:cs="Traditional Arabic"/>
          <w:b/>
          <w:bCs/>
          <w:sz w:val="28"/>
          <w:szCs w:val="28"/>
          <w:u w:val="single"/>
          <w:rtl/>
        </w:rPr>
        <w:t>معايير الاستدامة في القطاع الإنشائي</w:t>
      </w:r>
    </w:p>
    <w:p w14:paraId="0E221B3D"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لضمان تحقيق الاستدامة وفق أسس علمية قابلة للقياس، تم تطوير عدد من الأنظمة والمعايير المعتمدة دوليًا ومحليًا لتقييم مدى التزام المشاريع بالمبادئ المستدامة. من أبرز هذه المعايير، نظام</w:t>
      </w:r>
      <w:r w:rsidRPr="0076197C">
        <w:rPr>
          <w:rFonts w:ascii="Traditional Arabic" w:hAnsi="Traditional Arabic" w:cs="Traditional Arabic"/>
          <w:sz w:val="28"/>
          <w:szCs w:val="28"/>
        </w:rPr>
        <w:t xml:space="preserve"> LEED </w:t>
      </w:r>
      <w:r w:rsidRPr="0076197C">
        <w:rPr>
          <w:rFonts w:ascii="Traditional Arabic" w:hAnsi="Traditional Arabic" w:cs="Traditional Arabic"/>
          <w:sz w:val="28"/>
          <w:szCs w:val="28"/>
          <w:rtl/>
        </w:rPr>
        <w:t>الأمريكي الذي يُعد من أشهر أنظمة تقييم المباني الخضراء عالميًا، ويركز على عناصر مثل كفاءة الطاقة، وجودة الهواء، واستخدام المواد المحلية الصديقة للبيئة. كما يُعتبر نظام</w:t>
      </w:r>
      <w:r w:rsidRPr="0076197C">
        <w:rPr>
          <w:rFonts w:ascii="Traditional Arabic" w:hAnsi="Traditional Arabic" w:cs="Traditional Arabic"/>
          <w:sz w:val="28"/>
          <w:szCs w:val="28"/>
        </w:rPr>
        <w:t xml:space="preserve"> BREEAM </w:t>
      </w:r>
      <w:r w:rsidRPr="0076197C">
        <w:rPr>
          <w:rFonts w:ascii="Traditional Arabic" w:hAnsi="Traditional Arabic" w:cs="Traditional Arabic"/>
          <w:sz w:val="28"/>
          <w:szCs w:val="28"/>
          <w:rtl/>
        </w:rPr>
        <w:t>البريطاني من أبرز المعايير المستخدمة في أوروبا والشرق الأوسط، ويعتمد في تقييمه على عناصر تشمل إدارة المياه، واستخدام الطاقة المتجددة، وتقليل الانبعاثات</w:t>
      </w:r>
      <w:r w:rsidRPr="0076197C">
        <w:rPr>
          <w:rFonts w:ascii="Traditional Arabic" w:hAnsi="Traditional Arabic" w:cs="Traditional Arabic"/>
          <w:sz w:val="28"/>
          <w:szCs w:val="28"/>
        </w:rPr>
        <w:t>.</w:t>
      </w:r>
    </w:p>
    <w:p w14:paraId="4D7BBCF7"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وقد أظهرت الدراسات مثل الحسن والفارسي (2025) أن الالتزام بمعايير مثل</w:t>
      </w:r>
      <w:r w:rsidRPr="0076197C">
        <w:rPr>
          <w:rFonts w:ascii="Traditional Arabic" w:hAnsi="Traditional Arabic" w:cs="Traditional Arabic"/>
          <w:sz w:val="28"/>
          <w:szCs w:val="28"/>
        </w:rPr>
        <w:t xml:space="preserve"> LEED </w:t>
      </w:r>
      <w:r w:rsidRPr="0076197C">
        <w:rPr>
          <w:rFonts w:ascii="Traditional Arabic" w:hAnsi="Traditional Arabic" w:cs="Traditional Arabic"/>
          <w:sz w:val="28"/>
          <w:szCs w:val="28"/>
          <w:rtl/>
        </w:rPr>
        <w:t>يُسهم في تعزيز كفاءة المشروع، وتقليل الهدر، وتحسين صورة الشركة المنفذة، مما ينعكس إيجابيًا على أدائها في السوق. كما تشير دراسة العابد وآخرون (2022) إلى أن غياب تطبيق هذه المعايير في حي الشرائع بمكة المكرمة أدى إلى تدهور بيئي ملحوظ، تجلى في ارتفاع استهلاك الطاقة وسوء إدارة المياه، وتراكم النفايات، ما يدل على أهمية هذه المعايير في ضمان بيئة عمرانية مستدامة</w:t>
      </w:r>
      <w:r w:rsidRPr="0076197C">
        <w:rPr>
          <w:rFonts w:ascii="Traditional Arabic" w:hAnsi="Traditional Arabic" w:cs="Traditional Arabic"/>
          <w:sz w:val="28"/>
          <w:szCs w:val="28"/>
        </w:rPr>
        <w:t>.</w:t>
      </w:r>
    </w:p>
    <w:p w14:paraId="72CBD141" w14:textId="7342CC4B" w:rsidR="0076197C" w:rsidRPr="0076197C" w:rsidRDefault="00BC7853" w:rsidP="0076197C">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على المستوى المحلي، طورت المملكة العربية السعودية "كود البناء السعودي" الذي يتضمن معايير خاصة بالعزل الحراري، وكفاءة الطاقة، واستخدام المواد المستدامة، وذلك تماشيًا مع مبادرات رؤية 2030. كما أشارت دراسة البقعي والهزايمة (2023) إلى أن أمانة جدة تطبق مؤشرات محلية للاستدامة البيئية تشمل زيادة الغطاء النباتي، ووضع ضوابط لحماية الموارد الطبيعية، وفرض غرامات على المخالفات البيئية، وهي ممارسات تعكس اتجاهًا حقيقيًا نحو تفعيل الاستدامة في قطاع البناء المحلي</w:t>
      </w:r>
      <w:r w:rsidRPr="0076197C">
        <w:rPr>
          <w:rFonts w:ascii="Traditional Arabic" w:hAnsi="Traditional Arabic" w:cs="Traditional Arabic"/>
          <w:sz w:val="28"/>
          <w:szCs w:val="28"/>
        </w:rPr>
        <w:t>.</w:t>
      </w:r>
    </w:p>
    <w:p w14:paraId="46F53135" w14:textId="121B8FB3" w:rsidR="00BC7853" w:rsidRPr="0076197C" w:rsidRDefault="005429A1" w:rsidP="00BC7853">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1-2-3</w:t>
      </w:r>
      <w:r w:rsidR="00BC7853" w:rsidRPr="0076197C">
        <w:rPr>
          <w:rFonts w:ascii="Traditional Arabic" w:hAnsi="Traditional Arabic" w:cs="Traditional Arabic"/>
          <w:b/>
          <w:bCs/>
          <w:sz w:val="28"/>
          <w:szCs w:val="28"/>
          <w:rtl/>
        </w:rPr>
        <w:t xml:space="preserve">   </w:t>
      </w:r>
      <w:r w:rsidR="00BC7853" w:rsidRPr="00170A9A">
        <w:rPr>
          <w:rFonts w:ascii="Traditional Arabic" w:hAnsi="Traditional Arabic" w:cs="Traditional Arabic"/>
          <w:b/>
          <w:bCs/>
          <w:sz w:val="28"/>
          <w:szCs w:val="28"/>
          <w:u w:val="single"/>
          <w:rtl/>
        </w:rPr>
        <w:t>أثر تبني مفهوم الاستدامة على أداء المشاريع</w:t>
      </w:r>
    </w:p>
    <w:p w14:paraId="476DA2BC"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تتفق جميع الدراسات التي تمت مراجعتها على أن دمج الاستدامة في المشاريع الإنشائية يُفضي إلى تحسينات ملموسة في الأداء العام للمشاريع، سواء من حيث الكفاءة، أو الجدوى الاقتصادية، أو التأثير المجتمعي. وقد بيّنت دراسة الحسن والفارسي (2025) أن تبني مبادئ الاستدامة في التخطيط والتنفيذ يساعد في تقليل التأخير، وتحسين الجدوى الاقتصادية، وتقليل الآثار البيئية السلبية. كما أكدت دراسة العابد وآخرون (2022) أن غياب هذه المبادئ يؤدي إلى مشاكل كبيرة في البيئة الحضرية مثل تدهور جودة الهواء، وضعف النقل العام، وارتفاع التكاليف التشغيلية</w:t>
      </w:r>
      <w:r w:rsidRPr="0076197C">
        <w:rPr>
          <w:rFonts w:ascii="Traditional Arabic" w:hAnsi="Traditional Arabic" w:cs="Traditional Arabic"/>
          <w:sz w:val="28"/>
          <w:szCs w:val="28"/>
        </w:rPr>
        <w:t>.</w:t>
      </w:r>
    </w:p>
    <w:p w14:paraId="5408D007"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وتؤكد الدراسات مجتمعة أن الاستدامة لم تعد خيارًا ترفيهيًا، بل أصبحت ضرورة استراتيجية تؤثر مباشرة في جودة التنفيذ، ورضا العملاء، واستمرارية الموارد، وقوة الاقتصاد الوطني. ويُعد ذلك انسجامًا مع التوجه العالمي والمحلي لتعزيز الاستدامة في مختلف القطاعات، وعلى رأسها قطاع البناء والتشييد</w:t>
      </w:r>
      <w:r w:rsidRPr="0076197C">
        <w:rPr>
          <w:rFonts w:ascii="Traditional Arabic" w:hAnsi="Traditional Arabic" w:cs="Traditional Arabic"/>
          <w:sz w:val="28"/>
          <w:szCs w:val="28"/>
        </w:rPr>
        <w:t>.</w:t>
      </w:r>
    </w:p>
    <w:p w14:paraId="71216C30" w14:textId="583E5C3D" w:rsidR="00BC7853" w:rsidRPr="000129F8" w:rsidRDefault="00BC7853" w:rsidP="000129F8">
      <w:pPr>
        <w:pStyle w:val="ListParagraph"/>
        <w:numPr>
          <w:ilvl w:val="0"/>
          <w:numId w:val="44"/>
        </w:numPr>
        <w:bidi/>
        <w:spacing w:line="480" w:lineRule="auto"/>
        <w:rPr>
          <w:rFonts w:ascii="Traditional Arabic" w:hAnsi="Traditional Arabic" w:cs="Traditional Arabic"/>
          <w:b/>
          <w:bCs/>
          <w:sz w:val="28"/>
          <w:szCs w:val="28"/>
          <w:u w:val="single"/>
        </w:rPr>
      </w:pPr>
      <w:r w:rsidRPr="000129F8">
        <w:rPr>
          <w:rFonts w:ascii="Traditional Arabic" w:hAnsi="Traditional Arabic" w:cs="Traditional Arabic"/>
          <w:b/>
          <w:bCs/>
          <w:sz w:val="28"/>
          <w:szCs w:val="28"/>
          <w:u w:val="single"/>
          <w:rtl/>
        </w:rPr>
        <w:t>أداء المشاريع الإنشائية ومؤشرات قياس الأداء</w:t>
      </w:r>
    </w:p>
    <w:p w14:paraId="2A4070DD"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يمثل أداء المشاريع الإنشائية إحدى الركائز الأساسية في تقييم نجاح القطاع الإنشائي وقدرته على مواكبة متطلبات التنمية المستدامة، خصوصًا في الدول التي تشهد تحولات عمرانية واقتصادية متسارعة مثل المملكة العربية السعودية. ويُعرّف أداء المشاريع بأنه مدى تحقيق المشروع لأهدافه المحددة ضمن محاور رئيسية تشمل التكلفة، الوقت، الجودة، السلامة، ورضا العملاء. وتشير الدراسات إلى أن هذه الأبعاد مجتمعة تُستخدم كمؤشرات أداء رئيسية</w:t>
      </w:r>
      <w:r w:rsidRPr="0076197C">
        <w:rPr>
          <w:rFonts w:ascii="Traditional Arabic" w:hAnsi="Traditional Arabic" w:cs="Traditional Arabic"/>
          <w:sz w:val="28"/>
          <w:szCs w:val="28"/>
        </w:rPr>
        <w:t xml:space="preserve"> (Key Performance Indicators - KPIs) </w:t>
      </w:r>
      <w:r w:rsidRPr="0076197C">
        <w:rPr>
          <w:rFonts w:ascii="Traditional Arabic" w:hAnsi="Traditional Arabic" w:cs="Traditional Arabic"/>
          <w:sz w:val="28"/>
          <w:szCs w:val="28"/>
          <w:rtl/>
        </w:rPr>
        <w:t>يتم من خلالها قياس كفاءة المشروع ومدى مطابقته للمعايير المستهدفة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Almahmoud</w:t>
      </w:r>
      <w:proofErr w:type="spellEnd"/>
      <w:r w:rsidRPr="0076197C">
        <w:rPr>
          <w:rFonts w:ascii="Traditional Arabic" w:hAnsi="Traditional Arabic" w:cs="Traditional Arabic"/>
          <w:sz w:val="28"/>
          <w:szCs w:val="28"/>
        </w:rPr>
        <w:t xml:space="preserve"> et al., 2012).</w:t>
      </w:r>
    </w:p>
    <w:p w14:paraId="053698D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lastRenderedPageBreak/>
        <w:t>أوضحت دراسة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Almahmoud</w:t>
      </w:r>
      <w:proofErr w:type="spellEnd"/>
      <w:r w:rsidRPr="0076197C">
        <w:rPr>
          <w:rFonts w:ascii="Traditional Arabic" w:hAnsi="Traditional Arabic" w:cs="Traditional Arabic"/>
          <w:sz w:val="28"/>
          <w:szCs w:val="28"/>
        </w:rPr>
        <w:t xml:space="preserve"> et al. (2012) </w:t>
      </w:r>
      <w:r w:rsidRPr="0076197C">
        <w:rPr>
          <w:rFonts w:ascii="Traditional Arabic" w:hAnsi="Traditional Arabic" w:cs="Traditional Arabic"/>
          <w:sz w:val="28"/>
          <w:szCs w:val="28"/>
          <w:rtl/>
        </w:rPr>
        <w:t>أن عملية تقييم الأداء لا تتعلق فقط بالمخرجات النهائية، بل تشمل كذلك تحليل العوامل التنظيمية والتشغيلية المؤثرة، مثل نضج الممارسات الإدارية وكفاءة فرق العمل. وهذا التوجه يُسهم في تقديم صورة أكثر شمولًا حول الحالة الصحية للمشروع، حيث يرتبط كل مؤشر من مؤشرات الأداء بعوامل تمكينية مثل التنظيم، التواصل، وإدارة الجودة</w:t>
      </w:r>
      <w:r w:rsidRPr="0076197C">
        <w:rPr>
          <w:rFonts w:ascii="Traditional Arabic" w:hAnsi="Traditional Arabic" w:cs="Traditional Arabic"/>
          <w:sz w:val="28"/>
          <w:szCs w:val="28"/>
        </w:rPr>
        <w:t>.</w:t>
      </w:r>
    </w:p>
    <w:p w14:paraId="1A923FAF"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تشير الدراسات التطبيقية الحديثة إلى أن الأداء في المشاريع السعودية يعاني من تباين واضح في تحقيق المؤشرات المستهدفة، لا سيما في مشاريع المقاولات والبنية التحتية. ففي دراسة</w:t>
      </w:r>
      <w:r w:rsidRPr="0076197C">
        <w:rPr>
          <w:rFonts w:ascii="Traditional Arabic" w:hAnsi="Traditional Arabic" w:cs="Traditional Arabic"/>
          <w:sz w:val="28"/>
          <w:szCs w:val="28"/>
        </w:rPr>
        <w:t xml:space="preserve"> Alfalah et al. (</w:t>
      </w:r>
      <w:proofErr w:type="gramStart"/>
      <w:r w:rsidRPr="0076197C">
        <w:rPr>
          <w:rFonts w:ascii="Traditional Arabic" w:hAnsi="Traditional Arabic" w:cs="Traditional Arabic"/>
          <w:sz w:val="28"/>
          <w:szCs w:val="28"/>
        </w:rPr>
        <w:t>2024)</w:t>
      </w:r>
      <w:r w:rsidRPr="0076197C">
        <w:rPr>
          <w:rFonts w:ascii="Traditional Arabic" w:hAnsi="Traditional Arabic" w:cs="Traditional Arabic"/>
          <w:sz w:val="28"/>
          <w:szCs w:val="28"/>
          <w:rtl/>
        </w:rPr>
        <w:t>،</w:t>
      </w:r>
      <w:proofErr w:type="gramEnd"/>
      <w:r w:rsidRPr="0076197C">
        <w:rPr>
          <w:rFonts w:ascii="Traditional Arabic" w:hAnsi="Traditional Arabic" w:cs="Traditional Arabic"/>
          <w:sz w:val="28"/>
          <w:szCs w:val="28"/>
          <w:rtl/>
        </w:rPr>
        <w:t xml:space="preserve"> وُجد أن ما يقارب 60% من المشاريع تتأخر عن الجدول الزمني المخطط، في حين يتجاوز كثير منها الميزانية المحددة، الأمر الذي يعكس تحديات جوهرية في التخطيط، والمتابعة، واختيار المقاولين. وقد أظهرت الدراسة أيضًا أن غياب نماذج تقييم معيارية يساهم في تكرار حالات التأخر وضعف الجودة، مما يجعل تطوير أدوات قياس الأداء ضرورة ملحة لتحسين القطاع</w:t>
      </w:r>
      <w:r w:rsidRPr="0076197C">
        <w:rPr>
          <w:rFonts w:ascii="Traditional Arabic" w:hAnsi="Traditional Arabic" w:cs="Traditional Arabic"/>
          <w:sz w:val="28"/>
          <w:szCs w:val="28"/>
        </w:rPr>
        <w:t>.</w:t>
      </w:r>
    </w:p>
    <w:p w14:paraId="77A1CC4D"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السياق نفسه، أكدت دراسة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Alazmi</w:t>
      </w:r>
      <w:proofErr w:type="spellEnd"/>
      <w:r w:rsidRPr="0076197C">
        <w:rPr>
          <w:rFonts w:ascii="Traditional Arabic" w:hAnsi="Traditional Arabic" w:cs="Traditional Arabic"/>
          <w:sz w:val="28"/>
          <w:szCs w:val="28"/>
        </w:rPr>
        <w:t xml:space="preserve"> et al. (2025) </w:t>
      </w:r>
      <w:r w:rsidRPr="0076197C">
        <w:rPr>
          <w:rFonts w:ascii="Traditional Arabic" w:hAnsi="Traditional Arabic" w:cs="Traditional Arabic"/>
          <w:sz w:val="28"/>
          <w:szCs w:val="28"/>
          <w:rtl/>
        </w:rPr>
        <w:t>أن التحديات البيئية مثل ضعف إدارة النفايات في المشاريع الإنشائية السعودية تؤثر سلبًا على الأداء العام، حيث يؤدي سوء التخطيط والتنسيق بين الأطراف المختلفة إلى زيادة نسب الهدر، وارتفاع التكاليف، وتأخر التسليم، ما يُبرز العلاقة الوثيقة بين كفاءة العمليات التشغيلية ومستوى الأداء الكلي للمشروع</w:t>
      </w:r>
      <w:r w:rsidRPr="0076197C">
        <w:rPr>
          <w:rFonts w:ascii="Traditional Arabic" w:hAnsi="Traditional Arabic" w:cs="Traditional Arabic"/>
          <w:sz w:val="28"/>
          <w:szCs w:val="28"/>
        </w:rPr>
        <w:t>.</w:t>
      </w:r>
    </w:p>
    <w:p w14:paraId="15279ADD"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من بين أبرز مؤشرات الأداء المستخدمة في المشاريع الإنشائية، تأتي </w:t>
      </w:r>
      <w:r w:rsidRPr="0076197C">
        <w:rPr>
          <w:rFonts w:ascii="Traditional Arabic" w:hAnsi="Traditional Arabic" w:cs="Traditional Arabic"/>
          <w:b/>
          <w:bCs/>
          <w:sz w:val="28"/>
          <w:szCs w:val="28"/>
          <w:rtl/>
        </w:rPr>
        <w:t>تكلفة المشروع</w:t>
      </w:r>
      <w:r w:rsidRPr="0076197C">
        <w:rPr>
          <w:rFonts w:ascii="Traditional Arabic" w:hAnsi="Traditional Arabic" w:cs="Traditional Arabic"/>
          <w:sz w:val="28"/>
          <w:szCs w:val="28"/>
          <w:rtl/>
        </w:rPr>
        <w:t xml:space="preserve"> كعنصر أولي لقياس مدى نجاح المشروع في الالتزام بالميزانية المحددة. وتُقاس الكفاءة في هذا البُعد من خلال مقارنة التكلفة الفعلية بالتكلفة المخططة، </w:t>
      </w:r>
      <w:r w:rsidRPr="0076197C">
        <w:rPr>
          <w:rFonts w:ascii="Traditional Arabic" w:hAnsi="Traditional Arabic" w:cs="Traditional Arabic"/>
          <w:sz w:val="28"/>
          <w:szCs w:val="28"/>
          <w:rtl/>
        </w:rPr>
        <w:lastRenderedPageBreak/>
        <w:t>مع تحليل أسباب الانحرافات إن وجدت. وقد أشار</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Almahmoud</w:t>
      </w:r>
      <w:proofErr w:type="spellEnd"/>
      <w:r w:rsidRPr="0076197C">
        <w:rPr>
          <w:rFonts w:ascii="Traditional Arabic" w:hAnsi="Traditional Arabic" w:cs="Traditional Arabic"/>
          <w:sz w:val="28"/>
          <w:szCs w:val="28"/>
        </w:rPr>
        <w:t xml:space="preserve"> et al. (2012) </w:t>
      </w:r>
      <w:r w:rsidRPr="0076197C">
        <w:rPr>
          <w:rFonts w:ascii="Traditional Arabic" w:hAnsi="Traditional Arabic" w:cs="Traditional Arabic"/>
          <w:sz w:val="28"/>
          <w:szCs w:val="28"/>
          <w:rtl/>
        </w:rPr>
        <w:t>إلى أن تجاوز التكلفة عادة ما يكون ناتجًا عن ضعف التخطيط المالي، أو سوء إدارة الموارد، أو تغييرات متكررة في نطاق العمل. كما أن إعادة العمل بسبب أخطاء في التنفيذ أو التصميم يؤدي إلى زيادة المصروفات بما يتجاوز التقديرات الأولية</w:t>
      </w:r>
      <w:r w:rsidRPr="0076197C">
        <w:rPr>
          <w:rFonts w:ascii="Traditional Arabic" w:hAnsi="Traditional Arabic" w:cs="Traditional Arabic"/>
          <w:sz w:val="28"/>
          <w:szCs w:val="28"/>
        </w:rPr>
        <w:t>.</w:t>
      </w:r>
    </w:p>
    <w:p w14:paraId="2B6CD18D"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أما </w:t>
      </w:r>
      <w:r w:rsidRPr="0076197C">
        <w:rPr>
          <w:rFonts w:ascii="Traditional Arabic" w:hAnsi="Traditional Arabic" w:cs="Traditional Arabic"/>
          <w:b/>
          <w:bCs/>
          <w:sz w:val="28"/>
          <w:szCs w:val="28"/>
          <w:rtl/>
        </w:rPr>
        <w:t>الوقت</w:t>
      </w:r>
      <w:r w:rsidRPr="0076197C">
        <w:rPr>
          <w:rFonts w:ascii="Traditional Arabic" w:hAnsi="Traditional Arabic" w:cs="Traditional Arabic"/>
          <w:sz w:val="28"/>
          <w:szCs w:val="28"/>
          <w:rtl/>
        </w:rPr>
        <w:t>، فهو يُعد من أكثر مؤشرات الأداء حساسية وتأثيرًا على رضا العملاء ومخرجات المشروع. وقد أظهرت دراسة</w:t>
      </w:r>
      <w:r w:rsidRPr="0076197C">
        <w:rPr>
          <w:rFonts w:ascii="Traditional Arabic" w:hAnsi="Traditional Arabic" w:cs="Traditional Arabic"/>
          <w:sz w:val="28"/>
          <w:szCs w:val="28"/>
        </w:rPr>
        <w:t xml:space="preserve"> Alfalah et al. (2024) </w:t>
      </w:r>
      <w:r w:rsidRPr="0076197C">
        <w:rPr>
          <w:rFonts w:ascii="Traditional Arabic" w:hAnsi="Traditional Arabic" w:cs="Traditional Arabic"/>
          <w:sz w:val="28"/>
          <w:szCs w:val="28"/>
          <w:rtl/>
        </w:rPr>
        <w:t>أن مؤشرات مثل وقت الإنجاز الفعلي، ووقت إعادة العمل، ووقت الاستجابة للحوادث تمثل معايير حاسمة في تقييم كفاءة المقاولين. وتُعد التأخيرات الناتجة عن التغيرات التصميمية، أو ضعف التنسيق، أو ظروف الموقع غير المتوقعة من أكثر الأسباب شيوعًا في انخفاض الأداء الزمني للمشروعات. وبيّن الباحثون أن تطوير نموذج تقييم يعتمد على أوزان نسبية لمؤشرات الوقت، كما تم باستخدام منهجية</w:t>
      </w:r>
      <w:r w:rsidRPr="0076197C">
        <w:rPr>
          <w:rFonts w:ascii="Traditional Arabic" w:hAnsi="Traditional Arabic" w:cs="Traditional Arabic"/>
          <w:sz w:val="28"/>
          <w:szCs w:val="28"/>
        </w:rPr>
        <w:t xml:space="preserve"> AHP</w:t>
      </w:r>
      <w:r w:rsidRPr="0076197C">
        <w:rPr>
          <w:rFonts w:ascii="Traditional Arabic" w:hAnsi="Traditional Arabic" w:cs="Traditional Arabic"/>
          <w:sz w:val="28"/>
          <w:szCs w:val="28"/>
          <w:rtl/>
        </w:rPr>
        <w:t>، يمكن أن يُساعد في اختيار المقاولين الأكفأ والأكثر التزامًا</w:t>
      </w:r>
      <w:r w:rsidRPr="0076197C">
        <w:rPr>
          <w:rFonts w:ascii="Traditional Arabic" w:hAnsi="Traditional Arabic" w:cs="Traditional Arabic"/>
          <w:sz w:val="28"/>
          <w:szCs w:val="28"/>
        </w:rPr>
        <w:t>.</w:t>
      </w:r>
    </w:p>
    <w:p w14:paraId="08AFC9B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تُعد </w:t>
      </w:r>
      <w:r w:rsidRPr="0076197C">
        <w:rPr>
          <w:rFonts w:ascii="Traditional Arabic" w:hAnsi="Traditional Arabic" w:cs="Traditional Arabic"/>
          <w:b/>
          <w:bCs/>
          <w:sz w:val="28"/>
          <w:szCs w:val="28"/>
          <w:rtl/>
        </w:rPr>
        <w:t>الجودة</w:t>
      </w:r>
      <w:r w:rsidRPr="0076197C">
        <w:rPr>
          <w:rFonts w:ascii="Traditional Arabic" w:hAnsi="Traditional Arabic" w:cs="Traditional Arabic"/>
          <w:sz w:val="28"/>
          <w:szCs w:val="28"/>
          <w:rtl/>
        </w:rPr>
        <w:t xml:space="preserve"> مؤشرًا رئيسيًا ينعكس مباشرة على مدى مطابقة المنتج النهائي للمواصفات الفنية والمعايير المعتمدة. وتُقاس الجودة من خلال عدة مؤشرات فرعية منها معدل العيوب، وعدد مرات إعادة العمل، ونتائج الفحوصات الميدانية. كما تشمل جودة التنفيذ، وجودة المستندات الفنية، ومستوى إنتاجية العمالة. وأشارت</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Almahmoud</w:t>
      </w:r>
      <w:proofErr w:type="spellEnd"/>
      <w:r w:rsidRPr="0076197C">
        <w:rPr>
          <w:rFonts w:ascii="Traditional Arabic" w:hAnsi="Traditional Arabic" w:cs="Traditional Arabic"/>
          <w:sz w:val="28"/>
          <w:szCs w:val="28"/>
        </w:rPr>
        <w:t xml:space="preserve"> et al. (2012) </w:t>
      </w:r>
      <w:r w:rsidRPr="0076197C">
        <w:rPr>
          <w:rFonts w:ascii="Traditional Arabic" w:hAnsi="Traditional Arabic" w:cs="Traditional Arabic"/>
          <w:sz w:val="28"/>
          <w:szCs w:val="28"/>
          <w:rtl/>
        </w:rPr>
        <w:t>إلى أن ضعف الجودة يؤدي إلى سلسلة من التكاليف الخفية مثل إصلاح العيوب، والتأخير، وانخفاض رضا العميل، ما يجعل من إدارة الجودة عنصرًا أساسيًا في أي إطار تقييم للأداء</w:t>
      </w:r>
      <w:r w:rsidRPr="0076197C">
        <w:rPr>
          <w:rFonts w:ascii="Traditional Arabic" w:hAnsi="Traditional Arabic" w:cs="Traditional Arabic"/>
          <w:sz w:val="28"/>
          <w:szCs w:val="28"/>
        </w:rPr>
        <w:t>.</w:t>
      </w:r>
    </w:p>
    <w:p w14:paraId="5ADA53DC"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لا يقل </w:t>
      </w:r>
      <w:r w:rsidRPr="0076197C">
        <w:rPr>
          <w:rFonts w:ascii="Traditional Arabic" w:hAnsi="Traditional Arabic" w:cs="Traditional Arabic"/>
          <w:b/>
          <w:bCs/>
          <w:sz w:val="28"/>
          <w:szCs w:val="28"/>
          <w:rtl/>
        </w:rPr>
        <w:t>مؤشر السلامة</w:t>
      </w:r>
      <w:r w:rsidRPr="0076197C">
        <w:rPr>
          <w:rFonts w:ascii="Traditional Arabic" w:hAnsi="Traditional Arabic" w:cs="Traditional Arabic"/>
          <w:sz w:val="28"/>
          <w:szCs w:val="28"/>
          <w:rtl/>
        </w:rPr>
        <w:t xml:space="preserve"> أهمية عن المؤشرات السابقة، حيث يمثل عنصرًا حاسمًا في بيئة العمل الإنشائية نظرًا لطبيعة المخاطر المرتبطة بها. ويُقاس هذا المؤشر من خلال معدل الحوادث، وعدد الإصابات أو الوفيات، والامتثال لمعايير </w:t>
      </w:r>
      <w:r w:rsidRPr="0076197C">
        <w:rPr>
          <w:rFonts w:ascii="Traditional Arabic" w:hAnsi="Traditional Arabic" w:cs="Traditional Arabic"/>
          <w:sz w:val="28"/>
          <w:szCs w:val="28"/>
          <w:rtl/>
        </w:rPr>
        <w:lastRenderedPageBreak/>
        <w:t>الصحة والسلامة، ومدى فعالية إدارة المخاطر. وبينت دراسة</w:t>
      </w:r>
      <w:r w:rsidRPr="0076197C">
        <w:rPr>
          <w:rFonts w:ascii="Traditional Arabic" w:hAnsi="Traditional Arabic" w:cs="Traditional Arabic"/>
          <w:sz w:val="28"/>
          <w:szCs w:val="28"/>
        </w:rPr>
        <w:t xml:space="preserve"> Alfalah et al. (2024) </w:t>
      </w:r>
      <w:r w:rsidRPr="0076197C">
        <w:rPr>
          <w:rFonts w:ascii="Traditional Arabic" w:hAnsi="Traditional Arabic" w:cs="Traditional Arabic"/>
          <w:sz w:val="28"/>
          <w:szCs w:val="28"/>
          <w:rtl/>
        </w:rPr>
        <w:t>أن المشاريع التي تُسجل مستويات سلامة مرتفعة تنعكس عليها نتائج إيجابية في الجوانب الإنتاجية والمالية، كما أنها تعزز من سمعة المقاول وثقة الجهات المالكة. فيما توضح</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Almahmoud</w:t>
      </w:r>
      <w:proofErr w:type="spellEnd"/>
      <w:r w:rsidRPr="0076197C">
        <w:rPr>
          <w:rFonts w:ascii="Traditional Arabic" w:hAnsi="Traditional Arabic" w:cs="Traditional Arabic"/>
          <w:sz w:val="28"/>
          <w:szCs w:val="28"/>
        </w:rPr>
        <w:t xml:space="preserve"> et al. (2012) </w:t>
      </w:r>
      <w:r w:rsidRPr="0076197C">
        <w:rPr>
          <w:rFonts w:ascii="Traditional Arabic" w:hAnsi="Traditional Arabic" w:cs="Traditional Arabic"/>
          <w:sz w:val="28"/>
          <w:szCs w:val="28"/>
          <w:rtl/>
        </w:rPr>
        <w:t>أن إدارة السلامة ترتبط أيضًا بالاستدامة الاجتماعية، من خلال الحفاظ على صحة العاملين وتقليل التعرض للمخاطر البيئية</w:t>
      </w:r>
      <w:r w:rsidRPr="0076197C">
        <w:rPr>
          <w:rFonts w:ascii="Traditional Arabic" w:hAnsi="Traditional Arabic" w:cs="Traditional Arabic"/>
          <w:sz w:val="28"/>
          <w:szCs w:val="28"/>
        </w:rPr>
        <w:t>.</w:t>
      </w:r>
    </w:p>
    <w:p w14:paraId="04D00BB9"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ويأتي </w:t>
      </w:r>
      <w:r w:rsidRPr="0076197C">
        <w:rPr>
          <w:rFonts w:ascii="Traditional Arabic" w:hAnsi="Traditional Arabic" w:cs="Traditional Arabic"/>
          <w:b/>
          <w:bCs/>
          <w:sz w:val="28"/>
          <w:szCs w:val="28"/>
          <w:rtl/>
        </w:rPr>
        <w:t>رضا العملاء</w:t>
      </w:r>
      <w:r w:rsidRPr="0076197C">
        <w:rPr>
          <w:rFonts w:ascii="Traditional Arabic" w:hAnsi="Traditional Arabic" w:cs="Traditional Arabic"/>
          <w:sz w:val="28"/>
          <w:szCs w:val="28"/>
          <w:rtl/>
        </w:rPr>
        <w:t xml:space="preserve"> كمؤشر تجميعي يعكس مدى تطابق المنتج مع توقعات العميل سواء من حيث الجودة، أو الوقت، أو التكلفة. وتُقاس هذه الرضا من خلال ملاحظات العملاء، واستبيانات ما بعد التسليم، ودرجة التواصل والاستجابة مع العملاء خلال مراحل المشروع. وقد وجدت دراسة</w:t>
      </w:r>
      <w:r w:rsidRPr="0076197C">
        <w:rPr>
          <w:rFonts w:ascii="Traditional Arabic" w:hAnsi="Traditional Arabic" w:cs="Traditional Arabic"/>
          <w:sz w:val="28"/>
          <w:szCs w:val="28"/>
        </w:rPr>
        <w:t xml:space="preserve"> Alfalah et al. (2024) </w:t>
      </w:r>
      <w:r w:rsidRPr="0076197C">
        <w:rPr>
          <w:rFonts w:ascii="Traditional Arabic" w:hAnsi="Traditional Arabic" w:cs="Traditional Arabic"/>
          <w:sz w:val="28"/>
          <w:szCs w:val="28"/>
          <w:rtl/>
        </w:rPr>
        <w:t>أن رضا العميل يتأثر بشكل مباشر بجودة التركيب، وحسن التواصل، ومرونة التعامل مع التعديلات، ما يعكس أهمية البُعد الإنساني في علاقة المقاول بالمالك</w:t>
      </w:r>
      <w:r w:rsidRPr="0076197C">
        <w:rPr>
          <w:rFonts w:ascii="Traditional Arabic" w:hAnsi="Traditional Arabic" w:cs="Traditional Arabic"/>
          <w:sz w:val="28"/>
          <w:szCs w:val="28"/>
        </w:rPr>
        <w:t>.</w:t>
      </w:r>
    </w:p>
    <w:p w14:paraId="3C5E61CB"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وتجدر الإشارة إلى أن أداء المشروع لا يُقاس فقط عبر المؤشرات الكمية، بل إن الأداء المستدام أصبح يُدمج اليوم كمفهوم عابر لكل المؤشرات التقليدية. إذ أظهرت دراسة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Alazmi</w:t>
      </w:r>
      <w:proofErr w:type="spellEnd"/>
      <w:r w:rsidRPr="0076197C">
        <w:rPr>
          <w:rFonts w:ascii="Traditional Arabic" w:hAnsi="Traditional Arabic" w:cs="Traditional Arabic"/>
          <w:sz w:val="28"/>
          <w:szCs w:val="28"/>
        </w:rPr>
        <w:t xml:space="preserve"> et al. (2025) </w:t>
      </w:r>
      <w:r w:rsidRPr="0076197C">
        <w:rPr>
          <w:rFonts w:ascii="Traditional Arabic" w:hAnsi="Traditional Arabic" w:cs="Traditional Arabic"/>
          <w:sz w:val="28"/>
          <w:szCs w:val="28"/>
          <w:rtl/>
        </w:rPr>
        <w:t>أن تبني ممارسات الاستدامة في إدارة النفايات يمكن أن يحسّن الأداء المالي والزمني والجودة معًا، حيث يساعد تقليل الأنشطة غير ذات القيمة، وإعادة تدوير المواد، وتبني البناء الهزيل في خفض التكاليف وتحسين الكفاءة. على سبيل المثال، استخدام مواد معاد تدويرها أو التربة الزائدة في عمليات البناء يمكن أن يقلل من استهلاك الموارد الطبيعية، ويسرع تنفيذ الأعمال، ويقلل من النفايات، ما ينعكس على التكلفة والوقت والجودة في آن واحد</w:t>
      </w:r>
      <w:r w:rsidRPr="0076197C">
        <w:rPr>
          <w:rFonts w:ascii="Traditional Arabic" w:hAnsi="Traditional Arabic" w:cs="Traditional Arabic"/>
          <w:sz w:val="28"/>
          <w:szCs w:val="28"/>
        </w:rPr>
        <w:t>.</w:t>
      </w:r>
    </w:p>
    <w:p w14:paraId="0BDA7B52"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lastRenderedPageBreak/>
        <w:t>كما يُسهم رفع وعي العاملين وتدريبهم على ممارسات الاستدامة البيئية في تحسين جودة التنفيذ، وتقليل الأخطاء، وتحقيق بيئة عمل أكثر أمانًا. وبينت الدراسة أن وجود إطار عمل متكامل يجمع بين البناء الهزيل ونظم الإدارة البيئية يُعد أحد الوسائل الأكثر فاعلية لتعزيز الأداء الإنشائي، إلا أن التطبيق يواجه تحديات كبيرة تتعلق بنقص المعرفة، ومقاومة التغيير، والتكلفة الأولية المرتفعة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Alazmi</w:t>
      </w:r>
      <w:proofErr w:type="spellEnd"/>
      <w:r w:rsidRPr="0076197C">
        <w:rPr>
          <w:rFonts w:ascii="Traditional Arabic" w:hAnsi="Traditional Arabic" w:cs="Traditional Arabic"/>
          <w:sz w:val="28"/>
          <w:szCs w:val="28"/>
        </w:rPr>
        <w:t xml:space="preserve"> et al., 2025).</w:t>
      </w:r>
    </w:p>
    <w:p w14:paraId="57B9B2B5"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ضوء ذلك، يُصبح واضحًا أن قياس أداء المشاريع لا يمكن أن يقتصر على مؤشرات منفصلة، بل ينبغي أن يتم من خلال نماذج تقييم شاملة تدمج بين الأبعاد الفنية، والمالية، والبيئية، والاجتماعية. وتوصي الدراسات التي أجريت في السعودية بضرورة تبني نماذج تقييم مثل</w:t>
      </w:r>
      <w:r w:rsidRPr="0076197C">
        <w:rPr>
          <w:rFonts w:ascii="Traditional Arabic" w:hAnsi="Traditional Arabic" w:cs="Traditional Arabic"/>
          <w:sz w:val="28"/>
          <w:szCs w:val="28"/>
        </w:rPr>
        <w:t xml:space="preserve"> AHP </w:t>
      </w:r>
      <w:r w:rsidRPr="0076197C">
        <w:rPr>
          <w:rFonts w:ascii="Traditional Arabic" w:hAnsi="Traditional Arabic" w:cs="Traditional Arabic"/>
          <w:sz w:val="28"/>
          <w:szCs w:val="28"/>
          <w:rtl/>
        </w:rPr>
        <w:t>أو نماذج قائمة على</w:t>
      </w:r>
      <w:r w:rsidRPr="0076197C">
        <w:rPr>
          <w:rFonts w:ascii="Traditional Arabic" w:hAnsi="Traditional Arabic" w:cs="Traditional Arabic"/>
          <w:sz w:val="28"/>
          <w:szCs w:val="28"/>
        </w:rPr>
        <w:t xml:space="preserve"> MCDM (Multiple Criteria Decision Making) </w:t>
      </w:r>
      <w:r w:rsidRPr="0076197C">
        <w:rPr>
          <w:rFonts w:ascii="Traditional Arabic" w:hAnsi="Traditional Arabic" w:cs="Traditional Arabic"/>
          <w:sz w:val="28"/>
          <w:szCs w:val="28"/>
          <w:rtl/>
        </w:rPr>
        <w:t>لتحليل الأداء بطريقة مرجحة وشاملة</w:t>
      </w:r>
      <w:r w:rsidRPr="0076197C">
        <w:rPr>
          <w:rFonts w:ascii="Traditional Arabic" w:hAnsi="Traditional Arabic" w:cs="Traditional Arabic"/>
          <w:sz w:val="28"/>
          <w:szCs w:val="28"/>
        </w:rPr>
        <w:t xml:space="preserve"> (Alfalah et al., 2024). </w:t>
      </w:r>
      <w:r w:rsidRPr="0076197C">
        <w:rPr>
          <w:rFonts w:ascii="Traditional Arabic" w:hAnsi="Traditional Arabic" w:cs="Traditional Arabic"/>
          <w:sz w:val="28"/>
          <w:szCs w:val="28"/>
          <w:rtl/>
        </w:rPr>
        <w:t>كما يُوصى بتطوير أنظمة رقمية قادرة على تتبع مؤشرات الأداء الفعلية في الزمن الحقيقي، مما يساعد في اتخاذ قرارات استباقية، ويعزز من قدرة الفرق على معالجة الانحرافات في وقت مبكر</w:t>
      </w:r>
      <w:r w:rsidRPr="0076197C">
        <w:rPr>
          <w:rFonts w:ascii="Traditional Arabic" w:hAnsi="Traditional Arabic" w:cs="Traditional Arabic"/>
          <w:sz w:val="28"/>
          <w:szCs w:val="28"/>
        </w:rPr>
        <w:t>.</w:t>
      </w:r>
    </w:p>
    <w:p w14:paraId="0A09B342"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وعلى الرغم من أن الدراسة التي أجراها</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Almahmoud</w:t>
      </w:r>
      <w:proofErr w:type="spellEnd"/>
      <w:r w:rsidRPr="0076197C">
        <w:rPr>
          <w:rFonts w:ascii="Traditional Arabic" w:hAnsi="Traditional Arabic" w:cs="Traditional Arabic"/>
          <w:sz w:val="28"/>
          <w:szCs w:val="28"/>
        </w:rPr>
        <w:t xml:space="preserve"> et al. (2012) </w:t>
      </w:r>
      <w:r w:rsidRPr="0076197C">
        <w:rPr>
          <w:rFonts w:ascii="Traditional Arabic" w:hAnsi="Traditional Arabic" w:cs="Traditional Arabic"/>
          <w:sz w:val="28"/>
          <w:szCs w:val="28"/>
          <w:rtl/>
        </w:rPr>
        <w:t>لم تتناول موضوع الاستدامة بشكل مباشر، إلا أنها ربطت بين الأداء الفعلي وعوامل داخلية مثل جودة الإدارة، والتنظيم، والتخطيط، وهي عوامل ترتبط بشكل غير مباشر بمفاهيم الاستدامة. حيث أوضحت الدراسة أن جودة المستندات والتواصل والقيادة داخل المشروع تُسهم بشكل جوهري في تحسين الأداء عبر تقليل الحاجة إلى إعادة العمل، وتحسين التخطيط، وتقليل الهدر</w:t>
      </w:r>
      <w:r w:rsidRPr="0076197C">
        <w:rPr>
          <w:rFonts w:ascii="Traditional Arabic" w:hAnsi="Traditional Arabic" w:cs="Traditional Arabic"/>
          <w:sz w:val="28"/>
          <w:szCs w:val="28"/>
        </w:rPr>
        <w:t>.</w:t>
      </w:r>
    </w:p>
    <w:p w14:paraId="312E94DD"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 xml:space="preserve">وفي المجمل، فإن تحسين أداء المشاريع الإنشائية في السعودية يتطلب تحولًا في منهجيات التقييم والتخطيط والتنفيذ، مع اعتماد أطر أكثر شمولية تدمج الاستدامة كمكون أساسي في عملية القياس. كما ينبغي أن يتوسع دور مؤشرات الأداء </w:t>
      </w:r>
      <w:r w:rsidRPr="0076197C">
        <w:rPr>
          <w:rFonts w:ascii="Traditional Arabic" w:hAnsi="Traditional Arabic" w:cs="Traditional Arabic"/>
          <w:sz w:val="28"/>
          <w:szCs w:val="28"/>
          <w:rtl/>
        </w:rPr>
        <w:lastRenderedPageBreak/>
        <w:t>من مجرد أدوات تقييم إلى أدوات للتطوير المستمر والتعلم التنظيمي، بما يضمن تكرار النجاحات وتفادي الإخفاقات، خاصة في المشاريع التي تمولها الدولة أو تندرج ضمن مبادرات رؤية المملكة 2030</w:t>
      </w:r>
      <w:r w:rsidRPr="0076197C">
        <w:rPr>
          <w:rFonts w:ascii="Traditional Arabic" w:hAnsi="Traditional Arabic" w:cs="Traditional Arabic"/>
          <w:sz w:val="28"/>
          <w:szCs w:val="28"/>
        </w:rPr>
        <w:t>.</w:t>
      </w:r>
    </w:p>
    <w:p w14:paraId="37C1A7F3" w14:textId="77777777" w:rsidR="00BC7853" w:rsidRPr="0076197C" w:rsidRDefault="00BC7853" w:rsidP="00BC7853">
      <w:pPr>
        <w:bidi/>
        <w:spacing w:line="480" w:lineRule="auto"/>
        <w:rPr>
          <w:rFonts w:ascii="Traditional Arabic" w:hAnsi="Traditional Arabic" w:cs="Traditional Arabic" w:hint="cs"/>
          <w:sz w:val="28"/>
          <w:szCs w:val="28"/>
        </w:rPr>
      </w:pPr>
    </w:p>
    <w:p w14:paraId="1B54D9EA" w14:textId="6193DBCF" w:rsidR="00BC7853" w:rsidRPr="000129F8" w:rsidRDefault="00BC7853" w:rsidP="000129F8">
      <w:pPr>
        <w:pStyle w:val="ListParagraph"/>
        <w:numPr>
          <w:ilvl w:val="0"/>
          <w:numId w:val="44"/>
        </w:numPr>
        <w:bidi/>
        <w:spacing w:line="480" w:lineRule="auto"/>
        <w:rPr>
          <w:rFonts w:ascii="Traditional Arabic" w:hAnsi="Traditional Arabic" w:cs="Traditional Arabic"/>
          <w:b/>
          <w:bCs/>
          <w:sz w:val="28"/>
          <w:szCs w:val="28"/>
          <w:u w:val="single"/>
        </w:rPr>
      </w:pPr>
      <w:r w:rsidRPr="000129F8">
        <w:rPr>
          <w:rFonts w:ascii="Traditional Arabic" w:hAnsi="Traditional Arabic" w:cs="Traditional Arabic"/>
          <w:b/>
          <w:bCs/>
          <w:sz w:val="28"/>
          <w:szCs w:val="28"/>
          <w:u w:val="single"/>
          <w:rtl/>
        </w:rPr>
        <w:t>العلاقة بين الاستدامة وأداء المشاريع الإنشائية</w:t>
      </w:r>
    </w:p>
    <w:p w14:paraId="2138A82C" w14:textId="0D14F0E5" w:rsidR="00BC7853" w:rsidRPr="000129F8" w:rsidRDefault="00BC7853" w:rsidP="000129F8">
      <w:pPr>
        <w:bidi/>
        <w:spacing w:line="480" w:lineRule="auto"/>
        <w:ind w:left="360"/>
        <w:rPr>
          <w:rFonts w:ascii="Traditional Arabic" w:hAnsi="Traditional Arabic" w:cs="Traditional Arabic"/>
          <w:sz w:val="28"/>
          <w:szCs w:val="28"/>
          <w:u w:val="single"/>
        </w:rPr>
      </w:pPr>
      <w:r w:rsidRPr="000129F8">
        <w:rPr>
          <w:rFonts w:ascii="Traditional Arabic" w:hAnsi="Traditional Arabic" w:cs="Traditional Arabic"/>
          <w:b/>
          <w:bCs/>
          <w:sz w:val="28"/>
          <w:szCs w:val="28"/>
          <w:u w:val="single"/>
          <w:rtl/>
        </w:rPr>
        <w:t>تأثير ممارسات الاستدامة على الكفاءة التشغيلية والتكاليف طويلة المدى</w:t>
      </w:r>
    </w:p>
    <w:p w14:paraId="15986260"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يُعد دمج مبادئ الاستدامة في المشاريع الإنشائية خيارًا استراتيجيًا ينعكس على الأداء العام لتلك المشاريع، لا سيما في البيئات التي تواجه تحديات في استهلاك الموارد، وارتفاع التكاليف، وضغط المتطلبات البيئية والتنظيمية كما هو الحال في المملكة العربية السعودية. ويتركز هذا التأثير في محورين أساسيين: الكفاءة التشغيلية والتكاليف طويلة المدى. إذ تشير الأدبيات الحديثة إلى أن تطبيق ممارسات الاستدامة يسهم في تحقيق الاستخدام الأمثل للموارد، وتحسين الأداء الوظيفي، وتخفيض الفاقد، ما ينعكس إيجابيًا على كفاءة المشروع ومردوديته المالية بمرور الزمن</w:t>
      </w:r>
      <w:r w:rsidRPr="0076197C">
        <w:rPr>
          <w:rFonts w:ascii="Traditional Arabic" w:hAnsi="Traditional Arabic" w:cs="Traditional Arabic"/>
          <w:sz w:val="28"/>
          <w:szCs w:val="28"/>
        </w:rPr>
        <w:t>.</w:t>
      </w:r>
    </w:p>
    <w:p w14:paraId="1202ADCE"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توضح دراسة الحسن (2025) أن المشاريع التي تطبق معايير الاستدامة تتمتع بكفاءة تشغيلية أعلى، وذلك نتيجة تحسين استخدام الموارد وتطبيق نظم إدارية دقيقة مثل إدارة الجودة الشاملة. فقد بيّنت الدراسة أن استخدام أدوات مثل برامج مراقبة الجودة والتكنولوجيا الحديثة يسهم في تقليل الأخطاء في التنفيذ، وتحسين التنسيق بين فرق العمل، مما يرفع من الإنتاجية ويقلل من الحاجة لإعادة العمل. وبذلك، فإن الاستدامة لا تقتصر فقط على البعد البيئي بل ترتبط ارتباطًا وثيقًا بجودة الأداء التشغيلي</w:t>
      </w:r>
      <w:r w:rsidRPr="0076197C">
        <w:rPr>
          <w:rFonts w:ascii="Traditional Arabic" w:hAnsi="Traditional Arabic" w:cs="Traditional Arabic"/>
          <w:sz w:val="28"/>
          <w:szCs w:val="28"/>
        </w:rPr>
        <w:t>.</w:t>
      </w:r>
    </w:p>
    <w:p w14:paraId="0BD282C5"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lastRenderedPageBreak/>
        <w:t>ويؤكد</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Alghuried</w:t>
      </w:r>
      <w:proofErr w:type="spellEnd"/>
      <w:r w:rsidRPr="0076197C">
        <w:rPr>
          <w:rFonts w:ascii="Traditional Arabic" w:hAnsi="Traditional Arabic" w:cs="Traditional Arabic"/>
          <w:sz w:val="28"/>
          <w:szCs w:val="28"/>
        </w:rPr>
        <w:t xml:space="preserve"> (2025) </w:t>
      </w:r>
      <w:r w:rsidRPr="0076197C">
        <w:rPr>
          <w:rFonts w:ascii="Traditional Arabic" w:hAnsi="Traditional Arabic" w:cs="Traditional Arabic"/>
          <w:sz w:val="28"/>
          <w:szCs w:val="28"/>
          <w:rtl/>
        </w:rPr>
        <w:t>أن التخطيط الاستراتيجي يمثل أحد أهم عوامل النجاح الحرجة في إدارة المشاريع المستدامة في السعودية. حيث يُسهم هذا النوع من التخطيط في تقليل الهدر وتعظيم استخدام الموارد، بما في ذلك الموارد البشرية والمالية والمادية، ما يحسن من الكفاءة التشغيلية ويزيد من استقرار سير العمل. ويُظهر البحث أن استخدام التقنيات الحديثة، مثل نظم إدارة المشروع الرقمية، يمكن أن يُعزز من مستويات الأداء ويقلل من الأنشطة غير الضرورية، الأمر الذي يترجم مباشرة في تحسين الكفاءة التشغيلية</w:t>
      </w:r>
      <w:r w:rsidRPr="0076197C">
        <w:rPr>
          <w:rFonts w:ascii="Traditional Arabic" w:hAnsi="Traditional Arabic" w:cs="Traditional Arabic"/>
          <w:sz w:val="28"/>
          <w:szCs w:val="28"/>
        </w:rPr>
        <w:t>.</w:t>
      </w:r>
    </w:p>
    <w:p w14:paraId="25EF6542"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كما أوضحت دراسة</w:t>
      </w:r>
      <w:r w:rsidRPr="0076197C">
        <w:rPr>
          <w:rFonts w:ascii="Traditional Arabic" w:hAnsi="Traditional Arabic" w:cs="Traditional Arabic"/>
          <w:sz w:val="28"/>
          <w:szCs w:val="28"/>
        </w:rPr>
        <w:t xml:space="preserve"> Al-Yami (2008) </w:t>
      </w:r>
      <w:r w:rsidRPr="0076197C">
        <w:rPr>
          <w:rFonts w:ascii="Traditional Arabic" w:hAnsi="Traditional Arabic" w:cs="Traditional Arabic"/>
          <w:sz w:val="28"/>
          <w:szCs w:val="28"/>
          <w:rtl/>
        </w:rPr>
        <w:t>أن الكفاءة التشغيلية تتعزز عندما يتم تطبيق مبادئ الاستدامة في مراحل مبكرة من المشروع، لاسيما خلال مرحلة التخطيط الاستراتيجي أو ما يُعرف بالإحاطة الاستراتيجية. واستعرض الباحث من خلال دراسة حالة مشروع مركز الأمير سلمان الاجتماعي للمسنين كيف ساهم استخدام تقنيات إدارة القيمة والبناء المستدام في إعادة تقييم اختيارات التصميم، واستخدام المساحات بفعالية، وتحديد مواد بناء عالية الكفاءة، مما أدى إلى نتائج تشغيلية أفضل دون تجاوز الميزانية</w:t>
      </w:r>
      <w:r w:rsidRPr="0076197C">
        <w:rPr>
          <w:rFonts w:ascii="Traditional Arabic" w:hAnsi="Traditional Arabic" w:cs="Traditional Arabic"/>
          <w:sz w:val="28"/>
          <w:szCs w:val="28"/>
        </w:rPr>
        <w:t>.</w:t>
      </w:r>
    </w:p>
    <w:p w14:paraId="6C0C5676"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إضافةً إلى ذلك، فإن الكفاءة التشغيلية ترتبط بشكل مباشر بمدى قدرة المشروع على إدارة النفايات، وهو ما أكدت عليه دراسة الحسن (2025)، حيث بيّنت أن تقليل النفايات خلال مراحل المشروع يحسن من العمليات اليومية، ويقلل من تكلفة التخلص من المخلفات، ويخلق بيئة عمل منظمة وآمنة. وقد أشار الباحث إلى أن تطبيق معايير الاستدامة ساعد المشاريع على تقليل التلوث البيئي الناتج عن العمليات التشغيلية، إلى جانب تقليص زمن توقف العمل الناتج عن المشكلات البيئية أو الانقطاعات الناتجة عن إدارة غير فعالة للمواد</w:t>
      </w:r>
      <w:r w:rsidRPr="0076197C">
        <w:rPr>
          <w:rFonts w:ascii="Traditional Arabic" w:hAnsi="Traditional Arabic" w:cs="Traditional Arabic"/>
          <w:sz w:val="28"/>
          <w:szCs w:val="28"/>
        </w:rPr>
        <w:t>.</w:t>
      </w:r>
    </w:p>
    <w:p w14:paraId="305DE3A1"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lastRenderedPageBreak/>
        <w:t>وتبرز أهمية ممارسات الاستدامة كذلك من خلال دورها في تحفيز ثقافة تنظيمية إيجابية داخل المؤسسة. حيث بين</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Alghuried</w:t>
      </w:r>
      <w:proofErr w:type="spellEnd"/>
      <w:r w:rsidRPr="0076197C">
        <w:rPr>
          <w:rFonts w:ascii="Traditional Arabic" w:hAnsi="Traditional Arabic" w:cs="Traditional Arabic"/>
          <w:sz w:val="28"/>
          <w:szCs w:val="28"/>
        </w:rPr>
        <w:t xml:space="preserve"> (2025) </w:t>
      </w:r>
      <w:r w:rsidRPr="0076197C">
        <w:rPr>
          <w:rFonts w:ascii="Traditional Arabic" w:hAnsi="Traditional Arabic" w:cs="Traditional Arabic"/>
          <w:sz w:val="28"/>
          <w:szCs w:val="28"/>
          <w:rtl/>
        </w:rPr>
        <w:t>أن تبني ثقافة تدعم مبادئ الاستدامة يشجع التعاون بين أصحاب المصلحة، ويعزز من روح الفريق، ويرفع من التزام العاملين بالمشروع، وهو ما ينعكس على سلاسة العمليات وفعالية التنفيذ. ويُعد هذا البعد الثقافي والتعاوني ضروريًا في المشاريع المعقدة التي تتطلب تنسيقًا عاليًا بين أطراف متعددة مثل المقاولين والاستشاريين والموردين</w:t>
      </w:r>
      <w:r w:rsidRPr="0076197C">
        <w:rPr>
          <w:rFonts w:ascii="Traditional Arabic" w:hAnsi="Traditional Arabic" w:cs="Traditional Arabic"/>
          <w:sz w:val="28"/>
          <w:szCs w:val="28"/>
        </w:rPr>
        <w:t>.</w:t>
      </w:r>
    </w:p>
    <w:p w14:paraId="1CF26D95"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من جهة أخرى، يظهر تأثير ممارسات الاستدامة بوضوح في جانب التكاليف طويلة المدى. فعلى الرغم من أن بعض تطبيقات الاستدامة تتطلب استثمارات أولية مرتفعة، فإن تلك التكاليف تُعد استثمارًا يعود بعوائد ملموسة على المدى البعيد. فقد أكدت دراسة</w:t>
      </w:r>
      <w:r w:rsidRPr="0076197C">
        <w:rPr>
          <w:rFonts w:ascii="Traditional Arabic" w:hAnsi="Traditional Arabic" w:cs="Traditional Arabic"/>
          <w:sz w:val="28"/>
          <w:szCs w:val="28"/>
        </w:rPr>
        <w:t xml:space="preserve"> Al-Yami (2008) </w:t>
      </w:r>
      <w:r w:rsidRPr="0076197C">
        <w:rPr>
          <w:rFonts w:ascii="Traditional Arabic" w:hAnsi="Traditional Arabic" w:cs="Traditional Arabic"/>
          <w:sz w:val="28"/>
          <w:szCs w:val="28"/>
          <w:rtl/>
        </w:rPr>
        <w:t>أن استخدام تقنيات البناء المستدام والمواد المعمرة يساهم في تقليل التكاليف التشغيلية والصيانة لاحقًا، وهو ما تحقق فعليًا في مشروع مركز الأمير سلمان، حيث نجح الفريق في تجاوز عقبة ارتفاع التكلفة الأولية من خلال إيجاد بدائل عالية الكفاءة وغير مكلفة على المدى الطويل</w:t>
      </w:r>
      <w:r w:rsidRPr="0076197C">
        <w:rPr>
          <w:rFonts w:ascii="Traditional Arabic" w:hAnsi="Traditional Arabic" w:cs="Traditional Arabic"/>
          <w:sz w:val="28"/>
          <w:szCs w:val="28"/>
        </w:rPr>
        <w:t>.</w:t>
      </w:r>
    </w:p>
    <w:p w14:paraId="1B62BBA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وتشير نتائج دراسة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Alghuried</w:t>
      </w:r>
      <w:proofErr w:type="spellEnd"/>
      <w:r w:rsidRPr="0076197C">
        <w:rPr>
          <w:rFonts w:ascii="Traditional Arabic" w:hAnsi="Traditional Arabic" w:cs="Traditional Arabic"/>
          <w:sz w:val="28"/>
          <w:szCs w:val="28"/>
        </w:rPr>
        <w:t xml:space="preserve"> (2025) </w:t>
      </w:r>
      <w:r w:rsidRPr="0076197C">
        <w:rPr>
          <w:rFonts w:ascii="Traditional Arabic" w:hAnsi="Traditional Arabic" w:cs="Traditional Arabic"/>
          <w:sz w:val="28"/>
          <w:szCs w:val="28"/>
          <w:rtl/>
        </w:rPr>
        <w:t>إلى أن من بين أبرز فوائد الاستدامة على مستوى التكاليف هي تقليل استهلاك الطاقة والموارد، مثل المياه والوقود، إلى جانب إدارة فعالة للنفايات. ويضيف الباحث أن إعادة تدوير مخلفات البناء والهدم لا تقلل فقط من كلفة التخلص منها، بل تخلق أيضًا قيمة مضافة للمشروع من خلال إعادة استخدامها في أعمال أخرى داخل نفس المشروع، مما يرفع من الكفاءة الاقتصادية ويعزز من الالتزام البيئي</w:t>
      </w:r>
      <w:r w:rsidRPr="0076197C">
        <w:rPr>
          <w:rFonts w:ascii="Traditional Arabic" w:hAnsi="Traditional Arabic" w:cs="Traditional Arabic"/>
          <w:sz w:val="28"/>
          <w:szCs w:val="28"/>
        </w:rPr>
        <w:t>.</w:t>
      </w:r>
    </w:p>
    <w:p w14:paraId="35C5DD4B"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كما أشار الحسن (2025) إلى أن المشاريع المستدامة تتميز بقدرتها على تقليل التكاليف الناتجة عن المشكلات القانونية والفنية، مثل مخالفات قوانين السلامة أو مخالفات بيئية. إذ أوضحت الدراسة أن الالتزام بمعايير السلامة البيئية </w:t>
      </w:r>
      <w:r w:rsidRPr="0076197C">
        <w:rPr>
          <w:rFonts w:ascii="Traditional Arabic" w:hAnsi="Traditional Arabic" w:cs="Traditional Arabic"/>
          <w:sz w:val="28"/>
          <w:szCs w:val="28"/>
          <w:rtl/>
        </w:rPr>
        <w:lastRenderedPageBreak/>
        <w:t>يقلل من المخاطر المحتملة، وبالتالي يقلل من نفقات التأمين والغرامات والتأخيرات الناتجة عن تعطيل الأعمال. وهذا ما يجعل ممارسات الاستدامة وسيلة للوقاية من التكاليف غير المباشرة والتي قد لا تكون واضحة في المراحل الأولى للمشروع</w:t>
      </w:r>
      <w:r w:rsidRPr="0076197C">
        <w:rPr>
          <w:rFonts w:ascii="Traditional Arabic" w:hAnsi="Traditional Arabic" w:cs="Traditional Arabic"/>
          <w:sz w:val="28"/>
          <w:szCs w:val="28"/>
        </w:rPr>
        <w:t>.</w:t>
      </w:r>
    </w:p>
    <w:p w14:paraId="02C7681B"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جانب آخر، فإن استخدام المواد المحلية منخفضة الانبعاثات والتي تتماشى مع معايير كفاءة الطاقة يسهم بشكل مباشر في تقليل كلفة التشغيل. وتدعم نتائج</w:t>
      </w:r>
      <w:r w:rsidRPr="0076197C">
        <w:rPr>
          <w:rFonts w:ascii="Traditional Arabic" w:hAnsi="Traditional Arabic" w:cs="Traditional Arabic"/>
          <w:sz w:val="28"/>
          <w:szCs w:val="28"/>
        </w:rPr>
        <w:t xml:space="preserve"> Al-Yami (2008) </w:t>
      </w:r>
      <w:r w:rsidRPr="0076197C">
        <w:rPr>
          <w:rFonts w:ascii="Traditional Arabic" w:hAnsi="Traditional Arabic" w:cs="Traditional Arabic"/>
          <w:sz w:val="28"/>
          <w:szCs w:val="28"/>
          <w:rtl/>
        </w:rPr>
        <w:t>هذا التوجه، حيث بينت أن تبني نهج البناء القائم على القيمة والفعالية البيئية ساعد المشروع في اختيار مواد بناء أقل تكلفة من حيث الصيانة والاستهلاك، وأطول عمرًا من البدائل التقليدية، ما أدى إلى تقليص النفقات طويلة الأجل من دون الإضرار بالجودة أو المظهر الجمالي للمبنى</w:t>
      </w:r>
      <w:r w:rsidRPr="0076197C">
        <w:rPr>
          <w:rFonts w:ascii="Traditional Arabic" w:hAnsi="Traditional Arabic" w:cs="Traditional Arabic"/>
          <w:sz w:val="28"/>
          <w:szCs w:val="28"/>
        </w:rPr>
        <w:t>.</w:t>
      </w:r>
    </w:p>
    <w:p w14:paraId="36F18FD4"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وتشير الدراسات إلى أن التكاليف طويلة المدى يمكن احتسابها بدقة عبر مفهوم "تكلفة دورة الحياة الكاملة</w:t>
      </w:r>
      <w:r w:rsidRPr="0076197C">
        <w:rPr>
          <w:rFonts w:ascii="Traditional Arabic" w:hAnsi="Traditional Arabic" w:cs="Traditional Arabic"/>
          <w:sz w:val="28"/>
          <w:szCs w:val="28"/>
        </w:rPr>
        <w:t>" (Whole Life Cycle Costing – WLCC)</w:t>
      </w:r>
      <w:r w:rsidRPr="0076197C">
        <w:rPr>
          <w:rFonts w:ascii="Traditional Arabic" w:hAnsi="Traditional Arabic" w:cs="Traditional Arabic"/>
          <w:sz w:val="28"/>
          <w:szCs w:val="28"/>
          <w:rtl/>
        </w:rPr>
        <w:t>، وهو أسلوب يُشجع عليه في المشاريع المستدامة باعتباره يعكس التكاليف الفعلية للمشروع وليس فقط التكاليف الإنشائية. ويعتمد هذا المنهج على تقييم جميع مراحل حياة المشروع، من التشييد إلى التشغيل إلى الصيانة، وحتى التفكيك في بعض الحالات. ووفقًا لـ</w:t>
      </w:r>
      <w:r w:rsidRPr="0076197C">
        <w:rPr>
          <w:rFonts w:ascii="Traditional Arabic" w:hAnsi="Traditional Arabic" w:cs="Traditional Arabic"/>
          <w:sz w:val="28"/>
          <w:szCs w:val="28"/>
        </w:rPr>
        <w:t xml:space="preserve"> Al-Yami (2008)</w:t>
      </w:r>
      <w:r w:rsidRPr="0076197C">
        <w:rPr>
          <w:rFonts w:ascii="Traditional Arabic" w:hAnsi="Traditional Arabic" w:cs="Traditional Arabic"/>
          <w:sz w:val="28"/>
          <w:szCs w:val="28"/>
          <w:rtl/>
        </w:rPr>
        <w:t>، فإن استخدام هذا النموذج في مشروع مركز الأمير سلمان ساعد على اتخاذ قرارات أكثر حكمة في اختيار البدائل التقنية والإنشائية التي أثبتت فاعليتها على المدى البعيد</w:t>
      </w:r>
      <w:r w:rsidRPr="0076197C">
        <w:rPr>
          <w:rFonts w:ascii="Traditional Arabic" w:hAnsi="Traditional Arabic" w:cs="Traditional Arabic"/>
          <w:sz w:val="28"/>
          <w:szCs w:val="28"/>
        </w:rPr>
        <w:t>.</w:t>
      </w:r>
    </w:p>
    <w:p w14:paraId="6C277E73"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وعلى الرغم من كل هذه المزايا، تؤكد الدراسات أن تطبيق ممارسات الاستدامة لا يخلو من التحديات. فقد حدد</w:t>
      </w:r>
      <w:r w:rsidRPr="0076197C">
        <w:rPr>
          <w:rFonts w:ascii="Traditional Arabic" w:hAnsi="Traditional Arabic" w:cs="Traditional Arabic"/>
          <w:sz w:val="28"/>
          <w:szCs w:val="28"/>
        </w:rPr>
        <w:t xml:space="preserve"> Al-Yami (2008) </w:t>
      </w:r>
      <w:r w:rsidRPr="0076197C">
        <w:rPr>
          <w:rFonts w:ascii="Traditional Arabic" w:hAnsi="Traditional Arabic" w:cs="Traditional Arabic"/>
          <w:sz w:val="28"/>
          <w:szCs w:val="28"/>
          <w:rtl/>
        </w:rPr>
        <w:t xml:space="preserve">عدة معوقات أبرزها مقاومة التغيير الناتجة عن التكاليف الأولية المرتفعة، ونقص الخبرات المتخصصة </w:t>
      </w:r>
      <w:r w:rsidRPr="0076197C">
        <w:rPr>
          <w:rFonts w:ascii="Traditional Arabic" w:hAnsi="Traditional Arabic" w:cs="Traditional Arabic"/>
          <w:sz w:val="28"/>
          <w:szCs w:val="28"/>
          <w:rtl/>
        </w:rPr>
        <w:lastRenderedPageBreak/>
        <w:t>في مجال الاستدامة، وغياب اللوائح الملزمة على مستوى وطني. ومع ذلك، تشير الدراسة إلى أن استخدام أدوات مثل إدارة القيمة</w:t>
      </w:r>
      <w:r w:rsidRPr="0076197C">
        <w:rPr>
          <w:rFonts w:ascii="Traditional Arabic" w:hAnsi="Traditional Arabic" w:cs="Traditional Arabic"/>
          <w:sz w:val="28"/>
          <w:szCs w:val="28"/>
        </w:rPr>
        <w:t xml:space="preserve"> (VM) </w:t>
      </w:r>
      <w:r w:rsidRPr="0076197C">
        <w:rPr>
          <w:rFonts w:ascii="Traditional Arabic" w:hAnsi="Traditional Arabic" w:cs="Traditional Arabic"/>
          <w:sz w:val="28"/>
          <w:szCs w:val="28"/>
          <w:rtl/>
        </w:rPr>
        <w:t>يوفر وسيلة منهجية يمكن أن توازن بين المتطلبات الاقتصادية والبيئية والاجتماعية، من خلال إشراك أصحاب المصلحة، وتحسين جودة القرار، وتحقيق تكامل بين الأهداف</w:t>
      </w:r>
      <w:r w:rsidRPr="0076197C">
        <w:rPr>
          <w:rFonts w:ascii="Traditional Arabic" w:hAnsi="Traditional Arabic" w:cs="Traditional Arabic"/>
          <w:sz w:val="28"/>
          <w:szCs w:val="28"/>
        </w:rPr>
        <w:t>.</w:t>
      </w:r>
    </w:p>
    <w:p w14:paraId="422AE8BB"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وتُؤكد نتائج</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Alghuried</w:t>
      </w:r>
      <w:proofErr w:type="spellEnd"/>
      <w:r w:rsidRPr="0076197C">
        <w:rPr>
          <w:rFonts w:ascii="Traditional Arabic" w:hAnsi="Traditional Arabic" w:cs="Traditional Arabic"/>
          <w:sz w:val="28"/>
          <w:szCs w:val="28"/>
        </w:rPr>
        <w:t xml:space="preserve"> (2025) </w:t>
      </w:r>
      <w:r w:rsidRPr="0076197C">
        <w:rPr>
          <w:rFonts w:ascii="Traditional Arabic" w:hAnsi="Traditional Arabic" w:cs="Traditional Arabic"/>
          <w:sz w:val="28"/>
          <w:szCs w:val="28"/>
          <w:rtl/>
        </w:rPr>
        <w:t>على أن من بين العوامل الأساسية التي تساعد على تجاوز هذه التحديات وجود قيادة فعالة، وخطط استراتيجية واضحة، ومدير مشروع كفء يمتلك القدرة على التوفيق بين متطلبات الجودة، والميزانية، والزمن، والاستدامة. كما تبرز أهمية الامتثال للتشريعات واللوائح التنظيمية، والتي تُمثل إطارًا يوفر الحماية القانونية ويقلل من المخاطر التي قد تؤثر على التكاليف مستقبلاً</w:t>
      </w:r>
      <w:r w:rsidRPr="0076197C">
        <w:rPr>
          <w:rFonts w:ascii="Traditional Arabic" w:hAnsi="Traditional Arabic" w:cs="Traditional Arabic"/>
          <w:sz w:val="28"/>
          <w:szCs w:val="28"/>
        </w:rPr>
        <w:t>.</w:t>
      </w:r>
    </w:p>
    <w:p w14:paraId="032F179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إن تكامل الاستدامة مع نظم إدارة المشاريع في السعودية لم يعد رفاهية، بل بات ضرورة تحتمها الضغوط البيئية والاقتصادية والتنظيمية. ولذلك، توصي الأدبيات بضرورة تبني سياسات حكومية داعمة، وتشجيع المشاريع النموذجية التي تثبت بالأرقام جدوى الاستدامة، بالإضافة إلى تطوير برامج تدريب مهني للعاملين في قطاع البناء تمكنهم من فهم آليات تطبيق الاستدامة ومفاهيمها العملية</w:t>
      </w:r>
      <w:r w:rsidRPr="0076197C">
        <w:rPr>
          <w:rFonts w:ascii="Traditional Arabic" w:hAnsi="Traditional Arabic" w:cs="Traditional Arabic"/>
          <w:sz w:val="28"/>
          <w:szCs w:val="28"/>
        </w:rPr>
        <w:t>.</w:t>
      </w:r>
    </w:p>
    <w:p w14:paraId="40A8C489" w14:textId="05A228C0" w:rsidR="00BC7853" w:rsidRPr="000129F8" w:rsidRDefault="00BC7853" w:rsidP="000129F8">
      <w:pPr>
        <w:pStyle w:val="ListParagraph"/>
        <w:numPr>
          <w:ilvl w:val="0"/>
          <w:numId w:val="57"/>
        </w:numPr>
        <w:bidi/>
        <w:spacing w:line="480" w:lineRule="auto"/>
        <w:rPr>
          <w:rFonts w:ascii="Traditional Arabic" w:hAnsi="Traditional Arabic" w:cs="Traditional Arabic"/>
          <w:sz w:val="28"/>
          <w:szCs w:val="28"/>
          <w:u w:val="single"/>
        </w:rPr>
      </w:pPr>
      <w:r w:rsidRPr="000129F8">
        <w:rPr>
          <w:rFonts w:ascii="Traditional Arabic" w:hAnsi="Traditional Arabic" w:cs="Traditional Arabic"/>
          <w:b/>
          <w:bCs/>
          <w:sz w:val="28"/>
          <w:szCs w:val="28"/>
          <w:u w:val="single"/>
          <w:rtl/>
        </w:rPr>
        <w:t>تأثير ممارسات الاستدامة على السمعة التنافسية والامتثال للأنظمة البيئية</w:t>
      </w:r>
    </w:p>
    <w:p w14:paraId="25889CF5"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تمثل الاستدامة في المشاريع الإنشائية نقلة نوعية في المفهوم التقليدي للبناء، حيث لم تعد المشاريع تُقيّم فقط من منظور الجدوى الاقتصادية أو الكفاءة التشغيلية، بل أصبحت تخضع لمعايير أشمل تدمج الأداء البيئي والاجتماعي مع جودة التنفيذ والتكلفة. وفي هذا الإطار، تلعب ممارسات الاستدامة دورًا جوهريًا في تحسين السمعة التنافسية للشركات </w:t>
      </w:r>
      <w:r w:rsidRPr="0076197C">
        <w:rPr>
          <w:rFonts w:ascii="Traditional Arabic" w:hAnsi="Traditional Arabic" w:cs="Traditional Arabic"/>
          <w:sz w:val="28"/>
          <w:szCs w:val="28"/>
          <w:rtl/>
        </w:rPr>
        <w:lastRenderedPageBreak/>
        <w:t>الإنشائية، وتعزيز امتثالها للأنظمة البيئية، وهو ما يُعد عنصرًا حاسمًا في السياق السعودي، الذي يشهد تحولًا متسارعًا نحو التنمية المستدامة تماشيًا مع رؤية المملكة 2030</w:t>
      </w:r>
      <w:r w:rsidRPr="0076197C">
        <w:rPr>
          <w:rFonts w:ascii="Traditional Arabic" w:hAnsi="Traditional Arabic" w:cs="Traditional Arabic"/>
          <w:sz w:val="28"/>
          <w:szCs w:val="28"/>
        </w:rPr>
        <w:t>.</w:t>
      </w:r>
    </w:p>
    <w:p w14:paraId="04FA1DAD"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تُظهر دراسة</w:t>
      </w:r>
      <w:r w:rsidRPr="0076197C">
        <w:rPr>
          <w:rFonts w:ascii="Traditional Arabic" w:hAnsi="Traditional Arabic" w:cs="Traditional Arabic"/>
          <w:sz w:val="28"/>
          <w:szCs w:val="28"/>
        </w:rPr>
        <w:t xml:space="preserve"> Al-Otaibi et al. (2025) </w:t>
      </w:r>
      <w:r w:rsidRPr="0076197C">
        <w:rPr>
          <w:rFonts w:ascii="Traditional Arabic" w:hAnsi="Traditional Arabic" w:cs="Traditional Arabic"/>
          <w:sz w:val="28"/>
          <w:szCs w:val="28"/>
          <w:rtl/>
        </w:rPr>
        <w:t>أن تبني استراتيجيات مستدامة في المشاريع الإنشائية يسهم في تقليل الهدر، وتحسين إدارة الموارد، ورفع كفاءة التصميم والتنفيذ، مما يعكس صورة إيجابية للشركات أمام العملاء والمستثمرين. وتُعد هذه العوامل من أبرز المحددات التي تؤثر في السمعة التنافسية للمؤسسات، خاصة في سوق تشهد فيه المشاريع الكبرى تنافسًا عاليًا بين الشركات المحلية والعالمية. وتشير الدراسة إلى أن استخدام أدوات متقدمة مثل نمذجة معلومات البناء</w:t>
      </w:r>
      <w:r w:rsidRPr="0076197C">
        <w:rPr>
          <w:rFonts w:ascii="Traditional Arabic" w:hAnsi="Traditional Arabic" w:cs="Traditional Arabic"/>
          <w:sz w:val="28"/>
          <w:szCs w:val="28"/>
        </w:rPr>
        <w:t xml:space="preserve"> (BIM) </w:t>
      </w:r>
      <w:r w:rsidRPr="0076197C">
        <w:rPr>
          <w:rFonts w:ascii="Traditional Arabic" w:hAnsi="Traditional Arabic" w:cs="Traditional Arabic"/>
          <w:sz w:val="28"/>
          <w:szCs w:val="28"/>
          <w:rtl/>
        </w:rPr>
        <w:t>والتحول الرقمي يقللان من الأخطاء التصميمية</w:t>
      </w:r>
      <w:r w:rsidRPr="0076197C">
        <w:rPr>
          <w:rFonts w:ascii="Traditional Arabic" w:hAnsi="Traditional Arabic" w:cs="Traditional Arabic"/>
          <w:sz w:val="28"/>
          <w:szCs w:val="28"/>
        </w:rPr>
        <w:t xml:space="preserve"> (RII = 0.792)</w:t>
      </w:r>
      <w:r w:rsidRPr="0076197C">
        <w:rPr>
          <w:rFonts w:ascii="Traditional Arabic" w:hAnsi="Traditional Arabic" w:cs="Traditional Arabic"/>
          <w:sz w:val="28"/>
          <w:szCs w:val="28"/>
          <w:rtl/>
        </w:rPr>
        <w:t>، ويُعززان الشفافية، وهو ما يُعد من عناصر الجذب المهمة لأصحاب المصلحة</w:t>
      </w:r>
      <w:r w:rsidRPr="0076197C">
        <w:rPr>
          <w:rFonts w:ascii="Traditional Arabic" w:hAnsi="Traditional Arabic" w:cs="Traditional Arabic"/>
          <w:sz w:val="28"/>
          <w:szCs w:val="28"/>
        </w:rPr>
        <w:t>.</w:t>
      </w:r>
    </w:p>
    <w:p w14:paraId="0A5131F2"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في ذات السياق، تؤكد دراسة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Shaawat</w:t>
      </w:r>
      <w:proofErr w:type="spellEnd"/>
      <w:r w:rsidRPr="0076197C">
        <w:rPr>
          <w:rFonts w:ascii="Traditional Arabic" w:hAnsi="Traditional Arabic" w:cs="Traditional Arabic"/>
          <w:sz w:val="28"/>
          <w:szCs w:val="28"/>
        </w:rPr>
        <w:t xml:space="preserve"> et al. (2023) </w:t>
      </w:r>
      <w:r w:rsidRPr="0076197C">
        <w:rPr>
          <w:rFonts w:ascii="Traditional Arabic" w:hAnsi="Traditional Arabic" w:cs="Traditional Arabic"/>
          <w:sz w:val="28"/>
          <w:szCs w:val="28"/>
          <w:rtl/>
        </w:rPr>
        <w:t>أن تحسين جودة أعمال البناء عبر الالتزام بممارسات الاستدامة يزيد من رضا العملاء، ويعزز الثقة بين الشركات والملاك، وهو ما يُعد من أهم عناصر بناء السمعة في السوق. وقد طورت الدراسة "مؤشر جودة الأداء</w:t>
      </w:r>
      <w:r w:rsidRPr="0076197C">
        <w:rPr>
          <w:rFonts w:ascii="Traditional Arabic" w:hAnsi="Traditional Arabic" w:cs="Traditional Arabic"/>
          <w:sz w:val="28"/>
          <w:szCs w:val="28"/>
        </w:rPr>
        <w:t xml:space="preserve">" (PQI) </w:t>
      </w:r>
      <w:r w:rsidRPr="0076197C">
        <w:rPr>
          <w:rFonts w:ascii="Traditional Arabic" w:hAnsi="Traditional Arabic" w:cs="Traditional Arabic"/>
          <w:sz w:val="28"/>
          <w:szCs w:val="28"/>
          <w:rtl/>
        </w:rPr>
        <w:t>الذي يقيس الأداء المهني للمقاولين في المشاريع المستدامة، ووجدت أن جودة التنفيذ تُعد العامل الأكثر تأثيرًا بنسبة 43%. وتؤكد الدراسة أن الشركات التي تلتزم بمعايير الجودة مثل</w:t>
      </w:r>
      <w:r w:rsidRPr="0076197C">
        <w:rPr>
          <w:rFonts w:ascii="Traditional Arabic" w:hAnsi="Traditional Arabic" w:cs="Traditional Arabic"/>
          <w:sz w:val="28"/>
          <w:szCs w:val="28"/>
        </w:rPr>
        <w:t xml:space="preserve"> ISO 9000</w:t>
      </w:r>
      <w:r w:rsidRPr="0076197C">
        <w:rPr>
          <w:rFonts w:ascii="Traditional Arabic" w:hAnsi="Traditional Arabic" w:cs="Traditional Arabic"/>
          <w:sz w:val="28"/>
          <w:szCs w:val="28"/>
          <w:rtl/>
        </w:rPr>
        <w:t>، وتمارس ضوابط دقيقة خلال كل مراحل المشروع، تُحقق معدلات أعلى من رضا العملاء، وبالتالي تتمتع بسمعة تنافسية أقوى</w:t>
      </w:r>
      <w:r w:rsidRPr="0076197C">
        <w:rPr>
          <w:rFonts w:ascii="Traditional Arabic" w:hAnsi="Traditional Arabic" w:cs="Traditional Arabic"/>
          <w:sz w:val="28"/>
          <w:szCs w:val="28"/>
        </w:rPr>
        <w:t>.</w:t>
      </w:r>
    </w:p>
    <w:p w14:paraId="67F5B7F3"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ويُبرز</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Alghuried</w:t>
      </w:r>
      <w:proofErr w:type="spellEnd"/>
      <w:r w:rsidRPr="0076197C">
        <w:rPr>
          <w:rFonts w:ascii="Traditional Arabic" w:hAnsi="Traditional Arabic" w:cs="Traditional Arabic"/>
          <w:sz w:val="28"/>
          <w:szCs w:val="28"/>
        </w:rPr>
        <w:t xml:space="preserve"> (2023) </w:t>
      </w:r>
      <w:r w:rsidRPr="0076197C">
        <w:rPr>
          <w:rFonts w:ascii="Traditional Arabic" w:hAnsi="Traditional Arabic" w:cs="Traditional Arabic"/>
          <w:sz w:val="28"/>
          <w:szCs w:val="28"/>
          <w:rtl/>
        </w:rPr>
        <w:t>أن تبني تقنيات الاستدامة مثل</w:t>
      </w:r>
      <w:r w:rsidRPr="0076197C">
        <w:rPr>
          <w:rFonts w:ascii="Traditional Arabic" w:hAnsi="Traditional Arabic" w:cs="Traditional Arabic"/>
          <w:sz w:val="28"/>
          <w:szCs w:val="28"/>
        </w:rPr>
        <w:t xml:space="preserve"> BIM </w:t>
      </w:r>
      <w:r w:rsidRPr="0076197C">
        <w:rPr>
          <w:rFonts w:ascii="Traditional Arabic" w:hAnsi="Traditional Arabic" w:cs="Traditional Arabic"/>
          <w:sz w:val="28"/>
          <w:szCs w:val="28"/>
          <w:rtl/>
        </w:rPr>
        <w:t>يعزز العلامة التجارية للشركات الإنشائية من خلال تحسين التصميم الأخضر</w:t>
      </w:r>
      <w:r w:rsidRPr="0076197C">
        <w:rPr>
          <w:rFonts w:ascii="Traditional Arabic" w:hAnsi="Traditional Arabic" w:cs="Traditional Arabic"/>
          <w:sz w:val="28"/>
          <w:szCs w:val="28"/>
        </w:rPr>
        <w:t xml:space="preserve"> (RII = 0.786)</w:t>
      </w:r>
      <w:r w:rsidRPr="0076197C">
        <w:rPr>
          <w:rFonts w:ascii="Traditional Arabic" w:hAnsi="Traditional Arabic" w:cs="Traditional Arabic"/>
          <w:sz w:val="28"/>
          <w:szCs w:val="28"/>
          <w:rtl/>
        </w:rPr>
        <w:t xml:space="preserve">، وتحقيق كفاءة أكبر في دورة حياة المبنى. كما يشير إلى أن </w:t>
      </w:r>
      <w:r w:rsidRPr="0076197C">
        <w:rPr>
          <w:rFonts w:ascii="Traditional Arabic" w:hAnsi="Traditional Arabic" w:cs="Traditional Arabic"/>
          <w:sz w:val="28"/>
          <w:szCs w:val="28"/>
          <w:rtl/>
        </w:rPr>
        <w:lastRenderedPageBreak/>
        <w:t>الاستخدام الفعال لهذه التقنيات يُساعد الشركات على تمييز نفسها في السوق من خلال تقديم مشاريع ذات عمر افتراضي أطول، واستهلاك طاقة أقل، وانبعاثات كربونية أقل، مما يجعلها أكثر جذبًا للمستثمرين والحكومات التي تُشجع المباني المستدامة</w:t>
      </w:r>
      <w:r w:rsidRPr="0076197C">
        <w:rPr>
          <w:rFonts w:ascii="Traditional Arabic" w:hAnsi="Traditional Arabic" w:cs="Traditional Arabic"/>
          <w:sz w:val="28"/>
          <w:szCs w:val="28"/>
        </w:rPr>
        <w:t>.</w:t>
      </w:r>
    </w:p>
    <w:p w14:paraId="589ED77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تتجسد العلاقة بين ممارسات الاستدامة والسمعة التنافسية أيضًا في التوافق مع التوجهات العالمية المتزايدة نحو الاستدامة. إذ أصبحت المؤسسات التمويلية والمستثمرون يبحثون عن مشاريع لا تحقق العوائد المالية فحسب، بل تُراعي أيضًا التأثير البيئي والاجتماعي. وفي هذا الإطار، يُصبح التزام الشركات بالممارسات المستدامة، مثل تقليل الانبعاثات، وإعادة التدوير، واستخدام المواد منخفضة التأثير البيئي، من العوامل التي تعزز صورتها أمام الشركاء الدوليين</w:t>
      </w:r>
      <w:r w:rsidRPr="0076197C">
        <w:rPr>
          <w:rFonts w:ascii="Traditional Arabic" w:hAnsi="Traditional Arabic" w:cs="Traditional Arabic"/>
          <w:sz w:val="28"/>
          <w:szCs w:val="28"/>
        </w:rPr>
        <w:t>.</w:t>
      </w:r>
    </w:p>
    <w:p w14:paraId="60BCE98A"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وتوضح نتائج</w:t>
      </w:r>
      <w:r w:rsidRPr="0076197C">
        <w:rPr>
          <w:rFonts w:ascii="Traditional Arabic" w:hAnsi="Traditional Arabic" w:cs="Traditional Arabic"/>
          <w:sz w:val="28"/>
          <w:szCs w:val="28"/>
        </w:rPr>
        <w:t xml:space="preserve"> Al-Otaibi et al. (2025) </w:t>
      </w:r>
      <w:r w:rsidRPr="0076197C">
        <w:rPr>
          <w:rFonts w:ascii="Traditional Arabic" w:hAnsi="Traditional Arabic" w:cs="Traditional Arabic"/>
          <w:sz w:val="28"/>
          <w:szCs w:val="28"/>
          <w:rtl/>
        </w:rPr>
        <w:t>أن أحد التحديات التي تؤثر في السمعة التنافسية للشركات الإنشائية في السعودية هو سوء التواصل بين أصحاب المصلحة</w:t>
      </w:r>
      <w:r w:rsidRPr="0076197C">
        <w:rPr>
          <w:rFonts w:ascii="Traditional Arabic" w:hAnsi="Traditional Arabic" w:cs="Traditional Arabic"/>
          <w:sz w:val="28"/>
          <w:szCs w:val="28"/>
        </w:rPr>
        <w:t xml:space="preserve"> (RII = </w:t>
      </w:r>
      <w:proofErr w:type="gramStart"/>
      <w:r w:rsidRPr="0076197C">
        <w:rPr>
          <w:rFonts w:ascii="Traditional Arabic" w:hAnsi="Traditional Arabic" w:cs="Traditional Arabic"/>
          <w:sz w:val="28"/>
          <w:szCs w:val="28"/>
        </w:rPr>
        <w:t>0.831)</w:t>
      </w:r>
      <w:r w:rsidRPr="0076197C">
        <w:rPr>
          <w:rFonts w:ascii="Traditional Arabic" w:hAnsi="Traditional Arabic" w:cs="Traditional Arabic"/>
          <w:sz w:val="28"/>
          <w:szCs w:val="28"/>
          <w:rtl/>
        </w:rPr>
        <w:t>،</w:t>
      </w:r>
      <w:proofErr w:type="gramEnd"/>
      <w:r w:rsidRPr="0076197C">
        <w:rPr>
          <w:rFonts w:ascii="Traditional Arabic" w:hAnsi="Traditional Arabic" w:cs="Traditional Arabic"/>
          <w:sz w:val="28"/>
          <w:szCs w:val="28"/>
          <w:rtl/>
        </w:rPr>
        <w:t xml:space="preserve"> وتجاوز التكاليف والجداول الزمنية</w:t>
      </w:r>
      <w:r w:rsidRPr="0076197C">
        <w:rPr>
          <w:rFonts w:ascii="Traditional Arabic" w:hAnsi="Traditional Arabic" w:cs="Traditional Arabic"/>
          <w:sz w:val="28"/>
          <w:szCs w:val="28"/>
        </w:rPr>
        <w:t xml:space="preserve"> (RII = 0.806). </w:t>
      </w:r>
      <w:r w:rsidRPr="0076197C">
        <w:rPr>
          <w:rFonts w:ascii="Traditional Arabic" w:hAnsi="Traditional Arabic" w:cs="Traditional Arabic"/>
          <w:sz w:val="28"/>
          <w:szCs w:val="28"/>
          <w:rtl/>
        </w:rPr>
        <w:t>وتوصي الدراسة بأن تبني تقنيات البناء الذكي والممارسات المستدامة يُمكن أن يُقلل من هذه المشكلات، من خلال تحسين التنسيق، وتخفيض الفاقد، والامتثال للمعايير، وهو ما ينعكس إيجابيًا على صورة الشركة في السوق</w:t>
      </w:r>
      <w:r w:rsidRPr="0076197C">
        <w:rPr>
          <w:rFonts w:ascii="Traditional Arabic" w:hAnsi="Traditional Arabic" w:cs="Traditional Arabic"/>
          <w:sz w:val="28"/>
          <w:szCs w:val="28"/>
        </w:rPr>
        <w:t>.</w:t>
      </w:r>
    </w:p>
    <w:p w14:paraId="4A582FE5"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من جانب آخر، يرتبط الامتثال للأنظمة البيئية ارتباطًا وثيقًا بممارسات الاستدامة، حيث إن تبني المعايير الخضراء والأنظمة الإدارية الصارمة يُعد الوسيلة الأمثل لضمان التوافق مع القوانين التنظيمية المحلية والدولية. ويؤكد</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Shaawat</w:t>
      </w:r>
      <w:proofErr w:type="spellEnd"/>
      <w:r w:rsidRPr="0076197C">
        <w:rPr>
          <w:rFonts w:ascii="Traditional Arabic" w:hAnsi="Traditional Arabic" w:cs="Traditional Arabic"/>
          <w:sz w:val="28"/>
          <w:szCs w:val="28"/>
        </w:rPr>
        <w:t xml:space="preserve"> et al. (2023) </w:t>
      </w:r>
      <w:r w:rsidRPr="0076197C">
        <w:rPr>
          <w:rFonts w:ascii="Traditional Arabic" w:hAnsi="Traditional Arabic" w:cs="Traditional Arabic"/>
          <w:sz w:val="28"/>
          <w:szCs w:val="28"/>
          <w:rtl/>
        </w:rPr>
        <w:t>أن تنفيذ أنظمة الجودة مثل</w:t>
      </w:r>
      <w:r w:rsidRPr="0076197C">
        <w:rPr>
          <w:rFonts w:ascii="Traditional Arabic" w:hAnsi="Traditional Arabic" w:cs="Traditional Arabic"/>
          <w:sz w:val="28"/>
          <w:szCs w:val="28"/>
        </w:rPr>
        <w:t xml:space="preserve"> ISO 9000 </w:t>
      </w:r>
      <w:r w:rsidRPr="0076197C">
        <w:rPr>
          <w:rFonts w:ascii="Traditional Arabic" w:hAnsi="Traditional Arabic" w:cs="Traditional Arabic"/>
          <w:sz w:val="28"/>
          <w:szCs w:val="28"/>
          <w:rtl/>
        </w:rPr>
        <w:t>يُوحّد الإجراءات الداخلية للشركات، ويُقلل من التكرار في الانتهاكات البيئية، مما يؤدي إلى تحقيق الامتثال البيئي بطريقة منظمة وفعالة. وتُظهر نتائج الدراسة أن اعتماد خطط فحص واختبار دقيقة</w:t>
      </w:r>
      <w:r w:rsidRPr="0076197C">
        <w:rPr>
          <w:rFonts w:ascii="Traditional Arabic" w:hAnsi="Traditional Arabic" w:cs="Traditional Arabic"/>
          <w:sz w:val="28"/>
          <w:szCs w:val="28"/>
        </w:rPr>
        <w:t xml:space="preserve"> (ITP) </w:t>
      </w:r>
      <w:r w:rsidRPr="0076197C">
        <w:rPr>
          <w:rFonts w:ascii="Traditional Arabic" w:hAnsi="Traditional Arabic" w:cs="Traditional Arabic"/>
          <w:sz w:val="28"/>
          <w:szCs w:val="28"/>
          <w:rtl/>
        </w:rPr>
        <w:t>وتجنب تكرار المخالفات</w:t>
      </w:r>
      <w:r w:rsidRPr="0076197C">
        <w:rPr>
          <w:rFonts w:ascii="Traditional Arabic" w:hAnsi="Traditional Arabic" w:cs="Traditional Arabic"/>
          <w:sz w:val="28"/>
          <w:szCs w:val="28"/>
        </w:rPr>
        <w:t xml:space="preserve"> (RV) </w:t>
      </w:r>
      <w:r w:rsidRPr="0076197C">
        <w:rPr>
          <w:rFonts w:ascii="Traditional Arabic" w:hAnsi="Traditional Arabic" w:cs="Traditional Arabic"/>
          <w:sz w:val="28"/>
          <w:szCs w:val="28"/>
          <w:rtl/>
        </w:rPr>
        <w:t>يسهم في تحسين الانضباط البيئي داخل مواقع العمل</w:t>
      </w:r>
      <w:r w:rsidRPr="0076197C">
        <w:rPr>
          <w:rFonts w:ascii="Traditional Arabic" w:hAnsi="Traditional Arabic" w:cs="Traditional Arabic"/>
          <w:sz w:val="28"/>
          <w:szCs w:val="28"/>
        </w:rPr>
        <w:t>.</w:t>
      </w:r>
    </w:p>
    <w:p w14:paraId="34323916"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lastRenderedPageBreak/>
        <w:t>كما تُشير دراسة</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Alghuried</w:t>
      </w:r>
      <w:proofErr w:type="spellEnd"/>
      <w:r w:rsidRPr="0076197C">
        <w:rPr>
          <w:rFonts w:ascii="Traditional Arabic" w:hAnsi="Traditional Arabic" w:cs="Traditional Arabic"/>
          <w:sz w:val="28"/>
          <w:szCs w:val="28"/>
        </w:rPr>
        <w:t xml:space="preserve"> (2023) </w:t>
      </w:r>
      <w:r w:rsidRPr="0076197C">
        <w:rPr>
          <w:rFonts w:ascii="Traditional Arabic" w:hAnsi="Traditional Arabic" w:cs="Traditional Arabic"/>
          <w:sz w:val="28"/>
          <w:szCs w:val="28"/>
          <w:rtl/>
        </w:rPr>
        <w:t>إلى أن استخدام نمذجة معلومات البناء في محاكاة أداء الطاقة، والتحكم في استهلاكها، يُعد من أبرز الأدوات التي تُمكن الشركات من الالتزام بالمعايير البيئية المعتمدة مثل</w:t>
      </w:r>
      <w:r w:rsidRPr="0076197C">
        <w:rPr>
          <w:rFonts w:ascii="Traditional Arabic" w:hAnsi="Traditional Arabic" w:cs="Traditional Arabic"/>
          <w:sz w:val="28"/>
          <w:szCs w:val="28"/>
        </w:rPr>
        <w:t xml:space="preserve"> LEED. </w:t>
      </w:r>
      <w:r w:rsidRPr="0076197C">
        <w:rPr>
          <w:rFonts w:ascii="Traditional Arabic" w:hAnsi="Traditional Arabic" w:cs="Traditional Arabic"/>
          <w:sz w:val="28"/>
          <w:szCs w:val="28"/>
          <w:rtl/>
        </w:rPr>
        <w:t>وتُظهر الدراسة أن التحكم في استهلاك الطاقة</w:t>
      </w:r>
      <w:r w:rsidRPr="0076197C">
        <w:rPr>
          <w:rFonts w:ascii="Traditional Arabic" w:hAnsi="Traditional Arabic" w:cs="Traditional Arabic"/>
          <w:sz w:val="28"/>
          <w:szCs w:val="28"/>
        </w:rPr>
        <w:t xml:space="preserve"> (RII = 0.767) </w:t>
      </w:r>
      <w:r w:rsidRPr="0076197C">
        <w:rPr>
          <w:rFonts w:ascii="Traditional Arabic" w:hAnsi="Traditional Arabic" w:cs="Traditional Arabic"/>
          <w:sz w:val="28"/>
          <w:szCs w:val="28"/>
          <w:rtl/>
        </w:rPr>
        <w:t>وإدارة الموارد بكفاءة</w:t>
      </w:r>
      <w:r w:rsidRPr="0076197C">
        <w:rPr>
          <w:rFonts w:ascii="Traditional Arabic" w:hAnsi="Traditional Arabic" w:cs="Traditional Arabic"/>
          <w:sz w:val="28"/>
          <w:szCs w:val="28"/>
        </w:rPr>
        <w:t xml:space="preserve"> (RII = 0.761) </w:t>
      </w:r>
      <w:r w:rsidRPr="0076197C">
        <w:rPr>
          <w:rFonts w:ascii="Traditional Arabic" w:hAnsi="Traditional Arabic" w:cs="Traditional Arabic"/>
          <w:sz w:val="28"/>
          <w:szCs w:val="28"/>
          <w:rtl/>
        </w:rPr>
        <w:t>يُسهمان في خفض الانبعاثات وتطبيق التشريعات البيئية بفعالية. كما أن محاكاة دورة الحياة الحرارية والإضاءة في المباني تساعد في اتخاذ قرارات تصميم مستدامة من البداية، مما يقلل من المخالفات البيئية لاحقًا ويُعزز الامتثال</w:t>
      </w:r>
      <w:r w:rsidRPr="0076197C">
        <w:rPr>
          <w:rFonts w:ascii="Traditional Arabic" w:hAnsi="Traditional Arabic" w:cs="Traditional Arabic"/>
          <w:sz w:val="28"/>
          <w:szCs w:val="28"/>
        </w:rPr>
        <w:t>.</w:t>
      </w:r>
    </w:p>
    <w:p w14:paraId="05C4D31E"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ويُشير</w:t>
      </w:r>
      <w:r w:rsidRPr="0076197C">
        <w:rPr>
          <w:rFonts w:ascii="Traditional Arabic" w:hAnsi="Traditional Arabic" w:cs="Traditional Arabic"/>
          <w:sz w:val="28"/>
          <w:szCs w:val="28"/>
        </w:rPr>
        <w:t xml:space="preserve"> Al-Otaibi et al. (2025) </w:t>
      </w:r>
      <w:r w:rsidRPr="0076197C">
        <w:rPr>
          <w:rFonts w:ascii="Traditional Arabic" w:hAnsi="Traditional Arabic" w:cs="Traditional Arabic"/>
          <w:sz w:val="28"/>
          <w:szCs w:val="28"/>
          <w:rtl/>
        </w:rPr>
        <w:t>إلى أن اللوائح البيئية في السعودية تُعد من العوامل المؤثرة على أداء المشاريع</w:t>
      </w:r>
      <w:r w:rsidRPr="0076197C">
        <w:rPr>
          <w:rFonts w:ascii="Traditional Arabic" w:hAnsi="Traditional Arabic" w:cs="Traditional Arabic"/>
          <w:sz w:val="28"/>
          <w:szCs w:val="28"/>
        </w:rPr>
        <w:t xml:space="preserve"> (RII = </w:t>
      </w:r>
      <w:proofErr w:type="gramStart"/>
      <w:r w:rsidRPr="0076197C">
        <w:rPr>
          <w:rFonts w:ascii="Traditional Arabic" w:hAnsi="Traditional Arabic" w:cs="Traditional Arabic"/>
          <w:sz w:val="28"/>
          <w:szCs w:val="28"/>
        </w:rPr>
        <w:t>0.680)</w:t>
      </w:r>
      <w:r w:rsidRPr="0076197C">
        <w:rPr>
          <w:rFonts w:ascii="Traditional Arabic" w:hAnsi="Traditional Arabic" w:cs="Traditional Arabic"/>
          <w:sz w:val="28"/>
          <w:szCs w:val="28"/>
          <w:rtl/>
        </w:rPr>
        <w:t>،</w:t>
      </w:r>
      <w:proofErr w:type="gramEnd"/>
      <w:r w:rsidRPr="0076197C">
        <w:rPr>
          <w:rFonts w:ascii="Traditional Arabic" w:hAnsi="Traditional Arabic" w:cs="Traditional Arabic"/>
          <w:sz w:val="28"/>
          <w:szCs w:val="28"/>
          <w:rtl/>
        </w:rPr>
        <w:t xml:space="preserve"> حيث يُمكن أن يؤدي عدم الالتزام بها إلى تأخيرات وتكاليف إضافية. ولذلك، فإن تحسين عمليات المراقبة والتقييم</w:t>
      </w:r>
      <w:r w:rsidRPr="0076197C">
        <w:rPr>
          <w:rFonts w:ascii="Traditional Arabic" w:hAnsi="Traditional Arabic" w:cs="Traditional Arabic"/>
          <w:sz w:val="28"/>
          <w:szCs w:val="28"/>
        </w:rPr>
        <w:t xml:space="preserve"> (RII = 0.786) </w:t>
      </w:r>
      <w:r w:rsidRPr="0076197C">
        <w:rPr>
          <w:rFonts w:ascii="Traditional Arabic" w:hAnsi="Traditional Arabic" w:cs="Traditional Arabic"/>
          <w:sz w:val="28"/>
          <w:szCs w:val="28"/>
          <w:rtl/>
        </w:rPr>
        <w:t>عبر أنظمة رقابة فعالة وتدريب العمالة على الممارسات المستدامة يُعد شرطًا رئيسيًا للامتثال البيئي الناجح. كما توصي الدراسة بضرورة تطوير تشريعات أكثر وضوحًا لفرض الالتزام بالمعايير البيئية، خاصة في المشاريع الضخمة التي تُمولها الدولة</w:t>
      </w:r>
      <w:r w:rsidRPr="0076197C">
        <w:rPr>
          <w:rFonts w:ascii="Traditional Arabic" w:hAnsi="Traditional Arabic" w:cs="Traditional Arabic"/>
          <w:sz w:val="28"/>
          <w:szCs w:val="28"/>
        </w:rPr>
        <w:t>.</w:t>
      </w:r>
    </w:p>
    <w:p w14:paraId="6AE3DC5E"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وتضيف</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Shaawat</w:t>
      </w:r>
      <w:proofErr w:type="spellEnd"/>
      <w:r w:rsidRPr="0076197C">
        <w:rPr>
          <w:rFonts w:ascii="Traditional Arabic" w:hAnsi="Traditional Arabic" w:cs="Traditional Arabic"/>
          <w:sz w:val="28"/>
          <w:szCs w:val="28"/>
        </w:rPr>
        <w:t xml:space="preserve"> et al. (2023) </w:t>
      </w:r>
      <w:r w:rsidRPr="0076197C">
        <w:rPr>
          <w:rFonts w:ascii="Traditional Arabic" w:hAnsi="Traditional Arabic" w:cs="Traditional Arabic"/>
          <w:sz w:val="28"/>
          <w:szCs w:val="28"/>
          <w:rtl/>
        </w:rPr>
        <w:t>أن جودة البناء تؤثر بشكل غير مباشر على الامتثال البيئي، إذ إن المشاريع التي تُنفذ بجودة عالية تقل فيها الحاجة لإعادة العمل، مما يقلل من استهلاك المواد والطاقة، ويُخفض من الانبعاثات الكربونية الناتجة عن عمليات التصحيح. كما تُسهم المستندات الدقيقة والتخطيط الجيد في منع الأخطاء التي قد تؤدي إلى تجاوزات بيئية. ويُعزز ذلك من قدرة الشركات على تلبية المتطلبات التنظيمية دون الحاجة لإجراءات تصحيحية مكلفة أو تأخير في التنفيذ</w:t>
      </w:r>
      <w:r w:rsidRPr="0076197C">
        <w:rPr>
          <w:rFonts w:ascii="Traditional Arabic" w:hAnsi="Traditional Arabic" w:cs="Traditional Arabic"/>
          <w:sz w:val="28"/>
          <w:szCs w:val="28"/>
        </w:rPr>
        <w:t>.</w:t>
      </w:r>
    </w:p>
    <w:p w14:paraId="428A0460"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lastRenderedPageBreak/>
        <w:t>ومع ذلك، تُواجه الشركات تحديات عدّة في تحقيق التوازن بين الاستدامة والامتثال البيئي، خاصة في ظل وجود عوائق هيكلية ومؤسسية. وقد حدد</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Alghuried</w:t>
      </w:r>
      <w:proofErr w:type="spellEnd"/>
      <w:r w:rsidRPr="0076197C">
        <w:rPr>
          <w:rFonts w:ascii="Traditional Arabic" w:hAnsi="Traditional Arabic" w:cs="Traditional Arabic"/>
          <w:sz w:val="28"/>
          <w:szCs w:val="28"/>
        </w:rPr>
        <w:t xml:space="preserve"> (2023) </w:t>
      </w:r>
      <w:r w:rsidRPr="0076197C">
        <w:rPr>
          <w:rFonts w:ascii="Traditional Arabic" w:hAnsi="Traditional Arabic" w:cs="Traditional Arabic"/>
          <w:sz w:val="28"/>
          <w:szCs w:val="28"/>
          <w:rtl/>
        </w:rPr>
        <w:t>ثلاثة عوائق رئيسية في هذا السياق: ارتفاع التكلفة</w:t>
      </w:r>
      <w:r w:rsidRPr="0076197C">
        <w:rPr>
          <w:rFonts w:ascii="Traditional Arabic" w:hAnsi="Traditional Arabic" w:cs="Traditional Arabic"/>
          <w:sz w:val="28"/>
          <w:szCs w:val="28"/>
        </w:rPr>
        <w:t xml:space="preserve"> (RII = 0.720)</w:t>
      </w:r>
      <w:r w:rsidRPr="0076197C">
        <w:rPr>
          <w:rFonts w:ascii="Traditional Arabic" w:hAnsi="Traditional Arabic" w:cs="Traditional Arabic"/>
          <w:sz w:val="28"/>
          <w:szCs w:val="28"/>
          <w:rtl/>
        </w:rPr>
        <w:t>، ونقص الكوادر المؤهلة</w:t>
      </w:r>
      <w:r w:rsidRPr="0076197C">
        <w:rPr>
          <w:rFonts w:ascii="Traditional Arabic" w:hAnsi="Traditional Arabic" w:cs="Traditional Arabic"/>
          <w:sz w:val="28"/>
          <w:szCs w:val="28"/>
        </w:rPr>
        <w:t xml:space="preserve"> (RII = 0.708)</w:t>
      </w:r>
      <w:r w:rsidRPr="0076197C">
        <w:rPr>
          <w:rFonts w:ascii="Traditional Arabic" w:hAnsi="Traditional Arabic" w:cs="Traditional Arabic"/>
          <w:sz w:val="28"/>
          <w:szCs w:val="28"/>
          <w:rtl/>
        </w:rPr>
        <w:t>، وغياب إطار قانوني واضح</w:t>
      </w:r>
      <w:r w:rsidRPr="0076197C">
        <w:rPr>
          <w:rFonts w:ascii="Traditional Arabic" w:hAnsi="Traditional Arabic" w:cs="Traditional Arabic"/>
          <w:sz w:val="28"/>
          <w:szCs w:val="28"/>
        </w:rPr>
        <w:t xml:space="preserve"> (RII = 0.704). </w:t>
      </w:r>
      <w:r w:rsidRPr="0076197C">
        <w:rPr>
          <w:rFonts w:ascii="Traditional Arabic" w:hAnsi="Traditional Arabic" w:cs="Traditional Arabic"/>
          <w:sz w:val="28"/>
          <w:szCs w:val="28"/>
          <w:rtl/>
        </w:rPr>
        <w:t>وتُبرز هذه المعوقات الحاجة إلى تدخل حكومي فعال، عبر تقديم حوافز مالية، وتطوير الأطر القانونية، ودعم برامج التدريب المهني، لتسهيل التحول نحو مشاريع أكثر استدامة وامتثالًا</w:t>
      </w:r>
      <w:r w:rsidRPr="0076197C">
        <w:rPr>
          <w:rFonts w:ascii="Traditional Arabic" w:hAnsi="Traditional Arabic" w:cs="Traditional Arabic"/>
          <w:sz w:val="28"/>
          <w:szCs w:val="28"/>
        </w:rPr>
        <w:t>.</w:t>
      </w:r>
    </w:p>
    <w:p w14:paraId="43D6A506"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ظل هذه التحديات، تظهر توصيات الأدبيات بأهمية العمل على عدة مستويات. على مستوى التعليم، توصي الدراسات بدمج مفاهيم الاستدامة في المناهج الأكاديمية، وتأهيل الكوادر الهندسية والإدارية للتعامل مع متطلبات المشاريع الخضراء. وعلى مستوى السياسات، يُوصى بوضع أنظمة تصنيف للمشاريع وفق مستويات الاستدامة، وتخفيض الضرائب على المشاريع التي تحقق مؤشرات أداء بيئي مرتفعة. أما على مستوى الممارسة، فيجب أن تسعى الشركات لتبني مؤشرات تقييم جديدة مثل</w:t>
      </w:r>
      <w:r w:rsidRPr="0076197C">
        <w:rPr>
          <w:rFonts w:ascii="Traditional Arabic" w:hAnsi="Traditional Arabic" w:cs="Traditional Arabic"/>
          <w:sz w:val="28"/>
          <w:szCs w:val="28"/>
        </w:rPr>
        <w:t xml:space="preserve"> "PQI" </w:t>
      </w:r>
      <w:r w:rsidRPr="0076197C">
        <w:rPr>
          <w:rFonts w:ascii="Traditional Arabic" w:hAnsi="Traditional Arabic" w:cs="Traditional Arabic"/>
          <w:sz w:val="28"/>
          <w:szCs w:val="28"/>
          <w:rtl/>
        </w:rPr>
        <w:t>الذي يُراعي الأبعاد البيئية، إلى جانب مؤشرات التكلفة والوقت والجودة</w:t>
      </w:r>
      <w:r w:rsidRPr="0076197C">
        <w:rPr>
          <w:rFonts w:ascii="Traditional Arabic" w:hAnsi="Traditional Arabic" w:cs="Traditional Arabic"/>
          <w:sz w:val="28"/>
          <w:szCs w:val="28"/>
        </w:rPr>
        <w:t>.</w:t>
      </w:r>
    </w:p>
    <w:p w14:paraId="1C85C254" w14:textId="77777777" w:rsidR="00BC7853"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وفي الختام، فإن العلاقة بين ممارسات الاستدامة والسمعة التنافسية والامتثال البيئي ليست علاقة منفصلة أو أحادية الاتجاه، بل هي علاقة تبادلية تتعزز كلما ارتفعت جودة التنفيذ، وتحسن الأداء الإداري، وتوفرت البنية التنظيمية الداعمة. وبالتالي، فإن تحقيق الاستدامة في المشاريع الإنشائية السعودية يتطلب استراتيجية شاملة تتكامل فيها السياسات الحكومية، والقدرات المؤسسية، والوعي المجتمعي، وصولًا إلى بيئة إنشائية أكثر توازنًا وكفاءة واستدامة</w:t>
      </w:r>
      <w:r w:rsidRPr="0076197C">
        <w:rPr>
          <w:rFonts w:ascii="Traditional Arabic" w:hAnsi="Traditional Arabic" w:cs="Traditional Arabic"/>
          <w:sz w:val="28"/>
          <w:szCs w:val="28"/>
        </w:rPr>
        <w:t>.</w:t>
      </w:r>
    </w:p>
    <w:p w14:paraId="73767D76" w14:textId="77777777" w:rsidR="000129F8" w:rsidRPr="0076197C" w:rsidRDefault="000129F8" w:rsidP="000129F8">
      <w:pPr>
        <w:bidi/>
        <w:spacing w:line="480" w:lineRule="auto"/>
        <w:rPr>
          <w:rFonts w:ascii="Traditional Arabic" w:hAnsi="Traditional Arabic" w:cs="Traditional Arabic"/>
          <w:sz w:val="28"/>
          <w:szCs w:val="28"/>
          <w:rtl/>
        </w:rPr>
      </w:pPr>
    </w:p>
    <w:p w14:paraId="527CE09D" w14:textId="2D9348D8" w:rsidR="00BC7853" w:rsidRPr="00304292" w:rsidRDefault="00BC7853" w:rsidP="00304292">
      <w:pPr>
        <w:pStyle w:val="ListParagraph"/>
        <w:numPr>
          <w:ilvl w:val="2"/>
          <w:numId w:val="55"/>
        </w:numPr>
        <w:bidi/>
        <w:spacing w:after="200" w:line="480" w:lineRule="auto"/>
        <w:rPr>
          <w:rFonts w:ascii="Traditional Arabic" w:hAnsi="Traditional Arabic" w:cs="Traditional Arabic"/>
          <w:b/>
          <w:bCs/>
          <w:sz w:val="28"/>
          <w:szCs w:val="28"/>
          <w:u w:val="single"/>
        </w:rPr>
      </w:pPr>
      <w:r w:rsidRPr="00304292">
        <w:rPr>
          <w:rFonts w:ascii="Traditional Arabic" w:hAnsi="Traditional Arabic" w:cs="Traditional Arabic"/>
          <w:b/>
          <w:bCs/>
          <w:sz w:val="28"/>
          <w:szCs w:val="28"/>
          <w:u w:val="single"/>
          <w:rtl/>
        </w:rPr>
        <w:lastRenderedPageBreak/>
        <w:t>الدراسات السابقة</w:t>
      </w:r>
    </w:p>
    <w:p w14:paraId="1BC1C78C" w14:textId="77777777" w:rsidR="00BC7853" w:rsidRPr="00170A9A" w:rsidRDefault="00BC7853" w:rsidP="00170A9A">
      <w:pPr>
        <w:pStyle w:val="ListParagraph"/>
        <w:numPr>
          <w:ilvl w:val="0"/>
          <w:numId w:val="44"/>
        </w:numPr>
        <w:bidi/>
        <w:spacing w:after="200" w:line="480" w:lineRule="auto"/>
        <w:rPr>
          <w:rFonts w:ascii="Traditional Arabic" w:hAnsi="Traditional Arabic" w:cs="Traditional Arabic"/>
          <w:b/>
          <w:bCs/>
          <w:sz w:val="28"/>
          <w:szCs w:val="28"/>
          <w:u w:val="single"/>
        </w:rPr>
      </w:pPr>
      <w:r w:rsidRPr="00170A9A">
        <w:rPr>
          <w:rFonts w:ascii="Traditional Arabic" w:hAnsi="Traditional Arabic" w:cs="Traditional Arabic"/>
          <w:b/>
          <w:bCs/>
          <w:sz w:val="28"/>
          <w:szCs w:val="28"/>
          <w:u w:val="single"/>
          <w:rtl/>
        </w:rPr>
        <w:t>دراسات تناولت الاستدامة في المشاريع الإنشائية</w:t>
      </w:r>
    </w:p>
    <w:p w14:paraId="7410F789"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أصبح موضوع الاستدامة في المشاريع الإنشائية من الموضوعات البحثية الأساسية التي حظيت باهتمام واسع من الباحثين والأكاديميين، نظراً لأهمية قطاع التشييد في تحقيق أهداف التنمية المستدامة وتقليل الآثار البيئية الناتجة عن الأنشطة الإنشائية. في هذا القسم، سيتم استعراض أبرز الدراسات التي تناولت هذا المجال، مع توضيح الأطر النظرية والمنهجية التي اعتمدتها، وكذلك الأدوات المستخدمة وأهم النتائج التي توصلت إليها</w:t>
      </w:r>
      <w:r w:rsidRPr="0076197C">
        <w:rPr>
          <w:rFonts w:ascii="Traditional Arabic" w:hAnsi="Traditional Arabic" w:cs="Traditional Arabic"/>
          <w:sz w:val="28"/>
          <w:szCs w:val="28"/>
        </w:rPr>
        <w:t>.</w:t>
      </w:r>
    </w:p>
    <w:p w14:paraId="49F52D05"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قدم </w:t>
      </w:r>
      <w:r w:rsidRPr="0076197C">
        <w:rPr>
          <w:rFonts w:ascii="Traditional Arabic" w:hAnsi="Traditional Arabic" w:cs="Traditional Arabic"/>
          <w:b/>
          <w:bCs/>
          <w:sz w:val="28"/>
          <w:szCs w:val="28"/>
        </w:rPr>
        <w:t>Campbell et al. (2021)</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موسعة بعنوان </w:t>
      </w:r>
      <w:r w:rsidRPr="0076197C">
        <w:rPr>
          <w:rFonts w:ascii="Traditional Arabic" w:hAnsi="Traditional Arabic" w:cs="Traditional Arabic"/>
          <w:i/>
          <w:iCs/>
          <w:sz w:val="28"/>
          <w:szCs w:val="28"/>
        </w:rPr>
        <w:t>“Sustainability in Construction Projects: A Systematic Literature Review”</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استهدفت تقديم مراجعة منهجية شاملة للأدبيات العلمية المتعلقة بالاستدامة في المشاريع الإنشائية، بهدف تحديد المفاهيم البحثية الرئيسة في هذا المجال وتوضيح التوجهات المستقبلية للدراسات. اعتمد الباحثون على منهج المراجعة المنهجية للأدبيات باستخدام أداتين تحليليتين</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BibExcel</w:t>
      </w:r>
      <w:proofErr w:type="spellEnd"/>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لتحليل المؤشرات الببليومترية، و</w:t>
      </w:r>
      <w:r w:rsidRPr="0076197C">
        <w:rPr>
          <w:rFonts w:ascii="Traditional Arabic" w:hAnsi="Traditional Arabic" w:cs="Traditional Arabic"/>
          <w:sz w:val="28"/>
          <w:szCs w:val="28"/>
        </w:rPr>
        <w:t xml:space="preserve">Gephi </w:t>
      </w:r>
      <w:r w:rsidRPr="0076197C">
        <w:rPr>
          <w:rFonts w:ascii="Traditional Arabic" w:hAnsi="Traditional Arabic" w:cs="Traditional Arabic"/>
          <w:sz w:val="28"/>
          <w:szCs w:val="28"/>
          <w:rtl/>
        </w:rPr>
        <w:t>لتصور شبكة العلاقات بين المفاهيم والمواضيع البحثية، حيث تم بناء شبكتين: شبكة توازي تركيز البحوث</w:t>
      </w:r>
      <w:r w:rsidRPr="0076197C">
        <w:rPr>
          <w:rFonts w:ascii="Traditional Arabic" w:hAnsi="Traditional Arabic" w:cs="Traditional Arabic"/>
          <w:sz w:val="28"/>
          <w:szCs w:val="28"/>
        </w:rPr>
        <w:t xml:space="preserve"> (Research Focus </w:t>
      </w:r>
      <w:proofErr w:type="spellStart"/>
      <w:r w:rsidRPr="0076197C">
        <w:rPr>
          <w:rFonts w:ascii="Traditional Arabic" w:hAnsi="Traditional Arabic" w:cs="Traditional Arabic"/>
          <w:sz w:val="28"/>
          <w:szCs w:val="28"/>
        </w:rPr>
        <w:t>Parallelship</w:t>
      </w:r>
      <w:proofErr w:type="spellEnd"/>
      <w:r w:rsidRPr="0076197C">
        <w:rPr>
          <w:rFonts w:ascii="Traditional Arabic" w:hAnsi="Traditional Arabic" w:cs="Traditional Arabic"/>
          <w:sz w:val="28"/>
          <w:szCs w:val="28"/>
        </w:rPr>
        <w:t xml:space="preserve"> Network) </w:t>
      </w:r>
      <w:r w:rsidRPr="0076197C">
        <w:rPr>
          <w:rFonts w:ascii="Traditional Arabic" w:hAnsi="Traditional Arabic" w:cs="Traditional Arabic"/>
          <w:sz w:val="28"/>
          <w:szCs w:val="28"/>
          <w:rtl/>
        </w:rPr>
        <w:t>وشبكة التشارك في تكرار الكلمات المفتاحية</w:t>
      </w:r>
      <w:r w:rsidRPr="0076197C">
        <w:rPr>
          <w:rFonts w:ascii="Traditional Arabic" w:hAnsi="Traditional Arabic" w:cs="Traditional Arabic"/>
          <w:sz w:val="28"/>
          <w:szCs w:val="28"/>
        </w:rPr>
        <w:t xml:space="preserve"> (Keyword Co-occurrence Network). </w:t>
      </w:r>
      <w:r w:rsidRPr="0076197C">
        <w:rPr>
          <w:rFonts w:ascii="Traditional Arabic" w:hAnsi="Traditional Arabic" w:cs="Traditional Arabic"/>
          <w:sz w:val="28"/>
          <w:szCs w:val="28"/>
          <w:rtl/>
        </w:rPr>
        <w:t>أظهرت نتائج الدراسة أن الأدبيات تنقسم إلى ثلاثة محاور أساسية: تقييم الاستدامة في المشاريع، إدارة المشاريع لتحقيق الاستدامة، والمحركات والدوافع لتبني البناء المستدام، مؤكدة ضرورة دمج الاستدامة منذ مرحلة التصميم وحتى التنفيذ والمتابعة. أوصت الدراسة باستخدام أساليب إحصائية ونماذج كمية مثل النمذجة بالمعادلات الهيكلية</w:t>
      </w:r>
      <w:r w:rsidRPr="0076197C">
        <w:rPr>
          <w:rFonts w:ascii="Traditional Arabic" w:hAnsi="Traditional Arabic" w:cs="Traditional Arabic"/>
          <w:sz w:val="28"/>
          <w:szCs w:val="28"/>
        </w:rPr>
        <w:t xml:space="preserve"> (SEM) </w:t>
      </w:r>
      <w:r w:rsidRPr="0076197C">
        <w:rPr>
          <w:rFonts w:ascii="Traditional Arabic" w:hAnsi="Traditional Arabic" w:cs="Traditional Arabic"/>
          <w:sz w:val="28"/>
          <w:szCs w:val="28"/>
          <w:rtl/>
        </w:rPr>
        <w:t xml:space="preserve">وطرق اتخاذ </w:t>
      </w:r>
      <w:r w:rsidRPr="0076197C">
        <w:rPr>
          <w:rFonts w:ascii="Traditional Arabic" w:hAnsi="Traditional Arabic" w:cs="Traditional Arabic"/>
          <w:sz w:val="28"/>
          <w:szCs w:val="28"/>
          <w:rtl/>
        </w:rPr>
        <w:lastRenderedPageBreak/>
        <w:t>القرار الضبابية لدراسة القضايا المرتبطة بالاستدامة بشكل أعمق، وساهمت في تحديد الثغرات البحثية التي يمكن أن توجه الدراسات المستقبلية نحو التكامل بين إدارة المشاريع ومعايير الاستدامة</w:t>
      </w:r>
      <w:r w:rsidRPr="0076197C">
        <w:rPr>
          <w:rFonts w:ascii="Traditional Arabic" w:hAnsi="Traditional Arabic" w:cs="Traditional Arabic"/>
          <w:sz w:val="28"/>
          <w:szCs w:val="28"/>
        </w:rPr>
        <w:t>.</w:t>
      </w:r>
    </w:p>
    <w:p w14:paraId="5DCCE22B"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أما في نفس العام، أجرى </w:t>
      </w:r>
      <w:proofErr w:type="spellStart"/>
      <w:r w:rsidRPr="0076197C">
        <w:rPr>
          <w:rFonts w:ascii="Traditional Arabic" w:hAnsi="Traditional Arabic" w:cs="Traditional Arabic"/>
          <w:b/>
          <w:bCs/>
          <w:sz w:val="28"/>
          <w:szCs w:val="28"/>
        </w:rPr>
        <w:t>Abroon</w:t>
      </w:r>
      <w:proofErr w:type="spellEnd"/>
      <w:r w:rsidRPr="0076197C">
        <w:rPr>
          <w:rFonts w:ascii="Traditional Arabic" w:hAnsi="Traditional Arabic" w:cs="Traditional Arabic"/>
          <w:b/>
          <w:bCs/>
          <w:sz w:val="28"/>
          <w:szCs w:val="28"/>
        </w:rPr>
        <w:t xml:space="preserve"> et al.(2021)</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بعنوان </w:t>
      </w:r>
      <w:r w:rsidRPr="0076197C">
        <w:rPr>
          <w:rFonts w:ascii="Traditional Arabic" w:hAnsi="Traditional Arabic" w:cs="Traditional Arabic"/>
          <w:i/>
          <w:iCs/>
          <w:sz w:val="28"/>
          <w:szCs w:val="28"/>
        </w:rPr>
        <w:t xml:space="preserve">“Prioritizing risks in sustainable construction projects using a risk matrix-based Monte Carlo Simulation </w:t>
      </w:r>
      <w:proofErr w:type="gramStart"/>
      <w:r w:rsidRPr="0076197C">
        <w:rPr>
          <w:rFonts w:ascii="Traditional Arabic" w:hAnsi="Traditional Arabic" w:cs="Traditional Arabic"/>
          <w:i/>
          <w:iCs/>
          <w:sz w:val="28"/>
          <w:szCs w:val="28"/>
        </w:rPr>
        <w:t>approach”</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 ،</w:t>
      </w:r>
      <w:proofErr w:type="gramEnd"/>
      <w:r w:rsidRPr="0076197C">
        <w:rPr>
          <w:rFonts w:ascii="Traditional Arabic" w:hAnsi="Traditional Arabic" w:cs="Traditional Arabic"/>
          <w:sz w:val="28"/>
          <w:szCs w:val="28"/>
          <w:rtl/>
        </w:rPr>
        <w:t xml:space="preserve"> وهدفت إلى تطوير إطار جديد لتحديد أولويات المخاطر المرتبطة بالاستدامة في المشاريع الإنشائية من خلال استخدام محاكاة مونتي كارلو ودمج بيانات مصفوفة المخاطر. اعتمدت الدراسة على تحليل تجريبي باستخدام بيانات حقيقية من مشاريع مكتملة في الإمارات العربية المتحدة لتطوير طريقة تقييم المخاطر غير المتوقعة</w:t>
      </w:r>
      <w:r w:rsidRPr="0076197C">
        <w:rPr>
          <w:rFonts w:ascii="Traditional Arabic" w:hAnsi="Traditional Arabic" w:cs="Traditional Arabic"/>
          <w:sz w:val="28"/>
          <w:szCs w:val="28"/>
        </w:rPr>
        <w:t xml:space="preserve"> (Tail Risks) </w:t>
      </w:r>
      <w:r w:rsidRPr="0076197C">
        <w:rPr>
          <w:rFonts w:ascii="Traditional Arabic" w:hAnsi="Traditional Arabic" w:cs="Traditional Arabic"/>
          <w:sz w:val="28"/>
          <w:szCs w:val="28"/>
          <w:rtl/>
        </w:rPr>
        <w:t>التي غالبًا ما يتم تجاهلها في الأساليب التقليدية. كشفت النتائج أن الطرق التقليدية تتجاهل المخاطر ذات الاحتمالية المنخفضة والأثر العالي مثل ضعف إنتاجية العمالة، الجداول الزمنية الضيقة، وضعف تعريف نطاق العمل في المشاريع المستدامة، بينما الإطار المقترح يعالج هذه الفجوات. وأوصت الدراسة الشركات بتبني طرق تقييم متقدمة تأخذ في الحسبان الطبيعة المعقدة وغير المؤكدة للمخاطر المرتبطة بالاستدامة، وأكدت إمكانية تعميم الإطار المقترح في المشاريع الدولية لتحسين الأداء المستدام وتقليل الخسائر المحتملة</w:t>
      </w:r>
      <w:r w:rsidRPr="0076197C">
        <w:rPr>
          <w:rFonts w:ascii="Traditional Arabic" w:hAnsi="Traditional Arabic" w:cs="Traditional Arabic"/>
          <w:sz w:val="28"/>
          <w:szCs w:val="28"/>
        </w:rPr>
        <w:t>.</w:t>
      </w:r>
    </w:p>
    <w:p w14:paraId="180D8528"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وفي عام 2022، قدم </w:t>
      </w:r>
      <w:r w:rsidRPr="0076197C">
        <w:rPr>
          <w:rFonts w:ascii="Traditional Arabic" w:hAnsi="Traditional Arabic" w:cs="Traditional Arabic"/>
          <w:b/>
          <w:bCs/>
          <w:sz w:val="28"/>
          <w:szCs w:val="28"/>
        </w:rPr>
        <w:t>Sareh et al</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بعنوان </w:t>
      </w:r>
      <w:r w:rsidRPr="0076197C">
        <w:rPr>
          <w:rFonts w:ascii="Traditional Arabic" w:hAnsi="Traditional Arabic" w:cs="Traditional Arabic"/>
          <w:i/>
          <w:iCs/>
          <w:sz w:val="28"/>
          <w:szCs w:val="28"/>
        </w:rPr>
        <w:t>“Identification and assessment of sustainability performance indicators for construction projects”</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في مجلة </w:t>
      </w:r>
      <w:r w:rsidRPr="0076197C">
        <w:rPr>
          <w:rFonts w:ascii="Traditional Arabic" w:hAnsi="Traditional Arabic" w:cs="Traditional Arabic"/>
          <w:i/>
          <w:iCs/>
          <w:sz w:val="28"/>
          <w:szCs w:val="28"/>
        </w:rPr>
        <w:t>Environmental and Sustainability Indicators</w:t>
      </w:r>
      <w:r w:rsidRPr="0076197C">
        <w:rPr>
          <w:rFonts w:ascii="Traditional Arabic" w:hAnsi="Traditional Arabic" w:cs="Traditional Arabic"/>
          <w:sz w:val="28"/>
          <w:szCs w:val="28"/>
          <w:rtl/>
        </w:rPr>
        <w:t>، هدفت إلى تحديد وتقييم مؤشرات الأداء الرئيسية</w:t>
      </w:r>
      <w:r w:rsidRPr="0076197C">
        <w:rPr>
          <w:rFonts w:ascii="Traditional Arabic" w:hAnsi="Traditional Arabic" w:cs="Traditional Arabic"/>
          <w:sz w:val="28"/>
          <w:szCs w:val="28"/>
        </w:rPr>
        <w:t xml:space="preserve"> (KPIs) </w:t>
      </w:r>
      <w:r w:rsidRPr="0076197C">
        <w:rPr>
          <w:rFonts w:ascii="Traditional Arabic" w:hAnsi="Traditional Arabic" w:cs="Traditional Arabic"/>
          <w:sz w:val="28"/>
          <w:szCs w:val="28"/>
          <w:rtl/>
        </w:rPr>
        <w:t xml:space="preserve">لمراقبة الأداء المستدام لمشاريع البناء خلال مرحلة التنفيذ، وهي مرحلة مهمة غالبًا ما تهمل في </w:t>
      </w:r>
      <w:r w:rsidRPr="0076197C">
        <w:rPr>
          <w:rFonts w:ascii="Traditional Arabic" w:hAnsi="Traditional Arabic" w:cs="Traditional Arabic"/>
          <w:sz w:val="28"/>
          <w:szCs w:val="28"/>
          <w:rtl/>
        </w:rPr>
        <w:lastRenderedPageBreak/>
        <w:t>دراسات الاستدامة. اعتمدت الدراسة منهجًا كميًا بدأ بمراجعة الأدبيات لتحديد 22 مؤشرًا للاستدامة مصنفة إلى مؤشرات بيئية واجتماعية اقتصادية، وتم استخدام أداة التحليل الهرمي التحليلي</w:t>
      </w:r>
      <w:r w:rsidRPr="0076197C">
        <w:rPr>
          <w:rFonts w:ascii="Traditional Arabic" w:hAnsi="Traditional Arabic" w:cs="Traditional Arabic"/>
          <w:sz w:val="28"/>
          <w:szCs w:val="28"/>
        </w:rPr>
        <w:t xml:space="preserve"> (AHP) </w:t>
      </w:r>
      <w:r w:rsidRPr="0076197C">
        <w:rPr>
          <w:rFonts w:ascii="Traditional Arabic" w:hAnsi="Traditional Arabic" w:cs="Traditional Arabic"/>
          <w:sz w:val="28"/>
          <w:szCs w:val="28"/>
          <w:rtl/>
        </w:rPr>
        <w:t>عبر استبيان شمل 31 مختصًا بقطاع البناء في الإمارات، مع تحليل البيانات باستخدام المقارنات الزوجية لتحديد الأهمية النسبية لكل مؤشر. أظهرت النتائج أن مؤشر استخدام الطاقة المتجددة جاء في المرتبة الأولى بالمجموعة البيئية بوزن 0.164، بينما جاء مؤشر سلامة مواقع العمل أولًا بالمجموعة الاجتماعية الاقتصادية بوزن 0.093. أبرزت الدراسة أهمية هذه المؤشرات كأدلة عملية تساعد المقاولين في اختيار المؤشرات الأنسب لمشاريعهم لضمان مراقبة الأداء البيئي والاجتماعي طوال فترة التنفيذ</w:t>
      </w:r>
      <w:r w:rsidRPr="0076197C">
        <w:rPr>
          <w:rFonts w:ascii="Traditional Arabic" w:hAnsi="Traditional Arabic" w:cs="Traditional Arabic"/>
          <w:sz w:val="28"/>
          <w:szCs w:val="28"/>
        </w:rPr>
        <w:t>.</w:t>
      </w:r>
    </w:p>
    <w:p w14:paraId="59BA1AD5" w14:textId="77777777" w:rsidR="00BC7853" w:rsidRPr="0076197C" w:rsidRDefault="00BC7853" w:rsidP="00BC7853">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أما أحدث الدراسات، فهي دراسة </w:t>
      </w:r>
      <w:r w:rsidRPr="0076197C">
        <w:rPr>
          <w:rFonts w:ascii="Traditional Arabic" w:hAnsi="Traditional Arabic" w:cs="Traditional Arabic"/>
          <w:b/>
          <w:bCs/>
          <w:sz w:val="28"/>
          <w:szCs w:val="28"/>
        </w:rPr>
        <w:t>Menna et al. (2023)</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بعنوان </w:t>
      </w:r>
      <w:r w:rsidRPr="0076197C">
        <w:rPr>
          <w:rFonts w:ascii="Traditional Arabic" w:hAnsi="Traditional Arabic" w:cs="Traditional Arabic"/>
          <w:i/>
          <w:iCs/>
          <w:sz w:val="28"/>
          <w:szCs w:val="28"/>
        </w:rPr>
        <w:t>“A framework for assessing sustainability of construction projects”</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والتي ركزت على تقديم إطار عملي لتقييم استدامة المشاريع الإنشائية، مع توضيح دور قطاع الإنشاءات في التلوث البيئي حيث يساهم بحوالي 25% من تلوث الهواء، 40% من تلوث المياه، و50% من النفايات المدفونة. من الناحية المنهجية، اعتمد الباحثون على تقنيات اتخاذ القرار متعددة المعايير</w:t>
      </w:r>
      <w:r w:rsidRPr="0076197C">
        <w:rPr>
          <w:rFonts w:ascii="Traditional Arabic" w:hAnsi="Traditional Arabic" w:cs="Traditional Arabic"/>
          <w:sz w:val="28"/>
          <w:szCs w:val="28"/>
        </w:rPr>
        <w:t xml:space="preserve"> (MCDM) </w:t>
      </w:r>
      <w:r w:rsidRPr="0076197C">
        <w:rPr>
          <w:rFonts w:ascii="Traditional Arabic" w:hAnsi="Traditional Arabic" w:cs="Traditional Arabic"/>
          <w:sz w:val="28"/>
          <w:szCs w:val="28"/>
          <w:rtl/>
        </w:rPr>
        <w:t xml:space="preserve">مثل </w:t>
      </w:r>
      <w:r w:rsidRPr="0076197C">
        <w:rPr>
          <w:rFonts w:ascii="Traditional Arabic" w:hAnsi="Traditional Arabic" w:cs="Traditional Arabic"/>
          <w:sz w:val="28"/>
          <w:szCs w:val="28"/>
        </w:rPr>
        <w:t xml:space="preserve">Shannon Entropy </w:t>
      </w:r>
      <w:r w:rsidRPr="0076197C">
        <w:rPr>
          <w:rFonts w:ascii="Traditional Arabic" w:hAnsi="Traditional Arabic" w:cs="Traditional Arabic"/>
          <w:sz w:val="28"/>
          <w:szCs w:val="28"/>
          <w:rtl/>
        </w:rPr>
        <w:t>و</w:t>
      </w:r>
      <w:r w:rsidRPr="0076197C">
        <w:rPr>
          <w:rFonts w:ascii="Traditional Arabic" w:hAnsi="Traditional Arabic" w:cs="Traditional Arabic"/>
          <w:sz w:val="28"/>
          <w:szCs w:val="28"/>
        </w:rPr>
        <w:t xml:space="preserve">CRITIC </w:t>
      </w:r>
      <w:r w:rsidRPr="0076197C">
        <w:rPr>
          <w:rFonts w:ascii="Traditional Arabic" w:hAnsi="Traditional Arabic" w:cs="Traditional Arabic"/>
          <w:sz w:val="28"/>
          <w:szCs w:val="28"/>
          <w:rtl/>
        </w:rPr>
        <w:t xml:space="preserve">لتحديد الأوزان النسبية لعوامل الاستدامة، كما استخدموا </w:t>
      </w:r>
      <w:r w:rsidRPr="0076197C">
        <w:rPr>
          <w:rFonts w:ascii="Traditional Arabic" w:hAnsi="Traditional Arabic" w:cs="Traditional Arabic"/>
          <w:sz w:val="28"/>
          <w:szCs w:val="28"/>
        </w:rPr>
        <w:t xml:space="preserve">Hierarchical Evidential Reasoning </w:t>
      </w:r>
      <w:r w:rsidRPr="0076197C">
        <w:rPr>
          <w:rFonts w:ascii="Traditional Arabic" w:hAnsi="Traditional Arabic" w:cs="Traditional Arabic"/>
          <w:sz w:val="28"/>
          <w:szCs w:val="28"/>
          <w:rtl/>
        </w:rPr>
        <w:t>لتجميع العوامل المختلفة بناءً على الأوزان والأثر. للتحقق من صلاحية الإطار المقترح، طُبق على ثلاث دراسات حالة لمشاريع تطوير جديدة، وأجري التحقق بمشاركة خبراء في المجال. أوضحت النتائج أن الفروق في الأوزان النسبية غير جوهرية إحصائيًا، مما يعكس دقة الأوزان المستخرجة، كما أكد الخبراء إمكانية تطبيق الإطار على نطاق واسع لتقييم الاستدامة بالمشاريع، بما يعزز التزام المقاولين والمطورين بمسؤوليتهم الاجتماعية وتحسين جودة قطاع البناء</w:t>
      </w:r>
      <w:r w:rsidRPr="0076197C">
        <w:rPr>
          <w:rFonts w:ascii="Traditional Arabic" w:hAnsi="Traditional Arabic" w:cs="Traditional Arabic"/>
          <w:sz w:val="28"/>
          <w:szCs w:val="28"/>
        </w:rPr>
        <w:t>.</w:t>
      </w:r>
    </w:p>
    <w:p w14:paraId="53A44C46" w14:textId="77777777" w:rsidR="00BC7853" w:rsidRPr="00170A9A" w:rsidRDefault="00BC7853" w:rsidP="00170A9A">
      <w:pPr>
        <w:pStyle w:val="ListParagraph"/>
        <w:numPr>
          <w:ilvl w:val="0"/>
          <w:numId w:val="52"/>
        </w:numPr>
        <w:bidi/>
        <w:spacing w:line="480" w:lineRule="auto"/>
        <w:rPr>
          <w:rFonts w:ascii="Traditional Arabic" w:hAnsi="Traditional Arabic" w:cs="Traditional Arabic"/>
          <w:b/>
          <w:bCs/>
          <w:sz w:val="28"/>
          <w:szCs w:val="28"/>
          <w:u w:val="single"/>
          <w:rtl/>
        </w:rPr>
      </w:pPr>
      <w:r w:rsidRPr="00170A9A">
        <w:rPr>
          <w:rFonts w:ascii="Traditional Arabic" w:hAnsi="Traditional Arabic" w:cs="Traditional Arabic"/>
          <w:b/>
          <w:bCs/>
          <w:sz w:val="28"/>
          <w:szCs w:val="28"/>
          <w:u w:val="single"/>
          <w:rtl/>
        </w:rPr>
        <w:lastRenderedPageBreak/>
        <w:t>دراسات تناولت أداء المشاريع الإنشائية</w:t>
      </w:r>
    </w:p>
    <w:p w14:paraId="610EECAC"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قدم</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Unegbua</w:t>
      </w:r>
      <w:proofErr w:type="spellEnd"/>
      <w:r w:rsidRPr="0076197C">
        <w:rPr>
          <w:rFonts w:ascii="Traditional Arabic" w:hAnsi="Traditional Arabic" w:cs="Traditional Arabic"/>
          <w:sz w:val="28"/>
          <w:szCs w:val="28"/>
        </w:rPr>
        <w:t xml:space="preserve"> et al. (2022)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rPr>
        <w:t xml:space="preserve"> “An investigation of the relationship between project performance measures and project management practices of construction projects for the construction industry in Nigeria” </w:t>
      </w:r>
      <w:r w:rsidRPr="0076197C">
        <w:rPr>
          <w:rFonts w:ascii="Traditional Arabic" w:hAnsi="Traditional Arabic" w:cs="Traditional Arabic"/>
          <w:sz w:val="28"/>
          <w:szCs w:val="28"/>
          <w:rtl/>
        </w:rPr>
        <w:t>بهدف استكشاف العلاقة بين مقاييس أداء المشاريع وممارسات إدارة المشاريع في قطاع البناء النيجيري. استخدم الباحثون المنهج الكمي مع استبيان كأداة رئيسية لجمع البيانات المتعلقة بتسعة عشر مقياسًا للأداء وثلاثة وخمسين ممارسة إدارية، حيث وُزع الاستبيان على 250 مقاولًا واستشاريًا وعميلاً في عشر شركات بناء، وتم تحليل البيانات باستخدام</w:t>
      </w:r>
      <w:r w:rsidRPr="0076197C">
        <w:rPr>
          <w:rFonts w:ascii="Traditional Arabic" w:hAnsi="Traditional Arabic" w:cs="Traditional Arabic"/>
          <w:sz w:val="28"/>
          <w:szCs w:val="28"/>
        </w:rPr>
        <w:t xml:space="preserve"> SPSS </w:t>
      </w:r>
      <w:r w:rsidRPr="0076197C">
        <w:rPr>
          <w:rFonts w:ascii="Traditional Arabic" w:hAnsi="Traditional Arabic" w:cs="Traditional Arabic"/>
          <w:sz w:val="28"/>
          <w:szCs w:val="28"/>
          <w:rtl/>
        </w:rPr>
        <w:t>ولاحقًا</w:t>
      </w:r>
      <w:r w:rsidRPr="0076197C">
        <w:rPr>
          <w:rFonts w:ascii="Traditional Arabic" w:hAnsi="Traditional Arabic" w:cs="Traditional Arabic"/>
          <w:sz w:val="28"/>
          <w:szCs w:val="28"/>
        </w:rPr>
        <w:t xml:space="preserve"> LISREL </w:t>
      </w:r>
      <w:r w:rsidRPr="0076197C">
        <w:rPr>
          <w:rFonts w:ascii="Traditional Arabic" w:hAnsi="Traditional Arabic" w:cs="Traditional Arabic"/>
          <w:sz w:val="28"/>
          <w:szCs w:val="28"/>
          <w:rtl/>
        </w:rPr>
        <w:t>لتطبيق النمذجة بالمعادلات الهيكلية</w:t>
      </w:r>
      <w:r w:rsidRPr="0076197C">
        <w:rPr>
          <w:rFonts w:ascii="Traditional Arabic" w:hAnsi="Traditional Arabic" w:cs="Traditional Arabic"/>
          <w:sz w:val="28"/>
          <w:szCs w:val="28"/>
        </w:rPr>
        <w:t xml:space="preserve"> (SEM). </w:t>
      </w:r>
      <w:r w:rsidRPr="0076197C">
        <w:rPr>
          <w:rFonts w:ascii="Traditional Arabic" w:hAnsi="Traditional Arabic" w:cs="Traditional Arabic"/>
          <w:sz w:val="28"/>
          <w:szCs w:val="28"/>
          <w:rtl/>
        </w:rPr>
        <w:t>أظهرت النتائج أن أقوى العلاقات كانت بين رضا العملاء ونجاح المشروع، تليها العلاقة بين الأداء العام للمشروع ونجاحه، وكذلك بين إدارة أصحاب المصلحة ونجاح المشروع، وأكدت الدراسة صحة 14 فرضية من أصل 20 فرضية اختبارية، مع تحديد علاقات إضافية ساعدت في تحسين ملاءمة النموذج المستخدم، مما يوضح أهمية الدمج بين مقاييس الأداء والممارسات الإدارية لتحقيق نجاح المشاريع</w:t>
      </w:r>
      <w:r w:rsidRPr="0076197C">
        <w:rPr>
          <w:rFonts w:ascii="Traditional Arabic" w:hAnsi="Traditional Arabic" w:cs="Traditional Arabic"/>
          <w:sz w:val="28"/>
          <w:szCs w:val="28"/>
        </w:rPr>
        <w:t>.</w:t>
      </w:r>
    </w:p>
    <w:p w14:paraId="149A7B1F"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في دراسة حديثة، تناول</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Alshihri</w:t>
      </w:r>
      <w:proofErr w:type="spellEnd"/>
      <w:r w:rsidRPr="0076197C">
        <w:rPr>
          <w:rFonts w:ascii="Traditional Arabic" w:hAnsi="Traditional Arabic" w:cs="Traditional Arabic"/>
          <w:sz w:val="28"/>
          <w:szCs w:val="28"/>
        </w:rPr>
        <w:t xml:space="preserve"> et al. (2022) </w:t>
      </w:r>
      <w:r w:rsidRPr="0076197C">
        <w:rPr>
          <w:rFonts w:ascii="Traditional Arabic" w:hAnsi="Traditional Arabic" w:cs="Traditional Arabic"/>
          <w:sz w:val="28"/>
          <w:szCs w:val="28"/>
          <w:rtl/>
        </w:rPr>
        <w:t>موضوع</w:t>
      </w:r>
      <w:r w:rsidRPr="0076197C">
        <w:rPr>
          <w:rFonts w:ascii="Traditional Arabic" w:hAnsi="Traditional Arabic" w:cs="Traditional Arabic"/>
          <w:sz w:val="28"/>
          <w:szCs w:val="28"/>
        </w:rPr>
        <w:t xml:space="preserve"> “Risk Factors That Lead to Time and Cost Overruns of Building Projects in Saudi Arabia” </w:t>
      </w:r>
      <w:r w:rsidRPr="0076197C">
        <w:rPr>
          <w:rFonts w:ascii="Traditional Arabic" w:hAnsi="Traditional Arabic" w:cs="Traditional Arabic"/>
          <w:sz w:val="28"/>
          <w:szCs w:val="28"/>
          <w:rtl/>
        </w:rPr>
        <w:t xml:space="preserve">حيث هدفت الدراسة إلى تحديد عوامل المخاطر التي تؤدي إلى تأخير إنجاز مشاريع البناء الحكومية وتجاوز التكاليف في السعودية، لا سيما في ظل التوسع الكبير في المشاريع ضمن رؤية 2030. استخدم الباحثون المنهج الكمي عبر استبيان وزع على </w:t>
      </w:r>
      <w:r w:rsidRPr="0076197C">
        <w:rPr>
          <w:rFonts w:ascii="Traditional Arabic" w:hAnsi="Traditional Arabic" w:cs="Traditional Arabic"/>
          <w:sz w:val="28"/>
          <w:szCs w:val="28"/>
          <w:rtl/>
        </w:rPr>
        <w:lastRenderedPageBreak/>
        <w:t>200 خبير ومهني في القطاع، مع تحليل النتائج باستخدام مؤشر الأهمية النسبية</w:t>
      </w:r>
      <w:r w:rsidRPr="0076197C">
        <w:rPr>
          <w:rFonts w:ascii="Traditional Arabic" w:hAnsi="Traditional Arabic" w:cs="Traditional Arabic"/>
          <w:sz w:val="28"/>
          <w:szCs w:val="28"/>
        </w:rPr>
        <w:t xml:space="preserve"> (RII) </w:t>
      </w:r>
      <w:r w:rsidRPr="0076197C">
        <w:rPr>
          <w:rFonts w:ascii="Traditional Arabic" w:hAnsi="Traditional Arabic" w:cs="Traditional Arabic"/>
          <w:sz w:val="28"/>
          <w:szCs w:val="28"/>
          <w:rtl/>
        </w:rPr>
        <w:t>لتحديد أكثر المخاطر تأثيرًا. أظهرت النتائج أن الصعوبات المالية للمقاولين، وتأخر الملاك في سداد المستحقات، وترسية العقود على أقل الأسعار، والأوامر التغييرية أثناء التنفيذ، وضعف تخطيط المشاريع، ونقص العمالة، وسوء الإدارة الميدانية تعد من أبرز العوامل التي تؤدي إلى التأخير وتجاوز التكاليف. أوصت الدراسة بضرورة إدارة هذه المخاطر بفعالية لضمان تحقيق التنمية المستدامة وتقليل التأخيرات في المشاريع الحكومية</w:t>
      </w:r>
      <w:r w:rsidRPr="0076197C">
        <w:rPr>
          <w:rFonts w:ascii="Traditional Arabic" w:hAnsi="Traditional Arabic" w:cs="Traditional Arabic"/>
          <w:sz w:val="28"/>
          <w:szCs w:val="28"/>
        </w:rPr>
        <w:t>.</w:t>
      </w:r>
    </w:p>
    <w:p w14:paraId="057218AD"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كما استعرض</w:t>
      </w:r>
      <w:r w:rsidRPr="0076197C">
        <w:rPr>
          <w:rFonts w:ascii="Traditional Arabic" w:hAnsi="Traditional Arabic" w:cs="Traditional Arabic"/>
          <w:sz w:val="28"/>
          <w:szCs w:val="28"/>
        </w:rPr>
        <w:t xml:space="preserve"> Alajmi &amp; Memon (2022) </w:t>
      </w:r>
      <w:r w:rsidRPr="0076197C">
        <w:rPr>
          <w:rFonts w:ascii="Traditional Arabic" w:hAnsi="Traditional Arabic" w:cs="Traditional Arabic"/>
          <w:sz w:val="28"/>
          <w:szCs w:val="28"/>
          <w:rtl/>
        </w:rPr>
        <w:t>في دراستهما</w:t>
      </w:r>
      <w:r w:rsidRPr="0076197C">
        <w:rPr>
          <w:rFonts w:ascii="Traditional Arabic" w:hAnsi="Traditional Arabic" w:cs="Traditional Arabic"/>
          <w:sz w:val="28"/>
          <w:szCs w:val="28"/>
        </w:rPr>
        <w:t xml:space="preserve"> “A Review on Significant Factors Causing Delays in Saudi Arabia Construction Projects” </w:t>
      </w:r>
      <w:r w:rsidRPr="0076197C">
        <w:rPr>
          <w:rFonts w:ascii="Traditional Arabic" w:hAnsi="Traditional Arabic" w:cs="Traditional Arabic"/>
          <w:sz w:val="28"/>
          <w:szCs w:val="28"/>
          <w:rtl/>
        </w:rPr>
        <w:t>العوامل المؤثرة في تأخيرات مشاريع البناء في المملكة العربية السعودية من خلال مراجعة شاملة للأدبيات والدراسات السابقة. هدفت الدراسة إلى تجميع وفهم الأسباب الجوهرية للتأخيرات التي يعاني منها القطاع في المملكة، خاصة في ظل التغيرات التي شهدها القطاع خلال العقود الثلاثة الماضية. توصلت الدراسة إلى أن الأسباب الأكثر شيوعًا تشمل ضعف التخطيط، المشكلات الإدارية، صعوبة التمويل، نقص الخبرات، وسوء الاتصال بين الأطراف المختلفة في المشروع. وأوصت الدراسة بأن يتبنى أصحاب المصلحة في قطاع البناء استراتيجيات وقائية واضحة وخطط اتصال فعالة للحد من هذه التأخيرات وتخفيف آثارها على المشاريع</w:t>
      </w:r>
      <w:r w:rsidRPr="0076197C">
        <w:rPr>
          <w:rFonts w:ascii="Traditional Arabic" w:hAnsi="Traditional Arabic" w:cs="Traditional Arabic"/>
          <w:sz w:val="28"/>
          <w:szCs w:val="28"/>
        </w:rPr>
        <w:t>.</w:t>
      </w:r>
    </w:p>
    <w:p w14:paraId="0529521C" w14:textId="77777777" w:rsidR="00BC7853" w:rsidRPr="0076197C" w:rsidRDefault="00BC7853" w:rsidP="00BC7853">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 xml:space="preserve">وفي دراسة ميدانية تطبيقية حديثة، قدم </w:t>
      </w:r>
      <w:r w:rsidRPr="0076197C">
        <w:rPr>
          <w:rFonts w:ascii="Traditional Arabic" w:hAnsi="Traditional Arabic" w:cs="Traditional Arabic"/>
          <w:sz w:val="28"/>
          <w:szCs w:val="28"/>
        </w:rPr>
        <w:t>Asiri &amp; Al Mazhar</w:t>
      </w:r>
      <w:r w:rsidRPr="0076197C">
        <w:rPr>
          <w:rFonts w:ascii="Traditional Arabic" w:hAnsi="Traditional Arabic" w:cs="Traditional Arabic"/>
          <w:sz w:val="28"/>
          <w:szCs w:val="28"/>
          <w:rtl/>
        </w:rPr>
        <w:t xml:space="preserve"> (2025) دراسة بعنوان “</w:t>
      </w:r>
      <w:r w:rsidRPr="0076197C">
        <w:rPr>
          <w:rFonts w:ascii="Traditional Arabic" w:hAnsi="Traditional Arabic" w:cs="Traditional Arabic"/>
          <w:sz w:val="28"/>
          <w:szCs w:val="28"/>
        </w:rPr>
        <w:t>Optimizing Construction Project Performance In Asir, Saudi Arabia: A KPI Perspective</w:t>
      </w:r>
      <w:r w:rsidRPr="0076197C">
        <w:rPr>
          <w:rFonts w:ascii="Traditional Arabic" w:hAnsi="Traditional Arabic" w:cs="Traditional Arabic"/>
          <w:sz w:val="28"/>
          <w:szCs w:val="28"/>
          <w:rtl/>
        </w:rPr>
        <w:t>” استهدفت تحديد وتقييم مؤشرات الأداء الرئيسية (</w:t>
      </w:r>
      <w:r w:rsidRPr="0076197C">
        <w:rPr>
          <w:rFonts w:ascii="Traditional Arabic" w:hAnsi="Traditional Arabic" w:cs="Traditional Arabic"/>
          <w:sz w:val="28"/>
          <w:szCs w:val="28"/>
        </w:rPr>
        <w:t>KPIs</w:t>
      </w:r>
      <w:r w:rsidRPr="0076197C">
        <w:rPr>
          <w:rFonts w:ascii="Traditional Arabic" w:hAnsi="Traditional Arabic" w:cs="Traditional Arabic"/>
          <w:sz w:val="28"/>
          <w:szCs w:val="28"/>
          <w:rtl/>
        </w:rPr>
        <w:t xml:space="preserve">) لمراقبة أداء المشاريع الإنشائية في منطقة </w:t>
      </w:r>
      <w:r w:rsidRPr="0076197C">
        <w:rPr>
          <w:rFonts w:ascii="Traditional Arabic" w:hAnsi="Traditional Arabic" w:cs="Traditional Arabic"/>
          <w:sz w:val="28"/>
          <w:szCs w:val="28"/>
          <w:rtl/>
        </w:rPr>
        <w:lastRenderedPageBreak/>
        <w:t xml:space="preserve">عسير بالسعودية. اعتمد الباحثان على المنهج التحليلي من خلال مراجعة الأدبيات وتحليل الدراسات السابقة، إلى جانب إجراء مسوحات لقياس وعي الأطراف المختلفة باستخدام مؤشرات الأداء، كما أجريت مقابلات مع قيادات شركات ومهندسي مشاريع لتعميق الفهم حول أهم المؤشرات المستخدمة. توصلت الدراسة إلى تحديد وتصنيف 18 مؤشر أداء رئيسي تسهم في متابعة الأداء بشكل فعال، مع تقديم توصيات عملية لتحسين تطبيق هذه المؤشرات بما يعزز دقة القياس وسهولة التفسير للأطراف المعنية. وأكدت الدراسة أهمية الاعتماد على </w:t>
      </w:r>
      <w:r w:rsidRPr="0076197C">
        <w:rPr>
          <w:rFonts w:ascii="Traditional Arabic" w:hAnsi="Traditional Arabic" w:cs="Traditional Arabic"/>
          <w:sz w:val="28"/>
          <w:szCs w:val="28"/>
        </w:rPr>
        <w:t>KPIs</w:t>
      </w:r>
      <w:r w:rsidRPr="0076197C">
        <w:rPr>
          <w:rFonts w:ascii="Traditional Arabic" w:hAnsi="Traditional Arabic" w:cs="Traditional Arabic"/>
          <w:sz w:val="28"/>
          <w:szCs w:val="28"/>
          <w:rtl/>
        </w:rPr>
        <w:t xml:space="preserve"> كوسيلة لتعزيز قرارات الإدارة وتحسين مراقبة الأداء في المشاريع الإنشائية في السعودية.</w:t>
      </w:r>
    </w:p>
    <w:p w14:paraId="1D3FA490" w14:textId="77777777" w:rsidR="00BC7853" w:rsidRPr="00170A9A" w:rsidRDefault="00BC7853" w:rsidP="00170A9A">
      <w:pPr>
        <w:pStyle w:val="ListParagraph"/>
        <w:numPr>
          <w:ilvl w:val="0"/>
          <w:numId w:val="53"/>
        </w:numPr>
        <w:bidi/>
        <w:spacing w:line="480" w:lineRule="auto"/>
        <w:rPr>
          <w:rFonts w:ascii="Traditional Arabic" w:hAnsi="Traditional Arabic" w:cs="Traditional Arabic"/>
          <w:sz w:val="28"/>
          <w:szCs w:val="28"/>
          <w:u w:val="single"/>
        </w:rPr>
      </w:pPr>
      <w:r w:rsidRPr="00170A9A">
        <w:rPr>
          <w:rFonts w:ascii="Traditional Arabic" w:hAnsi="Traditional Arabic" w:cs="Traditional Arabic"/>
          <w:b/>
          <w:bCs/>
          <w:sz w:val="28"/>
          <w:szCs w:val="28"/>
          <w:u w:val="single"/>
          <w:rtl/>
        </w:rPr>
        <w:t>دراسات تناولت العلاقة بين الاستدامة والأداء</w:t>
      </w:r>
    </w:p>
    <w:p w14:paraId="2D98D81E" w14:textId="77777777" w:rsidR="00BC7853" w:rsidRPr="0076197C" w:rsidRDefault="00BC7853" w:rsidP="00BC7853">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قدم</w:t>
      </w:r>
      <w:r w:rsidRPr="0076197C">
        <w:rPr>
          <w:rFonts w:ascii="Traditional Arabic" w:hAnsi="Traditional Arabic" w:cs="Traditional Arabic"/>
          <w:sz w:val="28"/>
          <w:szCs w:val="28"/>
          <w:lang w:bidi="ar-EG"/>
        </w:rPr>
        <w:t xml:space="preserve"> Jamoussi et al. (2022)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“Sustainable Building Standards, Codes and Certification Systems: The Status Quo and Future Directions in Saudi Arabia” </w:t>
      </w:r>
      <w:r w:rsidRPr="0076197C">
        <w:rPr>
          <w:rFonts w:ascii="Traditional Arabic" w:hAnsi="Traditional Arabic" w:cs="Traditional Arabic"/>
          <w:sz w:val="28"/>
          <w:szCs w:val="28"/>
          <w:rtl/>
        </w:rPr>
        <w:t>هدفت إلى تقييم الأنظمة والمعايير الحالية الخاصة بالمباني المستدامة في المملكة العربية السعودية مع استكشاف اتجاهات التطوير المستقبلية. اعتمدت الدراسة على مراجعة نقدية للأدبيات الأكاديمية المتعلقة بالمعايير والأكواد وشهادات الاستدامة وأساليب التقييم المستخدمة في السعودية، بما في ذلك تقييم ممارسات الاستدامة بشكل عام، وتحليل استراتيجيات الاستدامة في المباني وتقييم نظم الشهادات، إضافة إلى تناول تقييم المباني الصحية المستدامة وتقنيات التقييم باستخدام نماذج دورة الحياة</w:t>
      </w:r>
      <w:r w:rsidRPr="0076197C">
        <w:rPr>
          <w:rFonts w:ascii="Traditional Arabic" w:hAnsi="Traditional Arabic" w:cs="Traditional Arabic"/>
          <w:sz w:val="28"/>
          <w:szCs w:val="28"/>
          <w:lang w:bidi="ar-EG"/>
        </w:rPr>
        <w:t xml:space="preserve"> (LCA) </w:t>
      </w:r>
      <w:r w:rsidRPr="0076197C">
        <w:rPr>
          <w:rFonts w:ascii="Traditional Arabic" w:hAnsi="Traditional Arabic" w:cs="Traditional Arabic"/>
          <w:sz w:val="28"/>
          <w:szCs w:val="28"/>
          <w:rtl/>
        </w:rPr>
        <w:t>ونمذجة معلومات البناء</w:t>
      </w:r>
      <w:r w:rsidRPr="0076197C">
        <w:rPr>
          <w:rFonts w:ascii="Traditional Arabic" w:hAnsi="Traditional Arabic" w:cs="Traditional Arabic"/>
          <w:sz w:val="28"/>
          <w:szCs w:val="28"/>
          <w:lang w:bidi="ar-EG"/>
        </w:rPr>
        <w:t xml:space="preserve"> (BIM). </w:t>
      </w:r>
      <w:r w:rsidRPr="0076197C">
        <w:rPr>
          <w:rFonts w:ascii="Traditional Arabic" w:hAnsi="Traditional Arabic" w:cs="Traditional Arabic"/>
          <w:sz w:val="28"/>
          <w:szCs w:val="28"/>
          <w:rtl/>
        </w:rPr>
        <w:t>أوضحت النتائج أهمية تطوير نظام شهادات محلية يتوافق مع السياق المحلي ويتبنى التوجهات الحديثة، مؤكدةً على أن الممارسات المستدامة في البناء تلعب دورًا حاسمًا في تحسين الأداء البيئي والاقتصادي للمشاريع الإنشائية</w:t>
      </w:r>
      <w:r w:rsidRPr="0076197C">
        <w:rPr>
          <w:rFonts w:ascii="Traditional Arabic" w:hAnsi="Traditional Arabic" w:cs="Traditional Arabic"/>
          <w:sz w:val="28"/>
          <w:szCs w:val="28"/>
          <w:lang w:bidi="ar-EG"/>
        </w:rPr>
        <w:t>.</w:t>
      </w:r>
    </w:p>
    <w:p w14:paraId="5BA7CC64" w14:textId="77777777" w:rsidR="00BC7853" w:rsidRPr="0076197C" w:rsidRDefault="00BC7853" w:rsidP="00BC7853">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lastRenderedPageBreak/>
        <w:t>أما</w:t>
      </w:r>
      <w:r w:rsidRPr="0076197C">
        <w:rPr>
          <w:rFonts w:ascii="Traditional Arabic" w:hAnsi="Traditional Arabic" w:cs="Traditional Arabic"/>
          <w:sz w:val="28"/>
          <w:szCs w:val="28"/>
          <w:lang w:bidi="ar-EG"/>
        </w:rPr>
        <w:t xml:space="preserve"> Azmi et al. (2022) </w:t>
      </w:r>
      <w:r w:rsidRPr="0076197C">
        <w:rPr>
          <w:rFonts w:ascii="Traditional Arabic" w:hAnsi="Traditional Arabic" w:cs="Traditional Arabic"/>
          <w:sz w:val="28"/>
          <w:szCs w:val="28"/>
          <w:rtl/>
        </w:rPr>
        <w:t>فقد تناولوا في دراستهم</w:t>
      </w:r>
      <w:r w:rsidRPr="0076197C">
        <w:rPr>
          <w:rFonts w:ascii="Traditional Arabic" w:hAnsi="Traditional Arabic" w:cs="Traditional Arabic"/>
          <w:sz w:val="28"/>
          <w:szCs w:val="28"/>
          <w:lang w:bidi="ar-EG"/>
        </w:rPr>
        <w:t xml:space="preserve"> “Exploring Implementation of Blockchain for the Supply Chain Resilience and Sustainability of the Construction Industry in Saudi Arabia” </w:t>
      </w:r>
      <w:r w:rsidRPr="0076197C">
        <w:rPr>
          <w:rFonts w:ascii="Traditional Arabic" w:hAnsi="Traditional Arabic" w:cs="Traditional Arabic"/>
          <w:sz w:val="28"/>
          <w:szCs w:val="28"/>
          <w:rtl/>
        </w:rPr>
        <w:t>إمكانيات استخدام تقنية البلوك تشين لتعزيز استدامة ومرونة سلسلة الإمداد في قطاع البناء بالمملكة العربية السعودية. استخدمت الدراسة المنهج المزدوج الكمي والكيفي من خلال استبيان إلكتروني وزع على 300 موظف في كبرى شركات إنتاج الخرسانة في السعودية، حيث استجاب 120 مشاركًا، إلى جانب مقابلات شبه منظمة مع خبراء في التمويل وتقنية المعلومات وسلسلة الإمداد. أظهرت النتائج انخفاض مستوى الوعي بتقنية البلوك تشين في القطاع الإنشائي السعودي، حيث لم يعمل 90% من المستجيبين مع هذه التقنية، رغم الإمكانيات العالية التي توفرها هذه التقنية لتحسين تتبع المواد، مراقبة الجودة، والشفافية في سلسلة الإمداد بما يعزز الأداء المستدام للمشاريع، وأوصت الدراسة بدمج تقنيات البلوك تشين مع نمذجة معلومات البناء</w:t>
      </w:r>
      <w:r w:rsidRPr="0076197C">
        <w:rPr>
          <w:rFonts w:ascii="Traditional Arabic" w:hAnsi="Traditional Arabic" w:cs="Traditional Arabic"/>
          <w:sz w:val="28"/>
          <w:szCs w:val="28"/>
          <w:lang w:bidi="ar-EG"/>
        </w:rPr>
        <w:t xml:space="preserve"> (BIM) </w:t>
      </w:r>
      <w:r w:rsidRPr="0076197C">
        <w:rPr>
          <w:rFonts w:ascii="Traditional Arabic" w:hAnsi="Traditional Arabic" w:cs="Traditional Arabic"/>
          <w:sz w:val="28"/>
          <w:szCs w:val="28"/>
          <w:rtl/>
        </w:rPr>
        <w:t>لتحقيق تحسن ملموس في استدامة المشاريع</w:t>
      </w:r>
      <w:r w:rsidRPr="0076197C">
        <w:rPr>
          <w:rFonts w:ascii="Traditional Arabic" w:hAnsi="Traditional Arabic" w:cs="Traditional Arabic"/>
          <w:sz w:val="28"/>
          <w:szCs w:val="28"/>
          <w:lang w:bidi="ar-EG"/>
        </w:rPr>
        <w:t>.</w:t>
      </w:r>
    </w:p>
    <w:p w14:paraId="4F58FBD5" w14:textId="77777777" w:rsidR="00BC7853" w:rsidRPr="0076197C" w:rsidRDefault="00BC7853" w:rsidP="00BC7853">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وفي دراسة تطبيقية مقارنة حديثة، قدم</w:t>
      </w:r>
      <w:r w:rsidRPr="0076197C">
        <w:rPr>
          <w:rFonts w:ascii="Traditional Arabic" w:hAnsi="Traditional Arabic" w:cs="Traditional Arabic"/>
          <w:sz w:val="28"/>
          <w:szCs w:val="28"/>
          <w:lang w:bidi="ar-EG"/>
        </w:rPr>
        <w:t xml:space="preserve"> Al-Otaibi, Bowan, </w:t>
      </w:r>
      <w:proofErr w:type="spellStart"/>
      <w:r w:rsidRPr="0076197C">
        <w:rPr>
          <w:rFonts w:ascii="Traditional Arabic" w:hAnsi="Traditional Arabic" w:cs="Traditional Arabic"/>
          <w:sz w:val="28"/>
          <w:szCs w:val="28"/>
          <w:lang w:bidi="ar-EG"/>
        </w:rPr>
        <w:t>Alabdullatief</w:t>
      </w:r>
      <w:proofErr w:type="spellEnd"/>
      <w:r w:rsidRPr="0076197C">
        <w:rPr>
          <w:rFonts w:ascii="Traditional Arabic" w:hAnsi="Traditional Arabic" w:cs="Traditional Arabic"/>
          <w:sz w:val="28"/>
          <w:szCs w:val="28"/>
          <w:lang w:bidi="ar-EG"/>
        </w:rPr>
        <w:t xml:space="preserve"> et al. (2025)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“Barriers to Sustainable Building Project Performance in Developing Countries: A Case of Ghana and the Kingdom of Saudi Arabia” </w:t>
      </w:r>
      <w:r w:rsidRPr="0076197C">
        <w:rPr>
          <w:rFonts w:ascii="Traditional Arabic" w:hAnsi="Traditional Arabic" w:cs="Traditional Arabic"/>
          <w:sz w:val="28"/>
          <w:szCs w:val="28"/>
          <w:rtl/>
        </w:rPr>
        <w:t>بهدف تحديد وتحليل المعوقات التي تؤثر على أداء المشاريع الإنشائية المستدامة في الدول النامية، مع التركيز على السعودية وغانا كنموذجين. اعتمدت الدراسة على مراجعة الأدبيات والمقابلات مع الخبراء لتحديد 14 عائقًا رئيسيًا للأداء، تلاها استخدام استبيان ميداني وتحليل مؤشر الأهمية النسبية</w:t>
      </w:r>
      <w:r w:rsidRPr="0076197C">
        <w:rPr>
          <w:rFonts w:ascii="Traditional Arabic" w:hAnsi="Traditional Arabic" w:cs="Traditional Arabic"/>
          <w:sz w:val="28"/>
          <w:szCs w:val="28"/>
          <w:lang w:bidi="ar-EG"/>
        </w:rPr>
        <w:t xml:space="preserve"> (RII) </w:t>
      </w:r>
      <w:r w:rsidRPr="0076197C">
        <w:rPr>
          <w:rFonts w:ascii="Traditional Arabic" w:hAnsi="Traditional Arabic" w:cs="Traditional Arabic"/>
          <w:sz w:val="28"/>
          <w:szCs w:val="28"/>
          <w:rtl/>
        </w:rPr>
        <w:t xml:space="preserve">وتحليل ارتباط سبيرمان لقياس العلاقات بين العوائق. </w:t>
      </w:r>
      <w:r w:rsidRPr="0076197C">
        <w:rPr>
          <w:rFonts w:ascii="Traditional Arabic" w:hAnsi="Traditional Arabic" w:cs="Traditional Arabic"/>
          <w:sz w:val="28"/>
          <w:szCs w:val="28"/>
          <w:rtl/>
        </w:rPr>
        <w:lastRenderedPageBreak/>
        <w:t>أظهرت النتائج أن ضعف الاتصال، قيود التكلفة والجدول الزمني، وضعف آليات المتابعة والتقييم تعد من أهم العوائق المؤثرة على الأداء المستدام للمشاريع، حيث أكدت الدراسة أهمية تفعيل دور الأطر التنظيمية والتخطيط المالي وتطوير القدرات الفنية للتغلب على هذه العوائق، بما يعزز تنفيذ مشاريع مستدامة تتماشى مع أهداف التنمية المستدامة</w:t>
      </w:r>
      <w:r w:rsidRPr="0076197C">
        <w:rPr>
          <w:rFonts w:ascii="Traditional Arabic" w:hAnsi="Traditional Arabic" w:cs="Traditional Arabic"/>
          <w:sz w:val="28"/>
          <w:szCs w:val="28"/>
          <w:lang w:bidi="ar-EG"/>
        </w:rPr>
        <w:t>.</w:t>
      </w:r>
    </w:p>
    <w:p w14:paraId="23C1FC9D" w14:textId="77777777" w:rsidR="00BC7853" w:rsidRPr="0076197C" w:rsidRDefault="00BC7853" w:rsidP="00BC7853">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كما قدم</w:t>
      </w:r>
      <w:r w:rsidRPr="0076197C">
        <w:rPr>
          <w:rFonts w:ascii="Traditional Arabic" w:hAnsi="Traditional Arabic" w:cs="Traditional Arabic"/>
          <w:sz w:val="28"/>
          <w:szCs w:val="28"/>
          <w:lang w:bidi="ar-EG"/>
        </w:rPr>
        <w:t xml:space="preserve"> </w:t>
      </w:r>
      <w:proofErr w:type="spellStart"/>
      <w:r w:rsidRPr="0076197C">
        <w:rPr>
          <w:rFonts w:ascii="Traditional Arabic" w:hAnsi="Traditional Arabic" w:cs="Traditional Arabic"/>
          <w:sz w:val="28"/>
          <w:szCs w:val="28"/>
          <w:lang w:bidi="ar-EG"/>
        </w:rPr>
        <w:t>Shaawat</w:t>
      </w:r>
      <w:proofErr w:type="spellEnd"/>
      <w:r w:rsidRPr="0076197C">
        <w:rPr>
          <w:rFonts w:ascii="Traditional Arabic" w:hAnsi="Traditional Arabic" w:cs="Traditional Arabic"/>
          <w:sz w:val="28"/>
          <w:szCs w:val="28"/>
          <w:lang w:bidi="ar-EG"/>
        </w:rPr>
        <w:t xml:space="preserve"> et al. (2023)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“A Performance Quality Index to Assess Professional Conduct of Contractors at Sustainable Construction Projects in Saudi Arabia” </w:t>
      </w:r>
      <w:r w:rsidRPr="0076197C">
        <w:rPr>
          <w:rFonts w:ascii="Traditional Arabic" w:hAnsi="Traditional Arabic" w:cs="Traditional Arabic"/>
          <w:sz w:val="28"/>
          <w:szCs w:val="28"/>
          <w:rtl/>
        </w:rPr>
        <w:t>والتي طورت مؤشرًا لقياس جودة الأداء المهني للمقاولين في المشاريع الإنشائية المستدامة بالمملكة العربية السعودية. استخدمت الدراسة طريقة التحليل الهرمي</w:t>
      </w:r>
      <w:r w:rsidRPr="0076197C">
        <w:rPr>
          <w:rFonts w:ascii="Traditional Arabic" w:hAnsi="Traditional Arabic" w:cs="Traditional Arabic"/>
          <w:sz w:val="28"/>
          <w:szCs w:val="28"/>
          <w:lang w:bidi="ar-EG"/>
        </w:rPr>
        <w:t xml:space="preserve"> (AHP) </w:t>
      </w:r>
      <w:r w:rsidRPr="0076197C">
        <w:rPr>
          <w:rFonts w:ascii="Traditional Arabic" w:hAnsi="Traditional Arabic" w:cs="Traditional Arabic"/>
          <w:sz w:val="28"/>
          <w:szCs w:val="28"/>
          <w:rtl/>
        </w:rPr>
        <w:t>لتحديد العوامل والمؤشرات الرئيسية التي تؤثر على أداء المقاولين المستدام، بما في ذلك جودة تقديم الوثائق</w:t>
      </w:r>
      <w:r w:rsidRPr="0076197C">
        <w:rPr>
          <w:rFonts w:ascii="Traditional Arabic" w:hAnsi="Traditional Arabic" w:cs="Traditional Arabic"/>
          <w:sz w:val="28"/>
          <w:szCs w:val="28"/>
          <w:lang w:bidi="ar-EG"/>
        </w:rPr>
        <w:t xml:space="preserve"> (QDS)</w:t>
      </w:r>
      <w:r w:rsidRPr="0076197C">
        <w:rPr>
          <w:rFonts w:ascii="Traditional Arabic" w:hAnsi="Traditional Arabic" w:cs="Traditional Arabic"/>
          <w:sz w:val="28"/>
          <w:szCs w:val="28"/>
          <w:rtl/>
        </w:rPr>
        <w:t>، جودة نظام الجودة</w:t>
      </w:r>
      <w:r w:rsidRPr="0076197C">
        <w:rPr>
          <w:rFonts w:ascii="Traditional Arabic" w:hAnsi="Traditional Arabic" w:cs="Traditional Arabic"/>
          <w:sz w:val="28"/>
          <w:szCs w:val="28"/>
          <w:lang w:bidi="ar-EG"/>
        </w:rPr>
        <w:t xml:space="preserve"> (QSI)</w:t>
      </w:r>
      <w:r w:rsidRPr="0076197C">
        <w:rPr>
          <w:rFonts w:ascii="Traditional Arabic" w:hAnsi="Traditional Arabic" w:cs="Traditional Arabic"/>
          <w:sz w:val="28"/>
          <w:szCs w:val="28"/>
          <w:rtl/>
        </w:rPr>
        <w:t>، وجودة الأعمال المنفذة</w:t>
      </w:r>
      <w:r w:rsidRPr="0076197C">
        <w:rPr>
          <w:rFonts w:ascii="Traditional Arabic" w:hAnsi="Traditional Arabic" w:cs="Traditional Arabic"/>
          <w:sz w:val="28"/>
          <w:szCs w:val="28"/>
          <w:lang w:bidi="ar-EG"/>
        </w:rPr>
        <w:t xml:space="preserve"> (QCW). </w:t>
      </w:r>
      <w:r w:rsidRPr="0076197C">
        <w:rPr>
          <w:rFonts w:ascii="Traditional Arabic" w:hAnsi="Traditional Arabic" w:cs="Traditional Arabic"/>
          <w:sz w:val="28"/>
          <w:szCs w:val="28"/>
          <w:rtl/>
        </w:rPr>
        <w:t>تم تطوير إطار عمل باستخدام طريقة المقارنة الزوجية بين العوامل، حيث أظهرت النتائج أن تطبيق المحاسبة الدقيقة ومراعاة العوامل التي قد تعيق استدامة المشاريع يساهم في تحسين جودة الأداء، وتم تطوير مؤشر جودة الأداء</w:t>
      </w:r>
      <w:r w:rsidRPr="0076197C">
        <w:rPr>
          <w:rFonts w:ascii="Traditional Arabic" w:hAnsi="Traditional Arabic" w:cs="Traditional Arabic"/>
          <w:sz w:val="28"/>
          <w:szCs w:val="28"/>
          <w:lang w:bidi="ar-EG"/>
        </w:rPr>
        <w:t xml:space="preserve"> (PQI) </w:t>
      </w:r>
      <w:r w:rsidRPr="0076197C">
        <w:rPr>
          <w:rFonts w:ascii="Traditional Arabic" w:hAnsi="Traditional Arabic" w:cs="Traditional Arabic"/>
          <w:sz w:val="28"/>
          <w:szCs w:val="28"/>
          <w:rtl/>
        </w:rPr>
        <w:t>كمعيار مرجعي يساعد مديري المشاريع والملاك في تحسين الأداء المستدام للمقاولين وضمان تحقيق نتائج عالية الجودة في المشاريع المستقبلية</w:t>
      </w:r>
      <w:r w:rsidRPr="0076197C">
        <w:rPr>
          <w:rFonts w:ascii="Traditional Arabic" w:hAnsi="Traditional Arabic" w:cs="Traditional Arabic"/>
          <w:sz w:val="28"/>
          <w:szCs w:val="28"/>
          <w:lang w:bidi="ar-EG"/>
        </w:rPr>
        <w:t>.</w:t>
      </w:r>
    </w:p>
    <w:p w14:paraId="6404CB87" w14:textId="77777777" w:rsidR="00BC7853" w:rsidRPr="0076197C" w:rsidRDefault="00BC7853" w:rsidP="00BC7853">
      <w:pPr>
        <w:bidi/>
        <w:spacing w:line="480" w:lineRule="auto"/>
        <w:rPr>
          <w:rFonts w:ascii="Traditional Arabic" w:hAnsi="Traditional Arabic" w:cs="Traditional Arabic"/>
          <w:b/>
          <w:bCs/>
          <w:sz w:val="28"/>
          <w:szCs w:val="28"/>
          <w:lang w:bidi="ar-EG"/>
        </w:rPr>
      </w:pPr>
      <w:r w:rsidRPr="0076197C">
        <w:rPr>
          <w:rFonts w:ascii="Traditional Arabic" w:hAnsi="Traditional Arabic" w:cs="Traditional Arabic"/>
          <w:b/>
          <w:bCs/>
          <w:sz w:val="28"/>
          <w:szCs w:val="28"/>
          <w:rtl/>
        </w:rPr>
        <w:t>التعليق على الدراسات السابقة والفجوة البحثية</w:t>
      </w:r>
    </w:p>
    <w:p w14:paraId="2700F899" w14:textId="77777777" w:rsidR="00BC7853" w:rsidRPr="0076197C" w:rsidRDefault="00BC7853" w:rsidP="00BC7853">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 xml:space="preserve">يتضح من استعراض الدراسات السابقة أن موضوع </w:t>
      </w:r>
      <w:r w:rsidRPr="0076197C">
        <w:rPr>
          <w:rFonts w:ascii="Traditional Arabic" w:hAnsi="Traditional Arabic" w:cs="Traditional Arabic"/>
          <w:b/>
          <w:bCs/>
          <w:sz w:val="28"/>
          <w:szCs w:val="28"/>
          <w:rtl/>
        </w:rPr>
        <w:t>الاستدامة في المشاريع الإنشائية</w:t>
      </w:r>
      <w:r w:rsidRPr="0076197C">
        <w:rPr>
          <w:rFonts w:ascii="Traditional Arabic" w:hAnsi="Traditional Arabic" w:cs="Traditional Arabic"/>
          <w:sz w:val="28"/>
          <w:szCs w:val="28"/>
          <w:rtl/>
        </w:rPr>
        <w:t xml:space="preserve"> قد حظي باهتمام بحثي متزايد في السنوات الأخيرة، حيث ركزت بعض الدراسات مثل دراسة </w:t>
      </w:r>
      <w:r w:rsidRPr="0076197C">
        <w:rPr>
          <w:rFonts w:ascii="Traditional Arabic" w:hAnsi="Traditional Arabic" w:cs="Traditional Arabic"/>
          <w:i/>
          <w:iCs/>
          <w:sz w:val="28"/>
          <w:szCs w:val="28"/>
          <w:lang w:bidi="ar-EG"/>
        </w:rPr>
        <w:t>Kiani Mavi et al. (2021)</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Jamoussi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 xml:space="preserve">على تقديم مراجعات منهجية للأدبيات وتحليل الأطر النظرية والمعايير المتعلقة بالاستدامة في قطاع </w:t>
      </w:r>
      <w:r w:rsidRPr="0076197C">
        <w:rPr>
          <w:rFonts w:ascii="Traditional Arabic" w:hAnsi="Traditional Arabic" w:cs="Traditional Arabic"/>
          <w:sz w:val="28"/>
          <w:szCs w:val="28"/>
          <w:rtl/>
        </w:rPr>
        <w:lastRenderedPageBreak/>
        <w:t>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76197C">
        <w:rPr>
          <w:rFonts w:ascii="Traditional Arabic" w:hAnsi="Traditional Arabic" w:cs="Traditional Arabic"/>
          <w:sz w:val="28"/>
          <w:szCs w:val="28"/>
          <w:lang w:bidi="ar-EG"/>
        </w:rPr>
        <w:t>.</w:t>
      </w:r>
    </w:p>
    <w:p w14:paraId="6B4DD767" w14:textId="77777777" w:rsidR="00BC7853" w:rsidRPr="0076197C" w:rsidRDefault="00BC7853" w:rsidP="00BC7853">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 xml:space="preserve">كما تناولت دراسات أخرى مثل </w:t>
      </w:r>
      <w:r w:rsidRPr="0076197C">
        <w:rPr>
          <w:rFonts w:ascii="Traditional Arabic" w:hAnsi="Traditional Arabic" w:cs="Traditional Arabic"/>
          <w:i/>
          <w:iCs/>
          <w:sz w:val="28"/>
          <w:szCs w:val="28"/>
          <w:lang w:bidi="ar-EG"/>
        </w:rPr>
        <w:t>Rajabi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proofErr w:type="spellStart"/>
      <w:r w:rsidRPr="0076197C">
        <w:rPr>
          <w:rFonts w:ascii="Traditional Arabic" w:hAnsi="Traditional Arabic" w:cs="Traditional Arabic"/>
          <w:i/>
          <w:iCs/>
          <w:sz w:val="28"/>
          <w:szCs w:val="28"/>
          <w:lang w:bidi="ar-EG"/>
        </w:rPr>
        <w:t>Shaawat</w:t>
      </w:r>
      <w:proofErr w:type="spellEnd"/>
      <w:r w:rsidRPr="0076197C">
        <w:rPr>
          <w:rFonts w:ascii="Traditional Arabic" w:hAnsi="Traditional Arabic" w:cs="Traditional Arabic"/>
          <w:i/>
          <w:iCs/>
          <w:sz w:val="28"/>
          <w:szCs w:val="28"/>
          <w:lang w:bidi="ar-EG"/>
        </w:rPr>
        <w:t xml:space="preserve"> et al. (2023)</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76197C">
        <w:rPr>
          <w:rFonts w:ascii="Traditional Arabic" w:hAnsi="Traditional Arabic" w:cs="Traditional Arabic"/>
          <w:sz w:val="28"/>
          <w:szCs w:val="28"/>
          <w:lang w:bidi="ar-EG"/>
        </w:rPr>
        <w:t xml:space="preserve"> (AHP) </w:t>
      </w:r>
      <w:r w:rsidRPr="0076197C">
        <w:rPr>
          <w:rFonts w:ascii="Traditional Arabic" w:hAnsi="Traditional Arabic" w:cs="Traditional Arabic"/>
          <w:sz w:val="28"/>
          <w:szCs w:val="28"/>
          <w:rtl/>
        </w:rPr>
        <w:t>والنمذجة بالمعادلات الهيكلية</w:t>
      </w:r>
      <w:r w:rsidRPr="0076197C">
        <w:rPr>
          <w:rFonts w:ascii="Traditional Arabic" w:hAnsi="Traditional Arabic" w:cs="Traditional Arabic"/>
          <w:sz w:val="28"/>
          <w:szCs w:val="28"/>
          <w:lang w:bidi="ar-EG"/>
        </w:rPr>
        <w:t xml:space="preserve"> (SEM) </w:t>
      </w:r>
      <w:r w:rsidRPr="0076197C">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76197C">
        <w:rPr>
          <w:rFonts w:ascii="Traditional Arabic" w:hAnsi="Traditional Arabic" w:cs="Traditional Arabic"/>
          <w:sz w:val="28"/>
          <w:szCs w:val="28"/>
          <w:lang w:bidi="ar-EG"/>
        </w:rPr>
        <w:t>.</w:t>
      </w:r>
    </w:p>
    <w:p w14:paraId="244D71BF" w14:textId="77777777" w:rsidR="00BC7853" w:rsidRPr="0076197C" w:rsidRDefault="00BC7853" w:rsidP="00BC7853">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 xml:space="preserve">من جانب آخر، ركزت بعض الدراسات مثل </w:t>
      </w:r>
      <w:proofErr w:type="spellStart"/>
      <w:r w:rsidRPr="0076197C">
        <w:rPr>
          <w:rFonts w:ascii="Traditional Arabic" w:hAnsi="Traditional Arabic" w:cs="Traditional Arabic"/>
          <w:i/>
          <w:iCs/>
          <w:sz w:val="28"/>
          <w:szCs w:val="28"/>
          <w:lang w:bidi="ar-EG"/>
        </w:rPr>
        <w:t>Unegbu</w:t>
      </w:r>
      <w:proofErr w:type="spellEnd"/>
      <w:r w:rsidRPr="0076197C">
        <w:rPr>
          <w:rFonts w:ascii="Traditional Arabic" w:hAnsi="Traditional Arabic" w:cs="Traditional Arabic"/>
          <w:i/>
          <w:iCs/>
          <w:sz w:val="28"/>
          <w:szCs w:val="28"/>
          <w:lang w:bidi="ar-EG"/>
        </w:rPr>
        <w:t xml:space="preserve">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proofErr w:type="spellStart"/>
      <w:r w:rsidRPr="0076197C">
        <w:rPr>
          <w:rFonts w:ascii="Traditional Arabic" w:hAnsi="Traditional Arabic" w:cs="Traditional Arabic"/>
          <w:i/>
          <w:iCs/>
          <w:sz w:val="28"/>
          <w:szCs w:val="28"/>
          <w:lang w:bidi="ar-EG"/>
        </w:rPr>
        <w:t>Alshihri</w:t>
      </w:r>
      <w:proofErr w:type="spellEnd"/>
      <w:r w:rsidRPr="0076197C">
        <w:rPr>
          <w:rFonts w:ascii="Traditional Arabic" w:hAnsi="Traditional Arabic" w:cs="Traditional Arabic"/>
          <w:i/>
          <w:iCs/>
          <w:sz w:val="28"/>
          <w:szCs w:val="28"/>
          <w:lang w:bidi="ar-EG"/>
        </w:rPr>
        <w:t xml:space="preserve">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Alajmi &amp; Memon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على دراسة أداء المشاريع الإنشائية في ضوء عوامل مثل المخاطر والتأخيرات 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76197C">
        <w:rPr>
          <w:rFonts w:ascii="Traditional Arabic" w:hAnsi="Traditional Arabic" w:cs="Traditional Arabic"/>
          <w:sz w:val="28"/>
          <w:szCs w:val="28"/>
          <w:lang w:bidi="ar-EG"/>
        </w:rPr>
        <w:t>.</w:t>
      </w:r>
    </w:p>
    <w:p w14:paraId="4A117272" w14:textId="77777777" w:rsidR="00BC7853" w:rsidRDefault="00BC7853" w:rsidP="00BC7853">
      <w:pPr>
        <w:bidi/>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rtl/>
        </w:rPr>
        <w:t xml:space="preserve">أما الدراسات التي حاولت الربط بين </w:t>
      </w:r>
      <w:r w:rsidRPr="0076197C">
        <w:rPr>
          <w:rFonts w:ascii="Traditional Arabic" w:hAnsi="Traditional Arabic" w:cs="Traditional Arabic"/>
          <w:b/>
          <w:bCs/>
          <w:sz w:val="28"/>
          <w:szCs w:val="28"/>
          <w:rtl/>
        </w:rPr>
        <w:t>الاستدامة والأداء</w:t>
      </w:r>
      <w:r w:rsidRPr="0076197C">
        <w:rPr>
          <w:rFonts w:ascii="Traditional Arabic" w:hAnsi="Traditional Arabic" w:cs="Traditional Arabic"/>
          <w:sz w:val="28"/>
          <w:szCs w:val="28"/>
          <w:rtl/>
        </w:rPr>
        <w:t xml:space="preserve"> في المشاريع، مثل </w:t>
      </w:r>
      <w:r w:rsidRPr="0076197C">
        <w:rPr>
          <w:rFonts w:ascii="Traditional Arabic" w:hAnsi="Traditional Arabic" w:cs="Traditional Arabic"/>
          <w:i/>
          <w:iCs/>
          <w:sz w:val="28"/>
          <w:szCs w:val="28"/>
          <w:lang w:bidi="ar-EG"/>
        </w:rPr>
        <w:t>Al-Otaibi et al. (2025)</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Azmi et al. (</w:t>
      </w:r>
      <w:proofErr w:type="gramStart"/>
      <w:r w:rsidRPr="0076197C">
        <w:rPr>
          <w:rFonts w:ascii="Traditional Arabic" w:hAnsi="Traditional Arabic" w:cs="Traditional Arabic"/>
          <w:i/>
          <w:iCs/>
          <w:sz w:val="28"/>
          <w:szCs w:val="28"/>
          <w:lang w:bidi="ar-EG"/>
        </w:rPr>
        <w:t>2022)</w:t>
      </w:r>
      <w:r w:rsidRPr="0076197C">
        <w:rPr>
          <w:rFonts w:ascii="Traditional Arabic" w:hAnsi="Traditional Arabic" w:cs="Traditional Arabic"/>
          <w:sz w:val="28"/>
          <w:szCs w:val="28"/>
          <w:rtl/>
        </w:rPr>
        <w:t>،</w:t>
      </w:r>
      <w:proofErr w:type="gramEnd"/>
      <w:r w:rsidRPr="0076197C">
        <w:rPr>
          <w:rFonts w:ascii="Traditional Arabic" w:hAnsi="Traditional Arabic" w:cs="Traditional Arabic"/>
          <w:sz w:val="28"/>
          <w:szCs w:val="28"/>
          <w:rtl/>
        </w:rPr>
        <w:t xml:space="preserve"> فقد تناولت موضوعات مهمة مثل تأثير استخدام تقنيات حديثة كـ</w:t>
      </w:r>
      <w:r w:rsidRPr="0076197C">
        <w:rPr>
          <w:rFonts w:ascii="Traditional Arabic" w:hAnsi="Traditional Arabic" w:cs="Traditional Arabic"/>
          <w:sz w:val="28"/>
          <w:szCs w:val="28"/>
          <w:lang w:bidi="ar-EG"/>
        </w:rPr>
        <w:t xml:space="preserve"> Blockchain </w:t>
      </w:r>
      <w:r w:rsidRPr="0076197C">
        <w:rPr>
          <w:rFonts w:ascii="Traditional Arabic" w:hAnsi="Traditional Arabic" w:cs="Traditional Arabic"/>
          <w:sz w:val="28"/>
          <w:szCs w:val="28"/>
          <w:rtl/>
        </w:rPr>
        <w:lastRenderedPageBreak/>
        <w:t>و</w:t>
      </w:r>
      <w:r w:rsidRPr="0076197C">
        <w:rPr>
          <w:rFonts w:ascii="Traditional Arabic" w:hAnsi="Traditional Arabic" w:cs="Traditional Arabic"/>
          <w:sz w:val="28"/>
          <w:szCs w:val="28"/>
          <w:lang w:bidi="ar-EG"/>
        </w:rPr>
        <w:t xml:space="preserve">BIM </w:t>
      </w:r>
      <w:r w:rsidRPr="0076197C">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76197C">
        <w:rPr>
          <w:rFonts w:ascii="Traditional Arabic" w:hAnsi="Traditional Arabic" w:cs="Traditional Arabic"/>
          <w:sz w:val="28"/>
          <w:szCs w:val="28"/>
          <w:lang w:bidi="ar-EG"/>
        </w:rPr>
        <w:t>.</w:t>
      </w:r>
    </w:p>
    <w:p w14:paraId="18A7F6F4" w14:textId="77777777" w:rsidR="007F4A59" w:rsidRDefault="007F4A59" w:rsidP="007F4A59">
      <w:pPr>
        <w:bidi/>
        <w:spacing w:line="480" w:lineRule="auto"/>
        <w:rPr>
          <w:rFonts w:ascii="Traditional Arabic" w:hAnsi="Traditional Arabic" w:cs="Traditional Arabic"/>
          <w:sz w:val="28"/>
          <w:szCs w:val="28"/>
          <w:rtl/>
          <w:lang w:bidi="ar-EG"/>
        </w:rPr>
      </w:pPr>
    </w:p>
    <w:p w14:paraId="347014D8" w14:textId="77777777" w:rsidR="007F4A59" w:rsidRDefault="007F4A59" w:rsidP="007F4A59">
      <w:pPr>
        <w:bidi/>
        <w:spacing w:line="480" w:lineRule="auto"/>
        <w:rPr>
          <w:rFonts w:ascii="Traditional Arabic" w:hAnsi="Traditional Arabic" w:cs="Traditional Arabic"/>
          <w:sz w:val="28"/>
          <w:szCs w:val="28"/>
          <w:rtl/>
          <w:lang w:bidi="ar-EG"/>
        </w:rPr>
      </w:pPr>
    </w:p>
    <w:p w14:paraId="074937FF" w14:textId="77777777" w:rsidR="007F4A59" w:rsidRDefault="007F4A59" w:rsidP="007F4A59">
      <w:pPr>
        <w:bidi/>
        <w:spacing w:line="480" w:lineRule="auto"/>
        <w:rPr>
          <w:rFonts w:ascii="Traditional Arabic" w:hAnsi="Traditional Arabic" w:cs="Traditional Arabic"/>
          <w:sz w:val="28"/>
          <w:szCs w:val="28"/>
          <w:rtl/>
          <w:lang w:bidi="ar-EG"/>
        </w:rPr>
      </w:pPr>
    </w:p>
    <w:p w14:paraId="5A5D9B77" w14:textId="77777777" w:rsidR="007F4A59" w:rsidRDefault="007F4A59" w:rsidP="007F4A59">
      <w:pPr>
        <w:bidi/>
        <w:spacing w:line="480" w:lineRule="auto"/>
        <w:rPr>
          <w:rFonts w:ascii="Traditional Arabic" w:hAnsi="Traditional Arabic" w:cs="Traditional Arabic"/>
          <w:sz w:val="28"/>
          <w:szCs w:val="28"/>
          <w:rtl/>
          <w:lang w:bidi="ar-EG"/>
        </w:rPr>
      </w:pPr>
    </w:p>
    <w:p w14:paraId="3847BCC3" w14:textId="77777777" w:rsidR="007F4A59" w:rsidRDefault="007F4A59" w:rsidP="007F4A59">
      <w:pPr>
        <w:bidi/>
        <w:spacing w:line="480" w:lineRule="auto"/>
        <w:rPr>
          <w:rFonts w:ascii="Traditional Arabic" w:hAnsi="Traditional Arabic" w:cs="Traditional Arabic"/>
          <w:sz w:val="28"/>
          <w:szCs w:val="28"/>
          <w:rtl/>
          <w:lang w:bidi="ar-EG"/>
        </w:rPr>
      </w:pPr>
    </w:p>
    <w:p w14:paraId="212BD70B" w14:textId="77777777" w:rsidR="007F4A59" w:rsidRDefault="007F4A59" w:rsidP="007F4A59">
      <w:pPr>
        <w:bidi/>
        <w:spacing w:line="480" w:lineRule="auto"/>
        <w:rPr>
          <w:rFonts w:ascii="Traditional Arabic" w:hAnsi="Traditional Arabic" w:cs="Traditional Arabic"/>
          <w:sz w:val="28"/>
          <w:szCs w:val="28"/>
          <w:rtl/>
          <w:lang w:bidi="ar-EG"/>
        </w:rPr>
      </w:pPr>
    </w:p>
    <w:p w14:paraId="633091F0" w14:textId="77777777" w:rsidR="007F4A59" w:rsidRDefault="007F4A59" w:rsidP="007F4A59">
      <w:pPr>
        <w:bidi/>
        <w:spacing w:line="480" w:lineRule="auto"/>
        <w:rPr>
          <w:rFonts w:ascii="Traditional Arabic" w:hAnsi="Traditional Arabic" w:cs="Traditional Arabic"/>
          <w:sz w:val="28"/>
          <w:szCs w:val="28"/>
          <w:rtl/>
          <w:lang w:bidi="ar-EG"/>
        </w:rPr>
      </w:pPr>
    </w:p>
    <w:p w14:paraId="277FD2E3" w14:textId="77777777" w:rsidR="007F4A59" w:rsidRDefault="007F4A59" w:rsidP="007F4A59">
      <w:pPr>
        <w:bidi/>
        <w:spacing w:line="480" w:lineRule="auto"/>
        <w:rPr>
          <w:rFonts w:ascii="Traditional Arabic" w:hAnsi="Traditional Arabic" w:cs="Traditional Arabic"/>
          <w:sz w:val="28"/>
          <w:szCs w:val="28"/>
          <w:rtl/>
          <w:lang w:bidi="ar-EG"/>
        </w:rPr>
      </w:pPr>
    </w:p>
    <w:p w14:paraId="7D2324E7" w14:textId="77777777" w:rsidR="007F4A59" w:rsidRDefault="007F4A59" w:rsidP="007F4A59">
      <w:pPr>
        <w:bidi/>
        <w:spacing w:line="480" w:lineRule="auto"/>
        <w:rPr>
          <w:rFonts w:ascii="Traditional Arabic" w:hAnsi="Traditional Arabic" w:cs="Traditional Arabic"/>
          <w:sz w:val="28"/>
          <w:szCs w:val="28"/>
          <w:rtl/>
          <w:lang w:bidi="ar-EG"/>
        </w:rPr>
      </w:pPr>
    </w:p>
    <w:p w14:paraId="1CEB8AC4" w14:textId="77777777" w:rsidR="007F4A59" w:rsidRDefault="007F4A59" w:rsidP="007F4A59">
      <w:pPr>
        <w:bidi/>
        <w:spacing w:line="480" w:lineRule="auto"/>
        <w:rPr>
          <w:rFonts w:ascii="Traditional Arabic" w:hAnsi="Traditional Arabic" w:cs="Traditional Arabic"/>
          <w:sz w:val="28"/>
          <w:szCs w:val="28"/>
          <w:rtl/>
          <w:lang w:bidi="ar-EG"/>
        </w:rPr>
      </w:pPr>
    </w:p>
    <w:p w14:paraId="4BE93AF9" w14:textId="77777777" w:rsidR="007F4A59" w:rsidRPr="0076197C" w:rsidRDefault="007F4A59" w:rsidP="007F4A59">
      <w:pPr>
        <w:bidi/>
        <w:spacing w:line="480" w:lineRule="auto"/>
        <w:rPr>
          <w:rFonts w:ascii="Traditional Arabic" w:hAnsi="Traditional Arabic" w:cs="Traditional Arabic"/>
          <w:sz w:val="28"/>
          <w:szCs w:val="28"/>
          <w:lang w:bidi="ar-EG"/>
        </w:rPr>
      </w:pPr>
    </w:p>
    <w:p w14:paraId="1A6052E3" w14:textId="38CB28CC" w:rsidR="00BC7853" w:rsidRPr="00170A9A" w:rsidRDefault="00304292" w:rsidP="00BC7853">
      <w:pPr>
        <w:bidi/>
        <w:spacing w:line="480" w:lineRule="auto"/>
        <w:rPr>
          <w:rFonts w:ascii="Traditional Arabic" w:hAnsi="Traditional Arabic" w:cs="Traditional Arabic"/>
          <w:b/>
          <w:bCs/>
          <w:sz w:val="28"/>
          <w:szCs w:val="28"/>
          <w:u w:val="single"/>
          <w:lang w:bidi="ar-EG"/>
        </w:rPr>
      </w:pPr>
      <w:r>
        <w:rPr>
          <w:rFonts w:ascii="Traditional Arabic" w:hAnsi="Traditional Arabic" w:cs="Traditional Arabic" w:hint="cs"/>
          <w:b/>
          <w:bCs/>
          <w:sz w:val="28"/>
          <w:szCs w:val="28"/>
          <w:rtl/>
        </w:rPr>
        <w:lastRenderedPageBreak/>
        <w:t xml:space="preserve">1-2-5 </w:t>
      </w:r>
      <w:r w:rsidR="00170A9A">
        <w:rPr>
          <w:rFonts w:ascii="Traditional Arabic" w:hAnsi="Traditional Arabic" w:cs="Traditional Arabic" w:hint="cs"/>
          <w:b/>
          <w:bCs/>
          <w:sz w:val="28"/>
          <w:szCs w:val="28"/>
          <w:u w:val="single"/>
          <w:rtl/>
        </w:rPr>
        <w:t xml:space="preserve"> </w:t>
      </w:r>
      <w:r w:rsidR="00BC7853" w:rsidRPr="00170A9A">
        <w:rPr>
          <w:rFonts w:ascii="Traditional Arabic" w:hAnsi="Traditional Arabic" w:cs="Traditional Arabic"/>
          <w:b/>
          <w:bCs/>
          <w:sz w:val="28"/>
          <w:szCs w:val="28"/>
          <w:u w:val="single"/>
          <w:rtl/>
        </w:rPr>
        <w:t>الفجوة البحثية</w:t>
      </w:r>
    </w:p>
    <w:p w14:paraId="7C588F46" w14:textId="77777777" w:rsidR="00BC7853" w:rsidRPr="0076197C" w:rsidRDefault="00BC7853" w:rsidP="00BC7853">
      <w:pPr>
        <w:pStyle w:val="ListParagraph"/>
        <w:numPr>
          <w:ilvl w:val="0"/>
          <w:numId w:val="44"/>
        </w:num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b/>
          <w:bCs/>
          <w:sz w:val="28"/>
          <w:szCs w:val="28"/>
          <w:rtl/>
        </w:rPr>
        <w:t>قلة الدراسات الميدانية في السياق السعودي</w:t>
      </w:r>
      <w:r w:rsidRPr="0076197C">
        <w:rPr>
          <w:rFonts w:ascii="Traditional Arabic" w:hAnsi="Traditional Arabic" w:cs="Traditional Arabic"/>
          <w:sz w:val="28"/>
          <w:szCs w:val="28"/>
          <w:rtl/>
        </w:rPr>
        <w:t xml:space="preserve"> التي تربط بين تطبيق مبادئ الاستدامة وأداء المشاريع الإنشائية بأبعاده الأربعة (الجودة، التكلفة، الوقت، رضا العملاء) باستخدام بيانات مباشرة من المشاريع والشركات العاملة في السوق السعودي، بما يعزز مواءمة النتائج مع احتياجات رؤية المملكة 2030</w:t>
      </w:r>
      <w:r w:rsidRPr="0076197C">
        <w:rPr>
          <w:rFonts w:ascii="Traditional Arabic" w:hAnsi="Traditional Arabic" w:cs="Traditional Arabic"/>
          <w:sz w:val="28"/>
          <w:szCs w:val="28"/>
          <w:lang w:bidi="ar-EG"/>
        </w:rPr>
        <w:t>.</w:t>
      </w:r>
    </w:p>
    <w:p w14:paraId="6C7D7533" w14:textId="77777777" w:rsidR="00BC7853" w:rsidRPr="0076197C" w:rsidRDefault="00BC7853" w:rsidP="00BC7853">
      <w:pPr>
        <w:pStyle w:val="ListParagraph"/>
        <w:numPr>
          <w:ilvl w:val="0"/>
          <w:numId w:val="44"/>
        </w:num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b/>
          <w:bCs/>
          <w:sz w:val="28"/>
          <w:szCs w:val="28"/>
          <w:rtl/>
        </w:rPr>
        <w:t>غياب الدراسات التي تقدم إطارًا قياسًا شاملًا</w:t>
      </w:r>
      <w:r w:rsidRPr="0076197C">
        <w:rPr>
          <w:rFonts w:ascii="Traditional Arabic" w:hAnsi="Traditional Arabic" w:cs="Traditional Arabic"/>
          <w:sz w:val="28"/>
          <w:szCs w:val="28"/>
          <w:rtl/>
        </w:rPr>
        <w:t xml:space="preserve"> يجمع بين مؤشرات الأداء الرئيسية وممارسات الاستدامة في المشاريع، بشكل يساعد الشركات على تقييم الأثر الحقيقي لممارسات الاستدامة على الأداء التشغيلي والمالي والإداري للمشاريع</w:t>
      </w:r>
      <w:r w:rsidRPr="0076197C">
        <w:rPr>
          <w:rFonts w:ascii="Traditional Arabic" w:hAnsi="Traditional Arabic" w:cs="Traditional Arabic"/>
          <w:sz w:val="28"/>
          <w:szCs w:val="28"/>
          <w:lang w:bidi="ar-EG"/>
        </w:rPr>
        <w:t>.</w:t>
      </w:r>
    </w:p>
    <w:p w14:paraId="240620A3" w14:textId="77777777" w:rsidR="00BC7853" w:rsidRPr="0076197C" w:rsidRDefault="00BC7853" w:rsidP="00BC7853">
      <w:pPr>
        <w:pStyle w:val="ListParagraph"/>
        <w:numPr>
          <w:ilvl w:val="0"/>
          <w:numId w:val="44"/>
        </w:num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b/>
          <w:bCs/>
          <w:sz w:val="28"/>
          <w:szCs w:val="28"/>
          <w:rtl/>
        </w:rPr>
        <w:t>قلة التركيز على الدور الوسيط للعوامل البيئية والتنظيمية</w:t>
      </w:r>
      <w:r w:rsidRPr="0076197C">
        <w:rPr>
          <w:rFonts w:ascii="Traditional Arabic" w:hAnsi="Traditional Arabic" w:cs="Traditional Arabic"/>
          <w:sz w:val="28"/>
          <w:szCs w:val="28"/>
          <w:rtl/>
        </w:rPr>
        <w:t xml:space="preserve"> (مثل السياسات الحكومية، حجم المشروع، مستوى وعي العاملين بالاستدامة) في العلاقة بين تطبيق مبادئ الاستدامة والأداء في المشاريع الإنشائية، رغم أهمية هذه العوامل في تحديد نجاح تنفيذ ممارسات الاستدامة على أرض الواقع</w:t>
      </w:r>
      <w:r w:rsidRPr="0076197C">
        <w:rPr>
          <w:rFonts w:ascii="Traditional Arabic" w:hAnsi="Traditional Arabic" w:cs="Traditional Arabic"/>
          <w:sz w:val="28"/>
          <w:szCs w:val="28"/>
          <w:lang w:bidi="ar-EG"/>
        </w:rPr>
        <w:t>.</w:t>
      </w:r>
    </w:p>
    <w:p w14:paraId="1A1ED17A" w14:textId="77777777" w:rsidR="00BC7853" w:rsidRPr="0076197C" w:rsidRDefault="00BC7853" w:rsidP="00BC7853">
      <w:pPr>
        <w:pStyle w:val="ListParagraph"/>
        <w:numPr>
          <w:ilvl w:val="0"/>
          <w:numId w:val="44"/>
        </w:num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b/>
          <w:bCs/>
          <w:sz w:val="28"/>
          <w:szCs w:val="28"/>
          <w:rtl/>
        </w:rPr>
        <w:t>ندرة الدراسات التي تقدم توصيات عملية وقابلة للتطبيق</w:t>
      </w:r>
      <w:r w:rsidRPr="0076197C">
        <w:rPr>
          <w:rFonts w:ascii="Traditional Arabic" w:hAnsi="Traditional Arabic" w:cs="Traditional Arabic"/>
          <w:sz w:val="28"/>
          <w:szCs w:val="28"/>
          <w:rtl/>
        </w:rPr>
        <w:t xml:space="preserve"> تساعد الشركات الإنشائية على تبني ممارسات الاستدامة بشكل يعزز الأداء، مع تقديم أدوات قابلة للقياس لدعم عمليات المتابعة والتحسين المستمر في المشاريع</w:t>
      </w:r>
      <w:r w:rsidRPr="0076197C">
        <w:rPr>
          <w:rFonts w:ascii="Traditional Arabic" w:hAnsi="Traditional Arabic" w:cs="Traditional Arabic"/>
          <w:sz w:val="28"/>
          <w:szCs w:val="28"/>
          <w:lang w:bidi="ar-EG"/>
        </w:rPr>
        <w:t>.</w:t>
      </w:r>
    </w:p>
    <w:p w14:paraId="11EA9EA2" w14:textId="77777777" w:rsidR="00BC7853" w:rsidRPr="0076197C" w:rsidRDefault="00BC7853" w:rsidP="00BC7853">
      <w:pPr>
        <w:bidi/>
        <w:spacing w:line="480" w:lineRule="auto"/>
        <w:rPr>
          <w:rFonts w:ascii="Traditional Arabic" w:hAnsi="Traditional Arabic" w:cs="Traditional Arabic"/>
          <w:sz w:val="28"/>
          <w:szCs w:val="28"/>
          <w:rtl/>
          <w:lang w:bidi="ar-EG"/>
        </w:rPr>
      </w:pPr>
    </w:p>
    <w:p w14:paraId="4AD165B3" w14:textId="77777777" w:rsidR="005535FC" w:rsidRPr="0076197C" w:rsidRDefault="005535FC" w:rsidP="00BC7853">
      <w:pPr>
        <w:bidi/>
        <w:spacing w:line="480" w:lineRule="auto"/>
        <w:rPr>
          <w:rFonts w:ascii="Traditional Arabic" w:hAnsi="Traditional Arabic" w:cs="Traditional Arabic"/>
          <w:b/>
          <w:bCs/>
          <w:sz w:val="28"/>
          <w:szCs w:val="28"/>
          <w:u w:val="single"/>
          <w:rtl/>
          <w:lang w:bidi="ar-EG"/>
        </w:rPr>
      </w:pPr>
    </w:p>
    <w:p w14:paraId="4C402329" w14:textId="77777777" w:rsidR="007F4A59" w:rsidRPr="0076197C" w:rsidRDefault="007F4A59" w:rsidP="007F4A59">
      <w:pPr>
        <w:bidi/>
        <w:spacing w:line="480" w:lineRule="auto"/>
        <w:rPr>
          <w:rFonts w:ascii="Traditional Arabic" w:hAnsi="Traditional Arabic" w:cs="Traditional Arabic"/>
          <w:b/>
          <w:bCs/>
          <w:sz w:val="28"/>
          <w:szCs w:val="28"/>
          <w:u w:val="single"/>
          <w:rtl/>
        </w:rPr>
      </w:pPr>
    </w:p>
    <w:p w14:paraId="5FFA747A" w14:textId="424A65E0" w:rsidR="00BC7853" w:rsidRPr="0076197C" w:rsidRDefault="00A21944" w:rsidP="005535FC">
      <w:pPr>
        <w:bidi/>
        <w:spacing w:line="480" w:lineRule="auto"/>
        <w:rPr>
          <w:rFonts w:ascii="Traditional Arabic" w:hAnsi="Traditional Arabic" w:cs="Traditional Arabic"/>
          <w:b/>
          <w:bCs/>
          <w:sz w:val="28"/>
          <w:szCs w:val="28"/>
          <w:u w:val="single"/>
          <w:rtl/>
          <w:lang w:bidi="ar-EG"/>
        </w:rPr>
      </w:pPr>
      <w:r>
        <w:rPr>
          <w:rFonts w:ascii="Traditional Arabic" w:hAnsi="Traditional Arabic" w:cs="Traditional Arabic" w:hint="cs"/>
          <w:b/>
          <w:bCs/>
          <w:sz w:val="28"/>
          <w:szCs w:val="28"/>
          <w:rtl/>
          <w:lang w:bidi="ar-EG"/>
        </w:rPr>
        <w:lastRenderedPageBreak/>
        <w:t xml:space="preserve">2. </w:t>
      </w:r>
      <w:r w:rsidR="00547959" w:rsidRPr="00547959">
        <w:rPr>
          <w:rFonts w:ascii="Traditional Arabic" w:hAnsi="Traditional Arabic" w:cs="Traditional Arabic" w:hint="cs"/>
          <w:b/>
          <w:bCs/>
          <w:sz w:val="28"/>
          <w:szCs w:val="28"/>
          <w:u w:val="single"/>
          <w:rtl/>
          <w:lang w:bidi="ar-EG"/>
        </w:rPr>
        <w:t xml:space="preserve"> </w:t>
      </w:r>
      <w:r w:rsidR="00BC7853" w:rsidRPr="0076197C">
        <w:rPr>
          <w:rFonts w:ascii="Traditional Arabic" w:hAnsi="Traditional Arabic" w:cs="Traditional Arabic"/>
          <w:b/>
          <w:bCs/>
          <w:sz w:val="28"/>
          <w:szCs w:val="28"/>
          <w:u w:val="single"/>
          <w:rtl/>
          <w:lang w:bidi="ar-EG"/>
        </w:rPr>
        <w:t>المراجع</w:t>
      </w:r>
    </w:p>
    <w:p w14:paraId="265348DC" w14:textId="77777777" w:rsidR="00BC7853" w:rsidRPr="0076197C" w:rsidRDefault="00BC7853" w:rsidP="00BC7853">
      <w:pPr>
        <w:bidi/>
        <w:spacing w:line="480" w:lineRule="auto"/>
        <w:rPr>
          <w:rFonts w:ascii="Traditional Arabic" w:hAnsi="Traditional Arabic" w:cs="Traditional Arabic"/>
          <w:b/>
          <w:bCs/>
          <w:sz w:val="28"/>
          <w:szCs w:val="28"/>
          <w:u w:val="single"/>
          <w:rtl/>
          <w:lang w:bidi="ar-EG"/>
        </w:rPr>
      </w:pPr>
      <w:r w:rsidRPr="0076197C">
        <w:rPr>
          <w:rFonts w:ascii="Traditional Arabic" w:hAnsi="Traditional Arabic" w:cs="Traditional Arabic"/>
          <w:b/>
          <w:bCs/>
          <w:sz w:val="28"/>
          <w:szCs w:val="28"/>
          <w:u w:val="single"/>
          <w:rtl/>
          <w:lang w:bidi="ar-EG"/>
        </w:rPr>
        <w:t>المراجع العربية</w:t>
      </w:r>
    </w:p>
    <w:p w14:paraId="3B705498" w14:textId="77777777" w:rsidR="00BC7853" w:rsidRPr="0076197C" w:rsidRDefault="00BC7853" w:rsidP="00BC7853">
      <w:pPr>
        <w:pStyle w:val="ListParagraph"/>
        <w:numPr>
          <w:ilvl w:val="0"/>
          <w:numId w:val="48"/>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زرقـوط, ، الدكتورة حميدة. (2023). تطبيق الإدارة البيئية كمدخــل استراتيجي لتحقيق البعـــد الاقتــصادي للتنمية المستدامة.</w:t>
      </w:r>
    </w:p>
    <w:p w14:paraId="4347FAE1" w14:textId="1151C843" w:rsidR="00BC7853" w:rsidRPr="0076197C" w:rsidRDefault="00BC7853" w:rsidP="00BC7853">
      <w:pPr>
        <w:pStyle w:val="ListParagraph"/>
        <w:numPr>
          <w:ilvl w:val="0"/>
          <w:numId w:val="48"/>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حميد ، بوزيد. (2022). الإدارة البيئية ودورها في تحقيق التنمية المستدامة في المدن الجديدة - الجزائر أنموذجا -. مجلة الباحث للدراسات الأكاديمية, 9(1), 982-999. </w:t>
      </w:r>
      <w:r>
        <w:fldChar w:fldCharType="begin"/>
      </w:r>
      <w:r>
        <w:instrText>HYPERLINK "https://asjp.cerist.dz/en/article/183119"</w:instrText>
      </w:r>
      <w:r>
        <w:fldChar w:fldCharType="separate"/>
      </w:r>
      <w:r w:rsidRPr="0076197C">
        <w:rPr>
          <w:rStyle w:val="Hyperlink"/>
          <w:rFonts w:ascii="Traditional Arabic" w:hAnsi="Traditional Arabic" w:cs="Traditional Arabic"/>
          <w:sz w:val="28"/>
          <w:szCs w:val="28"/>
        </w:rPr>
        <w:t>https://asjp.cerist.dz/en/article/183119</w:t>
      </w:r>
      <w:r>
        <w:fldChar w:fldCharType="end"/>
      </w:r>
    </w:p>
    <w:p w14:paraId="641EDFE9" w14:textId="53FD9B9F" w:rsidR="00BC7853" w:rsidRPr="0076197C" w:rsidRDefault="00BC7853" w:rsidP="00BC7853">
      <w:pPr>
        <w:pStyle w:val="ListParagraph"/>
        <w:numPr>
          <w:ilvl w:val="0"/>
          <w:numId w:val="48"/>
        </w:num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البقعي، ل. ب. ف.، و الهزايمة، أ. ب. ص. (2023). أثر تطبيق الإدارة الخضراء على تحقيق التنمية البيئية المستدامة</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i/>
          <w:iCs/>
          <w:sz w:val="28"/>
          <w:szCs w:val="28"/>
          <w:rtl/>
        </w:rPr>
        <w:t>المجلة الأكاديمية للأبحاث والنشر العلمي، الإصدار الثامن والأربعون</w:t>
      </w:r>
      <w:r w:rsidRPr="0076197C">
        <w:rPr>
          <w:rFonts w:ascii="Traditional Arabic" w:hAnsi="Traditional Arabic" w:cs="Traditional Arabic"/>
          <w:i/>
          <w:iCs/>
          <w:sz w:val="28"/>
          <w:szCs w:val="28"/>
          <w:lang w:bidi="ar-EG"/>
        </w:rPr>
        <w:t>.</w:t>
      </w:r>
      <w:r w:rsidRPr="0076197C">
        <w:rPr>
          <w:rFonts w:ascii="Traditional Arabic" w:hAnsi="Traditional Arabic" w:cs="Traditional Arabic"/>
          <w:sz w:val="28"/>
          <w:szCs w:val="28"/>
          <w:lang w:bidi="ar-EG"/>
        </w:rPr>
        <w:t xml:space="preserve"> https://doi.org/10.52132/Ajrsp/v4.48.3</w:t>
      </w:r>
    </w:p>
    <w:p w14:paraId="0F80CC22" w14:textId="77777777" w:rsidR="00BC7853" w:rsidRPr="0076197C" w:rsidRDefault="00BC7853" w:rsidP="00BC7853">
      <w:pPr>
        <w:pStyle w:val="ListParagraph"/>
        <w:numPr>
          <w:ilvl w:val="0"/>
          <w:numId w:val="48"/>
        </w:num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الحسن، ع. م. ع. (2025). دور إدارة الجودة في تحسين واستدامة المشاريع الإنشائية (دراسة حالة دولة الكويت)</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i/>
          <w:iCs/>
          <w:sz w:val="28"/>
          <w:szCs w:val="28"/>
          <w:lang w:bidi="ar-EG"/>
        </w:rPr>
        <w:t>Arab Journal for Scientific Publishing</w:t>
      </w:r>
      <w:r w:rsidRPr="0076197C">
        <w:rPr>
          <w:rFonts w:ascii="Traditional Arabic" w:hAnsi="Traditional Arabic" w:cs="Traditional Arabic"/>
          <w:i/>
          <w:iCs/>
          <w:sz w:val="28"/>
          <w:szCs w:val="28"/>
          <w:rtl/>
        </w:rPr>
        <w:t>، 8</w:t>
      </w:r>
      <w:r w:rsidRPr="0076197C">
        <w:rPr>
          <w:rFonts w:ascii="Traditional Arabic" w:hAnsi="Traditional Arabic" w:cs="Traditional Arabic"/>
          <w:sz w:val="28"/>
          <w:szCs w:val="28"/>
          <w:lang w:bidi="ar-EG"/>
        </w:rPr>
        <w:t>(</w:t>
      </w:r>
      <w:proofErr w:type="gramStart"/>
      <w:r w:rsidRPr="0076197C">
        <w:rPr>
          <w:rFonts w:ascii="Traditional Arabic" w:hAnsi="Traditional Arabic" w:cs="Traditional Arabic"/>
          <w:sz w:val="28"/>
          <w:szCs w:val="28"/>
          <w:lang w:bidi="ar-EG"/>
        </w:rPr>
        <w:t>67)</w:t>
      </w:r>
      <w:r w:rsidRPr="0076197C">
        <w:rPr>
          <w:rFonts w:ascii="Traditional Arabic" w:hAnsi="Traditional Arabic" w:cs="Traditional Arabic"/>
          <w:sz w:val="28"/>
          <w:szCs w:val="28"/>
          <w:rtl/>
        </w:rPr>
        <w:t>،</w:t>
      </w:r>
      <w:proofErr w:type="gramEnd"/>
      <w:r w:rsidRPr="0076197C">
        <w:rPr>
          <w:rFonts w:ascii="Traditional Arabic" w:hAnsi="Traditional Arabic" w:cs="Traditional Arabic"/>
          <w:sz w:val="28"/>
          <w:szCs w:val="28"/>
          <w:rtl/>
        </w:rPr>
        <w:t xml:space="preserve"> 376</w:t>
      </w:r>
      <w:r w:rsidRPr="0076197C">
        <w:rPr>
          <w:rFonts w:ascii="Traditional Arabic" w:hAnsi="Traditional Arabic" w:cs="Traditional Arabic"/>
          <w:sz w:val="28"/>
          <w:szCs w:val="28"/>
          <w:lang w:bidi="ar-EG"/>
        </w:rPr>
        <w:t>–391.</w:t>
      </w:r>
    </w:p>
    <w:p w14:paraId="5B23E9B3" w14:textId="77777777" w:rsidR="00BC7853" w:rsidRPr="0076197C" w:rsidRDefault="00BC7853" w:rsidP="00BC7853">
      <w:pPr>
        <w:pStyle w:val="ListParagraph"/>
        <w:numPr>
          <w:ilvl w:val="0"/>
          <w:numId w:val="48"/>
        </w:num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الحسن، ع. م. ع.، و الفارسي، ح. ن. ح. (2025). تأثير تأخير المشاريع الإنشائية على التنمية المستدامة في الكويت: بحث تحليلي متعدد الأبعاد</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i/>
          <w:iCs/>
          <w:sz w:val="28"/>
          <w:szCs w:val="28"/>
          <w:rtl/>
        </w:rPr>
        <w:t>المجلة العربية للنشر العلمي، 2</w:t>
      </w:r>
      <w:r w:rsidRPr="0076197C">
        <w:rPr>
          <w:rFonts w:ascii="Traditional Arabic" w:hAnsi="Traditional Arabic" w:cs="Traditional Arabic"/>
          <w:sz w:val="28"/>
          <w:szCs w:val="28"/>
          <w:lang w:bidi="ar-EG"/>
        </w:rPr>
        <w:t>(9)</w:t>
      </w:r>
      <w:r w:rsidRPr="0076197C">
        <w:rPr>
          <w:rFonts w:ascii="Traditional Arabic" w:hAnsi="Traditional Arabic" w:cs="Traditional Arabic"/>
          <w:sz w:val="28"/>
          <w:szCs w:val="28"/>
          <w:rtl/>
        </w:rPr>
        <w:t>، 591</w:t>
      </w:r>
      <w:r w:rsidRPr="0076197C">
        <w:rPr>
          <w:rFonts w:ascii="Traditional Arabic" w:hAnsi="Traditional Arabic" w:cs="Traditional Arabic"/>
          <w:sz w:val="28"/>
          <w:szCs w:val="28"/>
          <w:lang w:bidi="ar-EG"/>
        </w:rPr>
        <w:t>–607.</w:t>
      </w:r>
    </w:p>
    <w:p w14:paraId="0BC95E75" w14:textId="77777777" w:rsidR="00BC7853" w:rsidRPr="0076197C" w:rsidRDefault="00BC7853" w:rsidP="00BC7853">
      <w:pPr>
        <w:pStyle w:val="ListParagraph"/>
        <w:numPr>
          <w:ilvl w:val="0"/>
          <w:numId w:val="48"/>
        </w:numPr>
        <w:bidi/>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rtl/>
        </w:rPr>
        <w:lastRenderedPageBreak/>
        <w:t xml:space="preserve">العابد، ع. م.، الزامل، و. س.، و المالكي، ع. م. (2022). تطبيق مبادئ الاستدامة البيئية في الأحياء السكنية القائمة في مكة المكرمة: حي الشرائع كنموذج. في </w:t>
      </w:r>
      <w:r w:rsidRPr="0076197C">
        <w:rPr>
          <w:rFonts w:ascii="Traditional Arabic" w:hAnsi="Traditional Arabic" w:cs="Traditional Arabic"/>
          <w:i/>
          <w:iCs/>
          <w:sz w:val="28"/>
          <w:szCs w:val="28"/>
          <w:rtl/>
        </w:rPr>
        <w:t>أعمال المؤتمر الدولي جبري تونس (الندوة الدولية للمدن الذكية والتخطيط العمراني)</w:t>
      </w:r>
      <w:r w:rsidRPr="0076197C">
        <w:rPr>
          <w:rFonts w:ascii="Traditional Arabic" w:hAnsi="Traditional Arabic" w:cs="Traditional Arabic"/>
          <w:sz w:val="28"/>
          <w:szCs w:val="28"/>
          <w:rtl/>
        </w:rPr>
        <w:t xml:space="preserve"> (ص. 1–17). تونس: الجمعية التونسية للإعلام الجغرافي الرقمي</w:t>
      </w:r>
      <w:r w:rsidRPr="0076197C">
        <w:rPr>
          <w:rFonts w:ascii="Traditional Arabic" w:hAnsi="Traditional Arabic" w:cs="Traditional Arabic"/>
          <w:sz w:val="28"/>
          <w:szCs w:val="28"/>
          <w:lang w:bidi="ar-EG"/>
        </w:rPr>
        <w:t>.</w:t>
      </w:r>
    </w:p>
    <w:p w14:paraId="651FE700" w14:textId="12FDE021" w:rsidR="00BC7853" w:rsidRPr="0076197C" w:rsidRDefault="00BC7853" w:rsidP="00D12BF6">
      <w:pPr>
        <w:bidi/>
        <w:spacing w:line="480" w:lineRule="auto"/>
        <w:rPr>
          <w:rFonts w:ascii="Traditional Arabic" w:hAnsi="Traditional Arabic" w:cs="Traditional Arabic"/>
          <w:sz w:val="28"/>
          <w:szCs w:val="28"/>
          <w:u w:val="single"/>
          <w:lang w:bidi="ar-EG"/>
        </w:rPr>
      </w:pPr>
      <w:r w:rsidRPr="0076197C">
        <w:rPr>
          <w:rFonts w:ascii="Traditional Arabic" w:hAnsi="Traditional Arabic" w:cs="Traditional Arabic"/>
          <w:b/>
          <w:bCs/>
          <w:sz w:val="28"/>
          <w:szCs w:val="28"/>
          <w:u w:val="single"/>
          <w:rtl/>
        </w:rPr>
        <w:t>المراجع الانجليزية</w:t>
      </w:r>
      <w:r w:rsidRPr="0076197C">
        <w:rPr>
          <w:rFonts w:ascii="Traditional Arabic" w:hAnsi="Traditional Arabic" w:cs="Traditional Arabic"/>
          <w:b/>
          <w:bCs/>
          <w:sz w:val="28"/>
          <w:szCs w:val="28"/>
          <w:u w:val="single"/>
          <w:lang w:bidi="ar-EG"/>
        </w:rPr>
        <w:t>:</w:t>
      </w:r>
    </w:p>
    <w:p w14:paraId="442C5229"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Rajabi, S., El-Sayegh, S., &amp; Romdhane, L. (2022). Identification and assessment of sustainability performance indicators for construction projects. </w:t>
      </w:r>
      <w:r w:rsidRPr="0076197C">
        <w:rPr>
          <w:rFonts w:ascii="Traditional Arabic" w:hAnsi="Traditional Arabic" w:cs="Traditional Arabic"/>
          <w:i/>
          <w:iCs/>
          <w:sz w:val="28"/>
          <w:szCs w:val="28"/>
        </w:rPr>
        <w:t>Environmental and Sustainability Indicators</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15</w:t>
      </w:r>
      <w:r w:rsidRPr="0076197C">
        <w:rPr>
          <w:rFonts w:ascii="Traditional Arabic" w:hAnsi="Traditional Arabic" w:cs="Traditional Arabic"/>
          <w:sz w:val="28"/>
          <w:szCs w:val="28"/>
        </w:rPr>
        <w:t xml:space="preserve">, 100193. </w:t>
      </w:r>
    </w:p>
    <w:p w14:paraId="7358D312"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 xml:space="preserve">United Nations Environment </w:t>
      </w:r>
      <w:proofErr w:type="spellStart"/>
      <w:r w:rsidRPr="0076197C">
        <w:rPr>
          <w:rFonts w:ascii="Traditional Arabic" w:hAnsi="Traditional Arabic" w:cs="Traditional Arabic"/>
          <w:sz w:val="28"/>
          <w:szCs w:val="28"/>
        </w:rPr>
        <w:t>Programme</w:t>
      </w:r>
      <w:proofErr w:type="spellEnd"/>
      <w:r w:rsidRPr="0076197C">
        <w:rPr>
          <w:rFonts w:ascii="Traditional Arabic" w:hAnsi="Traditional Arabic" w:cs="Traditional Arabic"/>
          <w:sz w:val="28"/>
          <w:szCs w:val="28"/>
        </w:rPr>
        <w:t xml:space="preserve"> (UNEP). (2022). Global status report for buildings and construction. UNEP. https://www.unep.org</w:t>
      </w:r>
    </w:p>
    <w:p w14:paraId="31A6541F"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Ali, A., Ma, L., Shahzad, M., Musonda, J., &amp; Hussain, S. (2024). How various stakeholder pressure influences mega-project sustainable performance through corporate social responsibility and green competitive advantage. Environmental Science and Pollution Research, 31(60), 67244-67258</w:t>
      </w:r>
    </w:p>
    <w:p w14:paraId="54F60965" w14:textId="77777777" w:rsidR="00D22CE6" w:rsidRPr="0076197C" w:rsidRDefault="00D22CE6" w:rsidP="00D22CE6">
      <w:pPr>
        <w:pStyle w:val="ListParagraph"/>
        <w:rPr>
          <w:rFonts w:ascii="Traditional Arabic" w:hAnsi="Traditional Arabic" w:cs="Traditional Arabic"/>
          <w:sz w:val="28"/>
          <w:szCs w:val="28"/>
        </w:rPr>
      </w:pPr>
    </w:p>
    <w:p w14:paraId="7DD34340"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proofErr w:type="spellStart"/>
      <w:r w:rsidRPr="0076197C">
        <w:rPr>
          <w:rFonts w:ascii="Traditional Arabic" w:hAnsi="Traditional Arabic" w:cs="Traditional Arabic"/>
          <w:sz w:val="28"/>
          <w:szCs w:val="28"/>
        </w:rPr>
        <w:t>Torkayesh</w:t>
      </w:r>
      <w:proofErr w:type="spellEnd"/>
      <w:r w:rsidRPr="0076197C">
        <w:rPr>
          <w:rFonts w:ascii="Traditional Arabic" w:hAnsi="Traditional Arabic" w:cs="Traditional Arabic"/>
          <w:sz w:val="28"/>
          <w:szCs w:val="28"/>
        </w:rPr>
        <w:t xml:space="preserve">, A. E., </w:t>
      </w:r>
      <w:proofErr w:type="spellStart"/>
      <w:r w:rsidRPr="0076197C">
        <w:rPr>
          <w:rFonts w:ascii="Traditional Arabic" w:hAnsi="Traditional Arabic" w:cs="Traditional Arabic"/>
          <w:sz w:val="28"/>
          <w:szCs w:val="28"/>
        </w:rPr>
        <w:t>Ecer</w:t>
      </w:r>
      <w:proofErr w:type="spellEnd"/>
      <w:r w:rsidRPr="0076197C">
        <w:rPr>
          <w:rFonts w:ascii="Traditional Arabic" w:hAnsi="Traditional Arabic" w:cs="Traditional Arabic"/>
          <w:sz w:val="28"/>
          <w:szCs w:val="28"/>
        </w:rPr>
        <w:t xml:space="preserve">, F., </w:t>
      </w:r>
      <w:proofErr w:type="spellStart"/>
      <w:r w:rsidRPr="0076197C">
        <w:rPr>
          <w:rFonts w:ascii="Traditional Arabic" w:hAnsi="Traditional Arabic" w:cs="Traditional Arabic"/>
          <w:sz w:val="28"/>
          <w:szCs w:val="28"/>
        </w:rPr>
        <w:t>Pamucar</w:t>
      </w:r>
      <w:proofErr w:type="spellEnd"/>
      <w:r w:rsidRPr="0076197C">
        <w:rPr>
          <w:rFonts w:ascii="Traditional Arabic" w:hAnsi="Traditional Arabic" w:cs="Traditional Arabic"/>
          <w:sz w:val="28"/>
          <w:szCs w:val="28"/>
        </w:rPr>
        <w:t xml:space="preserve">, D., &amp; </w:t>
      </w:r>
      <w:proofErr w:type="spellStart"/>
      <w:r w:rsidRPr="0076197C">
        <w:rPr>
          <w:rFonts w:ascii="Traditional Arabic" w:hAnsi="Traditional Arabic" w:cs="Traditional Arabic"/>
          <w:sz w:val="28"/>
          <w:szCs w:val="28"/>
        </w:rPr>
        <w:t>Karama</w:t>
      </w:r>
      <w:r w:rsidRPr="0076197C">
        <w:rPr>
          <w:rFonts w:ascii="Cambria" w:hAnsi="Cambria" w:cs="Cambria"/>
          <w:sz w:val="28"/>
          <w:szCs w:val="28"/>
        </w:rPr>
        <w:t>ş</w:t>
      </w:r>
      <w:r w:rsidRPr="0076197C">
        <w:rPr>
          <w:rFonts w:ascii="Traditional Arabic" w:hAnsi="Traditional Arabic" w:cs="Traditional Arabic"/>
          <w:sz w:val="28"/>
          <w:szCs w:val="28"/>
        </w:rPr>
        <w:t>a</w:t>
      </w:r>
      <w:proofErr w:type="spellEnd"/>
      <w:r w:rsidRPr="0076197C">
        <w:rPr>
          <w:rFonts w:ascii="Traditional Arabic" w:hAnsi="Traditional Arabic" w:cs="Traditional Arabic"/>
          <w:sz w:val="28"/>
          <w:szCs w:val="28"/>
        </w:rPr>
        <w:t xml:space="preserve">, Ç. (2021). Comparative assessment of social sustainability performance: Integrated data-driven weighting system and </w:t>
      </w:r>
      <w:proofErr w:type="spellStart"/>
      <w:r w:rsidRPr="0076197C">
        <w:rPr>
          <w:rFonts w:ascii="Traditional Arabic" w:hAnsi="Traditional Arabic" w:cs="Traditional Arabic"/>
          <w:sz w:val="28"/>
          <w:szCs w:val="28"/>
        </w:rPr>
        <w:t>CoCoSo</w:t>
      </w:r>
      <w:proofErr w:type="spellEnd"/>
      <w:r w:rsidRPr="0076197C">
        <w:rPr>
          <w:rFonts w:ascii="Traditional Arabic" w:hAnsi="Traditional Arabic" w:cs="Traditional Arabic"/>
          <w:sz w:val="28"/>
          <w:szCs w:val="28"/>
        </w:rPr>
        <w:t xml:space="preserve"> model. </w:t>
      </w:r>
      <w:r w:rsidRPr="0076197C">
        <w:rPr>
          <w:rFonts w:ascii="Traditional Arabic" w:hAnsi="Traditional Arabic" w:cs="Traditional Arabic"/>
          <w:i/>
          <w:iCs/>
          <w:sz w:val="28"/>
          <w:szCs w:val="28"/>
        </w:rPr>
        <w:t>Sustainable Cities and Society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71</w:t>
      </w:r>
      <w:r w:rsidRPr="0076197C">
        <w:rPr>
          <w:rFonts w:ascii="Traditional Arabic" w:hAnsi="Traditional Arabic" w:cs="Traditional Arabic"/>
          <w:sz w:val="28"/>
          <w:szCs w:val="28"/>
        </w:rPr>
        <w:t>, 102975.</w:t>
      </w:r>
    </w:p>
    <w:p w14:paraId="2CC7ED1B" w14:textId="77777777" w:rsidR="00D22CE6" w:rsidRPr="0076197C" w:rsidRDefault="00D22CE6" w:rsidP="00D22CE6">
      <w:pPr>
        <w:pStyle w:val="ListParagraph"/>
        <w:rPr>
          <w:rFonts w:ascii="Traditional Arabic" w:hAnsi="Traditional Arabic" w:cs="Traditional Arabic"/>
          <w:sz w:val="28"/>
          <w:szCs w:val="28"/>
        </w:rPr>
      </w:pPr>
    </w:p>
    <w:p w14:paraId="0CDFEC38"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proofErr w:type="spellStart"/>
      <w:r w:rsidRPr="0076197C">
        <w:rPr>
          <w:rFonts w:ascii="Traditional Arabic" w:hAnsi="Traditional Arabic" w:cs="Traditional Arabic"/>
          <w:sz w:val="28"/>
          <w:szCs w:val="28"/>
        </w:rPr>
        <w:t>Mwaluko</w:t>
      </w:r>
      <w:proofErr w:type="spellEnd"/>
      <w:r w:rsidRPr="0076197C">
        <w:rPr>
          <w:rFonts w:ascii="Traditional Arabic" w:hAnsi="Traditional Arabic" w:cs="Traditional Arabic"/>
          <w:sz w:val="28"/>
          <w:szCs w:val="28"/>
        </w:rPr>
        <w:t xml:space="preserve">, G. S., &amp; </w:t>
      </w:r>
      <w:proofErr w:type="spellStart"/>
      <w:r w:rsidRPr="0076197C">
        <w:rPr>
          <w:rFonts w:ascii="Traditional Arabic" w:hAnsi="Traditional Arabic" w:cs="Traditional Arabic"/>
          <w:sz w:val="28"/>
          <w:szCs w:val="28"/>
        </w:rPr>
        <w:t>Matindana</w:t>
      </w:r>
      <w:proofErr w:type="spellEnd"/>
      <w:r w:rsidRPr="0076197C">
        <w:rPr>
          <w:rFonts w:ascii="Traditional Arabic" w:hAnsi="Traditional Arabic" w:cs="Traditional Arabic"/>
          <w:sz w:val="28"/>
          <w:szCs w:val="28"/>
        </w:rPr>
        <w:t>, J. M. (2023). Current and future trends of construction project performance models: A review. </w:t>
      </w:r>
      <w:r w:rsidRPr="0076197C">
        <w:rPr>
          <w:rFonts w:ascii="Traditional Arabic" w:hAnsi="Traditional Arabic" w:cs="Traditional Arabic"/>
          <w:i/>
          <w:iCs/>
          <w:sz w:val="28"/>
          <w:szCs w:val="28"/>
        </w:rPr>
        <w:t>Tanzania Journal of Engineering and Technology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42</w:t>
      </w:r>
      <w:r w:rsidRPr="0076197C">
        <w:rPr>
          <w:rFonts w:ascii="Traditional Arabic" w:hAnsi="Traditional Arabic" w:cs="Traditional Arabic"/>
          <w:sz w:val="28"/>
          <w:szCs w:val="28"/>
        </w:rPr>
        <w:t>(1), 58-71.</w:t>
      </w:r>
    </w:p>
    <w:p w14:paraId="0575D7CB" w14:textId="77777777" w:rsidR="00D22CE6" w:rsidRPr="0076197C" w:rsidRDefault="00D22CE6" w:rsidP="00D22CE6">
      <w:pPr>
        <w:pStyle w:val="ListParagraph"/>
        <w:rPr>
          <w:rFonts w:ascii="Traditional Arabic" w:hAnsi="Traditional Arabic" w:cs="Traditional Arabic"/>
          <w:sz w:val="28"/>
          <w:szCs w:val="28"/>
        </w:rPr>
      </w:pPr>
    </w:p>
    <w:p w14:paraId="14E44A1C"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Rehman, S. U., Bhatti, A., Kraus, S., &amp; Ferreira, J. J. (2021). The role of environmental management control systems for ecological sustainability and sustainable performance. </w:t>
      </w:r>
      <w:r w:rsidRPr="0076197C">
        <w:rPr>
          <w:rFonts w:ascii="Traditional Arabic" w:hAnsi="Traditional Arabic" w:cs="Traditional Arabic"/>
          <w:i/>
          <w:iCs/>
          <w:sz w:val="28"/>
          <w:szCs w:val="28"/>
        </w:rPr>
        <w:t>Management Decision</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59</w:t>
      </w:r>
      <w:r w:rsidRPr="0076197C">
        <w:rPr>
          <w:rFonts w:ascii="Traditional Arabic" w:hAnsi="Traditional Arabic" w:cs="Traditional Arabic"/>
          <w:sz w:val="28"/>
          <w:szCs w:val="28"/>
        </w:rPr>
        <w:t>(9), 2217-2237.</w:t>
      </w:r>
    </w:p>
    <w:p w14:paraId="14FBD2F7" w14:textId="77777777" w:rsidR="00D22CE6" w:rsidRPr="0076197C" w:rsidRDefault="00D22CE6" w:rsidP="00D22CE6">
      <w:pPr>
        <w:pStyle w:val="ListParagraph"/>
        <w:rPr>
          <w:rFonts w:ascii="Traditional Arabic" w:hAnsi="Traditional Arabic" w:cs="Traditional Arabic"/>
          <w:sz w:val="28"/>
          <w:szCs w:val="28"/>
        </w:rPr>
      </w:pPr>
    </w:p>
    <w:p w14:paraId="1BD90973"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 xml:space="preserve">Ghosh, S., Mandal, M. C., &amp; Ray, A. (2021). An exploratory assessment of the sustainability performance of the construction </w:t>
      </w:r>
      <w:r w:rsidRPr="0076197C">
        <w:rPr>
          <w:rFonts w:ascii="Traditional Arabic" w:hAnsi="Traditional Arabic" w:cs="Traditional Arabic"/>
          <w:sz w:val="28"/>
          <w:szCs w:val="28"/>
        </w:rPr>
        <w:lastRenderedPageBreak/>
        <w:t>industry. </w:t>
      </w:r>
      <w:r w:rsidRPr="0076197C">
        <w:rPr>
          <w:rFonts w:ascii="Traditional Arabic" w:hAnsi="Traditional Arabic" w:cs="Traditional Arabic"/>
          <w:i/>
          <w:iCs/>
          <w:sz w:val="28"/>
          <w:szCs w:val="28"/>
        </w:rPr>
        <w:t xml:space="preserve">Int J Industrial Engineering: Theory Appl </w:t>
      </w:r>
      <w:proofErr w:type="spellStart"/>
      <w:r w:rsidRPr="0076197C">
        <w:rPr>
          <w:rFonts w:ascii="Traditional Arabic" w:hAnsi="Traditional Arabic" w:cs="Traditional Arabic"/>
          <w:i/>
          <w:iCs/>
          <w:sz w:val="28"/>
          <w:szCs w:val="28"/>
        </w:rPr>
        <w:t>Pract</w:t>
      </w:r>
      <w:proofErr w:type="spellEnd"/>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28</w:t>
      </w:r>
      <w:r w:rsidRPr="0076197C">
        <w:rPr>
          <w:rFonts w:ascii="Traditional Arabic" w:hAnsi="Traditional Arabic" w:cs="Traditional Arabic"/>
          <w:sz w:val="28"/>
          <w:szCs w:val="28"/>
        </w:rPr>
        <w:t>(3), 329-353.</w:t>
      </w:r>
    </w:p>
    <w:p w14:paraId="704C51B3"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 xml:space="preserve">Kiani Mavi, R., </w:t>
      </w:r>
      <w:proofErr w:type="spellStart"/>
      <w:r w:rsidRPr="0076197C">
        <w:rPr>
          <w:rFonts w:ascii="Traditional Arabic" w:hAnsi="Traditional Arabic" w:cs="Traditional Arabic"/>
          <w:sz w:val="28"/>
          <w:szCs w:val="28"/>
        </w:rPr>
        <w:t>Gengatharen</w:t>
      </w:r>
      <w:proofErr w:type="spellEnd"/>
      <w:r w:rsidRPr="0076197C">
        <w:rPr>
          <w:rFonts w:ascii="Traditional Arabic" w:hAnsi="Traditional Arabic" w:cs="Traditional Arabic"/>
          <w:sz w:val="28"/>
          <w:szCs w:val="28"/>
        </w:rPr>
        <w:t>, D., Kiani Mavi, N., Hughes, R., Campbell, A., &amp; Yates, R. (2021). Sustainability in construction projects: a systematic literature review. </w:t>
      </w:r>
      <w:r w:rsidRPr="0076197C">
        <w:rPr>
          <w:rFonts w:ascii="Traditional Arabic" w:hAnsi="Traditional Arabic" w:cs="Traditional Arabic"/>
          <w:i/>
          <w:iCs/>
          <w:sz w:val="28"/>
          <w:szCs w:val="28"/>
        </w:rPr>
        <w:t>Sustainability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13</w:t>
      </w:r>
      <w:r w:rsidRPr="0076197C">
        <w:rPr>
          <w:rFonts w:ascii="Traditional Arabic" w:hAnsi="Traditional Arabic" w:cs="Traditional Arabic"/>
          <w:sz w:val="28"/>
          <w:szCs w:val="28"/>
        </w:rPr>
        <w:t>(4), 1932.</w:t>
      </w:r>
    </w:p>
    <w:p w14:paraId="3AE72076" w14:textId="77777777"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proofErr w:type="spellStart"/>
      <w:r w:rsidRPr="0076197C">
        <w:rPr>
          <w:rFonts w:ascii="Traditional Arabic" w:hAnsi="Traditional Arabic" w:cs="Traditional Arabic"/>
          <w:sz w:val="28"/>
          <w:szCs w:val="28"/>
        </w:rPr>
        <w:t>Nikmehr</w:t>
      </w:r>
      <w:proofErr w:type="spellEnd"/>
      <w:r w:rsidRPr="0076197C">
        <w:rPr>
          <w:rFonts w:ascii="Traditional Arabic" w:hAnsi="Traditional Arabic" w:cs="Traditional Arabic"/>
          <w:sz w:val="28"/>
          <w:szCs w:val="28"/>
        </w:rPr>
        <w:t xml:space="preserve">, B., Hosseini, M. R., Martek, I., </w:t>
      </w:r>
      <w:proofErr w:type="spellStart"/>
      <w:r w:rsidRPr="0076197C">
        <w:rPr>
          <w:rFonts w:ascii="Traditional Arabic" w:hAnsi="Traditional Arabic" w:cs="Traditional Arabic"/>
          <w:sz w:val="28"/>
          <w:szCs w:val="28"/>
        </w:rPr>
        <w:t>Zavadskas</w:t>
      </w:r>
      <w:proofErr w:type="spellEnd"/>
      <w:r w:rsidRPr="0076197C">
        <w:rPr>
          <w:rFonts w:ascii="Traditional Arabic" w:hAnsi="Traditional Arabic" w:cs="Traditional Arabic"/>
          <w:sz w:val="28"/>
          <w:szCs w:val="28"/>
        </w:rPr>
        <w:t xml:space="preserve">, E. K., &amp; </w:t>
      </w:r>
      <w:proofErr w:type="spellStart"/>
      <w:r w:rsidRPr="0076197C">
        <w:rPr>
          <w:rFonts w:ascii="Traditional Arabic" w:hAnsi="Traditional Arabic" w:cs="Traditional Arabic"/>
          <w:sz w:val="28"/>
          <w:szCs w:val="28"/>
        </w:rPr>
        <w:t>Antucheviciene</w:t>
      </w:r>
      <w:proofErr w:type="spellEnd"/>
      <w:r w:rsidRPr="0076197C">
        <w:rPr>
          <w:rFonts w:ascii="Traditional Arabic" w:hAnsi="Traditional Arabic" w:cs="Traditional Arabic"/>
          <w:sz w:val="28"/>
          <w:szCs w:val="28"/>
        </w:rPr>
        <w:t>, J. (2021). Digitalization as a strategic means of achieving sustainable efficiencies in construction management: A critical review. </w:t>
      </w:r>
      <w:r w:rsidRPr="0076197C">
        <w:rPr>
          <w:rFonts w:ascii="Traditional Arabic" w:hAnsi="Traditional Arabic" w:cs="Traditional Arabic"/>
          <w:i/>
          <w:iCs/>
          <w:sz w:val="28"/>
          <w:szCs w:val="28"/>
        </w:rPr>
        <w:t>Sustainability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13</w:t>
      </w:r>
      <w:r w:rsidRPr="0076197C">
        <w:rPr>
          <w:rFonts w:ascii="Traditional Arabic" w:hAnsi="Traditional Arabic" w:cs="Traditional Arabic"/>
          <w:sz w:val="28"/>
          <w:szCs w:val="28"/>
        </w:rPr>
        <w:t>(9), 5040.</w:t>
      </w:r>
    </w:p>
    <w:p w14:paraId="4986670E" w14:textId="317A668A" w:rsidR="00D22CE6" w:rsidRPr="0076197C" w:rsidRDefault="00D22CE6"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Ali, A., Ma, L., Shahzad, M., Musonda, J., &amp; Hussain, S. (2024). How various stakeholder pressure influences mega-project sustainable performance through corporate social responsibility and green competitive advantage. </w:t>
      </w:r>
      <w:r w:rsidRPr="0076197C">
        <w:rPr>
          <w:rFonts w:ascii="Traditional Arabic" w:hAnsi="Traditional Arabic" w:cs="Traditional Arabic"/>
          <w:i/>
          <w:iCs/>
          <w:sz w:val="28"/>
          <w:szCs w:val="28"/>
        </w:rPr>
        <w:t>Environmental Science and Pollution Research</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31</w:t>
      </w:r>
      <w:r w:rsidRPr="0076197C">
        <w:rPr>
          <w:rFonts w:ascii="Traditional Arabic" w:hAnsi="Traditional Arabic" w:cs="Traditional Arabic"/>
          <w:sz w:val="28"/>
          <w:szCs w:val="28"/>
        </w:rPr>
        <w:t>(60), 67244-67258.</w:t>
      </w:r>
    </w:p>
    <w:p w14:paraId="13EDCCEF" w14:textId="554B6C4B"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Alajmi, A. M., &amp; Ahmed Memon, Z. (2022). A Review on Significant Factors Causing Delays in Saudi Arabia Construction </w:t>
      </w:r>
      <w:r w:rsidRPr="0076197C">
        <w:rPr>
          <w:rFonts w:ascii="Traditional Arabic" w:hAnsi="Traditional Arabic" w:cs="Traditional Arabic"/>
          <w:sz w:val="28"/>
          <w:szCs w:val="28"/>
          <w:lang w:bidi="ar-EG"/>
        </w:rPr>
        <w:lastRenderedPageBreak/>
        <w:t xml:space="preserve">Projects. </w:t>
      </w:r>
      <w:r w:rsidRPr="0076197C">
        <w:rPr>
          <w:rFonts w:ascii="Traditional Arabic" w:hAnsi="Traditional Arabic" w:cs="Traditional Arabic"/>
          <w:i/>
          <w:iCs/>
          <w:sz w:val="28"/>
          <w:szCs w:val="28"/>
          <w:lang w:bidi="ar-EG"/>
        </w:rPr>
        <w:t>Smart Cities, 5</w:t>
      </w:r>
      <w:r w:rsidRPr="0076197C">
        <w:rPr>
          <w:rFonts w:ascii="Traditional Arabic" w:hAnsi="Traditional Arabic" w:cs="Traditional Arabic"/>
          <w:sz w:val="28"/>
          <w:szCs w:val="28"/>
          <w:lang w:bidi="ar-EG"/>
        </w:rPr>
        <w:t xml:space="preserve">(4), 1465-1487. </w:t>
      </w:r>
      <w:hyperlink r:id="rId10" w:tgtFrame="_new" w:history="1">
        <w:r w:rsidRPr="0076197C">
          <w:rPr>
            <w:rStyle w:val="Hyperlink"/>
            <w:rFonts w:ascii="Traditional Arabic" w:hAnsi="Traditional Arabic" w:cs="Traditional Arabic"/>
            <w:sz w:val="28"/>
            <w:szCs w:val="28"/>
            <w:lang w:bidi="ar-EG"/>
          </w:rPr>
          <w:t>https://doi.org/10.3390/smartcities5040075</w:t>
        </w:r>
      </w:hyperlink>
    </w:p>
    <w:p w14:paraId="24DBBB47" w14:textId="77777777" w:rsidR="00BC7853" w:rsidRPr="0076197C" w:rsidRDefault="00BC7853" w:rsidP="00BC7853">
      <w:pPr>
        <w:pStyle w:val="ListParagraph"/>
        <w:numPr>
          <w:ilvl w:val="0"/>
          <w:numId w:val="47"/>
        </w:numPr>
        <w:spacing w:line="480" w:lineRule="auto"/>
        <w:rPr>
          <w:rFonts w:ascii="Traditional Arabic" w:hAnsi="Traditional Arabic" w:cs="Traditional Arabic"/>
          <w:sz w:val="28"/>
          <w:szCs w:val="28"/>
          <w:rtl/>
          <w:lang w:bidi="ar-EG"/>
        </w:rPr>
      </w:pPr>
      <w:proofErr w:type="spellStart"/>
      <w:r w:rsidRPr="0076197C">
        <w:rPr>
          <w:rFonts w:ascii="Traditional Arabic" w:hAnsi="Traditional Arabic" w:cs="Traditional Arabic"/>
          <w:sz w:val="28"/>
          <w:szCs w:val="28"/>
          <w:lang w:bidi="ar-EG"/>
        </w:rPr>
        <w:t>Alazmi</w:t>
      </w:r>
      <w:proofErr w:type="spellEnd"/>
      <w:r w:rsidRPr="0076197C">
        <w:rPr>
          <w:rFonts w:ascii="Traditional Arabic" w:hAnsi="Traditional Arabic" w:cs="Traditional Arabic"/>
          <w:sz w:val="28"/>
          <w:szCs w:val="28"/>
          <w:lang w:bidi="ar-EG"/>
        </w:rPr>
        <w:t xml:space="preserve">, S., </w:t>
      </w:r>
      <w:proofErr w:type="spellStart"/>
      <w:r w:rsidRPr="0076197C">
        <w:rPr>
          <w:rFonts w:ascii="Traditional Arabic" w:hAnsi="Traditional Arabic" w:cs="Traditional Arabic"/>
          <w:sz w:val="28"/>
          <w:szCs w:val="28"/>
          <w:lang w:bidi="ar-EG"/>
        </w:rPr>
        <w:t>Abdelmegid</w:t>
      </w:r>
      <w:proofErr w:type="spellEnd"/>
      <w:r w:rsidRPr="0076197C">
        <w:rPr>
          <w:rFonts w:ascii="Traditional Arabic" w:hAnsi="Traditional Arabic" w:cs="Traditional Arabic"/>
          <w:sz w:val="28"/>
          <w:szCs w:val="28"/>
          <w:lang w:bidi="ar-EG"/>
        </w:rPr>
        <w:t xml:space="preserve">, M., Sarhan, S., </w:t>
      </w:r>
      <w:proofErr w:type="spellStart"/>
      <w:r w:rsidRPr="0076197C">
        <w:rPr>
          <w:rFonts w:ascii="Traditional Arabic" w:hAnsi="Traditional Arabic" w:cs="Traditional Arabic"/>
          <w:sz w:val="28"/>
          <w:szCs w:val="28"/>
          <w:lang w:bidi="ar-EG"/>
        </w:rPr>
        <w:t>Poshdar</w:t>
      </w:r>
      <w:proofErr w:type="spellEnd"/>
      <w:r w:rsidRPr="0076197C">
        <w:rPr>
          <w:rFonts w:ascii="Traditional Arabic" w:hAnsi="Traditional Arabic" w:cs="Traditional Arabic"/>
          <w:sz w:val="28"/>
          <w:szCs w:val="28"/>
          <w:lang w:bidi="ar-EG"/>
        </w:rPr>
        <w:t xml:space="preserve">, M., Gonzalez, V., &amp; Bidhendi, A. (2025). An integrated framework to improve waste management practices and environmental awareness in the Saudi construction industry. Cleaner Waste Systems, 10, 100195. </w:t>
      </w:r>
      <w:hyperlink r:id="rId11" w:history="1">
        <w:r w:rsidRPr="0076197C">
          <w:rPr>
            <w:rStyle w:val="Hyperlink"/>
            <w:rFonts w:ascii="Traditional Arabic" w:hAnsi="Traditional Arabic" w:cs="Traditional Arabic"/>
            <w:sz w:val="28"/>
            <w:szCs w:val="28"/>
            <w:lang w:bidi="ar-EG"/>
          </w:rPr>
          <w:t>https://doi.org/10.1016/j.chwas.2024.100195</w:t>
        </w:r>
      </w:hyperlink>
    </w:p>
    <w:p w14:paraId="1CAC4D17" w14:textId="77777777" w:rsidR="00BC7853" w:rsidRPr="0076197C" w:rsidRDefault="00BC7853" w:rsidP="00BC7853">
      <w:pPr>
        <w:pStyle w:val="ListParagraph"/>
        <w:numPr>
          <w:ilvl w:val="0"/>
          <w:numId w:val="47"/>
        </w:numPr>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lang w:bidi="ar-EG"/>
        </w:rPr>
        <w:t xml:space="preserve">Alfalah, G., </w:t>
      </w:r>
      <w:proofErr w:type="spellStart"/>
      <w:r w:rsidRPr="0076197C">
        <w:rPr>
          <w:rFonts w:ascii="Traditional Arabic" w:hAnsi="Traditional Arabic" w:cs="Traditional Arabic"/>
          <w:sz w:val="28"/>
          <w:szCs w:val="28"/>
          <w:lang w:bidi="ar-EG"/>
        </w:rPr>
        <w:t>Aldajani</w:t>
      </w:r>
      <w:proofErr w:type="spellEnd"/>
      <w:r w:rsidRPr="0076197C">
        <w:rPr>
          <w:rFonts w:ascii="Traditional Arabic" w:hAnsi="Traditional Arabic" w:cs="Traditional Arabic"/>
          <w:sz w:val="28"/>
          <w:szCs w:val="28"/>
          <w:lang w:bidi="ar-EG"/>
        </w:rPr>
        <w:t xml:space="preserve">, S., </w:t>
      </w:r>
      <w:proofErr w:type="spellStart"/>
      <w:r w:rsidRPr="0076197C">
        <w:rPr>
          <w:rFonts w:ascii="Traditional Arabic" w:hAnsi="Traditional Arabic" w:cs="Traditional Arabic"/>
          <w:sz w:val="28"/>
          <w:szCs w:val="28"/>
          <w:lang w:bidi="ar-EG"/>
        </w:rPr>
        <w:t>Elshaboury</w:t>
      </w:r>
      <w:proofErr w:type="spellEnd"/>
      <w:r w:rsidRPr="0076197C">
        <w:rPr>
          <w:rFonts w:ascii="Traditional Arabic" w:hAnsi="Traditional Arabic" w:cs="Traditional Arabic"/>
          <w:sz w:val="28"/>
          <w:szCs w:val="28"/>
          <w:lang w:bidi="ar-EG"/>
        </w:rPr>
        <w:t>, N., Al-</w:t>
      </w:r>
      <w:proofErr w:type="spellStart"/>
      <w:r w:rsidRPr="0076197C">
        <w:rPr>
          <w:rFonts w:ascii="Traditional Arabic" w:hAnsi="Traditional Arabic" w:cs="Traditional Arabic"/>
          <w:sz w:val="28"/>
          <w:szCs w:val="28"/>
          <w:lang w:bidi="ar-EG"/>
        </w:rPr>
        <w:t>Sakkaf</w:t>
      </w:r>
      <w:proofErr w:type="spellEnd"/>
      <w:r w:rsidRPr="0076197C">
        <w:rPr>
          <w:rFonts w:ascii="Traditional Arabic" w:hAnsi="Traditional Arabic" w:cs="Traditional Arabic"/>
          <w:sz w:val="28"/>
          <w:szCs w:val="28"/>
          <w:lang w:bidi="ar-EG"/>
        </w:rPr>
        <w:t xml:space="preserve">, A., &amp; </w:t>
      </w:r>
      <w:proofErr w:type="spellStart"/>
      <w:r w:rsidRPr="0076197C">
        <w:rPr>
          <w:rFonts w:ascii="Traditional Arabic" w:hAnsi="Traditional Arabic" w:cs="Traditional Arabic"/>
          <w:sz w:val="28"/>
          <w:szCs w:val="28"/>
          <w:lang w:bidi="ar-EG"/>
        </w:rPr>
        <w:t>Alshamrani</w:t>
      </w:r>
      <w:proofErr w:type="spellEnd"/>
      <w:r w:rsidRPr="0076197C">
        <w:rPr>
          <w:rFonts w:ascii="Traditional Arabic" w:hAnsi="Traditional Arabic" w:cs="Traditional Arabic"/>
          <w:sz w:val="28"/>
          <w:szCs w:val="28"/>
          <w:lang w:bidi="ar-EG"/>
        </w:rPr>
        <w:t xml:space="preserve">, O. (2024). Development of a Performance Assessment Model for Contractors in Saudi Arabian Construction Projects. Advances in Civil Engineering, 2024, 1–17. </w:t>
      </w:r>
      <w:hyperlink r:id="rId12" w:history="1">
        <w:r w:rsidRPr="0076197C">
          <w:rPr>
            <w:rStyle w:val="Hyperlink"/>
            <w:rFonts w:ascii="Traditional Arabic" w:hAnsi="Traditional Arabic" w:cs="Traditional Arabic"/>
            <w:sz w:val="28"/>
            <w:szCs w:val="28"/>
            <w:lang w:bidi="ar-EG"/>
          </w:rPr>
          <w:t>https://doi.org/10.1155/2024/8780539</w:t>
        </w:r>
      </w:hyperlink>
    </w:p>
    <w:p w14:paraId="19162AF9" w14:textId="77777777" w:rsidR="00BC7853" w:rsidRPr="0076197C" w:rsidRDefault="00BC7853" w:rsidP="00BC7853">
      <w:pPr>
        <w:numPr>
          <w:ilvl w:val="0"/>
          <w:numId w:val="47"/>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t>Alghuried</w:t>
      </w:r>
      <w:proofErr w:type="spellEnd"/>
      <w:r w:rsidRPr="0076197C">
        <w:rPr>
          <w:rFonts w:ascii="Traditional Arabic" w:hAnsi="Traditional Arabic" w:cs="Traditional Arabic"/>
          <w:sz w:val="28"/>
          <w:szCs w:val="28"/>
          <w:lang w:bidi="ar-EG"/>
        </w:rPr>
        <w:t xml:space="preserve">, A. (2023). Measuring the Benefits and Barriers of the Implementation of BIM in Sustainable Practice in the Construction Industry of Saudi Arabia. </w:t>
      </w:r>
      <w:r w:rsidRPr="0076197C">
        <w:rPr>
          <w:rFonts w:ascii="Traditional Arabic" w:hAnsi="Traditional Arabic" w:cs="Traditional Arabic"/>
          <w:i/>
          <w:iCs/>
          <w:sz w:val="28"/>
          <w:szCs w:val="28"/>
          <w:lang w:bidi="ar-EG"/>
        </w:rPr>
        <w:t>Sustainability, 15</w:t>
      </w:r>
      <w:r w:rsidRPr="0076197C">
        <w:rPr>
          <w:rFonts w:ascii="Traditional Arabic" w:hAnsi="Traditional Arabic" w:cs="Traditional Arabic"/>
          <w:sz w:val="28"/>
          <w:szCs w:val="28"/>
          <w:lang w:bidi="ar-EG"/>
        </w:rPr>
        <w:t xml:space="preserve">(19), 14323. </w:t>
      </w:r>
      <w:hyperlink r:id="rId13" w:tgtFrame="_new" w:history="1">
        <w:r w:rsidRPr="0076197C">
          <w:rPr>
            <w:rStyle w:val="Hyperlink"/>
            <w:rFonts w:ascii="Traditional Arabic" w:hAnsi="Traditional Arabic" w:cs="Traditional Arabic"/>
            <w:sz w:val="28"/>
            <w:szCs w:val="28"/>
            <w:lang w:bidi="ar-EG"/>
          </w:rPr>
          <w:t>https://doi.org/10.3390/su151914323</w:t>
        </w:r>
      </w:hyperlink>
    </w:p>
    <w:p w14:paraId="027B4E1B"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lastRenderedPageBreak/>
        <w:t>Alghuried</w:t>
      </w:r>
      <w:proofErr w:type="spellEnd"/>
      <w:r w:rsidRPr="0076197C">
        <w:rPr>
          <w:rFonts w:ascii="Traditional Arabic" w:hAnsi="Traditional Arabic" w:cs="Traditional Arabic"/>
          <w:sz w:val="28"/>
          <w:szCs w:val="28"/>
          <w:lang w:bidi="ar-EG"/>
        </w:rPr>
        <w:t xml:space="preserve">, A. (2025). Assessing the critical success factors for the sustainable construction project management of Saudi Arabia. </w:t>
      </w:r>
      <w:r w:rsidRPr="0076197C">
        <w:rPr>
          <w:rFonts w:ascii="Traditional Arabic" w:hAnsi="Traditional Arabic" w:cs="Traditional Arabic"/>
          <w:i/>
          <w:iCs/>
          <w:sz w:val="28"/>
          <w:szCs w:val="28"/>
          <w:lang w:bidi="ar-EG"/>
        </w:rPr>
        <w:t>Journal of Asian Architecture and Building Engineering</w:t>
      </w:r>
      <w:r w:rsidRPr="0076197C">
        <w:rPr>
          <w:rFonts w:ascii="Traditional Arabic" w:hAnsi="Traditional Arabic" w:cs="Traditional Arabic"/>
          <w:sz w:val="28"/>
          <w:szCs w:val="28"/>
          <w:lang w:bidi="ar-EG"/>
        </w:rPr>
        <w:t xml:space="preserve">. </w:t>
      </w:r>
      <w:hyperlink r:id="rId14" w:tgtFrame="_new" w:history="1">
        <w:r w:rsidRPr="0076197C">
          <w:rPr>
            <w:rStyle w:val="Hyperlink"/>
            <w:rFonts w:ascii="Traditional Arabic" w:hAnsi="Traditional Arabic" w:cs="Traditional Arabic"/>
            <w:sz w:val="28"/>
            <w:szCs w:val="28"/>
            <w:lang w:bidi="ar-EG"/>
          </w:rPr>
          <w:t>https://doi.org/10.1080/13467581.2025.2454616</w:t>
        </w:r>
      </w:hyperlink>
    </w:p>
    <w:p w14:paraId="4F700566" w14:textId="77777777" w:rsidR="00BC7853" w:rsidRPr="0076197C" w:rsidRDefault="00BC7853" w:rsidP="00BC7853">
      <w:pPr>
        <w:pStyle w:val="ListParagraph"/>
        <w:numPr>
          <w:ilvl w:val="0"/>
          <w:numId w:val="47"/>
        </w:numPr>
        <w:spacing w:line="480" w:lineRule="auto"/>
        <w:rPr>
          <w:rFonts w:ascii="Traditional Arabic" w:hAnsi="Traditional Arabic" w:cs="Traditional Arabic"/>
          <w:sz w:val="28"/>
          <w:szCs w:val="28"/>
          <w:rtl/>
          <w:lang w:bidi="ar-EG"/>
        </w:rPr>
      </w:pPr>
      <w:proofErr w:type="spellStart"/>
      <w:r w:rsidRPr="0076197C">
        <w:rPr>
          <w:rFonts w:ascii="Traditional Arabic" w:hAnsi="Traditional Arabic" w:cs="Traditional Arabic"/>
          <w:sz w:val="28"/>
          <w:szCs w:val="28"/>
          <w:lang w:bidi="ar-EG"/>
        </w:rPr>
        <w:t>Almahmoud</w:t>
      </w:r>
      <w:proofErr w:type="spellEnd"/>
      <w:r w:rsidRPr="0076197C">
        <w:rPr>
          <w:rFonts w:ascii="Traditional Arabic" w:hAnsi="Traditional Arabic" w:cs="Traditional Arabic"/>
          <w:sz w:val="28"/>
          <w:szCs w:val="28"/>
          <w:lang w:bidi="ar-EG"/>
        </w:rPr>
        <w:t xml:space="preserve">, E. S., </w:t>
      </w:r>
      <w:proofErr w:type="spellStart"/>
      <w:r w:rsidRPr="0076197C">
        <w:rPr>
          <w:rFonts w:ascii="Traditional Arabic" w:hAnsi="Traditional Arabic" w:cs="Traditional Arabic"/>
          <w:sz w:val="28"/>
          <w:szCs w:val="28"/>
          <w:lang w:bidi="ar-EG"/>
        </w:rPr>
        <w:t>Doloi</w:t>
      </w:r>
      <w:proofErr w:type="spellEnd"/>
      <w:r w:rsidRPr="0076197C">
        <w:rPr>
          <w:rFonts w:ascii="Traditional Arabic" w:hAnsi="Traditional Arabic" w:cs="Traditional Arabic"/>
          <w:sz w:val="28"/>
          <w:szCs w:val="28"/>
          <w:lang w:bidi="ar-EG"/>
        </w:rPr>
        <w:t xml:space="preserve">, H. K., &amp; </w:t>
      </w:r>
      <w:proofErr w:type="spellStart"/>
      <w:r w:rsidRPr="0076197C">
        <w:rPr>
          <w:rFonts w:ascii="Traditional Arabic" w:hAnsi="Traditional Arabic" w:cs="Traditional Arabic"/>
          <w:sz w:val="28"/>
          <w:szCs w:val="28"/>
          <w:lang w:bidi="ar-EG"/>
        </w:rPr>
        <w:t>Panuwatwanich</w:t>
      </w:r>
      <w:proofErr w:type="spellEnd"/>
      <w:r w:rsidRPr="0076197C">
        <w:rPr>
          <w:rFonts w:ascii="Traditional Arabic" w:hAnsi="Traditional Arabic" w:cs="Traditional Arabic"/>
          <w:sz w:val="28"/>
          <w:szCs w:val="28"/>
          <w:lang w:bidi="ar-EG"/>
        </w:rPr>
        <w:t xml:space="preserve">, K. (2012). Linking project health to project performance indicators: Multiple case studies of construction projects in Saudi Arabia. International Journal of Project Management, 30(3), 296-307. </w:t>
      </w:r>
      <w:hyperlink r:id="rId15" w:history="1">
        <w:r w:rsidRPr="0076197C">
          <w:rPr>
            <w:rStyle w:val="Hyperlink"/>
            <w:rFonts w:ascii="Traditional Arabic" w:hAnsi="Traditional Arabic" w:cs="Traditional Arabic"/>
            <w:sz w:val="28"/>
            <w:szCs w:val="28"/>
            <w:lang w:bidi="ar-EG"/>
          </w:rPr>
          <w:t>https://doi.org/10.1016/j.ijproman.2011.07.001</w:t>
        </w:r>
      </w:hyperlink>
    </w:p>
    <w:p w14:paraId="178BFE9D" w14:textId="77777777" w:rsidR="00BC7853" w:rsidRPr="0076197C" w:rsidRDefault="00BC7853" w:rsidP="00BC7853">
      <w:pPr>
        <w:numPr>
          <w:ilvl w:val="0"/>
          <w:numId w:val="47"/>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Al-Otaibi, A., Bowan, P. A., </w:t>
      </w:r>
      <w:proofErr w:type="spellStart"/>
      <w:r w:rsidRPr="0076197C">
        <w:rPr>
          <w:rFonts w:ascii="Traditional Arabic" w:hAnsi="Traditional Arabic" w:cs="Traditional Arabic"/>
          <w:sz w:val="28"/>
          <w:szCs w:val="28"/>
          <w:lang w:bidi="ar-EG"/>
        </w:rPr>
        <w:t>Alabdullatief</w:t>
      </w:r>
      <w:proofErr w:type="spellEnd"/>
      <w:r w:rsidRPr="0076197C">
        <w:rPr>
          <w:rFonts w:ascii="Traditional Arabic" w:hAnsi="Traditional Arabic" w:cs="Traditional Arabic"/>
          <w:sz w:val="28"/>
          <w:szCs w:val="28"/>
          <w:lang w:bidi="ar-EG"/>
        </w:rPr>
        <w:t xml:space="preserve">, A., </w:t>
      </w:r>
      <w:proofErr w:type="spellStart"/>
      <w:r w:rsidRPr="0076197C">
        <w:rPr>
          <w:rFonts w:ascii="Traditional Arabic" w:hAnsi="Traditional Arabic" w:cs="Traditional Arabic"/>
          <w:sz w:val="28"/>
          <w:szCs w:val="28"/>
          <w:lang w:bidi="ar-EG"/>
        </w:rPr>
        <w:t>Albaiz</w:t>
      </w:r>
      <w:proofErr w:type="spellEnd"/>
      <w:r w:rsidRPr="0076197C">
        <w:rPr>
          <w:rFonts w:ascii="Traditional Arabic" w:hAnsi="Traditional Arabic" w:cs="Traditional Arabic"/>
          <w:sz w:val="28"/>
          <w:szCs w:val="28"/>
          <w:lang w:bidi="ar-EG"/>
        </w:rPr>
        <w:t xml:space="preserve">, M., &amp; Salah, M. (2025). Barriers to Sustainable Building Project Performance in Developing Countries: A Case of Ghana and the Kingdom of Saudi Arabia. </w:t>
      </w:r>
      <w:r w:rsidRPr="0076197C">
        <w:rPr>
          <w:rFonts w:ascii="Traditional Arabic" w:hAnsi="Traditional Arabic" w:cs="Traditional Arabic"/>
          <w:i/>
          <w:iCs/>
          <w:sz w:val="28"/>
          <w:szCs w:val="28"/>
          <w:lang w:bidi="ar-EG"/>
        </w:rPr>
        <w:t>Sustainability, 17</w:t>
      </w:r>
      <w:r w:rsidRPr="0076197C">
        <w:rPr>
          <w:rFonts w:ascii="Traditional Arabic" w:hAnsi="Traditional Arabic" w:cs="Traditional Arabic"/>
          <w:sz w:val="28"/>
          <w:szCs w:val="28"/>
          <w:lang w:bidi="ar-EG"/>
        </w:rPr>
        <w:t xml:space="preserve">(8), 3539. </w:t>
      </w:r>
      <w:hyperlink r:id="rId16" w:tgtFrame="_new" w:history="1">
        <w:r w:rsidRPr="0076197C">
          <w:rPr>
            <w:rStyle w:val="Hyperlink"/>
            <w:rFonts w:ascii="Traditional Arabic" w:hAnsi="Traditional Arabic" w:cs="Traditional Arabic"/>
            <w:sz w:val="28"/>
            <w:szCs w:val="28"/>
            <w:lang w:bidi="ar-EG"/>
          </w:rPr>
          <w:t>https://doi.org/10.3390/su17083539</w:t>
        </w:r>
      </w:hyperlink>
    </w:p>
    <w:p w14:paraId="70B38E5F"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t>Alshihri</w:t>
      </w:r>
      <w:proofErr w:type="spellEnd"/>
      <w:r w:rsidRPr="0076197C">
        <w:rPr>
          <w:rFonts w:ascii="Traditional Arabic" w:hAnsi="Traditional Arabic" w:cs="Traditional Arabic"/>
          <w:sz w:val="28"/>
          <w:szCs w:val="28"/>
          <w:lang w:bidi="ar-EG"/>
        </w:rPr>
        <w:t>, S., Al-</w:t>
      </w:r>
      <w:proofErr w:type="spellStart"/>
      <w:r w:rsidRPr="0076197C">
        <w:rPr>
          <w:rFonts w:ascii="Traditional Arabic" w:hAnsi="Traditional Arabic" w:cs="Traditional Arabic"/>
          <w:sz w:val="28"/>
          <w:szCs w:val="28"/>
          <w:lang w:bidi="ar-EG"/>
        </w:rPr>
        <w:t>Gahtani</w:t>
      </w:r>
      <w:proofErr w:type="spellEnd"/>
      <w:r w:rsidRPr="0076197C">
        <w:rPr>
          <w:rFonts w:ascii="Traditional Arabic" w:hAnsi="Traditional Arabic" w:cs="Traditional Arabic"/>
          <w:sz w:val="28"/>
          <w:szCs w:val="28"/>
          <w:lang w:bidi="ar-EG"/>
        </w:rPr>
        <w:t xml:space="preserve">, K., &amp; </w:t>
      </w:r>
      <w:proofErr w:type="spellStart"/>
      <w:r w:rsidRPr="0076197C">
        <w:rPr>
          <w:rFonts w:ascii="Traditional Arabic" w:hAnsi="Traditional Arabic" w:cs="Traditional Arabic"/>
          <w:sz w:val="28"/>
          <w:szCs w:val="28"/>
          <w:lang w:bidi="ar-EG"/>
        </w:rPr>
        <w:t>Almohsen</w:t>
      </w:r>
      <w:proofErr w:type="spellEnd"/>
      <w:r w:rsidRPr="0076197C">
        <w:rPr>
          <w:rFonts w:ascii="Traditional Arabic" w:hAnsi="Traditional Arabic" w:cs="Traditional Arabic"/>
          <w:sz w:val="28"/>
          <w:szCs w:val="28"/>
          <w:lang w:bidi="ar-EG"/>
        </w:rPr>
        <w:t xml:space="preserve">, A. (2022). Risk Factors That Lead to Time and Cost Overruns of Building Projects in Saudi </w:t>
      </w:r>
      <w:r w:rsidRPr="0076197C">
        <w:rPr>
          <w:rFonts w:ascii="Traditional Arabic" w:hAnsi="Traditional Arabic" w:cs="Traditional Arabic"/>
          <w:sz w:val="28"/>
          <w:szCs w:val="28"/>
          <w:lang w:bidi="ar-EG"/>
        </w:rPr>
        <w:lastRenderedPageBreak/>
        <w:t xml:space="preserve">Arabia. </w:t>
      </w:r>
      <w:r w:rsidRPr="0076197C">
        <w:rPr>
          <w:rFonts w:ascii="Traditional Arabic" w:hAnsi="Traditional Arabic" w:cs="Traditional Arabic"/>
          <w:i/>
          <w:iCs/>
          <w:sz w:val="28"/>
          <w:szCs w:val="28"/>
          <w:lang w:bidi="ar-EG"/>
        </w:rPr>
        <w:t>Buildings, 12</w:t>
      </w:r>
      <w:r w:rsidRPr="0076197C">
        <w:rPr>
          <w:rFonts w:ascii="Traditional Arabic" w:hAnsi="Traditional Arabic" w:cs="Traditional Arabic"/>
          <w:sz w:val="28"/>
          <w:szCs w:val="28"/>
          <w:lang w:bidi="ar-EG"/>
        </w:rPr>
        <w:t xml:space="preserve">(7), 902. </w:t>
      </w:r>
      <w:hyperlink r:id="rId17" w:tgtFrame="_new" w:history="1">
        <w:r w:rsidRPr="0076197C">
          <w:rPr>
            <w:rStyle w:val="Hyperlink"/>
            <w:rFonts w:ascii="Traditional Arabic" w:hAnsi="Traditional Arabic" w:cs="Traditional Arabic"/>
            <w:sz w:val="28"/>
            <w:szCs w:val="28"/>
            <w:lang w:bidi="ar-EG"/>
          </w:rPr>
          <w:t>https://doi.org/10.3390/buildings12070902</w:t>
        </w:r>
      </w:hyperlink>
    </w:p>
    <w:p w14:paraId="3369BB56"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Al-Yami, A. M. H. (2008). </w:t>
      </w:r>
      <w:r w:rsidRPr="0076197C">
        <w:rPr>
          <w:rFonts w:ascii="Traditional Arabic" w:hAnsi="Traditional Arabic" w:cs="Traditional Arabic"/>
          <w:i/>
          <w:iCs/>
          <w:sz w:val="28"/>
          <w:szCs w:val="28"/>
          <w:lang w:bidi="ar-EG"/>
        </w:rPr>
        <w:t>An Integrated Approach to Value Management and Sustainable Construction during Strategic Briefing in Saudi Construction Projects</w:t>
      </w:r>
      <w:r w:rsidRPr="0076197C">
        <w:rPr>
          <w:rFonts w:ascii="Traditional Arabic" w:hAnsi="Traditional Arabic" w:cs="Traditional Arabic"/>
          <w:sz w:val="28"/>
          <w:szCs w:val="28"/>
          <w:lang w:bidi="ar-EG"/>
        </w:rPr>
        <w:t xml:space="preserve"> (Doctoral thesis, Loughborough University).</w:t>
      </w:r>
    </w:p>
    <w:p w14:paraId="7A44B093"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Asiri, A. N. M., &amp; Al Mazhar, M. K. (2025). Optimizing Construction Project Performance </w:t>
      </w:r>
      <w:proofErr w:type="gramStart"/>
      <w:r w:rsidRPr="0076197C">
        <w:rPr>
          <w:rFonts w:ascii="Traditional Arabic" w:hAnsi="Traditional Arabic" w:cs="Traditional Arabic"/>
          <w:sz w:val="28"/>
          <w:szCs w:val="28"/>
          <w:lang w:bidi="ar-EG"/>
        </w:rPr>
        <w:t>In</w:t>
      </w:r>
      <w:proofErr w:type="gramEnd"/>
      <w:r w:rsidRPr="0076197C">
        <w:rPr>
          <w:rFonts w:ascii="Traditional Arabic" w:hAnsi="Traditional Arabic" w:cs="Traditional Arabic"/>
          <w:sz w:val="28"/>
          <w:szCs w:val="28"/>
          <w:lang w:bidi="ar-EG"/>
        </w:rPr>
        <w:t xml:space="preserve"> Asir, Saudi Arabia: A KPI Perspective. </w:t>
      </w:r>
      <w:r w:rsidRPr="0076197C">
        <w:rPr>
          <w:rFonts w:ascii="Traditional Arabic" w:hAnsi="Traditional Arabic" w:cs="Traditional Arabic"/>
          <w:i/>
          <w:iCs/>
          <w:sz w:val="28"/>
          <w:szCs w:val="28"/>
          <w:lang w:bidi="ar-EG"/>
        </w:rPr>
        <w:t>Metallurgical and Materials Engineering</w:t>
      </w:r>
      <w:r w:rsidRPr="0076197C">
        <w:rPr>
          <w:rFonts w:ascii="Traditional Arabic" w:hAnsi="Traditional Arabic" w:cs="Traditional Arabic"/>
          <w:sz w:val="28"/>
          <w:szCs w:val="28"/>
          <w:lang w:bidi="ar-EG"/>
        </w:rPr>
        <w:t xml:space="preserve">, 430-445. </w:t>
      </w:r>
      <w:hyperlink r:id="rId18" w:tgtFrame="_new" w:history="1">
        <w:r w:rsidRPr="0076197C">
          <w:rPr>
            <w:rStyle w:val="Hyperlink"/>
            <w:rFonts w:ascii="Traditional Arabic" w:hAnsi="Traditional Arabic" w:cs="Traditional Arabic"/>
            <w:sz w:val="28"/>
            <w:szCs w:val="28"/>
            <w:lang w:bidi="ar-EG"/>
          </w:rPr>
          <w:t>https://doi.org/10.63278/mme.vi.1598</w:t>
        </w:r>
      </w:hyperlink>
    </w:p>
    <w:p w14:paraId="3836EB8B"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Azmi, N. A., Sweis, G., Sweis, R., &amp; Sammour, F. (2022). Exploring Implementation of Blockchain for the Supply Chain Resilience and Sustainability of the Construction Industry in Saudi Arabia. </w:t>
      </w:r>
      <w:r w:rsidRPr="0076197C">
        <w:rPr>
          <w:rFonts w:ascii="Traditional Arabic" w:hAnsi="Traditional Arabic" w:cs="Traditional Arabic"/>
          <w:i/>
          <w:iCs/>
          <w:sz w:val="28"/>
          <w:szCs w:val="28"/>
          <w:lang w:bidi="ar-EG"/>
        </w:rPr>
        <w:t>Sustainability, 14</w:t>
      </w:r>
      <w:r w:rsidRPr="0076197C">
        <w:rPr>
          <w:rFonts w:ascii="Traditional Arabic" w:hAnsi="Traditional Arabic" w:cs="Traditional Arabic"/>
          <w:sz w:val="28"/>
          <w:szCs w:val="28"/>
          <w:lang w:bidi="ar-EG"/>
        </w:rPr>
        <w:t xml:space="preserve">(11), 6427. </w:t>
      </w:r>
      <w:hyperlink r:id="rId19" w:tgtFrame="_new" w:history="1">
        <w:r w:rsidRPr="0076197C">
          <w:rPr>
            <w:rStyle w:val="Hyperlink"/>
            <w:rFonts w:ascii="Traditional Arabic" w:hAnsi="Traditional Arabic" w:cs="Traditional Arabic"/>
            <w:sz w:val="28"/>
            <w:szCs w:val="28"/>
            <w:lang w:bidi="ar-EG"/>
          </w:rPr>
          <w:t>https://doi.org/10.3390/su14116427</w:t>
        </w:r>
      </w:hyperlink>
    </w:p>
    <w:p w14:paraId="2DF6FBF4"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lastRenderedPageBreak/>
        <w:t>Jamoussi, B., Abu-</w:t>
      </w:r>
      <w:proofErr w:type="spellStart"/>
      <w:r w:rsidRPr="0076197C">
        <w:rPr>
          <w:rFonts w:ascii="Traditional Arabic" w:hAnsi="Traditional Arabic" w:cs="Traditional Arabic"/>
          <w:sz w:val="28"/>
          <w:szCs w:val="28"/>
          <w:lang w:bidi="ar-EG"/>
        </w:rPr>
        <w:t>Rizaiza</w:t>
      </w:r>
      <w:proofErr w:type="spellEnd"/>
      <w:r w:rsidRPr="0076197C">
        <w:rPr>
          <w:rFonts w:ascii="Traditional Arabic" w:hAnsi="Traditional Arabic" w:cs="Traditional Arabic"/>
          <w:sz w:val="28"/>
          <w:szCs w:val="28"/>
          <w:lang w:bidi="ar-EG"/>
        </w:rPr>
        <w:t>, A., &amp; AL-</w:t>
      </w:r>
      <w:proofErr w:type="spellStart"/>
      <w:r w:rsidRPr="0076197C">
        <w:rPr>
          <w:rFonts w:ascii="Traditional Arabic" w:hAnsi="Traditional Arabic" w:cs="Traditional Arabic"/>
          <w:sz w:val="28"/>
          <w:szCs w:val="28"/>
          <w:lang w:bidi="ar-EG"/>
        </w:rPr>
        <w:t>Haij</w:t>
      </w:r>
      <w:proofErr w:type="spellEnd"/>
      <w:r w:rsidRPr="0076197C">
        <w:rPr>
          <w:rFonts w:ascii="Traditional Arabic" w:hAnsi="Traditional Arabic" w:cs="Traditional Arabic"/>
          <w:sz w:val="28"/>
          <w:szCs w:val="28"/>
          <w:lang w:bidi="ar-EG"/>
        </w:rPr>
        <w:t xml:space="preserve">, A. (2022). Sustainable Building Standards, Codes and Certification Systems: The Status Quo and Future Directions in Saudi Arabia. </w:t>
      </w:r>
      <w:r w:rsidRPr="0076197C">
        <w:rPr>
          <w:rFonts w:ascii="Traditional Arabic" w:hAnsi="Traditional Arabic" w:cs="Traditional Arabic"/>
          <w:i/>
          <w:iCs/>
          <w:sz w:val="28"/>
          <w:szCs w:val="28"/>
          <w:lang w:bidi="ar-EG"/>
        </w:rPr>
        <w:t>Sustainability, 14</w:t>
      </w:r>
      <w:r w:rsidRPr="0076197C">
        <w:rPr>
          <w:rFonts w:ascii="Traditional Arabic" w:hAnsi="Traditional Arabic" w:cs="Traditional Arabic"/>
          <w:sz w:val="28"/>
          <w:szCs w:val="28"/>
          <w:lang w:bidi="ar-EG"/>
        </w:rPr>
        <w:t xml:space="preserve">(16), 10314. </w:t>
      </w:r>
      <w:hyperlink r:id="rId20" w:tgtFrame="_new" w:history="1">
        <w:r w:rsidRPr="0076197C">
          <w:rPr>
            <w:rStyle w:val="Hyperlink"/>
            <w:rFonts w:ascii="Traditional Arabic" w:hAnsi="Traditional Arabic" w:cs="Traditional Arabic"/>
            <w:sz w:val="28"/>
            <w:szCs w:val="28"/>
            <w:lang w:bidi="ar-EG"/>
          </w:rPr>
          <w:t>https://doi.org/10.3390/su141610314</w:t>
        </w:r>
      </w:hyperlink>
    </w:p>
    <w:p w14:paraId="772C8BEA"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Kiani Mavi, R., </w:t>
      </w:r>
      <w:proofErr w:type="spellStart"/>
      <w:r w:rsidRPr="0076197C">
        <w:rPr>
          <w:rFonts w:ascii="Traditional Arabic" w:hAnsi="Traditional Arabic" w:cs="Traditional Arabic"/>
          <w:sz w:val="28"/>
          <w:szCs w:val="28"/>
          <w:lang w:bidi="ar-EG"/>
        </w:rPr>
        <w:t>Gengatharen</w:t>
      </w:r>
      <w:proofErr w:type="spellEnd"/>
      <w:r w:rsidRPr="0076197C">
        <w:rPr>
          <w:rFonts w:ascii="Traditional Arabic" w:hAnsi="Traditional Arabic" w:cs="Traditional Arabic"/>
          <w:sz w:val="28"/>
          <w:szCs w:val="28"/>
          <w:lang w:bidi="ar-EG"/>
        </w:rPr>
        <w:t xml:space="preserve">, D., Kiani Mavi, N., Hughes, R., Campbell, A., &amp; Yates, R. (2021). Sustainability in Construction Projects: A Systematic Literature Review. </w:t>
      </w:r>
      <w:r w:rsidRPr="0076197C">
        <w:rPr>
          <w:rFonts w:ascii="Traditional Arabic" w:hAnsi="Traditional Arabic" w:cs="Traditional Arabic"/>
          <w:i/>
          <w:iCs/>
          <w:sz w:val="28"/>
          <w:szCs w:val="28"/>
          <w:lang w:bidi="ar-EG"/>
        </w:rPr>
        <w:t>Sustainability</w:t>
      </w:r>
      <w:r w:rsidRPr="0076197C">
        <w:rPr>
          <w:rFonts w:ascii="Traditional Arabic" w:hAnsi="Traditional Arabic" w:cs="Traditional Arabic"/>
          <w:sz w:val="28"/>
          <w:szCs w:val="28"/>
          <w:lang w:bidi="ar-EG"/>
        </w:rPr>
        <w:t xml:space="preserve">, 13(4), 1932. </w:t>
      </w:r>
      <w:hyperlink r:id="rId21" w:tgtFrame="_new" w:history="1">
        <w:r w:rsidRPr="0076197C">
          <w:rPr>
            <w:rStyle w:val="Hyperlink"/>
            <w:rFonts w:ascii="Traditional Arabic" w:hAnsi="Traditional Arabic" w:cs="Traditional Arabic"/>
            <w:sz w:val="28"/>
            <w:szCs w:val="28"/>
            <w:lang w:bidi="ar-EG"/>
          </w:rPr>
          <w:t>https://doi.org/10.3390/su13041932</w:t>
        </w:r>
      </w:hyperlink>
    </w:p>
    <w:p w14:paraId="03008CC4" w14:textId="77777777" w:rsidR="00BC7853" w:rsidRPr="0076197C" w:rsidRDefault="00BC7853" w:rsidP="00BC7853">
      <w:pPr>
        <w:pStyle w:val="ListParagraph"/>
        <w:numPr>
          <w:ilvl w:val="0"/>
          <w:numId w:val="47"/>
        </w:numPr>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lang w:bidi="ar-EG"/>
        </w:rPr>
        <w:t xml:space="preserve">Kingdom of Saudi Arabia. (2018). </w:t>
      </w:r>
      <w:r w:rsidRPr="0076197C">
        <w:rPr>
          <w:rFonts w:ascii="Traditional Arabic" w:hAnsi="Traditional Arabic" w:cs="Traditional Arabic"/>
          <w:i/>
          <w:iCs/>
          <w:sz w:val="28"/>
          <w:szCs w:val="28"/>
          <w:lang w:bidi="ar-EG"/>
        </w:rPr>
        <w:t>Voluntary National Review 2018: Towards a Sustainable Kingdom of Saudi Arabia.</w:t>
      </w:r>
      <w:r w:rsidRPr="0076197C">
        <w:rPr>
          <w:rFonts w:ascii="Traditional Arabic" w:hAnsi="Traditional Arabic" w:cs="Traditional Arabic"/>
          <w:sz w:val="28"/>
          <w:szCs w:val="28"/>
          <w:lang w:bidi="ar-EG"/>
        </w:rPr>
        <w:t xml:space="preserve"> Ministry of Economy and Planning. </w:t>
      </w:r>
      <w:hyperlink r:id="rId22" w:tgtFrame="_new" w:history="1">
        <w:r w:rsidRPr="0076197C">
          <w:rPr>
            <w:rStyle w:val="Hyperlink"/>
            <w:rFonts w:ascii="Traditional Arabic" w:hAnsi="Traditional Arabic" w:cs="Traditional Arabic"/>
            <w:sz w:val="28"/>
            <w:szCs w:val="28"/>
            <w:lang w:bidi="ar-EG"/>
          </w:rPr>
          <w:t>https://sustainabledevelopment.un.org/content/documents/20230KSA_English_Report_Final_July_9_2018.pdf</w:t>
        </w:r>
      </w:hyperlink>
    </w:p>
    <w:p w14:paraId="4724FF50"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Qazi, A., </w:t>
      </w:r>
      <w:proofErr w:type="spellStart"/>
      <w:r w:rsidRPr="0076197C">
        <w:rPr>
          <w:rFonts w:ascii="Traditional Arabic" w:hAnsi="Traditional Arabic" w:cs="Traditional Arabic"/>
          <w:sz w:val="28"/>
          <w:szCs w:val="28"/>
          <w:lang w:bidi="ar-EG"/>
        </w:rPr>
        <w:t>Shamayleh</w:t>
      </w:r>
      <w:proofErr w:type="spellEnd"/>
      <w:r w:rsidRPr="0076197C">
        <w:rPr>
          <w:rFonts w:ascii="Traditional Arabic" w:hAnsi="Traditional Arabic" w:cs="Traditional Arabic"/>
          <w:sz w:val="28"/>
          <w:szCs w:val="28"/>
          <w:lang w:bidi="ar-EG"/>
        </w:rPr>
        <w:t xml:space="preserve">, A., El-Sayegh, S., &amp; </w:t>
      </w:r>
      <w:proofErr w:type="spellStart"/>
      <w:r w:rsidRPr="0076197C">
        <w:rPr>
          <w:rFonts w:ascii="Traditional Arabic" w:hAnsi="Traditional Arabic" w:cs="Traditional Arabic"/>
          <w:sz w:val="28"/>
          <w:szCs w:val="28"/>
          <w:lang w:bidi="ar-EG"/>
        </w:rPr>
        <w:t>Formaneck</w:t>
      </w:r>
      <w:proofErr w:type="spellEnd"/>
      <w:r w:rsidRPr="0076197C">
        <w:rPr>
          <w:rFonts w:ascii="Traditional Arabic" w:hAnsi="Traditional Arabic" w:cs="Traditional Arabic"/>
          <w:sz w:val="28"/>
          <w:szCs w:val="28"/>
          <w:lang w:bidi="ar-EG"/>
        </w:rPr>
        <w:t xml:space="preserve">, S. (2021). Prioritizing risks in sustainable construction projects using a risk </w:t>
      </w:r>
      <w:r w:rsidRPr="0076197C">
        <w:rPr>
          <w:rFonts w:ascii="Traditional Arabic" w:hAnsi="Traditional Arabic" w:cs="Traditional Arabic"/>
          <w:sz w:val="28"/>
          <w:szCs w:val="28"/>
          <w:lang w:bidi="ar-EG"/>
        </w:rPr>
        <w:lastRenderedPageBreak/>
        <w:t xml:space="preserve">matrix-based Monte Carlo Simulation approach. </w:t>
      </w:r>
      <w:r w:rsidRPr="0076197C">
        <w:rPr>
          <w:rFonts w:ascii="Traditional Arabic" w:hAnsi="Traditional Arabic" w:cs="Traditional Arabic"/>
          <w:i/>
          <w:iCs/>
          <w:sz w:val="28"/>
          <w:szCs w:val="28"/>
          <w:lang w:bidi="ar-EG"/>
        </w:rPr>
        <w:t>Sustainable Cities and Society</w:t>
      </w:r>
      <w:r w:rsidRPr="0076197C">
        <w:rPr>
          <w:rFonts w:ascii="Traditional Arabic" w:hAnsi="Traditional Arabic" w:cs="Traditional Arabic"/>
          <w:sz w:val="28"/>
          <w:szCs w:val="28"/>
          <w:lang w:bidi="ar-EG"/>
        </w:rPr>
        <w:t xml:space="preserve">, 65, 102576. </w:t>
      </w:r>
      <w:hyperlink r:id="rId23" w:tgtFrame="_new" w:history="1">
        <w:r w:rsidRPr="0076197C">
          <w:rPr>
            <w:rStyle w:val="Hyperlink"/>
            <w:rFonts w:ascii="Traditional Arabic" w:hAnsi="Traditional Arabic" w:cs="Traditional Arabic"/>
            <w:sz w:val="28"/>
            <w:szCs w:val="28"/>
            <w:lang w:bidi="ar-EG"/>
          </w:rPr>
          <w:t>https://doi.org/10.1016/j.scs.2020.102576</w:t>
        </w:r>
      </w:hyperlink>
    </w:p>
    <w:p w14:paraId="71637E2C"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Rajabi, S., El-Sayegh, S., &amp; Romdhane, L. (2022). Identification and assessment of sustainability performance indicators for construction projects. </w:t>
      </w:r>
      <w:r w:rsidRPr="0076197C">
        <w:rPr>
          <w:rFonts w:ascii="Traditional Arabic" w:hAnsi="Traditional Arabic" w:cs="Traditional Arabic"/>
          <w:i/>
          <w:iCs/>
          <w:sz w:val="28"/>
          <w:szCs w:val="28"/>
          <w:lang w:bidi="ar-EG"/>
        </w:rPr>
        <w:t>Environmental and Sustainability Indicators</w:t>
      </w:r>
      <w:r w:rsidRPr="0076197C">
        <w:rPr>
          <w:rFonts w:ascii="Traditional Arabic" w:hAnsi="Traditional Arabic" w:cs="Traditional Arabic"/>
          <w:sz w:val="28"/>
          <w:szCs w:val="28"/>
          <w:lang w:bidi="ar-EG"/>
        </w:rPr>
        <w:t xml:space="preserve">, 15, 100193. </w:t>
      </w:r>
      <w:hyperlink r:id="rId24" w:tgtFrame="_new" w:history="1">
        <w:r w:rsidRPr="0076197C">
          <w:rPr>
            <w:rStyle w:val="Hyperlink"/>
            <w:rFonts w:ascii="Traditional Arabic" w:hAnsi="Traditional Arabic" w:cs="Traditional Arabic"/>
            <w:sz w:val="28"/>
            <w:szCs w:val="28"/>
            <w:lang w:bidi="ar-EG"/>
          </w:rPr>
          <w:t>https://doi.org/10.1016/j.indic.2022.100193</w:t>
        </w:r>
      </w:hyperlink>
    </w:p>
    <w:p w14:paraId="10EC5439"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Salah, M., Elmasry, M., Mashhour, I. M., &amp; Amer, N. (2023). A framework for assessing sustainability of construction projects. </w:t>
      </w:r>
      <w:r w:rsidRPr="0076197C">
        <w:rPr>
          <w:rFonts w:ascii="Traditional Arabic" w:hAnsi="Traditional Arabic" w:cs="Traditional Arabic"/>
          <w:i/>
          <w:iCs/>
          <w:sz w:val="28"/>
          <w:szCs w:val="28"/>
          <w:lang w:bidi="ar-EG"/>
        </w:rPr>
        <w:t>Cleaner Engineering and Technology</w:t>
      </w:r>
      <w:r w:rsidRPr="0076197C">
        <w:rPr>
          <w:rFonts w:ascii="Traditional Arabic" w:hAnsi="Traditional Arabic" w:cs="Traditional Arabic"/>
          <w:sz w:val="28"/>
          <w:szCs w:val="28"/>
          <w:lang w:bidi="ar-EG"/>
        </w:rPr>
        <w:t xml:space="preserve">, 13, 100626. </w:t>
      </w:r>
      <w:hyperlink r:id="rId25" w:tgtFrame="_new" w:history="1">
        <w:r w:rsidRPr="0076197C">
          <w:rPr>
            <w:rStyle w:val="Hyperlink"/>
            <w:rFonts w:ascii="Traditional Arabic" w:hAnsi="Traditional Arabic" w:cs="Traditional Arabic"/>
            <w:sz w:val="28"/>
            <w:szCs w:val="28"/>
            <w:lang w:bidi="ar-EG"/>
          </w:rPr>
          <w:t>https://doi.org/10.1016/j.clet.2023.100626</w:t>
        </w:r>
      </w:hyperlink>
    </w:p>
    <w:p w14:paraId="5567DA75"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t>Shaawat</w:t>
      </w:r>
      <w:proofErr w:type="spellEnd"/>
      <w:r w:rsidRPr="0076197C">
        <w:rPr>
          <w:rFonts w:ascii="Traditional Arabic" w:hAnsi="Traditional Arabic" w:cs="Traditional Arabic"/>
          <w:sz w:val="28"/>
          <w:szCs w:val="28"/>
          <w:lang w:bidi="ar-EG"/>
        </w:rPr>
        <w:t xml:space="preserve">, M. E., Alqahtani, S. M. S., Qasem, A., Jamil, R., </w:t>
      </w:r>
      <w:proofErr w:type="spellStart"/>
      <w:r w:rsidRPr="0076197C">
        <w:rPr>
          <w:rFonts w:ascii="Traditional Arabic" w:hAnsi="Traditional Arabic" w:cs="Traditional Arabic"/>
          <w:sz w:val="28"/>
          <w:szCs w:val="28"/>
          <w:lang w:bidi="ar-EG"/>
        </w:rPr>
        <w:t>Almohassen</w:t>
      </w:r>
      <w:proofErr w:type="spellEnd"/>
      <w:r w:rsidRPr="0076197C">
        <w:rPr>
          <w:rFonts w:ascii="Traditional Arabic" w:hAnsi="Traditional Arabic" w:cs="Traditional Arabic"/>
          <w:sz w:val="28"/>
          <w:szCs w:val="28"/>
          <w:lang w:bidi="ar-EG"/>
        </w:rPr>
        <w:t xml:space="preserve">, A. S., &amp; </w:t>
      </w:r>
      <w:proofErr w:type="spellStart"/>
      <w:r w:rsidRPr="0076197C">
        <w:rPr>
          <w:rFonts w:ascii="Traditional Arabic" w:hAnsi="Traditional Arabic" w:cs="Traditional Arabic"/>
          <w:sz w:val="28"/>
          <w:szCs w:val="28"/>
          <w:lang w:bidi="ar-EG"/>
        </w:rPr>
        <w:t>Bongwirnso</w:t>
      </w:r>
      <w:proofErr w:type="spellEnd"/>
      <w:r w:rsidRPr="0076197C">
        <w:rPr>
          <w:rFonts w:ascii="Traditional Arabic" w:hAnsi="Traditional Arabic" w:cs="Traditional Arabic"/>
          <w:sz w:val="28"/>
          <w:szCs w:val="28"/>
          <w:lang w:bidi="ar-EG"/>
        </w:rPr>
        <w:t xml:space="preserve">, U. M. (2023). A Performance Quality Index to Assess Professional Conduct of Contractors at Sustainable Construction Projects in Saudi Arabia. </w:t>
      </w:r>
      <w:r w:rsidRPr="0076197C">
        <w:rPr>
          <w:rFonts w:ascii="Traditional Arabic" w:hAnsi="Traditional Arabic" w:cs="Traditional Arabic"/>
          <w:i/>
          <w:iCs/>
          <w:sz w:val="28"/>
          <w:szCs w:val="28"/>
          <w:lang w:bidi="ar-EG"/>
        </w:rPr>
        <w:t>Sustainability, 15</w:t>
      </w:r>
      <w:r w:rsidRPr="0076197C">
        <w:rPr>
          <w:rFonts w:ascii="Traditional Arabic" w:hAnsi="Traditional Arabic" w:cs="Traditional Arabic"/>
          <w:sz w:val="28"/>
          <w:szCs w:val="28"/>
          <w:lang w:bidi="ar-EG"/>
        </w:rPr>
        <w:t xml:space="preserve">(9), 7500. </w:t>
      </w:r>
      <w:hyperlink r:id="rId26" w:tgtFrame="_new" w:history="1">
        <w:r w:rsidRPr="0076197C">
          <w:rPr>
            <w:rStyle w:val="Hyperlink"/>
            <w:rFonts w:ascii="Traditional Arabic" w:hAnsi="Traditional Arabic" w:cs="Traditional Arabic"/>
            <w:sz w:val="28"/>
            <w:szCs w:val="28"/>
            <w:lang w:bidi="ar-EG"/>
          </w:rPr>
          <w:t>https://doi.org/10.3390/su15097500</w:t>
        </w:r>
      </w:hyperlink>
    </w:p>
    <w:p w14:paraId="0C34ACD9" w14:textId="77777777" w:rsidR="00BC7853" w:rsidRPr="0076197C" w:rsidRDefault="00BC7853" w:rsidP="00BC7853">
      <w:pPr>
        <w:numPr>
          <w:ilvl w:val="0"/>
          <w:numId w:val="46"/>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lastRenderedPageBreak/>
        <w:t>Unegbu</w:t>
      </w:r>
      <w:proofErr w:type="spellEnd"/>
      <w:r w:rsidRPr="0076197C">
        <w:rPr>
          <w:rFonts w:ascii="Traditional Arabic" w:hAnsi="Traditional Arabic" w:cs="Traditional Arabic"/>
          <w:sz w:val="28"/>
          <w:szCs w:val="28"/>
          <w:lang w:bidi="ar-EG"/>
        </w:rPr>
        <w:t xml:space="preserve">, H. C. O., </w:t>
      </w:r>
      <w:proofErr w:type="spellStart"/>
      <w:r w:rsidRPr="0076197C">
        <w:rPr>
          <w:rFonts w:ascii="Traditional Arabic" w:hAnsi="Traditional Arabic" w:cs="Traditional Arabic"/>
          <w:sz w:val="28"/>
          <w:szCs w:val="28"/>
          <w:lang w:bidi="ar-EG"/>
        </w:rPr>
        <w:t>Yawas</w:t>
      </w:r>
      <w:proofErr w:type="spellEnd"/>
      <w:r w:rsidRPr="0076197C">
        <w:rPr>
          <w:rFonts w:ascii="Traditional Arabic" w:hAnsi="Traditional Arabic" w:cs="Traditional Arabic"/>
          <w:sz w:val="28"/>
          <w:szCs w:val="28"/>
          <w:lang w:bidi="ar-EG"/>
        </w:rPr>
        <w:t>, D. S., &amp; Dan-</w:t>
      </w:r>
      <w:proofErr w:type="spellStart"/>
      <w:r w:rsidRPr="0076197C">
        <w:rPr>
          <w:rFonts w:ascii="Traditional Arabic" w:hAnsi="Traditional Arabic" w:cs="Traditional Arabic"/>
          <w:sz w:val="28"/>
          <w:szCs w:val="28"/>
          <w:lang w:bidi="ar-EG"/>
        </w:rPr>
        <w:t>asabe</w:t>
      </w:r>
      <w:proofErr w:type="spellEnd"/>
      <w:r w:rsidRPr="0076197C">
        <w:rPr>
          <w:rFonts w:ascii="Traditional Arabic" w:hAnsi="Traditional Arabic" w:cs="Traditional Arabic"/>
          <w:sz w:val="28"/>
          <w:szCs w:val="28"/>
          <w:lang w:bidi="ar-EG"/>
        </w:rPr>
        <w:t xml:space="preserve">, B. (2022). An investigation of the relationship between project performance measures and project management practices of construction projects for the construction industry in Nigeria. </w:t>
      </w:r>
      <w:r w:rsidRPr="0076197C">
        <w:rPr>
          <w:rFonts w:ascii="Traditional Arabic" w:hAnsi="Traditional Arabic" w:cs="Traditional Arabic"/>
          <w:i/>
          <w:iCs/>
          <w:sz w:val="28"/>
          <w:szCs w:val="28"/>
          <w:lang w:bidi="ar-EG"/>
        </w:rPr>
        <w:t>Journal of King Saud University - Engineering Sciences, 34</w:t>
      </w:r>
      <w:r w:rsidRPr="0076197C">
        <w:rPr>
          <w:rFonts w:ascii="Traditional Arabic" w:hAnsi="Traditional Arabic" w:cs="Traditional Arabic"/>
          <w:sz w:val="28"/>
          <w:szCs w:val="28"/>
          <w:lang w:bidi="ar-EG"/>
        </w:rPr>
        <w:t xml:space="preserve">(4), 240-249. </w:t>
      </w:r>
      <w:hyperlink r:id="rId27" w:tgtFrame="_new" w:history="1">
        <w:r w:rsidRPr="0076197C">
          <w:rPr>
            <w:rStyle w:val="Hyperlink"/>
            <w:rFonts w:ascii="Traditional Arabic" w:hAnsi="Traditional Arabic" w:cs="Traditional Arabic"/>
            <w:sz w:val="28"/>
            <w:szCs w:val="28"/>
            <w:lang w:bidi="ar-EG"/>
          </w:rPr>
          <w:t>https://doi.org/10.1016/j.jksues.2020.10.001</w:t>
        </w:r>
      </w:hyperlink>
    </w:p>
    <w:p w14:paraId="566337D0" w14:textId="77777777" w:rsidR="0021489E" w:rsidRPr="0076197C" w:rsidRDefault="0021489E" w:rsidP="0021489E">
      <w:pPr>
        <w:bidi/>
        <w:spacing w:after="200" w:line="480" w:lineRule="auto"/>
        <w:rPr>
          <w:rFonts w:ascii="Traditional Arabic" w:hAnsi="Traditional Arabic" w:cs="Traditional Arabic"/>
          <w:b/>
          <w:bCs/>
          <w:sz w:val="28"/>
          <w:szCs w:val="28"/>
          <w:u w:val="single"/>
          <w:rtl/>
        </w:rPr>
      </w:pPr>
    </w:p>
    <w:sectPr w:rsidR="0021489E" w:rsidRPr="0076197C" w:rsidSect="00395E1F">
      <w:headerReference w:type="even" r:id="rId28"/>
      <w:headerReference w:type="default" r:id="rId29"/>
      <w:footerReference w:type="default" r:id="rId30"/>
      <w:headerReference w:type="first" r:id="rId31"/>
      <w:footerReference w:type="first" r:id="rId3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4096B" w14:textId="77777777" w:rsidR="00BE1BBA" w:rsidRDefault="00BE1BBA" w:rsidP="00F628F0">
      <w:pPr>
        <w:spacing w:after="0" w:line="240" w:lineRule="auto"/>
      </w:pPr>
      <w:r>
        <w:separator/>
      </w:r>
    </w:p>
  </w:endnote>
  <w:endnote w:type="continuationSeparator" w:id="0">
    <w:p w14:paraId="1E3B9072" w14:textId="77777777" w:rsidR="00BE1BBA" w:rsidRDefault="00BE1BB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D9CCE" w14:textId="77777777" w:rsidR="00BE1BBA" w:rsidRDefault="00BE1BBA" w:rsidP="00F628F0">
      <w:pPr>
        <w:spacing w:after="0" w:line="240" w:lineRule="auto"/>
      </w:pPr>
      <w:r>
        <w:separator/>
      </w:r>
    </w:p>
  </w:footnote>
  <w:footnote w:type="continuationSeparator" w:id="0">
    <w:p w14:paraId="7F3CB661" w14:textId="77777777" w:rsidR="00BE1BBA" w:rsidRDefault="00BE1BB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644" w:hanging="360"/>
      </w:pPr>
      <w:rPr>
        <w:rFonts w:ascii="Symbol" w:eastAsiaTheme="minorHAnsi" w:hAnsi="Symbol"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84D1F71"/>
    <w:multiLevelType w:val="hybridMultilevel"/>
    <w:tmpl w:val="BA0A9A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B76269"/>
    <w:multiLevelType w:val="hybridMultilevel"/>
    <w:tmpl w:val="2EAC01B4"/>
    <w:lvl w:ilvl="0" w:tplc="6B3C3964">
      <w:start w:val="1"/>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962FF"/>
    <w:multiLevelType w:val="multilevel"/>
    <w:tmpl w:val="3162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13FBC"/>
    <w:multiLevelType w:val="multilevel"/>
    <w:tmpl w:val="921E2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26F10"/>
    <w:multiLevelType w:val="hybridMultilevel"/>
    <w:tmpl w:val="27124D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68472AD"/>
    <w:multiLevelType w:val="multilevel"/>
    <w:tmpl w:val="5C9AF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9" w15:restartNumberingAfterBreak="0">
    <w:nsid w:val="21BF4695"/>
    <w:multiLevelType w:val="multilevel"/>
    <w:tmpl w:val="034C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D405E4"/>
    <w:multiLevelType w:val="hybridMultilevel"/>
    <w:tmpl w:val="75664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EB5F0F"/>
    <w:multiLevelType w:val="multilevel"/>
    <w:tmpl w:val="36EA3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C341A4"/>
    <w:multiLevelType w:val="multilevel"/>
    <w:tmpl w:val="FF888986"/>
    <w:lvl w:ilvl="0">
      <w:start w:val="1"/>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84461"/>
    <w:multiLevelType w:val="multilevel"/>
    <w:tmpl w:val="64E8B1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453523"/>
    <w:multiLevelType w:val="multilevel"/>
    <w:tmpl w:val="7D7C6EC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100CD1"/>
    <w:multiLevelType w:val="hybridMultilevel"/>
    <w:tmpl w:val="A10AA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446BDF"/>
    <w:multiLevelType w:val="hybridMultilevel"/>
    <w:tmpl w:val="38649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D91FF2"/>
    <w:multiLevelType w:val="multilevel"/>
    <w:tmpl w:val="49440F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9E39A8"/>
    <w:multiLevelType w:val="hybridMultilevel"/>
    <w:tmpl w:val="DD964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CF36D1A"/>
    <w:multiLevelType w:val="hybridMultilevel"/>
    <w:tmpl w:val="FC108A08"/>
    <w:lvl w:ilvl="0" w:tplc="FA2876DA">
      <w:start w:val="1"/>
      <w:numFmt w:val="bullet"/>
      <w:lvlText w:val=""/>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0C7CDE"/>
    <w:multiLevelType w:val="multilevel"/>
    <w:tmpl w:val="63B4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3143B"/>
    <w:multiLevelType w:val="multilevel"/>
    <w:tmpl w:val="AD60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923641"/>
    <w:multiLevelType w:val="hybridMultilevel"/>
    <w:tmpl w:val="415CDE5E"/>
    <w:lvl w:ilvl="0" w:tplc="466AA5C0">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504B39"/>
    <w:multiLevelType w:val="multilevel"/>
    <w:tmpl w:val="010C78F4"/>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D602BE5"/>
    <w:multiLevelType w:val="hybridMultilevel"/>
    <w:tmpl w:val="03FA02EC"/>
    <w:lvl w:ilvl="0" w:tplc="77B286DC">
      <w:start w:val="1"/>
      <w:numFmt w:val="bullet"/>
      <w:lvlText w:val=""/>
      <w:lvlJc w:val="left"/>
      <w:pPr>
        <w:ind w:left="720" w:hanging="360"/>
      </w:pPr>
      <w:rPr>
        <w:rFonts w:ascii="Sakkal Majall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4A2DBB"/>
    <w:multiLevelType w:val="hybridMultilevel"/>
    <w:tmpl w:val="1C343E68"/>
    <w:lvl w:ilvl="0" w:tplc="AF7CBF16">
      <w:start w:val="1"/>
      <w:numFmt w:val="decimal"/>
      <w:lvlText w:val="%1."/>
      <w:lvlJc w:val="left"/>
      <w:pPr>
        <w:tabs>
          <w:tab w:val="num" w:pos="720"/>
        </w:tabs>
        <w:ind w:left="720" w:hanging="360"/>
      </w:pPr>
    </w:lvl>
    <w:lvl w:ilvl="1" w:tplc="2AB2566A" w:tentative="1">
      <w:start w:val="1"/>
      <w:numFmt w:val="decimal"/>
      <w:lvlText w:val="%2."/>
      <w:lvlJc w:val="left"/>
      <w:pPr>
        <w:tabs>
          <w:tab w:val="num" w:pos="1440"/>
        </w:tabs>
        <w:ind w:left="1440" w:hanging="360"/>
      </w:pPr>
    </w:lvl>
    <w:lvl w:ilvl="2" w:tplc="A1B04A8E" w:tentative="1">
      <w:start w:val="1"/>
      <w:numFmt w:val="decimal"/>
      <w:lvlText w:val="%3."/>
      <w:lvlJc w:val="left"/>
      <w:pPr>
        <w:tabs>
          <w:tab w:val="num" w:pos="2160"/>
        </w:tabs>
        <w:ind w:left="2160" w:hanging="360"/>
      </w:pPr>
    </w:lvl>
    <w:lvl w:ilvl="3" w:tplc="9364D508" w:tentative="1">
      <w:start w:val="1"/>
      <w:numFmt w:val="decimal"/>
      <w:lvlText w:val="%4."/>
      <w:lvlJc w:val="left"/>
      <w:pPr>
        <w:tabs>
          <w:tab w:val="num" w:pos="2880"/>
        </w:tabs>
        <w:ind w:left="2880" w:hanging="360"/>
      </w:pPr>
    </w:lvl>
    <w:lvl w:ilvl="4" w:tplc="3DDA281C" w:tentative="1">
      <w:start w:val="1"/>
      <w:numFmt w:val="decimal"/>
      <w:lvlText w:val="%5."/>
      <w:lvlJc w:val="left"/>
      <w:pPr>
        <w:tabs>
          <w:tab w:val="num" w:pos="3600"/>
        </w:tabs>
        <w:ind w:left="3600" w:hanging="360"/>
      </w:pPr>
    </w:lvl>
    <w:lvl w:ilvl="5" w:tplc="174AFB5E" w:tentative="1">
      <w:start w:val="1"/>
      <w:numFmt w:val="decimal"/>
      <w:lvlText w:val="%6."/>
      <w:lvlJc w:val="left"/>
      <w:pPr>
        <w:tabs>
          <w:tab w:val="num" w:pos="4320"/>
        </w:tabs>
        <w:ind w:left="4320" w:hanging="360"/>
      </w:pPr>
    </w:lvl>
    <w:lvl w:ilvl="6" w:tplc="EDAA14E2" w:tentative="1">
      <w:start w:val="1"/>
      <w:numFmt w:val="decimal"/>
      <w:lvlText w:val="%7."/>
      <w:lvlJc w:val="left"/>
      <w:pPr>
        <w:tabs>
          <w:tab w:val="num" w:pos="5040"/>
        </w:tabs>
        <w:ind w:left="5040" w:hanging="360"/>
      </w:pPr>
    </w:lvl>
    <w:lvl w:ilvl="7" w:tplc="97A0804A" w:tentative="1">
      <w:start w:val="1"/>
      <w:numFmt w:val="decimal"/>
      <w:lvlText w:val="%8."/>
      <w:lvlJc w:val="left"/>
      <w:pPr>
        <w:tabs>
          <w:tab w:val="num" w:pos="5760"/>
        </w:tabs>
        <w:ind w:left="5760" w:hanging="360"/>
      </w:pPr>
    </w:lvl>
    <w:lvl w:ilvl="8" w:tplc="0E264768" w:tentative="1">
      <w:start w:val="1"/>
      <w:numFmt w:val="decimal"/>
      <w:lvlText w:val="%9."/>
      <w:lvlJc w:val="left"/>
      <w:pPr>
        <w:tabs>
          <w:tab w:val="num" w:pos="6480"/>
        </w:tabs>
        <w:ind w:left="6480" w:hanging="360"/>
      </w:pPr>
    </w:lvl>
  </w:abstractNum>
  <w:abstractNum w:abstractNumId="29" w15:restartNumberingAfterBreak="0">
    <w:nsid w:val="4EC47F8B"/>
    <w:multiLevelType w:val="hybridMultilevel"/>
    <w:tmpl w:val="AB32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C821A2"/>
    <w:multiLevelType w:val="hybridMultilevel"/>
    <w:tmpl w:val="F87C5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C50AB7"/>
    <w:multiLevelType w:val="multilevel"/>
    <w:tmpl w:val="7814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1237F1"/>
    <w:multiLevelType w:val="hybridMultilevel"/>
    <w:tmpl w:val="99A6E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257104E"/>
    <w:multiLevelType w:val="multilevel"/>
    <w:tmpl w:val="887E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3D4D00"/>
    <w:multiLevelType w:val="hybridMultilevel"/>
    <w:tmpl w:val="28969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7F24C7"/>
    <w:multiLevelType w:val="multilevel"/>
    <w:tmpl w:val="39AE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D52A60"/>
    <w:multiLevelType w:val="hybridMultilevel"/>
    <w:tmpl w:val="0D6C4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1C361B"/>
    <w:multiLevelType w:val="hybridMultilevel"/>
    <w:tmpl w:val="412C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9F62D6"/>
    <w:multiLevelType w:val="hybridMultilevel"/>
    <w:tmpl w:val="CF1E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1E426E6"/>
    <w:multiLevelType w:val="multilevel"/>
    <w:tmpl w:val="24FA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CA2485"/>
    <w:multiLevelType w:val="hybridMultilevel"/>
    <w:tmpl w:val="62CA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6D7429"/>
    <w:multiLevelType w:val="multilevel"/>
    <w:tmpl w:val="2102BF46"/>
    <w:lvl w:ilvl="0">
      <w:start w:val="1"/>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5" w15:restartNumberingAfterBreak="0">
    <w:nsid w:val="67562D71"/>
    <w:multiLevelType w:val="multilevel"/>
    <w:tmpl w:val="2872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A74298"/>
    <w:multiLevelType w:val="hybridMultilevel"/>
    <w:tmpl w:val="E272E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A614D57"/>
    <w:multiLevelType w:val="multilevel"/>
    <w:tmpl w:val="6C6CC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D02BC3"/>
    <w:multiLevelType w:val="hybridMultilevel"/>
    <w:tmpl w:val="65B682F6"/>
    <w:lvl w:ilvl="0" w:tplc="A0F42E90">
      <w:start w:val="1"/>
      <w:numFmt w:val="decimal"/>
      <w:lvlText w:val="%1."/>
      <w:lvlJc w:val="left"/>
      <w:pPr>
        <w:ind w:left="720" w:hanging="360"/>
      </w:pPr>
      <w:rPr>
        <w:rFonts w:asciiTheme="minorBidi" w:eastAsiaTheme="minorHAnsi" w:hAnsiTheme="minorBidi" w:cstheme="minorBidi"/>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8C6194"/>
    <w:multiLevelType w:val="hybridMultilevel"/>
    <w:tmpl w:val="4BBA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25497C"/>
    <w:multiLevelType w:val="hybridMultilevel"/>
    <w:tmpl w:val="A3C67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64A53D2"/>
    <w:multiLevelType w:val="hybridMultilevel"/>
    <w:tmpl w:val="D98E97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68D5698"/>
    <w:multiLevelType w:val="multilevel"/>
    <w:tmpl w:val="814C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8E64CB"/>
    <w:multiLevelType w:val="hybridMultilevel"/>
    <w:tmpl w:val="FC804D12"/>
    <w:lvl w:ilvl="0" w:tplc="26A015B4">
      <w:start w:val="1"/>
      <w:numFmt w:val="decimal"/>
      <w:lvlText w:val="%1."/>
      <w:lvlJc w:val="left"/>
      <w:pPr>
        <w:tabs>
          <w:tab w:val="num" w:pos="720"/>
        </w:tabs>
        <w:ind w:left="720" w:hanging="360"/>
      </w:pPr>
    </w:lvl>
    <w:lvl w:ilvl="1" w:tplc="FA60EBD4" w:tentative="1">
      <w:start w:val="1"/>
      <w:numFmt w:val="decimal"/>
      <w:lvlText w:val="%2."/>
      <w:lvlJc w:val="left"/>
      <w:pPr>
        <w:tabs>
          <w:tab w:val="num" w:pos="1440"/>
        </w:tabs>
        <w:ind w:left="1440" w:hanging="360"/>
      </w:pPr>
    </w:lvl>
    <w:lvl w:ilvl="2" w:tplc="C5C4AAAA" w:tentative="1">
      <w:start w:val="1"/>
      <w:numFmt w:val="decimal"/>
      <w:lvlText w:val="%3."/>
      <w:lvlJc w:val="left"/>
      <w:pPr>
        <w:tabs>
          <w:tab w:val="num" w:pos="2160"/>
        </w:tabs>
        <w:ind w:left="2160" w:hanging="360"/>
      </w:pPr>
    </w:lvl>
    <w:lvl w:ilvl="3" w:tplc="F02414C8" w:tentative="1">
      <w:start w:val="1"/>
      <w:numFmt w:val="decimal"/>
      <w:lvlText w:val="%4."/>
      <w:lvlJc w:val="left"/>
      <w:pPr>
        <w:tabs>
          <w:tab w:val="num" w:pos="2880"/>
        </w:tabs>
        <w:ind w:left="2880" w:hanging="360"/>
      </w:pPr>
    </w:lvl>
    <w:lvl w:ilvl="4" w:tplc="A0508BA8" w:tentative="1">
      <w:start w:val="1"/>
      <w:numFmt w:val="decimal"/>
      <w:lvlText w:val="%5."/>
      <w:lvlJc w:val="left"/>
      <w:pPr>
        <w:tabs>
          <w:tab w:val="num" w:pos="3600"/>
        </w:tabs>
        <w:ind w:left="3600" w:hanging="360"/>
      </w:pPr>
    </w:lvl>
    <w:lvl w:ilvl="5" w:tplc="46E2AC56" w:tentative="1">
      <w:start w:val="1"/>
      <w:numFmt w:val="decimal"/>
      <w:lvlText w:val="%6."/>
      <w:lvlJc w:val="left"/>
      <w:pPr>
        <w:tabs>
          <w:tab w:val="num" w:pos="4320"/>
        </w:tabs>
        <w:ind w:left="4320" w:hanging="360"/>
      </w:pPr>
    </w:lvl>
    <w:lvl w:ilvl="6" w:tplc="F3A6E94C" w:tentative="1">
      <w:start w:val="1"/>
      <w:numFmt w:val="decimal"/>
      <w:lvlText w:val="%7."/>
      <w:lvlJc w:val="left"/>
      <w:pPr>
        <w:tabs>
          <w:tab w:val="num" w:pos="5040"/>
        </w:tabs>
        <w:ind w:left="5040" w:hanging="360"/>
      </w:pPr>
    </w:lvl>
    <w:lvl w:ilvl="7" w:tplc="C326256E" w:tentative="1">
      <w:start w:val="1"/>
      <w:numFmt w:val="decimal"/>
      <w:lvlText w:val="%8."/>
      <w:lvlJc w:val="left"/>
      <w:pPr>
        <w:tabs>
          <w:tab w:val="num" w:pos="5760"/>
        </w:tabs>
        <w:ind w:left="5760" w:hanging="360"/>
      </w:pPr>
    </w:lvl>
    <w:lvl w:ilvl="8" w:tplc="5B6249CE" w:tentative="1">
      <w:start w:val="1"/>
      <w:numFmt w:val="decimal"/>
      <w:lvlText w:val="%9."/>
      <w:lvlJc w:val="left"/>
      <w:pPr>
        <w:tabs>
          <w:tab w:val="num" w:pos="6480"/>
        </w:tabs>
        <w:ind w:left="6480" w:hanging="360"/>
      </w:pPr>
    </w:lvl>
  </w:abstractNum>
  <w:abstractNum w:abstractNumId="54" w15:restartNumberingAfterBreak="0">
    <w:nsid w:val="76B72973"/>
    <w:multiLevelType w:val="multilevel"/>
    <w:tmpl w:val="5044ABA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9C55D79"/>
    <w:multiLevelType w:val="multilevel"/>
    <w:tmpl w:val="0EB0E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6" w15:restartNumberingAfterBreak="0">
    <w:nsid w:val="7D520D26"/>
    <w:multiLevelType w:val="multilevel"/>
    <w:tmpl w:val="20DCE57E"/>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133910740">
    <w:abstractNumId w:val="36"/>
  </w:num>
  <w:num w:numId="2" w16cid:durableId="329719307">
    <w:abstractNumId w:val="12"/>
  </w:num>
  <w:num w:numId="3" w16cid:durableId="428085832">
    <w:abstractNumId w:val="35"/>
  </w:num>
  <w:num w:numId="4" w16cid:durableId="1037391280">
    <w:abstractNumId w:val="8"/>
  </w:num>
  <w:num w:numId="5" w16cid:durableId="1050765157">
    <w:abstractNumId w:val="32"/>
  </w:num>
  <w:num w:numId="6" w16cid:durableId="2045473508">
    <w:abstractNumId w:val="0"/>
  </w:num>
  <w:num w:numId="7" w16cid:durableId="1692336436">
    <w:abstractNumId w:val="53"/>
  </w:num>
  <w:num w:numId="8" w16cid:durableId="770970414">
    <w:abstractNumId w:val="48"/>
  </w:num>
  <w:num w:numId="9" w16cid:durableId="1704863082">
    <w:abstractNumId w:val="28"/>
  </w:num>
  <w:num w:numId="10" w16cid:durableId="203294563">
    <w:abstractNumId w:val="39"/>
  </w:num>
  <w:num w:numId="11" w16cid:durableId="476647282">
    <w:abstractNumId w:val="27"/>
  </w:num>
  <w:num w:numId="12" w16cid:durableId="1788238121">
    <w:abstractNumId w:val="33"/>
  </w:num>
  <w:num w:numId="13" w16cid:durableId="230165515">
    <w:abstractNumId w:val="18"/>
  </w:num>
  <w:num w:numId="14" w16cid:durableId="1233930941">
    <w:abstractNumId w:val="1"/>
  </w:num>
  <w:num w:numId="15" w16cid:durableId="316418335">
    <w:abstractNumId w:val="25"/>
  </w:num>
  <w:num w:numId="16" w16cid:durableId="28341954">
    <w:abstractNumId w:val="21"/>
  </w:num>
  <w:num w:numId="17" w16cid:durableId="1918899774">
    <w:abstractNumId w:val="51"/>
  </w:num>
  <w:num w:numId="18" w16cid:durableId="1377897825">
    <w:abstractNumId w:val="50"/>
  </w:num>
  <w:num w:numId="19" w16cid:durableId="479733739">
    <w:abstractNumId w:val="5"/>
  </w:num>
  <w:num w:numId="20" w16cid:durableId="1126704369">
    <w:abstractNumId w:val="46"/>
  </w:num>
  <w:num w:numId="21" w16cid:durableId="377977488">
    <w:abstractNumId w:val="20"/>
  </w:num>
  <w:num w:numId="22" w16cid:durableId="1515269520">
    <w:abstractNumId w:val="19"/>
  </w:num>
  <w:num w:numId="23" w16cid:durableId="417364341">
    <w:abstractNumId w:val="41"/>
  </w:num>
  <w:num w:numId="24" w16cid:durableId="1593392978">
    <w:abstractNumId w:val="16"/>
  </w:num>
  <w:num w:numId="25" w16cid:durableId="875199652">
    <w:abstractNumId w:val="38"/>
  </w:num>
  <w:num w:numId="26" w16cid:durableId="2027124915">
    <w:abstractNumId w:val="45"/>
  </w:num>
  <w:num w:numId="27" w16cid:durableId="1462921647">
    <w:abstractNumId w:val="31"/>
  </w:num>
  <w:num w:numId="28" w16cid:durableId="514684958">
    <w:abstractNumId w:val="22"/>
  </w:num>
  <w:num w:numId="29" w16cid:durableId="850921630">
    <w:abstractNumId w:val="52"/>
  </w:num>
  <w:num w:numId="30" w16cid:durableId="992104779">
    <w:abstractNumId w:val="23"/>
  </w:num>
  <w:num w:numId="31" w16cid:durableId="1695108587">
    <w:abstractNumId w:val="15"/>
  </w:num>
  <w:num w:numId="32" w16cid:durableId="92289653">
    <w:abstractNumId w:val="54"/>
  </w:num>
  <w:num w:numId="33" w16cid:durableId="373697562">
    <w:abstractNumId w:val="37"/>
  </w:num>
  <w:num w:numId="34" w16cid:durableId="533153967">
    <w:abstractNumId w:val="6"/>
  </w:num>
  <w:num w:numId="35" w16cid:durableId="2128427208">
    <w:abstractNumId w:val="47"/>
  </w:num>
  <w:num w:numId="36" w16cid:durableId="824319218">
    <w:abstractNumId w:val="4"/>
  </w:num>
  <w:num w:numId="37" w16cid:durableId="553466949">
    <w:abstractNumId w:val="11"/>
  </w:num>
  <w:num w:numId="38" w16cid:durableId="1064332047">
    <w:abstractNumId w:val="40"/>
  </w:num>
  <w:num w:numId="39" w16cid:durableId="1482304101">
    <w:abstractNumId w:val="42"/>
  </w:num>
  <w:num w:numId="40" w16cid:durableId="1287466844">
    <w:abstractNumId w:val="10"/>
  </w:num>
  <w:num w:numId="41" w16cid:durableId="1024599192">
    <w:abstractNumId w:val="9"/>
  </w:num>
  <w:num w:numId="42" w16cid:durableId="1369528312">
    <w:abstractNumId w:val="34"/>
  </w:num>
  <w:num w:numId="43" w16cid:durableId="249432798">
    <w:abstractNumId w:val="3"/>
  </w:num>
  <w:num w:numId="44" w16cid:durableId="1738014972">
    <w:abstractNumId w:val="43"/>
  </w:num>
  <w:num w:numId="45" w16cid:durableId="1366709679">
    <w:abstractNumId w:val="55"/>
  </w:num>
  <w:num w:numId="46" w16cid:durableId="923369447">
    <w:abstractNumId w:val="14"/>
  </w:num>
  <w:num w:numId="47" w16cid:durableId="15664211">
    <w:abstractNumId w:val="24"/>
  </w:num>
  <w:num w:numId="48" w16cid:durableId="1985893321">
    <w:abstractNumId w:val="7"/>
  </w:num>
  <w:num w:numId="49" w16cid:durableId="1116024539">
    <w:abstractNumId w:val="2"/>
  </w:num>
  <w:num w:numId="50" w16cid:durableId="679964291">
    <w:abstractNumId w:val="13"/>
  </w:num>
  <w:num w:numId="51" w16cid:durableId="1457874626">
    <w:abstractNumId w:val="56"/>
  </w:num>
  <w:num w:numId="52" w16cid:durableId="30688269">
    <w:abstractNumId w:val="49"/>
  </w:num>
  <w:num w:numId="53" w16cid:durableId="472330461">
    <w:abstractNumId w:val="29"/>
  </w:num>
  <w:num w:numId="54" w16cid:durableId="1222446629">
    <w:abstractNumId w:val="26"/>
  </w:num>
  <w:num w:numId="55" w16cid:durableId="756950046">
    <w:abstractNumId w:val="44"/>
  </w:num>
  <w:num w:numId="56" w16cid:durableId="696659421">
    <w:abstractNumId w:val="17"/>
  </w:num>
  <w:num w:numId="57" w16cid:durableId="524637671">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CE9"/>
    <w:rsid w:val="00003BE8"/>
    <w:rsid w:val="000129F8"/>
    <w:rsid w:val="00015F0D"/>
    <w:rsid w:val="00017A3A"/>
    <w:rsid w:val="000259F1"/>
    <w:rsid w:val="00027A34"/>
    <w:rsid w:val="000322E7"/>
    <w:rsid w:val="00044CFD"/>
    <w:rsid w:val="0005566B"/>
    <w:rsid w:val="00061A09"/>
    <w:rsid w:val="00063CE9"/>
    <w:rsid w:val="000754F9"/>
    <w:rsid w:val="00087E4F"/>
    <w:rsid w:val="00090A9C"/>
    <w:rsid w:val="00091309"/>
    <w:rsid w:val="00092C24"/>
    <w:rsid w:val="000940A0"/>
    <w:rsid w:val="000A1D3E"/>
    <w:rsid w:val="000A1E46"/>
    <w:rsid w:val="000A310D"/>
    <w:rsid w:val="000A49ED"/>
    <w:rsid w:val="000A749C"/>
    <w:rsid w:val="000B0B32"/>
    <w:rsid w:val="000B706D"/>
    <w:rsid w:val="000D0869"/>
    <w:rsid w:val="000D3EAE"/>
    <w:rsid w:val="000D5131"/>
    <w:rsid w:val="000E23AB"/>
    <w:rsid w:val="000E5A25"/>
    <w:rsid w:val="000E6887"/>
    <w:rsid w:val="000F0A0D"/>
    <w:rsid w:val="000F7F04"/>
    <w:rsid w:val="00110665"/>
    <w:rsid w:val="0011126E"/>
    <w:rsid w:val="00114FC7"/>
    <w:rsid w:val="00116AE4"/>
    <w:rsid w:val="00117CA1"/>
    <w:rsid w:val="00136D51"/>
    <w:rsid w:val="0014707C"/>
    <w:rsid w:val="00152104"/>
    <w:rsid w:val="00155C51"/>
    <w:rsid w:val="001603EF"/>
    <w:rsid w:val="001618EF"/>
    <w:rsid w:val="001624C4"/>
    <w:rsid w:val="001654CD"/>
    <w:rsid w:val="001705E0"/>
    <w:rsid w:val="00170A9A"/>
    <w:rsid w:val="00173A4D"/>
    <w:rsid w:val="001762F4"/>
    <w:rsid w:val="00180799"/>
    <w:rsid w:val="00180A9B"/>
    <w:rsid w:val="00185F71"/>
    <w:rsid w:val="00193ED3"/>
    <w:rsid w:val="00195226"/>
    <w:rsid w:val="001A0011"/>
    <w:rsid w:val="001A015E"/>
    <w:rsid w:val="001A5804"/>
    <w:rsid w:val="001A680C"/>
    <w:rsid w:val="001B148A"/>
    <w:rsid w:val="001C01BE"/>
    <w:rsid w:val="001C3DA0"/>
    <w:rsid w:val="001C426A"/>
    <w:rsid w:val="001C704B"/>
    <w:rsid w:val="001C7DB2"/>
    <w:rsid w:val="001D47AD"/>
    <w:rsid w:val="001D7934"/>
    <w:rsid w:val="001E252D"/>
    <w:rsid w:val="001E32DF"/>
    <w:rsid w:val="001E3406"/>
    <w:rsid w:val="0020239B"/>
    <w:rsid w:val="0021489E"/>
    <w:rsid w:val="0022051E"/>
    <w:rsid w:val="00222468"/>
    <w:rsid w:val="00222D10"/>
    <w:rsid w:val="002267E3"/>
    <w:rsid w:val="00231AB1"/>
    <w:rsid w:val="00232A16"/>
    <w:rsid w:val="00240296"/>
    <w:rsid w:val="0024045F"/>
    <w:rsid w:val="00250CC6"/>
    <w:rsid w:val="00251580"/>
    <w:rsid w:val="002568F0"/>
    <w:rsid w:val="00257F01"/>
    <w:rsid w:val="002616CF"/>
    <w:rsid w:val="00263733"/>
    <w:rsid w:val="00264677"/>
    <w:rsid w:val="00265C31"/>
    <w:rsid w:val="0027316B"/>
    <w:rsid w:val="00274C5B"/>
    <w:rsid w:val="00293633"/>
    <w:rsid w:val="002A113E"/>
    <w:rsid w:val="002B6766"/>
    <w:rsid w:val="002C0601"/>
    <w:rsid w:val="002C2285"/>
    <w:rsid w:val="002D019D"/>
    <w:rsid w:val="002D3349"/>
    <w:rsid w:val="002D638C"/>
    <w:rsid w:val="002D68BB"/>
    <w:rsid w:val="002E03CF"/>
    <w:rsid w:val="002E4E50"/>
    <w:rsid w:val="002F0EEA"/>
    <w:rsid w:val="002F20A7"/>
    <w:rsid w:val="002F20B5"/>
    <w:rsid w:val="00304292"/>
    <w:rsid w:val="00316776"/>
    <w:rsid w:val="0032096B"/>
    <w:rsid w:val="003223F2"/>
    <w:rsid w:val="00322A0D"/>
    <w:rsid w:val="00322CDE"/>
    <w:rsid w:val="003235C8"/>
    <w:rsid w:val="003263D0"/>
    <w:rsid w:val="00327099"/>
    <w:rsid w:val="003305DE"/>
    <w:rsid w:val="00333FF1"/>
    <w:rsid w:val="00334002"/>
    <w:rsid w:val="00343332"/>
    <w:rsid w:val="00343773"/>
    <w:rsid w:val="00356156"/>
    <w:rsid w:val="00356364"/>
    <w:rsid w:val="00360A3F"/>
    <w:rsid w:val="00364C07"/>
    <w:rsid w:val="00365DC1"/>
    <w:rsid w:val="00376BA4"/>
    <w:rsid w:val="00377CB0"/>
    <w:rsid w:val="00381E67"/>
    <w:rsid w:val="00395E1F"/>
    <w:rsid w:val="00397058"/>
    <w:rsid w:val="003A4334"/>
    <w:rsid w:val="003B0C7F"/>
    <w:rsid w:val="003B0F00"/>
    <w:rsid w:val="003B1418"/>
    <w:rsid w:val="003B4CA1"/>
    <w:rsid w:val="003B6969"/>
    <w:rsid w:val="003C05E1"/>
    <w:rsid w:val="003C5246"/>
    <w:rsid w:val="003D3563"/>
    <w:rsid w:val="003D5F89"/>
    <w:rsid w:val="003D7E7F"/>
    <w:rsid w:val="003E1E60"/>
    <w:rsid w:val="003F6189"/>
    <w:rsid w:val="003F69BC"/>
    <w:rsid w:val="0040510D"/>
    <w:rsid w:val="0043449E"/>
    <w:rsid w:val="00436B59"/>
    <w:rsid w:val="004413CD"/>
    <w:rsid w:val="0044258D"/>
    <w:rsid w:val="00442708"/>
    <w:rsid w:val="00443A60"/>
    <w:rsid w:val="00444B1D"/>
    <w:rsid w:val="00444B3C"/>
    <w:rsid w:val="004641DC"/>
    <w:rsid w:val="00466097"/>
    <w:rsid w:val="00473F99"/>
    <w:rsid w:val="00485BD0"/>
    <w:rsid w:val="00486B51"/>
    <w:rsid w:val="00487152"/>
    <w:rsid w:val="00491A5B"/>
    <w:rsid w:val="00492E40"/>
    <w:rsid w:val="00494A2F"/>
    <w:rsid w:val="00495654"/>
    <w:rsid w:val="004A10BC"/>
    <w:rsid w:val="004A45AD"/>
    <w:rsid w:val="004B484B"/>
    <w:rsid w:val="004B78C6"/>
    <w:rsid w:val="004C1CC5"/>
    <w:rsid w:val="004C7B52"/>
    <w:rsid w:val="004D075E"/>
    <w:rsid w:val="004D2A39"/>
    <w:rsid w:val="004D3AE2"/>
    <w:rsid w:val="004D6DB2"/>
    <w:rsid w:val="004D7783"/>
    <w:rsid w:val="004D7F28"/>
    <w:rsid w:val="004E01F6"/>
    <w:rsid w:val="004F1607"/>
    <w:rsid w:val="004F1964"/>
    <w:rsid w:val="004F1CF1"/>
    <w:rsid w:val="0050023D"/>
    <w:rsid w:val="0050451B"/>
    <w:rsid w:val="005144E3"/>
    <w:rsid w:val="00515088"/>
    <w:rsid w:val="00515BCF"/>
    <w:rsid w:val="00515FA4"/>
    <w:rsid w:val="0052019E"/>
    <w:rsid w:val="005312DF"/>
    <w:rsid w:val="0053336F"/>
    <w:rsid w:val="00533AA9"/>
    <w:rsid w:val="00535ED5"/>
    <w:rsid w:val="0053681E"/>
    <w:rsid w:val="00537D65"/>
    <w:rsid w:val="005429A1"/>
    <w:rsid w:val="005433BE"/>
    <w:rsid w:val="00545742"/>
    <w:rsid w:val="00546BB3"/>
    <w:rsid w:val="00547959"/>
    <w:rsid w:val="005532E5"/>
    <w:rsid w:val="005535FC"/>
    <w:rsid w:val="00560CC1"/>
    <w:rsid w:val="00561EAA"/>
    <w:rsid w:val="005770C6"/>
    <w:rsid w:val="0058022A"/>
    <w:rsid w:val="0059022F"/>
    <w:rsid w:val="00595574"/>
    <w:rsid w:val="00597208"/>
    <w:rsid w:val="005A3266"/>
    <w:rsid w:val="005A3959"/>
    <w:rsid w:val="005A4F66"/>
    <w:rsid w:val="005A76D0"/>
    <w:rsid w:val="005A7EB2"/>
    <w:rsid w:val="005B25B6"/>
    <w:rsid w:val="005B2E32"/>
    <w:rsid w:val="005B65AE"/>
    <w:rsid w:val="005C3DA2"/>
    <w:rsid w:val="005D1768"/>
    <w:rsid w:val="005D2492"/>
    <w:rsid w:val="005D7CE7"/>
    <w:rsid w:val="005E1B7D"/>
    <w:rsid w:val="005E24FB"/>
    <w:rsid w:val="005F2661"/>
    <w:rsid w:val="005F5AF5"/>
    <w:rsid w:val="0060105E"/>
    <w:rsid w:val="0061026F"/>
    <w:rsid w:val="0062589E"/>
    <w:rsid w:val="00625A3C"/>
    <w:rsid w:val="00626EDA"/>
    <w:rsid w:val="00633F98"/>
    <w:rsid w:val="00634932"/>
    <w:rsid w:val="00640912"/>
    <w:rsid w:val="006447D8"/>
    <w:rsid w:val="00644F28"/>
    <w:rsid w:val="0065187E"/>
    <w:rsid w:val="00655684"/>
    <w:rsid w:val="00661A1D"/>
    <w:rsid w:val="00667BBF"/>
    <w:rsid w:val="006731F3"/>
    <w:rsid w:val="00676B85"/>
    <w:rsid w:val="00683B07"/>
    <w:rsid w:val="00687F77"/>
    <w:rsid w:val="006A10B1"/>
    <w:rsid w:val="006A3529"/>
    <w:rsid w:val="006A5BBE"/>
    <w:rsid w:val="006A7DC3"/>
    <w:rsid w:val="006B1075"/>
    <w:rsid w:val="006B366F"/>
    <w:rsid w:val="006B51C2"/>
    <w:rsid w:val="006B5F1D"/>
    <w:rsid w:val="006C10F3"/>
    <w:rsid w:val="006C2E76"/>
    <w:rsid w:val="006C54C9"/>
    <w:rsid w:val="006D0211"/>
    <w:rsid w:val="006E35C0"/>
    <w:rsid w:val="006E413B"/>
    <w:rsid w:val="006E7180"/>
    <w:rsid w:val="006F016D"/>
    <w:rsid w:val="006F1837"/>
    <w:rsid w:val="006F3CD1"/>
    <w:rsid w:val="0070272D"/>
    <w:rsid w:val="00703A9A"/>
    <w:rsid w:val="00704C25"/>
    <w:rsid w:val="00705F1D"/>
    <w:rsid w:val="00705F51"/>
    <w:rsid w:val="00706AC7"/>
    <w:rsid w:val="00711248"/>
    <w:rsid w:val="007239AC"/>
    <w:rsid w:val="00723E95"/>
    <w:rsid w:val="00733953"/>
    <w:rsid w:val="00736364"/>
    <w:rsid w:val="0073642B"/>
    <w:rsid w:val="0074007B"/>
    <w:rsid w:val="00740AB1"/>
    <w:rsid w:val="007507AF"/>
    <w:rsid w:val="00750F2F"/>
    <w:rsid w:val="00754494"/>
    <w:rsid w:val="00754496"/>
    <w:rsid w:val="00761892"/>
    <w:rsid w:val="0076197C"/>
    <w:rsid w:val="0076684E"/>
    <w:rsid w:val="00766A58"/>
    <w:rsid w:val="007749C6"/>
    <w:rsid w:val="007764F4"/>
    <w:rsid w:val="00776AB8"/>
    <w:rsid w:val="00781550"/>
    <w:rsid w:val="007822A3"/>
    <w:rsid w:val="00790119"/>
    <w:rsid w:val="00793616"/>
    <w:rsid w:val="007969DC"/>
    <w:rsid w:val="00797AF9"/>
    <w:rsid w:val="007A31DC"/>
    <w:rsid w:val="007B29E4"/>
    <w:rsid w:val="007B3A5C"/>
    <w:rsid w:val="007B66CB"/>
    <w:rsid w:val="007C1F01"/>
    <w:rsid w:val="007C428F"/>
    <w:rsid w:val="007D1670"/>
    <w:rsid w:val="007D39B9"/>
    <w:rsid w:val="007D7D94"/>
    <w:rsid w:val="007E3985"/>
    <w:rsid w:val="007F4183"/>
    <w:rsid w:val="007F4A59"/>
    <w:rsid w:val="007F79EE"/>
    <w:rsid w:val="008005AC"/>
    <w:rsid w:val="008022F1"/>
    <w:rsid w:val="00802EEF"/>
    <w:rsid w:val="00810AE7"/>
    <w:rsid w:val="008173B3"/>
    <w:rsid w:val="00817E2A"/>
    <w:rsid w:val="00831B04"/>
    <w:rsid w:val="00832917"/>
    <w:rsid w:val="00840269"/>
    <w:rsid w:val="00841522"/>
    <w:rsid w:val="00854E14"/>
    <w:rsid w:val="0086333D"/>
    <w:rsid w:val="00864B2B"/>
    <w:rsid w:val="008754A3"/>
    <w:rsid w:val="008806D9"/>
    <w:rsid w:val="0088301D"/>
    <w:rsid w:val="00883E09"/>
    <w:rsid w:val="00886510"/>
    <w:rsid w:val="00891345"/>
    <w:rsid w:val="00892791"/>
    <w:rsid w:val="00894F92"/>
    <w:rsid w:val="008A09DC"/>
    <w:rsid w:val="008A2025"/>
    <w:rsid w:val="008A69EA"/>
    <w:rsid w:val="008A78BC"/>
    <w:rsid w:val="008A7D25"/>
    <w:rsid w:val="008B0F36"/>
    <w:rsid w:val="008B55FF"/>
    <w:rsid w:val="008B5953"/>
    <w:rsid w:val="008C0BC0"/>
    <w:rsid w:val="008C140C"/>
    <w:rsid w:val="008C2AA8"/>
    <w:rsid w:val="008D1B67"/>
    <w:rsid w:val="008D45EF"/>
    <w:rsid w:val="008D5F2C"/>
    <w:rsid w:val="008E18C4"/>
    <w:rsid w:val="008E1DF8"/>
    <w:rsid w:val="008E6E39"/>
    <w:rsid w:val="008E723F"/>
    <w:rsid w:val="008E7947"/>
    <w:rsid w:val="008F35C9"/>
    <w:rsid w:val="0090102E"/>
    <w:rsid w:val="009139AE"/>
    <w:rsid w:val="00916122"/>
    <w:rsid w:val="009169B9"/>
    <w:rsid w:val="00917C97"/>
    <w:rsid w:val="00922314"/>
    <w:rsid w:val="0093756B"/>
    <w:rsid w:val="009400C2"/>
    <w:rsid w:val="00944DBD"/>
    <w:rsid w:val="009462FA"/>
    <w:rsid w:val="009505DD"/>
    <w:rsid w:val="00955905"/>
    <w:rsid w:val="00957FCA"/>
    <w:rsid w:val="00962E14"/>
    <w:rsid w:val="0096761A"/>
    <w:rsid w:val="009701C8"/>
    <w:rsid w:val="009705B3"/>
    <w:rsid w:val="00971016"/>
    <w:rsid w:val="009813A6"/>
    <w:rsid w:val="00990958"/>
    <w:rsid w:val="009A15B4"/>
    <w:rsid w:val="009A3BE8"/>
    <w:rsid w:val="009A5ABE"/>
    <w:rsid w:val="009B7B1F"/>
    <w:rsid w:val="009C2244"/>
    <w:rsid w:val="009C3C7B"/>
    <w:rsid w:val="009D1D31"/>
    <w:rsid w:val="009E4604"/>
    <w:rsid w:val="009F1183"/>
    <w:rsid w:val="009F1514"/>
    <w:rsid w:val="009F2F7B"/>
    <w:rsid w:val="009F3421"/>
    <w:rsid w:val="009F44B4"/>
    <w:rsid w:val="009F589F"/>
    <w:rsid w:val="009F7119"/>
    <w:rsid w:val="00A00401"/>
    <w:rsid w:val="00A043DE"/>
    <w:rsid w:val="00A05BAE"/>
    <w:rsid w:val="00A11618"/>
    <w:rsid w:val="00A14CF4"/>
    <w:rsid w:val="00A1570C"/>
    <w:rsid w:val="00A15C4F"/>
    <w:rsid w:val="00A16E60"/>
    <w:rsid w:val="00A20DAC"/>
    <w:rsid w:val="00A21944"/>
    <w:rsid w:val="00A23560"/>
    <w:rsid w:val="00A2724A"/>
    <w:rsid w:val="00A31BBA"/>
    <w:rsid w:val="00A37539"/>
    <w:rsid w:val="00A40B4C"/>
    <w:rsid w:val="00A51842"/>
    <w:rsid w:val="00A523AA"/>
    <w:rsid w:val="00A54BAC"/>
    <w:rsid w:val="00A60347"/>
    <w:rsid w:val="00A62487"/>
    <w:rsid w:val="00A63AF0"/>
    <w:rsid w:val="00A64588"/>
    <w:rsid w:val="00A66952"/>
    <w:rsid w:val="00A67E70"/>
    <w:rsid w:val="00A70534"/>
    <w:rsid w:val="00A7297B"/>
    <w:rsid w:val="00A73A46"/>
    <w:rsid w:val="00A74A2B"/>
    <w:rsid w:val="00A7525C"/>
    <w:rsid w:val="00A77B25"/>
    <w:rsid w:val="00A83153"/>
    <w:rsid w:val="00A8765D"/>
    <w:rsid w:val="00A8785A"/>
    <w:rsid w:val="00A90432"/>
    <w:rsid w:val="00A9794F"/>
    <w:rsid w:val="00AB0DB7"/>
    <w:rsid w:val="00AB0E27"/>
    <w:rsid w:val="00AB7DAF"/>
    <w:rsid w:val="00AC24D4"/>
    <w:rsid w:val="00AC46F5"/>
    <w:rsid w:val="00AC4F32"/>
    <w:rsid w:val="00AD191A"/>
    <w:rsid w:val="00AD5DDB"/>
    <w:rsid w:val="00AD783C"/>
    <w:rsid w:val="00AE6B9C"/>
    <w:rsid w:val="00AF1D91"/>
    <w:rsid w:val="00AF62C2"/>
    <w:rsid w:val="00B00D76"/>
    <w:rsid w:val="00B03D10"/>
    <w:rsid w:val="00B05FDA"/>
    <w:rsid w:val="00B146C0"/>
    <w:rsid w:val="00B26866"/>
    <w:rsid w:val="00B32E4E"/>
    <w:rsid w:val="00B43F32"/>
    <w:rsid w:val="00B4456F"/>
    <w:rsid w:val="00B61F61"/>
    <w:rsid w:val="00B63BBC"/>
    <w:rsid w:val="00B701C6"/>
    <w:rsid w:val="00B802A8"/>
    <w:rsid w:val="00B90CF8"/>
    <w:rsid w:val="00B91986"/>
    <w:rsid w:val="00B96E4F"/>
    <w:rsid w:val="00BA688E"/>
    <w:rsid w:val="00BB3408"/>
    <w:rsid w:val="00BB4052"/>
    <w:rsid w:val="00BB46BB"/>
    <w:rsid w:val="00BB5DCC"/>
    <w:rsid w:val="00BB7DB8"/>
    <w:rsid w:val="00BC7341"/>
    <w:rsid w:val="00BC7853"/>
    <w:rsid w:val="00BC78DA"/>
    <w:rsid w:val="00BD17E4"/>
    <w:rsid w:val="00BD4333"/>
    <w:rsid w:val="00BE07E2"/>
    <w:rsid w:val="00BE1BBA"/>
    <w:rsid w:val="00BE2447"/>
    <w:rsid w:val="00BE2AD6"/>
    <w:rsid w:val="00BE609B"/>
    <w:rsid w:val="00BF00BC"/>
    <w:rsid w:val="00BF10E4"/>
    <w:rsid w:val="00BF20DB"/>
    <w:rsid w:val="00BF2A76"/>
    <w:rsid w:val="00BF4225"/>
    <w:rsid w:val="00BF4A85"/>
    <w:rsid w:val="00C11026"/>
    <w:rsid w:val="00C1168C"/>
    <w:rsid w:val="00C1324B"/>
    <w:rsid w:val="00C13483"/>
    <w:rsid w:val="00C144E4"/>
    <w:rsid w:val="00C16B61"/>
    <w:rsid w:val="00C2122A"/>
    <w:rsid w:val="00C213BB"/>
    <w:rsid w:val="00C2376A"/>
    <w:rsid w:val="00C32BE1"/>
    <w:rsid w:val="00C34D41"/>
    <w:rsid w:val="00C35EB8"/>
    <w:rsid w:val="00C44E75"/>
    <w:rsid w:val="00C45804"/>
    <w:rsid w:val="00C472D8"/>
    <w:rsid w:val="00C476E1"/>
    <w:rsid w:val="00C47D19"/>
    <w:rsid w:val="00C56B6D"/>
    <w:rsid w:val="00C61182"/>
    <w:rsid w:val="00C62DC1"/>
    <w:rsid w:val="00C711AC"/>
    <w:rsid w:val="00C74AAF"/>
    <w:rsid w:val="00C76706"/>
    <w:rsid w:val="00C87AB5"/>
    <w:rsid w:val="00C93ED6"/>
    <w:rsid w:val="00C93FA9"/>
    <w:rsid w:val="00CA1B14"/>
    <w:rsid w:val="00CA1EC1"/>
    <w:rsid w:val="00CB0A76"/>
    <w:rsid w:val="00CB0E67"/>
    <w:rsid w:val="00CB35FA"/>
    <w:rsid w:val="00CC2042"/>
    <w:rsid w:val="00CC365B"/>
    <w:rsid w:val="00CC3C32"/>
    <w:rsid w:val="00CC5CF6"/>
    <w:rsid w:val="00CD3F71"/>
    <w:rsid w:val="00CD67C0"/>
    <w:rsid w:val="00CD70C6"/>
    <w:rsid w:val="00CE13A5"/>
    <w:rsid w:val="00CE39F0"/>
    <w:rsid w:val="00CE45FE"/>
    <w:rsid w:val="00CE68BA"/>
    <w:rsid w:val="00CF23D4"/>
    <w:rsid w:val="00CF38E8"/>
    <w:rsid w:val="00D0035F"/>
    <w:rsid w:val="00D012B5"/>
    <w:rsid w:val="00D046CC"/>
    <w:rsid w:val="00D05EDF"/>
    <w:rsid w:val="00D1286C"/>
    <w:rsid w:val="00D12BF6"/>
    <w:rsid w:val="00D20E96"/>
    <w:rsid w:val="00D22CE6"/>
    <w:rsid w:val="00D235C5"/>
    <w:rsid w:val="00D23CA7"/>
    <w:rsid w:val="00D27499"/>
    <w:rsid w:val="00D31D7E"/>
    <w:rsid w:val="00D327DE"/>
    <w:rsid w:val="00D33465"/>
    <w:rsid w:val="00D33CA6"/>
    <w:rsid w:val="00D352A7"/>
    <w:rsid w:val="00D43F87"/>
    <w:rsid w:val="00D4553D"/>
    <w:rsid w:val="00D47F4C"/>
    <w:rsid w:val="00D52585"/>
    <w:rsid w:val="00D60571"/>
    <w:rsid w:val="00D66F8C"/>
    <w:rsid w:val="00D70797"/>
    <w:rsid w:val="00D73F64"/>
    <w:rsid w:val="00D9144F"/>
    <w:rsid w:val="00D91882"/>
    <w:rsid w:val="00D972D5"/>
    <w:rsid w:val="00D97401"/>
    <w:rsid w:val="00DA5C85"/>
    <w:rsid w:val="00DA5FAE"/>
    <w:rsid w:val="00DA6668"/>
    <w:rsid w:val="00DB4BCA"/>
    <w:rsid w:val="00DB67ED"/>
    <w:rsid w:val="00DC034B"/>
    <w:rsid w:val="00DC7903"/>
    <w:rsid w:val="00DD4E9D"/>
    <w:rsid w:val="00DE4849"/>
    <w:rsid w:val="00DF11E4"/>
    <w:rsid w:val="00DF30DF"/>
    <w:rsid w:val="00DF65A1"/>
    <w:rsid w:val="00DF6DD4"/>
    <w:rsid w:val="00E01563"/>
    <w:rsid w:val="00E031FB"/>
    <w:rsid w:val="00E11EF3"/>
    <w:rsid w:val="00E3299D"/>
    <w:rsid w:val="00E34F6D"/>
    <w:rsid w:val="00E3576C"/>
    <w:rsid w:val="00E36535"/>
    <w:rsid w:val="00E415CF"/>
    <w:rsid w:val="00E45FD8"/>
    <w:rsid w:val="00E501DC"/>
    <w:rsid w:val="00E57E7F"/>
    <w:rsid w:val="00E6075C"/>
    <w:rsid w:val="00E638A6"/>
    <w:rsid w:val="00E667FB"/>
    <w:rsid w:val="00E70A28"/>
    <w:rsid w:val="00E70E4C"/>
    <w:rsid w:val="00E85EB0"/>
    <w:rsid w:val="00E9087B"/>
    <w:rsid w:val="00E969EC"/>
    <w:rsid w:val="00EA0044"/>
    <w:rsid w:val="00EA2C08"/>
    <w:rsid w:val="00EA69AC"/>
    <w:rsid w:val="00EB3D96"/>
    <w:rsid w:val="00EB684E"/>
    <w:rsid w:val="00EC1CD0"/>
    <w:rsid w:val="00EC25CF"/>
    <w:rsid w:val="00EC4694"/>
    <w:rsid w:val="00ED5AD9"/>
    <w:rsid w:val="00EE363F"/>
    <w:rsid w:val="00EE7758"/>
    <w:rsid w:val="00EE7D55"/>
    <w:rsid w:val="00EF040F"/>
    <w:rsid w:val="00EF1678"/>
    <w:rsid w:val="00F05002"/>
    <w:rsid w:val="00F1554E"/>
    <w:rsid w:val="00F17A30"/>
    <w:rsid w:val="00F20D35"/>
    <w:rsid w:val="00F30131"/>
    <w:rsid w:val="00F4059A"/>
    <w:rsid w:val="00F43BA7"/>
    <w:rsid w:val="00F4536C"/>
    <w:rsid w:val="00F55531"/>
    <w:rsid w:val="00F5781A"/>
    <w:rsid w:val="00F628F0"/>
    <w:rsid w:val="00F71C4B"/>
    <w:rsid w:val="00F73EE4"/>
    <w:rsid w:val="00F74068"/>
    <w:rsid w:val="00F75D91"/>
    <w:rsid w:val="00F77CC4"/>
    <w:rsid w:val="00F909EF"/>
    <w:rsid w:val="00F92126"/>
    <w:rsid w:val="00F92EA4"/>
    <w:rsid w:val="00FA28F4"/>
    <w:rsid w:val="00FA4160"/>
    <w:rsid w:val="00FB40CE"/>
    <w:rsid w:val="00FB4EC1"/>
    <w:rsid w:val="00FB5943"/>
    <w:rsid w:val="00FB599B"/>
    <w:rsid w:val="00FB67D3"/>
    <w:rsid w:val="00FB67F2"/>
    <w:rsid w:val="00FB7B59"/>
    <w:rsid w:val="00FC21AB"/>
    <w:rsid w:val="00FC3BCE"/>
    <w:rsid w:val="00FC4679"/>
    <w:rsid w:val="00FD131E"/>
    <w:rsid w:val="00FD3A90"/>
    <w:rsid w:val="00FD65D4"/>
    <w:rsid w:val="00FE6577"/>
    <w:rsid w:val="00FF2D1F"/>
    <w:rsid w:val="00FF63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A45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table" w:styleId="PlainTable1">
    <w:name w:val="Plain Table 1"/>
    <w:basedOn w:val="TableNormal"/>
    <w:uiPriority w:val="41"/>
    <w:rsid w:val="00705F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21489E"/>
    <w:rPr>
      <w:color w:val="0000FF" w:themeColor="hyperlink"/>
      <w:u w:val="single"/>
    </w:rPr>
  </w:style>
  <w:style w:type="character" w:customStyle="1" w:styleId="Heading3Char">
    <w:name w:val="Heading 3 Char"/>
    <w:basedOn w:val="DefaultParagraphFont"/>
    <w:link w:val="Heading3"/>
    <w:uiPriority w:val="9"/>
    <w:semiHidden/>
    <w:rsid w:val="004A45A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933">
      <w:bodyDiv w:val="1"/>
      <w:marLeft w:val="0"/>
      <w:marRight w:val="0"/>
      <w:marTop w:val="0"/>
      <w:marBottom w:val="0"/>
      <w:divBdr>
        <w:top w:val="none" w:sz="0" w:space="0" w:color="auto"/>
        <w:left w:val="none" w:sz="0" w:space="0" w:color="auto"/>
        <w:bottom w:val="none" w:sz="0" w:space="0" w:color="auto"/>
        <w:right w:val="none" w:sz="0" w:space="0" w:color="auto"/>
      </w:divBdr>
    </w:div>
    <w:div w:id="105928825">
      <w:bodyDiv w:val="1"/>
      <w:marLeft w:val="0"/>
      <w:marRight w:val="0"/>
      <w:marTop w:val="0"/>
      <w:marBottom w:val="0"/>
      <w:divBdr>
        <w:top w:val="none" w:sz="0" w:space="0" w:color="auto"/>
        <w:left w:val="none" w:sz="0" w:space="0" w:color="auto"/>
        <w:bottom w:val="none" w:sz="0" w:space="0" w:color="auto"/>
        <w:right w:val="none" w:sz="0" w:space="0" w:color="auto"/>
      </w:divBdr>
    </w:div>
    <w:div w:id="124812682">
      <w:bodyDiv w:val="1"/>
      <w:marLeft w:val="0"/>
      <w:marRight w:val="0"/>
      <w:marTop w:val="0"/>
      <w:marBottom w:val="0"/>
      <w:divBdr>
        <w:top w:val="none" w:sz="0" w:space="0" w:color="auto"/>
        <w:left w:val="none" w:sz="0" w:space="0" w:color="auto"/>
        <w:bottom w:val="none" w:sz="0" w:space="0" w:color="auto"/>
        <w:right w:val="none" w:sz="0" w:space="0" w:color="auto"/>
      </w:divBdr>
    </w:div>
    <w:div w:id="243222412">
      <w:bodyDiv w:val="1"/>
      <w:marLeft w:val="0"/>
      <w:marRight w:val="0"/>
      <w:marTop w:val="0"/>
      <w:marBottom w:val="0"/>
      <w:divBdr>
        <w:top w:val="none" w:sz="0" w:space="0" w:color="auto"/>
        <w:left w:val="none" w:sz="0" w:space="0" w:color="auto"/>
        <w:bottom w:val="none" w:sz="0" w:space="0" w:color="auto"/>
        <w:right w:val="none" w:sz="0" w:space="0" w:color="auto"/>
      </w:divBdr>
    </w:div>
    <w:div w:id="340591039">
      <w:bodyDiv w:val="1"/>
      <w:marLeft w:val="0"/>
      <w:marRight w:val="0"/>
      <w:marTop w:val="0"/>
      <w:marBottom w:val="0"/>
      <w:divBdr>
        <w:top w:val="none" w:sz="0" w:space="0" w:color="auto"/>
        <w:left w:val="none" w:sz="0" w:space="0" w:color="auto"/>
        <w:bottom w:val="none" w:sz="0" w:space="0" w:color="auto"/>
        <w:right w:val="none" w:sz="0" w:space="0" w:color="auto"/>
      </w:divBdr>
    </w:div>
    <w:div w:id="350842213">
      <w:bodyDiv w:val="1"/>
      <w:marLeft w:val="0"/>
      <w:marRight w:val="0"/>
      <w:marTop w:val="0"/>
      <w:marBottom w:val="0"/>
      <w:divBdr>
        <w:top w:val="none" w:sz="0" w:space="0" w:color="auto"/>
        <w:left w:val="none" w:sz="0" w:space="0" w:color="auto"/>
        <w:bottom w:val="none" w:sz="0" w:space="0" w:color="auto"/>
        <w:right w:val="none" w:sz="0" w:space="0" w:color="auto"/>
      </w:divBdr>
    </w:div>
    <w:div w:id="379861241">
      <w:bodyDiv w:val="1"/>
      <w:marLeft w:val="0"/>
      <w:marRight w:val="0"/>
      <w:marTop w:val="0"/>
      <w:marBottom w:val="0"/>
      <w:divBdr>
        <w:top w:val="none" w:sz="0" w:space="0" w:color="auto"/>
        <w:left w:val="none" w:sz="0" w:space="0" w:color="auto"/>
        <w:bottom w:val="none" w:sz="0" w:space="0" w:color="auto"/>
        <w:right w:val="none" w:sz="0" w:space="0" w:color="auto"/>
      </w:divBdr>
    </w:div>
    <w:div w:id="410545867">
      <w:bodyDiv w:val="1"/>
      <w:marLeft w:val="0"/>
      <w:marRight w:val="0"/>
      <w:marTop w:val="0"/>
      <w:marBottom w:val="0"/>
      <w:divBdr>
        <w:top w:val="none" w:sz="0" w:space="0" w:color="auto"/>
        <w:left w:val="none" w:sz="0" w:space="0" w:color="auto"/>
        <w:bottom w:val="none" w:sz="0" w:space="0" w:color="auto"/>
        <w:right w:val="none" w:sz="0" w:space="0" w:color="auto"/>
      </w:divBdr>
    </w:div>
    <w:div w:id="462232111">
      <w:bodyDiv w:val="1"/>
      <w:marLeft w:val="0"/>
      <w:marRight w:val="0"/>
      <w:marTop w:val="0"/>
      <w:marBottom w:val="0"/>
      <w:divBdr>
        <w:top w:val="none" w:sz="0" w:space="0" w:color="auto"/>
        <w:left w:val="none" w:sz="0" w:space="0" w:color="auto"/>
        <w:bottom w:val="none" w:sz="0" w:space="0" w:color="auto"/>
        <w:right w:val="none" w:sz="0" w:space="0" w:color="auto"/>
      </w:divBdr>
    </w:div>
    <w:div w:id="86089996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1445913">
      <w:bodyDiv w:val="1"/>
      <w:marLeft w:val="0"/>
      <w:marRight w:val="0"/>
      <w:marTop w:val="0"/>
      <w:marBottom w:val="0"/>
      <w:divBdr>
        <w:top w:val="none" w:sz="0" w:space="0" w:color="auto"/>
        <w:left w:val="none" w:sz="0" w:space="0" w:color="auto"/>
        <w:bottom w:val="none" w:sz="0" w:space="0" w:color="auto"/>
        <w:right w:val="none" w:sz="0" w:space="0" w:color="auto"/>
      </w:divBdr>
    </w:div>
    <w:div w:id="1269966646">
      <w:bodyDiv w:val="1"/>
      <w:marLeft w:val="0"/>
      <w:marRight w:val="0"/>
      <w:marTop w:val="0"/>
      <w:marBottom w:val="0"/>
      <w:divBdr>
        <w:top w:val="none" w:sz="0" w:space="0" w:color="auto"/>
        <w:left w:val="none" w:sz="0" w:space="0" w:color="auto"/>
        <w:bottom w:val="none" w:sz="0" w:space="0" w:color="auto"/>
        <w:right w:val="none" w:sz="0" w:space="0" w:color="auto"/>
      </w:divBdr>
      <w:divsChild>
        <w:div w:id="324676046">
          <w:marLeft w:val="0"/>
          <w:marRight w:val="547"/>
          <w:marTop w:val="0"/>
          <w:marBottom w:val="200"/>
          <w:divBdr>
            <w:top w:val="none" w:sz="0" w:space="0" w:color="auto"/>
            <w:left w:val="none" w:sz="0" w:space="0" w:color="auto"/>
            <w:bottom w:val="none" w:sz="0" w:space="0" w:color="auto"/>
            <w:right w:val="none" w:sz="0" w:space="0" w:color="auto"/>
          </w:divBdr>
        </w:div>
        <w:div w:id="60450286">
          <w:marLeft w:val="0"/>
          <w:marRight w:val="547"/>
          <w:marTop w:val="0"/>
          <w:marBottom w:val="200"/>
          <w:divBdr>
            <w:top w:val="none" w:sz="0" w:space="0" w:color="auto"/>
            <w:left w:val="none" w:sz="0" w:space="0" w:color="auto"/>
            <w:bottom w:val="none" w:sz="0" w:space="0" w:color="auto"/>
            <w:right w:val="none" w:sz="0" w:space="0" w:color="auto"/>
          </w:divBdr>
        </w:div>
        <w:div w:id="545487752">
          <w:marLeft w:val="0"/>
          <w:marRight w:val="547"/>
          <w:marTop w:val="0"/>
          <w:marBottom w:val="200"/>
          <w:divBdr>
            <w:top w:val="none" w:sz="0" w:space="0" w:color="auto"/>
            <w:left w:val="none" w:sz="0" w:space="0" w:color="auto"/>
            <w:bottom w:val="none" w:sz="0" w:space="0" w:color="auto"/>
            <w:right w:val="none" w:sz="0" w:space="0" w:color="auto"/>
          </w:divBdr>
        </w:div>
        <w:div w:id="1086071309">
          <w:marLeft w:val="0"/>
          <w:marRight w:val="547"/>
          <w:marTop w:val="0"/>
          <w:marBottom w:val="200"/>
          <w:divBdr>
            <w:top w:val="none" w:sz="0" w:space="0" w:color="auto"/>
            <w:left w:val="none" w:sz="0" w:space="0" w:color="auto"/>
            <w:bottom w:val="none" w:sz="0" w:space="0" w:color="auto"/>
            <w:right w:val="none" w:sz="0" w:space="0" w:color="auto"/>
          </w:divBdr>
        </w:div>
      </w:divsChild>
    </w:div>
    <w:div w:id="1619532265">
      <w:bodyDiv w:val="1"/>
      <w:marLeft w:val="0"/>
      <w:marRight w:val="0"/>
      <w:marTop w:val="0"/>
      <w:marBottom w:val="0"/>
      <w:divBdr>
        <w:top w:val="none" w:sz="0" w:space="0" w:color="auto"/>
        <w:left w:val="none" w:sz="0" w:space="0" w:color="auto"/>
        <w:bottom w:val="none" w:sz="0" w:space="0" w:color="auto"/>
        <w:right w:val="none" w:sz="0" w:space="0" w:color="auto"/>
      </w:divBdr>
      <w:divsChild>
        <w:div w:id="923103399">
          <w:marLeft w:val="0"/>
          <w:marRight w:val="547"/>
          <w:marTop w:val="0"/>
          <w:marBottom w:val="200"/>
          <w:divBdr>
            <w:top w:val="none" w:sz="0" w:space="0" w:color="auto"/>
            <w:left w:val="none" w:sz="0" w:space="0" w:color="auto"/>
            <w:bottom w:val="none" w:sz="0" w:space="0" w:color="auto"/>
            <w:right w:val="none" w:sz="0" w:space="0" w:color="auto"/>
          </w:divBdr>
        </w:div>
        <w:div w:id="924415160">
          <w:marLeft w:val="0"/>
          <w:marRight w:val="547"/>
          <w:marTop w:val="0"/>
          <w:marBottom w:val="200"/>
          <w:divBdr>
            <w:top w:val="none" w:sz="0" w:space="0" w:color="auto"/>
            <w:left w:val="none" w:sz="0" w:space="0" w:color="auto"/>
            <w:bottom w:val="none" w:sz="0" w:space="0" w:color="auto"/>
            <w:right w:val="none" w:sz="0" w:space="0" w:color="auto"/>
          </w:divBdr>
        </w:div>
        <w:div w:id="2114473118">
          <w:marLeft w:val="0"/>
          <w:marRight w:val="547"/>
          <w:marTop w:val="0"/>
          <w:marBottom w:val="200"/>
          <w:divBdr>
            <w:top w:val="none" w:sz="0" w:space="0" w:color="auto"/>
            <w:left w:val="none" w:sz="0" w:space="0" w:color="auto"/>
            <w:bottom w:val="none" w:sz="0" w:space="0" w:color="auto"/>
            <w:right w:val="none" w:sz="0" w:space="0" w:color="auto"/>
          </w:divBdr>
        </w:div>
      </w:divsChild>
    </w:div>
    <w:div w:id="1780028786">
      <w:bodyDiv w:val="1"/>
      <w:marLeft w:val="0"/>
      <w:marRight w:val="0"/>
      <w:marTop w:val="0"/>
      <w:marBottom w:val="0"/>
      <w:divBdr>
        <w:top w:val="none" w:sz="0" w:space="0" w:color="auto"/>
        <w:left w:val="none" w:sz="0" w:space="0" w:color="auto"/>
        <w:bottom w:val="none" w:sz="0" w:space="0" w:color="auto"/>
        <w:right w:val="none" w:sz="0" w:space="0" w:color="auto"/>
      </w:divBdr>
    </w:div>
    <w:div w:id="1806657963">
      <w:bodyDiv w:val="1"/>
      <w:marLeft w:val="0"/>
      <w:marRight w:val="0"/>
      <w:marTop w:val="0"/>
      <w:marBottom w:val="0"/>
      <w:divBdr>
        <w:top w:val="none" w:sz="0" w:space="0" w:color="auto"/>
        <w:left w:val="none" w:sz="0" w:space="0" w:color="auto"/>
        <w:bottom w:val="none" w:sz="0" w:space="0" w:color="auto"/>
        <w:right w:val="none" w:sz="0" w:space="0" w:color="auto"/>
      </w:divBdr>
    </w:div>
    <w:div w:id="202278131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51914323" TargetMode="External"/><Relationship Id="rId18" Type="http://schemas.openxmlformats.org/officeDocument/2006/relationships/hyperlink" Target="https://doi.org/10.63278/mme.vi.1598" TargetMode="External"/><Relationship Id="rId26" Type="http://schemas.openxmlformats.org/officeDocument/2006/relationships/hyperlink" Target="https://doi.org/10.3390/su15097500" TargetMode="External"/><Relationship Id="rId3" Type="http://schemas.openxmlformats.org/officeDocument/2006/relationships/styles" Target="styles.xml"/><Relationship Id="rId21" Type="http://schemas.openxmlformats.org/officeDocument/2006/relationships/hyperlink" Target="https://doi.org/10.3390/su1304193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55/2024/8780539" TargetMode="External"/><Relationship Id="rId17" Type="http://schemas.openxmlformats.org/officeDocument/2006/relationships/hyperlink" Target="https://doi.org/10.3390/buildings12070902" TargetMode="External"/><Relationship Id="rId25" Type="http://schemas.openxmlformats.org/officeDocument/2006/relationships/hyperlink" Target="https://doi.org/10.1016/j.clet.2023.10062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90/su17083539" TargetMode="External"/><Relationship Id="rId20" Type="http://schemas.openxmlformats.org/officeDocument/2006/relationships/hyperlink" Target="https://doi.org/10.3390/su141610314"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was.2024.100195" TargetMode="External"/><Relationship Id="rId24" Type="http://schemas.openxmlformats.org/officeDocument/2006/relationships/hyperlink" Target="https://doi.org/10.1016/j.indic.2022.100193"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16/j.ijproman.2011.07.001" TargetMode="External"/><Relationship Id="rId23" Type="http://schemas.openxmlformats.org/officeDocument/2006/relationships/hyperlink" Target="https://doi.org/10.1016/j.scs.2020.102576" TargetMode="External"/><Relationship Id="rId28" Type="http://schemas.openxmlformats.org/officeDocument/2006/relationships/header" Target="header1.xml"/><Relationship Id="rId10" Type="http://schemas.openxmlformats.org/officeDocument/2006/relationships/hyperlink" Target="https://doi.org/10.3390/smartcities5040075" TargetMode="External"/><Relationship Id="rId19" Type="http://schemas.openxmlformats.org/officeDocument/2006/relationships/hyperlink" Target="https://doi.org/10.3390/su14116427"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3467581.2025.2454616" TargetMode="External"/><Relationship Id="rId22" Type="http://schemas.openxmlformats.org/officeDocument/2006/relationships/hyperlink" Target="https://sustainabledevelopment.un.org/content/documents/20230KSA_English_Report_Final_July_9_2018.pdf" TargetMode="External"/><Relationship Id="rId27" Type="http://schemas.openxmlformats.org/officeDocument/2006/relationships/hyperlink" Target="https://doi.org/10.1016/j.jksues.2020.10.001" TargetMode="External"/><Relationship Id="rId30" Type="http://schemas.openxmlformats.org/officeDocument/2006/relationships/footer" Target="footer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59</Pages>
  <Words>10176</Words>
  <Characters>57908</Characters>
  <Application>Microsoft Office Word</Application>
  <DocSecurity>0</DocSecurity>
  <Lines>998</Lines>
  <Paragraphs>393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Abdullah Alharbi</cp:lastModifiedBy>
  <cp:revision>59</cp:revision>
  <cp:lastPrinted>2025-04-13T21:35:00Z</cp:lastPrinted>
  <dcterms:created xsi:type="dcterms:W3CDTF">2025-04-30T02:48:00Z</dcterms:created>
  <dcterms:modified xsi:type="dcterms:W3CDTF">2025-07-13T23:06:00Z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22eb1272c823c000ef4ace27f6ef28fe35f2bdc4d01b0ead6f6943ef47c40602</vt:lpwstr>
  </property>
</Properties>
</file>