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0898A5" w14:textId="77777777" w:rsidR="009A032E" w:rsidRPr="007535CD" w:rsidRDefault="009A032E" w:rsidP="007535CD">
      <w:pPr>
        <w:pStyle w:val="Heading2"/>
        <w:bidi/>
        <w:rPr>
          <w:rFonts w:asciiTheme="majorBidi" w:eastAsia="Times New Roman" w:hAnsiTheme="majorBidi"/>
          <w:color w:val="000000" w:themeColor="text1"/>
          <w:sz w:val="24"/>
          <w:szCs w:val="24"/>
        </w:rPr>
      </w:pPr>
      <w:r w:rsidRPr="007535CD">
        <w:rPr>
          <w:rFonts w:asciiTheme="majorBidi" w:eastAsia="Times New Roman" w:hAnsiTheme="majorBidi"/>
          <w:color w:val="000000" w:themeColor="text1"/>
          <w:sz w:val="24"/>
          <w:szCs w:val="24"/>
          <w:rtl/>
        </w:rPr>
        <w:t>أولاً: نواقص مجتمع الدراسة والعينة</w:t>
      </w:r>
    </w:p>
    <w:p w14:paraId="7AD4AA0F" w14:textId="77777777" w:rsidR="009A032E" w:rsidRPr="007535CD" w:rsidRDefault="009A032E" w:rsidP="007535CD">
      <w:pPr>
        <w:pStyle w:val="NormalWeb"/>
        <w:bidi/>
        <w:rPr>
          <w:rFonts w:asciiTheme="majorBidi" w:eastAsiaTheme="minorHAnsi" w:hAnsiTheme="majorBidi" w:cstheme="majorBidi"/>
          <w:color w:val="000000" w:themeColor="text1"/>
        </w:rPr>
      </w:pPr>
      <w:r w:rsidRPr="007535CD">
        <w:rPr>
          <w:rStyle w:val="Strong"/>
          <w:rFonts w:asciiTheme="majorBidi" w:hAnsiTheme="majorBidi" w:cstheme="majorBidi"/>
          <w:color w:val="000000" w:themeColor="text1"/>
          <w:rtl/>
        </w:rPr>
        <w:t>الأولى: عدم الاتساق في الحدود الجغرافية لمجتمع الدراسة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حدد مجتمع الدراسة في البداية بوكالات التسويق الموجودة في الرياض وجدة والدمام، بينما شملت شروط الأهلية العاملين في أي وكالة داخل المملكة، كما أضيفت مكة والمدينة ومدن أخرى في البيانات الوصفية. يجب تحديد النطاق الجغرافي النهائي وتوحيده في جميع أجزاء الفصل</w:t>
      </w:r>
      <w:r w:rsidRPr="007535CD">
        <w:rPr>
          <w:rFonts w:asciiTheme="majorBidi" w:hAnsiTheme="majorBidi" w:cstheme="majorBidi"/>
          <w:color w:val="000000" w:themeColor="text1"/>
        </w:rPr>
        <w:t>.</w:t>
      </w:r>
    </w:p>
    <w:p w14:paraId="4B8D0386"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الثانية: عدم تحديد المقصود بوكالات التسويق الرقمي المرخصة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لم تُذكر الجهة الرسمية التي تمنح الترخيص، ولا المعايير التي تجعل المنشأة وكالة تسويق رقمي ضمن مجتمع الدراسة. يجب تقديم تعريف إجرائي واضح وذكر جهة الترخيص المعتمدة</w:t>
      </w:r>
      <w:r w:rsidRPr="007535CD">
        <w:rPr>
          <w:rFonts w:asciiTheme="majorBidi" w:hAnsiTheme="majorBidi" w:cstheme="majorBidi"/>
          <w:color w:val="000000" w:themeColor="text1"/>
        </w:rPr>
        <w:t>.</w:t>
      </w:r>
    </w:p>
    <w:p w14:paraId="7BCD121A"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الثالثة: عدم توثيق عدد وكالات التسويق المشمولة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لم يذكر الفصل عدد الوكالات العاملة في المدن المستهدفة، أو مصدر حصرها. يجب الاستناد إلى سجل رسمي أو قاعدة بيانات مهنية تبين العدد التقريبي للوكالات</w:t>
      </w:r>
      <w:r w:rsidRPr="007535CD">
        <w:rPr>
          <w:rFonts w:asciiTheme="majorBidi" w:hAnsiTheme="majorBidi" w:cstheme="majorBidi"/>
          <w:color w:val="000000" w:themeColor="text1"/>
        </w:rPr>
        <w:t>.</w:t>
      </w:r>
    </w:p>
    <w:p w14:paraId="053C7B44"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الرابعة: عدم التمييز بين إطار الوكالات وإطار العاملين</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تعذر حصر العاملين لا يعني بالضرورة تعذر حصر الوكالات نفسها. يجب توضيح ما إذا جرت محاولة الحصول على قائمة بالوكالات أولاً، ثم الوصول إلى العاملين داخلها</w:t>
      </w:r>
      <w:r w:rsidRPr="007535CD">
        <w:rPr>
          <w:rFonts w:asciiTheme="majorBidi" w:hAnsiTheme="majorBidi" w:cstheme="majorBidi"/>
          <w:color w:val="000000" w:themeColor="text1"/>
        </w:rPr>
        <w:t>.</w:t>
      </w:r>
    </w:p>
    <w:p w14:paraId="7C519114"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الخامسة: عدم توضيح سبب اختيار المدن المستهدفة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لم يقدم الفصل بيانات أو مبررات تبين سبب اختيار الرياض وجدة والدمام تحديداً. يجب دعم الاختيار بمؤشرات تتعلق بتركز وكالات التسويق أو حجم النشاط المهني في هذه المدن</w:t>
      </w:r>
      <w:r w:rsidRPr="007535CD">
        <w:rPr>
          <w:rFonts w:asciiTheme="majorBidi" w:hAnsiTheme="majorBidi" w:cstheme="majorBidi"/>
          <w:color w:val="000000" w:themeColor="text1"/>
        </w:rPr>
        <w:t>.</w:t>
      </w:r>
    </w:p>
    <w:p w14:paraId="6037A101"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السادسة: عدم تحديد الفئات الوظيفية المؤهلة بدقة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استخدمت عبارات عامة مثل التخطيط والتصميم والتنفيذ وتحليل الأداء، دون تحديد المسميات الوظيفية التي تندرج تحت كل فئة. يجب إعداد قائمة واضحة بالوظائف المؤهلة للمشاركة</w:t>
      </w:r>
      <w:r w:rsidRPr="007535CD">
        <w:rPr>
          <w:rFonts w:asciiTheme="majorBidi" w:hAnsiTheme="majorBidi" w:cstheme="majorBidi"/>
          <w:color w:val="000000" w:themeColor="text1"/>
        </w:rPr>
        <w:t>.</w:t>
      </w:r>
    </w:p>
    <w:p w14:paraId="51287D34"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السابعة: التوسع غير المنضبط في شرط الخبرة بالتقنية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يسمح شرط الأهلية بالمشاركة لمن لديه تعامل مباشر أو غير مباشر أو مجرد معرفة عملية. يجب تحديد الحد الأدنى المقبول للمعرفة أو الاستخدام، حتى لا تشمل العينة مشاركين لا يملكون خبرة كافية بموضوع الدراسة</w:t>
      </w:r>
      <w:r w:rsidRPr="007535CD">
        <w:rPr>
          <w:rFonts w:asciiTheme="majorBidi" w:hAnsiTheme="majorBidi" w:cstheme="majorBidi"/>
          <w:color w:val="000000" w:themeColor="text1"/>
        </w:rPr>
        <w:t>.</w:t>
      </w:r>
    </w:p>
    <w:p w14:paraId="19580591"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الثامنة: عدم تحديد الحد الأدنى لمدة العمل</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لم يشترط الفصل مدة خبرة داخل الوكالة أو في مجال الحملات الرقمية. يجب تحديد مدة مناسبة تضمن أن المشارك قادر على تقييم ممارسات العمل داخل الوكالة</w:t>
      </w:r>
      <w:r w:rsidRPr="007535CD">
        <w:rPr>
          <w:rFonts w:asciiTheme="majorBidi" w:hAnsiTheme="majorBidi" w:cstheme="majorBidi"/>
          <w:color w:val="000000" w:themeColor="text1"/>
        </w:rPr>
        <w:t>.</w:t>
      </w:r>
    </w:p>
    <w:p w14:paraId="60DA3EB3"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التاسعة: غياب معايير الاستبعاد</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توضيح الحالات التي تستبعد، مثل المتدربين، والعاملين المؤقتين، والمستقلين غير المرتبطين بوكالة، ومن لا يملكون خبرة حديثة في الحملات الرقمية</w:t>
      </w:r>
      <w:r w:rsidRPr="007535CD">
        <w:rPr>
          <w:rFonts w:asciiTheme="majorBidi" w:hAnsiTheme="majorBidi" w:cstheme="majorBidi"/>
          <w:color w:val="000000" w:themeColor="text1"/>
        </w:rPr>
        <w:t>.</w:t>
      </w:r>
    </w:p>
    <w:p w14:paraId="2FA44D9E"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العاشرة: عدم توضيح قنوات الوصول إلى العينة الميسرة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لم يبين الفصل هل سيتم الوصول إلى المشاركين من خلال الوكالات، أو الجمعيات المهنية، أو منصات التواصل، أو الشبكات الشخصية. يجب تحديد قنوات الاستقطاب بالتفصيل</w:t>
      </w:r>
      <w:r w:rsidRPr="007535CD">
        <w:rPr>
          <w:rFonts w:asciiTheme="majorBidi" w:hAnsiTheme="majorBidi" w:cstheme="majorBidi"/>
          <w:color w:val="000000" w:themeColor="text1"/>
        </w:rPr>
        <w:t>.</w:t>
      </w:r>
    </w:p>
    <w:p w14:paraId="4D427227"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الحادية عشرة: عدم شرح بداية تطبيق عينة كرة الثلج</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تحديد عدد المشاركين الأوائل الذين ستبدأ منهم الإحالات، وطريقة اختيارهم، وعدد الأشخاص الذين يسمح لكل مشارك بترشيحهم</w:t>
      </w:r>
      <w:r w:rsidRPr="007535CD">
        <w:rPr>
          <w:rFonts w:asciiTheme="majorBidi" w:hAnsiTheme="majorBidi" w:cstheme="majorBidi"/>
          <w:color w:val="000000" w:themeColor="text1"/>
        </w:rPr>
        <w:t>.</w:t>
      </w:r>
    </w:p>
    <w:p w14:paraId="09220E26"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الثانية عشرة: احتمال سيطرة شبكة مهنية واحدة على العينة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قد تؤدي كرة الثلج إلى تركز المشاركين في وكالات أو علاقات مهنية متقاربة. يجب تنويع نقاط البداية ووضع حدود للإحالات القادمة من كل شبكة</w:t>
      </w:r>
      <w:r w:rsidRPr="007535CD">
        <w:rPr>
          <w:rFonts w:asciiTheme="majorBidi" w:hAnsiTheme="majorBidi" w:cstheme="majorBidi"/>
          <w:color w:val="000000" w:themeColor="text1"/>
        </w:rPr>
        <w:t>.</w:t>
      </w:r>
    </w:p>
    <w:p w14:paraId="7A858252"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lastRenderedPageBreak/>
        <w:t xml:space="preserve">الثالثة عشرة: عدم وضع حصص </w:t>
      </w:r>
      <w:proofErr w:type="spellStart"/>
      <w:r w:rsidRPr="007535CD">
        <w:rPr>
          <w:rStyle w:val="Strong"/>
          <w:rFonts w:asciiTheme="majorBidi" w:hAnsiTheme="majorBidi" w:cstheme="majorBidi"/>
          <w:color w:val="000000" w:themeColor="text1"/>
          <w:rtl/>
        </w:rPr>
        <w:t>استرشادية</w:t>
      </w:r>
      <w:proofErr w:type="spellEnd"/>
      <w:r w:rsidRPr="007535CD">
        <w:rPr>
          <w:rStyle w:val="Strong"/>
          <w:rFonts w:asciiTheme="majorBidi" w:hAnsiTheme="majorBidi" w:cstheme="majorBidi"/>
          <w:color w:val="000000" w:themeColor="text1"/>
          <w:rtl/>
        </w:rPr>
        <w:t xml:space="preserve"> للعينة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 xml:space="preserve">رغم التأكيد على تنويع المدن والأدوار وأحجام الوكالات، لم توضع حصص أو حدود دنيا لكل فئة. يجب إعداد خطة </w:t>
      </w:r>
      <w:proofErr w:type="spellStart"/>
      <w:r w:rsidRPr="007535CD">
        <w:rPr>
          <w:rFonts w:asciiTheme="majorBidi" w:hAnsiTheme="majorBidi" w:cstheme="majorBidi"/>
          <w:color w:val="000000" w:themeColor="text1"/>
          <w:rtl/>
        </w:rPr>
        <w:t>استرشادية</w:t>
      </w:r>
      <w:proofErr w:type="spellEnd"/>
      <w:r w:rsidRPr="007535CD">
        <w:rPr>
          <w:rFonts w:asciiTheme="majorBidi" w:hAnsiTheme="majorBidi" w:cstheme="majorBidi"/>
          <w:color w:val="000000" w:themeColor="text1"/>
          <w:rtl/>
        </w:rPr>
        <w:t xml:space="preserve"> تضمن عدم تركز العينة في مدينة أو وظيفة واحدة</w:t>
      </w:r>
      <w:r w:rsidRPr="007535CD">
        <w:rPr>
          <w:rFonts w:asciiTheme="majorBidi" w:hAnsiTheme="majorBidi" w:cstheme="majorBidi"/>
          <w:color w:val="000000" w:themeColor="text1"/>
        </w:rPr>
        <w:t>.</w:t>
      </w:r>
    </w:p>
    <w:p w14:paraId="6EE57EAB"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الرابعة عشرة: عدم توضيح توزيع العدد المستهدف على المناطق</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تحديد العدد التقريبي المطلوب من كل مدينة أو منطقة، حتى يمكن تقييم مدى التوازن الجغرافي في العينة النهائية</w:t>
      </w:r>
      <w:r w:rsidRPr="007535CD">
        <w:rPr>
          <w:rFonts w:asciiTheme="majorBidi" w:hAnsiTheme="majorBidi" w:cstheme="majorBidi"/>
          <w:color w:val="000000" w:themeColor="text1"/>
        </w:rPr>
        <w:t>.</w:t>
      </w:r>
    </w:p>
    <w:p w14:paraId="75396220"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 xml:space="preserve">الخامسة عشرة: عدم ملاءمة معادلة </w:t>
      </w:r>
      <w:proofErr w:type="spellStart"/>
      <w:r w:rsidRPr="007535CD">
        <w:rPr>
          <w:rStyle w:val="Strong"/>
          <w:rFonts w:asciiTheme="majorBidi" w:hAnsiTheme="majorBidi" w:cstheme="majorBidi"/>
          <w:color w:val="000000" w:themeColor="text1"/>
          <w:rtl/>
        </w:rPr>
        <w:t>كوكران</w:t>
      </w:r>
      <w:proofErr w:type="spellEnd"/>
      <w:r w:rsidRPr="007535CD">
        <w:rPr>
          <w:rStyle w:val="Strong"/>
          <w:rFonts w:asciiTheme="majorBidi" w:hAnsiTheme="majorBidi" w:cstheme="majorBidi"/>
          <w:color w:val="000000" w:themeColor="text1"/>
          <w:rtl/>
        </w:rPr>
        <w:t xml:space="preserve"> لطريقة المعاينة المستخدمة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 xml:space="preserve">معادلة </w:t>
      </w:r>
      <w:proofErr w:type="spellStart"/>
      <w:r w:rsidRPr="007535CD">
        <w:rPr>
          <w:rFonts w:asciiTheme="majorBidi" w:hAnsiTheme="majorBidi" w:cstheme="majorBidi"/>
          <w:color w:val="000000" w:themeColor="text1"/>
          <w:rtl/>
        </w:rPr>
        <w:t>كوكران</w:t>
      </w:r>
      <w:proofErr w:type="spellEnd"/>
      <w:r w:rsidRPr="007535CD">
        <w:rPr>
          <w:rFonts w:asciiTheme="majorBidi" w:hAnsiTheme="majorBidi" w:cstheme="majorBidi"/>
          <w:color w:val="000000" w:themeColor="text1"/>
          <w:rtl/>
        </w:rPr>
        <w:t xml:space="preserve"> عند هامش خطأ 5% ومستوى ثقة 95% تفترض أساساً معاينة احتمالية، بينما الدراسة تستخدم عينة ميسرة وكرة الثلج. لذلك لا يجوز تفسير 384 مفردة على أنها تضمن هامش خطأ إحصائياً محدداً</w:t>
      </w:r>
      <w:r w:rsidRPr="007535CD">
        <w:rPr>
          <w:rFonts w:asciiTheme="majorBidi" w:hAnsiTheme="majorBidi" w:cstheme="majorBidi"/>
          <w:color w:val="000000" w:themeColor="text1"/>
        </w:rPr>
        <w:t>.</w:t>
      </w:r>
    </w:p>
    <w:p w14:paraId="35765724"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السادسة عشرة: الخلط بين مبررات حجم العينة الاحتمالية وغير الاحتمالية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 xml:space="preserve">تم الجمع بين تحليل القوة ومعادلة </w:t>
      </w:r>
      <w:proofErr w:type="spellStart"/>
      <w:r w:rsidRPr="007535CD">
        <w:rPr>
          <w:rFonts w:asciiTheme="majorBidi" w:hAnsiTheme="majorBidi" w:cstheme="majorBidi"/>
          <w:color w:val="000000" w:themeColor="text1"/>
          <w:rtl/>
        </w:rPr>
        <w:t>كوكران</w:t>
      </w:r>
      <w:proofErr w:type="spellEnd"/>
      <w:r w:rsidRPr="007535CD">
        <w:rPr>
          <w:rFonts w:asciiTheme="majorBidi" w:hAnsiTheme="majorBidi" w:cstheme="majorBidi"/>
          <w:color w:val="000000" w:themeColor="text1"/>
          <w:rtl/>
        </w:rPr>
        <w:t xml:space="preserve"> دون توضيح اختلاف افتراضاتهما. الأنسب اعتماد تحليل القوة مبرراً رئيسياً، واعتبار العدد الأكبر هدفاً لتحسين استقرار التقديرات دون الادعاء بالتمثيل الاحتمالي</w:t>
      </w:r>
      <w:r w:rsidRPr="007535CD">
        <w:rPr>
          <w:rFonts w:asciiTheme="majorBidi" w:hAnsiTheme="majorBidi" w:cstheme="majorBidi"/>
          <w:color w:val="000000" w:themeColor="text1"/>
        </w:rPr>
        <w:t>.</w:t>
      </w:r>
    </w:p>
    <w:p w14:paraId="17F9E11D"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السابعة عشرة: عدم مراعاة الاستجابات المستبعدة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اعتمد العدد 384 بوصفه العدد المستهدف، دون زيادة واضحة لمواجهة عدم الأهلية أو عدم اكتمال الإجابات. يجب توزيع الاستبانة على عدد أكبر لضمان الحصول على 384 استجابة صالحة إذا كان هذا هو الهدف النهائي</w:t>
      </w:r>
      <w:r w:rsidRPr="007535CD">
        <w:rPr>
          <w:rFonts w:asciiTheme="majorBidi" w:hAnsiTheme="majorBidi" w:cstheme="majorBidi"/>
          <w:color w:val="000000" w:themeColor="text1"/>
        </w:rPr>
        <w:t>.</w:t>
      </w:r>
    </w:p>
    <w:p w14:paraId="683DD1A0"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الثامنة عشرة: عدم تحديد الحد الأدنى النهائي للاستجابات الصالحة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الفصل بين عدد الأشخاص الذين سيصل إليهم رابط الاستبانة، وعدد الاستجابات المستلمة، وعدد الاستجابات الصالحة المطلوب فعلياً للتحليل</w:t>
      </w:r>
      <w:r w:rsidRPr="007535CD">
        <w:rPr>
          <w:rFonts w:asciiTheme="majorBidi" w:hAnsiTheme="majorBidi" w:cstheme="majorBidi"/>
          <w:color w:val="000000" w:themeColor="text1"/>
        </w:rPr>
        <w:t>.</w:t>
      </w:r>
    </w:p>
    <w:p w14:paraId="269FDAE4"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التاسعة عشرة: عدم توضيح معدل الاستجابة المتوقع</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لم يقدم الفصل تقديراً لمعدل الاستجابة في الاستبانة الإلكترونية. يجب تحديد معدل متوقع وخطة متابعة للوصول إلى العدد النهائي</w:t>
      </w:r>
      <w:r w:rsidRPr="007535CD">
        <w:rPr>
          <w:rFonts w:asciiTheme="majorBidi" w:hAnsiTheme="majorBidi" w:cstheme="majorBidi"/>
          <w:color w:val="000000" w:themeColor="text1"/>
        </w:rPr>
        <w:t>.</w:t>
      </w:r>
    </w:p>
    <w:p w14:paraId="5D9D28A7"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العشرون: احتمال تداخل المشاركين داخل الوكالة الواحدة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قد يشارك أكثر من موظف من الوكالة نفسها، مما يجعل بعض الاستجابات متشابهة بسبب البيئة التنظيمية المشتركة. يجب تحديد كيفية رصد هذا التداخل أو الحد منه أو معالجته في التحليل</w:t>
      </w:r>
      <w:r w:rsidRPr="007535CD">
        <w:rPr>
          <w:rFonts w:asciiTheme="majorBidi" w:hAnsiTheme="majorBidi" w:cstheme="majorBidi"/>
          <w:color w:val="000000" w:themeColor="text1"/>
        </w:rPr>
        <w:t>.</w:t>
      </w:r>
    </w:p>
    <w:p w14:paraId="712D87F9" w14:textId="77777777" w:rsidR="009A032E" w:rsidRPr="007535CD" w:rsidRDefault="009A032E" w:rsidP="007535CD">
      <w:pPr>
        <w:pStyle w:val="Heading2"/>
        <w:bidi/>
        <w:rPr>
          <w:rFonts w:asciiTheme="majorBidi" w:eastAsia="Times New Roman" w:hAnsiTheme="majorBidi"/>
          <w:color w:val="000000" w:themeColor="text1"/>
          <w:sz w:val="24"/>
          <w:szCs w:val="24"/>
        </w:rPr>
      </w:pPr>
      <w:r w:rsidRPr="007535CD">
        <w:rPr>
          <w:rFonts w:asciiTheme="majorBidi" w:eastAsia="Times New Roman" w:hAnsiTheme="majorBidi"/>
          <w:color w:val="000000" w:themeColor="text1"/>
          <w:sz w:val="24"/>
          <w:szCs w:val="24"/>
          <w:rtl/>
        </w:rPr>
        <w:t>ثانياً: نواقص تصميم الدراسة وإجراءات التنفيذ</w:t>
      </w:r>
    </w:p>
    <w:p w14:paraId="7AC65E94" w14:textId="77777777" w:rsidR="009A032E" w:rsidRPr="007535CD" w:rsidRDefault="009A032E" w:rsidP="007535CD">
      <w:pPr>
        <w:pStyle w:val="NormalWeb"/>
        <w:bidi/>
        <w:rPr>
          <w:rFonts w:asciiTheme="majorBidi" w:eastAsiaTheme="minorHAnsi" w:hAnsiTheme="majorBidi" w:cstheme="majorBidi"/>
          <w:color w:val="000000" w:themeColor="text1"/>
        </w:rPr>
      </w:pPr>
      <w:r w:rsidRPr="007535CD">
        <w:rPr>
          <w:rStyle w:val="Strong"/>
          <w:rFonts w:asciiTheme="majorBidi" w:hAnsiTheme="majorBidi" w:cstheme="majorBidi"/>
          <w:color w:val="000000" w:themeColor="text1"/>
          <w:rtl/>
        </w:rPr>
        <w:t>الحادية والعشرون: استخدام لغة سببية أقوى من تصميم الدراسة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وصفت الدراسة بأنها تختبر شبكة من العلاقات السببية، مع أنها دراسة مقطعية تجمع البيانات في وقت واحد. يجب استخدام لغة أكثر تحفظاً مثل التأثير الإحصائي أو العلاقات التفسيرية</w:t>
      </w:r>
      <w:r w:rsidRPr="007535CD">
        <w:rPr>
          <w:rFonts w:asciiTheme="majorBidi" w:hAnsiTheme="majorBidi" w:cstheme="majorBidi"/>
          <w:color w:val="000000" w:themeColor="text1"/>
        </w:rPr>
        <w:t>.</w:t>
      </w:r>
    </w:p>
    <w:p w14:paraId="27274F2D"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الثانية والعشرون: التناقض في الصيغة الزمنية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استخدمت عبارات مثل «جُمعت البيانات» و«أُجري تحليل القوة» و«جرى التحقق»، رغم أن الفصل يبدو جزءاً من مقترح لم تنفذ دراسته الميدانية بعد. يجب توحيد الصياغة وفق المرحلة الفعلية للدراسة</w:t>
      </w:r>
      <w:r w:rsidRPr="007535CD">
        <w:rPr>
          <w:rFonts w:asciiTheme="majorBidi" w:hAnsiTheme="majorBidi" w:cstheme="majorBidi"/>
          <w:color w:val="000000" w:themeColor="text1"/>
        </w:rPr>
        <w:t>.</w:t>
      </w:r>
    </w:p>
    <w:p w14:paraId="2A152B1E"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الثالثة والعشرون: عدم تحديد فترة جمع البيانات</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لم تذكر الأشهر أو التواريخ التي سيتم خلالها توزيع الاستبانة وجمع الردود. يجب تحديد فترة زمنية واضحة</w:t>
      </w:r>
      <w:r w:rsidRPr="007535CD">
        <w:rPr>
          <w:rFonts w:asciiTheme="majorBidi" w:hAnsiTheme="majorBidi" w:cstheme="majorBidi"/>
          <w:color w:val="000000" w:themeColor="text1"/>
        </w:rPr>
        <w:t>.</w:t>
      </w:r>
    </w:p>
    <w:p w14:paraId="0923F977"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الرابعة والعشرون: عدم تحديد منصة الاستبانة الإلكترونية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ذُكر استخدام استبانة إلكترونية دون تسمية المنصة. يجب تحديد الأداة المستخدمة وخصائصها المتعلقة بالخصوصية ومنع التكرار</w:t>
      </w:r>
      <w:r w:rsidRPr="007535CD">
        <w:rPr>
          <w:rFonts w:asciiTheme="majorBidi" w:hAnsiTheme="majorBidi" w:cstheme="majorBidi"/>
          <w:color w:val="000000" w:themeColor="text1"/>
        </w:rPr>
        <w:t>.</w:t>
      </w:r>
    </w:p>
    <w:p w14:paraId="4425FC5C"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lastRenderedPageBreak/>
        <w:t>الخامسة والعشرون: عدم توضيح طريقة إرسال رابط الاستبانة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بيان هل سيُرسل الرابط عبر البريد المهني، أو مسؤولي الوكالات، أو مجموعات متخصصة، أو منصات التواصل المهني</w:t>
      </w:r>
      <w:r w:rsidRPr="007535CD">
        <w:rPr>
          <w:rFonts w:asciiTheme="majorBidi" w:hAnsiTheme="majorBidi" w:cstheme="majorBidi"/>
          <w:color w:val="000000" w:themeColor="text1"/>
        </w:rPr>
        <w:t>.</w:t>
      </w:r>
    </w:p>
    <w:p w14:paraId="004F1CC2"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السادسة والعشرون: عدم تحديد مدة فتح الاستبانة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 xml:space="preserve">يجب توضيح المدة التي سيظل خلالها الرابط متاحاً، وعدد </w:t>
      </w:r>
      <w:proofErr w:type="spellStart"/>
      <w:r w:rsidRPr="007535CD">
        <w:rPr>
          <w:rFonts w:asciiTheme="majorBidi" w:hAnsiTheme="majorBidi" w:cstheme="majorBidi"/>
          <w:color w:val="000000" w:themeColor="text1"/>
          <w:rtl/>
        </w:rPr>
        <w:t>التذكيرات</w:t>
      </w:r>
      <w:proofErr w:type="spellEnd"/>
      <w:r w:rsidRPr="007535CD">
        <w:rPr>
          <w:rFonts w:asciiTheme="majorBidi" w:hAnsiTheme="majorBidi" w:cstheme="majorBidi"/>
          <w:color w:val="000000" w:themeColor="text1"/>
          <w:rtl/>
        </w:rPr>
        <w:t>، والفاصل الزمني بينها</w:t>
      </w:r>
      <w:r w:rsidRPr="007535CD">
        <w:rPr>
          <w:rFonts w:asciiTheme="majorBidi" w:hAnsiTheme="majorBidi" w:cstheme="majorBidi"/>
          <w:color w:val="000000" w:themeColor="text1"/>
        </w:rPr>
        <w:t>.</w:t>
      </w:r>
    </w:p>
    <w:p w14:paraId="760EEEF4"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السابعة والعشرون: غياب آلية منع تكرار الاستجابة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وضع إجراء يمنع الشخص نفسه من تعبئة الاستبانة أكثر من مرة، مع عدم جمع بيانات تعريفية غير ضرورية</w:t>
      </w:r>
      <w:r w:rsidRPr="007535CD">
        <w:rPr>
          <w:rFonts w:asciiTheme="majorBidi" w:hAnsiTheme="majorBidi" w:cstheme="majorBidi"/>
          <w:color w:val="000000" w:themeColor="text1"/>
        </w:rPr>
        <w:t>.</w:t>
      </w:r>
    </w:p>
    <w:p w14:paraId="35F1F47D"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الثامنة والعشرون: عدم توضيح إجراءات إنهاء الاستبانة لغير المؤهلين</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برمجة أسئلة الأهلية بحيث تُنهي المشاركة تلقائياً عند عدم تحقق أحد الشروط الأساسية، مع توضيح ذلك في الفصل</w:t>
      </w:r>
      <w:r w:rsidRPr="007535CD">
        <w:rPr>
          <w:rFonts w:asciiTheme="majorBidi" w:hAnsiTheme="majorBidi" w:cstheme="majorBidi"/>
          <w:color w:val="000000" w:themeColor="text1"/>
        </w:rPr>
        <w:t>.</w:t>
      </w:r>
    </w:p>
    <w:p w14:paraId="1E3D2C37"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التاسعة والعشرون: عدم وجود دراسة استطلاعية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لم يذكر الفصل تطبيق الاستبانة على عينة استطلاعية قبل الدراسة الأساسية. يجب إجراء دراسة استطلاعية للتحقق من وضوح العبارات والتعليمات ومدة الإجابة</w:t>
      </w:r>
      <w:r w:rsidRPr="007535CD">
        <w:rPr>
          <w:rFonts w:asciiTheme="majorBidi" w:hAnsiTheme="majorBidi" w:cstheme="majorBidi"/>
          <w:color w:val="000000" w:themeColor="text1"/>
        </w:rPr>
        <w:t>.</w:t>
      </w:r>
    </w:p>
    <w:p w14:paraId="2BD5F46D"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الثلاثون: غياب المقابلات الإدراكية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نظراً لحداثة الموضوع وتعدد المصطلحات التقنية، يفضل عرض الاستبانة على عدد محدود من المختصين للتأكد من أن الفقرات تُفهم بالمعنى المقصود</w:t>
      </w:r>
      <w:r w:rsidRPr="007535CD">
        <w:rPr>
          <w:rFonts w:asciiTheme="majorBidi" w:hAnsiTheme="majorBidi" w:cstheme="majorBidi"/>
          <w:color w:val="000000" w:themeColor="text1"/>
        </w:rPr>
        <w:t>.</w:t>
      </w:r>
    </w:p>
    <w:p w14:paraId="4A0EC726"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الحادية والثلاثون: عدم تحديد الزمن المتوقع للإجابة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تتضمن الأداة أربعة أسئلة أهلية، و46 فقرة، و13 سؤالاً وصفياً، وهو عدد مرتفع نسبياً. يجب تحديد الزمن المتوقع للإجابة ودراسة أثر طول الأداة في جودة الاستجابات</w:t>
      </w:r>
      <w:r w:rsidRPr="007535CD">
        <w:rPr>
          <w:rFonts w:asciiTheme="majorBidi" w:hAnsiTheme="majorBidi" w:cstheme="majorBidi"/>
          <w:color w:val="000000" w:themeColor="text1"/>
        </w:rPr>
        <w:t>.</w:t>
      </w:r>
    </w:p>
    <w:p w14:paraId="33FAD692"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الثانية والثلاثون: عدم توضيح المرجعية التي سيجيب المشارك وفقها</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لم يتضح هل يجيب المشارك عن ممارسته الشخصية، أم عن الوكالة ككل، أم عن حملة معينة. يجب تحديد مستوى المرجعية في تعليمات الاستبانة</w:t>
      </w:r>
      <w:r w:rsidRPr="007535CD">
        <w:rPr>
          <w:rFonts w:asciiTheme="majorBidi" w:hAnsiTheme="majorBidi" w:cstheme="majorBidi"/>
          <w:color w:val="000000" w:themeColor="text1"/>
        </w:rPr>
        <w:t>.</w:t>
      </w:r>
    </w:p>
    <w:p w14:paraId="390669BE"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الثالثة والثلاثون: عدم توحيد الفترة المرجعية للإجابات</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ورد شرط التعامل مع الأدوات خلال آخر 12 شهراً، لكن لم يُذكر أن جميع فقرات الممارسة والأداء ستُجاب وفق الفترة الزمنية نفسها. يجب توحيد الفترة المرجعية</w:t>
      </w:r>
      <w:r w:rsidRPr="007535CD">
        <w:rPr>
          <w:rFonts w:asciiTheme="majorBidi" w:hAnsiTheme="majorBidi" w:cstheme="majorBidi"/>
          <w:color w:val="000000" w:themeColor="text1"/>
        </w:rPr>
        <w:t>.</w:t>
      </w:r>
    </w:p>
    <w:p w14:paraId="46137B89"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الرابعة والثلاثون: غياب اختبار تحيز عدم الاستجابة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وضع خطة لمقارنة المستجيبين المبكرين والمتأخرين أو استخدام إجراء مناسب لتقدير أثر عدم الاستجابة</w:t>
      </w:r>
      <w:r w:rsidRPr="007535CD">
        <w:rPr>
          <w:rFonts w:asciiTheme="majorBidi" w:hAnsiTheme="majorBidi" w:cstheme="majorBidi"/>
          <w:color w:val="000000" w:themeColor="text1"/>
        </w:rPr>
        <w:t>.</w:t>
      </w:r>
    </w:p>
    <w:p w14:paraId="7477049E"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الخامسة والثلاثون: عدم تقديم مخطط متسلسل لتنفيذ الدراسة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عرض خطوات التنفيذ بدءاً من الموافقات والتحكيم والتجربة الاستطلاعية، ثم الاستقطاب وجمع البيانات والتنظيف والتحليل</w:t>
      </w:r>
      <w:r w:rsidRPr="007535CD">
        <w:rPr>
          <w:rFonts w:asciiTheme="majorBidi" w:hAnsiTheme="majorBidi" w:cstheme="majorBidi"/>
          <w:color w:val="000000" w:themeColor="text1"/>
        </w:rPr>
        <w:t>.</w:t>
      </w:r>
    </w:p>
    <w:p w14:paraId="14F9170A" w14:textId="77777777" w:rsidR="009A032E" w:rsidRPr="007535CD" w:rsidRDefault="009A032E" w:rsidP="007535CD">
      <w:pPr>
        <w:pStyle w:val="Heading2"/>
        <w:bidi/>
        <w:rPr>
          <w:rFonts w:asciiTheme="majorBidi" w:eastAsia="Times New Roman" w:hAnsiTheme="majorBidi"/>
          <w:color w:val="000000" w:themeColor="text1"/>
          <w:sz w:val="24"/>
          <w:szCs w:val="24"/>
        </w:rPr>
      </w:pPr>
      <w:r w:rsidRPr="007535CD">
        <w:rPr>
          <w:rFonts w:asciiTheme="majorBidi" w:eastAsia="Times New Roman" w:hAnsiTheme="majorBidi"/>
          <w:color w:val="000000" w:themeColor="text1"/>
          <w:sz w:val="24"/>
          <w:szCs w:val="24"/>
          <w:rtl/>
        </w:rPr>
        <w:t>ثالثاً: نواقص أداة الدراسة والاستبانة</w:t>
      </w:r>
    </w:p>
    <w:p w14:paraId="32F59501" w14:textId="77777777" w:rsidR="009A032E" w:rsidRPr="007535CD" w:rsidRDefault="009A032E" w:rsidP="007535CD">
      <w:pPr>
        <w:pStyle w:val="NormalWeb"/>
        <w:bidi/>
        <w:rPr>
          <w:rFonts w:asciiTheme="majorBidi" w:eastAsiaTheme="minorHAnsi" w:hAnsiTheme="majorBidi" w:cstheme="majorBidi"/>
          <w:color w:val="000000" w:themeColor="text1"/>
        </w:rPr>
      </w:pPr>
      <w:r w:rsidRPr="007535CD">
        <w:rPr>
          <w:rStyle w:val="Strong"/>
          <w:rFonts w:asciiTheme="majorBidi" w:hAnsiTheme="majorBidi" w:cstheme="majorBidi"/>
          <w:color w:val="000000" w:themeColor="text1"/>
          <w:rtl/>
        </w:rPr>
        <w:t>السادسة والثلاثون: عدم إرفاق الاستبانة كاملة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عرض الفصل عدد الفقرات ورموزها ومصادرها، لكنه لم يعرض الصياغة الفعلية لجميع الفقرات. يجب إرفاق الاستبانة النهائية في الملاحق</w:t>
      </w:r>
      <w:r w:rsidRPr="007535CD">
        <w:rPr>
          <w:rFonts w:asciiTheme="majorBidi" w:hAnsiTheme="majorBidi" w:cstheme="majorBidi"/>
          <w:color w:val="000000" w:themeColor="text1"/>
        </w:rPr>
        <w:t>.</w:t>
      </w:r>
    </w:p>
    <w:p w14:paraId="12620DF3"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lastRenderedPageBreak/>
        <w:t>السابعة والثلاثون: عدم ربط كل فقرة بمصدرها المباشر</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يذكر جدول المصادر عدة دراسات لكل محور، دون تحديد مصدر كل فقرة على حدة. يجب إعداد جدول يبين رقم الفقرة، والمصدر الأصلي، وطريقة التعديل</w:t>
      </w:r>
      <w:r w:rsidRPr="007535CD">
        <w:rPr>
          <w:rFonts w:asciiTheme="majorBidi" w:hAnsiTheme="majorBidi" w:cstheme="majorBidi"/>
          <w:color w:val="000000" w:themeColor="text1"/>
        </w:rPr>
        <w:t>.</w:t>
      </w:r>
    </w:p>
    <w:p w14:paraId="56BDDACC"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الثامنة والثلاثون: الاعتماد على مصادر لا تمثل مقاييس قياس معتمدة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تتضمن مصادر بناء الأداة تقارير مؤسسات واستشارات مهنية إلى جانب دراسات أكاديمية. يجب توضيح كيف تحولت المعلومات الواردة فيها إلى فقرات قياس، وعدم عرضها كمقاييس سابقة معتمدة</w:t>
      </w:r>
      <w:r w:rsidRPr="007535CD">
        <w:rPr>
          <w:rFonts w:asciiTheme="majorBidi" w:hAnsiTheme="majorBidi" w:cstheme="majorBidi"/>
          <w:color w:val="000000" w:themeColor="text1"/>
        </w:rPr>
        <w:t>.</w:t>
      </w:r>
    </w:p>
    <w:p w14:paraId="4C7FB4CD"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التاسعة والثلاثون: عدم التمييز بين الفقرات المقتبسة والمطورة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بيان الفقرات المنقولة أو المعدلة من دراسات سابقة، والفقرات التي صاغها الباحث خصيصاً للدراسة</w:t>
      </w:r>
      <w:r w:rsidRPr="007535CD">
        <w:rPr>
          <w:rFonts w:asciiTheme="majorBidi" w:hAnsiTheme="majorBidi" w:cstheme="majorBidi"/>
          <w:color w:val="000000" w:themeColor="text1"/>
        </w:rPr>
        <w:t>.</w:t>
      </w:r>
    </w:p>
    <w:p w14:paraId="5A47FD81"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الأربعون: غياب إجراءات ترجمة الفقرات الأجنبية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لم يوضح الفصل ما إذا كانت الفقرات الأصلية باللغة الإنجليزية، وكيف ترجمت إلى العربية. يجب بيان الترجمة والمراجعة اللغوية والترجمة العكسية</w:t>
      </w:r>
      <w:r w:rsidRPr="007535CD">
        <w:rPr>
          <w:rFonts w:asciiTheme="majorBidi" w:hAnsiTheme="majorBidi" w:cstheme="majorBidi"/>
          <w:color w:val="000000" w:themeColor="text1"/>
        </w:rPr>
        <w:t>.</w:t>
      </w:r>
    </w:p>
    <w:p w14:paraId="16D52052"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الحادية والأربعون: عدم توضيح الحصول على حقوق استخدام المقاييس</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التحقق من شروط إعادة استخدام أو تعديل أي مقياس منشور، والحصول على إذن عند الحاجة</w:t>
      </w:r>
      <w:r w:rsidRPr="007535CD">
        <w:rPr>
          <w:rFonts w:asciiTheme="majorBidi" w:hAnsiTheme="majorBidi" w:cstheme="majorBidi"/>
          <w:color w:val="000000" w:themeColor="text1"/>
        </w:rPr>
        <w:t>.</w:t>
      </w:r>
    </w:p>
    <w:p w14:paraId="0945B732"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الثانية والأربعون: عدم ذكر عدد المحكمين</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ذُكر عرض الأداة على عدد من المحكمين دون تحديد عددهم. يجب ذكر العدد وتخصصاتهم وخبراتهم</w:t>
      </w:r>
      <w:r w:rsidRPr="007535CD">
        <w:rPr>
          <w:rFonts w:asciiTheme="majorBidi" w:hAnsiTheme="majorBidi" w:cstheme="majorBidi"/>
          <w:color w:val="000000" w:themeColor="text1"/>
        </w:rPr>
        <w:t>.</w:t>
      </w:r>
    </w:p>
    <w:p w14:paraId="52919EA1"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الثالثة والأربعون: عدم استخدام مؤشر كمي لصدق المحتوى</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دعم التحكيم النوعي بمؤشر مثل</w:t>
      </w:r>
      <w:r w:rsidRPr="007535CD">
        <w:rPr>
          <w:rFonts w:asciiTheme="majorBidi" w:hAnsiTheme="majorBidi" w:cstheme="majorBidi"/>
          <w:color w:val="000000" w:themeColor="text1"/>
        </w:rPr>
        <w:t xml:space="preserve"> CVI </w:t>
      </w:r>
      <w:r w:rsidRPr="007535CD">
        <w:rPr>
          <w:rFonts w:asciiTheme="majorBidi" w:hAnsiTheme="majorBidi" w:cstheme="majorBidi"/>
          <w:color w:val="000000" w:themeColor="text1"/>
          <w:rtl/>
        </w:rPr>
        <w:t>أو</w:t>
      </w:r>
      <w:r w:rsidRPr="007535CD">
        <w:rPr>
          <w:rFonts w:asciiTheme="majorBidi" w:hAnsiTheme="majorBidi" w:cstheme="majorBidi"/>
          <w:color w:val="000000" w:themeColor="text1"/>
        </w:rPr>
        <w:t xml:space="preserve"> CVR</w:t>
      </w:r>
      <w:r w:rsidRPr="007535CD">
        <w:rPr>
          <w:rFonts w:asciiTheme="majorBidi" w:hAnsiTheme="majorBidi" w:cstheme="majorBidi"/>
          <w:color w:val="000000" w:themeColor="text1"/>
          <w:rtl/>
        </w:rPr>
        <w:t>، مع بيان الحد المقبول وقرارات التعديل أو الحذف</w:t>
      </w:r>
      <w:r w:rsidRPr="007535CD">
        <w:rPr>
          <w:rFonts w:asciiTheme="majorBidi" w:hAnsiTheme="majorBidi" w:cstheme="majorBidi"/>
          <w:color w:val="000000" w:themeColor="text1"/>
        </w:rPr>
        <w:t>.</w:t>
      </w:r>
    </w:p>
    <w:p w14:paraId="377F596F"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الرابعة والأربعون: عدم عرض عدد الفقرات قبل التحكيم وبعده</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توضيح عدد فقرات النسخة الأولية، وما عُدّل أو حُذف أو أضيف، حتى يمكن تتبع تطور الأداة</w:t>
      </w:r>
      <w:r w:rsidRPr="007535CD">
        <w:rPr>
          <w:rFonts w:asciiTheme="majorBidi" w:hAnsiTheme="majorBidi" w:cstheme="majorBidi"/>
          <w:color w:val="000000" w:themeColor="text1"/>
        </w:rPr>
        <w:t>.</w:t>
      </w:r>
    </w:p>
    <w:p w14:paraId="2B96D416"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الخامسة والأربعون: عدم تحديد الفقرات العكسية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لم يوضح الفصل ما إذا كانت هناك فقرات سالبة تحتاج إلى عكس الترميز. يجب تحديدها وشرح طريقة معالجتها</w:t>
      </w:r>
      <w:r w:rsidRPr="007535CD">
        <w:rPr>
          <w:rFonts w:asciiTheme="majorBidi" w:hAnsiTheme="majorBidi" w:cstheme="majorBidi"/>
          <w:color w:val="000000" w:themeColor="text1"/>
        </w:rPr>
        <w:t>.</w:t>
      </w:r>
    </w:p>
    <w:p w14:paraId="545324E3"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السادسة والأربعون: عدم إضافة فقرات للتحقق من الانتباه</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نظراً لطول الاستبانة الإلكترونية، يفضل إضافة إجراء مناسب لاكتشاف الاستجابات غير المنتبهة، دون التأثير في طبيعة الأداة</w:t>
      </w:r>
      <w:r w:rsidRPr="007535CD">
        <w:rPr>
          <w:rFonts w:asciiTheme="majorBidi" w:hAnsiTheme="majorBidi" w:cstheme="majorBidi"/>
          <w:color w:val="000000" w:themeColor="text1"/>
        </w:rPr>
        <w:t>.</w:t>
      </w:r>
    </w:p>
    <w:p w14:paraId="14BAEA97"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السابعة والأربعون: حدود تفسير المتوسطات تحتاج إلى توحيد</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استخدمت الفئات 1.00–1.79 ثم 1.80–2.59. يجب اعتماد حدود موحدة وفق دليل الجامعة وبيان طريقة التعامل مع القيم المقربة عند الحدود</w:t>
      </w:r>
      <w:r w:rsidRPr="007535CD">
        <w:rPr>
          <w:rFonts w:asciiTheme="majorBidi" w:hAnsiTheme="majorBidi" w:cstheme="majorBidi"/>
          <w:color w:val="000000" w:themeColor="text1"/>
        </w:rPr>
        <w:t>.</w:t>
      </w:r>
    </w:p>
    <w:p w14:paraId="61C65954" w14:textId="77777777" w:rsidR="009A032E" w:rsidRPr="007535CD" w:rsidRDefault="009A032E"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الثامنة والأربعون: عدم توثيق تصنيف حجم الوكالة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صُنفت الوكالات إلى صغيرة ومتوسطة وكبيرة وفق عدد الموظفين، دون ذكر مصدر هذه الحدود. يجب توثيق التصنيف أو تقديمه باعتباره تصنيفاً إجرائياً للدراسة</w:t>
      </w:r>
      <w:r w:rsidRPr="007535CD">
        <w:rPr>
          <w:rFonts w:asciiTheme="majorBidi" w:hAnsiTheme="majorBidi" w:cstheme="majorBidi"/>
          <w:color w:val="000000" w:themeColor="text1"/>
        </w:rPr>
        <w:t>.</w:t>
      </w:r>
    </w:p>
    <w:p w14:paraId="6AE12232"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التاسعة والأربعون: عدم تحديد الأسئلة متعددة الإجابات</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أسئلة طبيعة العملاء وأنواع الأدوات المستخدمة قد تتطلب اختيار أكثر من إجابة. يجب توضيح هل هي أسئلة اختيار واحد أم اختيار متعدد</w:t>
      </w:r>
      <w:r w:rsidRPr="007535CD">
        <w:rPr>
          <w:rFonts w:asciiTheme="majorBidi" w:hAnsiTheme="majorBidi" w:cstheme="majorBidi"/>
          <w:color w:val="000000" w:themeColor="text1"/>
        </w:rPr>
        <w:t>.</w:t>
      </w:r>
    </w:p>
    <w:p w14:paraId="59E9D179"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الخمسون: غموض فئة عدد الحملات</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عبارة «حملة أو أقل» غير دقيقة، لأنها تجمع بين عدم تنفيذ أي حملة وتنفيذ حملة واحدة. يجب فصل الفئتين أو إعادة صياغتهما</w:t>
      </w:r>
      <w:r w:rsidRPr="007535CD">
        <w:rPr>
          <w:rFonts w:asciiTheme="majorBidi" w:hAnsiTheme="majorBidi" w:cstheme="majorBidi"/>
          <w:color w:val="000000" w:themeColor="text1"/>
        </w:rPr>
        <w:t>.</w:t>
      </w:r>
    </w:p>
    <w:p w14:paraId="7A15EBCA"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lastRenderedPageBreak/>
        <w:t>الحادية والخمسون: عدم الاتساق بين شرط الأهلية وخيارات الخبرة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يسمح أحد الأسئلة الوصفية بخيار «لا تعامل مباشر»، رغم أن الأهلية تشترط معرفة عملية أو تعاملاً مع الأدوات. يجب توحيد منطق أسئلة الأهلية والبيانات الوصفية</w:t>
      </w:r>
      <w:r w:rsidRPr="007535CD">
        <w:rPr>
          <w:rFonts w:asciiTheme="majorBidi" w:hAnsiTheme="majorBidi" w:cstheme="majorBidi"/>
          <w:color w:val="000000" w:themeColor="text1"/>
        </w:rPr>
        <w:t>.</w:t>
      </w:r>
    </w:p>
    <w:p w14:paraId="3603A69C"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الثانية والخمسون: غياب خيار «لا ينطبق» عند الحاجة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قد توجد فقرات لا يستطيع بعض المشاركين الحكم عليها بسبب طبيعة دورهم الوظيفي. يجب فحص الحاجة إلى خيار «لا ينطبق» أو تعديل شروط المشاركة لمنع هذه الحالة</w:t>
      </w:r>
      <w:r w:rsidRPr="007535CD">
        <w:rPr>
          <w:rFonts w:asciiTheme="majorBidi" w:hAnsiTheme="majorBidi" w:cstheme="majorBidi"/>
          <w:color w:val="000000" w:themeColor="text1"/>
        </w:rPr>
        <w:t>.</w:t>
      </w:r>
    </w:p>
    <w:p w14:paraId="451B7CD2" w14:textId="77777777" w:rsidR="00886B44" w:rsidRPr="007535CD" w:rsidRDefault="00886B44" w:rsidP="007535CD">
      <w:pPr>
        <w:pStyle w:val="Heading2"/>
        <w:bidi/>
        <w:rPr>
          <w:rFonts w:asciiTheme="majorBidi" w:eastAsia="Times New Roman" w:hAnsiTheme="majorBidi"/>
          <w:color w:val="000000" w:themeColor="text1"/>
          <w:sz w:val="24"/>
          <w:szCs w:val="24"/>
        </w:rPr>
      </w:pPr>
      <w:r w:rsidRPr="007535CD">
        <w:rPr>
          <w:rFonts w:asciiTheme="majorBidi" w:eastAsia="Times New Roman" w:hAnsiTheme="majorBidi"/>
          <w:color w:val="000000" w:themeColor="text1"/>
          <w:sz w:val="24"/>
          <w:szCs w:val="24"/>
          <w:rtl/>
        </w:rPr>
        <w:t>رابعاً: نواقص الصدق والثبات</w:t>
      </w:r>
    </w:p>
    <w:p w14:paraId="4A906F70" w14:textId="77777777" w:rsidR="00886B44" w:rsidRPr="007535CD" w:rsidRDefault="00886B44" w:rsidP="007535CD">
      <w:pPr>
        <w:pStyle w:val="NormalWeb"/>
        <w:bidi/>
        <w:rPr>
          <w:rFonts w:asciiTheme="majorBidi" w:eastAsiaTheme="minorHAnsi" w:hAnsiTheme="majorBidi" w:cstheme="majorBidi"/>
          <w:color w:val="000000" w:themeColor="text1"/>
        </w:rPr>
      </w:pPr>
      <w:r w:rsidRPr="007535CD">
        <w:rPr>
          <w:rStyle w:val="Strong"/>
          <w:rFonts w:asciiTheme="majorBidi" w:hAnsiTheme="majorBidi" w:cstheme="majorBidi"/>
          <w:color w:val="000000" w:themeColor="text1"/>
          <w:rtl/>
        </w:rPr>
        <w:t>الثالثة والخمسون: استخدام مصطلح التحليل العاملي التوكيدي بصورة تحتاج إلى ضبط</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في سياق</w:t>
      </w:r>
      <w:r w:rsidRPr="007535CD">
        <w:rPr>
          <w:rFonts w:asciiTheme="majorBidi" w:hAnsiTheme="majorBidi" w:cstheme="majorBidi"/>
          <w:color w:val="000000" w:themeColor="text1"/>
        </w:rPr>
        <w:t xml:space="preserve"> PLS-SEM</w:t>
      </w:r>
      <w:r w:rsidRPr="007535CD">
        <w:rPr>
          <w:rFonts w:asciiTheme="majorBidi" w:hAnsiTheme="majorBidi" w:cstheme="majorBidi"/>
          <w:color w:val="000000" w:themeColor="text1"/>
          <w:rtl/>
        </w:rPr>
        <w:t>، الأدق الحديث عن تقييم نموذج القياس بدلاً من مساواته مباشرة بالتحليل العاملي التوكيدي التقليدي المستخدم في الأساليب القائمة على التغاير</w:t>
      </w:r>
      <w:r w:rsidRPr="007535CD">
        <w:rPr>
          <w:rFonts w:asciiTheme="majorBidi" w:hAnsiTheme="majorBidi" w:cstheme="majorBidi"/>
          <w:color w:val="000000" w:themeColor="text1"/>
        </w:rPr>
        <w:t>.</w:t>
      </w:r>
    </w:p>
    <w:p w14:paraId="220FEBCA"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الرابعة والخمسون: عدم تنفيذ دراسة استطلاعية لقياس الاتساق الأولي</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إجراء اختبار أولي على عينة مناسبة قبل التطبيق الأساسي، وحساب مؤشرات أولية تساعد على اكتشاف الفقرات غير الواضحة أو الضعيفة</w:t>
      </w:r>
      <w:r w:rsidRPr="007535CD">
        <w:rPr>
          <w:rFonts w:asciiTheme="majorBidi" w:hAnsiTheme="majorBidi" w:cstheme="majorBidi"/>
          <w:color w:val="000000" w:themeColor="text1"/>
        </w:rPr>
        <w:t>.</w:t>
      </w:r>
    </w:p>
    <w:p w14:paraId="57D55E87"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الخامسة والخمسون: عدم ذكر حجم العينة الاستطلاعية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حتى في حال التخطيط لإجراء تجربة أولية، يجب تحديد عدد المشاركين وطريقة اختيارهم ومدى تشابههم مع المجتمع المستهدف</w:t>
      </w:r>
      <w:r w:rsidRPr="007535CD">
        <w:rPr>
          <w:rFonts w:asciiTheme="majorBidi" w:hAnsiTheme="majorBidi" w:cstheme="majorBidi"/>
          <w:color w:val="000000" w:themeColor="text1"/>
        </w:rPr>
        <w:t>.</w:t>
      </w:r>
    </w:p>
    <w:p w14:paraId="2F983916"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السادسة والخمسون: غياب معاملات ارتباط الفقرات بالدرجة الكلية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يفضل فحص ارتباط كل فقرة بالدرجة الكلية للمحور في الدراسة الاستطلاعية، إلى جانب مؤشرات نموذج القياس في العينة الأساسية</w:t>
      </w:r>
      <w:r w:rsidRPr="007535CD">
        <w:rPr>
          <w:rFonts w:asciiTheme="majorBidi" w:hAnsiTheme="majorBidi" w:cstheme="majorBidi"/>
          <w:color w:val="000000" w:themeColor="text1"/>
        </w:rPr>
        <w:t>.</w:t>
      </w:r>
    </w:p>
    <w:p w14:paraId="7DD2C4E0"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السابعة والخمسون: عدم إدراج معامل</w:t>
      </w:r>
      <w:r w:rsidRPr="007535CD">
        <w:rPr>
          <w:rStyle w:val="Strong"/>
          <w:rFonts w:asciiTheme="majorBidi" w:hAnsiTheme="majorBidi" w:cstheme="majorBidi"/>
          <w:color w:val="000000" w:themeColor="text1"/>
        </w:rPr>
        <w:t xml:space="preserve"> </w:t>
      </w:r>
      <w:proofErr w:type="spellStart"/>
      <w:r w:rsidRPr="007535CD">
        <w:rPr>
          <w:rStyle w:val="Strong"/>
          <w:rFonts w:asciiTheme="majorBidi" w:hAnsiTheme="majorBidi" w:cstheme="majorBidi"/>
          <w:color w:val="000000" w:themeColor="text1"/>
        </w:rPr>
        <w:t>rho_A</w:t>
      </w:r>
      <w:proofErr w:type="spellEnd"/>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 xml:space="preserve">تقتصر خطة الثبات على ألفا </w:t>
      </w:r>
      <w:proofErr w:type="spellStart"/>
      <w:r w:rsidRPr="007535CD">
        <w:rPr>
          <w:rFonts w:asciiTheme="majorBidi" w:hAnsiTheme="majorBidi" w:cstheme="majorBidi"/>
          <w:color w:val="000000" w:themeColor="text1"/>
          <w:rtl/>
        </w:rPr>
        <w:t>كرونباخ</w:t>
      </w:r>
      <w:proofErr w:type="spellEnd"/>
      <w:r w:rsidRPr="007535CD">
        <w:rPr>
          <w:rFonts w:asciiTheme="majorBidi" w:hAnsiTheme="majorBidi" w:cstheme="majorBidi"/>
          <w:color w:val="000000" w:themeColor="text1"/>
          <w:rtl/>
        </w:rPr>
        <w:t xml:space="preserve"> والثبات المركب. يفضل إضافة</w:t>
      </w:r>
      <w:r w:rsidRPr="007535CD">
        <w:rPr>
          <w:rFonts w:asciiTheme="majorBidi" w:hAnsiTheme="majorBidi" w:cstheme="majorBidi"/>
          <w:color w:val="000000" w:themeColor="text1"/>
        </w:rPr>
        <w:t xml:space="preserve"> </w:t>
      </w:r>
      <w:proofErr w:type="spellStart"/>
      <w:r w:rsidRPr="007535CD">
        <w:rPr>
          <w:rFonts w:asciiTheme="majorBidi" w:hAnsiTheme="majorBidi" w:cstheme="majorBidi"/>
          <w:color w:val="000000" w:themeColor="text1"/>
        </w:rPr>
        <w:t>rho_A</w:t>
      </w:r>
      <w:proofErr w:type="spellEnd"/>
      <w:r w:rsidRPr="007535CD">
        <w:rPr>
          <w:rFonts w:asciiTheme="majorBidi" w:hAnsiTheme="majorBidi" w:cstheme="majorBidi"/>
          <w:color w:val="000000" w:themeColor="text1"/>
        </w:rPr>
        <w:t xml:space="preserve"> </w:t>
      </w:r>
      <w:r w:rsidRPr="007535CD">
        <w:rPr>
          <w:rFonts w:asciiTheme="majorBidi" w:hAnsiTheme="majorBidi" w:cstheme="majorBidi"/>
          <w:color w:val="000000" w:themeColor="text1"/>
          <w:rtl/>
        </w:rPr>
        <w:t>ضمن مؤشرات الاتساق الداخلي في</w:t>
      </w:r>
      <w:r w:rsidRPr="007535CD">
        <w:rPr>
          <w:rFonts w:asciiTheme="majorBidi" w:hAnsiTheme="majorBidi" w:cstheme="majorBidi"/>
          <w:color w:val="000000" w:themeColor="text1"/>
        </w:rPr>
        <w:t xml:space="preserve"> PLS-SEM.</w:t>
      </w:r>
    </w:p>
    <w:p w14:paraId="19D7B4F2"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الثامنة والخمسون: التعامل الجامد مع حد التحميل الخارجي</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اعتُمدت قيمة 0.70 حداً ثابتاً، بينما قد تُدرس الفقرات الواقعة بين 0.40 و0.70 وفق أثر حذفها في الثبات والصدق. يجب توضيح قواعد الاحتفاظ والحذف</w:t>
      </w:r>
      <w:r w:rsidRPr="007535CD">
        <w:rPr>
          <w:rFonts w:asciiTheme="majorBidi" w:hAnsiTheme="majorBidi" w:cstheme="majorBidi"/>
          <w:color w:val="000000" w:themeColor="text1"/>
        </w:rPr>
        <w:t>.</w:t>
      </w:r>
    </w:p>
    <w:p w14:paraId="03456D3A"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التاسعة والخمسون: عدم تحديد فترات الثقة لاختبار</w:t>
      </w:r>
      <w:r w:rsidRPr="007535CD">
        <w:rPr>
          <w:rStyle w:val="Strong"/>
          <w:rFonts w:asciiTheme="majorBidi" w:hAnsiTheme="majorBidi" w:cstheme="majorBidi"/>
          <w:color w:val="000000" w:themeColor="text1"/>
        </w:rPr>
        <w:t xml:space="preserve"> HTMT</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لا يكفي ذكر حد</w:t>
      </w:r>
      <w:r w:rsidRPr="007535CD">
        <w:rPr>
          <w:rFonts w:asciiTheme="majorBidi" w:hAnsiTheme="majorBidi" w:cstheme="majorBidi"/>
          <w:color w:val="000000" w:themeColor="text1"/>
        </w:rPr>
        <w:t xml:space="preserve"> HTMT </w:t>
      </w:r>
      <w:r w:rsidRPr="007535CD">
        <w:rPr>
          <w:rFonts w:asciiTheme="majorBidi" w:hAnsiTheme="majorBidi" w:cstheme="majorBidi"/>
          <w:color w:val="000000" w:themeColor="text1"/>
          <w:rtl/>
        </w:rPr>
        <w:t>فقط، بل يفضل فحص فترات الثقة الناتجة عن إعادة المعاينة للتأكد من عدم احتوائها على القيمة 1</w:t>
      </w:r>
      <w:r w:rsidRPr="007535CD">
        <w:rPr>
          <w:rFonts w:asciiTheme="majorBidi" w:hAnsiTheme="majorBidi" w:cstheme="majorBidi"/>
          <w:color w:val="000000" w:themeColor="text1"/>
        </w:rPr>
        <w:t>.</w:t>
      </w:r>
    </w:p>
    <w:p w14:paraId="197BFE39" w14:textId="77777777" w:rsidR="00886B44" w:rsidRPr="007535CD" w:rsidRDefault="00886B44" w:rsidP="007535CD">
      <w:pPr>
        <w:pStyle w:val="NormalWeb"/>
        <w:bidi/>
        <w:rPr>
          <w:rFonts w:asciiTheme="majorBidi" w:hAnsiTheme="majorBidi" w:cstheme="majorBidi"/>
          <w:color w:val="000000" w:themeColor="text1"/>
        </w:rPr>
      </w:pPr>
      <w:proofErr w:type="spellStart"/>
      <w:r w:rsidRPr="007535CD">
        <w:rPr>
          <w:rStyle w:val="Strong"/>
          <w:rFonts w:asciiTheme="majorBidi" w:hAnsiTheme="majorBidi" w:cstheme="majorBidi"/>
          <w:color w:val="000000" w:themeColor="text1"/>
          <w:rtl/>
        </w:rPr>
        <w:t>الستون</w:t>
      </w:r>
      <w:proofErr w:type="spellEnd"/>
      <w:r w:rsidRPr="007535CD">
        <w:rPr>
          <w:rStyle w:val="Strong"/>
          <w:rFonts w:asciiTheme="majorBidi" w:hAnsiTheme="majorBidi" w:cstheme="majorBidi"/>
          <w:color w:val="000000" w:themeColor="text1"/>
          <w:rtl/>
        </w:rPr>
        <w:t>: عدم توضيح الإجراءات عند فشل أحد المؤشرات</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تحديد ما سيفعله الباحث إذا انخفضت قيمة الثبات أو</w:t>
      </w:r>
      <w:r w:rsidRPr="007535CD">
        <w:rPr>
          <w:rFonts w:asciiTheme="majorBidi" w:hAnsiTheme="majorBidi" w:cstheme="majorBidi"/>
          <w:color w:val="000000" w:themeColor="text1"/>
        </w:rPr>
        <w:t xml:space="preserve"> AVE </w:t>
      </w:r>
      <w:r w:rsidRPr="007535CD">
        <w:rPr>
          <w:rFonts w:asciiTheme="majorBidi" w:hAnsiTheme="majorBidi" w:cstheme="majorBidi"/>
          <w:color w:val="000000" w:themeColor="text1"/>
          <w:rtl/>
        </w:rPr>
        <w:t xml:space="preserve">أو </w:t>
      </w:r>
      <w:proofErr w:type="spellStart"/>
      <w:r w:rsidRPr="007535CD">
        <w:rPr>
          <w:rFonts w:asciiTheme="majorBidi" w:hAnsiTheme="majorBidi" w:cstheme="majorBidi"/>
          <w:color w:val="000000" w:themeColor="text1"/>
          <w:rtl/>
        </w:rPr>
        <w:t>التحميلات</w:t>
      </w:r>
      <w:proofErr w:type="spellEnd"/>
      <w:r w:rsidRPr="007535CD">
        <w:rPr>
          <w:rFonts w:asciiTheme="majorBidi" w:hAnsiTheme="majorBidi" w:cstheme="majorBidi"/>
          <w:color w:val="000000" w:themeColor="text1"/>
          <w:rtl/>
        </w:rPr>
        <w:t>، وكيف ستوثق قرارات حذف الفقرات</w:t>
      </w:r>
      <w:r w:rsidRPr="007535CD">
        <w:rPr>
          <w:rFonts w:asciiTheme="majorBidi" w:hAnsiTheme="majorBidi" w:cstheme="majorBidi"/>
          <w:color w:val="000000" w:themeColor="text1"/>
        </w:rPr>
        <w:t>.</w:t>
      </w:r>
    </w:p>
    <w:p w14:paraId="44D4945F"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 xml:space="preserve">الحادية </w:t>
      </w:r>
      <w:proofErr w:type="spellStart"/>
      <w:r w:rsidRPr="007535CD">
        <w:rPr>
          <w:rStyle w:val="Strong"/>
          <w:rFonts w:asciiTheme="majorBidi" w:hAnsiTheme="majorBidi" w:cstheme="majorBidi"/>
          <w:color w:val="000000" w:themeColor="text1"/>
          <w:rtl/>
        </w:rPr>
        <w:t>والستون</w:t>
      </w:r>
      <w:proofErr w:type="spellEnd"/>
      <w:r w:rsidRPr="007535CD">
        <w:rPr>
          <w:rStyle w:val="Strong"/>
          <w:rFonts w:asciiTheme="majorBidi" w:hAnsiTheme="majorBidi" w:cstheme="majorBidi"/>
          <w:color w:val="000000" w:themeColor="text1"/>
          <w:rtl/>
        </w:rPr>
        <w:t>: الاعتماد على اختبارات لاحقة فقط لتحيز الطريقة المشتركة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إضافة إجراءات وقائية في تصميم الاستبانة، مثل ضمان السرية، وتوضيح العبارات، والفصل المنطقي بين الأقسام، وليس الاكتفاء بالاختبارات الإحصائية اللاحقة</w:t>
      </w:r>
      <w:r w:rsidRPr="007535CD">
        <w:rPr>
          <w:rFonts w:asciiTheme="majorBidi" w:hAnsiTheme="majorBidi" w:cstheme="majorBidi"/>
          <w:color w:val="000000" w:themeColor="text1"/>
        </w:rPr>
        <w:t>.</w:t>
      </w:r>
    </w:p>
    <w:p w14:paraId="2A4CCBD1"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 xml:space="preserve">الثانية </w:t>
      </w:r>
      <w:proofErr w:type="spellStart"/>
      <w:r w:rsidRPr="007535CD">
        <w:rPr>
          <w:rStyle w:val="Strong"/>
          <w:rFonts w:asciiTheme="majorBidi" w:hAnsiTheme="majorBidi" w:cstheme="majorBidi"/>
          <w:color w:val="000000" w:themeColor="text1"/>
          <w:rtl/>
        </w:rPr>
        <w:t>والستون</w:t>
      </w:r>
      <w:proofErr w:type="spellEnd"/>
      <w:r w:rsidRPr="007535CD">
        <w:rPr>
          <w:rStyle w:val="Strong"/>
          <w:rFonts w:asciiTheme="majorBidi" w:hAnsiTheme="majorBidi" w:cstheme="majorBidi"/>
          <w:color w:val="000000" w:themeColor="text1"/>
          <w:rtl/>
        </w:rPr>
        <w:t>: المبالغة في دلالة اختبار معاملات التضخم الكلي</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القيم الأقل من 3.3 تقدم مؤشراً مساعداً، لكنها لا تثبت وحدها خلو البيانات نهائياً من تحيز الطريقة المشتركة. يجب استخدام لغة أكثر تحفظاً</w:t>
      </w:r>
      <w:r w:rsidRPr="007535CD">
        <w:rPr>
          <w:rFonts w:asciiTheme="majorBidi" w:hAnsiTheme="majorBidi" w:cstheme="majorBidi"/>
          <w:color w:val="000000" w:themeColor="text1"/>
        </w:rPr>
        <w:t>.</w:t>
      </w:r>
    </w:p>
    <w:p w14:paraId="5F33D974"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lastRenderedPageBreak/>
        <w:t xml:space="preserve">الثالثة </w:t>
      </w:r>
      <w:proofErr w:type="spellStart"/>
      <w:r w:rsidRPr="007535CD">
        <w:rPr>
          <w:rStyle w:val="Strong"/>
          <w:rFonts w:asciiTheme="majorBidi" w:hAnsiTheme="majorBidi" w:cstheme="majorBidi"/>
          <w:color w:val="000000" w:themeColor="text1"/>
          <w:rtl/>
        </w:rPr>
        <w:t>والستون</w:t>
      </w:r>
      <w:proofErr w:type="spellEnd"/>
      <w:r w:rsidRPr="007535CD">
        <w:rPr>
          <w:rStyle w:val="Strong"/>
          <w:rFonts w:asciiTheme="majorBidi" w:hAnsiTheme="majorBidi" w:cstheme="majorBidi"/>
          <w:color w:val="000000" w:themeColor="text1"/>
          <w:rtl/>
        </w:rPr>
        <w:t>: عدم توضيح مصدر بيانات الصدق والثبات</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التمييز بين المؤشرات التي ستستخرج من العينة الاستطلاعية والمؤشرات التي ستُحسب من العينة الأساسية</w:t>
      </w:r>
      <w:r w:rsidRPr="007535CD">
        <w:rPr>
          <w:rFonts w:asciiTheme="majorBidi" w:hAnsiTheme="majorBidi" w:cstheme="majorBidi"/>
          <w:color w:val="000000" w:themeColor="text1"/>
        </w:rPr>
        <w:t>.</w:t>
      </w:r>
    </w:p>
    <w:p w14:paraId="632A30BF" w14:textId="77777777" w:rsidR="00886B44" w:rsidRPr="007535CD" w:rsidRDefault="00886B44" w:rsidP="007535CD">
      <w:pPr>
        <w:pStyle w:val="Heading2"/>
        <w:bidi/>
        <w:rPr>
          <w:rFonts w:asciiTheme="majorBidi" w:eastAsia="Times New Roman" w:hAnsiTheme="majorBidi"/>
          <w:color w:val="000000" w:themeColor="text1"/>
          <w:sz w:val="24"/>
          <w:szCs w:val="24"/>
        </w:rPr>
      </w:pPr>
      <w:r w:rsidRPr="007535CD">
        <w:rPr>
          <w:rFonts w:asciiTheme="majorBidi" w:eastAsia="Times New Roman" w:hAnsiTheme="majorBidi"/>
          <w:color w:val="000000" w:themeColor="text1"/>
          <w:sz w:val="24"/>
          <w:szCs w:val="24"/>
          <w:rtl/>
        </w:rPr>
        <w:t>خامساً: نواقص تنظيف البيانات والمعالجة الإحصائية</w:t>
      </w:r>
    </w:p>
    <w:p w14:paraId="649D0805" w14:textId="77777777" w:rsidR="00886B44" w:rsidRPr="007535CD" w:rsidRDefault="00886B44" w:rsidP="007535CD">
      <w:pPr>
        <w:pStyle w:val="NormalWeb"/>
        <w:bidi/>
        <w:rPr>
          <w:rFonts w:asciiTheme="majorBidi" w:eastAsiaTheme="minorHAnsi" w:hAnsiTheme="majorBidi" w:cstheme="majorBidi"/>
          <w:color w:val="000000" w:themeColor="text1"/>
        </w:rPr>
      </w:pPr>
      <w:r w:rsidRPr="007535CD">
        <w:rPr>
          <w:rStyle w:val="Strong"/>
          <w:rFonts w:asciiTheme="majorBidi" w:hAnsiTheme="majorBidi" w:cstheme="majorBidi"/>
          <w:color w:val="000000" w:themeColor="text1"/>
          <w:rtl/>
        </w:rPr>
        <w:t xml:space="preserve">الرابعة </w:t>
      </w:r>
      <w:proofErr w:type="spellStart"/>
      <w:r w:rsidRPr="007535CD">
        <w:rPr>
          <w:rStyle w:val="Strong"/>
          <w:rFonts w:asciiTheme="majorBidi" w:hAnsiTheme="majorBidi" w:cstheme="majorBidi"/>
          <w:color w:val="000000" w:themeColor="text1"/>
          <w:rtl/>
        </w:rPr>
        <w:t>والستون</w:t>
      </w:r>
      <w:proofErr w:type="spellEnd"/>
      <w:r w:rsidRPr="007535CD">
        <w:rPr>
          <w:rStyle w:val="Strong"/>
          <w:rFonts w:asciiTheme="majorBidi" w:hAnsiTheme="majorBidi" w:cstheme="majorBidi"/>
          <w:color w:val="000000" w:themeColor="text1"/>
          <w:rtl/>
        </w:rPr>
        <w:t>: عدم تحديد البرنامج المستخدم في التحليل الوصفي والتنظيف</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ذُكر</w:t>
      </w:r>
      <w:r w:rsidRPr="007535CD">
        <w:rPr>
          <w:rFonts w:asciiTheme="majorBidi" w:hAnsiTheme="majorBidi" w:cstheme="majorBidi"/>
          <w:color w:val="000000" w:themeColor="text1"/>
        </w:rPr>
        <w:t xml:space="preserve"> </w:t>
      </w:r>
      <w:proofErr w:type="spellStart"/>
      <w:r w:rsidRPr="007535CD">
        <w:rPr>
          <w:rFonts w:asciiTheme="majorBidi" w:hAnsiTheme="majorBidi" w:cstheme="majorBidi"/>
          <w:color w:val="000000" w:themeColor="text1"/>
        </w:rPr>
        <w:t>SmartPLS</w:t>
      </w:r>
      <w:proofErr w:type="spellEnd"/>
      <w:r w:rsidRPr="007535CD">
        <w:rPr>
          <w:rFonts w:asciiTheme="majorBidi" w:hAnsiTheme="majorBidi" w:cstheme="majorBidi"/>
          <w:color w:val="000000" w:themeColor="text1"/>
        </w:rPr>
        <w:t xml:space="preserve"> 4</w:t>
      </w:r>
      <w:r w:rsidRPr="007535CD">
        <w:rPr>
          <w:rFonts w:asciiTheme="majorBidi" w:hAnsiTheme="majorBidi" w:cstheme="majorBidi"/>
          <w:color w:val="000000" w:themeColor="text1"/>
          <w:rtl/>
        </w:rPr>
        <w:t>، لكن لم يوضح البرنامج المستخدم لترميز البيانات والتكرارات والنسب وتنظيف الملف. يجب تحديد</w:t>
      </w:r>
      <w:r w:rsidRPr="007535CD">
        <w:rPr>
          <w:rFonts w:asciiTheme="majorBidi" w:hAnsiTheme="majorBidi" w:cstheme="majorBidi"/>
          <w:color w:val="000000" w:themeColor="text1"/>
        </w:rPr>
        <w:t xml:space="preserve"> SPSS </w:t>
      </w:r>
      <w:r w:rsidRPr="007535CD">
        <w:rPr>
          <w:rFonts w:asciiTheme="majorBidi" w:hAnsiTheme="majorBidi" w:cstheme="majorBidi"/>
          <w:color w:val="000000" w:themeColor="text1"/>
          <w:rtl/>
        </w:rPr>
        <w:t>أو برنامج آخر ووظيفته</w:t>
      </w:r>
      <w:r w:rsidRPr="007535CD">
        <w:rPr>
          <w:rFonts w:asciiTheme="majorBidi" w:hAnsiTheme="majorBidi" w:cstheme="majorBidi"/>
          <w:color w:val="000000" w:themeColor="text1"/>
        </w:rPr>
        <w:t>.</w:t>
      </w:r>
    </w:p>
    <w:p w14:paraId="77499296"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 xml:space="preserve">الخامسة </w:t>
      </w:r>
      <w:proofErr w:type="spellStart"/>
      <w:r w:rsidRPr="007535CD">
        <w:rPr>
          <w:rStyle w:val="Strong"/>
          <w:rFonts w:asciiTheme="majorBidi" w:hAnsiTheme="majorBidi" w:cstheme="majorBidi"/>
          <w:color w:val="000000" w:themeColor="text1"/>
          <w:rtl/>
        </w:rPr>
        <w:t>والستون</w:t>
      </w:r>
      <w:proofErr w:type="spellEnd"/>
      <w:r w:rsidRPr="007535CD">
        <w:rPr>
          <w:rStyle w:val="Strong"/>
          <w:rFonts w:asciiTheme="majorBidi" w:hAnsiTheme="majorBidi" w:cstheme="majorBidi"/>
          <w:color w:val="000000" w:themeColor="text1"/>
          <w:rtl/>
        </w:rPr>
        <w:t>: عدم ذكر الإصدار الكامل للبرامج</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تحديد إصدار</w:t>
      </w:r>
      <w:r w:rsidRPr="007535CD">
        <w:rPr>
          <w:rFonts w:asciiTheme="majorBidi" w:hAnsiTheme="majorBidi" w:cstheme="majorBidi"/>
          <w:color w:val="000000" w:themeColor="text1"/>
        </w:rPr>
        <w:t xml:space="preserve"> </w:t>
      </w:r>
      <w:proofErr w:type="spellStart"/>
      <w:r w:rsidRPr="007535CD">
        <w:rPr>
          <w:rFonts w:asciiTheme="majorBidi" w:hAnsiTheme="majorBidi" w:cstheme="majorBidi"/>
          <w:color w:val="000000" w:themeColor="text1"/>
        </w:rPr>
        <w:t>SmartPLS</w:t>
      </w:r>
      <w:proofErr w:type="spellEnd"/>
      <w:r w:rsidRPr="007535CD">
        <w:rPr>
          <w:rFonts w:asciiTheme="majorBidi" w:hAnsiTheme="majorBidi" w:cstheme="majorBidi"/>
          <w:color w:val="000000" w:themeColor="text1"/>
        </w:rPr>
        <w:t xml:space="preserve"> </w:t>
      </w:r>
      <w:r w:rsidRPr="007535CD">
        <w:rPr>
          <w:rFonts w:asciiTheme="majorBidi" w:hAnsiTheme="majorBidi" w:cstheme="majorBidi"/>
          <w:color w:val="000000" w:themeColor="text1"/>
          <w:rtl/>
        </w:rPr>
        <w:t>وإصدار البرنامج المستخدم في التحليل الوصفي، بما يسمح بتكرار الإجراءات</w:t>
      </w:r>
      <w:r w:rsidRPr="007535CD">
        <w:rPr>
          <w:rFonts w:asciiTheme="majorBidi" w:hAnsiTheme="majorBidi" w:cstheme="majorBidi"/>
          <w:color w:val="000000" w:themeColor="text1"/>
        </w:rPr>
        <w:t>.</w:t>
      </w:r>
    </w:p>
    <w:p w14:paraId="5C897E79"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 xml:space="preserve">السادسة </w:t>
      </w:r>
      <w:proofErr w:type="spellStart"/>
      <w:r w:rsidRPr="007535CD">
        <w:rPr>
          <w:rStyle w:val="Strong"/>
          <w:rFonts w:asciiTheme="majorBidi" w:hAnsiTheme="majorBidi" w:cstheme="majorBidi"/>
          <w:color w:val="000000" w:themeColor="text1"/>
          <w:rtl/>
        </w:rPr>
        <w:t>والستون</w:t>
      </w:r>
      <w:proofErr w:type="spellEnd"/>
      <w:r w:rsidRPr="007535CD">
        <w:rPr>
          <w:rStyle w:val="Strong"/>
          <w:rFonts w:asciiTheme="majorBidi" w:hAnsiTheme="majorBidi" w:cstheme="majorBidi"/>
          <w:color w:val="000000" w:themeColor="text1"/>
          <w:rtl/>
        </w:rPr>
        <w:t>: عدم تحديد معيار القيم المفقودة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بيان نسبة النقص التي تؤدي إلى استبعاد الاستجابة، والطريقة المستخدمة لمعالجة النقص المحدود</w:t>
      </w:r>
      <w:r w:rsidRPr="007535CD">
        <w:rPr>
          <w:rFonts w:asciiTheme="majorBidi" w:hAnsiTheme="majorBidi" w:cstheme="majorBidi"/>
          <w:color w:val="000000" w:themeColor="text1"/>
        </w:rPr>
        <w:t>.</w:t>
      </w:r>
    </w:p>
    <w:p w14:paraId="21C5DD12"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 xml:space="preserve">السابعة </w:t>
      </w:r>
      <w:proofErr w:type="spellStart"/>
      <w:r w:rsidRPr="007535CD">
        <w:rPr>
          <w:rStyle w:val="Strong"/>
          <w:rFonts w:asciiTheme="majorBidi" w:hAnsiTheme="majorBidi" w:cstheme="majorBidi"/>
          <w:color w:val="000000" w:themeColor="text1"/>
          <w:rtl/>
        </w:rPr>
        <w:t>والستون</w:t>
      </w:r>
      <w:proofErr w:type="spellEnd"/>
      <w:r w:rsidRPr="007535CD">
        <w:rPr>
          <w:rStyle w:val="Strong"/>
          <w:rFonts w:asciiTheme="majorBidi" w:hAnsiTheme="majorBidi" w:cstheme="majorBidi"/>
          <w:color w:val="000000" w:themeColor="text1"/>
          <w:rtl/>
        </w:rPr>
        <w:t>: عدم تحديد طريقة اكتشاف القيم المتطرفة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ورد ذكر فحص القيم الشاذة دون تحديد المؤشرات أو الإجراءات المستخدمة لاكتشافها والتعامل معها</w:t>
      </w:r>
      <w:r w:rsidRPr="007535CD">
        <w:rPr>
          <w:rFonts w:asciiTheme="majorBidi" w:hAnsiTheme="majorBidi" w:cstheme="majorBidi"/>
          <w:color w:val="000000" w:themeColor="text1"/>
        </w:rPr>
        <w:t>.</w:t>
      </w:r>
    </w:p>
    <w:p w14:paraId="3EBED1B5"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 xml:space="preserve">الثامنة </w:t>
      </w:r>
      <w:proofErr w:type="spellStart"/>
      <w:r w:rsidRPr="007535CD">
        <w:rPr>
          <w:rStyle w:val="Strong"/>
          <w:rFonts w:asciiTheme="majorBidi" w:hAnsiTheme="majorBidi" w:cstheme="majorBidi"/>
          <w:color w:val="000000" w:themeColor="text1"/>
          <w:rtl/>
        </w:rPr>
        <w:t>والستون</w:t>
      </w:r>
      <w:proofErr w:type="spellEnd"/>
      <w:r w:rsidRPr="007535CD">
        <w:rPr>
          <w:rStyle w:val="Strong"/>
          <w:rFonts w:asciiTheme="majorBidi" w:hAnsiTheme="majorBidi" w:cstheme="majorBidi"/>
          <w:color w:val="000000" w:themeColor="text1"/>
          <w:rtl/>
        </w:rPr>
        <w:t>: عدم تحديد معيار الاستجابات النمطية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اختيار الدرجة نفسها في جميع الفقرات لا يعني دائماً عدم الجدية. يجب استخدام أكثر من مؤشر، مثل التباين الفردي وزمن الإجابة والتناقض بين الفقرات</w:t>
      </w:r>
      <w:r w:rsidRPr="007535CD">
        <w:rPr>
          <w:rFonts w:asciiTheme="majorBidi" w:hAnsiTheme="majorBidi" w:cstheme="majorBidi"/>
          <w:color w:val="000000" w:themeColor="text1"/>
        </w:rPr>
        <w:t>.</w:t>
      </w:r>
    </w:p>
    <w:p w14:paraId="397FE23F"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 xml:space="preserve">التاسعة </w:t>
      </w:r>
      <w:proofErr w:type="spellStart"/>
      <w:r w:rsidRPr="007535CD">
        <w:rPr>
          <w:rStyle w:val="Strong"/>
          <w:rFonts w:asciiTheme="majorBidi" w:hAnsiTheme="majorBidi" w:cstheme="majorBidi"/>
          <w:color w:val="000000" w:themeColor="text1"/>
          <w:rtl/>
        </w:rPr>
        <w:t>والستون</w:t>
      </w:r>
      <w:proofErr w:type="spellEnd"/>
      <w:r w:rsidRPr="007535CD">
        <w:rPr>
          <w:rStyle w:val="Strong"/>
          <w:rFonts w:asciiTheme="majorBidi" w:hAnsiTheme="majorBidi" w:cstheme="majorBidi"/>
          <w:color w:val="000000" w:themeColor="text1"/>
          <w:rtl/>
        </w:rPr>
        <w:t>: عدم تحديد الحد الأدنى لزمن الإجابة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تقدير الزمن الطبيعي لإكمال الاستبانة، ووضع معيار منطقي لمراجعة الاستجابات السريعة جداً</w:t>
      </w:r>
      <w:r w:rsidRPr="007535CD">
        <w:rPr>
          <w:rFonts w:asciiTheme="majorBidi" w:hAnsiTheme="majorBidi" w:cstheme="majorBidi"/>
          <w:color w:val="000000" w:themeColor="text1"/>
        </w:rPr>
        <w:t>.</w:t>
      </w:r>
    </w:p>
    <w:p w14:paraId="7A176E63"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السبعون: عدم توضيح طريقة اكتشاف الاستجابات المكررة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بيان كيفية فحص التكرار باستخدام رمز مجهول أو وقت الاستجابة أو المؤشرات التقنية المتاحة، مع احترام الخصوصية</w:t>
      </w:r>
      <w:r w:rsidRPr="007535CD">
        <w:rPr>
          <w:rFonts w:asciiTheme="majorBidi" w:hAnsiTheme="majorBidi" w:cstheme="majorBidi"/>
          <w:color w:val="000000" w:themeColor="text1"/>
        </w:rPr>
        <w:t>.</w:t>
      </w:r>
    </w:p>
    <w:p w14:paraId="6FF2D48E"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الحادية والسبعون: عدم تحديد عدد عينات إعادة المعاينة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ذُكر استخدام</w:t>
      </w:r>
      <w:r w:rsidRPr="007535CD">
        <w:rPr>
          <w:rFonts w:asciiTheme="majorBidi" w:hAnsiTheme="majorBidi" w:cstheme="majorBidi"/>
          <w:color w:val="000000" w:themeColor="text1"/>
        </w:rPr>
        <w:t xml:space="preserve"> Bootstrapping </w:t>
      </w:r>
      <w:r w:rsidRPr="007535CD">
        <w:rPr>
          <w:rFonts w:asciiTheme="majorBidi" w:hAnsiTheme="majorBidi" w:cstheme="majorBidi"/>
          <w:color w:val="000000" w:themeColor="text1"/>
          <w:rtl/>
        </w:rPr>
        <w:t>دون تحديد عدد العينات الفرعية ومستوى الثقة ونوع فترة الثقة المستخدمة</w:t>
      </w:r>
      <w:r w:rsidRPr="007535CD">
        <w:rPr>
          <w:rFonts w:asciiTheme="majorBidi" w:hAnsiTheme="majorBidi" w:cstheme="majorBidi"/>
          <w:color w:val="000000" w:themeColor="text1"/>
        </w:rPr>
        <w:t>.</w:t>
      </w:r>
    </w:p>
    <w:p w14:paraId="51D150E2"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 xml:space="preserve">الثانية والسبعون: عدم عرض مؤشرات الجودة </w:t>
      </w:r>
      <w:proofErr w:type="spellStart"/>
      <w:r w:rsidRPr="007535CD">
        <w:rPr>
          <w:rStyle w:val="Strong"/>
          <w:rFonts w:asciiTheme="majorBidi" w:hAnsiTheme="majorBidi" w:cstheme="majorBidi"/>
          <w:color w:val="000000" w:themeColor="text1"/>
          <w:rtl/>
        </w:rPr>
        <w:t>التنبؤية</w:t>
      </w:r>
      <w:proofErr w:type="spellEnd"/>
      <w:r w:rsidRPr="007535CD">
        <w:rPr>
          <w:rStyle w:val="Strong"/>
          <w:rFonts w:asciiTheme="majorBidi" w:hAnsiTheme="majorBidi" w:cstheme="majorBidi"/>
          <w:color w:val="000000" w:themeColor="text1"/>
          <w:rtl/>
        </w:rPr>
        <w:t xml:space="preserve"> والملاءمة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توضيح ما إذا كانت الخطة ستشمل مؤشرات مثل</w:t>
      </w:r>
      <w:r w:rsidRPr="007535CD">
        <w:rPr>
          <w:rFonts w:asciiTheme="majorBidi" w:hAnsiTheme="majorBidi" w:cstheme="majorBidi"/>
          <w:color w:val="000000" w:themeColor="text1"/>
        </w:rPr>
        <w:t xml:space="preserve"> Q² </w:t>
      </w:r>
      <w:r w:rsidRPr="007535CD">
        <w:rPr>
          <w:rFonts w:asciiTheme="majorBidi" w:hAnsiTheme="majorBidi" w:cstheme="majorBidi"/>
          <w:color w:val="000000" w:themeColor="text1"/>
          <w:rtl/>
        </w:rPr>
        <w:t>و</w:t>
      </w:r>
      <w:proofErr w:type="spellStart"/>
      <w:r w:rsidRPr="007535CD">
        <w:rPr>
          <w:rFonts w:asciiTheme="majorBidi" w:hAnsiTheme="majorBidi" w:cstheme="majorBidi"/>
          <w:color w:val="000000" w:themeColor="text1"/>
        </w:rPr>
        <w:t>PLSpredict</w:t>
      </w:r>
      <w:proofErr w:type="spellEnd"/>
      <w:r w:rsidRPr="007535CD">
        <w:rPr>
          <w:rFonts w:asciiTheme="majorBidi" w:hAnsiTheme="majorBidi" w:cstheme="majorBidi"/>
          <w:color w:val="000000" w:themeColor="text1"/>
        </w:rPr>
        <w:t xml:space="preserve"> </w:t>
      </w:r>
      <w:r w:rsidRPr="007535CD">
        <w:rPr>
          <w:rFonts w:asciiTheme="majorBidi" w:hAnsiTheme="majorBidi" w:cstheme="majorBidi"/>
          <w:color w:val="000000" w:themeColor="text1"/>
          <w:rtl/>
        </w:rPr>
        <w:t>و</w:t>
      </w:r>
      <w:r w:rsidRPr="007535CD">
        <w:rPr>
          <w:rFonts w:asciiTheme="majorBidi" w:hAnsiTheme="majorBidi" w:cstheme="majorBidi"/>
          <w:color w:val="000000" w:themeColor="text1"/>
        </w:rPr>
        <w:t xml:space="preserve">SRMR </w:t>
      </w:r>
      <w:r w:rsidRPr="007535CD">
        <w:rPr>
          <w:rFonts w:asciiTheme="majorBidi" w:hAnsiTheme="majorBidi" w:cstheme="majorBidi"/>
          <w:color w:val="000000" w:themeColor="text1"/>
          <w:rtl/>
        </w:rPr>
        <w:t>وأحجام الأثر، بما يتوافق مع غرض التحليل</w:t>
      </w:r>
      <w:r w:rsidRPr="007535CD">
        <w:rPr>
          <w:rFonts w:asciiTheme="majorBidi" w:hAnsiTheme="majorBidi" w:cstheme="majorBidi"/>
          <w:color w:val="000000" w:themeColor="text1"/>
        </w:rPr>
        <w:t>.</w:t>
      </w:r>
    </w:p>
    <w:p w14:paraId="6618CD55"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الثالثة والسبعون: عدم معالجة تداخل المشاركين داخل الوكالات</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إذا اشترك عدة عاملين من الوكالة نفسها، فقد لا تكون المشاهدات مستقلة تماماً. يجب توضيح كيفية فحص هذا الأمر أو إجراء تحليل حساسية مناسب</w:t>
      </w:r>
      <w:r w:rsidRPr="007535CD">
        <w:rPr>
          <w:rFonts w:asciiTheme="majorBidi" w:hAnsiTheme="majorBidi" w:cstheme="majorBidi"/>
          <w:color w:val="000000" w:themeColor="text1"/>
        </w:rPr>
        <w:t>.</w:t>
      </w:r>
    </w:p>
    <w:p w14:paraId="608A30E9"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الرابعة والسبعون: غياب دليل ترميز البيانات</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إعداد جدول يوضح رموز الأسئلة، وقيم الإجابات، والأسئلة متعددة الاختيار، وأي فقرات تحتاج إلى إعادة ترميز</w:t>
      </w:r>
      <w:r w:rsidRPr="007535CD">
        <w:rPr>
          <w:rFonts w:asciiTheme="majorBidi" w:hAnsiTheme="majorBidi" w:cstheme="majorBidi"/>
          <w:color w:val="000000" w:themeColor="text1"/>
        </w:rPr>
        <w:t>.</w:t>
      </w:r>
    </w:p>
    <w:p w14:paraId="47201820" w14:textId="77777777" w:rsidR="00886B44" w:rsidRPr="007535CD" w:rsidRDefault="00886B44" w:rsidP="007535CD">
      <w:pPr>
        <w:pStyle w:val="Heading2"/>
        <w:bidi/>
        <w:rPr>
          <w:rFonts w:asciiTheme="majorBidi" w:eastAsia="Times New Roman" w:hAnsiTheme="majorBidi"/>
          <w:color w:val="000000" w:themeColor="text1"/>
          <w:sz w:val="24"/>
          <w:szCs w:val="24"/>
        </w:rPr>
      </w:pPr>
      <w:r w:rsidRPr="007535CD">
        <w:rPr>
          <w:rFonts w:asciiTheme="majorBidi" w:eastAsia="Times New Roman" w:hAnsiTheme="majorBidi"/>
          <w:color w:val="000000" w:themeColor="text1"/>
          <w:sz w:val="24"/>
          <w:szCs w:val="24"/>
          <w:rtl/>
        </w:rPr>
        <w:t>سادساً: نواقص الاعتبارات الأخلاقية</w:t>
      </w:r>
    </w:p>
    <w:p w14:paraId="354A6B07" w14:textId="77777777" w:rsidR="00886B44" w:rsidRPr="007535CD" w:rsidRDefault="00886B44" w:rsidP="007535CD">
      <w:pPr>
        <w:pStyle w:val="NormalWeb"/>
        <w:bidi/>
        <w:rPr>
          <w:rFonts w:asciiTheme="majorBidi" w:eastAsiaTheme="minorHAnsi" w:hAnsiTheme="majorBidi" w:cstheme="majorBidi"/>
          <w:color w:val="000000" w:themeColor="text1"/>
        </w:rPr>
      </w:pPr>
      <w:r w:rsidRPr="007535CD">
        <w:rPr>
          <w:rStyle w:val="Strong"/>
          <w:rFonts w:asciiTheme="majorBidi" w:hAnsiTheme="majorBidi" w:cstheme="majorBidi"/>
          <w:color w:val="000000" w:themeColor="text1"/>
          <w:rtl/>
        </w:rPr>
        <w:t>الخامسة والسبعون: عدم ذكر موافقة لجنة الأخلاقيات</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لم يذكر اسم اللجنة الأكاديمية أو رقم الموافقة أو تاريخها. يجب إضافة هذه البيانات بعد الحصول على الموافقة</w:t>
      </w:r>
      <w:r w:rsidRPr="007535CD">
        <w:rPr>
          <w:rFonts w:asciiTheme="majorBidi" w:hAnsiTheme="majorBidi" w:cstheme="majorBidi"/>
          <w:color w:val="000000" w:themeColor="text1"/>
        </w:rPr>
        <w:t>.</w:t>
      </w:r>
    </w:p>
    <w:p w14:paraId="02F8B880"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lastRenderedPageBreak/>
        <w:t>السادسة والسبعون: عدم توضيح الموافقات الرسمية من الوكالات</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بيان ما إذا كان توزيع الاستبانة يتطلب موافقة الوكالات أو جهة مهنية مختصة، وإرفاق الخطابات عند الحاجة</w:t>
      </w:r>
      <w:r w:rsidRPr="007535CD">
        <w:rPr>
          <w:rFonts w:asciiTheme="majorBidi" w:hAnsiTheme="majorBidi" w:cstheme="majorBidi"/>
          <w:color w:val="000000" w:themeColor="text1"/>
        </w:rPr>
        <w:t>.</w:t>
      </w:r>
    </w:p>
    <w:p w14:paraId="1ACAA885" w14:textId="77777777" w:rsidR="00886B44" w:rsidRPr="007535CD" w:rsidRDefault="00886B44"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السابعة والسبعون: عدم اكتمال الموافقة المستنيرة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أن توضح صفحة الموافقة هدف الدراسة، ومدة الإجابة، وحق الانسحاب، والمخاطر والفوائد، ومعلومات التواصل مع الباحث والجهة الأخلاقية</w:t>
      </w:r>
      <w:r w:rsidRPr="007535CD">
        <w:rPr>
          <w:rFonts w:asciiTheme="majorBidi" w:hAnsiTheme="majorBidi" w:cstheme="majorBidi"/>
          <w:color w:val="000000" w:themeColor="text1"/>
        </w:rPr>
        <w:t>.</w:t>
      </w:r>
    </w:p>
    <w:p w14:paraId="73E88899" w14:textId="77777777" w:rsidR="007535CD" w:rsidRPr="007535CD" w:rsidRDefault="007535CD" w:rsidP="007535CD">
      <w:pPr>
        <w:pStyle w:val="Heading2"/>
        <w:bidi/>
        <w:rPr>
          <w:rFonts w:asciiTheme="majorBidi" w:eastAsia="Times New Roman" w:hAnsiTheme="majorBidi"/>
          <w:b/>
          <w:bCs/>
          <w:color w:val="000000" w:themeColor="text1"/>
          <w:sz w:val="24"/>
          <w:szCs w:val="24"/>
        </w:rPr>
      </w:pPr>
      <w:bookmarkStart w:id="0" w:name="_GoBack"/>
      <w:r w:rsidRPr="007535CD">
        <w:rPr>
          <w:rFonts w:asciiTheme="majorBidi" w:eastAsia="Times New Roman" w:hAnsiTheme="majorBidi"/>
          <w:b/>
          <w:bCs/>
          <w:color w:val="000000" w:themeColor="text1"/>
          <w:sz w:val="24"/>
          <w:szCs w:val="24"/>
          <w:rtl/>
        </w:rPr>
        <w:t>سابعاً: نواقص التوثيق والصياغة والتنسيق</w:t>
      </w:r>
    </w:p>
    <w:bookmarkEnd w:id="0"/>
    <w:p w14:paraId="72827D79" w14:textId="77777777" w:rsidR="007535CD" w:rsidRDefault="007535CD" w:rsidP="007535CD">
      <w:pPr>
        <w:pStyle w:val="Heading2"/>
        <w:bidi/>
        <w:rPr>
          <w:rFonts w:asciiTheme="majorBidi" w:hAnsiTheme="majorBidi"/>
          <w:color w:val="000000" w:themeColor="text1"/>
          <w:sz w:val="24"/>
          <w:szCs w:val="24"/>
        </w:rPr>
      </w:pPr>
      <w:r w:rsidRPr="007535CD">
        <w:rPr>
          <w:rStyle w:val="Strong"/>
          <w:rFonts w:asciiTheme="majorBidi" w:hAnsiTheme="majorBidi"/>
          <w:color w:val="000000" w:themeColor="text1"/>
          <w:sz w:val="24"/>
          <w:szCs w:val="24"/>
          <w:rtl/>
        </w:rPr>
        <w:t>عدم انتظام ترقيم الجداول</w:t>
      </w:r>
      <w:r w:rsidRPr="007535CD">
        <w:rPr>
          <w:rFonts w:asciiTheme="majorBidi" w:hAnsiTheme="majorBidi"/>
          <w:color w:val="000000" w:themeColor="text1"/>
          <w:sz w:val="24"/>
          <w:szCs w:val="24"/>
        </w:rPr>
        <w:br/>
      </w:r>
      <w:r w:rsidRPr="007535CD">
        <w:rPr>
          <w:rFonts w:asciiTheme="majorBidi" w:hAnsiTheme="majorBidi"/>
          <w:color w:val="000000" w:themeColor="text1"/>
          <w:sz w:val="24"/>
          <w:szCs w:val="24"/>
          <w:rtl/>
        </w:rPr>
        <w:t>وردت عناوين عامة مثل «جدول:» دون رقم، ثم ظهر جدول برقم 5-3. يجب ترقيم جميع الجداول تسلسلياً وفق دليل الجامعة</w:t>
      </w:r>
      <w:r w:rsidRPr="007535CD">
        <w:rPr>
          <w:rFonts w:asciiTheme="majorBidi" w:hAnsiTheme="majorBidi"/>
          <w:color w:val="000000" w:themeColor="text1"/>
          <w:sz w:val="24"/>
          <w:szCs w:val="24"/>
        </w:rPr>
        <w:t>.</w:t>
      </w:r>
    </w:p>
    <w:p w14:paraId="3C5DB737" w14:textId="13148F96" w:rsidR="007535CD" w:rsidRPr="007535CD" w:rsidRDefault="007535CD" w:rsidP="007535CD">
      <w:pPr>
        <w:pStyle w:val="Heading2"/>
        <w:bidi/>
        <w:rPr>
          <w:rFonts w:asciiTheme="majorBidi" w:eastAsia="Times New Roman" w:hAnsiTheme="majorBidi"/>
          <w:color w:val="000000" w:themeColor="text1"/>
          <w:sz w:val="24"/>
          <w:szCs w:val="24"/>
        </w:rPr>
      </w:pPr>
      <w:r w:rsidRPr="007535CD">
        <w:rPr>
          <w:rStyle w:val="Strong"/>
          <w:rFonts w:asciiTheme="majorBidi" w:hAnsiTheme="majorBidi"/>
          <w:color w:val="000000" w:themeColor="text1"/>
          <w:sz w:val="24"/>
          <w:szCs w:val="24"/>
          <w:rtl/>
        </w:rPr>
        <w:t>عدم توحيد مصطلح الحملات</w:t>
      </w:r>
      <w:r w:rsidRPr="007535CD">
        <w:rPr>
          <w:rFonts w:asciiTheme="majorBidi" w:hAnsiTheme="majorBidi"/>
          <w:color w:val="000000" w:themeColor="text1"/>
          <w:sz w:val="24"/>
          <w:szCs w:val="24"/>
        </w:rPr>
        <w:br/>
      </w:r>
      <w:r w:rsidRPr="007535CD">
        <w:rPr>
          <w:rFonts w:asciiTheme="majorBidi" w:hAnsiTheme="majorBidi"/>
          <w:color w:val="000000" w:themeColor="text1"/>
          <w:sz w:val="24"/>
          <w:szCs w:val="24"/>
          <w:rtl/>
        </w:rPr>
        <w:t>استخدمت الدراسة أحياناً «الحملات التسويقية الرقمية» وأحياناً «الحملات الرقمية». يجب اعتماد مصطلح واحد في العنوان والفصل والاستبانة</w:t>
      </w:r>
      <w:r w:rsidRPr="007535CD">
        <w:rPr>
          <w:rFonts w:asciiTheme="majorBidi" w:hAnsiTheme="majorBidi"/>
          <w:color w:val="000000" w:themeColor="text1"/>
          <w:sz w:val="24"/>
          <w:szCs w:val="24"/>
        </w:rPr>
        <w:t>.</w:t>
      </w:r>
    </w:p>
    <w:p w14:paraId="192A528D" w14:textId="724A8ED8" w:rsidR="007535CD" w:rsidRDefault="007535CD"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وجود أخطاء في اتجاه المصطلحات الإنجليزية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ظهرت بعض المصطلحات بترتيب معكوس، مثل</w:t>
      </w:r>
      <w:r w:rsidRPr="007535CD">
        <w:rPr>
          <w:rStyle w:val="apple-converted-space"/>
          <w:rFonts w:asciiTheme="majorBidi" w:hAnsiTheme="majorBidi" w:cstheme="majorBidi"/>
          <w:color w:val="000000" w:themeColor="text1"/>
          <w:rtl/>
        </w:rPr>
        <w:t> </w:t>
      </w:r>
      <w:r w:rsidRPr="007535CD">
        <w:rPr>
          <w:rStyle w:val="HTMLCode"/>
          <w:rFonts w:asciiTheme="majorBidi" w:hAnsiTheme="majorBidi" w:cstheme="majorBidi"/>
          <w:color w:val="000000" w:themeColor="text1"/>
          <w:sz w:val="24"/>
          <w:szCs w:val="24"/>
        </w:rPr>
        <w:t>sectional-Cross</w:t>
      </w:r>
      <w:r w:rsidRPr="007535CD">
        <w:rPr>
          <w:rStyle w:val="apple-converted-space"/>
          <w:rFonts w:asciiTheme="majorBidi" w:hAnsiTheme="majorBidi" w:cstheme="majorBidi"/>
          <w:color w:val="000000" w:themeColor="text1"/>
        </w:rPr>
        <w:t> </w:t>
      </w:r>
      <w:r w:rsidRPr="007535CD">
        <w:rPr>
          <w:rFonts w:asciiTheme="majorBidi" w:hAnsiTheme="majorBidi" w:cstheme="majorBidi"/>
          <w:color w:val="000000" w:themeColor="text1"/>
          <w:rtl/>
        </w:rPr>
        <w:t>و</w:t>
      </w:r>
      <w:r w:rsidRPr="007535CD">
        <w:rPr>
          <w:rStyle w:val="HTMLCode"/>
          <w:rFonts w:asciiTheme="majorBidi" w:hAnsiTheme="majorBidi" w:cstheme="majorBidi"/>
          <w:color w:val="000000" w:themeColor="text1"/>
          <w:sz w:val="24"/>
          <w:szCs w:val="24"/>
        </w:rPr>
        <w:t>Sampling probability-Non</w:t>
      </w:r>
      <w:r w:rsidRPr="007535CD">
        <w:rPr>
          <w:rStyle w:val="apple-converted-space"/>
          <w:rFonts w:asciiTheme="majorBidi" w:hAnsiTheme="majorBidi" w:cstheme="majorBidi"/>
          <w:color w:val="000000" w:themeColor="text1"/>
        </w:rPr>
        <w:t> </w:t>
      </w:r>
      <w:r w:rsidRPr="007535CD">
        <w:rPr>
          <w:rFonts w:asciiTheme="majorBidi" w:hAnsiTheme="majorBidi" w:cstheme="majorBidi"/>
          <w:color w:val="000000" w:themeColor="text1"/>
          <w:rtl/>
        </w:rPr>
        <w:t>و</w:t>
      </w:r>
      <w:r w:rsidRPr="007535CD">
        <w:rPr>
          <w:rStyle w:val="HTMLCode"/>
          <w:rFonts w:asciiTheme="majorBidi" w:hAnsiTheme="majorBidi" w:cstheme="majorBidi"/>
          <w:color w:val="000000" w:themeColor="text1"/>
          <w:sz w:val="24"/>
          <w:szCs w:val="24"/>
        </w:rPr>
        <w:t>Approach Stage-Two</w:t>
      </w:r>
      <w:r w:rsidRPr="007535CD">
        <w:rPr>
          <w:rFonts w:asciiTheme="majorBidi" w:hAnsiTheme="majorBidi" w:cstheme="majorBidi"/>
          <w:color w:val="000000" w:themeColor="text1"/>
        </w:rPr>
        <w:t xml:space="preserve">. </w:t>
      </w:r>
      <w:r w:rsidRPr="007535CD">
        <w:rPr>
          <w:rFonts w:asciiTheme="majorBidi" w:hAnsiTheme="majorBidi" w:cstheme="majorBidi"/>
          <w:color w:val="000000" w:themeColor="text1"/>
          <w:rtl/>
        </w:rPr>
        <w:t>يجب ضبط اتجاه الكتابة الإنجليزية</w:t>
      </w:r>
      <w:r w:rsidRPr="007535CD">
        <w:rPr>
          <w:rFonts w:asciiTheme="majorBidi" w:hAnsiTheme="majorBidi" w:cstheme="majorBidi"/>
          <w:color w:val="000000" w:themeColor="text1"/>
        </w:rPr>
        <w:t>.</w:t>
      </w:r>
    </w:p>
    <w:p w14:paraId="52D06435" w14:textId="07ADA033" w:rsidR="007535CD" w:rsidRDefault="007535CD"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 xml:space="preserve"> وجود أخطاء لغوية ومطبعية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 xml:space="preserve">توجد تشوهات مثل «الذكاء </w:t>
      </w:r>
      <w:proofErr w:type="spellStart"/>
      <w:r w:rsidRPr="007535CD">
        <w:rPr>
          <w:rFonts w:asciiTheme="majorBidi" w:hAnsiTheme="majorBidi" w:cstheme="majorBidi"/>
          <w:color w:val="000000" w:themeColor="text1"/>
          <w:rtl/>
        </w:rPr>
        <w:t>االصطناعي</w:t>
      </w:r>
      <w:proofErr w:type="spellEnd"/>
      <w:r w:rsidRPr="007535CD">
        <w:rPr>
          <w:rFonts w:asciiTheme="majorBidi" w:hAnsiTheme="majorBidi" w:cstheme="majorBidi"/>
          <w:color w:val="000000" w:themeColor="text1"/>
          <w:rtl/>
        </w:rPr>
        <w:t>» و«</w:t>
      </w:r>
      <w:proofErr w:type="spellStart"/>
      <w:r w:rsidRPr="007535CD">
        <w:rPr>
          <w:rFonts w:asciiTheme="majorBidi" w:hAnsiTheme="majorBidi" w:cstheme="majorBidi"/>
          <w:color w:val="000000" w:themeColor="text1"/>
          <w:rtl/>
        </w:rPr>
        <w:t>الحمالت</w:t>
      </w:r>
      <w:proofErr w:type="spellEnd"/>
      <w:r w:rsidRPr="007535CD">
        <w:rPr>
          <w:rFonts w:asciiTheme="majorBidi" w:hAnsiTheme="majorBidi" w:cstheme="majorBidi"/>
          <w:color w:val="000000" w:themeColor="text1"/>
          <w:rtl/>
        </w:rPr>
        <w:t>» ومسافات ورموز غير منتظمة. يجب إجراء تدقيق لغوي وتنسيقي شامل</w:t>
      </w:r>
      <w:r w:rsidRPr="007535CD">
        <w:rPr>
          <w:rFonts w:asciiTheme="majorBidi" w:hAnsiTheme="majorBidi" w:cstheme="majorBidi"/>
          <w:color w:val="000000" w:themeColor="text1"/>
        </w:rPr>
        <w:t>.</w:t>
      </w:r>
    </w:p>
    <w:p w14:paraId="74B3F7CE" w14:textId="1FA1398B" w:rsidR="007535CD" w:rsidRDefault="007535CD"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 xml:space="preserve"> عدم توحيد صيغة فاعلية وفعالية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اعتماد مصطلح واحد في العنوان والنص والجداول، وفق الصياغة المعتمدة في الدراسة</w:t>
      </w:r>
      <w:r w:rsidRPr="007535CD">
        <w:rPr>
          <w:rFonts w:asciiTheme="majorBidi" w:hAnsiTheme="majorBidi" w:cstheme="majorBidi"/>
          <w:color w:val="000000" w:themeColor="text1"/>
        </w:rPr>
        <w:t>.</w:t>
      </w:r>
    </w:p>
    <w:p w14:paraId="6E2E2C2C" w14:textId="37369B50" w:rsidR="007535CD" w:rsidRDefault="007535CD"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اضطراب تنسيق المراجع العربية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تظهر أسماء المؤلفين والأحرف والسنوات وعلامات الترقيم بصورة غير منتظمة. يجب إعادة تنسيقها وفق</w:t>
      </w:r>
      <w:r w:rsidRPr="007535CD">
        <w:rPr>
          <w:rFonts w:asciiTheme="majorBidi" w:hAnsiTheme="majorBidi" w:cstheme="majorBidi"/>
          <w:color w:val="000000" w:themeColor="text1"/>
        </w:rPr>
        <w:t xml:space="preserve"> APA 7.</w:t>
      </w:r>
    </w:p>
    <w:p w14:paraId="3B6FAF65" w14:textId="7C619874" w:rsidR="007535CD" w:rsidRDefault="007535CD"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عدم اكتمال بعض المراجع المؤسسية والإلكترونية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استكمال عناوين التقارير، والجهات الناشرة، والروابط، وتواريخ النشر أو الاسترجاع عند الحاجة</w:t>
      </w:r>
      <w:r w:rsidRPr="007535CD">
        <w:rPr>
          <w:rFonts w:asciiTheme="majorBidi" w:hAnsiTheme="majorBidi" w:cstheme="majorBidi"/>
          <w:color w:val="000000" w:themeColor="text1"/>
        </w:rPr>
        <w:t>.</w:t>
      </w:r>
    </w:p>
    <w:p w14:paraId="56C052B4" w14:textId="46A88C02" w:rsidR="007535CD" w:rsidRDefault="007535CD"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 xml:space="preserve"> ضرورة مطابقة مصادر جدول بناء الأداة بقائمة المراجع</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يجب التأكد من إدراج جميع المصادر المذكورة، مثل</w:t>
      </w:r>
      <w:r w:rsidRPr="007535CD">
        <w:rPr>
          <w:rFonts w:asciiTheme="majorBidi" w:hAnsiTheme="majorBidi" w:cstheme="majorBidi"/>
          <w:color w:val="000000" w:themeColor="text1"/>
        </w:rPr>
        <w:t xml:space="preserve"> McKinsey </w:t>
      </w:r>
      <w:r w:rsidRPr="007535CD">
        <w:rPr>
          <w:rFonts w:asciiTheme="majorBidi" w:hAnsiTheme="majorBidi" w:cstheme="majorBidi"/>
          <w:color w:val="000000" w:themeColor="text1"/>
          <w:rtl/>
        </w:rPr>
        <w:t>و</w:t>
      </w:r>
      <w:r w:rsidRPr="007535CD">
        <w:rPr>
          <w:rFonts w:asciiTheme="majorBidi" w:hAnsiTheme="majorBidi" w:cstheme="majorBidi"/>
          <w:color w:val="000000" w:themeColor="text1"/>
        </w:rPr>
        <w:t xml:space="preserve">Nuremberg Institute </w:t>
      </w:r>
      <w:r w:rsidRPr="007535CD">
        <w:rPr>
          <w:rFonts w:asciiTheme="majorBidi" w:hAnsiTheme="majorBidi" w:cstheme="majorBidi"/>
          <w:color w:val="000000" w:themeColor="text1"/>
          <w:rtl/>
        </w:rPr>
        <w:t>و</w:t>
      </w:r>
      <w:r w:rsidRPr="007535CD">
        <w:rPr>
          <w:rFonts w:asciiTheme="majorBidi" w:hAnsiTheme="majorBidi" w:cstheme="majorBidi"/>
          <w:color w:val="000000" w:themeColor="text1"/>
        </w:rPr>
        <w:t xml:space="preserve">Mendoza </w:t>
      </w:r>
      <w:r w:rsidRPr="007535CD">
        <w:rPr>
          <w:rFonts w:asciiTheme="majorBidi" w:hAnsiTheme="majorBidi" w:cstheme="majorBidi"/>
          <w:color w:val="000000" w:themeColor="text1"/>
          <w:rtl/>
        </w:rPr>
        <w:t>و</w:t>
      </w:r>
      <w:r w:rsidRPr="007535CD">
        <w:rPr>
          <w:rFonts w:asciiTheme="majorBidi" w:hAnsiTheme="majorBidi" w:cstheme="majorBidi"/>
          <w:color w:val="000000" w:themeColor="text1"/>
        </w:rPr>
        <w:t>Saunders</w:t>
      </w:r>
      <w:r w:rsidRPr="007535CD">
        <w:rPr>
          <w:rFonts w:asciiTheme="majorBidi" w:hAnsiTheme="majorBidi" w:cstheme="majorBidi"/>
          <w:color w:val="000000" w:themeColor="text1"/>
          <w:rtl/>
        </w:rPr>
        <w:t>، في قائمة المراجع ببيانات كاملة</w:t>
      </w:r>
      <w:r w:rsidRPr="007535CD">
        <w:rPr>
          <w:rFonts w:asciiTheme="majorBidi" w:hAnsiTheme="majorBidi" w:cstheme="majorBidi"/>
          <w:color w:val="000000" w:themeColor="text1"/>
        </w:rPr>
        <w:t>.</w:t>
      </w:r>
    </w:p>
    <w:p w14:paraId="0AF34977" w14:textId="2B31B8F4" w:rsidR="007535CD" w:rsidRDefault="007535CD"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 xml:space="preserve"> الحاجة إلى مراجعة موثوقية المصادر غير الأكاديمية</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ينبغي التمييز بين المصادر العلمية المحكمة والتقارير المهنية والمواقع الإلكترونية، وعدم الاعتماد على الأخيرة وحدها في بناء فقرات القياس</w:t>
      </w:r>
      <w:r w:rsidRPr="007535CD">
        <w:rPr>
          <w:rFonts w:asciiTheme="majorBidi" w:hAnsiTheme="majorBidi" w:cstheme="majorBidi"/>
          <w:color w:val="000000" w:themeColor="text1"/>
        </w:rPr>
        <w:t>.</w:t>
      </w:r>
    </w:p>
    <w:p w14:paraId="5C4142FD" w14:textId="32560025" w:rsidR="007535CD" w:rsidRPr="007535CD" w:rsidRDefault="007535CD" w:rsidP="007535CD">
      <w:pPr>
        <w:pStyle w:val="NormalWeb"/>
        <w:bidi/>
        <w:rPr>
          <w:rFonts w:asciiTheme="majorBidi" w:hAnsiTheme="majorBidi" w:cstheme="majorBidi"/>
          <w:color w:val="000000" w:themeColor="text1"/>
        </w:rPr>
      </w:pPr>
      <w:r w:rsidRPr="007535CD">
        <w:rPr>
          <w:rStyle w:val="Strong"/>
          <w:rFonts w:asciiTheme="majorBidi" w:hAnsiTheme="majorBidi" w:cstheme="majorBidi"/>
          <w:color w:val="000000" w:themeColor="text1"/>
          <w:rtl/>
        </w:rPr>
        <w:t>غياب ملخص الفصل</w:t>
      </w:r>
      <w:r w:rsidRPr="007535CD">
        <w:rPr>
          <w:rFonts w:asciiTheme="majorBidi" w:hAnsiTheme="majorBidi" w:cstheme="majorBidi"/>
          <w:color w:val="000000" w:themeColor="text1"/>
        </w:rPr>
        <w:br/>
      </w:r>
      <w:r w:rsidRPr="007535CD">
        <w:rPr>
          <w:rFonts w:asciiTheme="majorBidi" w:hAnsiTheme="majorBidi" w:cstheme="majorBidi"/>
          <w:color w:val="000000" w:themeColor="text1"/>
          <w:rtl/>
        </w:rPr>
        <w:t>ينتهي الفصل بالجوانب الأخلاقية ثم المراجع دون فقرة ختامية. يجب إضافة ملخص موجز للمنهج والمجتمع والعينة والأداة وإجراءات جمع البيانات والتحليل</w:t>
      </w:r>
      <w:r w:rsidRPr="007535CD">
        <w:rPr>
          <w:rFonts w:asciiTheme="majorBidi" w:hAnsiTheme="majorBidi" w:cstheme="majorBidi"/>
          <w:color w:val="000000" w:themeColor="text1"/>
        </w:rPr>
        <w:t>.</w:t>
      </w:r>
    </w:p>
    <w:p w14:paraId="50B67222" w14:textId="77777777" w:rsidR="00F14098" w:rsidRPr="007535CD" w:rsidRDefault="00F14098" w:rsidP="007535CD">
      <w:pPr>
        <w:bidi/>
        <w:rPr>
          <w:rFonts w:asciiTheme="majorBidi" w:hAnsiTheme="majorBidi" w:cstheme="majorBidi"/>
          <w:color w:val="000000" w:themeColor="text1"/>
          <w:sz w:val="24"/>
          <w:szCs w:val="24"/>
          <w:rtl/>
        </w:rPr>
      </w:pPr>
    </w:p>
    <w:sectPr w:rsidR="00F14098" w:rsidRPr="007535CD" w:rsidSect="00395E1F">
      <w:headerReference w:type="even" r:id="rId8"/>
      <w:headerReference w:type="default" r:id="rId9"/>
      <w:footerReference w:type="default" r:id="rId10"/>
      <w:headerReference w:type="first" r:id="rId11"/>
      <w:footerReference w:type="first" r:id="rId1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8A73F2" w14:textId="77777777" w:rsidR="00C31D7F" w:rsidRDefault="00C31D7F" w:rsidP="00F628F0">
      <w:pPr>
        <w:spacing w:after="0" w:line="240" w:lineRule="auto"/>
      </w:pPr>
      <w:r>
        <w:separator/>
      </w:r>
    </w:p>
  </w:endnote>
  <w:endnote w:type="continuationSeparator" w:id="0">
    <w:p w14:paraId="1BBAB90C" w14:textId="77777777" w:rsidR="00C31D7F" w:rsidRDefault="00C31D7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Times New Roman"/>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7535CD">
          <w:rPr>
            <w:noProof/>
          </w:rPr>
          <w:t>7</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44AB2C2" w14:textId="521E4090" w:rsidR="00883E09" w:rsidRPr="00883E09" w:rsidRDefault="00264677" w:rsidP="00023F2D">
    <w:pPr>
      <w:pStyle w:val="Footer"/>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023F2D" w:rsidRPr="00023F2D">
      <w:rPr>
        <w:rFonts w:ascii="Arial" w:hAnsi="Arial" w:cs="Arial"/>
        <w:b/>
        <w:bCs/>
        <w:color w:val="0070C0"/>
        <w:sz w:val="18"/>
        <w:szCs w:val="18"/>
        <w:rtl/>
      </w:rPr>
      <w:t xml:space="preserve"> </w:t>
    </w:r>
    <w:r w:rsidR="00023F2D" w:rsidRPr="00B55F49">
      <w:rPr>
        <w:rFonts w:ascii="Arial" w:hAnsi="Arial" w:cs="Arial"/>
        <w:b/>
        <w:bCs/>
        <w:color w:val="0070C0"/>
        <w:sz w:val="18"/>
        <w:szCs w:val="18"/>
        <w:rtl/>
      </w:rPr>
      <w:t>أثر توظيف تقنيات الذكاء الاصطناعي التوليدي في تصميم الحملات التسويقية الرقمية على فعالية الأداء التسويقي</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29B105" w14:textId="77777777" w:rsidR="00C31D7F" w:rsidRDefault="00C31D7F" w:rsidP="00F628F0">
      <w:pPr>
        <w:spacing w:after="0" w:line="240" w:lineRule="auto"/>
      </w:pPr>
      <w:r>
        <w:separator/>
      </w:r>
    </w:p>
  </w:footnote>
  <w:footnote w:type="continuationSeparator" w:id="0">
    <w:p w14:paraId="17D3FC9D" w14:textId="77777777" w:rsidR="00C31D7F" w:rsidRDefault="00C31D7F" w:rsidP="00F628F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AA3B9A0" w14:textId="014BB609" w:rsidR="003235C8" w:rsidRDefault="00C31D7F">
    <w:pPr>
      <w:pStyle w:val="Header"/>
    </w:pPr>
    <w:r>
      <w:rPr>
        <w:noProof/>
      </w:rPr>
      <w:pict w14:anchorId="50A9F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1"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F03090B" w14:textId="3E2A8446" w:rsidR="003235C8" w:rsidRDefault="00C31D7F">
    <w:pPr>
      <w:pStyle w:val="Header"/>
    </w:pPr>
    <w:r>
      <w:rPr>
        <w:noProof/>
      </w:rPr>
      <w:pict w14:anchorId="4982C8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0"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sdt>
    <w:sdtPr>
      <w:id w:val="1953437299"/>
      <w:docPartObj>
        <w:docPartGallery w:val="Watermarks"/>
        <w:docPartUnique/>
      </w:docPartObj>
    </w:sdtPr>
    <w:sdtEndPr/>
    <w:sdtContent>
      <w:p w14:paraId="2C592018" w14:textId="2BE52E38" w:rsidR="003235C8" w:rsidRDefault="00C31D7F">
        <w:pPr>
          <w:pStyle w:val="Header"/>
        </w:pPr>
        <w:r>
          <w:rPr>
            <w:noProof/>
          </w:rPr>
          <w:pict w14:anchorId="65F48B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F5C90"/>
    <w:multiLevelType w:val="hybridMultilevel"/>
    <w:tmpl w:val="86828B5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BA0318"/>
    <w:multiLevelType w:val="hybridMultilevel"/>
    <w:tmpl w:val="C41C0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8F6923"/>
    <w:multiLevelType w:val="hybridMultilevel"/>
    <w:tmpl w:val="7E88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86450C"/>
    <w:multiLevelType w:val="hybridMultilevel"/>
    <w:tmpl w:val="592EC0E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7D550A"/>
    <w:multiLevelType w:val="hybridMultilevel"/>
    <w:tmpl w:val="58DC5CDA"/>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6058FE"/>
    <w:multiLevelType w:val="hybridMultilevel"/>
    <w:tmpl w:val="B336AF4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5311BB"/>
    <w:multiLevelType w:val="hybridMultilevel"/>
    <w:tmpl w:val="F0BC0E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550036"/>
    <w:multiLevelType w:val="hybridMultilevel"/>
    <w:tmpl w:val="816A1D84"/>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6E40FD"/>
    <w:multiLevelType w:val="hybridMultilevel"/>
    <w:tmpl w:val="2956468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551D88"/>
    <w:multiLevelType w:val="hybridMultilevel"/>
    <w:tmpl w:val="587CE7C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0D79CF"/>
    <w:multiLevelType w:val="hybridMultilevel"/>
    <w:tmpl w:val="94C4C9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8986DA2"/>
    <w:multiLevelType w:val="hybridMultilevel"/>
    <w:tmpl w:val="5D46B9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7F0B65"/>
    <w:multiLevelType w:val="hybridMultilevel"/>
    <w:tmpl w:val="992830BC"/>
    <w:lvl w:ilvl="0" w:tplc="98FA15F2">
      <w:start w:val="4"/>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45A05EF2"/>
    <w:multiLevelType w:val="hybridMultilevel"/>
    <w:tmpl w:val="6C54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50203F5"/>
    <w:multiLevelType w:val="hybridMultilevel"/>
    <w:tmpl w:val="F5BA6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F8B16C6"/>
    <w:multiLevelType w:val="hybridMultilevel"/>
    <w:tmpl w:val="B3B84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530A91"/>
    <w:multiLevelType w:val="hybridMultilevel"/>
    <w:tmpl w:val="1CA43558"/>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BA61A5C"/>
    <w:multiLevelType w:val="hybridMultilevel"/>
    <w:tmpl w:val="077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4DD06C0"/>
    <w:multiLevelType w:val="hybridMultilevel"/>
    <w:tmpl w:val="4A6A3C06"/>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9073EC"/>
    <w:multiLevelType w:val="hybridMultilevel"/>
    <w:tmpl w:val="F02C7A1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6F30A8E"/>
    <w:multiLevelType w:val="hybridMultilevel"/>
    <w:tmpl w:val="76621018"/>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nsid w:val="7FE96E5D"/>
    <w:multiLevelType w:val="hybridMultilevel"/>
    <w:tmpl w:val="5B7CFDE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
  </w:num>
  <w:num w:numId="3">
    <w:abstractNumId w:val="17"/>
  </w:num>
  <w:num w:numId="4">
    <w:abstractNumId w:val="14"/>
  </w:num>
  <w:num w:numId="5">
    <w:abstractNumId w:val="13"/>
  </w:num>
  <w:num w:numId="6">
    <w:abstractNumId w:val="20"/>
  </w:num>
  <w:num w:numId="7">
    <w:abstractNumId w:val="3"/>
  </w:num>
  <w:num w:numId="8">
    <w:abstractNumId w:val="0"/>
  </w:num>
  <w:num w:numId="9">
    <w:abstractNumId w:val="8"/>
  </w:num>
  <w:num w:numId="10">
    <w:abstractNumId w:val="18"/>
  </w:num>
  <w:num w:numId="11">
    <w:abstractNumId w:val="9"/>
  </w:num>
  <w:num w:numId="12">
    <w:abstractNumId w:val="12"/>
  </w:num>
  <w:num w:numId="13">
    <w:abstractNumId w:val="7"/>
  </w:num>
  <w:num w:numId="14">
    <w:abstractNumId w:val="6"/>
  </w:num>
  <w:num w:numId="15">
    <w:abstractNumId w:val="4"/>
  </w:num>
  <w:num w:numId="16">
    <w:abstractNumId w:val="5"/>
  </w:num>
  <w:num w:numId="17">
    <w:abstractNumId w:val="19"/>
  </w:num>
  <w:num w:numId="18">
    <w:abstractNumId w:val="11"/>
  </w:num>
  <w:num w:numId="19">
    <w:abstractNumId w:val="16"/>
  </w:num>
  <w:num w:numId="20">
    <w:abstractNumId w:val="15"/>
  </w:num>
  <w:num w:numId="21">
    <w:abstractNumId w:val="10"/>
  </w:num>
  <w:num w:numId="2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F04"/>
    <w:rsid w:val="00002010"/>
    <w:rsid w:val="00015F0D"/>
    <w:rsid w:val="00022442"/>
    <w:rsid w:val="00023F2D"/>
    <w:rsid w:val="000252C0"/>
    <w:rsid w:val="00027A34"/>
    <w:rsid w:val="000322E7"/>
    <w:rsid w:val="000343D5"/>
    <w:rsid w:val="00044CFD"/>
    <w:rsid w:val="0005238F"/>
    <w:rsid w:val="000528EF"/>
    <w:rsid w:val="0005455F"/>
    <w:rsid w:val="00061A09"/>
    <w:rsid w:val="00072CF8"/>
    <w:rsid w:val="00087E4F"/>
    <w:rsid w:val="00090A9C"/>
    <w:rsid w:val="00092C24"/>
    <w:rsid w:val="000940A0"/>
    <w:rsid w:val="000A1C3B"/>
    <w:rsid w:val="000A1D3E"/>
    <w:rsid w:val="000A1E46"/>
    <w:rsid w:val="000A310D"/>
    <w:rsid w:val="000A49ED"/>
    <w:rsid w:val="000A749C"/>
    <w:rsid w:val="000B04D2"/>
    <w:rsid w:val="000B0B32"/>
    <w:rsid w:val="000B706D"/>
    <w:rsid w:val="000D0869"/>
    <w:rsid w:val="000D17E6"/>
    <w:rsid w:val="000D2606"/>
    <w:rsid w:val="000D3CD0"/>
    <w:rsid w:val="000D3EAE"/>
    <w:rsid w:val="000D4873"/>
    <w:rsid w:val="000D5131"/>
    <w:rsid w:val="000E12E4"/>
    <w:rsid w:val="000E23AB"/>
    <w:rsid w:val="000E6887"/>
    <w:rsid w:val="000F0A0D"/>
    <w:rsid w:val="000F7F04"/>
    <w:rsid w:val="00104C2B"/>
    <w:rsid w:val="00110665"/>
    <w:rsid w:val="0011126E"/>
    <w:rsid w:val="001123D7"/>
    <w:rsid w:val="00116AE4"/>
    <w:rsid w:val="00117CA1"/>
    <w:rsid w:val="00137276"/>
    <w:rsid w:val="00143016"/>
    <w:rsid w:val="00146682"/>
    <w:rsid w:val="001475E2"/>
    <w:rsid w:val="00152104"/>
    <w:rsid w:val="001603EF"/>
    <w:rsid w:val="001618EF"/>
    <w:rsid w:val="001624C4"/>
    <w:rsid w:val="0016375F"/>
    <w:rsid w:val="001654CD"/>
    <w:rsid w:val="001717DE"/>
    <w:rsid w:val="001762F4"/>
    <w:rsid w:val="00180799"/>
    <w:rsid w:val="00180A9B"/>
    <w:rsid w:val="00185F71"/>
    <w:rsid w:val="00195226"/>
    <w:rsid w:val="00197728"/>
    <w:rsid w:val="001A5804"/>
    <w:rsid w:val="001A680C"/>
    <w:rsid w:val="001C01BE"/>
    <w:rsid w:val="001C3DA0"/>
    <w:rsid w:val="001C426A"/>
    <w:rsid w:val="001C7DB2"/>
    <w:rsid w:val="001D47AD"/>
    <w:rsid w:val="001E252D"/>
    <w:rsid w:val="001E32DF"/>
    <w:rsid w:val="001E3406"/>
    <w:rsid w:val="001F5CB8"/>
    <w:rsid w:val="002010FC"/>
    <w:rsid w:val="0020239B"/>
    <w:rsid w:val="0021414C"/>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91FB9"/>
    <w:rsid w:val="00296B99"/>
    <w:rsid w:val="002A0F37"/>
    <w:rsid w:val="002A113E"/>
    <w:rsid w:val="002B6766"/>
    <w:rsid w:val="002C2285"/>
    <w:rsid w:val="002C5909"/>
    <w:rsid w:val="002D019D"/>
    <w:rsid w:val="002D3349"/>
    <w:rsid w:val="002D46ED"/>
    <w:rsid w:val="002D638C"/>
    <w:rsid w:val="002D68BB"/>
    <w:rsid w:val="002D72E5"/>
    <w:rsid w:val="002E03CF"/>
    <w:rsid w:val="002E33D3"/>
    <w:rsid w:val="002E7312"/>
    <w:rsid w:val="002E7D73"/>
    <w:rsid w:val="002F0EEA"/>
    <w:rsid w:val="002F20A7"/>
    <w:rsid w:val="002F20B5"/>
    <w:rsid w:val="003078A4"/>
    <w:rsid w:val="00315FBB"/>
    <w:rsid w:val="00316776"/>
    <w:rsid w:val="003223F2"/>
    <w:rsid w:val="00322A0D"/>
    <w:rsid w:val="00322CDE"/>
    <w:rsid w:val="003235C8"/>
    <w:rsid w:val="003327DC"/>
    <w:rsid w:val="00333FF1"/>
    <w:rsid w:val="00334002"/>
    <w:rsid w:val="00337546"/>
    <w:rsid w:val="00343773"/>
    <w:rsid w:val="00351522"/>
    <w:rsid w:val="00356156"/>
    <w:rsid w:val="00360A3F"/>
    <w:rsid w:val="00361EA9"/>
    <w:rsid w:val="00364C07"/>
    <w:rsid w:val="00377CB0"/>
    <w:rsid w:val="00381E67"/>
    <w:rsid w:val="00390A57"/>
    <w:rsid w:val="00395E1F"/>
    <w:rsid w:val="00397058"/>
    <w:rsid w:val="003A3C87"/>
    <w:rsid w:val="003A42EF"/>
    <w:rsid w:val="003A4334"/>
    <w:rsid w:val="003B0F00"/>
    <w:rsid w:val="003B1418"/>
    <w:rsid w:val="003B56AF"/>
    <w:rsid w:val="003B5EAB"/>
    <w:rsid w:val="003B6969"/>
    <w:rsid w:val="003C05E1"/>
    <w:rsid w:val="003D3563"/>
    <w:rsid w:val="003D5F89"/>
    <w:rsid w:val="003D7E7F"/>
    <w:rsid w:val="003E1E60"/>
    <w:rsid w:val="003F6189"/>
    <w:rsid w:val="003F69BC"/>
    <w:rsid w:val="0040129F"/>
    <w:rsid w:val="0040510D"/>
    <w:rsid w:val="004104AA"/>
    <w:rsid w:val="0043449E"/>
    <w:rsid w:val="00436B59"/>
    <w:rsid w:val="004413CD"/>
    <w:rsid w:val="0044258D"/>
    <w:rsid w:val="00443A60"/>
    <w:rsid w:val="00444B1D"/>
    <w:rsid w:val="00444B3C"/>
    <w:rsid w:val="004613A1"/>
    <w:rsid w:val="00466097"/>
    <w:rsid w:val="004667A1"/>
    <w:rsid w:val="0047054C"/>
    <w:rsid w:val="004737B5"/>
    <w:rsid w:val="00473F99"/>
    <w:rsid w:val="00485BD0"/>
    <w:rsid w:val="00486B51"/>
    <w:rsid w:val="00487152"/>
    <w:rsid w:val="00492E40"/>
    <w:rsid w:val="00497141"/>
    <w:rsid w:val="004A10BC"/>
    <w:rsid w:val="004B484B"/>
    <w:rsid w:val="004B78C6"/>
    <w:rsid w:val="004C1CC5"/>
    <w:rsid w:val="004C7B52"/>
    <w:rsid w:val="004D075E"/>
    <w:rsid w:val="004D2A39"/>
    <w:rsid w:val="004D6DB2"/>
    <w:rsid w:val="004D7783"/>
    <w:rsid w:val="004D7F28"/>
    <w:rsid w:val="004E01F6"/>
    <w:rsid w:val="004E0378"/>
    <w:rsid w:val="004F1607"/>
    <w:rsid w:val="004F1964"/>
    <w:rsid w:val="004F1CF1"/>
    <w:rsid w:val="004F2B23"/>
    <w:rsid w:val="004F4747"/>
    <w:rsid w:val="0050023D"/>
    <w:rsid w:val="0050451B"/>
    <w:rsid w:val="005144E3"/>
    <w:rsid w:val="00515088"/>
    <w:rsid w:val="0052019E"/>
    <w:rsid w:val="005262B1"/>
    <w:rsid w:val="00527C05"/>
    <w:rsid w:val="00531939"/>
    <w:rsid w:val="0053336F"/>
    <w:rsid w:val="00533AA9"/>
    <w:rsid w:val="00535ED5"/>
    <w:rsid w:val="0053681E"/>
    <w:rsid w:val="005433BE"/>
    <w:rsid w:val="00545742"/>
    <w:rsid w:val="00546BB3"/>
    <w:rsid w:val="005532E5"/>
    <w:rsid w:val="00555B7A"/>
    <w:rsid w:val="00560CC1"/>
    <w:rsid w:val="0056164A"/>
    <w:rsid w:val="0058673F"/>
    <w:rsid w:val="00595574"/>
    <w:rsid w:val="00597208"/>
    <w:rsid w:val="005A3266"/>
    <w:rsid w:val="005A3959"/>
    <w:rsid w:val="005A4F66"/>
    <w:rsid w:val="005A6DF8"/>
    <w:rsid w:val="005A76D0"/>
    <w:rsid w:val="005A7EB2"/>
    <w:rsid w:val="005B0954"/>
    <w:rsid w:val="005B25B6"/>
    <w:rsid w:val="005B2E32"/>
    <w:rsid w:val="005B3C94"/>
    <w:rsid w:val="005B65AE"/>
    <w:rsid w:val="005C3DA2"/>
    <w:rsid w:val="005C51B5"/>
    <w:rsid w:val="005D1768"/>
    <w:rsid w:val="005D2492"/>
    <w:rsid w:val="005E17E2"/>
    <w:rsid w:val="005E1B7D"/>
    <w:rsid w:val="005E24FB"/>
    <w:rsid w:val="005E535F"/>
    <w:rsid w:val="005F2661"/>
    <w:rsid w:val="005F5AF5"/>
    <w:rsid w:val="0061026F"/>
    <w:rsid w:val="00610D4A"/>
    <w:rsid w:val="00613C85"/>
    <w:rsid w:val="006220A5"/>
    <w:rsid w:val="0062589E"/>
    <w:rsid w:val="00625A3C"/>
    <w:rsid w:val="00633F98"/>
    <w:rsid w:val="00634932"/>
    <w:rsid w:val="006447D8"/>
    <w:rsid w:val="00644BCE"/>
    <w:rsid w:val="00644F28"/>
    <w:rsid w:val="0065187E"/>
    <w:rsid w:val="00655684"/>
    <w:rsid w:val="00661A1D"/>
    <w:rsid w:val="00667BBF"/>
    <w:rsid w:val="006731F3"/>
    <w:rsid w:val="00675F33"/>
    <w:rsid w:val="00676B85"/>
    <w:rsid w:val="00687F77"/>
    <w:rsid w:val="006A7DC3"/>
    <w:rsid w:val="006B1075"/>
    <w:rsid w:val="006B366F"/>
    <w:rsid w:val="006B51C2"/>
    <w:rsid w:val="006C10F3"/>
    <w:rsid w:val="006C2E76"/>
    <w:rsid w:val="006C54C9"/>
    <w:rsid w:val="006D3EFC"/>
    <w:rsid w:val="006F1837"/>
    <w:rsid w:val="006F3CD1"/>
    <w:rsid w:val="0070272D"/>
    <w:rsid w:val="00703A9A"/>
    <w:rsid w:val="00704C25"/>
    <w:rsid w:val="00705F1D"/>
    <w:rsid w:val="00706AC7"/>
    <w:rsid w:val="00711248"/>
    <w:rsid w:val="00716A33"/>
    <w:rsid w:val="007239AC"/>
    <w:rsid w:val="00723DF1"/>
    <w:rsid w:val="00723E95"/>
    <w:rsid w:val="00727EAF"/>
    <w:rsid w:val="00733953"/>
    <w:rsid w:val="007341D6"/>
    <w:rsid w:val="00736364"/>
    <w:rsid w:val="0073642B"/>
    <w:rsid w:val="00740AB1"/>
    <w:rsid w:val="007507AF"/>
    <w:rsid w:val="00750F2F"/>
    <w:rsid w:val="007535CD"/>
    <w:rsid w:val="00754496"/>
    <w:rsid w:val="00754FEB"/>
    <w:rsid w:val="0076684E"/>
    <w:rsid w:val="00766A58"/>
    <w:rsid w:val="00767A1C"/>
    <w:rsid w:val="00772432"/>
    <w:rsid w:val="00772F74"/>
    <w:rsid w:val="007738FE"/>
    <w:rsid w:val="007764F4"/>
    <w:rsid w:val="00776AB8"/>
    <w:rsid w:val="00781550"/>
    <w:rsid w:val="00781E83"/>
    <w:rsid w:val="007822A3"/>
    <w:rsid w:val="00790119"/>
    <w:rsid w:val="00793616"/>
    <w:rsid w:val="007969DC"/>
    <w:rsid w:val="00797AF9"/>
    <w:rsid w:val="007A075D"/>
    <w:rsid w:val="007A31DC"/>
    <w:rsid w:val="007B29E4"/>
    <w:rsid w:val="007B3A5C"/>
    <w:rsid w:val="007B443D"/>
    <w:rsid w:val="007C1F01"/>
    <w:rsid w:val="007C428F"/>
    <w:rsid w:val="007C601A"/>
    <w:rsid w:val="007D39B9"/>
    <w:rsid w:val="007D7D94"/>
    <w:rsid w:val="007E3985"/>
    <w:rsid w:val="007E5B35"/>
    <w:rsid w:val="007F4183"/>
    <w:rsid w:val="007F5015"/>
    <w:rsid w:val="007F6645"/>
    <w:rsid w:val="008022F1"/>
    <w:rsid w:val="00802EEF"/>
    <w:rsid w:val="00806CCE"/>
    <w:rsid w:val="00810769"/>
    <w:rsid w:val="00810AE7"/>
    <w:rsid w:val="008173B3"/>
    <w:rsid w:val="00817E2A"/>
    <w:rsid w:val="008203C3"/>
    <w:rsid w:val="00831B04"/>
    <w:rsid w:val="00837EBE"/>
    <w:rsid w:val="00840269"/>
    <w:rsid w:val="00847603"/>
    <w:rsid w:val="0085283F"/>
    <w:rsid w:val="00854E14"/>
    <w:rsid w:val="0086333D"/>
    <w:rsid w:val="00864B2B"/>
    <w:rsid w:val="008806D9"/>
    <w:rsid w:val="0088301D"/>
    <w:rsid w:val="00883E09"/>
    <w:rsid w:val="00886510"/>
    <w:rsid w:val="00886B44"/>
    <w:rsid w:val="0088782A"/>
    <w:rsid w:val="00894F92"/>
    <w:rsid w:val="008A09DC"/>
    <w:rsid w:val="008A2025"/>
    <w:rsid w:val="008A25EF"/>
    <w:rsid w:val="008A69EA"/>
    <w:rsid w:val="008A7D25"/>
    <w:rsid w:val="008B0F36"/>
    <w:rsid w:val="008B5953"/>
    <w:rsid w:val="008C140C"/>
    <w:rsid w:val="008C1CFA"/>
    <w:rsid w:val="008C2AA8"/>
    <w:rsid w:val="008D1B67"/>
    <w:rsid w:val="008D5F2C"/>
    <w:rsid w:val="008D722A"/>
    <w:rsid w:val="008E086D"/>
    <w:rsid w:val="008E18C4"/>
    <w:rsid w:val="008E1DF8"/>
    <w:rsid w:val="008E7947"/>
    <w:rsid w:val="008F5423"/>
    <w:rsid w:val="0090102E"/>
    <w:rsid w:val="009139AE"/>
    <w:rsid w:val="00915B55"/>
    <w:rsid w:val="00916122"/>
    <w:rsid w:val="00917C97"/>
    <w:rsid w:val="009200DC"/>
    <w:rsid w:val="00922314"/>
    <w:rsid w:val="009227E9"/>
    <w:rsid w:val="0093756B"/>
    <w:rsid w:val="009400C2"/>
    <w:rsid w:val="009462FA"/>
    <w:rsid w:val="00947CBD"/>
    <w:rsid w:val="009505DD"/>
    <w:rsid w:val="00955905"/>
    <w:rsid w:val="00962E14"/>
    <w:rsid w:val="0096761A"/>
    <w:rsid w:val="009705B3"/>
    <w:rsid w:val="00971016"/>
    <w:rsid w:val="009813A6"/>
    <w:rsid w:val="009A032E"/>
    <w:rsid w:val="009A22B4"/>
    <w:rsid w:val="009B7B1F"/>
    <w:rsid w:val="009C2244"/>
    <w:rsid w:val="009C3C7B"/>
    <w:rsid w:val="009D1D31"/>
    <w:rsid w:val="009E4604"/>
    <w:rsid w:val="009E7CA3"/>
    <w:rsid w:val="009F0570"/>
    <w:rsid w:val="009F0B28"/>
    <w:rsid w:val="009F1183"/>
    <w:rsid w:val="009F1514"/>
    <w:rsid w:val="009F2F7B"/>
    <w:rsid w:val="009F44B4"/>
    <w:rsid w:val="009F589F"/>
    <w:rsid w:val="009F7119"/>
    <w:rsid w:val="00A00401"/>
    <w:rsid w:val="00A043DE"/>
    <w:rsid w:val="00A05BAE"/>
    <w:rsid w:val="00A11618"/>
    <w:rsid w:val="00A14CF4"/>
    <w:rsid w:val="00A1570C"/>
    <w:rsid w:val="00A15C4F"/>
    <w:rsid w:val="00A16BD2"/>
    <w:rsid w:val="00A16E60"/>
    <w:rsid w:val="00A20BAB"/>
    <w:rsid w:val="00A22393"/>
    <w:rsid w:val="00A23560"/>
    <w:rsid w:val="00A26064"/>
    <w:rsid w:val="00A2724A"/>
    <w:rsid w:val="00A366CE"/>
    <w:rsid w:val="00A37539"/>
    <w:rsid w:val="00A40B4C"/>
    <w:rsid w:val="00A51842"/>
    <w:rsid w:val="00A60347"/>
    <w:rsid w:val="00A62487"/>
    <w:rsid w:val="00A63AF0"/>
    <w:rsid w:val="00A6419D"/>
    <w:rsid w:val="00A64AD6"/>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68E2"/>
    <w:rsid w:val="00AC6DEF"/>
    <w:rsid w:val="00AD191A"/>
    <w:rsid w:val="00AD5DDB"/>
    <w:rsid w:val="00AD783C"/>
    <w:rsid w:val="00AE3D96"/>
    <w:rsid w:val="00AE6B9C"/>
    <w:rsid w:val="00AF62C2"/>
    <w:rsid w:val="00B00D76"/>
    <w:rsid w:val="00B03D10"/>
    <w:rsid w:val="00B05FDA"/>
    <w:rsid w:val="00B133F8"/>
    <w:rsid w:val="00B146C0"/>
    <w:rsid w:val="00B154C6"/>
    <w:rsid w:val="00B16B50"/>
    <w:rsid w:val="00B32E4E"/>
    <w:rsid w:val="00B40794"/>
    <w:rsid w:val="00B4283F"/>
    <w:rsid w:val="00B43F32"/>
    <w:rsid w:val="00B4456F"/>
    <w:rsid w:val="00B61F61"/>
    <w:rsid w:val="00B63BBC"/>
    <w:rsid w:val="00B65A24"/>
    <w:rsid w:val="00B802A8"/>
    <w:rsid w:val="00B90CF8"/>
    <w:rsid w:val="00B91986"/>
    <w:rsid w:val="00B96E4F"/>
    <w:rsid w:val="00BA688E"/>
    <w:rsid w:val="00BB1CA4"/>
    <w:rsid w:val="00BB3408"/>
    <w:rsid w:val="00BB4052"/>
    <w:rsid w:val="00BB46BB"/>
    <w:rsid w:val="00BB5DCC"/>
    <w:rsid w:val="00BC4670"/>
    <w:rsid w:val="00BC7341"/>
    <w:rsid w:val="00BC78DA"/>
    <w:rsid w:val="00BD17E4"/>
    <w:rsid w:val="00BD4333"/>
    <w:rsid w:val="00BE07E2"/>
    <w:rsid w:val="00BE2447"/>
    <w:rsid w:val="00BE2AD6"/>
    <w:rsid w:val="00BE56D1"/>
    <w:rsid w:val="00BE609B"/>
    <w:rsid w:val="00BF00BC"/>
    <w:rsid w:val="00BF10E4"/>
    <w:rsid w:val="00BF20DB"/>
    <w:rsid w:val="00BF2A76"/>
    <w:rsid w:val="00BF4225"/>
    <w:rsid w:val="00BF71B4"/>
    <w:rsid w:val="00C11026"/>
    <w:rsid w:val="00C1168C"/>
    <w:rsid w:val="00C1324B"/>
    <w:rsid w:val="00C144E4"/>
    <w:rsid w:val="00C2122A"/>
    <w:rsid w:val="00C2376A"/>
    <w:rsid w:val="00C31D7F"/>
    <w:rsid w:val="00C31FEC"/>
    <w:rsid w:val="00C34390"/>
    <w:rsid w:val="00C34D41"/>
    <w:rsid w:val="00C35EB8"/>
    <w:rsid w:val="00C44E75"/>
    <w:rsid w:val="00C45804"/>
    <w:rsid w:val="00C472D8"/>
    <w:rsid w:val="00C476E1"/>
    <w:rsid w:val="00C51DEE"/>
    <w:rsid w:val="00C56B6D"/>
    <w:rsid w:val="00C61182"/>
    <w:rsid w:val="00C62DC1"/>
    <w:rsid w:val="00C74AAF"/>
    <w:rsid w:val="00C76706"/>
    <w:rsid w:val="00C812FE"/>
    <w:rsid w:val="00C87AB5"/>
    <w:rsid w:val="00C91221"/>
    <w:rsid w:val="00C93ED6"/>
    <w:rsid w:val="00CA1B14"/>
    <w:rsid w:val="00CB0A76"/>
    <w:rsid w:val="00CB0E67"/>
    <w:rsid w:val="00CB2F72"/>
    <w:rsid w:val="00CC365B"/>
    <w:rsid w:val="00CC3C32"/>
    <w:rsid w:val="00CD04AF"/>
    <w:rsid w:val="00CD177D"/>
    <w:rsid w:val="00CD67C0"/>
    <w:rsid w:val="00CE13A5"/>
    <w:rsid w:val="00CE39F0"/>
    <w:rsid w:val="00CE3F21"/>
    <w:rsid w:val="00CE45FE"/>
    <w:rsid w:val="00CE6643"/>
    <w:rsid w:val="00CE7DB9"/>
    <w:rsid w:val="00CF38E8"/>
    <w:rsid w:val="00D0035F"/>
    <w:rsid w:val="00D012B5"/>
    <w:rsid w:val="00D031A0"/>
    <w:rsid w:val="00D0374D"/>
    <w:rsid w:val="00D046CC"/>
    <w:rsid w:val="00D05EDF"/>
    <w:rsid w:val="00D1286C"/>
    <w:rsid w:val="00D14DC7"/>
    <w:rsid w:val="00D15D43"/>
    <w:rsid w:val="00D20B9D"/>
    <w:rsid w:val="00D20E96"/>
    <w:rsid w:val="00D235C5"/>
    <w:rsid w:val="00D23CA7"/>
    <w:rsid w:val="00D31D7E"/>
    <w:rsid w:val="00D47F4C"/>
    <w:rsid w:val="00D565DD"/>
    <w:rsid w:val="00D66F8C"/>
    <w:rsid w:val="00D70797"/>
    <w:rsid w:val="00D71CF9"/>
    <w:rsid w:val="00D73F64"/>
    <w:rsid w:val="00D776C9"/>
    <w:rsid w:val="00D9067F"/>
    <w:rsid w:val="00D9144F"/>
    <w:rsid w:val="00D922B7"/>
    <w:rsid w:val="00DA5FAE"/>
    <w:rsid w:val="00DA6668"/>
    <w:rsid w:val="00DB23C9"/>
    <w:rsid w:val="00DB67ED"/>
    <w:rsid w:val="00DC034B"/>
    <w:rsid w:val="00DC5EEF"/>
    <w:rsid w:val="00DC64DD"/>
    <w:rsid w:val="00DC7903"/>
    <w:rsid w:val="00DD4E9D"/>
    <w:rsid w:val="00DE2E72"/>
    <w:rsid w:val="00DE4849"/>
    <w:rsid w:val="00DE5DEF"/>
    <w:rsid w:val="00DF30DF"/>
    <w:rsid w:val="00DF6DD4"/>
    <w:rsid w:val="00E01563"/>
    <w:rsid w:val="00E019FE"/>
    <w:rsid w:val="00E031FB"/>
    <w:rsid w:val="00E04FE4"/>
    <w:rsid w:val="00E11EF3"/>
    <w:rsid w:val="00E165FB"/>
    <w:rsid w:val="00E3299D"/>
    <w:rsid w:val="00E32C8C"/>
    <w:rsid w:val="00E34F6D"/>
    <w:rsid w:val="00E3576C"/>
    <w:rsid w:val="00E36535"/>
    <w:rsid w:val="00E415CF"/>
    <w:rsid w:val="00E45FD8"/>
    <w:rsid w:val="00E501DC"/>
    <w:rsid w:val="00E57E7F"/>
    <w:rsid w:val="00E638A6"/>
    <w:rsid w:val="00E667FB"/>
    <w:rsid w:val="00E70A28"/>
    <w:rsid w:val="00E70E4C"/>
    <w:rsid w:val="00E84D58"/>
    <w:rsid w:val="00E90953"/>
    <w:rsid w:val="00E93246"/>
    <w:rsid w:val="00E940F8"/>
    <w:rsid w:val="00EA0044"/>
    <w:rsid w:val="00EA16F8"/>
    <w:rsid w:val="00EA2C08"/>
    <w:rsid w:val="00EA69AC"/>
    <w:rsid w:val="00EB385F"/>
    <w:rsid w:val="00EB684E"/>
    <w:rsid w:val="00EC25CF"/>
    <w:rsid w:val="00EC36A7"/>
    <w:rsid w:val="00EC4694"/>
    <w:rsid w:val="00ED07DE"/>
    <w:rsid w:val="00ED72DC"/>
    <w:rsid w:val="00ED75B0"/>
    <w:rsid w:val="00EE1A99"/>
    <w:rsid w:val="00EE2921"/>
    <w:rsid w:val="00EE664C"/>
    <w:rsid w:val="00EE7D55"/>
    <w:rsid w:val="00EF040F"/>
    <w:rsid w:val="00EF1678"/>
    <w:rsid w:val="00F05002"/>
    <w:rsid w:val="00F13C08"/>
    <w:rsid w:val="00F14098"/>
    <w:rsid w:val="00F1554E"/>
    <w:rsid w:val="00F15ECE"/>
    <w:rsid w:val="00F17A30"/>
    <w:rsid w:val="00F20D35"/>
    <w:rsid w:val="00F3108F"/>
    <w:rsid w:val="00F43BA7"/>
    <w:rsid w:val="00F4536C"/>
    <w:rsid w:val="00F45910"/>
    <w:rsid w:val="00F55531"/>
    <w:rsid w:val="00F5781A"/>
    <w:rsid w:val="00F628F0"/>
    <w:rsid w:val="00F64D4A"/>
    <w:rsid w:val="00F71C4B"/>
    <w:rsid w:val="00F73EE4"/>
    <w:rsid w:val="00F74068"/>
    <w:rsid w:val="00F767E7"/>
    <w:rsid w:val="00F77CC4"/>
    <w:rsid w:val="00F909EF"/>
    <w:rsid w:val="00F92126"/>
    <w:rsid w:val="00F92EA4"/>
    <w:rsid w:val="00F9365E"/>
    <w:rsid w:val="00F95116"/>
    <w:rsid w:val="00FA0F7B"/>
    <w:rsid w:val="00FA28F4"/>
    <w:rsid w:val="00FA34EA"/>
    <w:rsid w:val="00FA4160"/>
    <w:rsid w:val="00FB1E42"/>
    <w:rsid w:val="00FB40CE"/>
    <w:rsid w:val="00FB4EC1"/>
    <w:rsid w:val="00FB5943"/>
    <w:rsid w:val="00FB599B"/>
    <w:rsid w:val="00FB67F2"/>
    <w:rsid w:val="00FB7B59"/>
    <w:rsid w:val="00FC3BCE"/>
    <w:rsid w:val="00FC4679"/>
    <w:rsid w:val="00FD057B"/>
    <w:rsid w:val="00FD131E"/>
    <w:rsid w:val="00FD24BA"/>
    <w:rsid w:val="00FD65D4"/>
    <w:rsid w:val="00FE6577"/>
    <w:rsid w:val="00FF0A80"/>
    <w:rsid w:val="00FF193A"/>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9067F"/>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936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716A3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Hyperlink">
    <w:name w:val="Hyperlink"/>
    <w:basedOn w:val="DefaultParagraphFont"/>
    <w:uiPriority w:val="99"/>
    <w:unhideWhenUsed/>
    <w:rsid w:val="0088782A"/>
    <w:rPr>
      <w:color w:val="0000FF" w:themeColor="hyperlink"/>
      <w:u w:val="single"/>
    </w:rPr>
  </w:style>
  <w:style w:type="character" w:customStyle="1" w:styleId="UnresolvedMention">
    <w:name w:val="Unresolved Mention"/>
    <w:basedOn w:val="DefaultParagraphFont"/>
    <w:uiPriority w:val="99"/>
    <w:semiHidden/>
    <w:unhideWhenUsed/>
    <w:rsid w:val="0088782A"/>
    <w:rPr>
      <w:color w:val="605E5C"/>
      <w:shd w:val="clear" w:color="auto" w:fill="E1DFDD"/>
    </w:rPr>
  </w:style>
  <w:style w:type="character" w:customStyle="1" w:styleId="Heading4Char">
    <w:name w:val="Heading 4 Char"/>
    <w:basedOn w:val="DefaultParagraphFont"/>
    <w:link w:val="Heading4"/>
    <w:uiPriority w:val="9"/>
    <w:rsid w:val="00716A33"/>
    <w:rPr>
      <w:rFonts w:asciiTheme="majorHAnsi" w:eastAsiaTheme="majorEastAsia" w:hAnsiTheme="majorHAnsi" w:cstheme="majorBidi"/>
      <w:i/>
      <w:iCs/>
      <w:color w:val="365F91" w:themeColor="accent1" w:themeShade="BF"/>
    </w:rPr>
  </w:style>
  <w:style w:type="table" w:styleId="TableGridLight">
    <w:name w:val="Grid Table Light"/>
    <w:basedOn w:val="TableNormal"/>
    <w:uiPriority w:val="40"/>
    <w:rsid w:val="008F5423"/>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PlainTable1">
    <w:name w:val="Plain Table 1"/>
    <w:basedOn w:val="TableNormal"/>
    <w:uiPriority w:val="41"/>
    <w:rsid w:val="008F5423"/>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F9365E"/>
    <w:rPr>
      <w:rFonts w:asciiTheme="majorHAnsi" w:eastAsiaTheme="majorEastAsia" w:hAnsiTheme="majorHAnsi" w:cstheme="majorBidi"/>
      <w:color w:val="243F60" w:themeColor="accent1" w:themeShade="7F"/>
      <w:sz w:val="24"/>
      <w:szCs w:val="24"/>
    </w:rPr>
  </w:style>
  <w:style w:type="character" w:styleId="FollowedHyperlink">
    <w:name w:val="FollowedHyperlink"/>
    <w:basedOn w:val="DefaultParagraphFont"/>
    <w:uiPriority w:val="99"/>
    <w:semiHidden/>
    <w:unhideWhenUsed/>
    <w:rsid w:val="0056164A"/>
    <w:rPr>
      <w:color w:val="800080" w:themeColor="followedHyperlink"/>
      <w:u w:val="single"/>
    </w:rPr>
  </w:style>
  <w:style w:type="character" w:styleId="Emphasis">
    <w:name w:val="Emphasis"/>
    <w:basedOn w:val="DefaultParagraphFont"/>
    <w:uiPriority w:val="20"/>
    <w:qFormat/>
    <w:rsid w:val="00BE56D1"/>
    <w:rPr>
      <w:i/>
      <w:iCs/>
    </w:rPr>
  </w:style>
  <w:style w:type="character" w:customStyle="1" w:styleId="apple-converted-space">
    <w:name w:val="apple-converted-space"/>
    <w:basedOn w:val="DefaultParagraphFont"/>
    <w:rsid w:val="007535CD"/>
  </w:style>
  <w:style w:type="character" w:styleId="HTMLCode">
    <w:name w:val="HTML Code"/>
    <w:basedOn w:val="DefaultParagraphFont"/>
    <w:uiPriority w:val="99"/>
    <w:semiHidden/>
    <w:unhideWhenUsed/>
    <w:rsid w:val="007535CD"/>
    <w:rPr>
      <w:rFonts w:ascii="Courier New" w:eastAsiaTheme="minorHAnsi"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959501">
      <w:bodyDiv w:val="1"/>
      <w:marLeft w:val="0"/>
      <w:marRight w:val="0"/>
      <w:marTop w:val="0"/>
      <w:marBottom w:val="0"/>
      <w:divBdr>
        <w:top w:val="none" w:sz="0" w:space="0" w:color="auto"/>
        <w:left w:val="none" w:sz="0" w:space="0" w:color="auto"/>
        <w:bottom w:val="none" w:sz="0" w:space="0" w:color="auto"/>
        <w:right w:val="none" w:sz="0" w:space="0" w:color="auto"/>
      </w:divBdr>
    </w:div>
    <w:div w:id="237374832">
      <w:bodyDiv w:val="1"/>
      <w:marLeft w:val="0"/>
      <w:marRight w:val="0"/>
      <w:marTop w:val="0"/>
      <w:marBottom w:val="0"/>
      <w:divBdr>
        <w:top w:val="none" w:sz="0" w:space="0" w:color="auto"/>
        <w:left w:val="none" w:sz="0" w:space="0" w:color="auto"/>
        <w:bottom w:val="none" w:sz="0" w:space="0" w:color="auto"/>
        <w:right w:val="none" w:sz="0" w:space="0" w:color="auto"/>
      </w:divBdr>
    </w:div>
    <w:div w:id="403264674">
      <w:bodyDiv w:val="1"/>
      <w:marLeft w:val="0"/>
      <w:marRight w:val="0"/>
      <w:marTop w:val="0"/>
      <w:marBottom w:val="0"/>
      <w:divBdr>
        <w:top w:val="none" w:sz="0" w:space="0" w:color="auto"/>
        <w:left w:val="none" w:sz="0" w:space="0" w:color="auto"/>
        <w:bottom w:val="none" w:sz="0" w:space="0" w:color="auto"/>
        <w:right w:val="none" w:sz="0" w:space="0" w:color="auto"/>
      </w:divBdr>
    </w:div>
    <w:div w:id="531571163">
      <w:bodyDiv w:val="1"/>
      <w:marLeft w:val="0"/>
      <w:marRight w:val="0"/>
      <w:marTop w:val="0"/>
      <w:marBottom w:val="0"/>
      <w:divBdr>
        <w:top w:val="none" w:sz="0" w:space="0" w:color="auto"/>
        <w:left w:val="none" w:sz="0" w:space="0" w:color="auto"/>
        <w:bottom w:val="none" w:sz="0" w:space="0" w:color="auto"/>
        <w:right w:val="none" w:sz="0" w:space="0" w:color="auto"/>
      </w:divBdr>
    </w:div>
    <w:div w:id="930502073">
      <w:bodyDiv w:val="1"/>
      <w:marLeft w:val="0"/>
      <w:marRight w:val="0"/>
      <w:marTop w:val="0"/>
      <w:marBottom w:val="0"/>
      <w:divBdr>
        <w:top w:val="none" w:sz="0" w:space="0" w:color="auto"/>
        <w:left w:val="none" w:sz="0" w:space="0" w:color="auto"/>
        <w:bottom w:val="none" w:sz="0" w:space="0" w:color="auto"/>
        <w:right w:val="none" w:sz="0" w:space="0" w:color="auto"/>
      </w:divBdr>
    </w:div>
    <w:div w:id="93698278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29934935">
      <w:bodyDiv w:val="1"/>
      <w:marLeft w:val="0"/>
      <w:marRight w:val="0"/>
      <w:marTop w:val="0"/>
      <w:marBottom w:val="0"/>
      <w:divBdr>
        <w:top w:val="none" w:sz="0" w:space="0" w:color="auto"/>
        <w:left w:val="none" w:sz="0" w:space="0" w:color="auto"/>
        <w:bottom w:val="none" w:sz="0" w:space="0" w:color="auto"/>
        <w:right w:val="none" w:sz="0" w:space="0" w:color="auto"/>
      </w:divBdr>
    </w:div>
    <w:div w:id="1257446306">
      <w:bodyDiv w:val="1"/>
      <w:marLeft w:val="0"/>
      <w:marRight w:val="0"/>
      <w:marTop w:val="0"/>
      <w:marBottom w:val="0"/>
      <w:divBdr>
        <w:top w:val="none" w:sz="0" w:space="0" w:color="auto"/>
        <w:left w:val="none" w:sz="0" w:space="0" w:color="auto"/>
        <w:bottom w:val="none" w:sz="0" w:space="0" w:color="auto"/>
        <w:right w:val="none" w:sz="0" w:space="0" w:color="auto"/>
      </w:divBdr>
    </w:div>
    <w:div w:id="1366180236">
      <w:bodyDiv w:val="1"/>
      <w:marLeft w:val="0"/>
      <w:marRight w:val="0"/>
      <w:marTop w:val="0"/>
      <w:marBottom w:val="0"/>
      <w:divBdr>
        <w:top w:val="none" w:sz="0" w:space="0" w:color="auto"/>
        <w:left w:val="none" w:sz="0" w:space="0" w:color="auto"/>
        <w:bottom w:val="none" w:sz="0" w:space="0" w:color="auto"/>
        <w:right w:val="none" w:sz="0" w:space="0" w:color="auto"/>
      </w:divBdr>
    </w:div>
    <w:div w:id="1395002970">
      <w:bodyDiv w:val="1"/>
      <w:marLeft w:val="0"/>
      <w:marRight w:val="0"/>
      <w:marTop w:val="0"/>
      <w:marBottom w:val="0"/>
      <w:divBdr>
        <w:top w:val="none" w:sz="0" w:space="0" w:color="auto"/>
        <w:left w:val="none" w:sz="0" w:space="0" w:color="auto"/>
        <w:bottom w:val="none" w:sz="0" w:space="0" w:color="auto"/>
        <w:right w:val="none" w:sz="0" w:space="0" w:color="auto"/>
      </w:divBdr>
    </w:div>
    <w:div w:id="1415930995">
      <w:bodyDiv w:val="1"/>
      <w:marLeft w:val="0"/>
      <w:marRight w:val="0"/>
      <w:marTop w:val="0"/>
      <w:marBottom w:val="0"/>
      <w:divBdr>
        <w:top w:val="none" w:sz="0" w:space="0" w:color="auto"/>
        <w:left w:val="none" w:sz="0" w:space="0" w:color="auto"/>
        <w:bottom w:val="none" w:sz="0" w:space="0" w:color="auto"/>
        <w:right w:val="none" w:sz="0" w:space="0" w:color="auto"/>
      </w:divBdr>
    </w:div>
    <w:div w:id="1448232694">
      <w:bodyDiv w:val="1"/>
      <w:marLeft w:val="0"/>
      <w:marRight w:val="0"/>
      <w:marTop w:val="0"/>
      <w:marBottom w:val="0"/>
      <w:divBdr>
        <w:top w:val="none" w:sz="0" w:space="0" w:color="auto"/>
        <w:left w:val="none" w:sz="0" w:space="0" w:color="auto"/>
        <w:bottom w:val="none" w:sz="0" w:space="0" w:color="auto"/>
        <w:right w:val="none" w:sz="0" w:space="0" w:color="auto"/>
      </w:divBdr>
    </w:div>
    <w:div w:id="1549341084">
      <w:bodyDiv w:val="1"/>
      <w:marLeft w:val="0"/>
      <w:marRight w:val="0"/>
      <w:marTop w:val="0"/>
      <w:marBottom w:val="0"/>
      <w:divBdr>
        <w:top w:val="none" w:sz="0" w:space="0" w:color="auto"/>
        <w:left w:val="none" w:sz="0" w:space="0" w:color="auto"/>
        <w:bottom w:val="none" w:sz="0" w:space="0" w:color="auto"/>
        <w:right w:val="none" w:sz="0" w:space="0" w:color="auto"/>
      </w:divBdr>
    </w:div>
    <w:div w:id="1591543987">
      <w:bodyDiv w:val="1"/>
      <w:marLeft w:val="0"/>
      <w:marRight w:val="0"/>
      <w:marTop w:val="0"/>
      <w:marBottom w:val="0"/>
      <w:divBdr>
        <w:top w:val="none" w:sz="0" w:space="0" w:color="auto"/>
        <w:left w:val="none" w:sz="0" w:space="0" w:color="auto"/>
        <w:bottom w:val="none" w:sz="0" w:space="0" w:color="auto"/>
        <w:right w:val="none" w:sz="0" w:space="0" w:color="auto"/>
      </w:divBdr>
    </w:div>
    <w:div w:id="1593126546">
      <w:bodyDiv w:val="1"/>
      <w:marLeft w:val="0"/>
      <w:marRight w:val="0"/>
      <w:marTop w:val="0"/>
      <w:marBottom w:val="0"/>
      <w:divBdr>
        <w:top w:val="none" w:sz="0" w:space="0" w:color="auto"/>
        <w:left w:val="none" w:sz="0" w:space="0" w:color="auto"/>
        <w:bottom w:val="none" w:sz="0" w:space="0" w:color="auto"/>
        <w:right w:val="none" w:sz="0" w:space="0" w:color="auto"/>
      </w:divBdr>
    </w:div>
    <w:div w:id="1677032775">
      <w:bodyDiv w:val="1"/>
      <w:marLeft w:val="0"/>
      <w:marRight w:val="0"/>
      <w:marTop w:val="0"/>
      <w:marBottom w:val="0"/>
      <w:divBdr>
        <w:top w:val="none" w:sz="0" w:space="0" w:color="auto"/>
        <w:left w:val="none" w:sz="0" w:space="0" w:color="auto"/>
        <w:bottom w:val="none" w:sz="0" w:space="0" w:color="auto"/>
        <w:right w:val="none" w:sz="0" w:space="0" w:color="auto"/>
      </w:divBdr>
    </w:div>
    <w:div w:id="1863006354">
      <w:bodyDiv w:val="1"/>
      <w:marLeft w:val="0"/>
      <w:marRight w:val="0"/>
      <w:marTop w:val="0"/>
      <w:marBottom w:val="0"/>
      <w:divBdr>
        <w:top w:val="none" w:sz="0" w:space="0" w:color="auto"/>
        <w:left w:val="none" w:sz="0" w:space="0" w:color="auto"/>
        <w:bottom w:val="none" w:sz="0" w:space="0" w:color="auto"/>
        <w:right w:val="none" w:sz="0" w:space="0" w:color="auto"/>
      </w:divBdr>
    </w:div>
    <w:div w:id="2029939490">
      <w:bodyDiv w:val="1"/>
      <w:marLeft w:val="0"/>
      <w:marRight w:val="0"/>
      <w:marTop w:val="0"/>
      <w:marBottom w:val="0"/>
      <w:divBdr>
        <w:top w:val="none" w:sz="0" w:space="0" w:color="auto"/>
        <w:left w:val="none" w:sz="0" w:space="0" w:color="auto"/>
        <w:bottom w:val="none" w:sz="0" w:space="0" w:color="auto"/>
        <w:right w:val="none" w:sz="0" w:space="0" w:color="auto"/>
      </w:divBdr>
    </w:div>
    <w:div w:id="2043355941">
      <w:bodyDiv w:val="1"/>
      <w:marLeft w:val="0"/>
      <w:marRight w:val="0"/>
      <w:marTop w:val="0"/>
      <w:marBottom w:val="0"/>
      <w:divBdr>
        <w:top w:val="none" w:sz="0" w:space="0" w:color="auto"/>
        <w:left w:val="none" w:sz="0" w:space="0" w:color="auto"/>
        <w:bottom w:val="none" w:sz="0" w:space="0" w:color="auto"/>
        <w:right w:val="none" w:sz="0" w:space="0" w:color="auto"/>
      </w:divBdr>
    </w:div>
    <w:div w:id="2079937328">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80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93323-E689-AC4A-8A9A-1D8CF5D5A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2380</Words>
  <Characters>13568</Characters>
  <Application>Microsoft Macintosh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Microsoft Office User</cp:lastModifiedBy>
  <cp:revision>4</cp:revision>
  <cp:lastPrinted>2025-07-06T06:14:00Z</cp:lastPrinted>
  <dcterms:created xsi:type="dcterms:W3CDTF">2026-07-25T09:05:00Z</dcterms:created>
  <dcterms:modified xsi:type="dcterms:W3CDTF">2026-07-29T10:19:00Z</dcterms:modified>
</cp:coreProperties>
</file>