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1D6" w:rsidRPr="001C6062" w:rsidRDefault="00F93CAA" w:rsidP="001C6062">
      <w:pPr>
        <w:bidi/>
        <w:spacing w:before="200"/>
        <w:jc w:val="center"/>
        <w:rPr>
          <w:rFonts w:ascii="Sakkal Majalla" w:hAnsi="Sakkal Majalla" w:cs="Sakkal Majalla"/>
          <w:color w:val="000000" w:themeColor="text1"/>
        </w:rPr>
      </w:pPr>
      <w:r w:rsidRPr="001C6062">
        <w:rPr>
          <w:rFonts w:ascii="Sakkal Majalla" w:hAnsi="Sakkal Majalla" w:cs="Sakkal Majalla"/>
          <w:noProof/>
          <w:color w:val="000000" w:themeColor="text1"/>
        </w:rPr>
        <w:drawing>
          <wp:inline distT="0" distB="0" distL="0" distR="0">
            <wp:extent cx="1440180" cy="662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8"/>
                    <a:srcRect t="26455" b="27513"/>
                    <a:stretch/>
                  </pic:blipFill>
                  <pic:spPr bwMode="auto">
                    <a:xfrm>
                      <a:off x="0" y="0"/>
                      <a:ext cx="1440180" cy="662940"/>
                    </a:xfrm>
                    <a:prstGeom prst="rect">
                      <a:avLst/>
                    </a:prstGeom>
                    <a:noFill/>
                    <a:ln>
                      <a:noFill/>
                    </a:ln>
                    <a:extLst>
                      <a:ext uri="{53640926-AAD7-44D8-BBD7-CCE9431645EC}">
                        <a14:shadowObscured xmlns:a14="http://schemas.microsoft.com/office/drawing/2010/main"/>
                      </a:ext>
                    </a:extLst>
                  </pic:spPr>
                </pic:pic>
              </a:graphicData>
            </a:graphic>
          </wp:inline>
        </w:drawing>
      </w:r>
    </w:p>
    <w:p w:rsidR="001C6062" w:rsidRPr="001C6062" w:rsidRDefault="001C6062" w:rsidP="001C6062">
      <w:pPr>
        <w:bidi/>
        <w:spacing w:after="80" w:line="240" w:lineRule="auto"/>
        <w:jc w:val="center"/>
        <w:rPr>
          <w:rFonts w:ascii="Sakkal Majalla" w:eastAsia="Noto Sans Arabic" w:hAnsi="Sakkal Majalla" w:cs="Sakkal Majalla"/>
          <w:b/>
          <w:color w:val="000000" w:themeColor="text1"/>
          <w:sz w:val="26"/>
          <w:szCs w:val="8"/>
          <w:rtl/>
        </w:rPr>
      </w:pPr>
    </w:p>
    <w:p w:rsidR="005931D6" w:rsidRPr="001C6062" w:rsidRDefault="00F93CAA" w:rsidP="001C6062">
      <w:pPr>
        <w:bidi/>
        <w:spacing w:after="80" w:line="240" w:lineRule="auto"/>
        <w:jc w:val="center"/>
        <w:rPr>
          <w:rFonts w:ascii="Sakkal Majalla" w:hAnsi="Sakkal Majalla" w:cs="Sakkal Majalla"/>
          <w:color w:val="000000" w:themeColor="text1"/>
          <w:sz w:val="34"/>
          <w:szCs w:val="28"/>
        </w:rPr>
      </w:pPr>
      <w:r w:rsidRPr="001C6062">
        <w:rPr>
          <w:rFonts w:ascii="Sakkal Majalla" w:eastAsia="Noto Sans Arabic" w:hAnsi="Sakkal Majalla" w:cs="Sakkal Majalla"/>
          <w:b/>
          <w:color w:val="000000" w:themeColor="text1"/>
          <w:sz w:val="46"/>
          <w:szCs w:val="28"/>
          <w:rtl/>
        </w:rPr>
        <w:t xml:space="preserve">جامعة </w:t>
      </w:r>
      <w:proofErr w:type="spellStart"/>
      <w:r w:rsidRPr="001C6062">
        <w:rPr>
          <w:rFonts w:ascii="Sakkal Majalla" w:eastAsia="Noto Sans Arabic" w:hAnsi="Sakkal Majalla" w:cs="Sakkal Majalla"/>
          <w:b/>
          <w:color w:val="000000" w:themeColor="text1"/>
          <w:sz w:val="46"/>
          <w:szCs w:val="28"/>
          <w:rtl/>
        </w:rPr>
        <w:t>ميداوشن</w:t>
      </w:r>
      <w:proofErr w:type="spellEnd"/>
    </w:p>
    <w:p w:rsidR="005931D6" w:rsidRPr="001C6062" w:rsidRDefault="00F93CAA" w:rsidP="001C6062">
      <w:pPr>
        <w:bidi/>
        <w:spacing w:after="60" w:line="240" w:lineRule="auto"/>
        <w:jc w:val="center"/>
        <w:rPr>
          <w:rFonts w:ascii="Sakkal Majalla" w:hAnsi="Sakkal Majalla" w:cs="Sakkal Majalla"/>
          <w:color w:val="000000" w:themeColor="text1"/>
          <w:sz w:val="34"/>
          <w:szCs w:val="28"/>
        </w:rPr>
      </w:pPr>
      <w:r w:rsidRPr="001C6062">
        <w:rPr>
          <w:rFonts w:ascii="Sakkal Majalla" w:eastAsia="Noto Sans Arabic" w:hAnsi="Sakkal Majalla" w:cs="Sakkal Majalla"/>
          <w:b/>
          <w:color w:val="000000" w:themeColor="text1"/>
          <w:sz w:val="42"/>
          <w:szCs w:val="28"/>
          <w:rtl/>
        </w:rPr>
        <w:t>كلية إدارة الأعمال</w:t>
      </w:r>
    </w:p>
    <w:p w:rsidR="001C6062" w:rsidRDefault="001C6062" w:rsidP="001C6062">
      <w:pPr>
        <w:bidi/>
        <w:spacing w:after="200" w:line="240" w:lineRule="auto"/>
        <w:jc w:val="center"/>
        <w:rPr>
          <w:rFonts w:ascii="Sakkal Majalla" w:eastAsia="Noto Sans Arabic" w:hAnsi="Sakkal Majalla" w:cs="Sakkal Majalla"/>
          <w:b/>
          <w:color w:val="000000" w:themeColor="text1"/>
          <w:sz w:val="42"/>
          <w:szCs w:val="28"/>
          <w:rtl/>
        </w:rPr>
      </w:pPr>
    </w:p>
    <w:p w:rsidR="005931D6" w:rsidRPr="001C6062" w:rsidRDefault="00F93CAA" w:rsidP="001C6062">
      <w:pPr>
        <w:bidi/>
        <w:spacing w:after="200" w:line="240" w:lineRule="auto"/>
        <w:jc w:val="center"/>
        <w:rPr>
          <w:rFonts w:ascii="Sakkal Majalla" w:hAnsi="Sakkal Majalla" w:cs="Sakkal Majalla"/>
          <w:color w:val="000000" w:themeColor="text1"/>
          <w:sz w:val="34"/>
          <w:szCs w:val="28"/>
        </w:rPr>
      </w:pPr>
      <w:r w:rsidRPr="001C6062">
        <w:rPr>
          <w:rFonts w:ascii="Sakkal Majalla" w:eastAsia="Noto Sans Arabic" w:hAnsi="Sakkal Majalla" w:cs="Sakkal Majalla"/>
          <w:b/>
          <w:color w:val="000000" w:themeColor="text1"/>
          <w:sz w:val="42"/>
          <w:szCs w:val="28"/>
          <w:rtl/>
        </w:rPr>
        <w:t xml:space="preserve">رسالة ماجستير </w:t>
      </w:r>
      <w:proofErr w:type="gramStart"/>
      <w:r w:rsidRPr="001C6062">
        <w:rPr>
          <w:rFonts w:ascii="Sakkal Majalla" w:eastAsia="Noto Sans Arabic" w:hAnsi="Sakkal Majalla" w:cs="Sakkal Majalla"/>
          <w:b/>
          <w:color w:val="000000" w:themeColor="text1"/>
          <w:sz w:val="42"/>
          <w:szCs w:val="28"/>
          <w:rtl/>
        </w:rPr>
        <w:t>بعنوان</w:t>
      </w:r>
      <w:r w:rsidR="001C6062">
        <w:rPr>
          <w:rFonts w:ascii="Sakkal Majalla" w:eastAsia="Noto Sans Arabic" w:hAnsi="Sakkal Majalla" w:cs="Sakkal Majalla" w:hint="cs"/>
          <w:b/>
          <w:color w:val="000000" w:themeColor="text1"/>
          <w:sz w:val="42"/>
          <w:szCs w:val="28"/>
          <w:rtl/>
        </w:rPr>
        <w:t xml:space="preserve"> :</w:t>
      </w:r>
      <w:proofErr w:type="gramEnd"/>
      <w:r w:rsidR="001C6062">
        <w:rPr>
          <w:rFonts w:ascii="Sakkal Majalla" w:eastAsia="Noto Sans Arabic" w:hAnsi="Sakkal Majalla" w:cs="Sakkal Majalla" w:hint="cs"/>
          <w:b/>
          <w:color w:val="000000" w:themeColor="text1"/>
          <w:sz w:val="42"/>
          <w:szCs w:val="28"/>
          <w:rtl/>
        </w:rPr>
        <w:t xml:space="preserve"> </w:t>
      </w:r>
    </w:p>
    <w:p w:rsidR="005931D6" w:rsidRPr="001C6062" w:rsidRDefault="00F93CAA" w:rsidP="001C6062">
      <w:pPr>
        <w:bidi/>
        <w:spacing w:after="160" w:line="288" w:lineRule="auto"/>
        <w:jc w:val="center"/>
        <w:rPr>
          <w:rFonts w:ascii="Sakkal Majalla" w:hAnsi="Sakkal Majalla" w:cs="Sakkal Majalla"/>
          <w:bCs/>
          <w:color w:val="000000" w:themeColor="text1"/>
          <w:sz w:val="46"/>
          <w:szCs w:val="40"/>
        </w:rPr>
      </w:pPr>
      <w:r w:rsidRPr="001C6062">
        <w:rPr>
          <w:rFonts w:ascii="Sakkal Majalla" w:eastAsia="Noto Sans Arabic" w:hAnsi="Sakkal Majalla" w:cs="Sakkal Majalla"/>
          <w:bCs/>
          <w:color w:val="000000" w:themeColor="text1"/>
          <w:sz w:val="66"/>
          <w:szCs w:val="40"/>
          <w:rtl/>
        </w:rPr>
        <w:t>أثر جاهزية تبنّي الذكاء الاصطناعي في المرونة الاستراتيجية</w:t>
      </w:r>
      <w:r w:rsidRPr="001C6062">
        <w:rPr>
          <w:rFonts w:ascii="Sakkal Majalla" w:eastAsia="Noto Sans Arabic" w:hAnsi="Sakkal Majalla" w:cs="Sakkal Majalla"/>
          <w:bCs/>
          <w:color w:val="000000" w:themeColor="text1"/>
          <w:sz w:val="66"/>
          <w:szCs w:val="40"/>
          <w:rtl/>
        </w:rPr>
        <w:br/>
        <w:t>للمشروعات الصغيرة والمتوسطة في المملكة العربية السعودية</w:t>
      </w:r>
    </w:p>
    <w:p w:rsidR="005931D6" w:rsidRDefault="00F93CAA" w:rsidP="001C6062">
      <w:pPr>
        <w:bidi/>
        <w:spacing w:after="240" w:line="240" w:lineRule="auto"/>
        <w:jc w:val="center"/>
        <w:rPr>
          <w:rFonts w:ascii="Sakkal Majalla" w:eastAsia="Noto Sans Arabic" w:hAnsi="Sakkal Majalla" w:cs="Sakkal Majalla"/>
          <w:bCs/>
          <w:color w:val="000000" w:themeColor="text1"/>
          <w:sz w:val="42"/>
          <w:szCs w:val="28"/>
          <w:rtl/>
        </w:rPr>
      </w:pPr>
      <w:r w:rsidRPr="001C6062">
        <w:rPr>
          <w:rFonts w:ascii="Sakkal Majalla" w:eastAsia="Noto Sans Arabic" w:hAnsi="Sakkal Majalla" w:cs="Sakkal Majalla"/>
          <w:bCs/>
          <w:color w:val="000000" w:themeColor="text1"/>
          <w:sz w:val="42"/>
          <w:szCs w:val="28"/>
          <w:rtl/>
        </w:rPr>
        <w:t>(الدور الوسيط لقدرات إدارة المعرفة)</w:t>
      </w:r>
    </w:p>
    <w:p w:rsidR="001C6062" w:rsidRPr="001C6062" w:rsidRDefault="001C6062" w:rsidP="001C6062">
      <w:pPr>
        <w:bidi/>
        <w:spacing w:after="240" w:line="240" w:lineRule="auto"/>
        <w:jc w:val="center"/>
        <w:rPr>
          <w:rFonts w:ascii="Sakkal Majalla" w:hAnsi="Sakkal Majalla" w:cs="Sakkal Majalla"/>
          <w:bCs/>
          <w:color w:val="000000" w:themeColor="text1"/>
          <w:sz w:val="34"/>
          <w:szCs w:val="28"/>
        </w:rPr>
      </w:pPr>
    </w:p>
    <w:p w:rsidR="005931D6" w:rsidRPr="001C6062" w:rsidRDefault="00F93CAA" w:rsidP="001C6062">
      <w:pPr>
        <w:bidi/>
        <w:spacing w:after="160" w:line="264" w:lineRule="auto"/>
        <w:jc w:val="center"/>
        <w:rPr>
          <w:rFonts w:ascii="Sakkal Majalla" w:hAnsi="Sakkal Majalla" w:cs="Sakkal Majalla"/>
          <w:color w:val="000000" w:themeColor="text1"/>
        </w:rPr>
      </w:pPr>
      <w:r w:rsidRPr="001C6062">
        <w:rPr>
          <w:rFonts w:ascii="Sakkal Majalla" w:eastAsia="Liberation Serif" w:hAnsi="Sakkal Majalla" w:cs="Sakkal Majalla"/>
          <w:b/>
          <w:color w:val="000000" w:themeColor="text1"/>
          <w:sz w:val="30"/>
        </w:rPr>
        <w:t>The Impact of Artificial Intelligence Adoption Readiness on Strategic Flexibility</w:t>
      </w:r>
      <w:r w:rsidRPr="001C6062">
        <w:rPr>
          <w:rFonts w:ascii="Sakkal Majalla" w:eastAsia="Liberation Serif" w:hAnsi="Sakkal Majalla" w:cs="Sakkal Majalla"/>
          <w:b/>
          <w:color w:val="000000" w:themeColor="text1"/>
          <w:sz w:val="30"/>
        </w:rPr>
        <w:br/>
        <w:t>in Small and Medium-Sized Enterprises in Saudi Arabia</w:t>
      </w:r>
      <w:proofErr w:type="gramStart"/>
      <w:r w:rsidRPr="001C6062">
        <w:rPr>
          <w:rFonts w:ascii="Sakkal Majalla" w:eastAsia="Liberation Serif" w:hAnsi="Sakkal Majalla" w:cs="Sakkal Majalla"/>
          <w:b/>
          <w:color w:val="000000" w:themeColor="text1"/>
          <w:sz w:val="30"/>
        </w:rPr>
        <w:t>:</w:t>
      </w:r>
      <w:proofErr w:type="gramEnd"/>
      <w:r w:rsidRPr="001C6062">
        <w:rPr>
          <w:rFonts w:ascii="Sakkal Majalla" w:eastAsia="Liberation Serif" w:hAnsi="Sakkal Majalla" w:cs="Sakkal Majalla"/>
          <w:b/>
          <w:color w:val="000000" w:themeColor="text1"/>
          <w:sz w:val="30"/>
        </w:rPr>
        <w:br/>
        <w:t>The Mediating Role of Knowledge Management Capabilities</w:t>
      </w:r>
    </w:p>
    <w:p w:rsidR="001C6062" w:rsidRDefault="001C6062" w:rsidP="001C6062">
      <w:pPr>
        <w:bidi/>
        <w:spacing w:line="288" w:lineRule="auto"/>
        <w:jc w:val="center"/>
        <w:rPr>
          <w:rFonts w:ascii="Sakkal Majalla" w:eastAsia="Noto Sans Arabic" w:hAnsi="Sakkal Majalla" w:cs="Sakkal Majalla"/>
          <w:b/>
          <w:color w:val="000000" w:themeColor="text1"/>
          <w:sz w:val="30"/>
          <w:rtl/>
        </w:rPr>
      </w:pPr>
    </w:p>
    <w:p w:rsidR="001C6062" w:rsidRPr="001C6062" w:rsidRDefault="001C6062" w:rsidP="001C6062">
      <w:pPr>
        <w:bidi/>
        <w:spacing w:line="288" w:lineRule="auto"/>
        <w:jc w:val="center"/>
        <w:rPr>
          <w:rFonts w:ascii="Sakkal Majalla" w:eastAsia="Noto Sans Arabic" w:hAnsi="Sakkal Majalla" w:cs="Sakkal Majalla"/>
          <w:b/>
          <w:color w:val="000000" w:themeColor="text1"/>
          <w:sz w:val="34"/>
          <w:szCs w:val="34"/>
          <w:rtl/>
        </w:rPr>
      </w:pPr>
    </w:p>
    <w:p w:rsidR="005931D6" w:rsidRPr="001C6062" w:rsidRDefault="00F93CAA" w:rsidP="001C6062">
      <w:pPr>
        <w:bidi/>
        <w:spacing w:line="288" w:lineRule="auto"/>
        <w:jc w:val="center"/>
        <w:rPr>
          <w:rFonts w:ascii="Sakkal Majalla" w:hAnsi="Sakkal Majalla" w:cs="Sakkal Majalla"/>
          <w:color w:val="000000" w:themeColor="text1"/>
          <w:sz w:val="34"/>
          <w:szCs w:val="34"/>
        </w:rPr>
      </w:pPr>
      <w:r w:rsidRPr="001C6062">
        <w:rPr>
          <w:rFonts w:ascii="Sakkal Majalla" w:eastAsia="Noto Sans Arabic" w:hAnsi="Sakkal Majalla" w:cs="Sakkal Majalla"/>
          <w:b/>
          <w:color w:val="000000" w:themeColor="text1"/>
          <w:sz w:val="34"/>
          <w:szCs w:val="34"/>
          <w:rtl/>
        </w:rPr>
        <w:t>إعداد الطالب</w:t>
      </w:r>
    </w:p>
    <w:p w:rsidR="005931D6" w:rsidRDefault="00F93CAA" w:rsidP="001C6062">
      <w:pPr>
        <w:bidi/>
        <w:spacing w:after="80" w:line="240" w:lineRule="auto"/>
        <w:jc w:val="center"/>
        <w:rPr>
          <w:rFonts w:ascii="Sakkal Majalla" w:eastAsia="Noto Sans Arabic" w:hAnsi="Sakkal Majalla" w:cs="Sakkal Majalla"/>
          <w:bCs/>
          <w:color w:val="000000" w:themeColor="text1"/>
          <w:sz w:val="40"/>
          <w:szCs w:val="40"/>
          <w:rtl/>
        </w:rPr>
      </w:pPr>
      <w:r w:rsidRPr="001C6062">
        <w:rPr>
          <w:rFonts w:ascii="Sakkal Majalla" w:eastAsia="Noto Sans Arabic" w:hAnsi="Sakkal Majalla" w:cs="Sakkal Majalla"/>
          <w:bCs/>
          <w:color w:val="000000" w:themeColor="text1"/>
          <w:sz w:val="40"/>
          <w:szCs w:val="40"/>
          <w:rtl/>
        </w:rPr>
        <w:t xml:space="preserve">ماجد محمد يوسف </w:t>
      </w:r>
      <w:proofErr w:type="spellStart"/>
      <w:r w:rsidRPr="001C6062">
        <w:rPr>
          <w:rFonts w:ascii="Sakkal Majalla" w:eastAsia="Noto Sans Arabic" w:hAnsi="Sakkal Majalla" w:cs="Sakkal Majalla"/>
          <w:bCs/>
          <w:color w:val="000000" w:themeColor="text1"/>
          <w:sz w:val="40"/>
          <w:szCs w:val="40"/>
          <w:rtl/>
        </w:rPr>
        <w:t>سيت</w:t>
      </w:r>
      <w:proofErr w:type="spellEnd"/>
    </w:p>
    <w:p w:rsidR="001C6062" w:rsidRPr="001C6062" w:rsidRDefault="001C6062" w:rsidP="001C6062">
      <w:pPr>
        <w:bidi/>
        <w:spacing w:after="80" w:line="240" w:lineRule="auto"/>
        <w:jc w:val="center"/>
        <w:rPr>
          <w:rFonts w:ascii="Sakkal Majalla" w:hAnsi="Sakkal Majalla" w:cs="Sakkal Majalla"/>
          <w:bCs/>
          <w:color w:val="000000" w:themeColor="text1"/>
          <w:szCs w:val="28"/>
        </w:rPr>
      </w:pPr>
    </w:p>
    <w:p w:rsidR="005931D6" w:rsidRPr="001C6062" w:rsidRDefault="00F93CAA" w:rsidP="001C6062">
      <w:pPr>
        <w:bidi/>
        <w:spacing w:after="80" w:line="240" w:lineRule="auto"/>
        <w:jc w:val="center"/>
        <w:rPr>
          <w:rFonts w:ascii="Sakkal Majalla" w:hAnsi="Sakkal Majalla" w:cs="Sakkal Majalla"/>
          <w:color w:val="000000" w:themeColor="text1"/>
          <w:sz w:val="34"/>
          <w:szCs w:val="34"/>
        </w:rPr>
      </w:pPr>
      <w:r w:rsidRPr="001C6062">
        <w:rPr>
          <w:rFonts w:ascii="Sakkal Majalla" w:eastAsia="Noto Naskh Arabic" w:hAnsi="Sakkal Majalla" w:cs="Sakkal Majalla"/>
          <w:b/>
          <w:color w:val="000000" w:themeColor="text1"/>
          <w:sz w:val="34"/>
          <w:szCs w:val="34"/>
          <w:rtl/>
        </w:rPr>
        <w:t xml:space="preserve">الرقم الجامعي: </w:t>
      </w:r>
      <w:r w:rsidRPr="001C6062">
        <w:rPr>
          <w:rFonts w:ascii="Sakkal Majalla" w:eastAsia="Noto Naskh Arabic" w:hAnsi="Sakkal Majalla" w:cs="Sakkal Majalla"/>
          <w:b/>
          <w:color w:val="000000" w:themeColor="text1"/>
          <w:sz w:val="34"/>
          <w:szCs w:val="34"/>
        </w:rPr>
        <w:t>253002088</w:t>
      </w:r>
    </w:p>
    <w:p w:rsidR="001C6062" w:rsidRDefault="001C6062" w:rsidP="001C6062">
      <w:pPr>
        <w:bidi/>
        <w:spacing w:after="0" w:line="240" w:lineRule="auto"/>
        <w:jc w:val="center"/>
        <w:rPr>
          <w:rFonts w:ascii="Sakkal Majalla" w:eastAsia="Noto Sans Arabic" w:hAnsi="Sakkal Majalla" w:cs="Sakkal Majalla"/>
          <w:b/>
          <w:color w:val="000000" w:themeColor="text1"/>
          <w:sz w:val="34"/>
          <w:szCs w:val="34"/>
          <w:rtl/>
        </w:rPr>
      </w:pPr>
    </w:p>
    <w:p w:rsidR="005931D6" w:rsidRPr="001C6062" w:rsidRDefault="00F93CAA" w:rsidP="001C6062">
      <w:pPr>
        <w:bidi/>
        <w:spacing w:after="0" w:line="240" w:lineRule="auto"/>
        <w:jc w:val="center"/>
        <w:rPr>
          <w:rFonts w:ascii="Sakkal Majalla" w:hAnsi="Sakkal Majalla" w:cs="Sakkal Majalla"/>
          <w:color w:val="000000" w:themeColor="text1"/>
          <w:sz w:val="34"/>
          <w:szCs w:val="34"/>
        </w:rPr>
      </w:pPr>
      <w:r w:rsidRPr="001C6062">
        <w:rPr>
          <w:rFonts w:ascii="Sakkal Majalla" w:eastAsia="Noto Sans Arabic" w:hAnsi="Sakkal Majalla" w:cs="Sakkal Majalla"/>
          <w:b/>
          <w:color w:val="000000" w:themeColor="text1"/>
          <w:sz w:val="34"/>
          <w:szCs w:val="34"/>
          <w:rtl/>
        </w:rPr>
        <w:t xml:space="preserve">العام الدراسي: </w:t>
      </w:r>
      <w:r w:rsidRPr="001C6062">
        <w:rPr>
          <w:rFonts w:ascii="Sakkal Majalla" w:eastAsia="Noto Sans Arabic" w:hAnsi="Sakkal Majalla" w:cs="Sakkal Majalla"/>
          <w:b/>
          <w:color w:val="000000" w:themeColor="text1"/>
          <w:sz w:val="34"/>
          <w:szCs w:val="34"/>
        </w:rPr>
        <w:t>2026</w:t>
      </w:r>
      <w:r w:rsidRPr="001C6062">
        <w:rPr>
          <w:rFonts w:ascii="Sakkal Majalla" w:eastAsia="Noto Sans Arabic" w:hAnsi="Sakkal Majalla" w:cs="Sakkal Majalla"/>
          <w:b/>
          <w:color w:val="000000" w:themeColor="text1"/>
          <w:sz w:val="34"/>
          <w:szCs w:val="34"/>
          <w:rtl/>
        </w:rPr>
        <w:t>م</w:t>
      </w:r>
    </w:p>
    <w:p w:rsidR="005931D6" w:rsidRPr="001C6062" w:rsidRDefault="00F93CAA" w:rsidP="001C6062">
      <w:pPr>
        <w:bidi/>
        <w:jc w:val="both"/>
        <w:rPr>
          <w:rFonts w:ascii="Sakkal Majalla" w:hAnsi="Sakkal Majalla" w:cs="Sakkal Majalla"/>
          <w:color w:val="000000" w:themeColor="text1"/>
        </w:rPr>
      </w:pPr>
      <w:r w:rsidRPr="001C6062">
        <w:rPr>
          <w:rFonts w:ascii="Sakkal Majalla" w:hAnsi="Sakkal Majalla" w:cs="Sakkal Majalla"/>
          <w:color w:val="000000" w:themeColor="text1"/>
        </w:rPr>
        <w:br w:type="page"/>
      </w:r>
    </w:p>
    <w:p w:rsidR="005931D6" w:rsidRPr="00A55B43" w:rsidRDefault="00F93CAA" w:rsidP="002A3615">
      <w:pPr>
        <w:bidi/>
        <w:spacing w:after="0" w:line="240" w:lineRule="auto"/>
        <w:jc w:val="center"/>
        <w:rPr>
          <w:rFonts w:ascii="Sakkal Majalla" w:hAnsi="Sakkal Majalla" w:cs="Sakkal Majalla"/>
          <w:bCs/>
          <w:color w:val="000000" w:themeColor="text1"/>
          <w:sz w:val="38"/>
          <w:szCs w:val="38"/>
        </w:rPr>
      </w:pPr>
      <w:r w:rsidRPr="00A55B43">
        <w:rPr>
          <w:rFonts w:ascii="Sakkal Majalla" w:eastAsia="Noto Sans Arabic" w:hAnsi="Sakkal Majalla" w:cs="Sakkal Majalla"/>
          <w:bCs/>
          <w:color w:val="000000" w:themeColor="text1"/>
          <w:sz w:val="38"/>
          <w:szCs w:val="38"/>
          <w:rtl/>
        </w:rPr>
        <w:lastRenderedPageBreak/>
        <w:t>فهرس المحتويات</w:t>
      </w:r>
    </w:p>
    <w:sdt>
      <w:sdtPr>
        <w:rPr>
          <w:rFonts w:ascii="Sakkal Majalla" w:hAnsi="Sakkal Majalla" w:cs="Sakkal Majalla"/>
          <w:color w:val="000000" w:themeColor="text1"/>
          <w:sz w:val="32"/>
          <w:szCs w:val="32"/>
          <w:rtl/>
        </w:rPr>
        <w:id w:val="-1469814916"/>
        <w:docPartObj>
          <w:docPartGallery w:val="Table of Contents"/>
          <w:docPartUnique/>
        </w:docPartObj>
      </w:sdtPr>
      <w:sdtEndPr>
        <w:rPr>
          <w:sz w:val="36"/>
          <w:szCs w:val="36"/>
        </w:rPr>
      </w:sdtEndPr>
      <w:sdtContent>
        <w:p w:rsidR="001B44E9" w:rsidRPr="00A55B43" w:rsidRDefault="00F93CAA" w:rsidP="001B44E9">
          <w:pPr>
            <w:pStyle w:val="10"/>
            <w:bidi/>
            <w:spacing w:after="0" w:line="240" w:lineRule="auto"/>
            <w:rPr>
              <w:rFonts w:asciiTheme="minorHAnsi" w:hAnsiTheme="minorHAnsi" w:cstheme="minorBidi"/>
              <w:noProof/>
              <w:sz w:val="30"/>
              <w:szCs w:val="30"/>
            </w:rPr>
          </w:pPr>
          <w:r w:rsidRPr="00DF3755">
            <w:rPr>
              <w:rFonts w:ascii="Sakkal Majalla" w:hAnsi="Sakkal Majalla" w:cs="Sakkal Majalla"/>
              <w:color w:val="000000" w:themeColor="text1"/>
              <w:sz w:val="32"/>
              <w:szCs w:val="32"/>
              <w:rtl/>
            </w:rPr>
            <w:fldChar w:fldCharType="begin"/>
          </w:r>
          <w:r w:rsidRPr="00DF3755">
            <w:rPr>
              <w:rStyle w:val="IndexLink"/>
              <w:rFonts w:ascii="Sakkal Majalla" w:hAnsi="Sakkal Majalla" w:cs="Sakkal Majalla"/>
              <w:webHidden/>
              <w:color w:val="000000" w:themeColor="text1"/>
              <w:sz w:val="32"/>
              <w:szCs w:val="32"/>
              <w:rtl/>
            </w:rPr>
            <w:instrText xml:space="preserve"> </w:instrText>
          </w:r>
          <w:r w:rsidRPr="00DF3755">
            <w:rPr>
              <w:rStyle w:val="IndexLink"/>
              <w:rFonts w:ascii="Sakkal Majalla" w:hAnsi="Sakkal Majalla" w:cs="Sakkal Majalla"/>
              <w:webHidden/>
              <w:color w:val="000000" w:themeColor="text1"/>
              <w:sz w:val="32"/>
              <w:szCs w:val="32"/>
            </w:rPr>
            <w:instrText>TOC \z \o "1-3" \u \h</w:instrText>
          </w:r>
          <w:r w:rsidRPr="00DF3755">
            <w:rPr>
              <w:rStyle w:val="IndexLink"/>
              <w:rFonts w:ascii="Sakkal Majalla" w:hAnsi="Sakkal Majalla" w:cs="Sakkal Majalla"/>
              <w:color w:val="000000" w:themeColor="text1"/>
              <w:sz w:val="32"/>
              <w:szCs w:val="32"/>
              <w:rtl/>
            </w:rPr>
            <w:fldChar w:fldCharType="separate"/>
          </w:r>
          <w:hyperlink w:anchor="_Toc235465307" w:history="1">
            <w:r w:rsidR="001B44E9" w:rsidRPr="00A55B43">
              <w:rPr>
                <w:rStyle w:val="Hyperlink"/>
                <w:rFonts w:ascii="Sakkal Majalla" w:eastAsia="Noto Sans Arabic" w:hAnsi="Sakkal Majalla" w:cs="Sakkal Majalla"/>
                <w:noProof/>
                <w:sz w:val="36"/>
                <w:szCs w:val="30"/>
                <w:rtl/>
              </w:rPr>
              <w:t>الإطار النظري والدراسات السابقة</w:t>
            </w:r>
            <w:r w:rsidR="001B44E9" w:rsidRPr="00A55B43">
              <w:rPr>
                <w:noProof/>
                <w:webHidden/>
                <w:sz w:val="36"/>
                <w:szCs w:val="30"/>
              </w:rPr>
              <w:tab/>
            </w:r>
            <w:r w:rsidR="001B44E9" w:rsidRPr="00A55B43">
              <w:rPr>
                <w:noProof/>
                <w:webHidden/>
                <w:sz w:val="36"/>
                <w:szCs w:val="30"/>
              </w:rPr>
              <w:fldChar w:fldCharType="begin"/>
            </w:r>
            <w:r w:rsidR="001B44E9" w:rsidRPr="00A55B43">
              <w:rPr>
                <w:noProof/>
                <w:webHidden/>
                <w:sz w:val="36"/>
                <w:szCs w:val="30"/>
              </w:rPr>
              <w:instrText xml:space="preserve"> PAGEREF _Toc235465307 \h </w:instrText>
            </w:r>
            <w:r w:rsidR="001B44E9" w:rsidRPr="00A55B43">
              <w:rPr>
                <w:noProof/>
                <w:webHidden/>
                <w:sz w:val="36"/>
                <w:szCs w:val="30"/>
              </w:rPr>
            </w:r>
            <w:r w:rsidR="001B44E9" w:rsidRPr="00A55B43">
              <w:rPr>
                <w:rFonts w:hint="eastAsia"/>
                <w:noProof/>
                <w:webHidden/>
                <w:sz w:val="36"/>
                <w:szCs w:val="30"/>
              </w:rPr>
              <w:fldChar w:fldCharType="separate"/>
            </w:r>
            <w:r w:rsidR="00A55B43">
              <w:rPr>
                <w:rFonts w:hint="eastAsia"/>
                <w:noProof/>
                <w:webHidden/>
                <w:sz w:val="36"/>
                <w:szCs w:val="30"/>
                <w:rtl/>
              </w:rPr>
              <w:t>4</w:t>
            </w:r>
            <w:r w:rsidR="001B44E9"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08" w:history="1">
            <w:r w:rsidRPr="00A55B43">
              <w:rPr>
                <w:rStyle w:val="Hyperlink"/>
                <w:rFonts w:ascii="Sakkal Majalla" w:eastAsia="Noto Sans Arabic" w:hAnsi="Sakkal Majalla" w:cs="Sakkal Majalla"/>
                <w:noProof/>
                <w:sz w:val="36"/>
                <w:szCs w:val="30"/>
              </w:rPr>
              <w:t>2-1</w:t>
            </w:r>
            <w:r w:rsidRPr="00A55B43">
              <w:rPr>
                <w:rStyle w:val="Hyperlink"/>
                <w:rFonts w:ascii="Sakkal Majalla" w:eastAsia="Noto Sans Arabic" w:hAnsi="Sakkal Majalla" w:cs="Sakkal Majalla"/>
                <w:noProof/>
                <w:sz w:val="36"/>
                <w:szCs w:val="30"/>
                <w:rtl/>
              </w:rPr>
              <w:t xml:space="preserve"> مقدمة الفصل:</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_Toc235465308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5</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09" w:history="1">
            <w:r w:rsidRPr="00A55B43">
              <w:rPr>
                <w:rStyle w:val="Hyperlink"/>
                <w:rFonts w:ascii="Sakkal Majalla" w:eastAsia="Noto Sans Arabic" w:hAnsi="Sakkal Majalla" w:cs="Sakkal Majalla"/>
                <w:noProof/>
                <w:sz w:val="36"/>
                <w:szCs w:val="30"/>
              </w:rPr>
              <w:t>2-2</w:t>
            </w:r>
            <w:r w:rsidRPr="00A55B43">
              <w:rPr>
                <w:rStyle w:val="Hyperlink"/>
                <w:rFonts w:ascii="Sakkal Majalla" w:eastAsia="Noto Sans Arabic" w:hAnsi="Sakkal Majalla" w:cs="Sakkal Majalla"/>
                <w:noProof/>
                <w:sz w:val="36"/>
                <w:szCs w:val="30"/>
                <w:rtl/>
              </w:rPr>
              <w:t xml:space="preserve"> المشروعات الصغيرة والمتوسطة في المملكة العربية السعودية: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_Toc235465309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5</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0" w:history="1">
            <w:r w:rsidRPr="00A55B43">
              <w:rPr>
                <w:rStyle w:val="Hyperlink"/>
                <w:rFonts w:ascii="Sakkal Majalla" w:eastAsia="Noto Sans Arabic" w:hAnsi="Sakkal Majalla" w:cs="Sakkal Majalla"/>
                <w:noProof/>
                <w:sz w:val="36"/>
                <w:szCs w:val="30"/>
              </w:rPr>
              <w:t>2-2-1</w:t>
            </w:r>
            <w:r w:rsidRPr="00A55B43">
              <w:rPr>
                <w:rStyle w:val="Hyperlink"/>
                <w:rFonts w:ascii="Sakkal Majalla" w:eastAsia="Noto Sans Arabic" w:hAnsi="Sakkal Majalla" w:cs="Sakkal Majalla"/>
                <w:noProof/>
                <w:sz w:val="36"/>
                <w:szCs w:val="30"/>
                <w:rtl/>
              </w:rPr>
              <w:t xml:space="preserve"> المفهوم والتصنيف:</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_Toc235465310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5</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1" w:history="1">
            <w:r w:rsidRPr="00A55B43">
              <w:rPr>
                <w:rStyle w:val="Hyperlink"/>
                <w:rFonts w:ascii="Sakkal Majalla" w:eastAsia="Noto Sans Arabic" w:hAnsi="Sakkal Majalla" w:cs="Sakkal Majalla"/>
                <w:noProof/>
                <w:sz w:val="36"/>
                <w:szCs w:val="30"/>
              </w:rPr>
              <w:t>2-2-2</w:t>
            </w:r>
            <w:r w:rsidRPr="00A55B43">
              <w:rPr>
                <w:rStyle w:val="Hyperlink"/>
                <w:rFonts w:ascii="Sakkal Majalla" w:eastAsia="Noto Sans Arabic" w:hAnsi="Sakkal Majalla" w:cs="Sakkal Majalla"/>
                <w:noProof/>
                <w:sz w:val="36"/>
                <w:szCs w:val="30"/>
                <w:rtl/>
              </w:rPr>
              <w:t xml:space="preserve"> الأهمية الاقتصادية والاستراتيجية: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_Toc235465311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6</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2" w:history="1">
            <w:r w:rsidRPr="00A55B43">
              <w:rPr>
                <w:rStyle w:val="Hyperlink"/>
                <w:rFonts w:ascii="Sakkal Majalla" w:eastAsia="Noto Sans Arabic" w:hAnsi="Sakkal Majalla" w:cs="Sakkal Majalla"/>
                <w:noProof/>
                <w:sz w:val="36"/>
                <w:szCs w:val="30"/>
              </w:rPr>
              <w:t>2-2-3</w:t>
            </w:r>
            <w:r w:rsidRPr="00A55B43">
              <w:rPr>
                <w:rStyle w:val="Hyperlink"/>
                <w:rFonts w:ascii="Sakkal Majalla" w:eastAsia="Noto Sans Arabic" w:hAnsi="Sakkal Majalla" w:cs="Sakkal Majalla"/>
                <w:noProof/>
                <w:sz w:val="36"/>
                <w:szCs w:val="30"/>
                <w:rtl/>
              </w:rPr>
              <w:t xml:space="preserve"> خصائص المشروعات الصغيرة والمتوسطة ذات الصلة بالتبنّي:</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_Toc235465312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7</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3" w:history="1">
            <w:r w:rsidRPr="00A55B43">
              <w:rPr>
                <w:rStyle w:val="Hyperlink"/>
                <w:rFonts w:ascii="Sakkal Majalla" w:eastAsia="Noto Sans Arabic" w:hAnsi="Sakkal Majalla" w:cs="Sakkal Majalla"/>
                <w:noProof/>
                <w:sz w:val="36"/>
                <w:szCs w:val="30"/>
              </w:rPr>
              <w:t>2-2-4</w:t>
            </w:r>
            <w:r w:rsidRPr="00A55B43">
              <w:rPr>
                <w:rStyle w:val="Hyperlink"/>
                <w:rFonts w:ascii="Sakkal Majalla" w:eastAsia="Noto Sans Arabic" w:hAnsi="Sakkal Majalla" w:cs="Sakkal Majalla"/>
                <w:noProof/>
                <w:sz w:val="36"/>
                <w:szCs w:val="30"/>
                <w:rtl/>
              </w:rPr>
              <w:t xml:space="preserve"> التحول الرقمي والذكاء الاصطناعي في سياق المشروعات:</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_Toc235465313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8</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14" w:history="1">
            <w:r w:rsidRPr="00A55B43">
              <w:rPr>
                <w:rStyle w:val="Hyperlink"/>
                <w:rFonts w:ascii="Sakkal Majalla" w:eastAsia="Noto Sans Arabic" w:hAnsi="Sakkal Majalla" w:cs="Sakkal Majalla"/>
                <w:noProof/>
                <w:sz w:val="36"/>
                <w:szCs w:val="30"/>
              </w:rPr>
              <w:t>2-3</w:t>
            </w:r>
            <w:r w:rsidRPr="00A55B43">
              <w:rPr>
                <w:rStyle w:val="Hyperlink"/>
                <w:rFonts w:ascii="Sakkal Majalla" w:eastAsia="Noto Sans Arabic" w:hAnsi="Sakkal Majalla" w:cs="Sakkal Majalla"/>
                <w:noProof/>
                <w:sz w:val="36"/>
                <w:szCs w:val="30"/>
                <w:rtl/>
              </w:rPr>
              <w:t xml:space="preserve"> الذكاء الاصطناعي: المفهوم والتطبيقات الإدارية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_Toc235465314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8</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5" w:history="1">
            <w:r w:rsidRPr="00A55B43">
              <w:rPr>
                <w:rStyle w:val="Hyperlink"/>
                <w:rFonts w:ascii="Sakkal Majalla" w:eastAsia="Noto Sans Arabic" w:hAnsi="Sakkal Majalla" w:cs="Sakkal Majalla"/>
                <w:noProof/>
                <w:sz w:val="36"/>
                <w:szCs w:val="30"/>
              </w:rPr>
              <w:t>2-3-1</w:t>
            </w:r>
            <w:r w:rsidRPr="00A55B43">
              <w:rPr>
                <w:rStyle w:val="Hyperlink"/>
                <w:rFonts w:ascii="Sakkal Majalla" w:eastAsia="Noto Sans Arabic" w:hAnsi="Sakkal Majalla" w:cs="Sakkal Majalla"/>
                <w:noProof/>
                <w:sz w:val="36"/>
                <w:szCs w:val="30"/>
                <w:rtl/>
              </w:rPr>
              <w:t xml:space="preserve"> مفهوم الذكاء الاصطناعي وتطوره:</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_Toc235465315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8</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6" w:history="1">
            <w:r w:rsidRPr="00A55B43">
              <w:rPr>
                <w:rStyle w:val="Hyperlink"/>
                <w:rFonts w:ascii="Sakkal Majalla" w:eastAsia="Noto Sans Arabic" w:hAnsi="Sakkal Majalla" w:cs="Sakkal Majalla"/>
                <w:noProof/>
                <w:sz w:val="36"/>
                <w:szCs w:val="30"/>
              </w:rPr>
              <w:t>2-3-2</w:t>
            </w:r>
            <w:r w:rsidRPr="00A55B43">
              <w:rPr>
                <w:rStyle w:val="Hyperlink"/>
                <w:rFonts w:ascii="Sakkal Majalla" w:eastAsia="Noto Sans Arabic" w:hAnsi="Sakkal Majalla" w:cs="Sakkal Majalla"/>
                <w:noProof/>
                <w:sz w:val="36"/>
                <w:szCs w:val="30"/>
                <w:rtl/>
              </w:rPr>
              <w:t xml:space="preserve"> التطبيقات المحتملة في المشروعات الصغيرة والمتوسطة: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_Toc235465316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9</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7" w:history="1">
            <w:r w:rsidRPr="00A55B43">
              <w:rPr>
                <w:rStyle w:val="Hyperlink"/>
                <w:rFonts w:ascii="Sakkal Majalla" w:eastAsia="Noto Sans Arabic" w:hAnsi="Sakkal Majalla" w:cs="Sakkal Majalla"/>
                <w:noProof/>
                <w:sz w:val="36"/>
                <w:szCs w:val="30"/>
              </w:rPr>
              <w:t>2-3-3</w:t>
            </w:r>
            <w:r w:rsidRPr="00A55B43">
              <w:rPr>
                <w:rStyle w:val="Hyperlink"/>
                <w:rFonts w:ascii="Sakkal Majalla" w:eastAsia="Noto Sans Arabic" w:hAnsi="Sakkal Majalla" w:cs="Sakkal Majalla"/>
                <w:noProof/>
                <w:sz w:val="36"/>
                <w:szCs w:val="30"/>
                <w:rtl/>
              </w:rPr>
              <w:t xml:space="preserve"> القيمة التنظيمية المتوقعة: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_Toc235465317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10</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18" w:history="1">
            <w:r w:rsidRPr="00A55B43">
              <w:rPr>
                <w:rStyle w:val="Hyperlink"/>
                <w:rFonts w:ascii="Sakkal Majalla" w:eastAsia="Noto Sans Arabic" w:hAnsi="Sakkal Majalla" w:cs="Sakkal Majalla"/>
                <w:noProof/>
                <w:sz w:val="36"/>
                <w:szCs w:val="30"/>
              </w:rPr>
              <w:t>2-3-4</w:t>
            </w:r>
            <w:r w:rsidRPr="00A55B43">
              <w:rPr>
                <w:rStyle w:val="Hyperlink"/>
                <w:rFonts w:ascii="Sakkal Majalla" w:eastAsia="Noto Sans Arabic" w:hAnsi="Sakkal Majalla" w:cs="Sakkal Majalla"/>
                <w:noProof/>
                <w:sz w:val="36"/>
                <w:szCs w:val="30"/>
                <w:rtl/>
              </w:rPr>
              <w:t xml:space="preserve"> المخاطر والتحديات:</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_Toc235465318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11</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19" w:history="1">
            <w:r w:rsidRPr="00A55B43">
              <w:rPr>
                <w:rStyle w:val="Hyperlink"/>
                <w:rFonts w:ascii="Sakkal Majalla" w:eastAsia="Noto Sans Arabic" w:hAnsi="Sakkal Majalla" w:cs="Sakkal Majalla"/>
                <w:noProof/>
                <w:sz w:val="36"/>
                <w:szCs w:val="30"/>
              </w:rPr>
              <w:t>2-4</w:t>
            </w:r>
            <w:r w:rsidRPr="00A55B43">
              <w:rPr>
                <w:rStyle w:val="Hyperlink"/>
                <w:rFonts w:ascii="Sakkal Majalla" w:eastAsia="Noto Sans Arabic" w:hAnsi="Sakkal Majalla" w:cs="Sakkal Majalla"/>
                <w:noProof/>
                <w:sz w:val="36"/>
                <w:szCs w:val="30"/>
                <w:rtl/>
              </w:rPr>
              <w:t xml:space="preserve"> جاهزية تبنّي الذكاء الاصطناعي:</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_Toc235465319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11</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0" w:history="1">
            <w:r w:rsidRPr="00A55B43">
              <w:rPr>
                <w:rStyle w:val="Hyperlink"/>
                <w:rFonts w:ascii="Sakkal Majalla" w:eastAsia="Noto Sans Arabic" w:hAnsi="Sakkal Majalla" w:cs="Sakkal Majalla"/>
                <w:noProof/>
                <w:sz w:val="36"/>
                <w:szCs w:val="30"/>
              </w:rPr>
              <w:t>2-4-1</w:t>
            </w:r>
            <w:r w:rsidRPr="00A55B43">
              <w:rPr>
                <w:rStyle w:val="Hyperlink"/>
                <w:rFonts w:ascii="Sakkal Majalla" w:eastAsia="Noto Sans Arabic" w:hAnsi="Sakkal Majalla" w:cs="Sakkal Majalla"/>
                <w:noProof/>
                <w:sz w:val="36"/>
                <w:szCs w:val="30"/>
                <w:rtl/>
              </w:rPr>
              <w:t xml:space="preserve"> مفهوم الجاهزية والتمييز عن التبنّي والنضج:</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_Toc235465320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11</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1" w:history="1">
            <w:r w:rsidRPr="00A55B43">
              <w:rPr>
                <w:rStyle w:val="Hyperlink"/>
                <w:rFonts w:ascii="Sakkal Majalla" w:eastAsia="Noto Sans Arabic" w:hAnsi="Sakkal Majalla" w:cs="Sakkal Majalla"/>
                <w:noProof/>
                <w:sz w:val="36"/>
                <w:szCs w:val="30"/>
              </w:rPr>
              <w:t>2-4-2</w:t>
            </w:r>
            <w:r w:rsidRPr="00A55B43">
              <w:rPr>
                <w:rStyle w:val="Hyperlink"/>
                <w:rFonts w:ascii="Sakkal Majalla" w:eastAsia="Noto Sans Arabic" w:hAnsi="Sakkal Majalla" w:cs="Sakkal Majalla"/>
                <w:noProof/>
                <w:sz w:val="36"/>
                <w:szCs w:val="30"/>
                <w:rtl/>
              </w:rPr>
              <w:t xml:space="preserve"> الجاهزية التقنية: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_Toc235465321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12</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2" w:history="1">
            <w:r w:rsidRPr="00A55B43">
              <w:rPr>
                <w:rStyle w:val="Hyperlink"/>
                <w:rFonts w:ascii="Sakkal Majalla" w:eastAsia="Noto Sans Arabic" w:hAnsi="Sakkal Majalla" w:cs="Sakkal Majalla"/>
                <w:noProof/>
                <w:sz w:val="36"/>
                <w:szCs w:val="30"/>
              </w:rPr>
              <w:t>2-4-3</w:t>
            </w:r>
            <w:r w:rsidRPr="00A55B43">
              <w:rPr>
                <w:rStyle w:val="Hyperlink"/>
                <w:rFonts w:ascii="Sakkal Majalla" w:eastAsia="Noto Sans Arabic" w:hAnsi="Sakkal Majalla" w:cs="Sakkal Majalla"/>
                <w:noProof/>
                <w:sz w:val="36"/>
                <w:szCs w:val="30"/>
                <w:rtl/>
              </w:rPr>
              <w:t xml:space="preserve"> جاهزية البيانات:</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_Toc235465322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12</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3" w:history="1">
            <w:r w:rsidRPr="00A55B43">
              <w:rPr>
                <w:rStyle w:val="Hyperlink"/>
                <w:rFonts w:ascii="Sakkal Majalla" w:eastAsia="Noto Sans Arabic" w:hAnsi="Sakkal Majalla" w:cs="Sakkal Majalla"/>
                <w:noProof/>
                <w:sz w:val="36"/>
                <w:szCs w:val="30"/>
              </w:rPr>
              <w:t>2-4-4</w:t>
            </w:r>
            <w:r w:rsidRPr="00A55B43">
              <w:rPr>
                <w:rStyle w:val="Hyperlink"/>
                <w:rFonts w:ascii="Sakkal Majalla" w:eastAsia="Noto Sans Arabic" w:hAnsi="Sakkal Majalla" w:cs="Sakkal Majalla"/>
                <w:noProof/>
                <w:sz w:val="36"/>
                <w:szCs w:val="30"/>
                <w:rtl/>
              </w:rPr>
              <w:t xml:space="preserve"> الجاهزية البشرية: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_Toc235465323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13</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4" w:history="1">
            <w:r w:rsidRPr="00A55B43">
              <w:rPr>
                <w:rStyle w:val="Hyperlink"/>
                <w:rFonts w:ascii="Sakkal Majalla" w:eastAsia="Noto Sans Arabic" w:hAnsi="Sakkal Majalla" w:cs="Sakkal Majalla"/>
                <w:noProof/>
                <w:sz w:val="36"/>
                <w:szCs w:val="30"/>
              </w:rPr>
              <w:t>2-4-5</w:t>
            </w:r>
            <w:r w:rsidRPr="00A55B43">
              <w:rPr>
                <w:rStyle w:val="Hyperlink"/>
                <w:rFonts w:ascii="Sakkal Majalla" w:eastAsia="Noto Sans Arabic" w:hAnsi="Sakkal Majalla" w:cs="Sakkal Majalla"/>
                <w:noProof/>
                <w:sz w:val="36"/>
                <w:szCs w:val="30"/>
                <w:rtl/>
              </w:rPr>
              <w:t xml:space="preserve"> الجاهزية القيادية والحوكمية: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_Toc235465324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14</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25" w:history="1">
            <w:r w:rsidRPr="00A55B43">
              <w:rPr>
                <w:rStyle w:val="Hyperlink"/>
                <w:rFonts w:ascii="Sakkal Majalla" w:eastAsia="Noto Sans Arabic" w:hAnsi="Sakkal Majalla" w:cs="Sakkal Majalla"/>
                <w:noProof/>
                <w:sz w:val="36"/>
                <w:szCs w:val="30"/>
              </w:rPr>
              <w:t>2-5</w:t>
            </w:r>
            <w:r w:rsidRPr="00A55B43">
              <w:rPr>
                <w:rStyle w:val="Hyperlink"/>
                <w:rFonts w:ascii="Sakkal Majalla" w:eastAsia="Noto Sans Arabic" w:hAnsi="Sakkal Majalla" w:cs="Sakkal Majalla"/>
                <w:noProof/>
                <w:sz w:val="36"/>
                <w:szCs w:val="30"/>
                <w:rtl/>
              </w:rPr>
              <w:t xml:space="preserve"> نماذج تفسير تبنّي الذكاء الاصطناعي:</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_Toc235465325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15</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6" w:history="1">
            <w:r w:rsidRPr="00A55B43">
              <w:rPr>
                <w:rStyle w:val="Hyperlink"/>
                <w:rFonts w:ascii="Sakkal Majalla" w:eastAsia="Noto Sans Arabic" w:hAnsi="Sakkal Majalla" w:cs="Sakkal Majalla"/>
                <w:noProof/>
                <w:sz w:val="36"/>
                <w:szCs w:val="30"/>
              </w:rPr>
              <w:t>2-5-1</w:t>
            </w:r>
            <w:r w:rsidRPr="00A55B43">
              <w:rPr>
                <w:rStyle w:val="Hyperlink"/>
                <w:rFonts w:ascii="Sakkal Majalla" w:eastAsia="Noto Sans Arabic" w:hAnsi="Sakkal Majalla" w:cs="Sakkal Majalla"/>
                <w:noProof/>
                <w:sz w:val="36"/>
                <w:szCs w:val="30"/>
                <w:rtl/>
              </w:rPr>
              <w:t xml:space="preserve"> إطار التكنولوجيا-المنظمة-البيئة: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_Toc235465326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15</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7" w:history="1">
            <w:r w:rsidRPr="00A55B43">
              <w:rPr>
                <w:rStyle w:val="Hyperlink"/>
                <w:rFonts w:ascii="Sakkal Majalla" w:eastAsia="Noto Sans Arabic" w:hAnsi="Sakkal Majalla" w:cs="Sakkal Majalla"/>
                <w:noProof/>
                <w:sz w:val="36"/>
                <w:szCs w:val="30"/>
              </w:rPr>
              <w:t>2-5-2</w:t>
            </w:r>
            <w:r w:rsidRPr="00A55B43">
              <w:rPr>
                <w:rStyle w:val="Hyperlink"/>
                <w:rFonts w:ascii="Sakkal Majalla" w:eastAsia="Noto Sans Arabic" w:hAnsi="Sakkal Majalla" w:cs="Sakkal Majalla"/>
                <w:noProof/>
                <w:sz w:val="36"/>
                <w:szCs w:val="30"/>
                <w:rtl/>
              </w:rPr>
              <w:t xml:space="preserve"> المنظور القائم على الموارد والقدرات:</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_Toc235465327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15</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8" w:history="1">
            <w:r w:rsidRPr="00A55B43">
              <w:rPr>
                <w:rStyle w:val="Hyperlink"/>
                <w:rFonts w:ascii="Sakkal Majalla" w:eastAsia="Noto Sans Arabic" w:hAnsi="Sakkal Majalla" w:cs="Sakkal Majalla"/>
                <w:noProof/>
                <w:sz w:val="36"/>
                <w:szCs w:val="30"/>
              </w:rPr>
              <w:t>2-5-3</w:t>
            </w:r>
            <w:r w:rsidRPr="00A55B43">
              <w:rPr>
                <w:rStyle w:val="Hyperlink"/>
                <w:rFonts w:ascii="Sakkal Majalla" w:eastAsia="Noto Sans Arabic" w:hAnsi="Sakkal Majalla" w:cs="Sakkal Majalla"/>
                <w:noProof/>
                <w:sz w:val="36"/>
                <w:szCs w:val="30"/>
                <w:rtl/>
              </w:rPr>
              <w:t xml:space="preserve"> منظور القدرات الديناميكية: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_Toc235465328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16</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29" w:history="1">
            <w:r w:rsidRPr="00A55B43">
              <w:rPr>
                <w:rStyle w:val="Hyperlink"/>
                <w:rFonts w:ascii="Sakkal Majalla" w:eastAsia="Noto Sans Arabic" w:hAnsi="Sakkal Majalla" w:cs="Sakkal Majalla"/>
                <w:noProof/>
                <w:sz w:val="36"/>
                <w:szCs w:val="30"/>
              </w:rPr>
              <w:t>2-5-4</w:t>
            </w:r>
            <w:r w:rsidRPr="00A55B43">
              <w:rPr>
                <w:rStyle w:val="Hyperlink"/>
                <w:rFonts w:ascii="Sakkal Majalla" w:eastAsia="Noto Sans Arabic" w:hAnsi="Sakkal Majalla" w:cs="Sakkal Majalla"/>
                <w:noProof/>
                <w:sz w:val="36"/>
                <w:szCs w:val="30"/>
                <w:rtl/>
              </w:rPr>
              <w:t xml:space="preserve"> المنظور القائم على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_Toc235465329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16</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30" w:history="1">
            <w:r w:rsidRPr="00A55B43">
              <w:rPr>
                <w:rStyle w:val="Hyperlink"/>
                <w:rFonts w:ascii="Sakkal Majalla" w:eastAsia="Noto Sans Arabic" w:hAnsi="Sakkal Majalla" w:cs="Sakkal Majalla"/>
                <w:noProof/>
                <w:sz w:val="36"/>
                <w:szCs w:val="30"/>
              </w:rPr>
              <w:t>2-6</w:t>
            </w:r>
            <w:r w:rsidRPr="00A55B43">
              <w:rPr>
                <w:rStyle w:val="Hyperlink"/>
                <w:rFonts w:ascii="Sakkal Majalla" w:eastAsia="Noto Sans Arabic" w:hAnsi="Sakkal Majalla" w:cs="Sakkal Majalla"/>
                <w:noProof/>
                <w:sz w:val="36"/>
                <w:szCs w:val="30"/>
                <w:rtl/>
              </w:rPr>
              <w:t xml:space="preserve"> قدرات إدارة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_Toc235465330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17</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1" w:history="1">
            <w:r w:rsidRPr="00A55B43">
              <w:rPr>
                <w:rStyle w:val="Hyperlink"/>
                <w:rFonts w:ascii="Sakkal Majalla" w:eastAsia="Noto Sans Arabic" w:hAnsi="Sakkal Majalla" w:cs="Sakkal Majalla"/>
                <w:noProof/>
                <w:sz w:val="36"/>
                <w:szCs w:val="30"/>
              </w:rPr>
              <w:t>2-6-1</w:t>
            </w:r>
            <w:r w:rsidRPr="00A55B43">
              <w:rPr>
                <w:rStyle w:val="Hyperlink"/>
                <w:rFonts w:ascii="Sakkal Majalla" w:eastAsia="Noto Sans Arabic" w:hAnsi="Sakkal Majalla" w:cs="Sakkal Majalla"/>
                <w:noProof/>
                <w:sz w:val="36"/>
                <w:szCs w:val="30"/>
                <w:rtl/>
              </w:rPr>
              <w:t xml:space="preserve"> مفهوم إدارة المعرفة وقدراتها:</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_Toc235465331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17</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2" w:history="1">
            <w:r w:rsidRPr="00A55B43">
              <w:rPr>
                <w:rStyle w:val="Hyperlink"/>
                <w:rFonts w:ascii="Sakkal Majalla" w:eastAsia="Noto Sans Arabic" w:hAnsi="Sakkal Majalla" w:cs="Sakkal Majalla"/>
                <w:noProof/>
                <w:sz w:val="36"/>
                <w:szCs w:val="30"/>
              </w:rPr>
              <w:t>2-6-2</w:t>
            </w:r>
            <w:r w:rsidRPr="00A55B43">
              <w:rPr>
                <w:rStyle w:val="Hyperlink"/>
                <w:rFonts w:ascii="Sakkal Majalla" w:eastAsia="Noto Sans Arabic" w:hAnsi="Sakkal Majalla" w:cs="Sakkal Majalla"/>
                <w:noProof/>
                <w:sz w:val="36"/>
                <w:szCs w:val="30"/>
                <w:rtl/>
              </w:rPr>
              <w:t xml:space="preserve"> خصائص إدارة المعرفة في المشروعات الصغيرة والمتوسطة: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_Toc235465332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18</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3" w:history="1">
            <w:r w:rsidRPr="00A55B43">
              <w:rPr>
                <w:rStyle w:val="Hyperlink"/>
                <w:rFonts w:ascii="Sakkal Majalla" w:eastAsia="Noto Sans Arabic" w:hAnsi="Sakkal Majalla" w:cs="Sakkal Majalla"/>
                <w:noProof/>
                <w:sz w:val="36"/>
                <w:szCs w:val="30"/>
              </w:rPr>
              <w:t>2-6-3</w:t>
            </w:r>
            <w:r w:rsidRPr="00A55B43">
              <w:rPr>
                <w:rStyle w:val="Hyperlink"/>
                <w:rFonts w:ascii="Sakkal Majalla" w:eastAsia="Noto Sans Arabic" w:hAnsi="Sakkal Majalla" w:cs="Sakkal Majalla"/>
                <w:noProof/>
                <w:sz w:val="36"/>
                <w:szCs w:val="30"/>
                <w:rtl/>
              </w:rPr>
              <w:t xml:space="preserve"> اكتساب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_Toc235465333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18</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4" w:history="1">
            <w:r w:rsidRPr="00A55B43">
              <w:rPr>
                <w:rStyle w:val="Hyperlink"/>
                <w:rFonts w:ascii="Sakkal Majalla" w:eastAsia="Noto Sans Arabic" w:hAnsi="Sakkal Majalla" w:cs="Sakkal Majalla"/>
                <w:noProof/>
                <w:sz w:val="36"/>
                <w:szCs w:val="30"/>
              </w:rPr>
              <w:t>2-6-4</w:t>
            </w:r>
            <w:r w:rsidRPr="00A55B43">
              <w:rPr>
                <w:rStyle w:val="Hyperlink"/>
                <w:rFonts w:ascii="Sakkal Majalla" w:eastAsia="Noto Sans Arabic" w:hAnsi="Sakkal Majalla" w:cs="Sakkal Majalla"/>
                <w:noProof/>
                <w:sz w:val="36"/>
                <w:szCs w:val="30"/>
                <w:rtl/>
              </w:rPr>
              <w:t xml:space="preserve"> تخزين المعرفة وتنظيمها:</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_Toc235465334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19</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5" w:history="1">
            <w:r w:rsidRPr="00A55B43">
              <w:rPr>
                <w:rStyle w:val="Hyperlink"/>
                <w:rFonts w:ascii="Sakkal Majalla" w:eastAsia="Noto Sans Arabic" w:hAnsi="Sakkal Majalla" w:cs="Sakkal Majalla"/>
                <w:noProof/>
                <w:sz w:val="36"/>
                <w:szCs w:val="30"/>
              </w:rPr>
              <w:t>2-6-5</w:t>
            </w:r>
            <w:r w:rsidRPr="00A55B43">
              <w:rPr>
                <w:rStyle w:val="Hyperlink"/>
                <w:rFonts w:ascii="Sakkal Majalla" w:eastAsia="Noto Sans Arabic" w:hAnsi="Sakkal Majalla" w:cs="Sakkal Majalla"/>
                <w:noProof/>
                <w:sz w:val="36"/>
                <w:szCs w:val="30"/>
                <w:rtl/>
              </w:rPr>
              <w:t xml:space="preserve"> مشاركة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_Toc235465335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19</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6" w:history="1">
            <w:r w:rsidRPr="00A55B43">
              <w:rPr>
                <w:rStyle w:val="Hyperlink"/>
                <w:rFonts w:ascii="Sakkal Majalla" w:eastAsia="Noto Sans Arabic" w:hAnsi="Sakkal Majalla" w:cs="Sakkal Majalla"/>
                <w:noProof/>
                <w:sz w:val="36"/>
                <w:szCs w:val="30"/>
              </w:rPr>
              <w:t>2-6-6</w:t>
            </w:r>
            <w:r w:rsidRPr="00A55B43">
              <w:rPr>
                <w:rStyle w:val="Hyperlink"/>
                <w:rFonts w:ascii="Sakkal Majalla" w:eastAsia="Noto Sans Arabic" w:hAnsi="Sakkal Majalla" w:cs="Sakkal Majalla"/>
                <w:noProof/>
                <w:sz w:val="36"/>
                <w:szCs w:val="30"/>
                <w:rtl/>
              </w:rPr>
              <w:t xml:space="preserve"> تطبيق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_Toc235465336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20</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7" w:history="1">
            <w:r w:rsidRPr="00A55B43">
              <w:rPr>
                <w:rStyle w:val="Hyperlink"/>
                <w:rFonts w:ascii="Sakkal Majalla" w:eastAsia="Noto Sans Arabic" w:hAnsi="Sakkal Majalla" w:cs="Sakkal Majalla"/>
                <w:noProof/>
                <w:sz w:val="36"/>
                <w:szCs w:val="30"/>
              </w:rPr>
              <w:t>2-6-7</w:t>
            </w:r>
            <w:r w:rsidRPr="00A55B43">
              <w:rPr>
                <w:rStyle w:val="Hyperlink"/>
                <w:rFonts w:ascii="Sakkal Majalla" w:eastAsia="Noto Sans Arabic" w:hAnsi="Sakkal Majalla" w:cs="Sakkal Majalla"/>
                <w:noProof/>
                <w:sz w:val="36"/>
                <w:szCs w:val="30"/>
                <w:rtl/>
              </w:rPr>
              <w:t xml:space="preserve"> العلاقة بين الذكاء الاصطناعي وإدارة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_Toc235465337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21</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38" w:history="1">
            <w:r w:rsidRPr="00A55B43">
              <w:rPr>
                <w:rStyle w:val="Hyperlink"/>
                <w:rFonts w:ascii="Sakkal Majalla" w:eastAsia="Noto Sans Arabic" w:hAnsi="Sakkal Majalla" w:cs="Sakkal Majalla"/>
                <w:noProof/>
                <w:sz w:val="36"/>
                <w:szCs w:val="30"/>
              </w:rPr>
              <w:t>2-7</w:t>
            </w:r>
            <w:r w:rsidRPr="00A55B43">
              <w:rPr>
                <w:rStyle w:val="Hyperlink"/>
                <w:rFonts w:ascii="Sakkal Majalla" w:eastAsia="Noto Sans Arabic" w:hAnsi="Sakkal Majalla" w:cs="Sakkal Majalla"/>
                <w:noProof/>
                <w:sz w:val="36"/>
                <w:szCs w:val="30"/>
                <w:rtl/>
              </w:rPr>
              <w:t xml:space="preserve"> المرونة الاستراتيجية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_Toc235465338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22</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39" w:history="1">
            <w:r w:rsidRPr="00A55B43">
              <w:rPr>
                <w:rStyle w:val="Hyperlink"/>
                <w:rFonts w:ascii="Sakkal Majalla" w:eastAsia="Noto Sans Arabic" w:hAnsi="Sakkal Majalla" w:cs="Sakkal Majalla"/>
                <w:noProof/>
                <w:sz w:val="36"/>
                <w:szCs w:val="30"/>
              </w:rPr>
              <w:t>2-7-1</w:t>
            </w:r>
            <w:r w:rsidRPr="00A55B43">
              <w:rPr>
                <w:rStyle w:val="Hyperlink"/>
                <w:rFonts w:ascii="Sakkal Majalla" w:eastAsia="Noto Sans Arabic" w:hAnsi="Sakkal Majalla" w:cs="Sakkal Majalla"/>
                <w:noProof/>
                <w:sz w:val="36"/>
                <w:szCs w:val="30"/>
                <w:rtl/>
              </w:rPr>
              <w:t xml:space="preserve"> المفهوم والتمييز عن المفاهيم القريبة: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_Toc235465339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22</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0" w:history="1">
            <w:r w:rsidRPr="00A55B43">
              <w:rPr>
                <w:rStyle w:val="Hyperlink"/>
                <w:rFonts w:ascii="Sakkal Majalla" w:eastAsia="Noto Sans Arabic" w:hAnsi="Sakkal Majalla" w:cs="Sakkal Majalla"/>
                <w:noProof/>
                <w:sz w:val="36"/>
                <w:szCs w:val="30"/>
              </w:rPr>
              <w:t>2-7-2</w:t>
            </w:r>
            <w:r w:rsidRPr="00A55B43">
              <w:rPr>
                <w:rStyle w:val="Hyperlink"/>
                <w:rFonts w:ascii="Sakkal Majalla" w:eastAsia="Noto Sans Arabic" w:hAnsi="Sakkal Majalla" w:cs="Sakkal Majalla"/>
                <w:noProof/>
                <w:sz w:val="36"/>
                <w:szCs w:val="30"/>
                <w:rtl/>
              </w:rPr>
              <w:t xml:space="preserve"> مرونة السوق:</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_Toc235465340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22</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1" w:history="1">
            <w:r w:rsidRPr="00A55B43">
              <w:rPr>
                <w:rStyle w:val="Hyperlink"/>
                <w:rFonts w:ascii="Sakkal Majalla" w:eastAsia="Noto Sans Arabic" w:hAnsi="Sakkal Majalla" w:cs="Sakkal Majalla"/>
                <w:noProof/>
                <w:sz w:val="36"/>
                <w:szCs w:val="30"/>
              </w:rPr>
              <w:t>2-7-3</w:t>
            </w:r>
            <w:r w:rsidRPr="00A55B43">
              <w:rPr>
                <w:rStyle w:val="Hyperlink"/>
                <w:rFonts w:ascii="Sakkal Majalla" w:eastAsia="Noto Sans Arabic" w:hAnsi="Sakkal Majalla" w:cs="Sakkal Majalla"/>
                <w:noProof/>
                <w:sz w:val="36"/>
                <w:szCs w:val="30"/>
                <w:rtl/>
              </w:rPr>
              <w:t xml:space="preserve"> مرونة الموارد والعمليات:</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_Toc235465341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23</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2" w:history="1">
            <w:r w:rsidRPr="00A55B43">
              <w:rPr>
                <w:rStyle w:val="Hyperlink"/>
                <w:rFonts w:ascii="Sakkal Majalla" w:eastAsia="Noto Sans Arabic" w:hAnsi="Sakkal Majalla" w:cs="Sakkal Majalla"/>
                <w:noProof/>
                <w:sz w:val="36"/>
                <w:szCs w:val="30"/>
              </w:rPr>
              <w:t>2-7-4</w:t>
            </w:r>
            <w:r w:rsidRPr="00A55B43">
              <w:rPr>
                <w:rStyle w:val="Hyperlink"/>
                <w:rFonts w:ascii="Sakkal Majalla" w:eastAsia="Noto Sans Arabic" w:hAnsi="Sakkal Majalla" w:cs="Sakkal Majalla"/>
                <w:noProof/>
                <w:sz w:val="36"/>
                <w:szCs w:val="30"/>
                <w:rtl/>
              </w:rPr>
              <w:t xml:space="preserve"> مرونة الاستجابة التنافسية:</w:t>
            </w:r>
            <w:bookmarkStart w:id="0" w:name="_GoBack"/>
            <w:bookmarkEnd w:id="0"/>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_Toc235465342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23</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43" w:history="1">
            <w:r w:rsidRPr="00A55B43">
              <w:rPr>
                <w:rStyle w:val="Hyperlink"/>
                <w:rFonts w:ascii="Sakkal Majalla" w:eastAsia="Noto Sans Arabic" w:hAnsi="Sakkal Majalla" w:cs="Sakkal Majalla"/>
                <w:noProof/>
                <w:sz w:val="36"/>
                <w:szCs w:val="30"/>
              </w:rPr>
              <w:t>2-8</w:t>
            </w:r>
            <w:r w:rsidRPr="00A55B43">
              <w:rPr>
                <w:rStyle w:val="Hyperlink"/>
                <w:rFonts w:ascii="Sakkal Majalla" w:eastAsia="Noto Sans Arabic" w:hAnsi="Sakkal Majalla" w:cs="Sakkal Majalla"/>
                <w:noProof/>
                <w:sz w:val="36"/>
                <w:szCs w:val="30"/>
                <w:rtl/>
              </w:rPr>
              <w:t xml:space="preserve"> العلاقات النظرية بين متغيرات الدراسة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_Toc235465343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24</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4" w:history="1">
            <w:r w:rsidRPr="00A55B43">
              <w:rPr>
                <w:rStyle w:val="Hyperlink"/>
                <w:rFonts w:ascii="Sakkal Majalla" w:eastAsia="Noto Sans Arabic" w:hAnsi="Sakkal Majalla" w:cs="Sakkal Majalla"/>
                <w:noProof/>
                <w:sz w:val="36"/>
                <w:szCs w:val="30"/>
              </w:rPr>
              <w:t>2-8-1</w:t>
            </w:r>
            <w:r w:rsidRPr="00A55B43">
              <w:rPr>
                <w:rStyle w:val="Hyperlink"/>
                <w:rFonts w:ascii="Sakkal Majalla" w:eastAsia="Noto Sans Arabic" w:hAnsi="Sakkal Majalla" w:cs="Sakkal Majalla"/>
                <w:noProof/>
                <w:sz w:val="36"/>
                <w:szCs w:val="30"/>
                <w:rtl/>
              </w:rPr>
              <w:t xml:space="preserve"> أثر الجاهزية في قدرات إدارة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_Toc235465344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24</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5" w:history="1">
            <w:r w:rsidRPr="00A55B43">
              <w:rPr>
                <w:rStyle w:val="Hyperlink"/>
                <w:rFonts w:ascii="Sakkal Majalla" w:eastAsia="Noto Sans Arabic" w:hAnsi="Sakkal Majalla" w:cs="Sakkal Majalla"/>
                <w:noProof/>
                <w:sz w:val="36"/>
                <w:szCs w:val="30"/>
              </w:rPr>
              <w:t>2-8-2</w:t>
            </w:r>
            <w:r w:rsidRPr="00A55B43">
              <w:rPr>
                <w:rStyle w:val="Hyperlink"/>
                <w:rFonts w:ascii="Sakkal Majalla" w:eastAsia="Noto Sans Arabic" w:hAnsi="Sakkal Majalla" w:cs="Sakkal Majalla"/>
                <w:noProof/>
                <w:sz w:val="36"/>
                <w:szCs w:val="30"/>
                <w:rtl/>
              </w:rPr>
              <w:t xml:space="preserve"> أثر قدرات إدارة المعرفة في المرونة الاستراتيجية: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_Toc235465345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24</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6" w:history="1">
            <w:r w:rsidRPr="00A55B43">
              <w:rPr>
                <w:rStyle w:val="Hyperlink"/>
                <w:rFonts w:ascii="Sakkal Majalla" w:eastAsia="Noto Sans Arabic" w:hAnsi="Sakkal Majalla" w:cs="Sakkal Majalla"/>
                <w:noProof/>
                <w:sz w:val="36"/>
                <w:szCs w:val="30"/>
              </w:rPr>
              <w:t>2-8-3</w:t>
            </w:r>
            <w:r w:rsidRPr="00A55B43">
              <w:rPr>
                <w:rStyle w:val="Hyperlink"/>
                <w:rFonts w:ascii="Sakkal Majalla" w:eastAsia="Noto Sans Arabic" w:hAnsi="Sakkal Majalla" w:cs="Sakkal Majalla"/>
                <w:noProof/>
                <w:sz w:val="36"/>
                <w:szCs w:val="30"/>
                <w:rtl/>
              </w:rPr>
              <w:t xml:space="preserve"> الأثر المباشر للجاهزية في المرونة: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_Toc235465346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25</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7" w:history="1">
            <w:r w:rsidRPr="00A55B43">
              <w:rPr>
                <w:rStyle w:val="Hyperlink"/>
                <w:rFonts w:ascii="Sakkal Majalla" w:eastAsia="Noto Sans Arabic" w:hAnsi="Sakkal Majalla" w:cs="Sakkal Majalla"/>
                <w:noProof/>
                <w:sz w:val="36"/>
                <w:szCs w:val="30"/>
              </w:rPr>
              <w:t>2-8-4</w:t>
            </w:r>
            <w:r w:rsidRPr="00A55B43">
              <w:rPr>
                <w:rStyle w:val="Hyperlink"/>
                <w:rFonts w:ascii="Sakkal Majalla" w:eastAsia="Noto Sans Arabic" w:hAnsi="Sakkal Majalla" w:cs="Sakkal Majalla"/>
                <w:noProof/>
                <w:sz w:val="36"/>
                <w:szCs w:val="30"/>
                <w:rtl/>
              </w:rPr>
              <w:t xml:space="preserve"> الدور الوسيط لقدرات إدارة المعرفة: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_Toc235465347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25</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48" w:history="1">
            <w:r w:rsidRPr="00A55B43">
              <w:rPr>
                <w:rStyle w:val="Hyperlink"/>
                <w:rFonts w:ascii="Sakkal Majalla" w:eastAsia="Noto Sans Arabic" w:hAnsi="Sakkal Majalla" w:cs="Sakkal Majalla"/>
                <w:noProof/>
                <w:sz w:val="36"/>
                <w:szCs w:val="30"/>
              </w:rPr>
              <w:t>2-9</w:t>
            </w:r>
            <w:r w:rsidRPr="00A55B43">
              <w:rPr>
                <w:rStyle w:val="Hyperlink"/>
                <w:rFonts w:ascii="Sakkal Majalla" w:eastAsia="Noto Sans Arabic" w:hAnsi="Sakkal Majalla" w:cs="Sakkal Majalla"/>
                <w:noProof/>
                <w:sz w:val="36"/>
                <w:szCs w:val="30"/>
                <w:rtl/>
              </w:rPr>
              <w:t xml:space="preserve"> الدراسات السابقة :</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_Toc235465348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26</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49" w:history="1">
            <w:r w:rsidRPr="00A55B43">
              <w:rPr>
                <w:rStyle w:val="Hyperlink"/>
                <w:rFonts w:ascii="Sakkal Majalla" w:eastAsia="Noto Sans Arabic" w:hAnsi="Sakkal Majalla" w:cs="Sakkal Majalla"/>
                <w:noProof/>
                <w:sz w:val="36"/>
                <w:szCs w:val="30"/>
              </w:rPr>
              <w:t>2-9-1</w:t>
            </w:r>
            <w:r w:rsidRPr="00A55B43">
              <w:rPr>
                <w:rStyle w:val="Hyperlink"/>
                <w:rFonts w:ascii="Sakkal Majalla" w:eastAsia="Noto Sans Arabic" w:hAnsi="Sakkal Majalla" w:cs="Sakkal Majalla"/>
                <w:noProof/>
                <w:sz w:val="36"/>
                <w:szCs w:val="30"/>
                <w:rtl/>
              </w:rPr>
              <w:t xml:space="preserve"> أولًا: الدراسات العربية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_Toc235465349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26</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50" w:history="1">
            <w:r w:rsidRPr="00A55B43">
              <w:rPr>
                <w:rStyle w:val="Hyperlink"/>
                <w:rFonts w:ascii="Sakkal Majalla" w:eastAsia="Noto Sans Arabic" w:hAnsi="Sakkal Majalla" w:cs="Sakkal Majalla"/>
                <w:noProof/>
                <w:sz w:val="36"/>
                <w:szCs w:val="30"/>
              </w:rPr>
              <w:t>2-9-2</w:t>
            </w:r>
            <w:r w:rsidRPr="00A55B43">
              <w:rPr>
                <w:rStyle w:val="Hyperlink"/>
                <w:rFonts w:ascii="Sakkal Majalla" w:eastAsia="Noto Sans Arabic" w:hAnsi="Sakkal Majalla" w:cs="Sakkal Majalla"/>
                <w:noProof/>
                <w:sz w:val="36"/>
                <w:szCs w:val="30"/>
                <w:rtl/>
              </w:rPr>
              <w:t xml:space="preserve"> ثانيًا: الدراسات الأجنبية: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_Toc235465350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29</w:t>
            </w:r>
            <w:r w:rsidRPr="00A55B43">
              <w:rPr>
                <w:noProof/>
                <w:webHidden/>
                <w:sz w:val="36"/>
                <w:szCs w:val="30"/>
              </w:rPr>
              <w:fldChar w:fldCharType="end"/>
            </w:r>
          </w:hyperlink>
        </w:p>
        <w:p w:rsidR="001B44E9" w:rsidRPr="00A55B43" w:rsidRDefault="001B44E9" w:rsidP="001B44E9">
          <w:pPr>
            <w:pStyle w:val="25"/>
            <w:bidi/>
            <w:spacing w:after="0" w:line="240" w:lineRule="auto"/>
            <w:rPr>
              <w:rFonts w:asciiTheme="minorHAnsi" w:hAnsiTheme="minorHAnsi" w:cstheme="minorBidi"/>
              <w:noProof/>
              <w:sz w:val="30"/>
              <w:szCs w:val="30"/>
            </w:rPr>
          </w:pPr>
          <w:hyperlink w:anchor="_Toc235465351" w:history="1">
            <w:r w:rsidRPr="00A55B43">
              <w:rPr>
                <w:rStyle w:val="Hyperlink"/>
                <w:rFonts w:ascii="Sakkal Majalla" w:eastAsia="Noto Sans Arabic" w:hAnsi="Sakkal Majalla" w:cs="Sakkal Majalla"/>
                <w:noProof/>
                <w:sz w:val="36"/>
                <w:szCs w:val="30"/>
              </w:rPr>
              <w:t>2-9-3</w:t>
            </w:r>
            <w:r w:rsidRPr="00A55B43">
              <w:rPr>
                <w:rStyle w:val="Hyperlink"/>
                <w:rFonts w:ascii="Sakkal Majalla" w:eastAsia="Noto Sans Arabic" w:hAnsi="Sakkal Majalla" w:cs="Sakkal Majalla"/>
                <w:noProof/>
                <w:sz w:val="36"/>
                <w:szCs w:val="30"/>
                <w:rtl/>
              </w:rPr>
              <w:t xml:space="preserve"> التعقيب على الدراسات السابقة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_Toc235465351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32</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52" w:history="1">
            <w:r w:rsidRPr="00A55B43">
              <w:rPr>
                <w:rStyle w:val="Hyperlink"/>
                <w:rFonts w:ascii="Sakkal Majalla" w:eastAsia="Noto Sans Arabic" w:hAnsi="Sakkal Majalla" w:cs="Sakkal Majalla"/>
                <w:noProof/>
                <w:sz w:val="36"/>
                <w:szCs w:val="30"/>
              </w:rPr>
              <w:t>2-10</w:t>
            </w:r>
            <w:r w:rsidRPr="00A55B43">
              <w:rPr>
                <w:rStyle w:val="Hyperlink"/>
                <w:rFonts w:ascii="Sakkal Majalla" w:eastAsia="Noto Sans Arabic" w:hAnsi="Sakkal Majalla" w:cs="Sakkal Majalla"/>
                <w:noProof/>
                <w:sz w:val="36"/>
                <w:szCs w:val="30"/>
                <w:rtl/>
              </w:rPr>
              <w:t xml:space="preserve"> الفجوة البحثية والإضافة المتوقعة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_Toc235465352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33</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53" w:history="1">
            <w:r w:rsidRPr="00A55B43">
              <w:rPr>
                <w:rStyle w:val="Hyperlink"/>
                <w:rFonts w:ascii="Sakkal Majalla" w:eastAsia="Noto Sans Arabic" w:hAnsi="Sakkal Majalla" w:cs="Sakkal Majalla"/>
                <w:noProof/>
                <w:sz w:val="36"/>
                <w:szCs w:val="30"/>
              </w:rPr>
              <w:t>2-11</w:t>
            </w:r>
            <w:r w:rsidRPr="00A55B43">
              <w:rPr>
                <w:rStyle w:val="Hyperlink"/>
                <w:rFonts w:ascii="Sakkal Majalla" w:eastAsia="Noto Sans Arabic" w:hAnsi="Sakkal Majalla" w:cs="Sakkal Majalla"/>
                <w:noProof/>
                <w:sz w:val="36"/>
                <w:szCs w:val="30"/>
                <w:rtl/>
              </w:rPr>
              <w:t xml:space="preserve"> الأساس النظري للفرضيات</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_Toc235465353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34</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54" w:history="1">
            <w:r w:rsidRPr="00A55B43">
              <w:rPr>
                <w:rStyle w:val="Hyperlink"/>
                <w:rFonts w:ascii="Sakkal Majalla" w:eastAsia="Noto Sans Arabic" w:hAnsi="Sakkal Majalla" w:cs="Sakkal Majalla"/>
                <w:noProof/>
                <w:sz w:val="36"/>
                <w:szCs w:val="30"/>
              </w:rPr>
              <w:t>2-12</w:t>
            </w:r>
            <w:r w:rsidRPr="00A55B43">
              <w:rPr>
                <w:rStyle w:val="Hyperlink"/>
                <w:rFonts w:ascii="Sakkal Majalla" w:eastAsia="Noto Sans Arabic" w:hAnsi="Sakkal Majalla" w:cs="Sakkal Majalla"/>
                <w:noProof/>
                <w:sz w:val="36"/>
                <w:szCs w:val="30"/>
                <w:rtl/>
              </w:rPr>
              <w:t xml:space="preserve"> خلاصة الفصل :</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_Toc235465354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35</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55" w:history="1">
            <w:r w:rsidRPr="00A55B43">
              <w:rPr>
                <w:rStyle w:val="Hyperlink"/>
                <w:rFonts w:ascii="Sakkal Majalla" w:eastAsia="Noto Sans Arabic" w:hAnsi="Sakkal Majalla" w:cs="Sakkal Majalla"/>
                <w:noProof/>
                <w:sz w:val="36"/>
                <w:szCs w:val="30"/>
                <w:rtl/>
              </w:rPr>
              <w:t>قائمة المراجع :</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_Toc235465355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36</w:t>
            </w:r>
            <w:r w:rsidRPr="00A55B43">
              <w:rPr>
                <w:noProof/>
                <w:webHidden/>
                <w:sz w:val="36"/>
                <w:szCs w:val="30"/>
              </w:rPr>
              <w:fldChar w:fldCharType="end"/>
            </w:r>
          </w:hyperlink>
        </w:p>
        <w:p w:rsidR="001B44E9" w:rsidRPr="00A55B43" w:rsidRDefault="001B44E9" w:rsidP="001B44E9">
          <w:pPr>
            <w:pStyle w:val="10"/>
            <w:bidi/>
            <w:spacing w:after="0" w:line="240" w:lineRule="auto"/>
            <w:rPr>
              <w:rFonts w:asciiTheme="minorHAnsi" w:hAnsiTheme="minorHAnsi" w:cstheme="minorBidi"/>
              <w:noProof/>
              <w:sz w:val="30"/>
              <w:szCs w:val="30"/>
            </w:rPr>
          </w:pPr>
          <w:hyperlink w:anchor="_Toc235465356" w:history="1">
            <w:r w:rsidRPr="00A55B43">
              <w:rPr>
                <w:rStyle w:val="Hyperlink"/>
                <w:rFonts w:ascii="Sakkal Majalla" w:eastAsia="Noto Sans Arabic" w:hAnsi="Sakkal Majalla" w:cs="Sakkal Majalla"/>
                <w:noProof/>
                <w:sz w:val="36"/>
                <w:szCs w:val="30"/>
                <w:rtl/>
              </w:rPr>
              <w:t>أولًا: المراجع العربية: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_Toc235465356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37</w:t>
            </w:r>
            <w:r w:rsidRPr="00A55B43">
              <w:rPr>
                <w:noProof/>
                <w:webHidden/>
                <w:sz w:val="36"/>
                <w:szCs w:val="30"/>
              </w:rPr>
              <w:fldChar w:fldCharType="end"/>
            </w:r>
          </w:hyperlink>
        </w:p>
        <w:p w:rsidR="001B44E9" w:rsidRDefault="001B44E9" w:rsidP="001B44E9">
          <w:pPr>
            <w:pStyle w:val="10"/>
            <w:bidi/>
            <w:spacing w:after="0" w:line="240" w:lineRule="auto"/>
            <w:rPr>
              <w:rFonts w:asciiTheme="minorHAnsi" w:hAnsiTheme="minorHAnsi" w:cstheme="minorBidi"/>
              <w:noProof/>
              <w:sz w:val="22"/>
            </w:rPr>
          </w:pPr>
          <w:hyperlink w:anchor="_Toc235465357" w:history="1">
            <w:r w:rsidRPr="00A55B43">
              <w:rPr>
                <w:rStyle w:val="Hyperlink"/>
                <w:rFonts w:ascii="Sakkal Majalla" w:eastAsia="Noto Sans Arabic" w:hAnsi="Sakkal Majalla" w:cs="Sakkal Majalla"/>
                <w:noProof/>
                <w:sz w:val="36"/>
                <w:szCs w:val="30"/>
                <w:rtl/>
              </w:rPr>
              <w:t>ثانيًا: المراجع الأجنبية</w:t>
            </w:r>
            <w:r w:rsidRPr="00A55B43">
              <w:rPr>
                <w:noProof/>
                <w:webHidden/>
                <w:sz w:val="36"/>
                <w:szCs w:val="30"/>
              </w:rPr>
              <w:tab/>
            </w:r>
            <w:r w:rsidRPr="00A55B43">
              <w:rPr>
                <w:noProof/>
                <w:webHidden/>
                <w:sz w:val="36"/>
                <w:szCs w:val="30"/>
              </w:rPr>
              <w:fldChar w:fldCharType="begin"/>
            </w:r>
            <w:r w:rsidRPr="00A55B43">
              <w:rPr>
                <w:noProof/>
                <w:webHidden/>
                <w:sz w:val="36"/>
                <w:szCs w:val="30"/>
              </w:rPr>
              <w:instrText xml:space="preserve"> PAGEREF _Toc235465357 \h </w:instrText>
            </w:r>
            <w:r w:rsidRPr="00A55B43">
              <w:rPr>
                <w:noProof/>
                <w:webHidden/>
                <w:sz w:val="36"/>
                <w:szCs w:val="30"/>
              </w:rPr>
            </w:r>
            <w:r w:rsidRPr="00A55B43">
              <w:rPr>
                <w:rFonts w:hint="eastAsia"/>
                <w:noProof/>
                <w:webHidden/>
                <w:sz w:val="36"/>
                <w:szCs w:val="30"/>
              </w:rPr>
              <w:fldChar w:fldCharType="separate"/>
            </w:r>
            <w:r w:rsidR="00A55B43">
              <w:rPr>
                <w:rFonts w:hint="eastAsia"/>
                <w:noProof/>
                <w:webHidden/>
                <w:sz w:val="36"/>
                <w:szCs w:val="30"/>
                <w:rtl/>
              </w:rPr>
              <w:t>38</w:t>
            </w:r>
            <w:r w:rsidRPr="00A55B43">
              <w:rPr>
                <w:noProof/>
                <w:webHidden/>
                <w:sz w:val="36"/>
                <w:szCs w:val="30"/>
              </w:rPr>
              <w:fldChar w:fldCharType="end"/>
            </w:r>
          </w:hyperlink>
        </w:p>
        <w:p w:rsidR="005931D6" w:rsidRPr="001C6062" w:rsidRDefault="00F93CAA" w:rsidP="00DF3755">
          <w:pPr>
            <w:pStyle w:val="25"/>
            <w:tabs>
              <w:tab w:val="clear" w:pos="8902"/>
              <w:tab w:val="right" w:leader="dot" w:pos="9184"/>
            </w:tabs>
            <w:bidi/>
            <w:spacing w:after="0" w:line="240" w:lineRule="auto"/>
            <w:jc w:val="both"/>
            <w:rPr>
              <w:rFonts w:ascii="Sakkal Majalla" w:hAnsi="Sakkal Majalla" w:cs="Sakkal Majalla"/>
              <w:color w:val="000000" w:themeColor="text1"/>
              <w:sz w:val="36"/>
              <w:szCs w:val="36"/>
            </w:rPr>
          </w:pPr>
          <w:r w:rsidRPr="00DF3755">
            <w:rPr>
              <w:rStyle w:val="IndexLink"/>
              <w:rFonts w:ascii="Sakkal Majalla" w:hAnsi="Sakkal Majalla" w:cs="Sakkal Majalla"/>
              <w:color w:val="000000" w:themeColor="text1"/>
              <w:sz w:val="32"/>
              <w:szCs w:val="32"/>
              <w:rtl/>
            </w:rPr>
            <w:fldChar w:fldCharType="end"/>
          </w:r>
        </w:p>
      </w:sdtContent>
    </w:sdt>
    <w:p w:rsidR="005931D6" w:rsidRPr="001C6062" w:rsidRDefault="00F93CAA" w:rsidP="00765D17">
      <w:pPr>
        <w:bidi/>
        <w:spacing w:after="0" w:line="240" w:lineRule="auto"/>
        <w:jc w:val="both"/>
        <w:rPr>
          <w:rFonts w:ascii="Sakkal Majalla" w:hAnsi="Sakkal Majalla" w:cs="Sakkal Majalla"/>
          <w:color w:val="000000" w:themeColor="text1"/>
          <w:sz w:val="36"/>
          <w:szCs w:val="36"/>
        </w:rPr>
      </w:pPr>
      <w:r>
        <w:rPr>
          <w:rFonts w:ascii="Sakkal Majalla" w:eastAsia="Noto Naskh Arabic" w:hAnsi="Sakkal Majalla" w:cs="Sakkal Majalla" w:hint="cs"/>
          <w:color w:val="000000" w:themeColor="text1"/>
          <w:sz w:val="36"/>
          <w:szCs w:val="36"/>
          <w:rtl/>
        </w:rPr>
        <w:t xml:space="preserve"> </w:t>
      </w:r>
    </w:p>
    <w:p w:rsidR="00F93CAA" w:rsidRDefault="00F93CAA" w:rsidP="00DF3755">
      <w:pPr>
        <w:bidi/>
        <w:spacing w:after="0" w:line="240" w:lineRule="auto"/>
        <w:jc w:val="both"/>
        <w:rPr>
          <w:rFonts w:ascii="Sakkal Majalla" w:hAnsi="Sakkal Majalla" w:cs="Sakkal Majalla"/>
          <w:color w:val="000000" w:themeColor="text1"/>
          <w:sz w:val="36"/>
          <w:szCs w:val="36"/>
          <w:rtl/>
        </w:rPr>
      </w:pPr>
    </w:p>
    <w:p w:rsidR="00F93CAA" w:rsidRDefault="00F93CAA" w:rsidP="00F93CAA">
      <w:pPr>
        <w:bidi/>
        <w:spacing w:after="0" w:line="240" w:lineRule="auto"/>
        <w:jc w:val="both"/>
        <w:rPr>
          <w:rFonts w:ascii="Sakkal Majalla" w:hAnsi="Sakkal Majalla" w:cs="Sakkal Majalla"/>
          <w:color w:val="000000" w:themeColor="text1"/>
          <w:sz w:val="36"/>
          <w:szCs w:val="36"/>
          <w:rtl/>
        </w:rPr>
      </w:pPr>
    </w:p>
    <w:p w:rsidR="00F93CAA" w:rsidRDefault="00F93CAA" w:rsidP="00F93CAA">
      <w:pPr>
        <w:bidi/>
        <w:spacing w:after="0" w:line="240" w:lineRule="auto"/>
        <w:jc w:val="both"/>
        <w:rPr>
          <w:rFonts w:ascii="Sakkal Majalla" w:hAnsi="Sakkal Majalla" w:cs="Sakkal Majalla"/>
          <w:color w:val="000000" w:themeColor="text1"/>
          <w:sz w:val="36"/>
          <w:szCs w:val="36"/>
          <w:rtl/>
        </w:rPr>
      </w:pPr>
    </w:p>
    <w:p w:rsidR="00F93CAA" w:rsidRDefault="00F93CAA" w:rsidP="00F93CAA">
      <w:pPr>
        <w:bidi/>
        <w:spacing w:after="0" w:line="240" w:lineRule="auto"/>
        <w:jc w:val="both"/>
        <w:rPr>
          <w:rFonts w:ascii="Sakkal Majalla" w:hAnsi="Sakkal Majalla" w:cs="Sakkal Majalla"/>
          <w:color w:val="000000" w:themeColor="text1"/>
          <w:sz w:val="36"/>
          <w:szCs w:val="36"/>
          <w:rtl/>
        </w:rPr>
      </w:pPr>
    </w:p>
    <w:p w:rsidR="00F93CAA" w:rsidRDefault="00F93CAA" w:rsidP="00F93CAA">
      <w:pPr>
        <w:bidi/>
        <w:spacing w:after="0" w:line="240" w:lineRule="auto"/>
        <w:jc w:val="both"/>
        <w:rPr>
          <w:rFonts w:ascii="Sakkal Majalla" w:hAnsi="Sakkal Majalla" w:cs="Sakkal Majalla"/>
          <w:color w:val="000000" w:themeColor="text1"/>
          <w:sz w:val="36"/>
          <w:szCs w:val="36"/>
          <w:rtl/>
        </w:rPr>
      </w:pPr>
    </w:p>
    <w:p w:rsidR="00DF3755" w:rsidRDefault="00DF3755" w:rsidP="00DF3755">
      <w:pPr>
        <w:bidi/>
        <w:spacing w:after="0" w:line="240" w:lineRule="auto"/>
        <w:jc w:val="both"/>
        <w:rPr>
          <w:rFonts w:ascii="Sakkal Majalla" w:hAnsi="Sakkal Majalla" w:cs="Sakkal Majalla"/>
          <w:color w:val="000000" w:themeColor="text1"/>
          <w:sz w:val="36"/>
          <w:szCs w:val="36"/>
          <w:rtl/>
        </w:rPr>
      </w:pPr>
    </w:p>
    <w:p w:rsidR="00DF3755" w:rsidRDefault="00DF3755" w:rsidP="00DF3755">
      <w:pPr>
        <w:bidi/>
        <w:spacing w:after="0" w:line="240" w:lineRule="auto"/>
        <w:jc w:val="both"/>
        <w:rPr>
          <w:rFonts w:ascii="Sakkal Majalla" w:hAnsi="Sakkal Majalla" w:cs="Sakkal Majalla"/>
          <w:color w:val="000000" w:themeColor="text1"/>
          <w:sz w:val="36"/>
          <w:szCs w:val="36"/>
          <w:rtl/>
        </w:rPr>
      </w:pPr>
    </w:p>
    <w:p w:rsidR="00DF3755" w:rsidRDefault="00DF3755" w:rsidP="00DF3755">
      <w:pPr>
        <w:bidi/>
        <w:spacing w:after="0" w:line="240" w:lineRule="auto"/>
        <w:jc w:val="both"/>
        <w:rPr>
          <w:rFonts w:ascii="Sakkal Majalla" w:hAnsi="Sakkal Majalla" w:cs="Sakkal Majalla"/>
          <w:color w:val="000000" w:themeColor="text1"/>
          <w:sz w:val="36"/>
          <w:szCs w:val="36"/>
          <w:rtl/>
        </w:rPr>
      </w:pPr>
    </w:p>
    <w:p w:rsidR="00DF3755" w:rsidRPr="001C6062" w:rsidRDefault="00DF3755" w:rsidP="00DF3755">
      <w:pPr>
        <w:bidi/>
        <w:spacing w:after="0" w:line="240" w:lineRule="auto"/>
        <w:jc w:val="both"/>
        <w:rPr>
          <w:rFonts w:ascii="Sakkal Majalla" w:hAnsi="Sakkal Majalla" w:cs="Sakkal Majalla"/>
          <w:color w:val="000000" w:themeColor="text1"/>
          <w:sz w:val="36"/>
          <w:szCs w:val="36"/>
        </w:rPr>
      </w:pPr>
    </w:p>
    <w:p w:rsidR="005931D6" w:rsidRPr="001C6062" w:rsidRDefault="00F93CAA" w:rsidP="002A6D77">
      <w:pPr>
        <w:pStyle w:val="1"/>
        <w:bidi/>
        <w:spacing w:before="0" w:after="0" w:line="240" w:lineRule="auto"/>
        <w:jc w:val="center"/>
        <w:rPr>
          <w:rFonts w:ascii="Sakkal Majalla" w:hAnsi="Sakkal Majalla" w:cs="Sakkal Majalla"/>
          <w:color w:val="000000" w:themeColor="text1"/>
          <w:szCs w:val="36"/>
        </w:rPr>
      </w:pPr>
      <w:bookmarkStart w:id="1" w:name="_Toc235465307"/>
      <w:r w:rsidRPr="001C6062">
        <w:rPr>
          <w:rFonts w:ascii="Sakkal Majalla" w:eastAsia="Noto Sans Arabic" w:hAnsi="Sakkal Majalla" w:cs="Sakkal Majalla"/>
          <w:b w:val="0"/>
          <w:color w:val="000000" w:themeColor="text1"/>
          <w:szCs w:val="36"/>
          <w:rtl/>
        </w:rPr>
        <w:t>الإطار النظري والدراسات السابقة</w:t>
      </w:r>
      <w:bookmarkEnd w:id="1"/>
    </w:p>
    <w:p w:rsidR="005931D6" w:rsidRPr="001C6062" w:rsidRDefault="00F93CAA" w:rsidP="001C6062">
      <w:pPr>
        <w:bidi/>
        <w:spacing w:after="0" w:line="240" w:lineRule="auto"/>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جاهزية الذكاء الاصطناعي، قدرات إدارة المعرفة، المرونة الاستراتيجية والفجوة البحثية</w:t>
      </w:r>
    </w:p>
    <w:p w:rsidR="005931D6" w:rsidRPr="001C6062" w:rsidRDefault="00F93CAA" w:rsidP="002A6D77">
      <w:pPr>
        <w:bidi/>
        <w:spacing w:after="0" w:line="240" w:lineRule="auto"/>
        <w:jc w:val="center"/>
        <w:rPr>
          <w:rFonts w:ascii="Sakkal Majalla" w:hAnsi="Sakkal Majalla" w:cs="Sakkal Majalla"/>
          <w:color w:val="000000" w:themeColor="text1"/>
          <w:sz w:val="36"/>
          <w:szCs w:val="36"/>
        </w:rPr>
      </w:pPr>
      <w:r w:rsidRPr="001C6062">
        <w:rPr>
          <w:rFonts w:ascii="MS Gothic" w:eastAsia="MS Gothic" w:hAnsi="MS Gothic" w:cs="MS Gothic" w:hint="eastAsia"/>
          <w:b/>
          <w:color w:val="000000" w:themeColor="text1"/>
          <w:sz w:val="36"/>
          <w:szCs w:val="36"/>
        </w:rPr>
        <w:t>━━━━━━━━━━━━━━━━━━━━━━━</w:t>
      </w:r>
    </w:p>
    <w:p w:rsidR="005931D6" w:rsidRPr="001C6062" w:rsidRDefault="00F93CAA" w:rsidP="001C6062">
      <w:pPr>
        <w:bidi/>
        <w:spacing w:after="0" w:line="240" w:lineRule="auto"/>
        <w:jc w:val="both"/>
        <w:rPr>
          <w:rFonts w:ascii="Sakkal Majalla" w:hAnsi="Sakkal Majalla" w:cs="Sakkal Majalla"/>
          <w:color w:val="000000" w:themeColor="text1"/>
          <w:sz w:val="36"/>
          <w:szCs w:val="36"/>
        </w:rPr>
      </w:pPr>
      <w:r w:rsidRPr="001C6062">
        <w:rPr>
          <w:rFonts w:ascii="Sakkal Majalla" w:hAnsi="Sakkal Majalla" w:cs="Sakkal Majalla"/>
          <w:color w:val="000000" w:themeColor="text1"/>
          <w:sz w:val="36"/>
          <w:szCs w:val="36"/>
        </w:rPr>
        <w:br w:type="page"/>
      </w:r>
    </w:p>
    <w:p w:rsidR="005931D6" w:rsidRPr="001C6062" w:rsidRDefault="00F93CAA" w:rsidP="001C6062">
      <w:pPr>
        <w:pStyle w:val="1"/>
        <w:bidi/>
        <w:spacing w:before="0" w:after="0" w:line="240" w:lineRule="auto"/>
        <w:jc w:val="both"/>
        <w:rPr>
          <w:rFonts w:ascii="Sakkal Majalla" w:hAnsi="Sakkal Majalla" w:cs="Sakkal Majalla"/>
          <w:color w:val="000000" w:themeColor="text1"/>
          <w:szCs w:val="36"/>
        </w:rPr>
      </w:pPr>
      <w:bookmarkStart w:id="2" w:name="_Toc235465308"/>
      <w:proofErr w:type="gramStart"/>
      <w:r w:rsidRPr="001C6062">
        <w:rPr>
          <w:rFonts w:ascii="Sakkal Majalla" w:eastAsia="Noto Sans Arabic" w:hAnsi="Sakkal Majalla" w:cs="Sakkal Majalla"/>
          <w:color w:val="000000" w:themeColor="text1"/>
          <w:szCs w:val="36"/>
        </w:rPr>
        <w:lastRenderedPageBreak/>
        <w:t>2-1</w:t>
      </w:r>
      <w:proofErr w:type="gramEnd"/>
      <w:r w:rsidRPr="001C6062">
        <w:rPr>
          <w:rFonts w:ascii="Sakkal Majalla" w:eastAsia="Noto Sans Arabic" w:hAnsi="Sakkal Majalla" w:cs="Sakkal Majalla"/>
          <w:color w:val="000000" w:themeColor="text1"/>
          <w:szCs w:val="36"/>
          <w:rtl/>
        </w:rPr>
        <w:t xml:space="preserve"> مقدمة الفصل</w:t>
      </w:r>
      <w:r w:rsidR="002A6D77">
        <w:rPr>
          <w:rFonts w:ascii="Sakkal Majalla" w:eastAsia="Noto Sans Arabic" w:hAnsi="Sakkal Majalla" w:cs="Sakkal Majalla" w:hint="cs"/>
          <w:color w:val="000000" w:themeColor="text1"/>
          <w:szCs w:val="36"/>
          <w:rtl/>
        </w:rPr>
        <w:t>:</w:t>
      </w:r>
      <w:bookmarkEnd w:id="2"/>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يؤسس هذا الفصل البناء النظري للدراسة من خلال تحليل المفاهيم الرئيسة وتفكيك أبعادها وبيان العلاقات المتوقعة بينها. ويبدأ بالسياق المؤسسي للمشروعات الصغيرة والمتوسطة في المملكة العربية السعودية، ثم ينتقل إلى الذكاء الاصطناعي وجاهزية التبنّي، وقدرات إدارة المعرفة، والمرونة الاستراتيجية. كما يوظف ثلاثة مناظير نظرية متكاملة: إطار التكنولوجيا-المنظمة-البيئة لتفسير محددات الجاهزية، والمنظور القائم على المعرفة لتفسير دور المعرفة بوصفها موردًا استراتيجيًا، ومنظور القدرات الديناميكية لتفسير المرونة وإعادة تشكيل الموارد.</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لا يقتصر الغرض من الفصل على تعريف المتغيرات، بل يهدف إلى بناء منطق سببي يوضح كيف يمكن للموارد التقنية والبيانية والبشرية والقيادية أن تمكّن عمليات المعرفة، وكيف تتحول المعرفة المنظمة إلى قدرة على تعديل السوق والموارد والاستجابة التنافسية. كما يعرض الدراسات العربية أولًا ثم الأجنبية، ويقارن بينها من حيث الأهداف والمنهج والسياق والنتائج، وينتهي بتحديد الفجوة والإضافة النظرية والتطبيقية للدراسة.</w:t>
      </w:r>
    </w:p>
    <w:p w:rsidR="002A6D77" w:rsidRPr="001C6062" w:rsidRDefault="002A6D77" w:rsidP="002A6D7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2A6D77">
      <w:pPr>
        <w:pStyle w:val="1"/>
        <w:bidi/>
        <w:spacing w:before="0" w:after="0" w:line="240" w:lineRule="auto"/>
        <w:jc w:val="center"/>
        <w:rPr>
          <w:rFonts w:ascii="Sakkal Majalla" w:hAnsi="Sakkal Majalla" w:cs="Sakkal Majalla"/>
          <w:color w:val="000000" w:themeColor="text1"/>
          <w:szCs w:val="36"/>
        </w:rPr>
      </w:pPr>
      <w:bookmarkStart w:id="3" w:name="_Toc235465309"/>
      <w:proofErr w:type="gramStart"/>
      <w:r w:rsidRPr="001C6062">
        <w:rPr>
          <w:rFonts w:ascii="Sakkal Majalla" w:eastAsia="Noto Sans Arabic" w:hAnsi="Sakkal Majalla" w:cs="Sakkal Majalla"/>
          <w:color w:val="000000" w:themeColor="text1"/>
          <w:szCs w:val="36"/>
        </w:rPr>
        <w:t>2-2</w:t>
      </w:r>
      <w:proofErr w:type="gramEnd"/>
      <w:r w:rsidRPr="001C6062">
        <w:rPr>
          <w:rFonts w:ascii="Sakkal Majalla" w:eastAsia="Noto Sans Arabic" w:hAnsi="Sakkal Majalla" w:cs="Sakkal Majalla"/>
          <w:color w:val="000000" w:themeColor="text1"/>
          <w:szCs w:val="36"/>
          <w:rtl/>
        </w:rPr>
        <w:t xml:space="preserve"> المشروعات الصغيرة والمتوسطة في المملكة العربية السعودية</w:t>
      </w:r>
      <w:r w:rsidR="002A6D77">
        <w:rPr>
          <w:rFonts w:ascii="Sakkal Majalla" w:eastAsia="Noto Sans Arabic" w:hAnsi="Sakkal Majalla" w:cs="Sakkal Majalla" w:hint="cs"/>
          <w:color w:val="000000" w:themeColor="text1"/>
          <w:szCs w:val="36"/>
          <w:rtl/>
        </w:rPr>
        <w:t>:</w:t>
      </w:r>
      <w:bookmarkEnd w:id="3"/>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4" w:name="_Toc235465310"/>
      <w:r w:rsidRPr="001C6062">
        <w:rPr>
          <w:rFonts w:ascii="Sakkal Majalla" w:eastAsia="Noto Sans Arabic" w:hAnsi="Sakkal Majalla" w:cs="Sakkal Majalla"/>
          <w:color w:val="000000" w:themeColor="text1"/>
          <w:sz w:val="36"/>
          <w:szCs w:val="36"/>
        </w:rPr>
        <w:t>2-2-1</w:t>
      </w:r>
      <w:r w:rsidRPr="001C6062">
        <w:rPr>
          <w:rFonts w:ascii="Sakkal Majalla" w:eastAsia="Noto Sans Arabic" w:hAnsi="Sakkal Majalla" w:cs="Sakkal Majalla"/>
          <w:color w:val="000000" w:themeColor="text1"/>
          <w:sz w:val="36"/>
          <w:szCs w:val="36"/>
          <w:rtl/>
        </w:rPr>
        <w:t xml:space="preserve"> المفهوم والتصنيف</w:t>
      </w:r>
      <w:r w:rsidR="002A6D77">
        <w:rPr>
          <w:rFonts w:ascii="Sakkal Majalla" w:eastAsia="Noto Sans Arabic" w:hAnsi="Sakkal Majalla" w:cs="Sakkal Majalla" w:hint="cs"/>
          <w:color w:val="000000" w:themeColor="text1"/>
          <w:sz w:val="36"/>
          <w:szCs w:val="36"/>
          <w:rtl/>
        </w:rPr>
        <w:t>:</w:t>
      </w:r>
      <w:bookmarkEnd w:id="4"/>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تختلف تعريفات المشروعات الصغيرة والمتوسطة عالميًا باختلاف الغرض من التصنيف والقطاع ومستوى التنمية، وتستخدم غالبًا عدد العاملين أو الإيرادات أو الأصول أو مزيجًا منها. ويؤثر التعريف في حدود مجتمع الدراسة وفي تفسير النتائج؛ لأن منشأة تضم ثلاثة موظفين وتحقق إيرادات محدودة تختلف في مواردها وإجراءاتها عن منشأة متوسطة تضم أكثر من مائتي موظف، وإن كانتا تقعان ضمن الفئة الواسعة نفسها.</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تعتمد الهيئة العامة للمنشآت الصغيرة والمتوسطة في المملكة معيارين هما عدد الموظفين بدوام كامل وحجم الإيرادات السنوية، ويُؤخذ بالتصنيف الأعلى عند اختلاف المعيارين. ويتيح هذا النظام مراعاة القطاعات ذات الكثافة الرأسمالية أو العمالية المختلفة، كما يوفر معيارًا عمليًا لاختيار العينة وتصنيفها (الهيئة العامة للمنشآت الصغيرة والمتوسطة، </w:t>
      </w:r>
      <w:r w:rsidRPr="001C6062">
        <w:rPr>
          <w:rFonts w:ascii="Sakkal Majalla" w:eastAsia="Noto Naskh Arabic" w:hAnsi="Sakkal Majalla" w:cs="Sakkal Majalla"/>
          <w:color w:val="000000" w:themeColor="text1"/>
          <w:sz w:val="36"/>
          <w:szCs w:val="36"/>
        </w:rPr>
        <w:t>2023</w:t>
      </w:r>
      <w:r w:rsidRPr="001C6062">
        <w:rPr>
          <w:rFonts w:ascii="Sakkal Majalla" w:eastAsia="Noto Naskh Arabic" w:hAnsi="Sakkal Majalla" w:cs="Sakkal Majalla"/>
          <w:color w:val="000000" w:themeColor="text1"/>
          <w:sz w:val="36"/>
          <w:szCs w:val="36"/>
          <w:rtl/>
        </w:rPr>
        <w:t>).</w:t>
      </w:r>
    </w:p>
    <w:p w:rsidR="002A6D77" w:rsidRDefault="002A6D77">
      <w:pPr>
        <w:spacing w:after="0" w:line="240" w:lineRule="auto"/>
        <w:rPr>
          <w:rFonts w:ascii="Sakkal Majalla" w:eastAsia="Noto Sans Arabic" w:hAnsi="Sakkal Majalla" w:cs="Sakkal Majalla"/>
          <w:b/>
          <w:color w:val="000000" w:themeColor="text1"/>
          <w:sz w:val="36"/>
          <w:szCs w:val="36"/>
          <w:rtl/>
        </w:rPr>
      </w:pPr>
      <w:r>
        <w:rPr>
          <w:rFonts w:ascii="Sakkal Majalla" w:eastAsia="Noto Sans Arabic" w:hAnsi="Sakkal Majalla" w:cs="Sakkal Majalla"/>
          <w:b/>
          <w:color w:val="000000" w:themeColor="text1"/>
          <w:sz w:val="36"/>
          <w:szCs w:val="36"/>
          <w:rtl/>
        </w:rPr>
        <w:br w:type="page"/>
      </w: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lastRenderedPageBreak/>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1</w:t>
      </w:r>
      <w:r w:rsidRPr="001C6062">
        <w:rPr>
          <w:rFonts w:ascii="Sakkal Majalla" w:eastAsia="Noto Sans Arabic" w:hAnsi="Sakkal Majalla" w:cs="Sakkal Majalla"/>
          <w:b/>
          <w:color w:val="000000" w:themeColor="text1"/>
          <w:sz w:val="36"/>
          <w:szCs w:val="36"/>
          <w:rtl/>
        </w:rPr>
        <w:t>): التصنيف المعتمد للمنشآت بحسب «منشآت»</w:t>
      </w:r>
    </w:p>
    <w:tbl>
      <w:tblPr>
        <w:tblStyle w:val="afb"/>
        <w:bidiVisual/>
        <w:tblW w:w="9187" w:type="dxa"/>
        <w:jc w:val="center"/>
        <w:tblLayout w:type="fixed"/>
        <w:tblCellMar>
          <w:top w:w="90" w:type="dxa"/>
          <w:left w:w="90" w:type="dxa"/>
          <w:bottom w:w="90" w:type="dxa"/>
          <w:right w:w="90" w:type="dxa"/>
        </w:tblCellMar>
        <w:tblLook w:val="04A0" w:firstRow="1" w:lastRow="0" w:firstColumn="1" w:lastColumn="0" w:noHBand="0" w:noVBand="1"/>
      </w:tblPr>
      <w:tblGrid>
        <w:gridCol w:w="3062"/>
        <w:gridCol w:w="2872"/>
        <w:gridCol w:w="3253"/>
      </w:tblGrid>
      <w:tr w:rsidR="001C6062" w:rsidRPr="001C6062" w:rsidTr="00DF3755">
        <w:trPr>
          <w:tblHeader/>
          <w:jc w:val="center"/>
        </w:trPr>
        <w:tc>
          <w:tcPr>
            <w:tcW w:w="3062"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حجم المنشأة</w:t>
            </w:r>
          </w:p>
        </w:tc>
        <w:tc>
          <w:tcPr>
            <w:tcW w:w="2872"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عدد الموظفين بدوام كامل</w:t>
            </w:r>
          </w:p>
        </w:tc>
        <w:tc>
          <w:tcPr>
            <w:tcW w:w="3253"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الإيرادات السنوية</w:t>
            </w:r>
          </w:p>
        </w:tc>
      </w:tr>
      <w:tr w:rsidR="001C6062" w:rsidRPr="001C6062" w:rsidTr="00DF3755">
        <w:trPr>
          <w:jc w:val="center"/>
        </w:trPr>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متناهية الصغر</w:t>
            </w:r>
          </w:p>
        </w:tc>
        <w:tc>
          <w:tcPr>
            <w:tcW w:w="287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1-5</w:t>
            </w:r>
            <w:r w:rsidRPr="001C6062">
              <w:rPr>
                <w:rFonts w:ascii="Sakkal Majalla" w:eastAsia="Noto Naskh Arabic" w:hAnsi="Sakkal Majalla" w:cs="Sakkal Majalla"/>
                <w:color w:val="000000" w:themeColor="text1"/>
                <w:sz w:val="36"/>
                <w:szCs w:val="36"/>
                <w:rtl/>
              </w:rPr>
              <w:t xml:space="preserve"> موظفين</w:t>
            </w:r>
          </w:p>
        </w:tc>
        <w:tc>
          <w:tcPr>
            <w:tcW w:w="325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0-3</w:t>
            </w:r>
            <w:r w:rsidRPr="001C6062">
              <w:rPr>
                <w:rFonts w:ascii="Sakkal Majalla" w:eastAsia="Noto Naskh Arabic" w:hAnsi="Sakkal Majalla" w:cs="Sakkal Majalla"/>
                <w:color w:val="000000" w:themeColor="text1"/>
                <w:sz w:val="36"/>
                <w:szCs w:val="36"/>
                <w:rtl/>
              </w:rPr>
              <w:t xml:space="preserve"> ملايين ريال</w:t>
            </w:r>
          </w:p>
        </w:tc>
      </w:tr>
      <w:tr w:rsidR="001C6062" w:rsidRPr="001C6062" w:rsidTr="00DF3755">
        <w:trPr>
          <w:jc w:val="center"/>
        </w:trPr>
        <w:tc>
          <w:tcPr>
            <w:tcW w:w="306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صغيرة</w:t>
            </w:r>
          </w:p>
        </w:tc>
        <w:tc>
          <w:tcPr>
            <w:tcW w:w="287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6-49</w:t>
            </w:r>
            <w:r w:rsidRPr="001C6062">
              <w:rPr>
                <w:rFonts w:ascii="Sakkal Majalla" w:eastAsia="Noto Naskh Arabic" w:hAnsi="Sakkal Majalla" w:cs="Sakkal Majalla"/>
                <w:color w:val="000000" w:themeColor="text1"/>
                <w:sz w:val="36"/>
                <w:szCs w:val="36"/>
                <w:rtl/>
              </w:rPr>
              <w:t xml:space="preserve"> موظفًا</w:t>
            </w:r>
          </w:p>
        </w:tc>
        <w:tc>
          <w:tcPr>
            <w:tcW w:w="3253"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أكثر من </w:t>
            </w:r>
            <w:r w:rsidRPr="001C6062">
              <w:rPr>
                <w:rFonts w:ascii="Sakkal Majalla" w:eastAsia="Noto Naskh Arabic" w:hAnsi="Sakkal Majalla" w:cs="Sakkal Majalla"/>
                <w:color w:val="000000" w:themeColor="text1"/>
                <w:sz w:val="36"/>
                <w:szCs w:val="36"/>
              </w:rPr>
              <w:t>3</w:t>
            </w:r>
            <w:r w:rsidRPr="001C6062">
              <w:rPr>
                <w:rFonts w:ascii="Sakkal Majalla" w:eastAsia="Noto Naskh Arabic" w:hAnsi="Sakkal Majalla" w:cs="Sakkal Majalla"/>
                <w:color w:val="000000" w:themeColor="text1"/>
                <w:sz w:val="36"/>
                <w:szCs w:val="36"/>
                <w:rtl/>
              </w:rPr>
              <w:t xml:space="preserve"> إلى </w:t>
            </w:r>
            <w:r w:rsidRPr="001C6062">
              <w:rPr>
                <w:rFonts w:ascii="Sakkal Majalla" w:eastAsia="Noto Naskh Arabic" w:hAnsi="Sakkal Majalla" w:cs="Sakkal Majalla"/>
                <w:color w:val="000000" w:themeColor="text1"/>
                <w:sz w:val="36"/>
                <w:szCs w:val="36"/>
              </w:rPr>
              <w:t>40</w:t>
            </w:r>
            <w:r w:rsidRPr="001C6062">
              <w:rPr>
                <w:rFonts w:ascii="Sakkal Majalla" w:eastAsia="Noto Naskh Arabic" w:hAnsi="Sakkal Majalla" w:cs="Sakkal Majalla"/>
                <w:color w:val="000000" w:themeColor="text1"/>
                <w:sz w:val="36"/>
                <w:szCs w:val="36"/>
                <w:rtl/>
              </w:rPr>
              <w:t xml:space="preserve"> مليون ريال</w:t>
            </w:r>
          </w:p>
        </w:tc>
      </w:tr>
      <w:tr w:rsidR="001C6062" w:rsidRPr="001C6062" w:rsidTr="00DF3755">
        <w:trPr>
          <w:jc w:val="center"/>
        </w:trPr>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متوسطة</w:t>
            </w:r>
          </w:p>
        </w:tc>
        <w:tc>
          <w:tcPr>
            <w:tcW w:w="287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50-249</w:t>
            </w:r>
            <w:r w:rsidRPr="001C6062">
              <w:rPr>
                <w:rFonts w:ascii="Sakkal Majalla" w:eastAsia="Noto Naskh Arabic" w:hAnsi="Sakkal Majalla" w:cs="Sakkal Majalla"/>
                <w:color w:val="000000" w:themeColor="text1"/>
                <w:sz w:val="36"/>
                <w:szCs w:val="36"/>
                <w:rtl/>
              </w:rPr>
              <w:t xml:space="preserve"> موظفًا</w:t>
            </w:r>
          </w:p>
        </w:tc>
        <w:tc>
          <w:tcPr>
            <w:tcW w:w="325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أكثر من </w:t>
            </w:r>
            <w:r w:rsidRPr="001C6062">
              <w:rPr>
                <w:rFonts w:ascii="Sakkal Majalla" w:eastAsia="Noto Naskh Arabic" w:hAnsi="Sakkal Majalla" w:cs="Sakkal Majalla"/>
                <w:color w:val="000000" w:themeColor="text1"/>
                <w:sz w:val="36"/>
                <w:szCs w:val="36"/>
              </w:rPr>
              <w:t>40</w:t>
            </w:r>
            <w:r w:rsidRPr="001C6062">
              <w:rPr>
                <w:rFonts w:ascii="Sakkal Majalla" w:eastAsia="Noto Naskh Arabic" w:hAnsi="Sakkal Majalla" w:cs="Sakkal Majalla"/>
                <w:color w:val="000000" w:themeColor="text1"/>
                <w:sz w:val="36"/>
                <w:szCs w:val="36"/>
                <w:rtl/>
              </w:rPr>
              <w:t xml:space="preserve"> إلى </w:t>
            </w:r>
            <w:r w:rsidRPr="001C6062">
              <w:rPr>
                <w:rFonts w:ascii="Sakkal Majalla" w:eastAsia="Noto Naskh Arabic" w:hAnsi="Sakkal Majalla" w:cs="Sakkal Majalla"/>
                <w:color w:val="000000" w:themeColor="text1"/>
                <w:sz w:val="36"/>
                <w:szCs w:val="36"/>
              </w:rPr>
              <w:t>200</w:t>
            </w:r>
            <w:r w:rsidRPr="001C6062">
              <w:rPr>
                <w:rFonts w:ascii="Sakkal Majalla" w:eastAsia="Noto Naskh Arabic" w:hAnsi="Sakkal Majalla" w:cs="Sakkal Majalla"/>
                <w:color w:val="000000" w:themeColor="text1"/>
                <w:sz w:val="36"/>
                <w:szCs w:val="36"/>
                <w:rtl/>
              </w:rPr>
              <w:t xml:space="preserve"> مليون ريال</w:t>
            </w:r>
          </w:p>
        </w:tc>
      </w:tr>
      <w:tr w:rsidR="001C6062" w:rsidRPr="001C6062" w:rsidTr="00DF3755">
        <w:trPr>
          <w:jc w:val="center"/>
        </w:trPr>
        <w:tc>
          <w:tcPr>
            <w:tcW w:w="306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كبيرة</w:t>
            </w:r>
          </w:p>
        </w:tc>
        <w:tc>
          <w:tcPr>
            <w:tcW w:w="287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250</w:t>
            </w:r>
            <w:r w:rsidRPr="001C6062">
              <w:rPr>
                <w:rFonts w:ascii="Sakkal Majalla" w:eastAsia="Noto Naskh Arabic" w:hAnsi="Sakkal Majalla" w:cs="Sakkal Majalla"/>
                <w:color w:val="000000" w:themeColor="text1"/>
                <w:sz w:val="36"/>
                <w:szCs w:val="36"/>
                <w:rtl/>
              </w:rPr>
              <w:t xml:space="preserve"> موظفًا فأكثر</w:t>
            </w:r>
          </w:p>
        </w:tc>
        <w:tc>
          <w:tcPr>
            <w:tcW w:w="3253"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أكثر من </w:t>
            </w:r>
            <w:r w:rsidRPr="001C6062">
              <w:rPr>
                <w:rFonts w:ascii="Sakkal Majalla" w:eastAsia="Noto Naskh Arabic" w:hAnsi="Sakkal Majalla" w:cs="Sakkal Majalla"/>
                <w:color w:val="000000" w:themeColor="text1"/>
                <w:sz w:val="36"/>
                <w:szCs w:val="36"/>
              </w:rPr>
              <w:t>200</w:t>
            </w:r>
            <w:r w:rsidRPr="001C6062">
              <w:rPr>
                <w:rFonts w:ascii="Sakkal Majalla" w:eastAsia="Noto Naskh Arabic" w:hAnsi="Sakkal Majalla" w:cs="Sakkal Majalla"/>
                <w:color w:val="000000" w:themeColor="text1"/>
                <w:sz w:val="36"/>
                <w:szCs w:val="36"/>
                <w:rtl/>
              </w:rPr>
              <w:t xml:space="preserve"> مليون ريال</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المصدر: الهيئة العامة للمنشآت الصغيرة والمتوسطة، تصنيف المنشآت، </w:t>
      </w:r>
      <w:r w:rsidRPr="001C6062">
        <w:rPr>
          <w:rFonts w:ascii="Sakkal Majalla" w:eastAsia="Noto Naskh Arabic" w:hAnsi="Sakkal Majalla" w:cs="Sakkal Majalla"/>
          <w:color w:val="000000" w:themeColor="text1"/>
          <w:sz w:val="36"/>
          <w:szCs w:val="36"/>
        </w:rPr>
        <w:t>2026</w:t>
      </w:r>
      <w:r w:rsidRPr="001C6062">
        <w:rPr>
          <w:rFonts w:ascii="Sakkal Majalla" w:eastAsia="Noto Naskh Arabic" w:hAnsi="Sakkal Majalla" w:cs="Sakkal Majalla"/>
          <w:color w:val="000000" w:themeColor="text1"/>
          <w:sz w:val="36"/>
          <w:szCs w:val="36"/>
          <w:rtl/>
        </w:rPr>
        <w:t>.</w:t>
      </w:r>
    </w:p>
    <w:p w:rsidR="002A6D77" w:rsidRPr="001C6062" w:rsidRDefault="002A6D77"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5" w:name="_Toc235465311"/>
      <w:r w:rsidRPr="001C6062">
        <w:rPr>
          <w:rFonts w:ascii="Sakkal Majalla" w:eastAsia="Noto Sans Arabic" w:hAnsi="Sakkal Majalla" w:cs="Sakkal Majalla"/>
          <w:color w:val="000000" w:themeColor="text1"/>
          <w:sz w:val="36"/>
          <w:szCs w:val="36"/>
        </w:rPr>
        <w:t>2-2-2</w:t>
      </w:r>
      <w:r w:rsidRPr="001C6062">
        <w:rPr>
          <w:rFonts w:ascii="Sakkal Majalla" w:eastAsia="Noto Sans Arabic" w:hAnsi="Sakkal Majalla" w:cs="Sakkal Majalla"/>
          <w:color w:val="000000" w:themeColor="text1"/>
          <w:sz w:val="36"/>
          <w:szCs w:val="36"/>
          <w:rtl/>
        </w:rPr>
        <w:t xml:space="preserve"> الأهمية الاقتصادية والاستراتيجية</w:t>
      </w:r>
      <w:r w:rsidR="002A6D77">
        <w:rPr>
          <w:rFonts w:ascii="Sakkal Majalla" w:eastAsia="Noto Sans Arabic" w:hAnsi="Sakkal Majalla" w:cs="Sakkal Majalla" w:hint="cs"/>
          <w:color w:val="000000" w:themeColor="text1"/>
          <w:sz w:val="36"/>
          <w:szCs w:val="36"/>
          <w:rtl/>
        </w:rPr>
        <w:t>:</w:t>
      </w:r>
      <w:bookmarkEnd w:id="5"/>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تؤدي المشروعات الصغيرة والمتوسطة أدوارًا تتجاوز عددها الكبير؛ فهي توسع قاعدة الإنتاج والخدمات، وتولد فرص العمل، وتدعم سلاسل القيمة المحلية، وتزيد التنوع والابتكار، وتتيح الدخول إلى الأسواق لفئات أوسع من رواد الأعمال. وفي المملكة ترتبط تنمية القطاع بأهداف التنويع الاقتصادي وزيادة مساهمة القطاع الخاص ورفع المحتوى المحلي وتحسين الإنتاجية.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يظهر اتساع القطاع في وصول عدد المنشآت الصغيرة والمتوسطة إلى نحو </w:t>
      </w:r>
      <w:r w:rsidRPr="001C6062">
        <w:rPr>
          <w:rFonts w:ascii="Sakkal Majalla" w:eastAsia="Noto Naskh Arabic" w:hAnsi="Sakkal Majalla" w:cs="Sakkal Majalla"/>
          <w:color w:val="000000" w:themeColor="text1"/>
          <w:sz w:val="36"/>
          <w:szCs w:val="36"/>
        </w:rPr>
        <w:t>1.7</w:t>
      </w:r>
      <w:r w:rsidRPr="001C6062">
        <w:rPr>
          <w:rFonts w:ascii="Sakkal Majalla" w:eastAsia="Noto Naskh Arabic" w:hAnsi="Sakkal Majalla" w:cs="Sakkal Majalla"/>
          <w:color w:val="000000" w:themeColor="text1"/>
          <w:sz w:val="36"/>
          <w:szCs w:val="36"/>
          <w:rtl/>
        </w:rPr>
        <w:t xml:space="preserve"> مليون منشأة بنهاية عام </w:t>
      </w:r>
      <w:r w:rsidRPr="001C6062">
        <w:rPr>
          <w:rFonts w:ascii="Sakkal Majalla" w:eastAsia="Noto Naskh Arabic" w:hAnsi="Sakkal Majalla" w:cs="Sakkal Majalla"/>
          <w:color w:val="000000" w:themeColor="text1"/>
          <w:sz w:val="36"/>
          <w:szCs w:val="36"/>
        </w:rPr>
        <w:t>2025</w:t>
      </w:r>
      <w:r w:rsidRPr="001C6062">
        <w:rPr>
          <w:rFonts w:ascii="Sakkal Majalla" w:eastAsia="Noto Naskh Arabic" w:hAnsi="Sakkal Majalla" w:cs="Sakkal Majalla"/>
          <w:color w:val="000000" w:themeColor="text1"/>
          <w:sz w:val="36"/>
          <w:szCs w:val="36"/>
          <w:rtl/>
        </w:rPr>
        <w:t xml:space="preserve">، وارتباطها بنحو </w:t>
      </w:r>
      <w:r w:rsidRPr="001C6062">
        <w:rPr>
          <w:rFonts w:ascii="Sakkal Majalla" w:eastAsia="Noto Naskh Arabic" w:hAnsi="Sakkal Majalla" w:cs="Sakkal Majalla"/>
          <w:color w:val="000000" w:themeColor="text1"/>
          <w:sz w:val="36"/>
          <w:szCs w:val="36"/>
        </w:rPr>
        <w:t>8.88</w:t>
      </w:r>
      <w:r w:rsidRPr="001C6062">
        <w:rPr>
          <w:rFonts w:ascii="Sakkal Majalla" w:eastAsia="Noto Naskh Arabic" w:hAnsi="Sakkal Majalla" w:cs="Sakkal Majalla"/>
          <w:color w:val="000000" w:themeColor="text1"/>
          <w:sz w:val="36"/>
          <w:szCs w:val="36"/>
          <w:rtl/>
        </w:rPr>
        <w:t xml:space="preserve"> مليون عامل، إضافة إلى تجاوز عدد المنشآت المملوكة للشباب السعودي </w:t>
      </w:r>
      <w:r w:rsidRPr="001C6062">
        <w:rPr>
          <w:rFonts w:ascii="Sakkal Majalla" w:eastAsia="Noto Naskh Arabic" w:hAnsi="Sakkal Majalla" w:cs="Sakkal Majalla"/>
          <w:color w:val="000000" w:themeColor="text1"/>
          <w:sz w:val="36"/>
          <w:szCs w:val="36"/>
        </w:rPr>
        <w:t>474</w:t>
      </w:r>
      <w:r w:rsidRPr="001C6062">
        <w:rPr>
          <w:rFonts w:ascii="Sakkal Majalla" w:eastAsia="Noto Naskh Arabic" w:hAnsi="Sakkal Majalla" w:cs="Sakkal Majalla"/>
          <w:color w:val="000000" w:themeColor="text1"/>
          <w:sz w:val="36"/>
          <w:szCs w:val="36"/>
          <w:rtl/>
        </w:rPr>
        <w:t xml:space="preserve"> ألف منشأة. وتكشف هذه المؤشرات أن أي تحسن في كفاءة القطاع أو مرونته يمكن أن ينعكس على نطاق واسع، كما تكشف أن سياسات التبنّي لا ينبغي أن تُصمم على أساس نموذج واحد، بل يجب أن تراعي اختلاف الأحجام والقطاعات ودرجات النضج (رؤية السعودية </w:t>
      </w:r>
      <w:r w:rsidRPr="001C6062">
        <w:rPr>
          <w:rFonts w:ascii="Sakkal Majalla" w:eastAsia="Noto Naskh Arabic" w:hAnsi="Sakkal Majalla" w:cs="Sakkal Majalla"/>
          <w:color w:val="000000" w:themeColor="text1"/>
          <w:sz w:val="36"/>
          <w:szCs w:val="36"/>
        </w:rPr>
        <w:t>2030</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2026</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jc w:val="both"/>
        <w:rPr>
          <w:rFonts w:ascii="Sakkal Majalla" w:hAnsi="Sakkal Majalla" w:cs="Sakkal Majalla"/>
          <w:color w:val="000000" w:themeColor="text1"/>
          <w:sz w:val="36"/>
          <w:szCs w:val="36"/>
        </w:rPr>
      </w:pPr>
      <w:r w:rsidRPr="001C6062">
        <w:rPr>
          <w:rFonts w:ascii="Sakkal Majalla" w:hAnsi="Sakkal Majalla" w:cs="Sakkal Majalla"/>
          <w:noProof/>
          <w:color w:val="000000" w:themeColor="text1"/>
          <w:sz w:val="36"/>
          <w:szCs w:val="36"/>
          <w:rtl/>
        </w:rPr>
        <w:lastRenderedPageBreak/>
        <w:drawing>
          <wp:inline distT="0" distB="0" distL="0" distR="0">
            <wp:extent cx="6120130" cy="3442970"/>
            <wp:effectExtent l="0" t="0" r="0" b="0"/>
            <wp:docPr id="3" name="Picture 3" descr="شكل (2-1): السياق السعودي للمشروعات الصغيرة والمتوسطة والتحول الذك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شكل (2-1): السياق السعودي للمشروعات الصغيرة والمتوسطة والتحول الذكي"/>
                    <pic:cNvPicPr>
                      <a:picLocks noChangeAspect="1" noChangeArrowheads="1"/>
                    </pic:cNvPicPr>
                  </pic:nvPicPr>
                  <pic:blipFill>
                    <a:blip r:embed="rId9"/>
                    <a:stretch>
                      <a:fillRect/>
                    </a:stretch>
                  </pic:blipFill>
                  <pic:spPr bwMode="auto">
                    <a:xfrm>
                      <a:off x="0" y="0"/>
                      <a:ext cx="6120130" cy="3442970"/>
                    </a:xfrm>
                    <a:prstGeom prst="rect">
                      <a:avLst/>
                    </a:prstGeom>
                    <a:noFill/>
                  </pic:spPr>
                </pic:pic>
              </a:graphicData>
            </a:graphic>
          </wp:inline>
        </w:drawing>
      </w: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شكل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1</w:t>
      </w:r>
      <w:r w:rsidRPr="001C6062">
        <w:rPr>
          <w:rFonts w:ascii="Sakkal Majalla" w:eastAsia="Noto Sans Arabic" w:hAnsi="Sakkal Majalla" w:cs="Sakkal Majalla"/>
          <w:b/>
          <w:color w:val="000000" w:themeColor="text1"/>
          <w:sz w:val="36"/>
          <w:szCs w:val="36"/>
          <w:rtl/>
        </w:rPr>
        <w:t>): السياق السعودي للمشروعات الصغيرة والمتوسطة والتحول الذكي</w:t>
      </w:r>
    </w:p>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المصدر: رؤية السعودية </w:t>
      </w:r>
      <w:r w:rsidRPr="001C6062">
        <w:rPr>
          <w:rFonts w:ascii="Sakkal Majalla" w:eastAsia="Noto Naskh Arabic" w:hAnsi="Sakkal Majalla" w:cs="Sakkal Majalla"/>
          <w:color w:val="000000" w:themeColor="text1"/>
          <w:sz w:val="36"/>
          <w:szCs w:val="36"/>
        </w:rPr>
        <w:t>2030</w:t>
      </w:r>
      <w:r w:rsidRPr="001C6062">
        <w:rPr>
          <w:rFonts w:ascii="Sakkal Majalla" w:eastAsia="Noto Naskh Arabic" w:hAnsi="Sakkal Majalla" w:cs="Sakkal Majalla"/>
          <w:color w:val="000000" w:themeColor="text1"/>
          <w:sz w:val="36"/>
          <w:szCs w:val="36"/>
          <w:rtl/>
        </w:rPr>
        <w:t xml:space="preserve">، التقرير السنوي لعام </w:t>
      </w:r>
      <w:r w:rsidRPr="001C6062">
        <w:rPr>
          <w:rFonts w:ascii="Sakkal Majalla" w:eastAsia="Noto Naskh Arabic" w:hAnsi="Sakkal Majalla" w:cs="Sakkal Majalla"/>
          <w:color w:val="000000" w:themeColor="text1"/>
          <w:sz w:val="36"/>
          <w:szCs w:val="36"/>
        </w:rPr>
        <w:t>2025</w:t>
      </w:r>
      <w:r w:rsidRPr="001C6062">
        <w:rPr>
          <w:rFonts w:ascii="Sakkal Majalla" w:eastAsia="Noto Naskh Arabic" w:hAnsi="Sakkal Majalla" w:cs="Sakkal Majalla"/>
          <w:color w:val="000000" w:themeColor="text1"/>
          <w:sz w:val="36"/>
          <w:szCs w:val="36"/>
          <w:rtl/>
        </w:rPr>
        <w:t>؛ معالجة الباحث.</w:t>
      </w:r>
    </w:p>
    <w:p w:rsidR="002A6D77" w:rsidRPr="001C6062" w:rsidRDefault="002A6D77"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6" w:name="_Toc235465312"/>
      <w:r w:rsidRPr="001C6062">
        <w:rPr>
          <w:rFonts w:ascii="Sakkal Majalla" w:eastAsia="Noto Sans Arabic" w:hAnsi="Sakkal Majalla" w:cs="Sakkal Majalla"/>
          <w:color w:val="000000" w:themeColor="text1"/>
          <w:sz w:val="36"/>
          <w:szCs w:val="36"/>
        </w:rPr>
        <w:t>2-2-3</w:t>
      </w:r>
      <w:r w:rsidRPr="001C6062">
        <w:rPr>
          <w:rFonts w:ascii="Sakkal Majalla" w:eastAsia="Noto Sans Arabic" w:hAnsi="Sakkal Majalla" w:cs="Sakkal Majalla"/>
          <w:color w:val="000000" w:themeColor="text1"/>
          <w:sz w:val="36"/>
          <w:szCs w:val="36"/>
          <w:rtl/>
        </w:rPr>
        <w:t xml:space="preserve"> خصائص المشروعات الصغيرة والمتوسطة ذات الصلة بالتبنّي</w:t>
      </w:r>
      <w:r w:rsidR="002A6D77">
        <w:rPr>
          <w:rFonts w:ascii="Sakkal Majalla" w:eastAsia="Noto Sans Arabic" w:hAnsi="Sakkal Majalla" w:cs="Sakkal Majalla" w:hint="cs"/>
          <w:color w:val="000000" w:themeColor="text1"/>
          <w:sz w:val="36"/>
          <w:szCs w:val="36"/>
          <w:rtl/>
        </w:rPr>
        <w:t>:</w:t>
      </w:r>
      <w:bookmarkEnd w:id="6"/>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تتميز المشروعات الصغيرة والمتوسطة بقرب الإدارة من العمليات والعملاء، وقصر خطوط الاتصال، وسرعة القرار مقارنة بالمؤسسات الكبيرة. وهذه السمات قد تسمح بتجريب حالات استخدام جديدة بسرعة، وإعادة تصميم العمل دون طبقات بيروقراطية كثيرة. كما أن المعرفة الضمنية لدى المالك أو الفريق الصغير تكون مرتفعة، بما يسهل فهم السياق، لكنه قد يجعل المشروع معتمدًا على أفراد محددين ويزيد مخاطر فقدان المعرفة.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في المقابل، تواجه هذه المشروعات قيودًا تتعلق بالتمويل والوقت والمهارات المتخصصة، وقد لا تمتلك فرقًا منفصلة للبيانات أو الأمن </w:t>
      </w:r>
      <w:proofErr w:type="spellStart"/>
      <w:r w:rsidRPr="001C6062">
        <w:rPr>
          <w:rFonts w:ascii="Sakkal Majalla" w:eastAsia="Noto Naskh Arabic" w:hAnsi="Sakkal Majalla" w:cs="Sakkal Majalla"/>
          <w:color w:val="000000" w:themeColor="text1"/>
          <w:sz w:val="36"/>
          <w:szCs w:val="36"/>
          <w:rtl/>
        </w:rPr>
        <w:t>السيبراني</w:t>
      </w:r>
      <w:proofErr w:type="spellEnd"/>
      <w:r w:rsidRPr="001C6062">
        <w:rPr>
          <w:rFonts w:ascii="Sakkal Majalla" w:eastAsia="Noto Naskh Arabic" w:hAnsi="Sakkal Majalla" w:cs="Sakkal Majalla"/>
          <w:color w:val="000000" w:themeColor="text1"/>
          <w:sz w:val="36"/>
          <w:szCs w:val="36"/>
          <w:rtl/>
        </w:rPr>
        <w:t xml:space="preserve"> أو </w:t>
      </w:r>
      <w:proofErr w:type="spellStart"/>
      <w:r w:rsidRPr="001C6062">
        <w:rPr>
          <w:rFonts w:ascii="Sakkal Majalla" w:eastAsia="Noto Naskh Arabic" w:hAnsi="Sakkal Majalla" w:cs="Sakkal Majalla"/>
          <w:color w:val="000000" w:themeColor="text1"/>
          <w:sz w:val="36"/>
          <w:szCs w:val="36"/>
          <w:rtl/>
        </w:rPr>
        <w:t>الحوكمة</w:t>
      </w:r>
      <w:proofErr w:type="spellEnd"/>
      <w:r w:rsidRPr="001C6062">
        <w:rPr>
          <w:rFonts w:ascii="Sakkal Majalla" w:eastAsia="Noto Naskh Arabic" w:hAnsi="Sakkal Majalla" w:cs="Sakkal Majalla"/>
          <w:color w:val="000000" w:themeColor="text1"/>
          <w:sz w:val="36"/>
          <w:szCs w:val="36"/>
          <w:rtl/>
        </w:rPr>
        <w:t>. ويؤدي ذلك إلى الاعتماد على منصات ومزودين خارجيين، وهو اعتماد قد يخفض التكلفة لكنه يثير قضايا التعاقد، وقابلية نقل البيانات، والارتهان التقني، وموقع تخزين المعلومات، ومسؤولية الأخطاء.</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كما تتسم البيانات في كثير من المشروعات بالتشتت بين ملفات وجداول وأنظمة محاسبية وتسويقية، وقد تفتقر إلى معايير موحدة للتسمية والجودة والملكية. ويعني ذلك أن نجاح الذكاء الاصطناعي لا يبدأ بالنموذج، بل بتحديد البيانات المهمة، وتنظيفها، وتوثيقها، وضبط </w:t>
      </w:r>
      <w:r w:rsidRPr="001C6062">
        <w:rPr>
          <w:rFonts w:ascii="Sakkal Majalla" w:eastAsia="Noto Naskh Arabic" w:hAnsi="Sakkal Majalla" w:cs="Sakkal Majalla"/>
          <w:color w:val="000000" w:themeColor="text1"/>
          <w:sz w:val="36"/>
          <w:szCs w:val="36"/>
          <w:rtl/>
        </w:rPr>
        <w:lastRenderedPageBreak/>
        <w:t>الصلاحيات، وربطها بمشكلة الأعمال. ويصبح دور القيادة حاسمًا لأنها غالبًا صاحبة القرار الاستثماري والمشرفة مباشرة على التغيير.</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من الخصائص المهمة أيضًا أن أثر التجربة الفاشلة يكون نسبيًا أكبر في المشروع الصغير؛ لأن هامش الخطأ والموارد البديلة محدود. ولهذا يحتاج التبنّي إلى منهج تجريبي منضبط يبدأ بحالات استخدام محددة ومنخفضة المخاطر، ويضع معايير توقف واستمرار، ويقيس الوقت والتكلفة والجودة والمخاطر، ثم يقرر التوسع بناءً على أدلة.</w:t>
      </w:r>
    </w:p>
    <w:p w:rsidR="002A6D77" w:rsidRPr="001C6062" w:rsidRDefault="002A6D77"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7" w:name="_Toc235465313"/>
      <w:r w:rsidRPr="001C6062">
        <w:rPr>
          <w:rFonts w:ascii="Sakkal Majalla" w:eastAsia="Noto Sans Arabic" w:hAnsi="Sakkal Majalla" w:cs="Sakkal Majalla"/>
          <w:color w:val="000000" w:themeColor="text1"/>
          <w:sz w:val="36"/>
          <w:szCs w:val="36"/>
        </w:rPr>
        <w:t>2-2-4</w:t>
      </w:r>
      <w:r w:rsidRPr="001C6062">
        <w:rPr>
          <w:rFonts w:ascii="Sakkal Majalla" w:eastAsia="Noto Sans Arabic" w:hAnsi="Sakkal Majalla" w:cs="Sakkal Majalla"/>
          <w:color w:val="000000" w:themeColor="text1"/>
          <w:sz w:val="36"/>
          <w:szCs w:val="36"/>
          <w:rtl/>
        </w:rPr>
        <w:t xml:space="preserve"> التحول الرقمي والذكاء الاصطناعي في سياق المشروعات</w:t>
      </w:r>
      <w:r w:rsidR="002A6D77">
        <w:rPr>
          <w:rFonts w:ascii="Sakkal Majalla" w:eastAsia="Noto Sans Arabic" w:hAnsi="Sakkal Majalla" w:cs="Sakkal Majalla" w:hint="cs"/>
          <w:color w:val="000000" w:themeColor="text1"/>
          <w:sz w:val="36"/>
          <w:szCs w:val="36"/>
          <w:rtl/>
        </w:rPr>
        <w:t>:</w:t>
      </w:r>
      <w:bookmarkEnd w:id="7"/>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يمثل التحول الرقمي مرحلة أوسع من </w:t>
      </w:r>
      <w:proofErr w:type="spellStart"/>
      <w:r w:rsidRPr="001C6062">
        <w:rPr>
          <w:rFonts w:ascii="Sakkal Majalla" w:eastAsia="Noto Naskh Arabic" w:hAnsi="Sakkal Majalla" w:cs="Sakkal Majalla"/>
          <w:color w:val="000000" w:themeColor="text1"/>
          <w:sz w:val="36"/>
          <w:szCs w:val="36"/>
          <w:rtl/>
        </w:rPr>
        <w:t>رقمنة</w:t>
      </w:r>
      <w:proofErr w:type="spellEnd"/>
      <w:r w:rsidRPr="001C6062">
        <w:rPr>
          <w:rFonts w:ascii="Sakkal Majalla" w:eastAsia="Noto Naskh Arabic" w:hAnsi="Sakkal Majalla" w:cs="Sakkal Majalla"/>
          <w:color w:val="000000" w:themeColor="text1"/>
          <w:sz w:val="36"/>
          <w:szCs w:val="36"/>
          <w:rtl/>
        </w:rPr>
        <w:t xml:space="preserve"> الوثائق أو أتمتة مهمة منفردة؛ فهو يعيد تصميم العمليات والقيمة والعلاقات مع العملاء اعتمادًا على البيانات والتقنية. ويأتي الذكاء الاصطناعي بوصفه طبقة تحليل وقرار داخل هذا التحول؛ إذ يمكنه اكتشاف الأنماط، وتوقع الطلب، وتصنيف الحالات، وتوليد المحتوى، وتخصيص الخدمة، ورصد الانحرافات.</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لكن إدخال الذكاء الاصطناعي في بيئة غير ناضجة رقميًا قد يؤدي إلى تضخيم المشكلات بدل حلها؛ فالنموذج الذي يتغذى على بيانات غير دقيقة ينتج توصيات غير دقيقة، </w:t>
      </w:r>
      <w:proofErr w:type="spellStart"/>
      <w:r w:rsidRPr="001C6062">
        <w:rPr>
          <w:rFonts w:ascii="Sakkal Majalla" w:eastAsia="Noto Naskh Arabic" w:hAnsi="Sakkal Majalla" w:cs="Sakkal Majalla"/>
          <w:color w:val="000000" w:themeColor="text1"/>
          <w:sz w:val="36"/>
          <w:szCs w:val="36"/>
          <w:rtl/>
        </w:rPr>
        <w:t>والأتمتة</w:t>
      </w:r>
      <w:proofErr w:type="spellEnd"/>
      <w:r w:rsidRPr="001C6062">
        <w:rPr>
          <w:rFonts w:ascii="Sakkal Majalla" w:eastAsia="Noto Naskh Arabic" w:hAnsi="Sakkal Majalla" w:cs="Sakkal Majalla"/>
          <w:color w:val="000000" w:themeColor="text1"/>
          <w:sz w:val="36"/>
          <w:szCs w:val="36"/>
          <w:rtl/>
        </w:rPr>
        <w:t xml:space="preserve"> التي تُبنى فوق عملية ضعيفة قد تجعل الخطأ أسرع. لذلك ترتبط الجاهزية بالقدرة على تقييم العملية والبيانات والبنية والأشخاص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معًا، لا بمجرد توافر برنامج أو اشتراك.</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وتشير الأدلة إلى أن التبنّي في المشروعات يتأثر بترابط عوامل التكنولوجيا والتنظيم والبيئة؛ مثل المنفعة المتوقعة، والتوافق مع الأنظمة، وكلفة التنفيذ، ودعم الإدارة، والمهارات، والضغط التنافسي، والدعم الخارجي. غير أن الدراسات الحديثة توضح أن القدرات الداخلية الرقمية والتنظيمية تمثل شرطًا حاسمًا للاستفادة الفعلية من العوامل الخارجية (</w:t>
      </w:r>
      <w:proofErr w:type="spellStart"/>
      <w:r w:rsidRPr="001C6062">
        <w:rPr>
          <w:rFonts w:ascii="Sakkal Majalla" w:eastAsia="Noto Naskh Arabic" w:hAnsi="Sakkal Majalla" w:cs="Sakkal Majalla"/>
          <w:color w:val="000000" w:themeColor="text1"/>
          <w:sz w:val="36"/>
          <w:szCs w:val="36"/>
        </w:rPr>
        <w:t>Arroyabe</w:t>
      </w:r>
      <w:proofErr w:type="spellEnd"/>
      <w:r w:rsidRPr="001C6062">
        <w:rPr>
          <w:rFonts w:ascii="Sakkal Majalla" w:eastAsia="Noto Naskh Arabic" w:hAnsi="Sakkal Majalla" w:cs="Sakkal Majalla"/>
          <w:color w:val="000000" w:themeColor="text1"/>
          <w:sz w:val="36"/>
          <w:szCs w:val="36"/>
        </w:rPr>
        <w:t xml:space="preserve"> et al., 2024</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 xml:space="preserve">Chen &amp; </w:t>
      </w:r>
      <w:proofErr w:type="spellStart"/>
      <w:r w:rsidRPr="001C6062">
        <w:rPr>
          <w:rFonts w:ascii="Sakkal Majalla" w:eastAsia="Noto Naskh Arabic" w:hAnsi="Sakkal Majalla" w:cs="Sakkal Majalla"/>
          <w:color w:val="000000" w:themeColor="text1"/>
          <w:sz w:val="36"/>
          <w:szCs w:val="36"/>
        </w:rPr>
        <w:t>Tajdini</w:t>
      </w:r>
      <w:proofErr w:type="spellEnd"/>
      <w:r w:rsidRPr="001C6062">
        <w:rPr>
          <w:rFonts w:ascii="Sakkal Majalla" w:eastAsia="Noto Naskh Arabic" w:hAnsi="Sakkal Majalla" w:cs="Sakkal Majalla"/>
          <w:color w:val="000000" w:themeColor="text1"/>
          <w:sz w:val="36"/>
          <w:szCs w:val="36"/>
        </w:rPr>
        <w:t>, 2025</w:t>
      </w:r>
      <w:r w:rsidRPr="001C6062">
        <w:rPr>
          <w:rFonts w:ascii="Sakkal Majalla" w:eastAsia="Noto Naskh Arabic" w:hAnsi="Sakkal Majalla" w:cs="Sakkal Majalla"/>
          <w:color w:val="000000" w:themeColor="text1"/>
          <w:sz w:val="36"/>
          <w:szCs w:val="36"/>
          <w:rtl/>
        </w:rPr>
        <w:t>).</w:t>
      </w:r>
    </w:p>
    <w:p w:rsidR="002A6D77" w:rsidRPr="001C6062" w:rsidRDefault="002A6D77"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8" w:name="_Toc235465314"/>
      <w:r w:rsidRPr="001C6062">
        <w:rPr>
          <w:rFonts w:ascii="Sakkal Majalla" w:eastAsia="Noto Sans Arabic" w:hAnsi="Sakkal Majalla" w:cs="Sakkal Majalla"/>
          <w:color w:val="000000" w:themeColor="text1"/>
          <w:szCs w:val="36"/>
        </w:rPr>
        <w:t>2-3</w:t>
      </w:r>
      <w:r w:rsidRPr="001C6062">
        <w:rPr>
          <w:rFonts w:ascii="Sakkal Majalla" w:eastAsia="Noto Sans Arabic" w:hAnsi="Sakkal Majalla" w:cs="Sakkal Majalla"/>
          <w:color w:val="000000" w:themeColor="text1"/>
          <w:szCs w:val="36"/>
          <w:rtl/>
        </w:rPr>
        <w:t xml:space="preserve"> الذكاء الاصطناعي: المفهوم والتطبيقات الإدارية</w:t>
      </w:r>
      <w:bookmarkEnd w:id="8"/>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9" w:name="_Toc235465315"/>
      <w:r w:rsidRPr="001C6062">
        <w:rPr>
          <w:rFonts w:ascii="Sakkal Majalla" w:eastAsia="Noto Sans Arabic" w:hAnsi="Sakkal Majalla" w:cs="Sakkal Majalla"/>
          <w:color w:val="000000" w:themeColor="text1"/>
          <w:sz w:val="36"/>
          <w:szCs w:val="36"/>
        </w:rPr>
        <w:t>2-3-1</w:t>
      </w:r>
      <w:r w:rsidRPr="001C6062">
        <w:rPr>
          <w:rFonts w:ascii="Sakkal Majalla" w:eastAsia="Noto Sans Arabic" w:hAnsi="Sakkal Majalla" w:cs="Sakkal Majalla"/>
          <w:color w:val="000000" w:themeColor="text1"/>
          <w:sz w:val="36"/>
          <w:szCs w:val="36"/>
          <w:rtl/>
        </w:rPr>
        <w:t xml:space="preserve"> مفهوم الذكاء الاصطناعي وتطوره</w:t>
      </w:r>
      <w:r w:rsidR="002A6D77">
        <w:rPr>
          <w:rFonts w:ascii="Sakkal Majalla" w:eastAsia="Noto Sans Arabic" w:hAnsi="Sakkal Majalla" w:cs="Sakkal Majalla" w:hint="cs"/>
          <w:color w:val="000000" w:themeColor="text1"/>
          <w:sz w:val="36"/>
          <w:szCs w:val="36"/>
          <w:rtl/>
        </w:rPr>
        <w:t>:</w:t>
      </w:r>
      <w:bookmarkEnd w:id="9"/>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يشير الذكاء الاصطناعي إلى مجموعة من الأساليب والنظم التي تنفذ مهام ترتبط عادة بالإدراك البشري، مثل التعلم والاستدلال والتنبؤ ومعالجة اللغة والصورة واتخاذ القرار. ويضم المفهوم التعلم الآلي والتعلم العميق ومعالجة اللغة الطبيعية والرؤية الحاسوبية والأنظمة </w:t>
      </w:r>
      <w:r w:rsidRPr="001C6062">
        <w:rPr>
          <w:rFonts w:ascii="Sakkal Majalla" w:eastAsia="Noto Naskh Arabic" w:hAnsi="Sakkal Majalla" w:cs="Sakkal Majalla"/>
          <w:color w:val="000000" w:themeColor="text1"/>
          <w:sz w:val="36"/>
          <w:szCs w:val="36"/>
          <w:rtl/>
        </w:rPr>
        <w:lastRenderedPageBreak/>
        <w:t>الخبيرة والذكاء الاصطناعي التوليدي. ويختلف مستوى الاستقلالية من أنظمة مساعدة تعرض توصية إلى أنظمة تنفذ إجراءات ضمن ضوابط محددة.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شهد التطور الحديث انتقالًا من نماذج مخصصة لمهمة واحدة إلى نماذج أساسية قادرة على أداء طيف واسع من مهام النص والصورة والصوت، ما أتاح للمشروعات استخدامات لم تكن ممكنة دون استثمارات كبيرة. ومع ذلك فإن سهولة الاستخدام الظاهرية لا تعني بساطة التنفيذ المؤسسي؛ لأن جودة المخرجات تعتمد على جودة المدخلات والسياق والتعليمات والرقابة البشرية والتكامل مع سير العمل.</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من الناحية الإدارية، يُنظر إلى الذكاء الاصطناعي بوصفه موردًا داعمًا للقرار وليس بديلًا مطلقًا عن الحكم الإداري. فهو يزيد سرعة معالجة المعلومات واتساعها، لكنه قد ينتج أخطاء أو تحيزات أو مخرجات غير قابلة للتفسير. ولذلك تتطلب القيمة نموذجًا لتوزيع الأدوار بين الإنسان والنظام، يحدد المهام القابلة </w:t>
      </w:r>
      <w:proofErr w:type="spellStart"/>
      <w:r w:rsidRPr="001C6062">
        <w:rPr>
          <w:rFonts w:ascii="Sakkal Majalla" w:eastAsia="Noto Naskh Arabic" w:hAnsi="Sakkal Majalla" w:cs="Sakkal Majalla"/>
          <w:color w:val="000000" w:themeColor="text1"/>
          <w:sz w:val="36"/>
          <w:szCs w:val="36"/>
          <w:rtl/>
        </w:rPr>
        <w:t>للأتمتة</w:t>
      </w:r>
      <w:proofErr w:type="spellEnd"/>
      <w:r w:rsidRPr="001C6062">
        <w:rPr>
          <w:rFonts w:ascii="Sakkal Majalla" w:eastAsia="Noto Naskh Arabic" w:hAnsi="Sakkal Majalla" w:cs="Sakkal Majalla"/>
          <w:color w:val="000000" w:themeColor="text1"/>
          <w:sz w:val="36"/>
          <w:szCs w:val="36"/>
          <w:rtl/>
        </w:rPr>
        <w:t xml:space="preserve"> والمهام التي تحتاج مراجعة أو مسؤولية بشرية.</w:t>
      </w:r>
    </w:p>
    <w:p w:rsidR="002A6D77" w:rsidRPr="001C6062" w:rsidRDefault="002A6D77"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0" w:name="_Toc235465316"/>
      <w:r w:rsidRPr="001C6062">
        <w:rPr>
          <w:rFonts w:ascii="Sakkal Majalla" w:eastAsia="Noto Sans Arabic" w:hAnsi="Sakkal Majalla" w:cs="Sakkal Majalla"/>
          <w:color w:val="000000" w:themeColor="text1"/>
          <w:sz w:val="36"/>
          <w:szCs w:val="36"/>
        </w:rPr>
        <w:t>2-3-2</w:t>
      </w:r>
      <w:r w:rsidRPr="001C6062">
        <w:rPr>
          <w:rFonts w:ascii="Sakkal Majalla" w:eastAsia="Noto Sans Arabic" w:hAnsi="Sakkal Majalla" w:cs="Sakkal Majalla"/>
          <w:color w:val="000000" w:themeColor="text1"/>
          <w:sz w:val="36"/>
          <w:szCs w:val="36"/>
          <w:rtl/>
        </w:rPr>
        <w:t xml:space="preserve"> التطبيقات المحتملة في المشروعات الصغيرة والمتوسطة</w:t>
      </w:r>
      <w:r w:rsidR="002A6D77">
        <w:rPr>
          <w:rFonts w:ascii="Sakkal Majalla" w:eastAsia="Noto Sans Arabic" w:hAnsi="Sakkal Majalla" w:cs="Sakkal Majalla" w:hint="cs"/>
          <w:color w:val="000000" w:themeColor="text1"/>
          <w:sz w:val="36"/>
          <w:szCs w:val="36"/>
          <w:rtl/>
        </w:rPr>
        <w:t>:</w:t>
      </w:r>
      <w:bookmarkEnd w:id="10"/>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 أمثلة تطبيقات الذكاء الاصطناعي في المشروعات الصغيرة والمتوسطة</w:t>
      </w:r>
    </w:p>
    <w:tbl>
      <w:tblPr>
        <w:tblStyle w:val="afb"/>
        <w:bidiVisual/>
        <w:tblW w:w="9185" w:type="dxa"/>
        <w:jc w:val="center"/>
        <w:tblLayout w:type="fixed"/>
        <w:tblCellMar>
          <w:top w:w="90" w:type="dxa"/>
          <w:left w:w="90" w:type="dxa"/>
          <w:bottom w:w="90" w:type="dxa"/>
          <w:right w:w="90" w:type="dxa"/>
        </w:tblCellMar>
        <w:tblLook w:val="04A0" w:firstRow="1" w:lastRow="0" w:firstColumn="1" w:lastColumn="0" w:noHBand="0" w:noVBand="1"/>
      </w:tblPr>
      <w:tblGrid>
        <w:gridCol w:w="1530"/>
        <w:gridCol w:w="2703"/>
        <w:gridCol w:w="2694"/>
        <w:gridCol w:w="2258"/>
      </w:tblGrid>
      <w:tr w:rsidR="001C6062" w:rsidRPr="001C6062" w:rsidTr="00DF3755">
        <w:trPr>
          <w:tblHeader/>
          <w:jc w:val="center"/>
        </w:trPr>
        <w:tc>
          <w:tcPr>
            <w:tcW w:w="1530"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المجال</w:t>
            </w:r>
          </w:p>
        </w:tc>
        <w:tc>
          <w:tcPr>
            <w:tcW w:w="2703"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الاستخدامات</w:t>
            </w:r>
          </w:p>
        </w:tc>
        <w:tc>
          <w:tcPr>
            <w:tcW w:w="2694"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القيمة المحتملة</w:t>
            </w:r>
          </w:p>
        </w:tc>
        <w:tc>
          <w:tcPr>
            <w:tcW w:w="2258"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المخاطر الرئيسة</w:t>
            </w:r>
          </w:p>
        </w:tc>
      </w:tr>
      <w:tr w:rsidR="001C6062" w:rsidRPr="001C6062" w:rsidTr="00DF3755">
        <w:trPr>
          <w:jc w:val="center"/>
        </w:trPr>
        <w:tc>
          <w:tcPr>
            <w:tcW w:w="153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التسويق والمبيعات</w:t>
            </w:r>
          </w:p>
        </w:tc>
        <w:tc>
          <w:tcPr>
            <w:tcW w:w="270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تحليل الشرائح، توقع الطلب، تخصيص العروض، توليد المسودات، تقييم الحملات</w:t>
            </w:r>
          </w:p>
        </w:tc>
        <w:tc>
          <w:tcPr>
            <w:tcW w:w="2694"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ارتفاع التحويل وسرعة إنتاج المحتوى</w:t>
            </w:r>
          </w:p>
        </w:tc>
        <w:tc>
          <w:tcPr>
            <w:tcW w:w="225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المبالغة في التخصيص، محتوى غير دقيق، استخدام بيانات دون أساس نظامي</w:t>
            </w:r>
          </w:p>
        </w:tc>
      </w:tr>
      <w:tr w:rsidR="001C6062" w:rsidRPr="001C6062" w:rsidTr="00DF3755">
        <w:trPr>
          <w:jc w:val="center"/>
        </w:trPr>
        <w:tc>
          <w:tcPr>
            <w:tcW w:w="153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خدمة العملاء</w:t>
            </w:r>
          </w:p>
        </w:tc>
        <w:tc>
          <w:tcPr>
            <w:tcW w:w="2703"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مساعدات محادثة، تصنيف الطلبات، تلخيص الشكاوى، اقتراح الردود</w:t>
            </w:r>
          </w:p>
        </w:tc>
        <w:tc>
          <w:tcPr>
            <w:tcW w:w="2694"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تقليل زمن الاستجابة وتحسين الاتساق</w:t>
            </w:r>
          </w:p>
        </w:tc>
        <w:tc>
          <w:tcPr>
            <w:tcW w:w="2258"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إجابات خاطئة، كشف بيانات، ضعف التصعيد للإنسان</w:t>
            </w:r>
          </w:p>
        </w:tc>
      </w:tr>
      <w:tr w:rsidR="001C6062" w:rsidRPr="001C6062" w:rsidTr="00DF3755">
        <w:trPr>
          <w:jc w:val="center"/>
        </w:trPr>
        <w:tc>
          <w:tcPr>
            <w:tcW w:w="153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العمليات وسلسلة الإمداد</w:t>
            </w:r>
          </w:p>
        </w:tc>
        <w:tc>
          <w:tcPr>
            <w:tcW w:w="270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توقع المخزون، الجدولة، اكتشاف الانحرافات، صيانة </w:t>
            </w:r>
            <w:proofErr w:type="spellStart"/>
            <w:r w:rsidRPr="001C6062">
              <w:rPr>
                <w:rFonts w:ascii="Sakkal Majalla" w:eastAsia="Noto Naskh Arabic" w:hAnsi="Sakkal Majalla" w:cs="Sakkal Majalla"/>
                <w:color w:val="000000" w:themeColor="text1"/>
                <w:sz w:val="36"/>
                <w:szCs w:val="36"/>
                <w:rtl/>
              </w:rPr>
              <w:t>تنبؤية</w:t>
            </w:r>
            <w:proofErr w:type="spellEnd"/>
          </w:p>
        </w:tc>
        <w:tc>
          <w:tcPr>
            <w:tcW w:w="2694"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خفض الهدر وتحسين التوافر</w:t>
            </w:r>
          </w:p>
        </w:tc>
        <w:tc>
          <w:tcPr>
            <w:tcW w:w="225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بيانات غير مكتملة، اعتماد مفرط على التنبؤ</w:t>
            </w:r>
          </w:p>
        </w:tc>
      </w:tr>
      <w:tr w:rsidR="001C6062" w:rsidRPr="001C6062" w:rsidTr="00DF3755">
        <w:trPr>
          <w:jc w:val="center"/>
        </w:trPr>
        <w:tc>
          <w:tcPr>
            <w:tcW w:w="153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المالية والمخاطر</w:t>
            </w:r>
          </w:p>
        </w:tc>
        <w:tc>
          <w:tcPr>
            <w:tcW w:w="2703"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تصنيف المصروفات، كشف الشذوذ، توقع التدفق النقدي، دعم الائتمان</w:t>
            </w:r>
          </w:p>
        </w:tc>
        <w:tc>
          <w:tcPr>
            <w:tcW w:w="2694"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سرعة المراجعة وتحسين الرؤية</w:t>
            </w:r>
          </w:p>
        </w:tc>
        <w:tc>
          <w:tcPr>
            <w:tcW w:w="2258"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تحيز، إنذارات زائفة، تفسير غير كاف</w:t>
            </w:r>
          </w:p>
        </w:tc>
      </w:tr>
      <w:tr w:rsidR="001C6062" w:rsidRPr="001C6062" w:rsidTr="00DF3755">
        <w:trPr>
          <w:jc w:val="center"/>
        </w:trPr>
        <w:tc>
          <w:tcPr>
            <w:tcW w:w="153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الموارد البشرية</w:t>
            </w:r>
          </w:p>
        </w:tc>
        <w:tc>
          <w:tcPr>
            <w:tcW w:w="270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فرز أولي، توصيات تعلم، تحليل مهارات، دعم السياسات</w:t>
            </w:r>
          </w:p>
        </w:tc>
        <w:tc>
          <w:tcPr>
            <w:tcW w:w="2694"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تسريع الإجراءات وتخصيص التدريب</w:t>
            </w:r>
          </w:p>
        </w:tc>
        <w:tc>
          <w:tcPr>
            <w:tcW w:w="225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تمييز غير مقصود، قرارات حساسة دون مراجعة</w:t>
            </w:r>
          </w:p>
        </w:tc>
      </w:tr>
      <w:tr w:rsidR="001C6062" w:rsidRPr="001C6062" w:rsidTr="00DF3755">
        <w:trPr>
          <w:jc w:val="center"/>
        </w:trPr>
        <w:tc>
          <w:tcPr>
            <w:tcW w:w="153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إدارة المعرفة</w:t>
            </w:r>
          </w:p>
        </w:tc>
        <w:tc>
          <w:tcPr>
            <w:tcW w:w="2703"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بحث دلالي، تلخيص، استخراج دروس، توصية خبراء ووثائق</w:t>
            </w:r>
          </w:p>
        </w:tc>
        <w:tc>
          <w:tcPr>
            <w:tcW w:w="2694"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خفض زمن الوصول وتحويل المعرفة الضمنية</w:t>
            </w:r>
          </w:p>
        </w:tc>
        <w:tc>
          <w:tcPr>
            <w:tcW w:w="2258"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هلوسة، فقدان السياق، تضارب النسخ</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المصدر: إعداد الباحث في ضوء الأدبيات وإرشادات </w:t>
      </w:r>
      <w:proofErr w:type="spellStart"/>
      <w:r w:rsidRPr="001C6062">
        <w:rPr>
          <w:rFonts w:ascii="Sakkal Majalla" w:eastAsia="Noto Naskh Arabic" w:hAnsi="Sakkal Majalla" w:cs="Sakkal Majalla"/>
          <w:color w:val="000000" w:themeColor="text1"/>
          <w:sz w:val="36"/>
          <w:szCs w:val="36"/>
          <w:rtl/>
        </w:rPr>
        <w:t>سدايا</w:t>
      </w:r>
      <w:proofErr w:type="spellEnd"/>
      <w:r w:rsidRPr="001C6062">
        <w:rPr>
          <w:rFonts w:ascii="Sakkal Majalla" w:eastAsia="Noto Naskh Arabic" w:hAnsi="Sakkal Majalla" w:cs="Sakkal Majalla"/>
          <w:color w:val="000000" w:themeColor="text1"/>
          <w:sz w:val="36"/>
          <w:szCs w:val="36"/>
          <w:rtl/>
        </w:rPr>
        <w:t>.</w:t>
      </w:r>
    </w:p>
    <w:p w:rsidR="002A6D77" w:rsidRPr="001C6062" w:rsidRDefault="002A6D77"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1" w:name="_Toc235465317"/>
      <w:r w:rsidRPr="001C6062">
        <w:rPr>
          <w:rFonts w:ascii="Sakkal Majalla" w:eastAsia="Noto Sans Arabic" w:hAnsi="Sakkal Majalla" w:cs="Sakkal Majalla"/>
          <w:color w:val="000000" w:themeColor="text1"/>
          <w:sz w:val="36"/>
          <w:szCs w:val="36"/>
        </w:rPr>
        <w:t>2-3-3</w:t>
      </w:r>
      <w:r w:rsidRPr="001C6062">
        <w:rPr>
          <w:rFonts w:ascii="Sakkal Majalla" w:eastAsia="Noto Sans Arabic" w:hAnsi="Sakkal Majalla" w:cs="Sakkal Majalla"/>
          <w:color w:val="000000" w:themeColor="text1"/>
          <w:sz w:val="36"/>
          <w:szCs w:val="36"/>
          <w:rtl/>
        </w:rPr>
        <w:t xml:space="preserve"> القيمة التنظيمية المتوقعة</w:t>
      </w:r>
      <w:r w:rsidR="002A6D77">
        <w:rPr>
          <w:rFonts w:ascii="Sakkal Majalla" w:eastAsia="Noto Sans Arabic" w:hAnsi="Sakkal Majalla" w:cs="Sakkal Majalla" w:hint="cs"/>
          <w:color w:val="000000" w:themeColor="text1"/>
          <w:sz w:val="36"/>
          <w:szCs w:val="36"/>
          <w:rtl/>
        </w:rPr>
        <w:t>:</w:t>
      </w:r>
      <w:bookmarkEnd w:id="11"/>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يمكن تلخيص القيمة التنظيمية للذكاء الاصطناعي في أربعة مسارات. المسار الأول هو الكفاءة، من خلال تقليل الوقت والجهد في المهام المتكررة وتحسين تخصيص الموارد. والمسار الثاني هو الجودة، عبر اكتشاف الأنماط والاتساق وتوفير معلومات أوسع للقرار. والمسار الثالث هو الابتكار، من خلال تجريب عروض ونماذج أعمال جديدة. والمسار الرابع هو المرونة، عبر تقصير زمن الاستشعار والتحليل والاستجابة.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غير أن القيمة ليست خاصية ثابتة في التقنية؛ فالمنظمة هي التي تخلقها من خلال اختيار المشكلة، وإعادة تصميم العملية، وتحديد مسؤولية المخرجات، وتدريب المستخدمين، وقياس الفرق بين الوضع قبل التطبيق وبعده. وقد يحقق مشروع قيمة باستخدام أداة بسيطة إذا كانت البيانات والعملية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جيدة، بينما يفشل مشروع آخر رغم استخدامه نموذجًا متقدمًا بسبب غياب الجاهزية.</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ولهذا تميز الدراسة بين «الإمكان التقني» و«القدرة التنظيمية». الإمكان التقني يصف ما تستطيع الأداة فعله في ظروف معينة، أما القدرة التنظيمية فتصف قدرة المشروع على دمج الأداة </w:t>
      </w:r>
      <w:r w:rsidRPr="001C6062">
        <w:rPr>
          <w:rFonts w:ascii="Sakkal Majalla" w:eastAsia="Noto Naskh Arabic" w:hAnsi="Sakkal Majalla" w:cs="Sakkal Majalla"/>
          <w:color w:val="000000" w:themeColor="text1"/>
          <w:sz w:val="36"/>
          <w:szCs w:val="36"/>
          <w:rtl/>
        </w:rPr>
        <w:lastRenderedPageBreak/>
        <w:t>في العمل المتكرر بصورة موثوقة. ويرتبط موضوع الدراسة بالقدرة الثانية؛ لأنها الأقرب إلى تفسير الأثر المستدام في المرونة.</w:t>
      </w:r>
    </w:p>
    <w:p w:rsidR="005C72B9" w:rsidRPr="001C6062" w:rsidRDefault="005C72B9"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2" w:name="_Toc235465318"/>
      <w:r w:rsidRPr="001C6062">
        <w:rPr>
          <w:rFonts w:ascii="Sakkal Majalla" w:eastAsia="Noto Sans Arabic" w:hAnsi="Sakkal Majalla" w:cs="Sakkal Majalla"/>
          <w:color w:val="000000" w:themeColor="text1"/>
          <w:sz w:val="36"/>
          <w:szCs w:val="36"/>
        </w:rPr>
        <w:t>2-3-4</w:t>
      </w:r>
      <w:r w:rsidRPr="001C6062">
        <w:rPr>
          <w:rFonts w:ascii="Sakkal Majalla" w:eastAsia="Noto Sans Arabic" w:hAnsi="Sakkal Majalla" w:cs="Sakkal Majalla"/>
          <w:color w:val="000000" w:themeColor="text1"/>
          <w:sz w:val="36"/>
          <w:szCs w:val="36"/>
          <w:rtl/>
        </w:rPr>
        <w:t xml:space="preserve"> المخاطر والتحديات</w:t>
      </w:r>
      <w:r w:rsidR="005C72B9">
        <w:rPr>
          <w:rFonts w:ascii="Sakkal Majalla" w:eastAsia="Noto Sans Arabic" w:hAnsi="Sakkal Majalla" w:cs="Sakkal Majalla" w:hint="cs"/>
          <w:color w:val="000000" w:themeColor="text1"/>
          <w:sz w:val="36"/>
          <w:szCs w:val="36"/>
          <w:rtl/>
        </w:rPr>
        <w:t>:</w:t>
      </w:r>
      <w:bookmarkEnd w:id="12"/>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تتضمن مخاطر الذكاء الاصطناعي قضايا الدقة والتحيز والخصوصية والأمن والملكية الفكرية والشفافية وقابلية التفسير واستمرارية الخدمة. وقد تكون هذه المخاطر أعلى في المشروعات الصغيرة بسبب ضعف الفصل بين الصلاحيات أو عدم وجود سياسات أو مراجعة قانونية وتقنية منتظمة. كما قد يستخدم الموظفون أدوات عامة دون موافقة، فيرفعون بيانات عملاء أو عقودًا أو أسرارًا تجارية إلى خدمات خارجية.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تتعلق فئة أخرى من المخاطر بالقرار والاستراتيجية، مثل اختيار حالة استخدام منخفضة القيمة، أو قياس النجاح بمؤشرات نشاط لا بمؤشرات نتيجة، أو الاستمرار في مشروع لمجرد الاستثمار السابق، أو الاعتماد على مزود واحد. ويمكن أن تؤدي الوعود التسويقية المبالغ فيها إلى توقعات غير واقعية، بينما يؤدي الخوف المفرط إلى تأخر المشروع وفقدان فرص التعلم.</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تؤكد مبادئ أخلاقيات الذكاء الاصطناعي ضرورة العدالة والخصوصية والأمن والشفافية والقابلية للتفسير والمسؤولية والموثوقية والإنسانية. وتقتضي ترجمة هذه المبادئ في المشروع تحديد مستوى المخاطر، وتوثيق الغرض والبيانات، واختبار الأداء، وإبقاء الإنسان في القرارات الحساسة، ووضع قناة للإبلاغ عن المشكلات، ومراجعة الحل دوريًا (الهيئة السعودية للبيانات والذكاء الاصطناعي، </w:t>
      </w:r>
      <w:r w:rsidRPr="001C6062">
        <w:rPr>
          <w:rFonts w:ascii="Sakkal Majalla" w:eastAsia="Noto Naskh Arabic" w:hAnsi="Sakkal Majalla" w:cs="Sakkal Majalla"/>
          <w:color w:val="000000" w:themeColor="text1"/>
          <w:sz w:val="36"/>
          <w:szCs w:val="36"/>
        </w:rPr>
        <w:t>2022</w:t>
      </w:r>
      <w:r w:rsidRPr="001C6062">
        <w:rPr>
          <w:rFonts w:ascii="Sakkal Majalla" w:eastAsia="Noto Naskh Arabic" w:hAnsi="Sakkal Majalla" w:cs="Sakkal Majalla"/>
          <w:color w:val="000000" w:themeColor="text1"/>
          <w:sz w:val="36"/>
          <w:szCs w:val="36"/>
          <w:rtl/>
        </w:rPr>
        <w:t>).</w:t>
      </w:r>
    </w:p>
    <w:p w:rsidR="005C72B9" w:rsidRPr="001C6062" w:rsidRDefault="005C72B9"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13" w:name="_Toc235465319"/>
      <w:r w:rsidRPr="001C6062">
        <w:rPr>
          <w:rFonts w:ascii="Sakkal Majalla" w:eastAsia="Noto Sans Arabic" w:hAnsi="Sakkal Majalla" w:cs="Sakkal Majalla"/>
          <w:color w:val="000000" w:themeColor="text1"/>
          <w:szCs w:val="36"/>
        </w:rPr>
        <w:t>2-4</w:t>
      </w:r>
      <w:r w:rsidRPr="001C6062">
        <w:rPr>
          <w:rFonts w:ascii="Sakkal Majalla" w:eastAsia="Noto Sans Arabic" w:hAnsi="Sakkal Majalla" w:cs="Sakkal Majalla"/>
          <w:color w:val="000000" w:themeColor="text1"/>
          <w:szCs w:val="36"/>
          <w:rtl/>
        </w:rPr>
        <w:t xml:space="preserve"> جاهزية تبنّي الذكاء الاصطناعي</w:t>
      </w:r>
      <w:r w:rsidR="005C72B9">
        <w:rPr>
          <w:rFonts w:ascii="Sakkal Majalla" w:eastAsia="Noto Sans Arabic" w:hAnsi="Sakkal Majalla" w:cs="Sakkal Majalla" w:hint="cs"/>
          <w:color w:val="000000" w:themeColor="text1"/>
          <w:szCs w:val="36"/>
          <w:rtl/>
        </w:rPr>
        <w:t>:</w:t>
      </w:r>
      <w:bookmarkEnd w:id="13"/>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4" w:name="_Toc235465320"/>
      <w:r w:rsidRPr="001C6062">
        <w:rPr>
          <w:rFonts w:ascii="Sakkal Majalla" w:eastAsia="Noto Sans Arabic" w:hAnsi="Sakkal Majalla" w:cs="Sakkal Majalla"/>
          <w:color w:val="000000" w:themeColor="text1"/>
          <w:sz w:val="36"/>
          <w:szCs w:val="36"/>
        </w:rPr>
        <w:t>2-4-1</w:t>
      </w:r>
      <w:r w:rsidRPr="001C6062">
        <w:rPr>
          <w:rFonts w:ascii="Sakkal Majalla" w:eastAsia="Noto Sans Arabic" w:hAnsi="Sakkal Majalla" w:cs="Sakkal Majalla"/>
          <w:color w:val="000000" w:themeColor="text1"/>
          <w:sz w:val="36"/>
          <w:szCs w:val="36"/>
          <w:rtl/>
        </w:rPr>
        <w:t xml:space="preserve"> مفهوم الجاهزية والتمييز عن التبنّي والنضج</w:t>
      </w:r>
      <w:r w:rsidR="005C72B9">
        <w:rPr>
          <w:rFonts w:ascii="Sakkal Majalla" w:eastAsia="Noto Sans Arabic" w:hAnsi="Sakkal Majalla" w:cs="Sakkal Majalla" w:hint="cs"/>
          <w:color w:val="000000" w:themeColor="text1"/>
          <w:sz w:val="36"/>
          <w:szCs w:val="36"/>
          <w:rtl/>
        </w:rPr>
        <w:t>:</w:t>
      </w:r>
      <w:bookmarkEnd w:id="14"/>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الجاهزية هي مستوى استعداد المنظمة للبدء في التبنّي وتوسيعه بصورة منظمة. وهي سابقة منطقيًا على التبنّي، لكنها تتطور معه؛ إذ تكشف التجارب جوانب ضعف جديدة وتولد تعلمًا يزيد الجاهزية. أما التبنّي فهو قرار الاستخدام والتنفيذ، في حين يشير النضج إلى درجة تكامل الذكاء الاصطناعي مع الاستراتيجية والعمليات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وتكرار القيمة عبر حالات متعددة.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قد تكون المنظمة جاهزة نسبيًا ولم تبدأ التطبيق بسبب قرار استثماري أو ظرف خارجي، وقد تكون مستخدمة لأدوات كثيرة لكنها غير جاهزة مؤسسيًا إذا كان الاستخدام فرديًا وغير محكوم. </w:t>
      </w:r>
      <w:r w:rsidRPr="001C6062">
        <w:rPr>
          <w:rFonts w:ascii="Sakkal Majalla" w:eastAsia="Noto Naskh Arabic" w:hAnsi="Sakkal Majalla" w:cs="Sakkal Majalla"/>
          <w:color w:val="000000" w:themeColor="text1"/>
          <w:sz w:val="36"/>
          <w:szCs w:val="36"/>
          <w:rtl/>
        </w:rPr>
        <w:lastRenderedPageBreak/>
        <w:t>ولذلك يمنع قياس الجاهزية الخلط بين كثرة الأدوات وجودة التبنّي. كما يساعد على تحديد الفجوة بين الوضع الحالي والمتطلبات اللازمة لحالة استخدام محددة.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تُعرّف الدراسة جاهزية تبنّي الذكاء الاصطناعي بأنها قدرة المشروع على اختيار حالات استخدام ملائمة، وتوفير التقنية والبيانات والمهارات والقيادة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اللازمة لتطوير الحل أو اقتنائه ودمجه وتشغيله ومراقبته وتحسينه بطريقة تحقق قيمة وتحافظ على المسؤولية. ويتوافق هذا التعريف مع الأطر التي تنظر إلى التبنّي كمنظومة اجتماعية-تقنية، لا كقرار تقني منفرد (الهيئة السعودية للبيانات والذكاء الاصطناعي،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Jöhnk</w:t>
      </w:r>
      <w:proofErr w:type="spellEnd"/>
      <w:r w:rsidRPr="001C6062">
        <w:rPr>
          <w:rFonts w:ascii="Sakkal Majalla" w:eastAsia="Noto Naskh Arabic" w:hAnsi="Sakkal Majalla" w:cs="Sakkal Majalla"/>
          <w:color w:val="000000" w:themeColor="text1"/>
          <w:sz w:val="36"/>
          <w:szCs w:val="36"/>
        </w:rPr>
        <w:t xml:space="preserve"> et al., 2021</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Arroyabe</w:t>
      </w:r>
      <w:proofErr w:type="spellEnd"/>
      <w:r w:rsidRPr="001C6062">
        <w:rPr>
          <w:rFonts w:ascii="Sakkal Majalla" w:eastAsia="Noto Naskh Arabic" w:hAnsi="Sakkal Majalla" w:cs="Sakkal Majalla"/>
          <w:color w:val="000000" w:themeColor="text1"/>
          <w:sz w:val="36"/>
          <w:szCs w:val="36"/>
        </w:rPr>
        <w:t xml:space="preserve"> et al., 2024</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5" w:name="_Toc235465321"/>
      <w:r w:rsidRPr="001C6062">
        <w:rPr>
          <w:rFonts w:ascii="Sakkal Majalla" w:eastAsia="Noto Sans Arabic" w:hAnsi="Sakkal Majalla" w:cs="Sakkal Majalla"/>
          <w:color w:val="000000" w:themeColor="text1"/>
          <w:sz w:val="36"/>
          <w:szCs w:val="36"/>
        </w:rPr>
        <w:t>2-4-2</w:t>
      </w:r>
      <w:r w:rsidRPr="001C6062">
        <w:rPr>
          <w:rFonts w:ascii="Sakkal Majalla" w:eastAsia="Noto Sans Arabic" w:hAnsi="Sakkal Majalla" w:cs="Sakkal Majalla"/>
          <w:color w:val="000000" w:themeColor="text1"/>
          <w:sz w:val="36"/>
          <w:szCs w:val="36"/>
          <w:rtl/>
        </w:rPr>
        <w:t xml:space="preserve"> الجاهزية التقنية</w:t>
      </w:r>
      <w:r w:rsidR="005C72B9">
        <w:rPr>
          <w:rFonts w:ascii="Sakkal Majalla" w:eastAsia="Noto Sans Arabic" w:hAnsi="Sakkal Majalla" w:cs="Sakkal Majalla" w:hint="cs"/>
          <w:color w:val="000000" w:themeColor="text1"/>
          <w:sz w:val="36"/>
          <w:szCs w:val="36"/>
          <w:rtl/>
        </w:rPr>
        <w:t>:</w:t>
      </w:r>
      <w:bookmarkEnd w:id="15"/>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تشمل الجاهزية التقنية البنية الحاسوبية والشبكات والتطبيقات وواجهات التكامل والأمن والقدرة على التشغيل والمراقبة. ولا تعني امتلاك خوادم متقدمة بالضرورة؛ فقد تعتمد المشروعات على الخدمات السحابية، لكن عليها التأكد من موثوقية الاتصال، وقابلية التكامل، وإدارة الهوية والصلاحيات، والنسخ الاحتياطي، ومراقبة الاستخدام والتكلفة.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يتحدد المستوى المطلوب من الجاهزية التقنية بحسب حالة الاستخدام. فمساعد داخلي للبحث في سياسات غير حساسة يحتاج متطلبات أقل من نظام يتخذ قرارات ائتمانية أو يعالج بيانات صحية. وتساعد المقاربة القائمة على المخاطر في تجنب الإفراط في البناء أو التقليل من المتطلبات. ومن المؤشرات المهمة: وجود جرد للأنظمة، وواجهات تكامل، وبيئة اختبار، وإدارة تغيير، ومراقبة للأداء، وخطة استمرارية.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تتضمن الجاهزية التقنية أيضًا القدرة على اختيار نموذج التوريد: بناء داخلي، أو خدمة سحابية، أو حل جاهز، أو نموذج هجين. ويجب أن يقارن القرار بين السرعة والتكلفة والتحكم والمهارات والاعتماد على المورد ومتطلبات البيانات. وفي المشروعات الصغيرة غالبًا ما يكون الحل الجاهز مناسبًا، بشرط ألا يتحول انخفاض كلفة البداية إلى كلفة مرتفعة على المدى الطويل بسبب صعوبة النقل أو التوسع.</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6" w:name="_Toc235465322"/>
      <w:r w:rsidRPr="001C6062">
        <w:rPr>
          <w:rFonts w:ascii="Sakkal Majalla" w:eastAsia="Noto Sans Arabic" w:hAnsi="Sakkal Majalla" w:cs="Sakkal Majalla"/>
          <w:color w:val="000000" w:themeColor="text1"/>
          <w:sz w:val="36"/>
          <w:szCs w:val="36"/>
        </w:rPr>
        <w:t>2-4-3</w:t>
      </w:r>
      <w:r w:rsidRPr="001C6062">
        <w:rPr>
          <w:rFonts w:ascii="Sakkal Majalla" w:eastAsia="Noto Sans Arabic" w:hAnsi="Sakkal Majalla" w:cs="Sakkal Majalla"/>
          <w:color w:val="000000" w:themeColor="text1"/>
          <w:sz w:val="36"/>
          <w:szCs w:val="36"/>
          <w:rtl/>
        </w:rPr>
        <w:t xml:space="preserve"> جاهزية البيانات</w:t>
      </w:r>
      <w:r w:rsidR="005C72B9">
        <w:rPr>
          <w:rFonts w:ascii="Sakkal Majalla" w:eastAsia="Noto Sans Arabic" w:hAnsi="Sakkal Majalla" w:cs="Sakkal Majalla" w:hint="cs"/>
          <w:color w:val="000000" w:themeColor="text1"/>
          <w:sz w:val="36"/>
          <w:szCs w:val="36"/>
          <w:rtl/>
        </w:rPr>
        <w:t>:</w:t>
      </w:r>
      <w:bookmarkEnd w:id="16"/>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البيانات هي المادة التي تعتمد عليها نماذج الذكاء الاصطناعي في التعلم أو الاسترجاع أو التنبؤ، ولذلك تُعد جاهزيتها من أكثر الأبعاد حساسية. وتشمل الجودة من حيث الدقة والاكتمال والاتساق والحداثة، والملاءمة للغرض، والتوافر، وقابلية الربط، ووضوح الملكية، والامتثال للخصوصية، وأمن التخزين والنقل.</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في المشروعات الصغيرة قد تكون البيانات موزعة بين نظام نقاط البيع، والمتجر الإلكتروني، وبرنامج المحاسبة، ورسائل العملاء، وجداول شخصية. ويؤدي غياب معرّفات موحدة وتعريفات مشتركة إلى تضارب الأرقام. فمثلًا قد يُحسب «العميل النشط» بطريقة مختلفة بين التسويق والمالية، ما يجعل النموذج يتعلم من مفهوم غير مستقر. لذلك تبدأ الجاهزية بقاموس بيانات واتفاق على التعريفات والملكية.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تتطلب جاهزية البيانات دورة حياة واضحة: جمع مشروع ومحدود بالغرض، وتصنيف الحساسية، والتحقق من الجودة، وتحديد الوصول، والتوثيق، والاحتفاظ والحذف. وعند استخدام نماذج توليدية ينبغي ضبط المعلومات التي يمكن إدخالها في الأدوات العامة، وتوفير بدائل مؤسسية، وتسجيل مصادر المحتوى، ومراجعة المخرجات قبل استخدامها.</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تمثل جودة البيانات بُعدًا أدنى في كثير من مبادرات التحول، وقد أظهرت المحاكاة التطبيقية في هذه الدراسة أنه الأقل بين أبعاد الجاهزية. ويؤكد ذلك أن تحسين البيانات غالبًا ما يحقق فائدة تتجاوز مشروع الذكاء الاصطناعي نفسه؛ لأنه يحسن التقارير والعمليات والقرارات اليومية.</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7" w:name="_Toc235465323"/>
      <w:r w:rsidRPr="001C6062">
        <w:rPr>
          <w:rFonts w:ascii="Sakkal Majalla" w:eastAsia="Noto Sans Arabic" w:hAnsi="Sakkal Majalla" w:cs="Sakkal Majalla"/>
          <w:color w:val="000000" w:themeColor="text1"/>
          <w:sz w:val="36"/>
          <w:szCs w:val="36"/>
        </w:rPr>
        <w:t>2-4-4</w:t>
      </w:r>
      <w:r w:rsidRPr="001C6062">
        <w:rPr>
          <w:rFonts w:ascii="Sakkal Majalla" w:eastAsia="Noto Sans Arabic" w:hAnsi="Sakkal Majalla" w:cs="Sakkal Majalla"/>
          <w:color w:val="000000" w:themeColor="text1"/>
          <w:sz w:val="36"/>
          <w:szCs w:val="36"/>
          <w:rtl/>
        </w:rPr>
        <w:t xml:space="preserve"> الجاهزية البشرية</w:t>
      </w:r>
      <w:r w:rsidR="005C72B9">
        <w:rPr>
          <w:rFonts w:ascii="Sakkal Majalla" w:eastAsia="Noto Sans Arabic" w:hAnsi="Sakkal Majalla" w:cs="Sakkal Majalla" w:hint="cs"/>
          <w:color w:val="000000" w:themeColor="text1"/>
          <w:sz w:val="36"/>
          <w:szCs w:val="36"/>
          <w:rtl/>
        </w:rPr>
        <w:t>:</w:t>
      </w:r>
      <w:bookmarkEnd w:id="17"/>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تشمل الجاهزية البشرية الوعي الأساسي بالذكاء الاصطناعي، والمهارات التخصصية، والقدرة على صياغة المشكلات، وفهم حدود النماذج، ومراجعة المخرجات، والعمل المشترك بين الأعمال والتقنية. ولا يشترط أن يتحول جميع الموظفين إلى متخصصين، بل أن يعرف كل دور ما يحتاجه: القيادة تفهم القيمة والمخاطر، والموظف يفهم الاستخدام الآمن، والمتخصص يفهم البيانات والتكامل والقياس.</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يتطلب التبنّي الناجح معالجة المخاوف المتعلقة بفقدان الوظائف أو مراقبة الأداء أو تغير الصلاحيات. وقد تؤدي الرسائل الغامضة إلى مقاومة أو استخدام خفي. لذلك ينبغي إشراك العاملين في اختيار حالات الاستخدام، وشرح المهام التي ستتغير، وتوفير تدريب عملي، وتحديد المسؤولية عن المخرجات. ويزيد التعلم من التجارب والثقافة التي تسمح بالإبلاغ عن الخطأ دون إخفائه من قدرة المشروع على التحسين.</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من المهم التمييز بين مهارات تشغيل الأداة ومهارات الحكم. فإتقان كتابة التعليمات لا يكفي إذا لم يستطع المستخدم التحقق من صحة الناتج أو اكتشاف التحيز أو فهم السياق. وتشمل الجاهزية مهارات البيانات، والتفكير النقدي، وتصميم العمليات، وإدارة التغيير، والأمن والخصوصية، والتواصل بين الوظائف.</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18" w:name="_Toc235465324"/>
      <w:r w:rsidRPr="001C6062">
        <w:rPr>
          <w:rFonts w:ascii="Sakkal Majalla" w:eastAsia="Noto Sans Arabic" w:hAnsi="Sakkal Majalla" w:cs="Sakkal Majalla"/>
          <w:color w:val="000000" w:themeColor="text1"/>
          <w:sz w:val="36"/>
          <w:szCs w:val="36"/>
        </w:rPr>
        <w:lastRenderedPageBreak/>
        <w:t>2-4-5</w:t>
      </w:r>
      <w:r w:rsidRPr="001C6062">
        <w:rPr>
          <w:rFonts w:ascii="Sakkal Majalla" w:eastAsia="Noto Sans Arabic" w:hAnsi="Sakkal Majalla" w:cs="Sakkal Majalla"/>
          <w:color w:val="000000" w:themeColor="text1"/>
          <w:sz w:val="36"/>
          <w:szCs w:val="36"/>
          <w:rtl/>
        </w:rPr>
        <w:t xml:space="preserve"> الجاهزية القيادية </w:t>
      </w:r>
      <w:proofErr w:type="spellStart"/>
      <w:r w:rsidRPr="001C6062">
        <w:rPr>
          <w:rFonts w:ascii="Sakkal Majalla" w:eastAsia="Noto Sans Arabic" w:hAnsi="Sakkal Majalla" w:cs="Sakkal Majalla"/>
          <w:color w:val="000000" w:themeColor="text1"/>
          <w:sz w:val="36"/>
          <w:szCs w:val="36"/>
          <w:rtl/>
        </w:rPr>
        <w:t>والحوكمية</w:t>
      </w:r>
      <w:proofErr w:type="spellEnd"/>
      <w:r w:rsidR="005C72B9">
        <w:rPr>
          <w:rFonts w:ascii="Sakkal Majalla" w:eastAsia="Noto Sans Arabic" w:hAnsi="Sakkal Majalla" w:cs="Sakkal Majalla" w:hint="cs"/>
          <w:color w:val="000000" w:themeColor="text1"/>
          <w:sz w:val="36"/>
          <w:szCs w:val="36"/>
          <w:rtl/>
        </w:rPr>
        <w:t>:</w:t>
      </w:r>
      <w:bookmarkEnd w:id="18"/>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تتمثل الجاهزية القيادية في وضوح الرؤية، وربط المبادرات بأولويات العمل، وتخصيص الموارد، وتحديد مالك لكل حالة استخدام، واتخاذ القرارات بشأن الاستمرار والتوسع. ويؤثر موقف المالك أو المدير بصورة كبيرة في المشروع الصغير؛ لأن السلطة والاستثمار غالبًا مركزيان. وقد يكون دعم القيادة عامل تسريع، لكنه يصبح خطرًا إذا تحوّل إلى ضغط لتطبيق حلول قبل تهيئة البيانات أو تقييم المخاطر.</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أما </w:t>
      </w:r>
      <w:proofErr w:type="spellStart"/>
      <w:r w:rsidRPr="001C6062">
        <w:rPr>
          <w:rFonts w:ascii="Sakkal Majalla" w:eastAsia="Noto Naskh Arabic" w:hAnsi="Sakkal Majalla" w:cs="Sakkal Majalla"/>
          <w:color w:val="000000" w:themeColor="text1"/>
          <w:sz w:val="36"/>
          <w:szCs w:val="36"/>
          <w:rtl/>
        </w:rPr>
        <w:t>الحوكمة</w:t>
      </w:r>
      <w:proofErr w:type="spellEnd"/>
      <w:r w:rsidRPr="001C6062">
        <w:rPr>
          <w:rFonts w:ascii="Sakkal Majalla" w:eastAsia="Noto Naskh Arabic" w:hAnsi="Sakkal Majalla" w:cs="Sakkal Majalla"/>
          <w:color w:val="000000" w:themeColor="text1"/>
          <w:sz w:val="36"/>
          <w:szCs w:val="36"/>
          <w:rtl/>
        </w:rPr>
        <w:t xml:space="preserve"> فتحدد من يقرر، ومن يراجع، وما البيانات المسموح بها، وكيف يتم تقييم المورد والنموذج، وما المؤشرات التي تُقاس، وكيف تُدار الحوادث والتغييرات. ولا يعني ذلك إنشاء بيروقراطية ثقيلة؛ بل يمكن للمشروع الصغير تبني </w:t>
      </w:r>
      <w:proofErr w:type="spellStart"/>
      <w:r w:rsidRPr="001C6062">
        <w:rPr>
          <w:rFonts w:ascii="Sakkal Majalla" w:eastAsia="Noto Naskh Arabic" w:hAnsi="Sakkal Majalla" w:cs="Sakkal Majalla"/>
          <w:color w:val="000000" w:themeColor="text1"/>
          <w:sz w:val="36"/>
          <w:szCs w:val="36"/>
          <w:rtl/>
        </w:rPr>
        <w:t>حوكمة</w:t>
      </w:r>
      <w:proofErr w:type="spellEnd"/>
      <w:r w:rsidRPr="001C6062">
        <w:rPr>
          <w:rFonts w:ascii="Sakkal Majalla" w:eastAsia="Noto Naskh Arabic" w:hAnsi="Sakkal Majalla" w:cs="Sakkal Majalla"/>
          <w:color w:val="000000" w:themeColor="text1"/>
          <w:sz w:val="36"/>
          <w:szCs w:val="36"/>
          <w:rtl/>
        </w:rPr>
        <w:t xml:space="preserve"> متناسبة تتكون من سياسة مختصرة، وسجل لحالات الاستخدام، وتصنيف مخاطر، وموافقة محددة، واختبارات، ومراجعة دورية.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تتضمن </w:t>
      </w:r>
      <w:proofErr w:type="spellStart"/>
      <w:r w:rsidRPr="001C6062">
        <w:rPr>
          <w:rFonts w:ascii="Sakkal Majalla" w:eastAsia="Noto Naskh Arabic" w:hAnsi="Sakkal Majalla" w:cs="Sakkal Majalla"/>
          <w:color w:val="000000" w:themeColor="text1"/>
          <w:sz w:val="36"/>
          <w:szCs w:val="36"/>
          <w:rtl/>
        </w:rPr>
        <w:t>الحوكمة</w:t>
      </w:r>
      <w:proofErr w:type="spellEnd"/>
      <w:r w:rsidRPr="001C6062">
        <w:rPr>
          <w:rFonts w:ascii="Sakkal Majalla" w:eastAsia="Noto Naskh Arabic" w:hAnsi="Sakkal Majalla" w:cs="Sakkal Majalla"/>
          <w:color w:val="000000" w:themeColor="text1"/>
          <w:sz w:val="36"/>
          <w:szCs w:val="36"/>
          <w:rtl/>
        </w:rPr>
        <w:t xml:space="preserve"> أيضًا الجوانب الأخلاقية والقانونية، مثل حماية البيانات الشخصية، والعدالة في القرارات، وحقوق المحتوى، والإفصاح عند الحاجة، والمسؤولية البشرية. وتساعد مبادئ </w:t>
      </w:r>
      <w:proofErr w:type="spellStart"/>
      <w:r w:rsidRPr="001C6062">
        <w:rPr>
          <w:rFonts w:ascii="Sakkal Majalla" w:eastAsia="Noto Naskh Arabic" w:hAnsi="Sakkal Majalla" w:cs="Sakkal Majalla"/>
          <w:color w:val="000000" w:themeColor="text1"/>
          <w:sz w:val="36"/>
          <w:szCs w:val="36"/>
          <w:rtl/>
        </w:rPr>
        <w:t>سدايا</w:t>
      </w:r>
      <w:proofErr w:type="spellEnd"/>
      <w:r w:rsidRPr="001C6062">
        <w:rPr>
          <w:rFonts w:ascii="Sakkal Majalla" w:eastAsia="Noto Naskh Arabic" w:hAnsi="Sakkal Majalla" w:cs="Sakkal Majalla"/>
          <w:color w:val="000000" w:themeColor="text1"/>
          <w:sz w:val="36"/>
          <w:szCs w:val="36"/>
          <w:rtl/>
        </w:rPr>
        <w:t xml:space="preserve"> وإطار التبنّي في توفير مرجع وطني لبناء هذه الضوابط، مع ضرورة مواءمتها بحجم المشروع وحساسية نشاطه.</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وتقترح الدراسة دمج القيادة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في بُعد واحد بسبب التقارب العملي في المشروعات الصغيرة؛ فالقيادة تضع الاتجاه وتوفر الرعاية،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تترجم الاتجاه إلى مسؤوليات وضوابط. إلا أن التحليل التطبيقي يمكن أن يفصل بينهما في دراسات لاحقة إذا توافر حجم عينة ومؤشرات كافية.</w:t>
      </w: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3</w:t>
      </w:r>
      <w:r w:rsidRPr="001C6062">
        <w:rPr>
          <w:rFonts w:ascii="Sakkal Majalla" w:eastAsia="Noto Sans Arabic" w:hAnsi="Sakkal Majalla" w:cs="Sakkal Majalla"/>
          <w:b/>
          <w:color w:val="000000" w:themeColor="text1"/>
          <w:sz w:val="36"/>
          <w:szCs w:val="36"/>
          <w:rtl/>
        </w:rPr>
        <w:t>): أبعاد جاهزية تبنّي الذكاء الاصطناعي ومؤشراتها</w:t>
      </w:r>
    </w:p>
    <w:tbl>
      <w:tblPr>
        <w:tblStyle w:val="afb"/>
        <w:bidiVisual/>
        <w:tblW w:w="9187" w:type="dxa"/>
        <w:jc w:val="center"/>
        <w:tblLayout w:type="fixed"/>
        <w:tblCellMar>
          <w:top w:w="90" w:type="dxa"/>
          <w:left w:w="90" w:type="dxa"/>
          <w:bottom w:w="90" w:type="dxa"/>
          <w:right w:w="90" w:type="dxa"/>
        </w:tblCellMar>
        <w:tblLook w:val="04A0" w:firstRow="1" w:lastRow="0" w:firstColumn="1" w:lastColumn="0" w:noHBand="0" w:noVBand="1"/>
      </w:tblPr>
      <w:tblGrid>
        <w:gridCol w:w="1965"/>
        <w:gridCol w:w="3610"/>
        <w:gridCol w:w="3612"/>
      </w:tblGrid>
      <w:tr w:rsidR="001C6062" w:rsidRPr="001C6062" w:rsidTr="00DF3755">
        <w:trPr>
          <w:tblHeader/>
          <w:jc w:val="center"/>
        </w:trPr>
        <w:tc>
          <w:tcPr>
            <w:tcW w:w="1965"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4"/>
                <w:szCs w:val="34"/>
              </w:rPr>
            </w:pPr>
            <w:r w:rsidRPr="00DF3755">
              <w:rPr>
                <w:rFonts w:ascii="Sakkal Majalla" w:eastAsia="Noto Sans Arabic" w:hAnsi="Sakkal Majalla" w:cs="Sakkal Majalla"/>
                <w:bCs/>
                <w:color w:val="FFFFFF" w:themeColor="background1"/>
                <w:sz w:val="34"/>
                <w:szCs w:val="34"/>
                <w:rtl/>
              </w:rPr>
              <w:t>البعد</w:t>
            </w:r>
          </w:p>
        </w:tc>
        <w:tc>
          <w:tcPr>
            <w:tcW w:w="3610"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4"/>
                <w:szCs w:val="34"/>
              </w:rPr>
            </w:pPr>
            <w:r w:rsidRPr="00DF3755">
              <w:rPr>
                <w:rFonts w:ascii="Sakkal Majalla" w:eastAsia="Noto Sans Arabic" w:hAnsi="Sakkal Majalla" w:cs="Sakkal Majalla"/>
                <w:bCs/>
                <w:color w:val="FFFFFF" w:themeColor="background1"/>
                <w:sz w:val="34"/>
                <w:szCs w:val="34"/>
                <w:rtl/>
              </w:rPr>
              <w:t>المؤشرات الرئيسة</w:t>
            </w:r>
          </w:p>
        </w:tc>
        <w:tc>
          <w:tcPr>
            <w:tcW w:w="3612"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4"/>
                <w:szCs w:val="34"/>
              </w:rPr>
            </w:pPr>
            <w:r w:rsidRPr="00DF3755">
              <w:rPr>
                <w:rFonts w:ascii="Sakkal Majalla" w:eastAsia="Noto Sans Arabic" w:hAnsi="Sakkal Majalla" w:cs="Sakkal Majalla"/>
                <w:bCs/>
                <w:color w:val="FFFFFF" w:themeColor="background1"/>
                <w:sz w:val="34"/>
                <w:szCs w:val="34"/>
                <w:rtl/>
              </w:rPr>
              <w:t>السؤال التشخيصي</w:t>
            </w:r>
          </w:p>
        </w:tc>
      </w:tr>
      <w:tr w:rsidR="001C6062" w:rsidRPr="001C6062" w:rsidTr="00DF3755">
        <w:trPr>
          <w:jc w:val="center"/>
        </w:trPr>
        <w:tc>
          <w:tcPr>
            <w:tcW w:w="1965" w:type="dxa"/>
            <w:shd w:val="clear" w:color="auto" w:fill="FFFFFF"/>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الجاهزية التقنية</w:t>
            </w:r>
          </w:p>
        </w:tc>
        <w:tc>
          <w:tcPr>
            <w:tcW w:w="3610" w:type="dxa"/>
            <w:shd w:val="clear" w:color="auto" w:fill="FFFFFF"/>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البنية، التكامل، الأمن، بيئة الاختبار، المراقبة</w:t>
            </w:r>
          </w:p>
        </w:tc>
        <w:tc>
          <w:tcPr>
            <w:tcW w:w="3612" w:type="dxa"/>
            <w:shd w:val="clear" w:color="auto" w:fill="FFFFFF"/>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هل يمكن تشغيل الحل ودمجه واستمراره بأمان؟</w:t>
            </w:r>
          </w:p>
        </w:tc>
      </w:tr>
      <w:tr w:rsidR="001C6062" w:rsidRPr="001C6062" w:rsidTr="00DF3755">
        <w:trPr>
          <w:jc w:val="center"/>
        </w:trPr>
        <w:tc>
          <w:tcPr>
            <w:tcW w:w="1965" w:type="dxa"/>
            <w:shd w:val="clear" w:color="auto" w:fill="F3F6FA"/>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جاهزية البيانات</w:t>
            </w:r>
          </w:p>
        </w:tc>
        <w:tc>
          <w:tcPr>
            <w:tcW w:w="3610" w:type="dxa"/>
            <w:shd w:val="clear" w:color="auto" w:fill="F3F6FA"/>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الجودة، التوثيق، الملكية، الوصول، الخصوصية</w:t>
            </w:r>
          </w:p>
        </w:tc>
        <w:tc>
          <w:tcPr>
            <w:tcW w:w="3612" w:type="dxa"/>
            <w:shd w:val="clear" w:color="auto" w:fill="F3F6FA"/>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هل توجد بيانات ملائمة وموثوقة ومشروعة للغرض؟</w:t>
            </w:r>
          </w:p>
        </w:tc>
      </w:tr>
      <w:tr w:rsidR="001C6062" w:rsidRPr="001C6062" w:rsidTr="00DF3755">
        <w:trPr>
          <w:jc w:val="center"/>
        </w:trPr>
        <w:tc>
          <w:tcPr>
            <w:tcW w:w="1965" w:type="dxa"/>
            <w:shd w:val="clear" w:color="auto" w:fill="FFFFFF"/>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الجاهزية البشرية</w:t>
            </w:r>
          </w:p>
        </w:tc>
        <w:tc>
          <w:tcPr>
            <w:tcW w:w="3610" w:type="dxa"/>
            <w:shd w:val="clear" w:color="auto" w:fill="FFFFFF"/>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الوعي، المهارات، الحكم، التعاون، تقبل التغيير</w:t>
            </w:r>
          </w:p>
        </w:tc>
        <w:tc>
          <w:tcPr>
            <w:tcW w:w="3612" w:type="dxa"/>
            <w:shd w:val="clear" w:color="auto" w:fill="FFFFFF"/>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هل يستطيع العاملون استخدام الحل ومراجعته وتحسينه؟</w:t>
            </w:r>
          </w:p>
        </w:tc>
      </w:tr>
      <w:tr w:rsidR="001C6062" w:rsidRPr="001C6062" w:rsidTr="00DF3755">
        <w:trPr>
          <w:jc w:val="center"/>
        </w:trPr>
        <w:tc>
          <w:tcPr>
            <w:tcW w:w="1965" w:type="dxa"/>
            <w:shd w:val="clear" w:color="auto" w:fill="F3F6FA"/>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lastRenderedPageBreak/>
              <w:t>الجاهزية القيادية/</w:t>
            </w:r>
            <w:proofErr w:type="spellStart"/>
            <w:r w:rsidRPr="00DF3755">
              <w:rPr>
                <w:rFonts w:ascii="Sakkal Majalla" w:eastAsia="Noto Naskh Arabic" w:hAnsi="Sakkal Majalla" w:cs="Sakkal Majalla"/>
                <w:color w:val="000000" w:themeColor="text1"/>
                <w:sz w:val="34"/>
                <w:szCs w:val="34"/>
                <w:rtl/>
              </w:rPr>
              <w:t>الحوكمية</w:t>
            </w:r>
            <w:proofErr w:type="spellEnd"/>
          </w:p>
        </w:tc>
        <w:tc>
          <w:tcPr>
            <w:tcW w:w="3610" w:type="dxa"/>
            <w:shd w:val="clear" w:color="auto" w:fill="F3F6FA"/>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الرؤية، الأولوية، التمويل، المسؤولية، الأخلاقيات والمخاطر</w:t>
            </w:r>
          </w:p>
        </w:tc>
        <w:tc>
          <w:tcPr>
            <w:tcW w:w="3612" w:type="dxa"/>
            <w:shd w:val="clear" w:color="auto" w:fill="F3F6FA"/>
            <w:vAlign w:val="center"/>
          </w:tcPr>
          <w:p w:rsidR="005931D6" w:rsidRPr="00DF3755" w:rsidRDefault="00F93CAA" w:rsidP="00DF3755">
            <w:pPr>
              <w:bidi/>
              <w:spacing w:after="0" w:line="240" w:lineRule="auto"/>
              <w:jc w:val="center"/>
              <w:rPr>
                <w:rFonts w:ascii="Sakkal Majalla" w:eastAsia="MS Mincho" w:hAnsi="Sakkal Majalla" w:cs="Sakkal Majalla"/>
                <w:color w:val="000000" w:themeColor="text1"/>
                <w:sz w:val="34"/>
                <w:szCs w:val="34"/>
              </w:rPr>
            </w:pPr>
            <w:r w:rsidRPr="00DF3755">
              <w:rPr>
                <w:rFonts w:ascii="Sakkal Majalla" w:eastAsia="Noto Naskh Arabic" w:hAnsi="Sakkal Majalla" w:cs="Sakkal Majalla"/>
                <w:color w:val="000000" w:themeColor="text1"/>
                <w:sz w:val="34"/>
                <w:szCs w:val="34"/>
                <w:rtl/>
              </w:rPr>
              <w:t>هل يُدار التبنّي كقرار استراتيجي مسؤول؟</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المصدر: إعداد الباحث بالاستناد إلى </w:t>
      </w:r>
      <w:proofErr w:type="spellStart"/>
      <w:r w:rsidRPr="001C6062">
        <w:rPr>
          <w:rFonts w:ascii="Sakkal Majalla" w:eastAsia="Noto Naskh Arabic" w:hAnsi="Sakkal Majalla" w:cs="Sakkal Majalla"/>
          <w:color w:val="000000" w:themeColor="text1"/>
          <w:sz w:val="36"/>
          <w:szCs w:val="36"/>
          <w:rtl/>
        </w:rPr>
        <w:t>سدايا</w:t>
      </w:r>
      <w:proofErr w:type="spellEnd"/>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و</w:t>
      </w:r>
      <w:proofErr w:type="spellStart"/>
      <w:r w:rsidRPr="001C6062">
        <w:rPr>
          <w:rFonts w:ascii="Sakkal Majalla" w:eastAsia="Noto Naskh Arabic" w:hAnsi="Sakkal Majalla" w:cs="Sakkal Majalla"/>
          <w:color w:val="000000" w:themeColor="text1"/>
          <w:sz w:val="36"/>
          <w:szCs w:val="36"/>
        </w:rPr>
        <w:t>Jöhnk</w:t>
      </w:r>
      <w:proofErr w:type="spellEnd"/>
      <w:r w:rsidRPr="001C6062">
        <w:rPr>
          <w:rFonts w:ascii="Sakkal Majalla" w:eastAsia="Noto Naskh Arabic" w:hAnsi="Sakkal Majalla" w:cs="Sakkal Majalla"/>
          <w:color w:val="000000" w:themeColor="text1"/>
          <w:sz w:val="36"/>
          <w:szCs w:val="36"/>
        </w:rPr>
        <w:t xml:space="preserve"> et al. (2021)</w:t>
      </w:r>
      <w:r w:rsidRPr="001C6062">
        <w:rPr>
          <w:rFonts w:ascii="Sakkal Majalla" w:eastAsia="Noto Naskh Arabic" w:hAnsi="Sakkal Majalla" w:cs="Sakkal Majalla"/>
          <w:color w:val="000000" w:themeColor="text1"/>
          <w:sz w:val="36"/>
          <w:szCs w:val="36"/>
          <w:rtl/>
        </w:rPr>
        <w:t xml:space="preserve"> و</w:t>
      </w:r>
      <w:proofErr w:type="spellStart"/>
      <w:r w:rsidRPr="001C6062">
        <w:rPr>
          <w:rFonts w:ascii="Sakkal Majalla" w:eastAsia="Noto Naskh Arabic" w:hAnsi="Sakkal Majalla" w:cs="Sakkal Majalla"/>
          <w:color w:val="000000" w:themeColor="text1"/>
          <w:sz w:val="36"/>
          <w:szCs w:val="36"/>
        </w:rPr>
        <w:t>Arroyabe</w:t>
      </w:r>
      <w:proofErr w:type="spellEnd"/>
      <w:r w:rsidRPr="001C6062">
        <w:rPr>
          <w:rFonts w:ascii="Sakkal Majalla" w:eastAsia="Noto Naskh Arabic" w:hAnsi="Sakkal Majalla" w:cs="Sakkal Majalla"/>
          <w:color w:val="000000" w:themeColor="text1"/>
          <w:sz w:val="36"/>
          <w:szCs w:val="36"/>
        </w:rPr>
        <w:t xml:space="preserve"> et al. (2024)</w:t>
      </w:r>
      <w:r w:rsidRPr="001C6062">
        <w:rPr>
          <w:rFonts w:ascii="Sakkal Majalla" w:eastAsia="Noto Naskh Arabic" w:hAnsi="Sakkal Majalla" w:cs="Sakkal Majalla"/>
          <w:color w:val="000000" w:themeColor="text1"/>
          <w:sz w:val="36"/>
          <w:szCs w:val="36"/>
          <w:rtl/>
        </w:rPr>
        <w:t>.</w:t>
      </w:r>
    </w:p>
    <w:p w:rsidR="005C72B9" w:rsidRPr="001C6062" w:rsidRDefault="005C72B9"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19" w:name="_Toc235465325"/>
      <w:r w:rsidRPr="001C6062">
        <w:rPr>
          <w:rFonts w:ascii="Sakkal Majalla" w:eastAsia="Noto Sans Arabic" w:hAnsi="Sakkal Majalla" w:cs="Sakkal Majalla"/>
          <w:color w:val="000000" w:themeColor="text1"/>
          <w:szCs w:val="36"/>
        </w:rPr>
        <w:t>2-5</w:t>
      </w:r>
      <w:r w:rsidRPr="001C6062">
        <w:rPr>
          <w:rFonts w:ascii="Sakkal Majalla" w:eastAsia="Noto Sans Arabic" w:hAnsi="Sakkal Majalla" w:cs="Sakkal Majalla"/>
          <w:color w:val="000000" w:themeColor="text1"/>
          <w:szCs w:val="36"/>
          <w:rtl/>
        </w:rPr>
        <w:t xml:space="preserve"> نماذج تفسير تبنّي الذكاء الاصطناعي</w:t>
      </w:r>
      <w:r w:rsidR="005C72B9">
        <w:rPr>
          <w:rFonts w:ascii="Sakkal Majalla" w:eastAsia="Noto Sans Arabic" w:hAnsi="Sakkal Majalla" w:cs="Sakkal Majalla" w:hint="cs"/>
          <w:color w:val="000000" w:themeColor="text1"/>
          <w:szCs w:val="36"/>
          <w:rtl/>
        </w:rPr>
        <w:t>:</w:t>
      </w:r>
      <w:bookmarkEnd w:id="19"/>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0" w:name="_Toc235465326"/>
      <w:r w:rsidRPr="001C6062">
        <w:rPr>
          <w:rFonts w:ascii="Sakkal Majalla" w:eastAsia="Noto Sans Arabic" w:hAnsi="Sakkal Majalla" w:cs="Sakkal Majalla"/>
          <w:color w:val="000000" w:themeColor="text1"/>
          <w:sz w:val="36"/>
          <w:szCs w:val="36"/>
        </w:rPr>
        <w:t>2-5-1</w:t>
      </w:r>
      <w:r w:rsidRPr="001C6062">
        <w:rPr>
          <w:rFonts w:ascii="Sakkal Majalla" w:eastAsia="Noto Sans Arabic" w:hAnsi="Sakkal Majalla" w:cs="Sakkal Majalla"/>
          <w:color w:val="000000" w:themeColor="text1"/>
          <w:sz w:val="36"/>
          <w:szCs w:val="36"/>
          <w:rtl/>
        </w:rPr>
        <w:t xml:space="preserve"> إطار التكنولوجيا-المنظمة-البيئة</w:t>
      </w:r>
      <w:r w:rsidR="005C72B9">
        <w:rPr>
          <w:rFonts w:ascii="Sakkal Majalla" w:eastAsia="Noto Sans Arabic" w:hAnsi="Sakkal Majalla" w:cs="Sakkal Majalla" w:hint="cs"/>
          <w:color w:val="000000" w:themeColor="text1"/>
          <w:sz w:val="36"/>
          <w:szCs w:val="36"/>
          <w:rtl/>
        </w:rPr>
        <w:t>:</w:t>
      </w:r>
      <w:bookmarkEnd w:id="20"/>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يقترح إطار التكنولوجيا-المنظمة-البيئة أن قرارات تبنّي الابتكار تتأثر بثلاثة سياقات مترابطة: خصائص التقنية المتاحة، وخصائص المنظمة ومواردها، والبيئة الخارجية من منافسة وتنظيم وموردين ودعم. ويُعد الإطار مناسبًا لدراسة تبنّي تقنيات مؤسسية لأنه يتجاوز خصائص المستخدم الفردي، ويركز على القرار التنظيمي (</w:t>
      </w:r>
      <w:proofErr w:type="spellStart"/>
      <w:r w:rsidRPr="001C6062">
        <w:rPr>
          <w:rFonts w:ascii="Sakkal Majalla" w:eastAsia="Noto Naskh Arabic" w:hAnsi="Sakkal Majalla" w:cs="Sakkal Majalla"/>
          <w:color w:val="000000" w:themeColor="text1"/>
          <w:sz w:val="36"/>
          <w:szCs w:val="36"/>
        </w:rPr>
        <w:t>Tornatzky</w:t>
      </w:r>
      <w:proofErr w:type="spellEnd"/>
      <w:r w:rsidRPr="001C6062">
        <w:rPr>
          <w:rFonts w:ascii="Sakkal Majalla" w:eastAsia="Noto Naskh Arabic" w:hAnsi="Sakkal Majalla" w:cs="Sakkal Majalla"/>
          <w:color w:val="000000" w:themeColor="text1"/>
          <w:sz w:val="36"/>
          <w:szCs w:val="36"/>
        </w:rPr>
        <w:t xml:space="preserve"> &amp; Fleischer, 1990</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في الدراسة الحالية تظهر التكنولوجيا في البنية والتوافق والأمن، وتظهر المنظمة في البيانات والمهارات والقيادة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بينما تظهر البيئة بوصفها سياقًا يفسر ضغط السوق والدعم الوطني والموردين. غير أن النموذج لا يضع البيئة متغيرًا مستقلاً مباشرًا حتى يبقى مركزًا وقابلًا للاختبار، بل يعالجها ضمن تفسير السياق والحدود.</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تكمن قوة الإطار في شموليته ومرونته، لكن </w:t>
      </w:r>
      <w:proofErr w:type="spellStart"/>
      <w:r w:rsidRPr="001C6062">
        <w:rPr>
          <w:rFonts w:ascii="Sakkal Majalla" w:eastAsia="Noto Naskh Arabic" w:hAnsi="Sakkal Majalla" w:cs="Sakkal Majalla"/>
          <w:color w:val="000000" w:themeColor="text1"/>
          <w:sz w:val="36"/>
          <w:szCs w:val="36"/>
          <w:rtl/>
        </w:rPr>
        <w:t>عموميته</w:t>
      </w:r>
      <w:proofErr w:type="spellEnd"/>
      <w:r w:rsidRPr="001C6062">
        <w:rPr>
          <w:rFonts w:ascii="Sakkal Majalla" w:eastAsia="Noto Naskh Arabic" w:hAnsi="Sakkal Majalla" w:cs="Sakkal Majalla"/>
          <w:color w:val="000000" w:themeColor="text1"/>
          <w:sz w:val="36"/>
          <w:szCs w:val="36"/>
          <w:rtl/>
        </w:rPr>
        <w:t xml:space="preserve"> قد تجعل اختيار المتغيرات مختلفًا بين الدراسات. لذلك تستفيد الدراسة منه في تحديد مكونات الجاهزية، ثم تستخدم المنظور القائم على المعرفة والقدرات الديناميكية لتفسير النتائج الاستراتيجية التي لا يشرحها إطار التبنّي وحده.</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1" w:name="_Toc235465327"/>
      <w:r w:rsidRPr="001C6062">
        <w:rPr>
          <w:rFonts w:ascii="Sakkal Majalla" w:eastAsia="Noto Sans Arabic" w:hAnsi="Sakkal Majalla" w:cs="Sakkal Majalla"/>
          <w:color w:val="000000" w:themeColor="text1"/>
          <w:sz w:val="36"/>
          <w:szCs w:val="36"/>
        </w:rPr>
        <w:t>2-5-2</w:t>
      </w:r>
      <w:r w:rsidRPr="001C6062">
        <w:rPr>
          <w:rFonts w:ascii="Sakkal Majalla" w:eastAsia="Noto Sans Arabic" w:hAnsi="Sakkal Majalla" w:cs="Sakkal Majalla"/>
          <w:color w:val="000000" w:themeColor="text1"/>
          <w:sz w:val="36"/>
          <w:szCs w:val="36"/>
          <w:rtl/>
        </w:rPr>
        <w:t xml:space="preserve"> المنظور القائم على الموارد والقدرات</w:t>
      </w:r>
      <w:r w:rsidR="005C72B9">
        <w:rPr>
          <w:rFonts w:ascii="Sakkal Majalla" w:eastAsia="Noto Sans Arabic" w:hAnsi="Sakkal Majalla" w:cs="Sakkal Majalla" w:hint="cs"/>
          <w:color w:val="000000" w:themeColor="text1"/>
          <w:sz w:val="36"/>
          <w:szCs w:val="36"/>
          <w:rtl/>
        </w:rPr>
        <w:t>:</w:t>
      </w:r>
      <w:bookmarkEnd w:id="21"/>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ينظر المنظور القائم على الموارد إلى المنظمة بوصفها حزمة من الأصول والقدرات، وتتحقق الميزة عندما تكون الموارد ذات قيمة ونادرة وصعبة التقليد والتنظيم. إلا أن أدوات الذكاء الاصطناعي الجاهزة قد لا تكون نادرة، ولذلك لا تنشأ الميزة من الأداة نفسها، بل من طريقة دمجها مع البيانات الخاصة والخبرة والعمليات والعلاقات والثقافة.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توضح هذه الفكرة سبب اختلاف العائد بين مشروعين يستخدمان الخدمة نفسها. فقد يملك الأول بيانات منظمة وعملية واضحة وفريقًا قادرًا على التحقق والتعلم، فينتج قيمة، بينما </w:t>
      </w:r>
      <w:r w:rsidRPr="001C6062">
        <w:rPr>
          <w:rFonts w:ascii="Sakkal Majalla" w:eastAsia="Noto Naskh Arabic" w:hAnsi="Sakkal Majalla" w:cs="Sakkal Majalla"/>
          <w:color w:val="000000" w:themeColor="text1"/>
          <w:sz w:val="36"/>
          <w:szCs w:val="36"/>
          <w:rtl/>
        </w:rPr>
        <w:lastRenderedPageBreak/>
        <w:t>يستخدم الثاني الأداة في مهام منفصلة دون تكامل، فلا يحقق إلا وفورات مؤقتة. ومن ثم تمثل الجاهزية قدرة على تنظيم الموارد أكثر من كونها ملكية لأصل.</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2" w:name="_Toc235465328"/>
      <w:r w:rsidRPr="001C6062">
        <w:rPr>
          <w:rFonts w:ascii="Sakkal Majalla" w:eastAsia="Noto Sans Arabic" w:hAnsi="Sakkal Majalla" w:cs="Sakkal Majalla"/>
          <w:color w:val="000000" w:themeColor="text1"/>
          <w:sz w:val="36"/>
          <w:szCs w:val="36"/>
        </w:rPr>
        <w:t>2-5-3</w:t>
      </w:r>
      <w:r w:rsidRPr="001C6062">
        <w:rPr>
          <w:rFonts w:ascii="Sakkal Majalla" w:eastAsia="Noto Sans Arabic" w:hAnsi="Sakkal Majalla" w:cs="Sakkal Majalla"/>
          <w:color w:val="000000" w:themeColor="text1"/>
          <w:sz w:val="36"/>
          <w:szCs w:val="36"/>
          <w:rtl/>
        </w:rPr>
        <w:t xml:space="preserve"> منظور القدرات الديناميكية</w:t>
      </w:r>
      <w:r w:rsidR="005C72B9">
        <w:rPr>
          <w:rFonts w:ascii="Sakkal Majalla" w:eastAsia="Noto Sans Arabic" w:hAnsi="Sakkal Majalla" w:cs="Sakkal Majalla" w:hint="cs"/>
          <w:color w:val="000000" w:themeColor="text1"/>
          <w:sz w:val="36"/>
          <w:szCs w:val="36"/>
          <w:rtl/>
        </w:rPr>
        <w:t>:</w:t>
      </w:r>
      <w:bookmarkEnd w:id="22"/>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تصف القدرات الديناميكية قدرة المنظمة على استشعار الفرص والتهديدات، واقتناصها، وإعادة تشكيل الموارد والأصول والعمليات. وهي مناسبة لفهم المرونة في البيئات المتقلبة؛ لأن التفوق لا يعتمد على تكوين ثابت، بل على القدرة المتكررة على التعديل (</w:t>
      </w:r>
      <w:proofErr w:type="spellStart"/>
      <w:r w:rsidRPr="001C6062">
        <w:rPr>
          <w:rFonts w:ascii="Sakkal Majalla" w:eastAsia="Noto Naskh Arabic" w:hAnsi="Sakkal Majalla" w:cs="Sakkal Majalla"/>
          <w:color w:val="000000" w:themeColor="text1"/>
          <w:sz w:val="36"/>
          <w:szCs w:val="36"/>
        </w:rPr>
        <w:t>Teece</w:t>
      </w:r>
      <w:proofErr w:type="spellEnd"/>
      <w:r w:rsidRPr="001C6062">
        <w:rPr>
          <w:rFonts w:ascii="Sakkal Majalla" w:eastAsia="Noto Naskh Arabic" w:hAnsi="Sakkal Majalla" w:cs="Sakkal Majalla"/>
          <w:color w:val="000000" w:themeColor="text1"/>
          <w:sz w:val="36"/>
          <w:szCs w:val="36"/>
        </w:rPr>
        <w:t xml:space="preserve"> et al., 1997</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Teece</w:t>
      </w:r>
      <w:proofErr w:type="spellEnd"/>
      <w:r w:rsidRPr="001C6062">
        <w:rPr>
          <w:rFonts w:ascii="Sakkal Majalla" w:eastAsia="Noto Naskh Arabic" w:hAnsi="Sakkal Majalla" w:cs="Sakkal Majalla"/>
          <w:color w:val="000000" w:themeColor="text1"/>
          <w:sz w:val="36"/>
          <w:szCs w:val="36"/>
        </w:rPr>
        <w:t>, 2007</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يمكن للذكاء الاصطناعي دعم الاستشعار من خلال تحليل بيانات السوق والعملاء والمنافسين، ودعم الاقتناص عبر التنبؤ والمحاكاة وترتيب البدائل، ودعم إعادة التشكيل عبر الأتمتة وتخصيص الموارد وتصميم العمليات. لكن هذه المخرجات لا تتحول إلى قدرة ديناميكية إلا إذا أصبحت معرفة مفهومة ومشتركة ومستخدمة في القرار، وهو ما يبرر إدخال قدرات إدارة المعرفة.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كما يوضح المنظور أن المرونة ليست رد فعل عشوائيًا؛ بل نتيجة إجراءات </w:t>
      </w:r>
      <w:proofErr w:type="spellStart"/>
      <w:r w:rsidRPr="001C6062">
        <w:rPr>
          <w:rFonts w:ascii="Sakkal Majalla" w:eastAsia="Noto Naskh Arabic" w:hAnsi="Sakkal Majalla" w:cs="Sakkal Majalla"/>
          <w:color w:val="000000" w:themeColor="text1"/>
          <w:sz w:val="36"/>
          <w:szCs w:val="36"/>
          <w:rtl/>
        </w:rPr>
        <w:t>وروتينات</w:t>
      </w:r>
      <w:proofErr w:type="spellEnd"/>
      <w:r w:rsidRPr="001C6062">
        <w:rPr>
          <w:rFonts w:ascii="Sakkal Majalla" w:eastAsia="Noto Naskh Arabic" w:hAnsi="Sakkal Majalla" w:cs="Sakkal Majalla"/>
          <w:color w:val="000000" w:themeColor="text1"/>
          <w:sz w:val="36"/>
          <w:szCs w:val="36"/>
          <w:rtl/>
        </w:rPr>
        <w:t xml:space="preserve"> تسمح بالتغيير المنظم. فالمشروع المرن لا يغير اتجاهه مع كل إشارة، بل يميز الإشارة المهمة، ويختبر البديل، ويعيد تخصيص الموارد بسرعة، ويتعلم من النتيجة.</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3" w:name="_Toc235465329"/>
      <w:r w:rsidRPr="001C6062">
        <w:rPr>
          <w:rFonts w:ascii="Sakkal Majalla" w:eastAsia="Noto Sans Arabic" w:hAnsi="Sakkal Majalla" w:cs="Sakkal Majalla"/>
          <w:color w:val="000000" w:themeColor="text1"/>
          <w:sz w:val="36"/>
          <w:szCs w:val="36"/>
        </w:rPr>
        <w:t>2-5-4</w:t>
      </w:r>
      <w:r w:rsidRPr="001C6062">
        <w:rPr>
          <w:rFonts w:ascii="Sakkal Majalla" w:eastAsia="Noto Sans Arabic" w:hAnsi="Sakkal Majalla" w:cs="Sakkal Majalla"/>
          <w:color w:val="000000" w:themeColor="text1"/>
          <w:sz w:val="36"/>
          <w:szCs w:val="36"/>
          <w:rtl/>
        </w:rPr>
        <w:t xml:space="preserve"> المنظور القائم على المعرفة</w:t>
      </w:r>
      <w:r w:rsidR="005C72B9">
        <w:rPr>
          <w:rFonts w:ascii="Sakkal Majalla" w:eastAsia="Noto Sans Arabic" w:hAnsi="Sakkal Majalla" w:cs="Sakkal Majalla" w:hint="cs"/>
          <w:color w:val="000000" w:themeColor="text1"/>
          <w:sz w:val="36"/>
          <w:szCs w:val="36"/>
          <w:rtl/>
        </w:rPr>
        <w:t>:</w:t>
      </w:r>
      <w:bookmarkEnd w:id="23"/>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يعتبر المنظور القائم على المعرفة أن المعرفة أهم مورد استراتيجي، وأن وظيفة المنظمة الأساسية هي تكامل المعارف المتخصصة للأفراد وتحويلها إلى تنسيق وقرار وقيمة (</w:t>
      </w:r>
      <w:r w:rsidRPr="001C6062">
        <w:rPr>
          <w:rFonts w:ascii="Sakkal Majalla" w:eastAsia="Noto Naskh Arabic" w:hAnsi="Sakkal Majalla" w:cs="Sakkal Majalla"/>
          <w:color w:val="000000" w:themeColor="text1"/>
          <w:sz w:val="36"/>
          <w:szCs w:val="36"/>
        </w:rPr>
        <w:t>Grant, 1996</w:t>
      </w:r>
      <w:r w:rsidRPr="001C6062">
        <w:rPr>
          <w:rFonts w:ascii="Sakkal Majalla" w:eastAsia="Noto Naskh Arabic" w:hAnsi="Sakkal Majalla" w:cs="Sakkal Majalla"/>
          <w:color w:val="000000" w:themeColor="text1"/>
          <w:sz w:val="36"/>
          <w:szCs w:val="36"/>
          <w:rtl/>
        </w:rPr>
        <w:t>). وتصبح هذه الفكرة جوهرية في المشروعات الصغيرة لأن المعرفة غالبًا مركزة لدى المالك أو عدد محدود من الموظفين.</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يؤدي الذكاء الاصطناعي دورًا مزدوجًا: فهو يحتاج إلى المعرفة والبيانات لفهم السياق، ويمكنه في الوقت نفسه توليد رؤى وتصنيفات وملخصات ومعارف جديدة. غير أن قيمة هذه المخرجات تعتمد على التحقق والتوثيق والمشاركة والتطبيق. وبذلك تمثل إدارة المعرفة آلية تنظيمية تربط التقنية بالمرونة.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يساعد المنظور أيضًا على تفسير مخاطر فقدان المعرفة عند دوران الموظفين، وتعدد نسخ الوثائق، وعدم توثيق القرارات، وهي مشكلات يمكن أن تعيق المرونة حتى لو توافرت أدوات تحليل متقدمة. فالمعرفة غير المتاحة في الوقت المناسب لا تؤدي وظيفتها الاستراتيجية.</w:t>
      </w: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lastRenderedPageBreak/>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4</w:t>
      </w:r>
      <w:r w:rsidRPr="001C6062">
        <w:rPr>
          <w:rFonts w:ascii="Sakkal Majalla" w:eastAsia="Noto Sans Arabic" w:hAnsi="Sakkal Majalla" w:cs="Sakkal Majalla"/>
          <w:b/>
          <w:color w:val="000000" w:themeColor="text1"/>
          <w:sz w:val="36"/>
          <w:szCs w:val="36"/>
          <w:rtl/>
        </w:rPr>
        <w:t>): مقارنة المناظير النظرية المستخدمة في الدراسة</w:t>
      </w:r>
    </w:p>
    <w:tbl>
      <w:tblPr>
        <w:tblStyle w:val="afb"/>
        <w:bidiVisual/>
        <w:tblW w:w="9184" w:type="dxa"/>
        <w:jc w:val="center"/>
        <w:tblLayout w:type="fixed"/>
        <w:tblCellMar>
          <w:top w:w="90" w:type="dxa"/>
          <w:left w:w="90" w:type="dxa"/>
          <w:bottom w:w="90" w:type="dxa"/>
          <w:right w:w="90" w:type="dxa"/>
        </w:tblCellMar>
        <w:tblLook w:val="04A0" w:firstRow="1" w:lastRow="0" w:firstColumn="1" w:lastColumn="0" w:noHBand="0" w:noVBand="1"/>
      </w:tblPr>
      <w:tblGrid>
        <w:gridCol w:w="1955"/>
        <w:gridCol w:w="2410"/>
        <w:gridCol w:w="2410"/>
        <w:gridCol w:w="2409"/>
      </w:tblGrid>
      <w:tr w:rsidR="001C6062" w:rsidRPr="001C6062" w:rsidTr="00DF3755">
        <w:trPr>
          <w:tblHeader/>
          <w:jc w:val="center"/>
        </w:trPr>
        <w:tc>
          <w:tcPr>
            <w:tcW w:w="1955"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المنظور</w:t>
            </w:r>
          </w:p>
        </w:tc>
        <w:tc>
          <w:tcPr>
            <w:tcW w:w="2410"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الفكرة الأساسية</w:t>
            </w:r>
          </w:p>
        </w:tc>
        <w:tc>
          <w:tcPr>
            <w:tcW w:w="2410"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توظيفه في الدراسة</w:t>
            </w:r>
          </w:p>
        </w:tc>
        <w:tc>
          <w:tcPr>
            <w:tcW w:w="2409"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الحدود</w:t>
            </w:r>
          </w:p>
        </w:tc>
      </w:tr>
      <w:tr w:rsidR="001C6062" w:rsidRPr="001C6062" w:rsidTr="00DF3755">
        <w:trPr>
          <w:jc w:val="center"/>
        </w:trPr>
        <w:tc>
          <w:tcPr>
            <w:tcW w:w="1955"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TOE</w:t>
            </w:r>
          </w:p>
        </w:tc>
        <w:tc>
          <w:tcPr>
            <w:tcW w:w="241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محددات التبنّي في التكنولوجيا والمنظمة والبيئة</w:t>
            </w:r>
          </w:p>
        </w:tc>
        <w:tc>
          <w:tcPr>
            <w:tcW w:w="241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تحديد مكونات الجاهزية والسياق الخارجي</w:t>
            </w:r>
          </w:p>
        </w:tc>
        <w:tc>
          <w:tcPr>
            <w:tcW w:w="2409"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يفسر وحده آلية تحويل التبنّي إلى مرونة</w:t>
            </w:r>
          </w:p>
        </w:tc>
      </w:tr>
      <w:tr w:rsidR="001C6062" w:rsidRPr="001C6062" w:rsidTr="00DF3755">
        <w:trPr>
          <w:jc w:val="center"/>
        </w:trPr>
        <w:tc>
          <w:tcPr>
            <w:tcW w:w="1955"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المنظور القائم على الموارد</w:t>
            </w:r>
          </w:p>
        </w:tc>
        <w:tc>
          <w:tcPr>
            <w:tcW w:w="241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تنظيم الموارد والقدرات المميزة</w:t>
            </w:r>
          </w:p>
        </w:tc>
        <w:tc>
          <w:tcPr>
            <w:tcW w:w="241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فهم تكامل التقنية مع البيانات والمهارات والعمليات</w:t>
            </w:r>
          </w:p>
        </w:tc>
        <w:tc>
          <w:tcPr>
            <w:tcW w:w="2409"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قد يكون ساكنًا إذا لم يُدمج مع قدرات التغيير</w:t>
            </w:r>
          </w:p>
        </w:tc>
      </w:tr>
      <w:tr w:rsidR="001C6062" w:rsidRPr="001C6062" w:rsidTr="00DF3755">
        <w:trPr>
          <w:jc w:val="center"/>
        </w:trPr>
        <w:tc>
          <w:tcPr>
            <w:tcW w:w="1955"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القدرات الديناميكية</w:t>
            </w:r>
          </w:p>
        </w:tc>
        <w:tc>
          <w:tcPr>
            <w:tcW w:w="241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الاستشعار والاقتناص وإعادة التشكيل</w:t>
            </w:r>
          </w:p>
        </w:tc>
        <w:tc>
          <w:tcPr>
            <w:tcW w:w="241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تفسير المرونة والاستجابة في البيئة المتغيرة</w:t>
            </w:r>
          </w:p>
        </w:tc>
        <w:tc>
          <w:tcPr>
            <w:tcW w:w="2409"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قياسها يحتاج مؤشرات عملية واضحة</w:t>
            </w:r>
          </w:p>
        </w:tc>
      </w:tr>
      <w:tr w:rsidR="001C6062" w:rsidRPr="001C6062" w:rsidTr="00DF3755">
        <w:trPr>
          <w:jc w:val="center"/>
        </w:trPr>
        <w:tc>
          <w:tcPr>
            <w:tcW w:w="1955"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المنظور القائم على المعرفة</w:t>
            </w:r>
          </w:p>
        </w:tc>
        <w:tc>
          <w:tcPr>
            <w:tcW w:w="241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اكتساب المعرفة وتكاملها وتطبيقها</w:t>
            </w:r>
          </w:p>
        </w:tc>
        <w:tc>
          <w:tcPr>
            <w:tcW w:w="241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تفسير دور الوسيط المعرفي</w:t>
            </w:r>
          </w:p>
        </w:tc>
        <w:tc>
          <w:tcPr>
            <w:tcW w:w="2409"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قد يقلل من أهمية القيود التقنية والبيئية</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المصدر: إعداد الباحث.</w:t>
      </w:r>
    </w:p>
    <w:p w:rsidR="005C72B9" w:rsidRPr="001C6062" w:rsidRDefault="005C72B9"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24" w:name="_Toc235465330"/>
      <w:r w:rsidRPr="001C6062">
        <w:rPr>
          <w:rFonts w:ascii="Sakkal Majalla" w:eastAsia="Noto Sans Arabic" w:hAnsi="Sakkal Majalla" w:cs="Sakkal Majalla"/>
          <w:color w:val="000000" w:themeColor="text1"/>
          <w:szCs w:val="36"/>
        </w:rPr>
        <w:t>2-6</w:t>
      </w:r>
      <w:r w:rsidRPr="001C6062">
        <w:rPr>
          <w:rFonts w:ascii="Sakkal Majalla" w:eastAsia="Noto Sans Arabic" w:hAnsi="Sakkal Majalla" w:cs="Sakkal Majalla"/>
          <w:color w:val="000000" w:themeColor="text1"/>
          <w:szCs w:val="36"/>
          <w:rtl/>
        </w:rPr>
        <w:t xml:space="preserve"> قدرات إدارة المعرفة</w:t>
      </w:r>
      <w:bookmarkEnd w:id="24"/>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5" w:name="_Toc235465331"/>
      <w:r w:rsidRPr="001C6062">
        <w:rPr>
          <w:rFonts w:ascii="Sakkal Majalla" w:eastAsia="Noto Sans Arabic" w:hAnsi="Sakkal Majalla" w:cs="Sakkal Majalla"/>
          <w:color w:val="000000" w:themeColor="text1"/>
          <w:sz w:val="36"/>
          <w:szCs w:val="36"/>
        </w:rPr>
        <w:t>2-6-1</w:t>
      </w:r>
      <w:r w:rsidRPr="001C6062">
        <w:rPr>
          <w:rFonts w:ascii="Sakkal Majalla" w:eastAsia="Noto Sans Arabic" w:hAnsi="Sakkal Majalla" w:cs="Sakkal Majalla"/>
          <w:color w:val="000000" w:themeColor="text1"/>
          <w:sz w:val="36"/>
          <w:szCs w:val="36"/>
          <w:rtl/>
        </w:rPr>
        <w:t xml:space="preserve"> مفهوم إدارة المعرفة وقدراتها</w:t>
      </w:r>
      <w:r w:rsidR="005C72B9">
        <w:rPr>
          <w:rFonts w:ascii="Sakkal Majalla" w:eastAsia="Noto Sans Arabic" w:hAnsi="Sakkal Majalla" w:cs="Sakkal Majalla" w:hint="cs"/>
          <w:color w:val="000000" w:themeColor="text1"/>
          <w:sz w:val="36"/>
          <w:szCs w:val="36"/>
          <w:rtl/>
        </w:rPr>
        <w:t>:</w:t>
      </w:r>
      <w:bookmarkEnd w:id="25"/>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تشير إدارة المعرفة إلى العمليات والسياسات والتقنيات التي تمكّن المنظمة من إنشاء المعرفة أو الحصول عليها، وتنظيمها وحفظها، وتبادلها واستخدامها في العمل والقرار. ولا تعني إدارة الوثائق وحدها؛ إذ تشمل المعرفة الصريحة القابلة للتوثيق، والمعرفة الضمنية المتجسدة في الخبرات والممارسات والعلاقات. وتكمن التحديات الأساسية في تحويل المعرفة من مورد فردي متفرق إلى قدرة تنظيمية متكررة.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يُستخدم مفهوم «قدرات إدارة المعرفة» للدلالة على قدرة المنظمة الفعلية على تنفيذ عمليات المعرفة بصورة متسقة، وليس مجرد وجود نظام أو قاعدة بيانات. وقد تشمل هذه القدرة البنية التحتية من تقنية وثقافة وهيكل، والعمليات من اكتساب وتحويل وتطبيق وحماية. وتبنت الدراسة أربعة أبعاد تشغيلية هي الاكتساب والتخزين والمشاركة والتطبيق؛ لأنها تغطي </w:t>
      </w:r>
      <w:r w:rsidRPr="001C6062">
        <w:rPr>
          <w:rFonts w:ascii="Sakkal Majalla" w:eastAsia="Noto Naskh Arabic" w:hAnsi="Sakkal Majalla" w:cs="Sakkal Majalla"/>
          <w:color w:val="000000" w:themeColor="text1"/>
          <w:sz w:val="36"/>
          <w:szCs w:val="36"/>
          <w:rtl/>
        </w:rPr>
        <w:lastRenderedPageBreak/>
        <w:t>دورة المعرفة، وتتناسب مع واقع المشروعات الصغيرة والمتوسطة، ويمكن قياسها بوضوح (</w:t>
      </w:r>
      <w:proofErr w:type="spellStart"/>
      <w:r w:rsidRPr="001C6062">
        <w:rPr>
          <w:rFonts w:ascii="Sakkal Majalla" w:eastAsia="Noto Naskh Arabic" w:hAnsi="Sakkal Majalla" w:cs="Sakkal Majalla"/>
          <w:color w:val="000000" w:themeColor="text1"/>
          <w:sz w:val="36"/>
          <w:szCs w:val="36"/>
        </w:rPr>
        <w:t>Alavi</w:t>
      </w:r>
      <w:proofErr w:type="spellEnd"/>
      <w:r w:rsidRPr="001C6062">
        <w:rPr>
          <w:rFonts w:ascii="Sakkal Majalla" w:eastAsia="Noto Naskh Arabic" w:hAnsi="Sakkal Majalla" w:cs="Sakkal Majalla"/>
          <w:color w:val="000000" w:themeColor="text1"/>
          <w:sz w:val="36"/>
          <w:szCs w:val="36"/>
        </w:rPr>
        <w:t xml:space="preserve"> &amp; </w:t>
      </w:r>
      <w:proofErr w:type="spellStart"/>
      <w:r w:rsidRPr="001C6062">
        <w:rPr>
          <w:rFonts w:ascii="Sakkal Majalla" w:eastAsia="Noto Naskh Arabic" w:hAnsi="Sakkal Majalla" w:cs="Sakkal Majalla"/>
          <w:color w:val="000000" w:themeColor="text1"/>
          <w:sz w:val="36"/>
          <w:szCs w:val="36"/>
        </w:rPr>
        <w:t>Leidner</w:t>
      </w:r>
      <w:proofErr w:type="spellEnd"/>
      <w:r w:rsidRPr="001C6062">
        <w:rPr>
          <w:rFonts w:ascii="Sakkal Majalla" w:eastAsia="Noto Naskh Arabic" w:hAnsi="Sakkal Majalla" w:cs="Sakkal Majalla"/>
          <w:color w:val="000000" w:themeColor="text1"/>
          <w:sz w:val="36"/>
          <w:szCs w:val="36"/>
        </w:rPr>
        <w:t>, 2001</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Gold et al., 2001</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Hock-</w:t>
      </w:r>
      <w:proofErr w:type="spellStart"/>
      <w:r w:rsidRPr="001C6062">
        <w:rPr>
          <w:rFonts w:ascii="Sakkal Majalla" w:eastAsia="Noto Naskh Arabic" w:hAnsi="Sakkal Majalla" w:cs="Sakkal Majalla"/>
          <w:color w:val="000000" w:themeColor="text1"/>
          <w:sz w:val="36"/>
          <w:szCs w:val="36"/>
        </w:rPr>
        <w:t>Doepgen</w:t>
      </w:r>
      <w:proofErr w:type="spellEnd"/>
      <w:r w:rsidRPr="001C6062">
        <w:rPr>
          <w:rFonts w:ascii="Sakkal Majalla" w:eastAsia="Noto Naskh Arabic" w:hAnsi="Sakkal Majalla" w:cs="Sakkal Majalla"/>
          <w:color w:val="000000" w:themeColor="text1"/>
          <w:sz w:val="36"/>
          <w:szCs w:val="36"/>
        </w:rPr>
        <w:t xml:space="preserve"> et al., 2021</w:t>
      </w:r>
      <w:r w:rsidRPr="001C6062">
        <w:rPr>
          <w:rFonts w:ascii="Sakkal Majalla" w:eastAsia="Noto Naskh Arabic" w:hAnsi="Sakkal Majalla" w:cs="Sakkal Majalla"/>
          <w:color w:val="000000" w:themeColor="text1"/>
          <w:sz w:val="36"/>
          <w:szCs w:val="36"/>
          <w:rtl/>
        </w:rPr>
        <w:t>).</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تختلف إدارة المعرفة عن إدارة المعلومات؛ فالمعلومات بيانات منظمة، أما المعرفة فتتضمن تفسيرًا وسياقًا وخبرة وإمكانية للفعل. وقد يوفر النظام تقريرًا عن انخفاض المبيعات، لكن المعرفة تتعلق بسبب الانخفاض، والشرائح المتأثرة، والخيارات المتاحة، وما الذي نجح سابقًا، وكيف يمكن اختبار استجابة. ولذلك تمثل إدارة المعرفة جسرًا بين التحليل والقرار.</w:t>
      </w:r>
    </w:p>
    <w:p w:rsidR="005C72B9" w:rsidRPr="001C6062" w:rsidRDefault="005C72B9"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6" w:name="_Toc235465332"/>
      <w:r w:rsidRPr="001C6062">
        <w:rPr>
          <w:rFonts w:ascii="Sakkal Majalla" w:eastAsia="Noto Sans Arabic" w:hAnsi="Sakkal Majalla" w:cs="Sakkal Majalla"/>
          <w:color w:val="000000" w:themeColor="text1"/>
          <w:sz w:val="36"/>
          <w:szCs w:val="36"/>
        </w:rPr>
        <w:t>2-6-2</w:t>
      </w:r>
      <w:r w:rsidRPr="001C6062">
        <w:rPr>
          <w:rFonts w:ascii="Sakkal Majalla" w:eastAsia="Noto Sans Arabic" w:hAnsi="Sakkal Majalla" w:cs="Sakkal Majalla"/>
          <w:color w:val="000000" w:themeColor="text1"/>
          <w:sz w:val="36"/>
          <w:szCs w:val="36"/>
          <w:rtl/>
        </w:rPr>
        <w:t xml:space="preserve"> خصائص إدارة المعرفة في المشروعات الصغيرة والمتوسطة</w:t>
      </w:r>
      <w:r w:rsidR="005C72B9">
        <w:rPr>
          <w:rFonts w:ascii="Sakkal Majalla" w:eastAsia="Noto Sans Arabic" w:hAnsi="Sakkal Majalla" w:cs="Sakkal Majalla" w:hint="cs"/>
          <w:color w:val="000000" w:themeColor="text1"/>
          <w:sz w:val="36"/>
          <w:szCs w:val="36"/>
          <w:rtl/>
        </w:rPr>
        <w:t>:</w:t>
      </w:r>
      <w:bookmarkEnd w:id="26"/>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تتميز المعرفة في المشروعات الصغيرة والمتوسطة بارتفاع نسبة المعرفة الضمنية وسرعة تداولها شفهيًا وقربها من العميل. ويسمح صغر الحجم بالتواصل السريع، لكنه قد يقلل الحافز إلى التوثيق ويجعل المعرفة مرتبطة بأفراد محددين. وعند توسع المشروع أو انتقال موظف رئيس، تظهر فجوات في الاستمرارية وتكرار الأخطاء.</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كما أن ممارسات إدارة المعرفة في المشروع الصغير لا تحتاج بالضرورة إلى نظام معقد؛ فقد تبدأ بقوالب موحدة، وسجل قرارات، ومستودع منظم، واجتماعات دروس مستفادة، ومسؤولية واضحة عن تحديث المحتوى. وتكمن الجودة في انتظام الممارسة وسهولة الوصول والارتباط بالعمل، لا في عدد الصفحات أو الأدوات.</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تؤثر الثقافة بصورة مباشرة في المشاركة؛ فالموظف قد يحجب المعرفة إذا شعر أن الاحتفاظ بها مصدر قوة، أو إذا خاف من نقد الخطأ، أو إذا لم يرَ فائدة من التوثيق. كما يمكن لضغط الوقت أن يجعل التوثيق آخر الأولويات. ولذلك ينبغي إدماج التقاط المعرفة في سير العمل نفسه، وتوفير حوافز للاستخدام والتحديث، وتبسيط القوالب.</w:t>
      </w:r>
    </w:p>
    <w:p w:rsidR="005C72B9" w:rsidRPr="001C6062" w:rsidRDefault="005C72B9"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7" w:name="_Toc235465333"/>
      <w:r w:rsidRPr="001C6062">
        <w:rPr>
          <w:rFonts w:ascii="Sakkal Majalla" w:eastAsia="Noto Sans Arabic" w:hAnsi="Sakkal Majalla" w:cs="Sakkal Majalla"/>
          <w:color w:val="000000" w:themeColor="text1"/>
          <w:sz w:val="36"/>
          <w:szCs w:val="36"/>
        </w:rPr>
        <w:t>2-6-3</w:t>
      </w:r>
      <w:r w:rsidRPr="001C6062">
        <w:rPr>
          <w:rFonts w:ascii="Sakkal Majalla" w:eastAsia="Noto Sans Arabic" w:hAnsi="Sakkal Majalla" w:cs="Sakkal Majalla"/>
          <w:color w:val="000000" w:themeColor="text1"/>
          <w:sz w:val="36"/>
          <w:szCs w:val="36"/>
          <w:rtl/>
        </w:rPr>
        <w:t xml:space="preserve"> اكتساب المعرفة</w:t>
      </w:r>
      <w:r w:rsidR="005C72B9">
        <w:rPr>
          <w:rFonts w:ascii="Sakkal Majalla" w:eastAsia="Noto Sans Arabic" w:hAnsi="Sakkal Majalla" w:cs="Sakkal Majalla" w:hint="cs"/>
          <w:color w:val="000000" w:themeColor="text1"/>
          <w:sz w:val="36"/>
          <w:szCs w:val="36"/>
          <w:rtl/>
        </w:rPr>
        <w:t>:</w:t>
      </w:r>
      <w:bookmarkEnd w:id="27"/>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اكتساب المعرفة هو قدرة المشروع على الحصول على معرفة جديدة من مصادر داخلية وخارجية. وتشمل المصادر الداخلية بيانات العمليات، وملاحظات العملاء، وتجارب الموظفين، ونتائج المشروعات، بينما تشمل المصادر الخارجية تقارير السوق، والموردين، والشركاء، والمنافسين، والمجتمعات المهنية، والجهات التنظيمية.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يدعم الذكاء الاصطناعي الاكتساب من خلال تحليل كميات كبيرة من النصوص والبيانات، ورصد الأنماط، واستخراج موضوعات الشكاوى، وتلخيص الاتجاهات، وربط مصادر مختلفة. </w:t>
      </w:r>
      <w:r w:rsidRPr="001C6062">
        <w:rPr>
          <w:rFonts w:ascii="Sakkal Majalla" w:eastAsia="Noto Naskh Arabic" w:hAnsi="Sakkal Majalla" w:cs="Sakkal Majalla"/>
          <w:color w:val="000000" w:themeColor="text1"/>
          <w:sz w:val="36"/>
          <w:szCs w:val="36"/>
          <w:rtl/>
        </w:rPr>
        <w:lastRenderedPageBreak/>
        <w:t>غير أن الاكتساب لا يساوي التجميع؛ إذ يجب تقييم المصداقية والملاءمة والحداثة، وتحديد ما إذا كانت المعرفة قابلة للتطبيق في سياق المشروع.</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في المشروعات الصغيرة، يمكن البدء بنظام بسيط للاستخبار السوقي يحدد الأسئلة المهمة والمصادر وتكرار التحديث والمسؤول عن التحقق. فبدل جمع أخبار كثيرة، يركز المشروع مثلًا على تغيرات أسعار المواد، وشكاوى العملاء المتكررة، وتحركات المنافسين، واللوائح المؤثرة، ثم يحولها إلى إشارات قابلة للنقاش.</w:t>
      </w:r>
    </w:p>
    <w:p w:rsidR="005C72B9" w:rsidRPr="001C6062" w:rsidRDefault="005C72B9"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8" w:name="_Toc235465334"/>
      <w:r w:rsidRPr="001C6062">
        <w:rPr>
          <w:rFonts w:ascii="Sakkal Majalla" w:eastAsia="Noto Sans Arabic" w:hAnsi="Sakkal Majalla" w:cs="Sakkal Majalla"/>
          <w:color w:val="000000" w:themeColor="text1"/>
          <w:sz w:val="36"/>
          <w:szCs w:val="36"/>
        </w:rPr>
        <w:t>2-6-4</w:t>
      </w:r>
      <w:r w:rsidRPr="001C6062">
        <w:rPr>
          <w:rFonts w:ascii="Sakkal Majalla" w:eastAsia="Noto Sans Arabic" w:hAnsi="Sakkal Majalla" w:cs="Sakkal Majalla"/>
          <w:color w:val="000000" w:themeColor="text1"/>
          <w:sz w:val="36"/>
          <w:szCs w:val="36"/>
          <w:rtl/>
        </w:rPr>
        <w:t xml:space="preserve"> تخزين المعرفة وتنظيمها</w:t>
      </w:r>
      <w:r w:rsidR="005C72B9">
        <w:rPr>
          <w:rFonts w:ascii="Sakkal Majalla" w:eastAsia="Noto Sans Arabic" w:hAnsi="Sakkal Majalla" w:cs="Sakkal Majalla" w:hint="cs"/>
          <w:color w:val="000000" w:themeColor="text1"/>
          <w:sz w:val="36"/>
          <w:szCs w:val="36"/>
          <w:rtl/>
        </w:rPr>
        <w:t>:</w:t>
      </w:r>
      <w:bookmarkEnd w:id="28"/>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يشمل التخزين توثيق المعرفة وتصنيفها وإتاحتها للاسترجاع مع الحفاظ على دقتها وتحديثها. ولا يقتصر على حفظ الملفات، بل يتطلب بنية تصنيف، وبيانات وصفية، وإصدارات، ومالكًا للمحتوى، وتاريخ مراجعة، وصلاحيات، وآلية للأرشفة والحذف. وتزداد أهمية ذلك عندما يستخدم المشروع مساعدًا ذكيًا يبحث في المحتوى؛ لأن النظام سيعيد إنتاج أخطاء المستودع </w:t>
      </w:r>
      <w:proofErr w:type="spellStart"/>
      <w:r w:rsidRPr="001C6062">
        <w:rPr>
          <w:rFonts w:ascii="Sakkal Majalla" w:eastAsia="Noto Naskh Arabic" w:hAnsi="Sakkal Majalla" w:cs="Sakkal Majalla"/>
          <w:color w:val="000000" w:themeColor="text1"/>
          <w:sz w:val="36"/>
          <w:szCs w:val="36"/>
          <w:rtl/>
        </w:rPr>
        <w:t>وتعارضاته</w:t>
      </w:r>
      <w:proofErr w:type="spellEnd"/>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يمكن للذكاء الاصطناعي المساعدة في تصنيف الوثائق واستخراج الكلمات المفتاحية وتلخيص الاجتماعات وربط المحتوى المتشابه، لكنه لا يحسم وحده أي نسخة معتمدة أو متى تصبح المعلومة قديمة. ولذلك يبقى دور </w:t>
      </w:r>
      <w:proofErr w:type="spellStart"/>
      <w:r w:rsidRPr="001C6062">
        <w:rPr>
          <w:rFonts w:ascii="Sakkal Majalla" w:eastAsia="Noto Naskh Arabic" w:hAnsi="Sakkal Majalla" w:cs="Sakkal Majalla"/>
          <w:color w:val="000000" w:themeColor="text1"/>
          <w:sz w:val="36"/>
          <w:szCs w:val="36"/>
          <w:rtl/>
        </w:rPr>
        <w:t>الحوكمة</w:t>
      </w:r>
      <w:proofErr w:type="spellEnd"/>
      <w:r w:rsidRPr="001C6062">
        <w:rPr>
          <w:rFonts w:ascii="Sakkal Majalla" w:eastAsia="Noto Naskh Arabic" w:hAnsi="Sakkal Majalla" w:cs="Sakkal Majalla"/>
          <w:color w:val="000000" w:themeColor="text1"/>
          <w:sz w:val="36"/>
          <w:szCs w:val="36"/>
          <w:rtl/>
        </w:rPr>
        <w:t xml:space="preserve"> البشرية ضروريًا في اعتماد المصادر، وتحديد مدة الصلاحية، ومعالجة التعارض.</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يمثل تخزين المعرفة نقطة ضعف متكررة في المشروعات؛ إذ قد تكون المعرفة متاحة لحظة حدوثها لكنها تضيع لاحقًا. ويؤدي غياب الذاكرة التنظيمية إلى إعادة العمل وتكرار الأخطاء وإطالة زمن تدريب الموظفين. ومن ثم يُتوقع أن يرتبط تحسن التخزين بسرعة الاستجابة وإعادة استخدام الحلول.</w:t>
      </w:r>
    </w:p>
    <w:p w:rsidR="005C72B9" w:rsidRPr="001C6062" w:rsidRDefault="005C72B9"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29" w:name="_Toc235465335"/>
      <w:r w:rsidRPr="001C6062">
        <w:rPr>
          <w:rFonts w:ascii="Sakkal Majalla" w:eastAsia="Noto Sans Arabic" w:hAnsi="Sakkal Majalla" w:cs="Sakkal Majalla"/>
          <w:color w:val="000000" w:themeColor="text1"/>
          <w:sz w:val="36"/>
          <w:szCs w:val="36"/>
        </w:rPr>
        <w:t>2-6-5</w:t>
      </w:r>
      <w:r w:rsidRPr="001C6062">
        <w:rPr>
          <w:rFonts w:ascii="Sakkal Majalla" w:eastAsia="Noto Sans Arabic" w:hAnsi="Sakkal Majalla" w:cs="Sakkal Majalla"/>
          <w:color w:val="000000" w:themeColor="text1"/>
          <w:sz w:val="36"/>
          <w:szCs w:val="36"/>
          <w:rtl/>
        </w:rPr>
        <w:t xml:space="preserve"> مشاركة المعرفة</w:t>
      </w:r>
      <w:r w:rsidR="005C72B9">
        <w:rPr>
          <w:rFonts w:ascii="Sakkal Majalla" w:eastAsia="Noto Sans Arabic" w:hAnsi="Sakkal Majalla" w:cs="Sakkal Majalla" w:hint="cs"/>
          <w:color w:val="000000" w:themeColor="text1"/>
          <w:sz w:val="36"/>
          <w:szCs w:val="36"/>
          <w:rtl/>
        </w:rPr>
        <w:t>:</w:t>
      </w:r>
      <w:bookmarkEnd w:id="29"/>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مشاركة المعرفة هي انتقالها بين الأفراد والوحدات في الوقت والشكل المناسبين. وقد تكون رسمية عبر الأنظمة والاجتماعات والإجراءات، أو غير رسمية عبر التفاعل اليومي. وتحتاج المشاركة إلى الثقة، واللغة المشتركة، وإمكانية الوصول، وحوافز، ووضوح </w:t>
      </w:r>
      <w:proofErr w:type="gramStart"/>
      <w:r w:rsidRPr="001C6062">
        <w:rPr>
          <w:rFonts w:ascii="Sakkal Majalla" w:eastAsia="Noto Naskh Arabic" w:hAnsi="Sakkal Majalla" w:cs="Sakkal Majalla"/>
          <w:color w:val="000000" w:themeColor="text1"/>
          <w:sz w:val="36"/>
          <w:szCs w:val="36"/>
          <w:rtl/>
        </w:rPr>
        <w:t>في ما</w:t>
      </w:r>
      <w:proofErr w:type="gramEnd"/>
      <w:r w:rsidRPr="001C6062">
        <w:rPr>
          <w:rFonts w:ascii="Sakkal Majalla" w:eastAsia="Noto Naskh Arabic" w:hAnsi="Sakkal Majalla" w:cs="Sakkal Majalla"/>
          <w:color w:val="000000" w:themeColor="text1"/>
          <w:sz w:val="36"/>
          <w:szCs w:val="36"/>
          <w:rtl/>
        </w:rPr>
        <w:t xml:space="preserve"> يمكن مشاركته وما يجب حمايته.</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يمكن للمنصات الذكية تسهيل البحث والتوصية بالخبراء والوثائق، وترجمة المحتوى، وتوليد ملخصات مناسبة لأدوار مختلفة. لكن سهولة المشاركة قد تزيد خطر الإفشاء أو نشر معلومات غير موثقة. ولذلك يجب الجمع بين الانفتاح الداخلي وضوابط التصنيف والصلاحيات، وبين تشجيع السؤال والتحقق.</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تكتسب المشاركة أهمية خاصة للمرونة لأن سرعة الاستجابة تعتمد على وصول الإشارة إلى من يملك القرار والقدرة على التنفيذ. فإذا بقيت ملاحظة السوق لدى فريق المبيعات ولم تصل إلى العمليات، أو بقيت مشكلة المورد لدى المشتريات، تتأخر الاستجابة رغم توفر المعرفة محليًا.</w:t>
      </w:r>
    </w:p>
    <w:p w:rsidR="005C72B9" w:rsidRPr="001C6062" w:rsidRDefault="005C72B9"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0" w:name="_Toc235465336"/>
      <w:r w:rsidRPr="001C6062">
        <w:rPr>
          <w:rFonts w:ascii="Sakkal Majalla" w:eastAsia="Noto Sans Arabic" w:hAnsi="Sakkal Majalla" w:cs="Sakkal Majalla"/>
          <w:color w:val="000000" w:themeColor="text1"/>
          <w:sz w:val="36"/>
          <w:szCs w:val="36"/>
        </w:rPr>
        <w:t>2-6-6</w:t>
      </w:r>
      <w:r w:rsidRPr="001C6062">
        <w:rPr>
          <w:rFonts w:ascii="Sakkal Majalla" w:eastAsia="Noto Sans Arabic" w:hAnsi="Sakkal Majalla" w:cs="Sakkal Majalla"/>
          <w:color w:val="000000" w:themeColor="text1"/>
          <w:sz w:val="36"/>
          <w:szCs w:val="36"/>
          <w:rtl/>
        </w:rPr>
        <w:t xml:space="preserve"> تطبيق المعرفة</w:t>
      </w:r>
      <w:r w:rsidR="005C72B9">
        <w:rPr>
          <w:rFonts w:ascii="Sakkal Majalla" w:eastAsia="Noto Sans Arabic" w:hAnsi="Sakkal Majalla" w:cs="Sakkal Majalla" w:hint="cs"/>
          <w:color w:val="000000" w:themeColor="text1"/>
          <w:sz w:val="36"/>
          <w:szCs w:val="36"/>
          <w:rtl/>
        </w:rPr>
        <w:t>:</w:t>
      </w:r>
      <w:bookmarkEnd w:id="30"/>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تطبيق المعرفة هو استخدامها في حل المشكلات وتحسين العمليات وتطوير المنتجات واتخاذ القرارات. وهو البعد الذي تتحول عنده إدارة المعرفة من نشاط داعم إلى قيمة. وقد تمتلك المنظمة تقارير ومستودعات وتبادلًا نشطًا دون أثر إذا لم تُترجم المعرفة إلى تغييرات ومسؤوليات ومواعيد ومؤشرات.</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يسهم الذكاء الاصطناعي في التطبيق عبر توصيات وإجراءات آلية ومحاكاة بدائل، لكن القرار يحتاج إلى فهم القيود والتكاليف والمخاطر. ويجب توثيق سبب قبول توصية أو رفضها، وقياس النتيجة، وإعادة الدرس إلى المستودع. بهذه الحلقة يتحول الاستخدام إلى تعلم تنظيمي تراكمي.</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يرتبط التطبيق مباشرة بالمرونة؛ لأنه يختصر المسافة بين الاستشعار والفعل. وكلما كانت المعرفة قابلة للوصول وموثوقة ومفهومة، أمكن للمشروع تعديل العرض أو المخزون أو الموارد أو الرسالة التسويقية بسرعة أكبر. ولذلك يُتوقع أن يكون تطبيق المعرفة من أعلى أبعاد إدارة المعرفة ارتباطًا بالمرونة.</w:t>
      </w: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5</w:t>
      </w:r>
      <w:r w:rsidRPr="001C6062">
        <w:rPr>
          <w:rFonts w:ascii="Sakkal Majalla" w:eastAsia="Noto Sans Arabic" w:hAnsi="Sakkal Majalla" w:cs="Sakkal Majalla"/>
          <w:b/>
          <w:color w:val="000000" w:themeColor="text1"/>
          <w:sz w:val="36"/>
          <w:szCs w:val="36"/>
          <w:rtl/>
        </w:rPr>
        <w:t>): عمليات إدارة المعرفة ودور الذكاء الاصطناعي</w:t>
      </w:r>
    </w:p>
    <w:tbl>
      <w:tblPr>
        <w:tblStyle w:val="afb"/>
        <w:bidiVisual/>
        <w:tblW w:w="9184" w:type="dxa"/>
        <w:jc w:val="center"/>
        <w:tblLayout w:type="fixed"/>
        <w:tblCellMar>
          <w:top w:w="90" w:type="dxa"/>
          <w:left w:w="90" w:type="dxa"/>
          <w:bottom w:w="90" w:type="dxa"/>
          <w:right w:w="90" w:type="dxa"/>
        </w:tblCellMar>
        <w:tblLook w:val="04A0" w:firstRow="1" w:lastRow="0" w:firstColumn="1" w:lastColumn="0" w:noHBand="0" w:noVBand="1"/>
      </w:tblPr>
      <w:tblGrid>
        <w:gridCol w:w="2297"/>
        <w:gridCol w:w="2296"/>
        <w:gridCol w:w="2749"/>
        <w:gridCol w:w="1842"/>
      </w:tblGrid>
      <w:tr w:rsidR="001C6062" w:rsidRPr="001C6062" w:rsidTr="00DF3755">
        <w:trPr>
          <w:tblHeader/>
          <w:jc w:val="center"/>
        </w:trPr>
        <w:tc>
          <w:tcPr>
            <w:tcW w:w="2297"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العملية</w:t>
            </w:r>
          </w:p>
        </w:tc>
        <w:tc>
          <w:tcPr>
            <w:tcW w:w="2296"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المعنى التنظيمي</w:t>
            </w:r>
          </w:p>
        </w:tc>
        <w:tc>
          <w:tcPr>
            <w:tcW w:w="2749"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دور الذكاء الاصطناعي</w:t>
            </w:r>
          </w:p>
        </w:tc>
        <w:tc>
          <w:tcPr>
            <w:tcW w:w="1842"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الخطر الواجب ضبطه</w:t>
            </w:r>
          </w:p>
        </w:tc>
      </w:tr>
      <w:tr w:rsidR="001C6062" w:rsidRPr="001C6062" w:rsidTr="00DF3755">
        <w:trPr>
          <w:jc w:val="center"/>
        </w:trPr>
        <w:tc>
          <w:tcPr>
            <w:tcW w:w="229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اكتساب المعرفة</w:t>
            </w:r>
          </w:p>
        </w:tc>
        <w:tc>
          <w:tcPr>
            <w:tcW w:w="2296"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جمع وتحليل المعرفة من العملاء والعمليات والسوق</w:t>
            </w:r>
          </w:p>
        </w:tc>
        <w:tc>
          <w:tcPr>
            <w:tcW w:w="2749"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تحليل المشاعر، تلخيص المصادر، اكتشاف الأنماط</w:t>
            </w:r>
          </w:p>
        </w:tc>
        <w:tc>
          <w:tcPr>
            <w:tcW w:w="184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جودة المصدر والتحقق</w:t>
            </w:r>
          </w:p>
        </w:tc>
      </w:tr>
      <w:tr w:rsidR="001C6062" w:rsidRPr="001C6062" w:rsidTr="00DF3755">
        <w:trPr>
          <w:jc w:val="center"/>
        </w:trPr>
        <w:tc>
          <w:tcPr>
            <w:tcW w:w="229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تخزين المعرفة</w:t>
            </w:r>
          </w:p>
        </w:tc>
        <w:tc>
          <w:tcPr>
            <w:tcW w:w="2296"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توثيقها وتصنيفها وحفظ نسخها المعتمدة</w:t>
            </w:r>
          </w:p>
        </w:tc>
        <w:tc>
          <w:tcPr>
            <w:tcW w:w="2749"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تصنيف آلي، بحث دلالي، تلخيص</w:t>
            </w:r>
          </w:p>
        </w:tc>
        <w:tc>
          <w:tcPr>
            <w:tcW w:w="184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تقادم المحتوى وتعارض النسخ</w:t>
            </w:r>
          </w:p>
        </w:tc>
      </w:tr>
      <w:tr w:rsidR="001C6062" w:rsidRPr="001C6062" w:rsidTr="00DF3755">
        <w:trPr>
          <w:jc w:val="center"/>
        </w:trPr>
        <w:tc>
          <w:tcPr>
            <w:tcW w:w="229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مشاركة المعرفة</w:t>
            </w:r>
          </w:p>
        </w:tc>
        <w:tc>
          <w:tcPr>
            <w:tcW w:w="2296"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نقلها إلى الأشخاص والوحدات الملائمة</w:t>
            </w:r>
          </w:p>
        </w:tc>
        <w:tc>
          <w:tcPr>
            <w:tcW w:w="2749"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مساعد داخلي، توصية محتوى وخبراء، ترجمة</w:t>
            </w:r>
          </w:p>
        </w:tc>
        <w:tc>
          <w:tcPr>
            <w:tcW w:w="184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الإفشاء والوصول غير الملائم</w:t>
            </w:r>
          </w:p>
        </w:tc>
      </w:tr>
      <w:tr w:rsidR="001C6062" w:rsidRPr="001C6062" w:rsidTr="00DF3755">
        <w:trPr>
          <w:jc w:val="center"/>
        </w:trPr>
        <w:tc>
          <w:tcPr>
            <w:tcW w:w="229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تطبيق المعرفة</w:t>
            </w:r>
          </w:p>
        </w:tc>
        <w:tc>
          <w:tcPr>
            <w:tcW w:w="2296"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تحويلها إلى قرار أو تحسين أو ابتكار</w:t>
            </w:r>
          </w:p>
        </w:tc>
        <w:tc>
          <w:tcPr>
            <w:tcW w:w="2749"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توصيات، محاكاة، أتمتة مشروطة</w:t>
            </w:r>
          </w:p>
        </w:tc>
        <w:tc>
          <w:tcPr>
            <w:tcW w:w="184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الاعتماد المفرط وضعف المساءلة</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المصدر: إعداد الباحث في ضوء مدوري وولد سعيد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الفزاري والشاوي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Alavi</w:t>
      </w:r>
      <w:proofErr w:type="spellEnd"/>
      <w:r w:rsidRPr="001C6062">
        <w:rPr>
          <w:rFonts w:ascii="Sakkal Majalla" w:eastAsia="Noto Naskh Arabic" w:hAnsi="Sakkal Majalla" w:cs="Sakkal Majalla"/>
          <w:color w:val="000000" w:themeColor="text1"/>
          <w:sz w:val="36"/>
          <w:szCs w:val="36"/>
        </w:rPr>
        <w:t xml:space="preserve"> and </w:t>
      </w:r>
      <w:proofErr w:type="spellStart"/>
      <w:r w:rsidRPr="001C6062">
        <w:rPr>
          <w:rFonts w:ascii="Sakkal Majalla" w:eastAsia="Noto Naskh Arabic" w:hAnsi="Sakkal Majalla" w:cs="Sakkal Majalla"/>
          <w:color w:val="000000" w:themeColor="text1"/>
          <w:sz w:val="36"/>
          <w:szCs w:val="36"/>
        </w:rPr>
        <w:t>Leidner</w:t>
      </w:r>
      <w:proofErr w:type="spellEnd"/>
      <w:r w:rsidRPr="001C6062">
        <w:rPr>
          <w:rFonts w:ascii="Sakkal Majalla" w:eastAsia="Noto Naskh Arabic" w:hAnsi="Sakkal Majalla" w:cs="Sakkal Majalla"/>
          <w:color w:val="000000" w:themeColor="text1"/>
          <w:sz w:val="36"/>
          <w:szCs w:val="36"/>
        </w:rPr>
        <w:t xml:space="preserve"> (2001)</w:t>
      </w:r>
      <w:r w:rsidRPr="001C6062">
        <w:rPr>
          <w:rFonts w:ascii="Sakkal Majalla" w:eastAsia="Noto Naskh Arabic" w:hAnsi="Sakkal Majalla" w:cs="Sakkal Majalla"/>
          <w:color w:val="000000" w:themeColor="text1"/>
          <w:sz w:val="36"/>
          <w:szCs w:val="36"/>
          <w:rtl/>
        </w:rPr>
        <w:t>.</w:t>
      </w:r>
    </w:p>
    <w:p w:rsidR="0023208A" w:rsidRPr="001C6062" w:rsidRDefault="0023208A"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1" w:name="_Toc235465337"/>
      <w:r w:rsidRPr="001C6062">
        <w:rPr>
          <w:rFonts w:ascii="Sakkal Majalla" w:eastAsia="Noto Sans Arabic" w:hAnsi="Sakkal Majalla" w:cs="Sakkal Majalla"/>
          <w:color w:val="000000" w:themeColor="text1"/>
          <w:sz w:val="36"/>
          <w:szCs w:val="36"/>
        </w:rPr>
        <w:t>2-6-7</w:t>
      </w:r>
      <w:r w:rsidRPr="001C6062">
        <w:rPr>
          <w:rFonts w:ascii="Sakkal Majalla" w:eastAsia="Noto Sans Arabic" w:hAnsi="Sakkal Majalla" w:cs="Sakkal Majalla"/>
          <w:color w:val="000000" w:themeColor="text1"/>
          <w:sz w:val="36"/>
          <w:szCs w:val="36"/>
          <w:rtl/>
        </w:rPr>
        <w:t xml:space="preserve"> العلاقة بين الذكاء الاصطناعي وإدارة المعرفة</w:t>
      </w:r>
      <w:r w:rsidR="0023208A">
        <w:rPr>
          <w:rFonts w:ascii="Sakkal Majalla" w:eastAsia="Noto Sans Arabic" w:hAnsi="Sakkal Majalla" w:cs="Sakkal Majalla" w:hint="cs"/>
          <w:color w:val="000000" w:themeColor="text1"/>
          <w:sz w:val="36"/>
          <w:szCs w:val="36"/>
          <w:rtl/>
        </w:rPr>
        <w:t>:</w:t>
      </w:r>
      <w:bookmarkEnd w:id="31"/>
      <w:r w:rsidR="0023208A">
        <w:rPr>
          <w:rFonts w:ascii="Sakkal Majalla" w:eastAsia="Noto Sans Arabic" w:hAnsi="Sakkal Majalla" w:cs="Sakkal Majalla" w:hint="cs"/>
          <w:color w:val="000000" w:themeColor="text1"/>
          <w:sz w:val="36"/>
          <w:szCs w:val="36"/>
          <w:rtl/>
        </w:rPr>
        <w:t xml:space="preserve"> </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تُظهر الأدبيات العربية أن الذكاء الاصطناعي يدعم عمليات إدارة المعرفة من خلال سرعة المعالجة، وتحسين الاسترجاع، واكتشاف العلاقات، وتخصيص المعرفة، ودعم القرار (لرباع، </w:t>
      </w:r>
      <w:r w:rsidRPr="001C6062">
        <w:rPr>
          <w:rFonts w:ascii="Sakkal Majalla" w:eastAsia="Noto Naskh Arabic" w:hAnsi="Sakkal Majalla" w:cs="Sakkal Majalla"/>
          <w:color w:val="000000" w:themeColor="text1"/>
          <w:sz w:val="36"/>
          <w:szCs w:val="36"/>
        </w:rPr>
        <w:t>2015</w:t>
      </w:r>
      <w:r w:rsidRPr="001C6062">
        <w:rPr>
          <w:rFonts w:ascii="Sakkal Majalla" w:eastAsia="Noto Naskh Arabic" w:hAnsi="Sakkal Majalla" w:cs="Sakkal Majalla"/>
          <w:color w:val="000000" w:themeColor="text1"/>
          <w:sz w:val="36"/>
          <w:szCs w:val="36"/>
          <w:rtl/>
        </w:rPr>
        <w:t xml:space="preserve">؛ القرني،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مدوري وولد سعيد،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الفزاري والشاوي،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ويزداد هذا الدور مع النماذج التوليدية القادرة على التفاعل باللغة الطبيعية، لكنه يرافقه خطر إنتاج معلومات غير صحيحة أو غير موثقة.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لا يتحقق الأثر تلقائيًا لأن المنظمة تحتاج إلى بيانات ومحتوى منظم، وإلى مهارات لاستخدام الأدوات، وإلى سياسات تحدد المصدر والاعتماد والمراجعة. ومن ثم تُعد الجاهزية مقدمة لقدرات إدارة المعرفة المدعومة بالذكاء الاصطناعي. فالجاهزية التقنية تتيح التكامل والبحث، وجاهزية البيانات توفر المحتوى، والجاهزية البشرية تدعم التفسير،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تحافظ على الجودة والمسؤولية.</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 xml:space="preserve">يمكن النظر إلى الذكاء الاصطناعي بوصفه «مضخمًا» لقدرات المعرفة: إذا كانت الممارسات الأساسية جيدة، يزيد سرعتها واتساعها؛ وإذا كانت ضعيفة، قد يضخم الفوضى والتعارض. </w:t>
      </w:r>
      <w:r w:rsidRPr="001C6062">
        <w:rPr>
          <w:rFonts w:ascii="Sakkal Majalla" w:eastAsia="Noto Naskh Arabic" w:hAnsi="Sakkal Majalla" w:cs="Sakkal Majalla"/>
          <w:color w:val="000000" w:themeColor="text1"/>
          <w:sz w:val="36"/>
          <w:szCs w:val="36"/>
          <w:rtl/>
        </w:rPr>
        <w:lastRenderedPageBreak/>
        <w:t>وهذا المنطق يدعم فرضية الأثر الإيجابي للجاهزية في قدرات إدارة المعرفة، لا مجرد أثر الاستخدام.</w:t>
      </w:r>
    </w:p>
    <w:p w:rsidR="0023208A" w:rsidRPr="001C6062" w:rsidRDefault="0023208A"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32" w:name="_Toc235465338"/>
      <w:r w:rsidRPr="001C6062">
        <w:rPr>
          <w:rFonts w:ascii="Sakkal Majalla" w:eastAsia="Noto Sans Arabic" w:hAnsi="Sakkal Majalla" w:cs="Sakkal Majalla"/>
          <w:color w:val="000000" w:themeColor="text1"/>
          <w:szCs w:val="36"/>
        </w:rPr>
        <w:t>2-7</w:t>
      </w:r>
      <w:r w:rsidRPr="001C6062">
        <w:rPr>
          <w:rFonts w:ascii="Sakkal Majalla" w:eastAsia="Noto Sans Arabic" w:hAnsi="Sakkal Majalla" w:cs="Sakkal Majalla"/>
          <w:color w:val="000000" w:themeColor="text1"/>
          <w:szCs w:val="36"/>
          <w:rtl/>
        </w:rPr>
        <w:t xml:space="preserve"> المرونة الاستراتيجية</w:t>
      </w:r>
      <w:bookmarkEnd w:id="32"/>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3" w:name="_Toc235465339"/>
      <w:r w:rsidRPr="001C6062">
        <w:rPr>
          <w:rFonts w:ascii="Sakkal Majalla" w:eastAsia="Noto Sans Arabic" w:hAnsi="Sakkal Majalla" w:cs="Sakkal Majalla"/>
          <w:color w:val="000000" w:themeColor="text1"/>
          <w:sz w:val="36"/>
          <w:szCs w:val="36"/>
        </w:rPr>
        <w:t>2-7-1</w:t>
      </w:r>
      <w:r w:rsidRPr="001C6062">
        <w:rPr>
          <w:rFonts w:ascii="Sakkal Majalla" w:eastAsia="Noto Sans Arabic" w:hAnsi="Sakkal Majalla" w:cs="Sakkal Majalla"/>
          <w:color w:val="000000" w:themeColor="text1"/>
          <w:sz w:val="36"/>
          <w:szCs w:val="36"/>
          <w:rtl/>
        </w:rPr>
        <w:t xml:space="preserve"> المفهوم والتمييز عن المفاهيم القريبة</w:t>
      </w:r>
      <w:r w:rsidR="0023208A">
        <w:rPr>
          <w:rFonts w:ascii="Sakkal Majalla" w:eastAsia="Noto Sans Arabic" w:hAnsi="Sakkal Majalla" w:cs="Sakkal Majalla" w:hint="cs"/>
          <w:color w:val="000000" w:themeColor="text1"/>
          <w:sz w:val="36"/>
          <w:szCs w:val="36"/>
          <w:rtl/>
        </w:rPr>
        <w:t>:</w:t>
      </w:r>
      <w:bookmarkEnd w:id="33"/>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المرونة الاستراتيجية هي قدرة المنظمة على تعديل خياراتها ومواردها ونطاقها وعملياتها في الوقت المناسب استجابةً للتغيرات والفرص والتهديدات. وتشمل توافر بدائل، وإمكانية الانتقال بينها، وسرعة اتخاذ القرار، وتكلفة التغيير، والتنسيق بين الوحدات. ولا تعني التغيير الدائم أو غياب الالتزام؛ بل تعني الاحتفاظ بخيارات وإجراءات تسمح بالتكيف دون فقدان الاتجاه.</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تختلف المرونة عن الرشاقة رغم تقاربهما. فالمرونة تركز على نطاق البدائل وقابلية إعادة التشكيل، بينما تركز الرشاقة على سرعة الاستشعار والاستجابة. وقد تكون المنظمة سريعة لكنها محدودة البدائل، أو تمتلك بدائل لكنها بطيئة. وتختلف المرونة عن الصمود الذي يركز على الاستمرار والتعافي، وعن التكيف الذي قد يحدث تدريجيًا. في الدراسة تُفهم المرونة بوصفها قدرة استراتيجية تجمع التعديل والسرعة والفاعلية.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تتأثر المرونة بخصائص الموارد، وتنوع المعرفة، ولامركزية القرار، والأنظمة المعلوماتية، والثقافة، والشراكات، والاحتياطيات. وقد تواجه المشروعات الصغيرة مفارقة: فهي أسرع قرارًا، لكنها أقل موارد وبدائل؛ لذلك تحتاج إلى مرونة ذكية تركز على الموارد القابلة لإعادة الاستخدام، والشبكات الخارجية، والبيانات، والتعلم.</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4" w:name="_Toc235465340"/>
      <w:r w:rsidRPr="001C6062">
        <w:rPr>
          <w:rFonts w:ascii="Sakkal Majalla" w:eastAsia="Noto Sans Arabic" w:hAnsi="Sakkal Majalla" w:cs="Sakkal Majalla"/>
          <w:color w:val="000000" w:themeColor="text1"/>
          <w:sz w:val="36"/>
          <w:szCs w:val="36"/>
        </w:rPr>
        <w:t>2-7-2</w:t>
      </w:r>
      <w:r w:rsidRPr="001C6062">
        <w:rPr>
          <w:rFonts w:ascii="Sakkal Majalla" w:eastAsia="Noto Sans Arabic" w:hAnsi="Sakkal Majalla" w:cs="Sakkal Majalla"/>
          <w:color w:val="000000" w:themeColor="text1"/>
          <w:sz w:val="36"/>
          <w:szCs w:val="36"/>
          <w:rtl/>
        </w:rPr>
        <w:t xml:space="preserve"> مرونة السوق</w:t>
      </w:r>
      <w:r w:rsidR="0023208A">
        <w:rPr>
          <w:rFonts w:ascii="Sakkal Majalla" w:eastAsia="Noto Sans Arabic" w:hAnsi="Sakkal Majalla" w:cs="Sakkal Majalla" w:hint="cs"/>
          <w:color w:val="000000" w:themeColor="text1"/>
          <w:sz w:val="36"/>
          <w:szCs w:val="36"/>
          <w:rtl/>
        </w:rPr>
        <w:t>:</w:t>
      </w:r>
      <w:bookmarkEnd w:id="34"/>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مرونة السوق هي قدرة المشروع على تعديل الشرائح المستهدفة والعروض والقنوات والتسعير والرسائل استجابة لتغير الطلب والمنافسة. وتتطلب رصدًا مستمرًا لسلوك العملاء وإشارات السوق، وقدرة على اختبار أفكار بسرعة، واتخاذ قرار بشأن التوسع أو الإيقاف.</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يدعم الذكاء الاصطناعي هذه المرونة بتحليل بيانات التفاعل والمبيعات، وتوقع الطلب، وتقسيم العملاء، واختبار المحتوى، ورصد الموضوعات الناشئة. لكن المرونة لا تتحقق بمجرد التنبؤ؛ إذ يجب أن تصل المعرفة إلى فرق التسويق والمنتج والعمليات، وأن تكون هناك صلاحية لتعديل العرض، ومؤشر يقيس النتيجة.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من أمثلة مرونة السوق أن يكتشف متجر إلكتروني تحولًا في الطلب نحو فئة محددة، فيعيد تخصيص ميزانية التسويق والمخزون خلال أيام، أو أن تعدل شركة خدمات باقاتها وقنواتها بعد </w:t>
      </w:r>
      <w:r w:rsidRPr="001C6062">
        <w:rPr>
          <w:rFonts w:ascii="Sakkal Majalla" w:eastAsia="Noto Naskh Arabic" w:hAnsi="Sakkal Majalla" w:cs="Sakkal Majalla"/>
          <w:color w:val="000000" w:themeColor="text1"/>
          <w:sz w:val="36"/>
          <w:szCs w:val="36"/>
          <w:rtl/>
        </w:rPr>
        <w:lastRenderedPageBreak/>
        <w:t>تحليل أسباب التسرب. ويجب أن تكون الاستجابة منضبطة كي لا تؤدي التخصيصات المتكررة إلى تشتيت العلامة أو زيادة التعقيد.</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5" w:name="_Toc235465341"/>
      <w:r w:rsidRPr="001C6062">
        <w:rPr>
          <w:rFonts w:ascii="Sakkal Majalla" w:eastAsia="Noto Sans Arabic" w:hAnsi="Sakkal Majalla" w:cs="Sakkal Majalla"/>
          <w:color w:val="000000" w:themeColor="text1"/>
          <w:sz w:val="36"/>
          <w:szCs w:val="36"/>
        </w:rPr>
        <w:t>2-7-3</w:t>
      </w:r>
      <w:r w:rsidRPr="001C6062">
        <w:rPr>
          <w:rFonts w:ascii="Sakkal Majalla" w:eastAsia="Noto Sans Arabic" w:hAnsi="Sakkal Majalla" w:cs="Sakkal Majalla"/>
          <w:color w:val="000000" w:themeColor="text1"/>
          <w:sz w:val="36"/>
          <w:szCs w:val="36"/>
          <w:rtl/>
        </w:rPr>
        <w:t xml:space="preserve"> مرونة الموارد والعمليات</w:t>
      </w:r>
      <w:r w:rsidR="0023208A">
        <w:rPr>
          <w:rFonts w:ascii="Sakkal Majalla" w:eastAsia="Noto Sans Arabic" w:hAnsi="Sakkal Majalla" w:cs="Sakkal Majalla" w:hint="cs"/>
          <w:color w:val="000000" w:themeColor="text1"/>
          <w:sz w:val="36"/>
          <w:szCs w:val="36"/>
          <w:rtl/>
        </w:rPr>
        <w:t>:</w:t>
      </w:r>
      <w:bookmarkEnd w:id="35"/>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تشير مرونة الموارد والعمليات إلى قدرة المشروع على إعادة تخصيص الأفراد والميزانية والطاقة التشغيلية والمخزون والموردين والأصول الرقمية، وعلى تعديل سير العمل دون تكلفة أو وقت مفرط. وتعتمد على تعدد المهارات، ووضوح العمليات، وقابلية الأنظمة للتكامل، وتوافر بدائل الموردين.</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يمكن للذكاء الاصطناعي تحسين التنبؤ والجدولة وتحديد الاختناقات، لكنه يحتاج إلى بيانات تشغيلية ومؤشرات واضحة. كما يمكن </w:t>
      </w:r>
      <w:proofErr w:type="spellStart"/>
      <w:r w:rsidRPr="001C6062">
        <w:rPr>
          <w:rFonts w:ascii="Sakkal Majalla" w:eastAsia="Noto Naskh Arabic" w:hAnsi="Sakkal Majalla" w:cs="Sakkal Majalla"/>
          <w:color w:val="000000" w:themeColor="text1"/>
          <w:sz w:val="36"/>
          <w:szCs w:val="36"/>
          <w:rtl/>
        </w:rPr>
        <w:t>للأتمتة</w:t>
      </w:r>
      <w:proofErr w:type="spellEnd"/>
      <w:r w:rsidRPr="001C6062">
        <w:rPr>
          <w:rFonts w:ascii="Sakkal Majalla" w:eastAsia="Noto Naskh Arabic" w:hAnsi="Sakkal Majalla" w:cs="Sakkal Majalla"/>
          <w:color w:val="000000" w:themeColor="text1"/>
          <w:sz w:val="36"/>
          <w:szCs w:val="36"/>
          <w:rtl/>
        </w:rPr>
        <w:t xml:space="preserve"> أن تزيد المرونة إذا كانت قابلة للتعديل، أو تقللها إذا ربطت المشروع بعملية جامدة أو مورد واحد. ومن ثم يجب تقييم قابلية التغيير ضمن تصميم الحل.</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في المشروع الصغير قد تعني المرونة أن يقوم فريق متعدد المهارات بتحويل جزء من الجهد من خدمة إلى أخرى، أو تعديل جدول الإنتاج، أو تغيير قناة التوريد. وتساعد إدارة المعرفة في توثيق خطوات التحويل ومتطلباته ودروسه، فتقل تكلفة الاستجابة اللاحقة.</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6" w:name="_Toc235465342"/>
      <w:r w:rsidRPr="001C6062">
        <w:rPr>
          <w:rFonts w:ascii="Sakkal Majalla" w:eastAsia="Noto Sans Arabic" w:hAnsi="Sakkal Majalla" w:cs="Sakkal Majalla"/>
          <w:color w:val="000000" w:themeColor="text1"/>
          <w:sz w:val="36"/>
          <w:szCs w:val="36"/>
        </w:rPr>
        <w:t>2-7-4</w:t>
      </w:r>
      <w:r w:rsidRPr="001C6062">
        <w:rPr>
          <w:rFonts w:ascii="Sakkal Majalla" w:eastAsia="Noto Sans Arabic" w:hAnsi="Sakkal Majalla" w:cs="Sakkal Majalla"/>
          <w:color w:val="000000" w:themeColor="text1"/>
          <w:sz w:val="36"/>
          <w:szCs w:val="36"/>
          <w:rtl/>
        </w:rPr>
        <w:t xml:space="preserve"> مرونة الاستجابة التنافسية</w:t>
      </w:r>
      <w:r w:rsidR="0023208A">
        <w:rPr>
          <w:rFonts w:ascii="Sakkal Majalla" w:eastAsia="Noto Sans Arabic" w:hAnsi="Sakkal Majalla" w:cs="Sakkal Majalla" w:hint="cs"/>
          <w:color w:val="000000" w:themeColor="text1"/>
          <w:sz w:val="36"/>
          <w:szCs w:val="36"/>
          <w:rtl/>
        </w:rPr>
        <w:t>:</w:t>
      </w:r>
      <w:bookmarkEnd w:id="36"/>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مرونة الاستجابة التنافسية هي قدرة المشروع على فهم تحركات المنافسين والتغيرات التنظيمية والتقنية، واختيار استجابة متناسبة في الوقت المناسب. وقد تكون الاستجابة ابتكارًا أو شراكة أو تعديلًا للسعر أو تجربة العميل أو التركيز على شريحة متخصصة، وليس بالضرورة تقليد المنافس.</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تحتاج الاستجابة إلى مزيج من الاستشعار والتفسير والقرار والتنفيذ. ويمكن للذكاء الاصطناعي توسيع الاستشعار وتحليل السيناريوهات، بينما تضمن إدارة المعرفة أن تُفهم الإشارات في ضوء الخبرة السابقة وأن تُنقل إلى صانع القرار. وبذلك تتكامل المتغيرات الثلاثة في هذا البعد.</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تعد المرونة التنافسية مهمة في الأسواق التي تنخفض فيها حواجز الدخول وتظهر فيها نماذج رقمية جديدة. ومع ذلك ينبغي ألا تُقاس بكثرة ردود الفعل، بل بقدرة المشروع على اختيار الاستجابة التي تحافظ على القيمة والاتساق، وتجنب استنزاف الموارد في تقلبات قصيرة.</w:t>
      </w: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lastRenderedPageBreak/>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6</w:t>
      </w:r>
      <w:r w:rsidRPr="001C6062">
        <w:rPr>
          <w:rFonts w:ascii="Sakkal Majalla" w:eastAsia="Noto Sans Arabic" w:hAnsi="Sakkal Majalla" w:cs="Sakkal Majalla"/>
          <w:b/>
          <w:color w:val="000000" w:themeColor="text1"/>
          <w:sz w:val="36"/>
          <w:szCs w:val="36"/>
          <w:rtl/>
        </w:rPr>
        <w:t>): أبعاد المرونة الاستراتيجية ومظاهرها</w:t>
      </w:r>
    </w:p>
    <w:tbl>
      <w:tblPr>
        <w:tblStyle w:val="afb"/>
        <w:tblW w:w="9187" w:type="dxa"/>
        <w:jc w:val="center"/>
        <w:tblLayout w:type="fixed"/>
        <w:tblCellMar>
          <w:top w:w="90" w:type="dxa"/>
          <w:left w:w="90" w:type="dxa"/>
          <w:bottom w:w="90" w:type="dxa"/>
          <w:right w:w="90" w:type="dxa"/>
        </w:tblCellMar>
        <w:tblLook w:val="04A0" w:firstRow="1" w:lastRow="0" w:firstColumn="1" w:lastColumn="0" w:noHBand="0" w:noVBand="1"/>
      </w:tblPr>
      <w:tblGrid>
        <w:gridCol w:w="2122"/>
        <w:gridCol w:w="2676"/>
        <w:gridCol w:w="4389"/>
      </w:tblGrid>
      <w:tr w:rsidR="001C6062" w:rsidRPr="001C6062" w:rsidTr="00DF3755">
        <w:trPr>
          <w:tblHeader/>
          <w:jc w:val="center"/>
        </w:trPr>
        <w:tc>
          <w:tcPr>
            <w:tcW w:w="2122"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البعد</w:t>
            </w:r>
          </w:p>
        </w:tc>
        <w:tc>
          <w:tcPr>
            <w:tcW w:w="2676"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المضمون</w:t>
            </w:r>
          </w:p>
        </w:tc>
        <w:tc>
          <w:tcPr>
            <w:tcW w:w="4389"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مؤشرات تطبيقية محتملة</w:t>
            </w:r>
          </w:p>
        </w:tc>
      </w:tr>
      <w:tr w:rsidR="001C6062" w:rsidRPr="001C6062" w:rsidTr="00DF3755">
        <w:trPr>
          <w:jc w:val="center"/>
        </w:trPr>
        <w:tc>
          <w:tcPr>
            <w:tcW w:w="2122"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مرونة السوق</w:t>
            </w:r>
          </w:p>
        </w:tc>
        <w:tc>
          <w:tcPr>
            <w:tcW w:w="2676"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تعديل العملاء والعروض والقنوات والتسعير</w:t>
            </w:r>
          </w:p>
        </w:tc>
        <w:tc>
          <w:tcPr>
            <w:tcW w:w="4389"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زمن إطلاق/تعديل العرض، سرعة الاستجابة لتغير الطلب</w:t>
            </w:r>
          </w:p>
        </w:tc>
      </w:tr>
      <w:tr w:rsidR="001C6062" w:rsidRPr="001C6062" w:rsidTr="00DF3755">
        <w:trPr>
          <w:jc w:val="center"/>
        </w:trPr>
        <w:tc>
          <w:tcPr>
            <w:tcW w:w="2122"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مرونة الموارد/العمليات</w:t>
            </w:r>
          </w:p>
        </w:tc>
        <w:tc>
          <w:tcPr>
            <w:tcW w:w="2676"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إعادة تخصيص الأفراد والميزانية والمخزون وسير العمل</w:t>
            </w:r>
          </w:p>
        </w:tc>
        <w:tc>
          <w:tcPr>
            <w:tcW w:w="4389"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زمن إعادة التخصيص، نسبة الموارد متعددة الاستخدام</w:t>
            </w:r>
          </w:p>
        </w:tc>
      </w:tr>
      <w:tr w:rsidR="001C6062" w:rsidRPr="001C6062" w:rsidTr="00DF3755">
        <w:trPr>
          <w:jc w:val="center"/>
        </w:trPr>
        <w:tc>
          <w:tcPr>
            <w:tcW w:w="2122"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مرونة الاستجابة التنافسية</w:t>
            </w:r>
          </w:p>
        </w:tc>
        <w:tc>
          <w:tcPr>
            <w:tcW w:w="2676"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اختيار وتنفيذ رد مناسب لتحركات المنافسة والتقنية والتنظيم</w:t>
            </w:r>
          </w:p>
        </w:tc>
        <w:tc>
          <w:tcPr>
            <w:tcW w:w="4389" w:type="dxa"/>
            <w:shd w:val="clear" w:color="auto" w:fill="F2DBDB" w:themeFill="accent2" w:themeFillTint="33"/>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زمن القرار، نجاح التجارب، سرعة استثمار الفرص</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المصدر: إعداد الباحث في ضوء الطهراوي (</w:t>
      </w:r>
      <w:r w:rsidRPr="001C6062">
        <w:rPr>
          <w:rFonts w:ascii="Sakkal Majalla" w:eastAsia="Noto Naskh Arabic" w:hAnsi="Sakkal Majalla" w:cs="Sakkal Majalla"/>
          <w:color w:val="000000" w:themeColor="text1"/>
          <w:sz w:val="36"/>
          <w:szCs w:val="36"/>
        </w:rPr>
        <w:t>2019</w:t>
      </w:r>
      <w:r w:rsidRPr="001C6062">
        <w:rPr>
          <w:rFonts w:ascii="Sakkal Majalla" w:eastAsia="Noto Naskh Arabic" w:hAnsi="Sakkal Majalla" w:cs="Sakkal Majalla"/>
          <w:color w:val="000000" w:themeColor="text1"/>
          <w:sz w:val="36"/>
          <w:szCs w:val="36"/>
          <w:rtl/>
        </w:rPr>
        <w:t>)؛ إبراهيم والكبيسي (</w:t>
      </w:r>
      <w:r w:rsidRPr="001C6062">
        <w:rPr>
          <w:rFonts w:ascii="Sakkal Majalla" w:eastAsia="Noto Naskh Arabic" w:hAnsi="Sakkal Majalla" w:cs="Sakkal Majalla"/>
          <w:color w:val="000000" w:themeColor="text1"/>
          <w:sz w:val="36"/>
          <w:szCs w:val="36"/>
        </w:rPr>
        <w:t>2023</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Brozovic</w:t>
      </w:r>
      <w:proofErr w:type="spellEnd"/>
      <w:r w:rsidRPr="001C6062">
        <w:rPr>
          <w:rFonts w:ascii="Sakkal Majalla" w:eastAsia="Noto Naskh Arabic" w:hAnsi="Sakkal Majalla" w:cs="Sakkal Majalla"/>
          <w:color w:val="000000" w:themeColor="text1"/>
          <w:sz w:val="36"/>
          <w:szCs w:val="36"/>
        </w:rPr>
        <w:t xml:space="preserve"> (2018)</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Zahoor</w:t>
      </w:r>
      <w:proofErr w:type="spellEnd"/>
      <w:r w:rsidRPr="001C6062">
        <w:rPr>
          <w:rFonts w:ascii="Sakkal Majalla" w:eastAsia="Noto Naskh Arabic" w:hAnsi="Sakkal Majalla" w:cs="Sakkal Majalla"/>
          <w:color w:val="000000" w:themeColor="text1"/>
          <w:sz w:val="36"/>
          <w:szCs w:val="36"/>
        </w:rPr>
        <w:t xml:space="preserve"> et al. (2022)</w:t>
      </w:r>
      <w:r w:rsidRPr="001C6062">
        <w:rPr>
          <w:rFonts w:ascii="Sakkal Majalla" w:eastAsia="Noto Naskh Arabic" w:hAnsi="Sakkal Majalla" w:cs="Sakkal Majalla"/>
          <w:color w:val="000000" w:themeColor="text1"/>
          <w:sz w:val="36"/>
          <w:szCs w:val="36"/>
          <w:rtl/>
        </w:rPr>
        <w:t>.</w:t>
      </w:r>
    </w:p>
    <w:p w:rsidR="0023208A" w:rsidRPr="001C6062" w:rsidRDefault="0023208A"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37" w:name="_Toc235465343"/>
      <w:r w:rsidRPr="001C6062">
        <w:rPr>
          <w:rFonts w:ascii="Sakkal Majalla" w:eastAsia="Noto Sans Arabic" w:hAnsi="Sakkal Majalla" w:cs="Sakkal Majalla"/>
          <w:color w:val="000000" w:themeColor="text1"/>
          <w:szCs w:val="36"/>
        </w:rPr>
        <w:t>2-8</w:t>
      </w:r>
      <w:r w:rsidRPr="001C6062">
        <w:rPr>
          <w:rFonts w:ascii="Sakkal Majalla" w:eastAsia="Noto Sans Arabic" w:hAnsi="Sakkal Majalla" w:cs="Sakkal Majalla"/>
          <w:color w:val="000000" w:themeColor="text1"/>
          <w:szCs w:val="36"/>
          <w:rtl/>
        </w:rPr>
        <w:t xml:space="preserve"> العلاقات النظرية بين متغيرات الدراسة</w:t>
      </w:r>
      <w:bookmarkEnd w:id="37"/>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8" w:name="_Toc235465344"/>
      <w:r w:rsidRPr="001C6062">
        <w:rPr>
          <w:rFonts w:ascii="Sakkal Majalla" w:eastAsia="Noto Sans Arabic" w:hAnsi="Sakkal Majalla" w:cs="Sakkal Majalla"/>
          <w:color w:val="000000" w:themeColor="text1"/>
          <w:sz w:val="36"/>
          <w:szCs w:val="36"/>
        </w:rPr>
        <w:t>2-8-1</w:t>
      </w:r>
      <w:r w:rsidRPr="001C6062">
        <w:rPr>
          <w:rFonts w:ascii="Sakkal Majalla" w:eastAsia="Noto Sans Arabic" w:hAnsi="Sakkal Majalla" w:cs="Sakkal Majalla"/>
          <w:color w:val="000000" w:themeColor="text1"/>
          <w:sz w:val="36"/>
          <w:szCs w:val="36"/>
          <w:rtl/>
        </w:rPr>
        <w:t xml:space="preserve"> أثر الجاهزية في قدرات إدارة المعرفة</w:t>
      </w:r>
      <w:r w:rsidR="0023208A">
        <w:rPr>
          <w:rFonts w:ascii="Sakkal Majalla" w:eastAsia="Noto Sans Arabic" w:hAnsi="Sakkal Majalla" w:cs="Sakkal Majalla" w:hint="cs"/>
          <w:color w:val="000000" w:themeColor="text1"/>
          <w:sz w:val="36"/>
          <w:szCs w:val="36"/>
          <w:rtl/>
        </w:rPr>
        <w:t>:</w:t>
      </w:r>
      <w:bookmarkEnd w:id="38"/>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تتيح الجاهزية التقنية أدوات البحث والتحليل والتكامل، وتوفر جاهزية البيانات محتوى موثوقًا، وتُمكّن الجاهزية البشرية الموظفين من تفسير المخرجات وتقييمها، بينما تضع القيادة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الأولويات والمسؤوليات والضوابط. لذلك يُتوقع أن يؤدي تكامل الأبعاد الأربعة إلى تحسين قدرة المشروع على اكتساب المعرفة وتخزينها ومشاركتها وتطبيقها.</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إذا كان أحد الأبعاد ضعيفًا فقد ينقطع المسار. فالتقنية دون بيانات لا تنتج معرفة موثوقة، والبيانات دون مهارات لا تُفسر جيدًا، والمهارات دون قيادة تبقى جهودًا فردية، والقيادة دون </w:t>
      </w:r>
      <w:proofErr w:type="spellStart"/>
      <w:r w:rsidRPr="001C6062">
        <w:rPr>
          <w:rFonts w:ascii="Sakkal Majalla" w:eastAsia="Noto Naskh Arabic" w:hAnsi="Sakkal Majalla" w:cs="Sakkal Majalla"/>
          <w:color w:val="000000" w:themeColor="text1"/>
          <w:sz w:val="36"/>
          <w:szCs w:val="36"/>
          <w:rtl/>
        </w:rPr>
        <w:t>حوكمة</w:t>
      </w:r>
      <w:proofErr w:type="spellEnd"/>
      <w:r w:rsidRPr="001C6062">
        <w:rPr>
          <w:rFonts w:ascii="Sakkal Majalla" w:eastAsia="Noto Naskh Arabic" w:hAnsi="Sakkal Majalla" w:cs="Sakkal Majalla"/>
          <w:color w:val="000000" w:themeColor="text1"/>
          <w:sz w:val="36"/>
          <w:szCs w:val="36"/>
          <w:rtl/>
        </w:rPr>
        <w:t xml:space="preserve"> قد تسرّع استخدامًا غير مسؤول. ومن ثم تتبنى الدراسة مفهومًا تكامليًا، مع فحص متوسط الأبعاد لتحديد نقاط الضعف.</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39" w:name="_Toc235465345"/>
      <w:r w:rsidRPr="001C6062">
        <w:rPr>
          <w:rFonts w:ascii="Sakkal Majalla" w:eastAsia="Noto Sans Arabic" w:hAnsi="Sakkal Majalla" w:cs="Sakkal Majalla"/>
          <w:color w:val="000000" w:themeColor="text1"/>
          <w:sz w:val="36"/>
          <w:szCs w:val="36"/>
        </w:rPr>
        <w:t>2-8-2</w:t>
      </w:r>
      <w:r w:rsidRPr="001C6062">
        <w:rPr>
          <w:rFonts w:ascii="Sakkal Majalla" w:eastAsia="Noto Sans Arabic" w:hAnsi="Sakkal Majalla" w:cs="Sakkal Majalla"/>
          <w:color w:val="000000" w:themeColor="text1"/>
          <w:sz w:val="36"/>
          <w:szCs w:val="36"/>
          <w:rtl/>
        </w:rPr>
        <w:t xml:space="preserve"> أثر قدرات إدارة المعرفة في المرونة الاستراتيجية</w:t>
      </w:r>
      <w:r w:rsidR="0023208A">
        <w:rPr>
          <w:rFonts w:ascii="Sakkal Majalla" w:eastAsia="Noto Sans Arabic" w:hAnsi="Sakkal Majalla" w:cs="Sakkal Majalla" w:hint="cs"/>
          <w:color w:val="000000" w:themeColor="text1"/>
          <w:sz w:val="36"/>
          <w:szCs w:val="36"/>
          <w:rtl/>
        </w:rPr>
        <w:t>:</w:t>
      </w:r>
      <w:bookmarkEnd w:id="39"/>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تزيد قدرات المعرفة من قدرة المشروع على الاستشعار لأنها تجمع إشارات متنوعة، ومن سرعة القرار لأنها توفر معلومات منظمة، ومن جودة التنفيذ لأنها تنقل الخبرة، ومن التعلم لأنها تحفظ النتائج. وتؤدي هذه العمليات إلى توسيع البدائل وتقليل زمن الاستجابة وتكلفة التغيير.</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 xml:space="preserve">تدعم الدراسات التي تربط إدارة المعرفة بالابتكار وتجديد نماذج الأعمال والرشاقة هذا المسار. وقد بينت دراسة </w:t>
      </w:r>
      <w:r w:rsidRPr="001C6062">
        <w:rPr>
          <w:rFonts w:ascii="Sakkal Majalla" w:eastAsia="Noto Naskh Arabic" w:hAnsi="Sakkal Majalla" w:cs="Sakkal Majalla"/>
          <w:color w:val="000000" w:themeColor="text1"/>
          <w:sz w:val="36"/>
          <w:szCs w:val="36"/>
        </w:rPr>
        <w:t>Hock-</w:t>
      </w:r>
      <w:proofErr w:type="spellStart"/>
      <w:r w:rsidRPr="001C6062">
        <w:rPr>
          <w:rFonts w:ascii="Sakkal Majalla" w:eastAsia="Noto Naskh Arabic" w:hAnsi="Sakkal Majalla" w:cs="Sakkal Majalla"/>
          <w:color w:val="000000" w:themeColor="text1"/>
          <w:sz w:val="36"/>
          <w:szCs w:val="36"/>
        </w:rPr>
        <w:t>Doepgen</w:t>
      </w:r>
      <w:proofErr w:type="spellEnd"/>
      <w:r w:rsidRPr="001C6062">
        <w:rPr>
          <w:rFonts w:ascii="Sakkal Majalla" w:eastAsia="Noto Naskh Arabic" w:hAnsi="Sakkal Majalla" w:cs="Sakkal Majalla"/>
          <w:color w:val="000000" w:themeColor="text1"/>
          <w:sz w:val="36"/>
          <w:szCs w:val="36"/>
        </w:rPr>
        <w:t xml:space="preserve"> et al. (2021)</w:t>
      </w:r>
      <w:r w:rsidRPr="001C6062">
        <w:rPr>
          <w:rFonts w:ascii="Sakkal Majalla" w:eastAsia="Noto Naskh Arabic" w:hAnsi="Sakkal Majalla" w:cs="Sakkal Majalla"/>
          <w:color w:val="000000" w:themeColor="text1"/>
          <w:sz w:val="36"/>
          <w:szCs w:val="36"/>
          <w:rtl/>
        </w:rPr>
        <w:t xml:space="preserve"> أن قدرات إدارة المعرفة ترتبط بالابتكار في نماذج الأعمال في المشروعات الصغيرة والمتوسطة، بينما توضح مراجعات المجال أن المعرفة عامل حاسم لبناء المرونة والتعلم في هذه المنشآت.</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تعني العلاقة أن كل مشاركة للمعرفة تزيد المرونة؛ فقد تؤدي كثرة المعلومات أو المستودعات غير المنظمة إلى بطء القرار. ولذلك تقيس الدراسة القدرات الفعالة، أي المعرفة الملائمة والموثوقة التي تصل إلى المستخدم وتُطبق.</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40" w:name="_Toc235465346"/>
      <w:r w:rsidRPr="001C6062">
        <w:rPr>
          <w:rFonts w:ascii="Sakkal Majalla" w:eastAsia="Noto Sans Arabic" w:hAnsi="Sakkal Majalla" w:cs="Sakkal Majalla"/>
          <w:color w:val="000000" w:themeColor="text1"/>
          <w:sz w:val="36"/>
          <w:szCs w:val="36"/>
        </w:rPr>
        <w:t>2-8-3</w:t>
      </w:r>
      <w:r w:rsidRPr="001C6062">
        <w:rPr>
          <w:rFonts w:ascii="Sakkal Majalla" w:eastAsia="Noto Sans Arabic" w:hAnsi="Sakkal Majalla" w:cs="Sakkal Majalla"/>
          <w:color w:val="000000" w:themeColor="text1"/>
          <w:sz w:val="36"/>
          <w:szCs w:val="36"/>
          <w:rtl/>
        </w:rPr>
        <w:t xml:space="preserve"> الأثر المباشر للجاهزية في المرونة</w:t>
      </w:r>
      <w:r w:rsidR="0023208A">
        <w:rPr>
          <w:rFonts w:ascii="Sakkal Majalla" w:eastAsia="Noto Sans Arabic" w:hAnsi="Sakkal Majalla" w:cs="Sakkal Majalla" w:hint="cs"/>
          <w:color w:val="000000" w:themeColor="text1"/>
          <w:sz w:val="36"/>
          <w:szCs w:val="36"/>
          <w:rtl/>
        </w:rPr>
        <w:t>:</w:t>
      </w:r>
      <w:bookmarkEnd w:id="40"/>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يمكن للجاهزية أن تؤثر مباشرة في المرونة من خلال تسريع التحليل </w:t>
      </w:r>
      <w:proofErr w:type="spellStart"/>
      <w:r w:rsidRPr="001C6062">
        <w:rPr>
          <w:rFonts w:ascii="Sakkal Majalla" w:eastAsia="Noto Naskh Arabic" w:hAnsi="Sakkal Majalla" w:cs="Sakkal Majalla"/>
          <w:color w:val="000000" w:themeColor="text1"/>
          <w:sz w:val="36"/>
          <w:szCs w:val="36"/>
          <w:rtl/>
        </w:rPr>
        <w:t>والأتمتة</w:t>
      </w:r>
      <w:proofErr w:type="spellEnd"/>
      <w:r w:rsidRPr="001C6062">
        <w:rPr>
          <w:rFonts w:ascii="Sakkal Majalla" w:eastAsia="Noto Naskh Arabic" w:hAnsi="Sakkal Majalla" w:cs="Sakkal Majalla"/>
          <w:color w:val="000000" w:themeColor="text1"/>
          <w:sz w:val="36"/>
          <w:szCs w:val="36"/>
          <w:rtl/>
        </w:rPr>
        <w:t xml:space="preserve"> وإعادة تخصيص الموارد. فالبنية المتكاملة والبيانات الفورية والمهارات والقيادة قد تتيح تعديل العمليات والعروض حتى قبل بناء ممارسات معرفة ناضجة. ويبرر ذلك الاحتفاظ بمسار مباشر في النموذج.</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لكن من المتوقع أن يتراجع جزء من الأثر عند إدخال إدارة المعرفة؛ لأن التقنية والبيانات تنتجان رؤى لا تصبح استراتيجية إلا عبر التفسير والمشاركة والتطبيق. فإذا ظل المسار المباشر دالًا مع وجود الوسيط تكون الوساطة جزئية، وإذا اختفى تكون كاملة. والأرجح نظريًا الوساطة الجزئية لأن بعض الاستخدامات تؤثر في العمليات مباشرة.</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41" w:name="_Toc235465347"/>
      <w:r w:rsidRPr="001C6062">
        <w:rPr>
          <w:rFonts w:ascii="Sakkal Majalla" w:eastAsia="Noto Sans Arabic" w:hAnsi="Sakkal Majalla" w:cs="Sakkal Majalla"/>
          <w:color w:val="000000" w:themeColor="text1"/>
          <w:sz w:val="36"/>
          <w:szCs w:val="36"/>
        </w:rPr>
        <w:t>2-8-4</w:t>
      </w:r>
      <w:r w:rsidRPr="001C6062">
        <w:rPr>
          <w:rFonts w:ascii="Sakkal Majalla" w:eastAsia="Noto Sans Arabic" w:hAnsi="Sakkal Majalla" w:cs="Sakkal Majalla"/>
          <w:color w:val="000000" w:themeColor="text1"/>
          <w:sz w:val="36"/>
          <w:szCs w:val="36"/>
          <w:rtl/>
        </w:rPr>
        <w:t xml:space="preserve"> الدور الوسيط لقدرات إدارة المعرفة</w:t>
      </w:r>
      <w:r w:rsidR="0023208A">
        <w:rPr>
          <w:rFonts w:ascii="Sakkal Majalla" w:eastAsia="Noto Sans Arabic" w:hAnsi="Sakkal Majalla" w:cs="Sakkal Majalla" w:hint="cs"/>
          <w:color w:val="000000" w:themeColor="text1"/>
          <w:sz w:val="36"/>
          <w:szCs w:val="36"/>
          <w:rtl/>
        </w:rPr>
        <w:t>:</w:t>
      </w:r>
      <w:bookmarkEnd w:id="41"/>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الوساطة تعني أن الجاهزية تؤثر في قدرات إدارة المعرفة، وهذه القدرات تؤثر بدورها في المرونة. ومن الناحية التفسيرية، تشرح الوساطة «كيف» تتحول الموارد </w:t>
      </w:r>
      <w:proofErr w:type="spellStart"/>
      <w:r w:rsidRPr="001C6062">
        <w:rPr>
          <w:rFonts w:ascii="Sakkal Majalla" w:eastAsia="Noto Naskh Arabic" w:hAnsi="Sakkal Majalla" w:cs="Sakkal Majalla"/>
          <w:color w:val="000000" w:themeColor="text1"/>
          <w:sz w:val="36"/>
          <w:szCs w:val="36"/>
          <w:rtl/>
        </w:rPr>
        <w:t>التمكينية</w:t>
      </w:r>
      <w:proofErr w:type="spellEnd"/>
      <w:r w:rsidRPr="001C6062">
        <w:rPr>
          <w:rFonts w:ascii="Sakkal Majalla" w:eastAsia="Noto Naskh Arabic" w:hAnsi="Sakkal Majalla" w:cs="Sakkal Majalla"/>
          <w:color w:val="000000" w:themeColor="text1"/>
          <w:sz w:val="36"/>
          <w:szCs w:val="36"/>
          <w:rtl/>
        </w:rPr>
        <w:t xml:space="preserve"> إلى نتيجة استراتيجية. ويعد هذا أكثر فائدة للممارسة من مجرد إثبات ارتباط؛ لأنه يحدد نقطة تدخل يمكن تطويرها.</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إذا ثبتت الوساطة، فإن المشروع الذي يستثمر في التقنية دون بناء عمليات المعرفة سيحقق أثرًا أقل من المتوقع. كما يعني أن برامج الدعم يجب ألا تقتصر على التدريب التقني، بل تشمل التوثيق والمشاركة والتعلم وتطبيق الدروس. ومن جهة القياس، يُختبر الأثر غير المباشر بإعادة المعاينة، ويُحكم على نوع الوساطة من دلالة المسارات واتجاهها ونسبة الأثر غير المباشر.</w:t>
      </w:r>
    </w:p>
    <w:p w:rsidR="0023208A" w:rsidRDefault="0023208A">
      <w:pPr>
        <w:spacing w:after="0" w:line="240" w:lineRule="auto"/>
        <w:rPr>
          <w:rFonts w:ascii="Sakkal Majalla" w:eastAsia="Noto Naskh Arabic" w:hAnsi="Sakkal Majalla" w:cs="Sakkal Majalla"/>
          <w:color w:val="000000" w:themeColor="text1"/>
          <w:sz w:val="36"/>
          <w:szCs w:val="36"/>
          <w:rtl/>
        </w:rPr>
      </w:pPr>
      <w:r>
        <w:rPr>
          <w:rFonts w:ascii="Sakkal Majalla" w:eastAsia="Noto Naskh Arabic" w:hAnsi="Sakkal Majalla" w:cs="Sakkal Majalla"/>
          <w:color w:val="000000" w:themeColor="text1"/>
          <w:sz w:val="36"/>
          <w:szCs w:val="36"/>
          <w:rtl/>
        </w:rPr>
        <w:br w:type="page"/>
      </w:r>
    </w:p>
    <w:p w:rsidR="001B44E9" w:rsidRPr="001C6062" w:rsidRDefault="001B44E9" w:rsidP="001B44E9">
      <w:pPr>
        <w:bidi/>
        <w:spacing w:after="0" w:line="240" w:lineRule="auto"/>
        <w:jc w:val="both"/>
        <w:rPr>
          <w:rFonts w:ascii="Sakkal Majalla" w:hAnsi="Sakkal Majalla" w:cs="Sakkal Majalla"/>
          <w:color w:val="000000" w:themeColor="text1"/>
          <w:sz w:val="36"/>
          <w:szCs w:val="36"/>
        </w:rPr>
      </w:pPr>
      <w:r w:rsidRPr="001B44E9">
        <w:rPr>
          <w:rFonts w:ascii="Sakkal Majalla" w:hAnsi="Sakkal Majalla" w:cs="Sakkal Majalla"/>
          <w:color w:val="000000" w:themeColor="text1"/>
          <w:sz w:val="36"/>
          <w:szCs w:val="36"/>
          <w:rtl/>
        </w:rPr>
        <w:lastRenderedPageBreak/>
        <w:drawing>
          <wp:anchor distT="0" distB="0" distL="114300" distR="114300" simplePos="0" relativeHeight="251659264" behindDoc="0" locked="0" layoutInCell="1" allowOverlap="1" wp14:anchorId="77F1E078" wp14:editId="77114A05">
            <wp:simplePos x="0" y="0"/>
            <wp:positionH relativeFrom="margin">
              <wp:align>right</wp:align>
            </wp:positionH>
            <wp:positionV relativeFrom="paragraph">
              <wp:posOffset>135890</wp:posOffset>
            </wp:positionV>
            <wp:extent cx="5832475" cy="3934460"/>
            <wp:effectExtent l="0" t="0" r="0" b="8890"/>
            <wp:wrapTight wrapText="bothSides">
              <wp:wrapPolygon edited="0">
                <wp:start x="0" y="0"/>
                <wp:lineTo x="0" y="21544"/>
                <wp:lineTo x="21518" y="21544"/>
                <wp:lineTo x="21518" y="0"/>
                <wp:lineTo x="0" y="0"/>
              </wp:wrapPolygon>
            </wp:wrapTight>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32475" cy="3934460"/>
                    </a:xfrm>
                    <a:prstGeom prst="rect">
                      <a:avLst/>
                    </a:prstGeom>
                  </pic:spPr>
                </pic:pic>
              </a:graphicData>
            </a:graphic>
          </wp:anchor>
        </w:drawing>
      </w:r>
    </w:p>
    <w:p w:rsidR="005931D6" w:rsidRPr="001C6062" w:rsidRDefault="00F93CAA" w:rsidP="001C6062">
      <w:pPr>
        <w:pStyle w:val="1"/>
        <w:bidi/>
        <w:spacing w:before="0" w:after="0" w:line="240" w:lineRule="auto"/>
        <w:jc w:val="both"/>
        <w:rPr>
          <w:rFonts w:ascii="Sakkal Majalla" w:hAnsi="Sakkal Majalla" w:cs="Sakkal Majalla"/>
          <w:color w:val="000000" w:themeColor="text1"/>
          <w:szCs w:val="36"/>
        </w:rPr>
      </w:pPr>
      <w:bookmarkStart w:id="42" w:name="_Toc235465348"/>
      <w:r w:rsidRPr="001C6062">
        <w:rPr>
          <w:rFonts w:ascii="Sakkal Majalla" w:eastAsia="Noto Sans Arabic" w:hAnsi="Sakkal Majalla" w:cs="Sakkal Majalla"/>
          <w:color w:val="000000" w:themeColor="text1"/>
          <w:szCs w:val="36"/>
        </w:rPr>
        <w:t>2-9</w:t>
      </w:r>
      <w:r w:rsidRPr="001C6062">
        <w:rPr>
          <w:rFonts w:ascii="Sakkal Majalla" w:eastAsia="Noto Sans Arabic" w:hAnsi="Sakkal Majalla" w:cs="Sakkal Majalla"/>
          <w:color w:val="000000" w:themeColor="text1"/>
          <w:szCs w:val="36"/>
          <w:rtl/>
        </w:rPr>
        <w:t xml:space="preserve"> الدراسات </w:t>
      </w:r>
      <w:proofErr w:type="gramStart"/>
      <w:r w:rsidRPr="001C6062">
        <w:rPr>
          <w:rFonts w:ascii="Sakkal Majalla" w:eastAsia="Noto Sans Arabic" w:hAnsi="Sakkal Majalla" w:cs="Sakkal Majalla"/>
          <w:color w:val="000000" w:themeColor="text1"/>
          <w:szCs w:val="36"/>
          <w:rtl/>
        </w:rPr>
        <w:t>السابقة</w:t>
      </w:r>
      <w:r w:rsidR="0023208A">
        <w:rPr>
          <w:rFonts w:ascii="Sakkal Majalla" w:eastAsia="Noto Sans Arabic" w:hAnsi="Sakkal Majalla" w:cs="Sakkal Majalla" w:hint="cs"/>
          <w:color w:val="000000" w:themeColor="text1"/>
          <w:szCs w:val="36"/>
          <w:rtl/>
        </w:rPr>
        <w:t xml:space="preserve"> :</w:t>
      </w:r>
      <w:bookmarkEnd w:id="42"/>
      <w:proofErr w:type="gramEnd"/>
      <w:r w:rsidR="0023208A">
        <w:rPr>
          <w:rFonts w:ascii="Sakkal Majalla" w:eastAsia="Noto Sans Arabic" w:hAnsi="Sakkal Majalla" w:cs="Sakkal Majalla" w:hint="cs"/>
          <w:color w:val="000000" w:themeColor="text1"/>
          <w:szCs w:val="36"/>
          <w:rtl/>
        </w:rPr>
        <w:t xml:space="preserve"> </w:t>
      </w:r>
    </w:p>
    <w:p w:rsidR="005931D6" w:rsidRPr="001C6062" w:rsidRDefault="00F93CAA" w:rsidP="001C6062">
      <w:pPr>
        <w:pStyle w:val="21"/>
        <w:bidi/>
        <w:spacing w:before="0" w:after="0" w:line="240" w:lineRule="auto"/>
        <w:jc w:val="both"/>
        <w:rPr>
          <w:rFonts w:ascii="Sakkal Majalla" w:hAnsi="Sakkal Majalla" w:cs="Sakkal Majalla"/>
          <w:color w:val="000000" w:themeColor="text1"/>
          <w:sz w:val="36"/>
          <w:szCs w:val="36"/>
        </w:rPr>
      </w:pPr>
      <w:bookmarkStart w:id="43" w:name="_Toc235465349"/>
      <w:r w:rsidRPr="001C6062">
        <w:rPr>
          <w:rFonts w:ascii="Sakkal Majalla" w:eastAsia="Noto Sans Arabic" w:hAnsi="Sakkal Majalla" w:cs="Sakkal Majalla"/>
          <w:color w:val="000000" w:themeColor="text1"/>
          <w:sz w:val="36"/>
          <w:szCs w:val="36"/>
        </w:rPr>
        <w:t>2-9-1</w:t>
      </w:r>
      <w:r w:rsidRPr="001C6062">
        <w:rPr>
          <w:rFonts w:ascii="Sakkal Majalla" w:eastAsia="Noto Sans Arabic" w:hAnsi="Sakkal Majalla" w:cs="Sakkal Majalla"/>
          <w:color w:val="000000" w:themeColor="text1"/>
          <w:sz w:val="36"/>
          <w:szCs w:val="36"/>
          <w:rtl/>
        </w:rPr>
        <w:t xml:space="preserve"> أولًا: الدراسات العربية</w:t>
      </w:r>
      <w:bookmarkEnd w:id="43"/>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تناولت دراسة لرباع (</w:t>
      </w:r>
      <w:r w:rsidRPr="001C6062">
        <w:rPr>
          <w:rFonts w:ascii="Sakkal Majalla" w:eastAsia="Noto Naskh Arabic" w:hAnsi="Sakkal Majalla" w:cs="Sakkal Majalla"/>
          <w:color w:val="000000" w:themeColor="text1"/>
          <w:sz w:val="36"/>
          <w:szCs w:val="36"/>
        </w:rPr>
        <w:t>2015</w:t>
      </w:r>
      <w:r w:rsidRPr="001C6062">
        <w:rPr>
          <w:rFonts w:ascii="Sakkal Majalla" w:eastAsia="Noto Naskh Arabic" w:hAnsi="Sakkal Majalla" w:cs="Sakkal Majalla"/>
          <w:color w:val="000000" w:themeColor="text1"/>
          <w:sz w:val="36"/>
          <w:szCs w:val="36"/>
          <w:rtl/>
        </w:rPr>
        <w:t>) أنظمة الذكاء الاصطناعي المساعدة في عمليات إدارة المعرفة، وناقشت الأدوار التي يمكن أن تؤديها الأنظمة الخبيرة والاستدلال والبحث في اكتساب المعرفة وتنظيمها واسترجاعها. وقدمت أساسًا مبكرًا لفكرة التكامل بين الذكاء الاصطناعي وإدارة المعرفة، لكنها سبقت الانتشار الحالي للنماذج التوليدية، وكانت ذات طابع نظري أكثر من كونها اختبارًا ميدانيًا للعلاقات.</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بحثت دراسة الطهراوي (</w:t>
      </w:r>
      <w:r w:rsidRPr="001C6062">
        <w:rPr>
          <w:rFonts w:ascii="Sakkal Majalla" w:eastAsia="Noto Naskh Arabic" w:hAnsi="Sakkal Majalla" w:cs="Sakkal Majalla"/>
          <w:color w:val="000000" w:themeColor="text1"/>
          <w:sz w:val="36"/>
          <w:szCs w:val="36"/>
        </w:rPr>
        <w:t>2019</w:t>
      </w:r>
      <w:r w:rsidRPr="001C6062">
        <w:rPr>
          <w:rFonts w:ascii="Sakkal Majalla" w:eastAsia="Noto Naskh Arabic" w:hAnsi="Sakkal Majalla" w:cs="Sakkal Majalla"/>
          <w:color w:val="000000" w:themeColor="text1"/>
          <w:sz w:val="36"/>
          <w:szCs w:val="36"/>
          <w:rtl/>
        </w:rPr>
        <w:t>) أثر نظم دعم القرار في فاعلية المرونة الاستراتيجية في شركات الاتصالات الأردنية. واعتمدت منهجًا ميدانيًا وركزت على دور المعلومات ودعم القرار في تعزيز قدرة المنظمة على تعديل استجاباتها. وأظهرت وجود أثر إيجابي لنظم دعم القرار في المرونة، وهو ما يدعم المنطق العام للعلاقة بين القدرات المعلوماتية والمرونة، لكن الدراسة لم تتناول جاهزية الذكاء الاصطناعي أو الدور الوسيط لإدارة المعرفة.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حللت دراسة إبراهيم والكبيسي (</w:t>
      </w:r>
      <w:r w:rsidRPr="001C6062">
        <w:rPr>
          <w:rFonts w:ascii="Sakkal Majalla" w:eastAsia="Noto Naskh Arabic" w:hAnsi="Sakkal Majalla" w:cs="Sakkal Majalla"/>
          <w:color w:val="000000" w:themeColor="text1"/>
          <w:sz w:val="36"/>
          <w:szCs w:val="36"/>
        </w:rPr>
        <w:t>2023</w:t>
      </w:r>
      <w:r w:rsidRPr="001C6062">
        <w:rPr>
          <w:rFonts w:ascii="Sakkal Majalla" w:eastAsia="Noto Naskh Arabic" w:hAnsi="Sakkal Majalla" w:cs="Sakkal Majalla"/>
          <w:color w:val="000000" w:themeColor="text1"/>
          <w:sz w:val="36"/>
          <w:szCs w:val="36"/>
          <w:rtl/>
        </w:rPr>
        <w:t xml:space="preserve">) دور المرونة الاستراتيجية في تحقيق التميز التنظيمي في شركة اتصالات. وبيّنت النتائج أهمية المرونة في تحسين القدرة على الاستجابة ورفع التميز. </w:t>
      </w:r>
      <w:r w:rsidRPr="001C6062">
        <w:rPr>
          <w:rFonts w:ascii="Sakkal Majalla" w:eastAsia="Noto Naskh Arabic" w:hAnsi="Sakkal Majalla" w:cs="Sakkal Majalla"/>
          <w:color w:val="000000" w:themeColor="text1"/>
          <w:sz w:val="36"/>
          <w:szCs w:val="36"/>
          <w:rtl/>
        </w:rPr>
        <w:lastRenderedPageBreak/>
        <w:t>وتفيد الدراسة الحالية في تحديد أبعاد المرونة وآثارها، لكنها تعاملت مع المرونة بوصفها متغيرًا مؤثرًا في التميز، بينما تعالجها الدراسة الحالية بوصفها نتيجة للجاهزية والمعرفة.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قدمت القرني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مراجعة لأدب إدارة المعرفة والذكاء الاصطناعي التوليدي، وتتبعّت ظهور الموضوع والمفاهيم والاهتمامات البحثية. وأكدت أن الذكاء الاصطناعي التوليدي يمكن أن يزيد قيمة المعرفة من خلال دعم الوصول والتوليد والتلخيص، مع الحاجة إلى الاهتمام بالجودة والموثوقية. وتدعم هذه الدراسة اختيار قدرات إدارة المعرفة، لكنها لا تختبر نموذجًا سببيًا أو سياق المشروعات السعودية.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استكشف الرقيبة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دور الذكاء الاصطناعي في تحسين كفاءة العمليات الإدارية باستخدام منهج وصفي وتحليل مصادر ثانوية وحالات تطبيقية. وخلص إلى أن الذكاء الاصطناعي يدعم الأتمتة والموارد البشرية وإدارة البيانات والتنبؤ بالمخاطر. وتوضح الدراسة المنافع التشغيلية، إلا أنها لا تميز بين استخدام الأداة والجاهزية التنظيمية، ولا تقيس المرونة.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تناولت دراسة جهلول وخضير واليوسف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تأثير الذكاء الاصطناعي في تحسين نوعية القرارات الإدارية، وأكدت أن التحليل والسرعة وتوفير المعلومات يمكن أن ترفع جودة القرار. وتلتقي مع الدراسة الحالية في اعتبار القرار إحدى قنوات القيمة، لكنها لا تشرح كيف تتحول المخرجات إلى معرفة مشتركة أو مرونة استراتيجية.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ناقش مدوري وولد سعيد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دور تطبيقات الذكاء الاصطناعي في تحسين ودعم عمليات إدارة المعرفة، وأوضحا أن الأدوات الذكية تساعد في اكتساب المعرفة وتخزينها ومشاركتها وتطبيقها. وتدعم الدراسة بصورة مباشرة المسار من الجاهزية إلى قدرات المعرفة، لكنها ذات توجه تحليلي عام ولا تختبر الدور الوسيط في نموذج ميداني.</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استعرض الفزاري والشاوي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دور الذكاء الاصطناعي في تطبيق إدارة المعرفة من خلال دراسة استقرائية للأدبيات، وأبرزت النتائج مساهمة الذكاء الاصطناعي في جمع المعلومات وتحليلها ونشرها ودعم الابتكار والتكيف. وتوفر الدراسة تأصيلًا للعلاقة، إلا أنها تعتمد على أدلة ثانوية ولا تركز على خصائص المشروعات الصغيرة والمتوسطة.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بحثت رسالة العدوان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أثر الذكاء الاصطناعي في ممارسات عمليات إدارة المعرفة في شركات الاتصالات الخلوية الأردنية. وتعد من أقرب الدراسات العربية إلى العلاقة الأولى في النموذج الحالي؛ لأنها تربط الذكاء الاصطناعي بممارسات المعرفة ميدانيًا. ومع ذلك تختلف في القطاع والسياق، وتركز على الأثر المباشر دون ربطه بالمرونة الاستراتيجية.</w:t>
      </w:r>
    </w:p>
    <w:p w:rsidR="0023208A" w:rsidRDefault="0023208A" w:rsidP="001C6062">
      <w:pPr>
        <w:keepNext/>
        <w:bidi/>
        <w:spacing w:after="0" w:line="240" w:lineRule="auto"/>
        <w:jc w:val="both"/>
        <w:rPr>
          <w:rFonts w:ascii="Sakkal Majalla" w:eastAsia="Noto Sans Arabic" w:hAnsi="Sakkal Majalla" w:cs="Sakkal Majalla"/>
          <w:b/>
          <w:color w:val="000000" w:themeColor="text1"/>
          <w:sz w:val="36"/>
          <w:szCs w:val="36"/>
          <w:rtl/>
        </w:rPr>
      </w:pP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7</w:t>
      </w:r>
      <w:r w:rsidRPr="001C6062">
        <w:rPr>
          <w:rFonts w:ascii="Sakkal Majalla" w:eastAsia="Noto Sans Arabic" w:hAnsi="Sakkal Majalla" w:cs="Sakkal Majalla"/>
          <w:b/>
          <w:color w:val="000000" w:themeColor="text1"/>
          <w:sz w:val="36"/>
          <w:szCs w:val="36"/>
          <w:rtl/>
        </w:rPr>
        <w:t>): ملخص الدراسات العربية السابقة</w:t>
      </w:r>
    </w:p>
    <w:tbl>
      <w:tblPr>
        <w:tblStyle w:val="afb"/>
        <w:bidiVisual/>
        <w:tblW w:w="9186" w:type="dxa"/>
        <w:jc w:val="center"/>
        <w:tblLayout w:type="fixed"/>
        <w:tblCellMar>
          <w:top w:w="90" w:type="dxa"/>
          <w:left w:w="90" w:type="dxa"/>
          <w:bottom w:w="90" w:type="dxa"/>
          <w:right w:w="90" w:type="dxa"/>
        </w:tblCellMar>
        <w:tblLook w:val="04A0" w:firstRow="1" w:lastRow="0" w:firstColumn="1" w:lastColumn="0" w:noHBand="0" w:noVBand="1"/>
      </w:tblPr>
      <w:tblGrid>
        <w:gridCol w:w="1257"/>
        <w:gridCol w:w="1821"/>
        <w:gridCol w:w="1720"/>
        <w:gridCol w:w="2270"/>
        <w:gridCol w:w="2118"/>
      </w:tblGrid>
      <w:tr w:rsidR="001C6062" w:rsidRPr="001C6062" w:rsidTr="00DF3755">
        <w:trPr>
          <w:tblHeader/>
          <w:jc w:val="center"/>
        </w:trPr>
        <w:tc>
          <w:tcPr>
            <w:tcW w:w="1257"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الدراسة</w:t>
            </w:r>
          </w:p>
        </w:tc>
        <w:tc>
          <w:tcPr>
            <w:tcW w:w="1821"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الموضوع</w:t>
            </w:r>
          </w:p>
        </w:tc>
        <w:tc>
          <w:tcPr>
            <w:tcW w:w="1720"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المنهج</w:t>
            </w:r>
          </w:p>
        </w:tc>
        <w:tc>
          <w:tcPr>
            <w:tcW w:w="2270"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أبرز الدلالات</w:t>
            </w:r>
          </w:p>
        </w:tc>
        <w:tc>
          <w:tcPr>
            <w:tcW w:w="2118" w:type="dxa"/>
            <w:shd w:val="clear" w:color="auto" w:fill="17365D"/>
            <w:vAlign w:val="center"/>
          </w:tcPr>
          <w:p w:rsidR="005931D6" w:rsidRPr="00DF3755" w:rsidRDefault="00F93CAA" w:rsidP="00DF3755">
            <w:pPr>
              <w:bidi/>
              <w:spacing w:after="0" w:line="240" w:lineRule="auto"/>
              <w:jc w:val="center"/>
              <w:rPr>
                <w:rFonts w:ascii="Sakkal Majalla" w:eastAsia="MS Mincho" w:hAnsi="Sakkal Majalla" w:cs="Sakkal Majalla"/>
                <w:bCs/>
                <w:color w:val="FFFFFF" w:themeColor="background1"/>
                <w:sz w:val="36"/>
                <w:szCs w:val="36"/>
              </w:rPr>
            </w:pPr>
            <w:r w:rsidRPr="00DF3755">
              <w:rPr>
                <w:rFonts w:ascii="Sakkal Majalla" w:eastAsia="Noto Sans Arabic" w:hAnsi="Sakkal Majalla" w:cs="Sakkal Majalla"/>
                <w:bCs/>
                <w:color w:val="FFFFFF" w:themeColor="background1"/>
                <w:sz w:val="36"/>
                <w:szCs w:val="36"/>
                <w:rtl/>
              </w:rPr>
              <w:t>الحدود بالنسبة للدراسة الحالية</w:t>
            </w:r>
          </w:p>
        </w:tc>
      </w:tr>
      <w:tr w:rsidR="001C6062" w:rsidRPr="001C6062" w:rsidTr="00DF3755">
        <w:trPr>
          <w:jc w:val="center"/>
        </w:trPr>
        <w:tc>
          <w:tcPr>
            <w:tcW w:w="125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لرباع، </w:t>
            </w:r>
            <w:r w:rsidRPr="001C6062">
              <w:rPr>
                <w:rFonts w:ascii="Sakkal Majalla" w:eastAsia="Noto Naskh Arabic" w:hAnsi="Sakkal Majalla" w:cs="Sakkal Majalla"/>
                <w:color w:val="000000" w:themeColor="text1"/>
                <w:sz w:val="36"/>
                <w:szCs w:val="36"/>
              </w:rPr>
              <w:t>2015</w:t>
            </w:r>
          </w:p>
        </w:tc>
        <w:tc>
          <w:tcPr>
            <w:tcW w:w="182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الذكاء الاصطناعي وعمليات إدارة المعرفة</w:t>
            </w:r>
          </w:p>
        </w:tc>
        <w:tc>
          <w:tcPr>
            <w:tcW w:w="172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نظري تحليلي</w:t>
            </w:r>
          </w:p>
        </w:tc>
        <w:tc>
          <w:tcPr>
            <w:tcW w:w="227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إمكان دعم الاكتساب والتنظيم والاسترجاع</w:t>
            </w:r>
          </w:p>
        </w:tc>
        <w:tc>
          <w:tcPr>
            <w:tcW w:w="211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قديم نسبيًا ولا يختبر نموذجًا ميدانيًا</w:t>
            </w:r>
          </w:p>
        </w:tc>
      </w:tr>
      <w:tr w:rsidR="001C6062" w:rsidRPr="001C6062" w:rsidTr="00DF3755">
        <w:trPr>
          <w:jc w:val="center"/>
        </w:trPr>
        <w:tc>
          <w:tcPr>
            <w:tcW w:w="125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الطهراوي، </w:t>
            </w:r>
            <w:r w:rsidRPr="001C6062">
              <w:rPr>
                <w:rFonts w:ascii="Sakkal Majalla" w:eastAsia="Noto Naskh Arabic" w:hAnsi="Sakkal Majalla" w:cs="Sakkal Majalla"/>
                <w:color w:val="000000" w:themeColor="text1"/>
                <w:sz w:val="36"/>
                <w:szCs w:val="36"/>
              </w:rPr>
              <w:t>2019</w:t>
            </w:r>
          </w:p>
        </w:tc>
        <w:tc>
          <w:tcPr>
            <w:tcW w:w="1821"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نظم دعم القرار والمرونة الاستراتيجية</w:t>
            </w:r>
          </w:p>
        </w:tc>
        <w:tc>
          <w:tcPr>
            <w:tcW w:w="172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ميداني وصفي</w:t>
            </w:r>
          </w:p>
        </w:tc>
        <w:tc>
          <w:tcPr>
            <w:tcW w:w="227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أثر إيجابي للدعم المعلوماتي في المرونة</w:t>
            </w:r>
          </w:p>
        </w:tc>
        <w:tc>
          <w:tcPr>
            <w:tcW w:w="2118"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يتناول الذكاء الاصطناعي أو الوساطة</w:t>
            </w:r>
          </w:p>
        </w:tc>
      </w:tr>
      <w:tr w:rsidR="001C6062" w:rsidRPr="001C6062" w:rsidTr="00DF3755">
        <w:trPr>
          <w:jc w:val="center"/>
        </w:trPr>
        <w:tc>
          <w:tcPr>
            <w:tcW w:w="125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إبراهيم والكبيسي، </w:t>
            </w:r>
            <w:r w:rsidRPr="001C6062">
              <w:rPr>
                <w:rFonts w:ascii="Sakkal Majalla" w:eastAsia="Noto Naskh Arabic" w:hAnsi="Sakkal Majalla" w:cs="Sakkal Majalla"/>
                <w:color w:val="000000" w:themeColor="text1"/>
                <w:sz w:val="36"/>
                <w:szCs w:val="36"/>
              </w:rPr>
              <w:t>2023</w:t>
            </w:r>
          </w:p>
        </w:tc>
        <w:tc>
          <w:tcPr>
            <w:tcW w:w="182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المرونة والتميز التنظيمي</w:t>
            </w:r>
          </w:p>
        </w:tc>
        <w:tc>
          <w:tcPr>
            <w:tcW w:w="172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ميداني تحليلي</w:t>
            </w:r>
          </w:p>
        </w:tc>
        <w:tc>
          <w:tcPr>
            <w:tcW w:w="227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المرونة تسهم في التميز</w:t>
            </w:r>
          </w:p>
        </w:tc>
        <w:tc>
          <w:tcPr>
            <w:tcW w:w="211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المرونة متغير مستقل</w:t>
            </w:r>
          </w:p>
        </w:tc>
      </w:tr>
      <w:tr w:rsidR="001C6062" w:rsidRPr="001C6062" w:rsidTr="00DF3755">
        <w:trPr>
          <w:jc w:val="center"/>
        </w:trPr>
        <w:tc>
          <w:tcPr>
            <w:tcW w:w="125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القرني، </w:t>
            </w:r>
            <w:r w:rsidRPr="001C6062">
              <w:rPr>
                <w:rFonts w:ascii="Sakkal Majalla" w:eastAsia="Noto Naskh Arabic" w:hAnsi="Sakkal Majalla" w:cs="Sakkal Majalla"/>
                <w:color w:val="000000" w:themeColor="text1"/>
                <w:sz w:val="36"/>
                <w:szCs w:val="36"/>
              </w:rPr>
              <w:t>2024</w:t>
            </w:r>
          </w:p>
        </w:tc>
        <w:tc>
          <w:tcPr>
            <w:tcW w:w="1821"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إدارة المعرفة والذكاء التوليدي</w:t>
            </w:r>
          </w:p>
        </w:tc>
        <w:tc>
          <w:tcPr>
            <w:tcW w:w="172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مراجعة أدب</w:t>
            </w:r>
          </w:p>
        </w:tc>
        <w:tc>
          <w:tcPr>
            <w:tcW w:w="227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فرص رفع قيمة المعرفة مع مخاطر الجودة</w:t>
            </w:r>
          </w:p>
        </w:tc>
        <w:tc>
          <w:tcPr>
            <w:tcW w:w="2118"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توجد بيانات ميدانية</w:t>
            </w:r>
          </w:p>
        </w:tc>
      </w:tr>
      <w:tr w:rsidR="001C6062" w:rsidRPr="001C6062" w:rsidTr="00DF3755">
        <w:trPr>
          <w:jc w:val="center"/>
        </w:trPr>
        <w:tc>
          <w:tcPr>
            <w:tcW w:w="125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الرقيبة، </w:t>
            </w:r>
            <w:r w:rsidRPr="001C6062">
              <w:rPr>
                <w:rFonts w:ascii="Sakkal Majalla" w:eastAsia="Noto Naskh Arabic" w:hAnsi="Sakkal Majalla" w:cs="Sakkal Majalla"/>
                <w:color w:val="000000" w:themeColor="text1"/>
                <w:sz w:val="36"/>
                <w:szCs w:val="36"/>
              </w:rPr>
              <w:t>2024</w:t>
            </w:r>
          </w:p>
        </w:tc>
        <w:tc>
          <w:tcPr>
            <w:tcW w:w="182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الذكاء الاصطناعي وكفاءة العمليات</w:t>
            </w:r>
          </w:p>
        </w:tc>
        <w:tc>
          <w:tcPr>
            <w:tcW w:w="172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وصفي/حالات</w:t>
            </w:r>
          </w:p>
        </w:tc>
        <w:tc>
          <w:tcPr>
            <w:tcW w:w="227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تحسين الأتمتة والبيانات والتنبؤ</w:t>
            </w:r>
          </w:p>
        </w:tc>
        <w:tc>
          <w:tcPr>
            <w:tcW w:w="211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يقيس الجاهزية أو المرونة</w:t>
            </w:r>
          </w:p>
        </w:tc>
      </w:tr>
      <w:tr w:rsidR="001C6062" w:rsidRPr="001C6062" w:rsidTr="00DF3755">
        <w:trPr>
          <w:jc w:val="center"/>
        </w:trPr>
        <w:tc>
          <w:tcPr>
            <w:tcW w:w="125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اليوسف وآخرون، </w:t>
            </w:r>
            <w:r w:rsidRPr="001C6062">
              <w:rPr>
                <w:rFonts w:ascii="Sakkal Majalla" w:eastAsia="Noto Naskh Arabic" w:hAnsi="Sakkal Majalla" w:cs="Sakkal Majalla"/>
                <w:color w:val="000000" w:themeColor="text1"/>
                <w:sz w:val="36"/>
                <w:szCs w:val="36"/>
              </w:rPr>
              <w:t>2024</w:t>
            </w:r>
          </w:p>
        </w:tc>
        <w:tc>
          <w:tcPr>
            <w:tcW w:w="1821"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الذكاء الاصطناعي وجودة القرار</w:t>
            </w:r>
          </w:p>
        </w:tc>
        <w:tc>
          <w:tcPr>
            <w:tcW w:w="172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تحليلي</w:t>
            </w:r>
          </w:p>
        </w:tc>
        <w:tc>
          <w:tcPr>
            <w:tcW w:w="227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تحسين السرعة وجودة المعلومات</w:t>
            </w:r>
          </w:p>
        </w:tc>
        <w:tc>
          <w:tcPr>
            <w:tcW w:w="2118"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غياب متغير المعرفة الوسيط</w:t>
            </w:r>
          </w:p>
        </w:tc>
      </w:tr>
      <w:tr w:rsidR="001C6062" w:rsidRPr="001C6062" w:rsidTr="00DF3755">
        <w:trPr>
          <w:jc w:val="center"/>
        </w:trPr>
        <w:tc>
          <w:tcPr>
            <w:tcW w:w="125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 xml:space="preserve">مدوري وولد سعيد، </w:t>
            </w:r>
            <w:r w:rsidRPr="001C6062">
              <w:rPr>
                <w:rFonts w:ascii="Sakkal Majalla" w:eastAsia="Noto Naskh Arabic" w:hAnsi="Sakkal Majalla" w:cs="Sakkal Majalla"/>
                <w:color w:val="000000" w:themeColor="text1"/>
                <w:sz w:val="36"/>
                <w:szCs w:val="36"/>
              </w:rPr>
              <w:t>2024</w:t>
            </w:r>
          </w:p>
        </w:tc>
        <w:tc>
          <w:tcPr>
            <w:tcW w:w="182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الذكاء الاصطناعي وعمليات المعرفة</w:t>
            </w:r>
          </w:p>
        </w:tc>
        <w:tc>
          <w:tcPr>
            <w:tcW w:w="172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تحليلي</w:t>
            </w:r>
          </w:p>
        </w:tc>
        <w:tc>
          <w:tcPr>
            <w:tcW w:w="227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دعم الاكتساب والتخزين والمشاركة والتطبيق</w:t>
            </w:r>
          </w:p>
        </w:tc>
        <w:tc>
          <w:tcPr>
            <w:tcW w:w="211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يختبر نموذجًا سببيًا</w:t>
            </w:r>
          </w:p>
        </w:tc>
      </w:tr>
      <w:tr w:rsidR="001C6062" w:rsidRPr="001C6062" w:rsidTr="00DF3755">
        <w:trPr>
          <w:jc w:val="center"/>
        </w:trPr>
        <w:tc>
          <w:tcPr>
            <w:tcW w:w="125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الفزاري والشاوي، </w:t>
            </w:r>
            <w:r w:rsidRPr="001C6062">
              <w:rPr>
                <w:rFonts w:ascii="Sakkal Majalla" w:eastAsia="Noto Naskh Arabic" w:hAnsi="Sakkal Majalla" w:cs="Sakkal Majalla"/>
                <w:color w:val="000000" w:themeColor="text1"/>
                <w:sz w:val="36"/>
                <w:szCs w:val="36"/>
              </w:rPr>
              <w:t>2024</w:t>
            </w:r>
          </w:p>
        </w:tc>
        <w:tc>
          <w:tcPr>
            <w:tcW w:w="1821"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الذكاء الاصطناعي وتطبيق إدارة المعرفة</w:t>
            </w:r>
          </w:p>
        </w:tc>
        <w:tc>
          <w:tcPr>
            <w:tcW w:w="172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استقرائي</w:t>
            </w:r>
          </w:p>
        </w:tc>
        <w:tc>
          <w:tcPr>
            <w:tcW w:w="2270"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دعم الأداء والابتكار والتكيف</w:t>
            </w:r>
          </w:p>
        </w:tc>
        <w:tc>
          <w:tcPr>
            <w:tcW w:w="2118"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أدلة ثانوية</w:t>
            </w:r>
          </w:p>
        </w:tc>
      </w:tr>
      <w:tr w:rsidR="001C6062" w:rsidRPr="001C6062" w:rsidTr="00DF3755">
        <w:trPr>
          <w:jc w:val="center"/>
        </w:trPr>
        <w:tc>
          <w:tcPr>
            <w:tcW w:w="125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العدوان، </w:t>
            </w:r>
            <w:r w:rsidRPr="001C6062">
              <w:rPr>
                <w:rFonts w:ascii="Sakkal Majalla" w:eastAsia="Noto Naskh Arabic" w:hAnsi="Sakkal Majalla" w:cs="Sakkal Majalla"/>
                <w:color w:val="000000" w:themeColor="text1"/>
                <w:sz w:val="36"/>
                <w:szCs w:val="36"/>
              </w:rPr>
              <w:t>2024</w:t>
            </w:r>
          </w:p>
        </w:tc>
        <w:tc>
          <w:tcPr>
            <w:tcW w:w="182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الذكاء الاصطناعي وممارسات المعرفة في الاتصالات</w:t>
            </w:r>
          </w:p>
        </w:tc>
        <w:tc>
          <w:tcPr>
            <w:tcW w:w="172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رسالة ميدانية</w:t>
            </w:r>
          </w:p>
        </w:tc>
        <w:tc>
          <w:tcPr>
            <w:tcW w:w="2270"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أثر في ممارسات إدارة المعرفة</w:t>
            </w:r>
          </w:p>
        </w:tc>
        <w:tc>
          <w:tcPr>
            <w:tcW w:w="2118"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سياق أردني وقطاع واحد</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المصدر: إعداد الباحث بالرجوع إلى الدراسات الواردة.</w:t>
      </w:r>
    </w:p>
    <w:p w:rsidR="0023208A" w:rsidRPr="001C6062" w:rsidRDefault="0023208A"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DF3755">
      <w:pPr>
        <w:pStyle w:val="21"/>
        <w:bidi/>
        <w:spacing w:before="0" w:after="0" w:line="240" w:lineRule="auto"/>
        <w:rPr>
          <w:rFonts w:ascii="Sakkal Majalla" w:hAnsi="Sakkal Majalla" w:cs="Sakkal Majalla"/>
          <w:color w:val="000000" w:themeColor="text1"/>
          <w:sz w:val="36"/>
          <w:szCs w:val="36"/>
        </w:rPr>
      </w:pPr>
      <w:bookmarkStart w:id="44" w:name="_Toc235465350"/>
      <w:r w:rsidRPr="001C6062">
        <w:rPr>
          <w:rFonts w:ascii="Sakkal Majalla" w:eastAsia="Noto Sans Arabic" w:hAnsi="Sakkal Majalla" w:cs="Sakkal Majalla"/>
          <w:color w:val="000000" w:themeColor="text1"/>
          <w:sz w:val="36"/>
          <w:szCs w:val="36"/>
        </w:rPr>
        <w:t>2-9-2</w:t>
      </w:r>
      <w:r w:rsidRPr="001C6062">
        <w:rPr>
          <w:rFonts w:ascii="Sakkal Majalla" w:eastAsia="Noto Sans Arabic" w:hAnsi="Sakkal Majalla" w:cs="Sakkal Majalla"/>
          <w:color w:val="000000" w:themeColor="text1"/>
          <w:sz w:val="36"/>
          <w:szCs w:val="36"/>
          <w:rtl/>
        </w:rPr>
        <w:t xml:space="preserve"> ثانيًا: الدراسات الأجنبية</w:t>
      </w:r>
      <w:r w:rsidR="0023208A">
        <w:rPr>
          <w:rFonts w:ascii="Sakkal Majalla" w:eastAsia="Noto Sans Arabic" w:hAnsi="Sakkal Majalla" w:cs="Sakkal Majalla" w:hint="cs"/>
          <w:color w:val="000000" w:themeColor="text1"/>
          <w:sz w:val="36"/>
          <w:szCs w:val="36"/>
          <w:rtl/>
        </w:rPr>
        <w:t>:</w:t>
      </w:r>
      <w:bookmarkEnd w:id="44"/>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أجرى </w:t>
      </w:r>
      <w:proofErr w:type="spellStart"/>
      <w:r w:rsidRPr="001C6062">
        <w:rPr>
          <w:rFonts w:ascii="Sakkal Majalla" w:eastAsia="Noto Naskh Arabic" w:hAnsi="Sakkal Majalla" w:cs="Sakkal Majalla"/>
          <w:color w:val="000000" w:themeColor="text1"/>
          <w:sz w:val="36"/>
          <w:szCs w:val="36"/>
        </w:rPr>
        <w:t>Jöhnk</w:t>
      </w:r>
      <w:proofErr w:type="spellEnd"/>
      <w:r w:rsidRPr="001C6062">
        <w:rPr>
          <w:rFonts w:ascii="Sakkal Majalla" w:eastAsia="Noto Naskh Arabic" w:hAnsi="Sakkal Majalla" w:cs="Sakkal Majalla"/>
          <w:color w:val="000000" w:themeColor="text1"/>
          <w:sz w:val="36"/>
          <w:szCs w:val="36"/>
        </w:rPr>
        <w:t xml:space="preserve"> et al. (2021)</w:t>
      </w:r>
      <w:r w:rsidRPr="001C6062">
        <w:rPr>
          <w:rFonts w:ascii="Sakkal Majalla" w:eastAsia="Noto Naskh Arabic" w:hAnsi="Sakkal Majalla" w:cs="Sakkal Majalla"/>
          <w:color w:val="000000" w:themeColor="text1"/>
          <w:sz w:val="36"/>
          <w:szCs w:val="36"/>
          <w:rtl/>
        </w:rPr>
        <w:t xml:space="preserve"> دراسة مقابلات لتحديد عوامل الجاهزية التنظيمية للذكاء الاصطناعي. وحددت الدراسة عوامل تتعلق بالمواءمة الاستراتيجية، والموارد، والمعرفة، والبيانات، والتقنية، والثقافة،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وتعد مرجعًا مهمًا لتفكيك الجاهزية، لكنها تركز على عوامل الاستعداد ولا تختبر أثرها في المرونة أو إدارة المعرفة كوسيط.</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طور </w:t>
      </w:r>
      <w:proofErr w:type="spellStart"/>
      <w:r w:rsidRPr="001C6062">
        <w:rPr>
          <w:rFonts w:ascii="Sakkal Majalla" w:eastAsia="Noto Naskh Arabic" w:hAnsi="Sakkal Majalla" w:cs="Sakkal Majalla"/>
          <w:color w:val="000000" w:themeColor="text1"/>
          <w:sz w:val="36"/>
          <w:szCs w:val="36"/>
        </w:rPr>
        <w:t>Mikalef</w:t>
      </w:r>
      <w:proofErr w:type="spellEnd"/>
      <w:r w:rsidRPr="001C6062">
        <w:rPr>
          <w:rFonts w:ascii="Sakkal Majalla" w:eastAsia="Noto Naskh Arabic" w:hAnsi="Sakkal Majalla" w:cs="Sakkal Majalla"/>
          <w:color w:val="000000" w:themeColor="text1"/>
          <w:sz w:val="36"/>
          <w:szCs w:val="36"/>
        </w:rPr>
        <w:t xml:space="preserve"> and Gupta (2021)</w:t>
      </w:r>
      <w:r w:rsidRPr="001C6062">
        <w:rPr>
          <w:rFonts w:ascii="Sakkal Majalla" w:eastAsia="Noto Naskh Arabic" w:hAnsi="Sakkal Majalla" w:cs="Sakkal Majalla"/>
          <w:color w:val="000000" w:themeColor="text1"/>
          <w:sz w:val="36"/>
          <w:szCs w:val="36"/>
          <w:rtl/>
        </w:rPr>
        <w:t xml:space="preserve"> مفهوم قدرة الذكاء الاصطناعي باعتبارها قدرة المنظمة على اختيار الموارد الخاصة بالذكاء الاصطناعي وتنسيقها واستثمارها. وأظهرت الدراسة التجريبية ارتباط القدرة بالأداء والإبداع التنظيمي. وتؤكد أن القيمة تنشأ من مزيج الموارد الملموسة والبشرية وغير الملموسة، وهو منطق قريب من مفهوم الجاهزية في الدراسة الحالية.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 xml:space="preserve">اختبر </w:t>
      </w:r>
      <w:r w:rsidRPr="001C6062">
        <w:rPr>
          <w:rFonts w:ascii="Sakkal Majalla" w:eastAsia="Noto Naskh Arabic" w:hAnsi="Sakkal Majalla" w:cs="Sakkal Majalla"/>
          <w:color w:val="000000" w:themeColor="text1"/>
          <w:sz w:val="36"/>
          <w:szCs w:val="36"/>
        </w:rPr>
        <w:t>Hock-</w:t>
      </w:r>
      <w:proofErr w:type="spellStart"/>
      <w:r w:rsidRPr="001C6062">
        <w:rPr>
          <w:rFonts w:ascii="Sakkal Majalla" w:eastAsia="Noto Naskh Arabic" w:hAnsi="Sakkal Majalla" w:cs="Sakkal Majalla"/>
          <w:color w:val="000000" w:themeColor="text1"/>
          <w:sz w:val="36"/>
          <w:szCs w:val="36"/>
        </w:rPr>
        <w:t>Doepgen</w:t>
      </w:r>
      <w:proofErr w:type="spellEnd"/>
      <w:r w:rsidRPr="001C6062">
        <w:rPr>
          <w:rFonts w:ascii="Sakkal Majalla" w:eastAsia="Noto Naskh Arabic" w:hAnsi="Sakkal Majalla" w:cs="Sakkal Majalla"/>
          <w:color w:val="000000" w:themeColor="text1"/>
          <w:sz w:val="36"/>
          <w:szCs w:val="36"/>
        </w:rPr>
        <w:t xml:space="preserve"> et al. (2021)</w:t>
      </w:r>
      <w:r w:rsidRPr="001C6062">
        <w:rPr>
          <w:rFonts w:ascii="Sakkal Majalla" w:eastAsia="Noto Naskh Arabic" w:hAnsi="Sakkal Majalla" w:cs="Sakkal Majalla"/>
          <w:color w:val="000000" w:themeColor="text1"/>
          <w:sz w:val="36"/>
          <w:szCs w:val="36"/>
          <w:rtl/>
        </w:rPr>
        <w:t xml:space="preserve"> العلاقة بين قدرات إدارة المعرفة والمخاطرة التنظيمية والابتكار في نماذج الأعمال لدى المشروعات الصغيرة والمتوسطة. وأظهرت النتائج أهمية قدرات المعرفة في دعم تجديد نماذج الأعمال. وتوفر الدراسة أساسًا لاختيار إدارة المعرفة كمتغير وسيط، لكنها لا تتناول الذكاء الاصطناعي أو المرونة الاستراتيجية مباشرة.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قدمت </w:t>
      </w:r>
      <w:proofErr w:type="spellStart"/>
      <w:r w:rsidRPr="001C6062">
        <w:rPr>
          <w:rFonts w:ascii="Sakkal Majalla" w:eastAsia="Noto Naskh Arabic" w:hAnsi="Sakkal Majalla" w:cs="Sakkal Majalla"/>
          <w:color w:val="000000" w:themeColor="text1"/>
          <w:sz w:val="36"/>
          <w:szCs w:val="36"/>
        </w:rPr>
        <w:t>Enholm</w:t>
      </w:r>
      <w:proofErr w:type="spellEnd"/>
      <w:r w:rsidRPr="001C6062">
        <w:rPr>
          <w:rFonts w:ascii="Sakkal Majalla" w:eastAsia="Noto Naskh Arabic" w:hAnsi="Sakkal Majalla" w:cs="Sakkal Majalla"/>
          <w:color w:val="000000" w:themeColor="text1"/>
          <w:sz w:val="36"/>
          <w:szCs w:val="36"/>
        </w:rPr>
        <w:t xml:space="preserve"> et al. (2022)</w:t>
      </w:r>
      <w:r w:rsidRPr="001C6062">
        <w:rPr>
          <w:rFonts w:ascii="Sakkal Majalla" w:eastAsia="Noto Naskh Arabic" w:hAnsi="Sakkal Majalla" w:cs="Sakkal Majalla"/>
          <w:color w:val="000000" w:themeColor="text1"/>
          <w:sz w:val="36"/>
          <w:szCs w:val="36"/>
          <w:rtl/>
        </w:rPr>
        <w:t xml:space="preserve"> مراجعة واسعة لأدبيات الذكاء الاصطناعي وقيمة الأعمال، وأكدت أن القيمة تعتمد على موارد وقدرات وتغييرات تنظيمية مكملة، وأن كثيرًا من الدراسات تركز على التقنية دون شرح مسارات خلق القيمة. وتدعم هذه النتيجة الحاجة إلى وسيط تنظيمي يفسر الانتقال من الجاهزية إلى النتائج.</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حلل </w:t>
      </w:r>
      <w:proofErr w:type="spellStart"/>
      <w:r w:rsidRPr="001C6062">
        <w:rPr>
          <w:rFonts w:ascii="Sakkal Majalla" w:eastAsia="Noto Naskh Arabic" w:hAnsi="Sakkal Majalla" w:cs="Sakkal Majalla"/>
          <w:color w:val="000000" w:themeColor="text1"/>
          <w:sz w:val="36"/>
          <w:szCs w:val="36"/>
        </w:rPr>
        <w:t>Zahoor</w:t>
      </w:r>
      <w:proofErr w:type="spellEnd"/>
      <w:r w:rsidRPr="001C6062">
        <w:rPr>
          <w:rFonts w:ascii="Sakkal Majalla" w:eastAsia="Noto Naskh Arabic" w:hAnsi="Sakkal Majalla" w:cs="Sakkal Majalla"/>
          <w:color w:val="000000" w:themeColor="text1"/>
          <w:sz w:val="36"/>
          <w:szCs w:val="36"/>
        </w:rPr>
        <w:t xml:space="preserve"> et al. (2022)</w:t>
      </w:r>
      <w:r w:rsidRPr="001C6062">
        <w:rPr>
          <w:rFonts w:ascii="Sakkal Majalla" w:eastAsia="Noto Naskh Arabic" w:hAnsi="Sakkal Majalla" w:cs="Sakkal Majalla"/>
          <w:color w:val="000000" w:themeColor="text1"/>
          <w:sz w:val="36"/>
          <w:szCs w:val="36"/>
          <w:rtl/>
        </w:rPr>
        <w:t xml:space="preserve"> دور القدرات الديناميكية والرشاقة الاستراتيجية في مشروعات تقنية صغيرة ومتوسطة خلال جائحة </w:t>
      </w:r>
      <w:proofErr w:type="spellStart"/>
      <w:r w:rsidRPr="001C6062">
        <w:rPr>
          <w:rFonts w:ascii="Sakkal Majalla" w:eastAsia="Noto Naskh Arabic" w:hAnsi="Sakkal Majalla" w:cs="Sakkal Majalla"/>
          <w:color w:val="000000" w:themeColor="text1"/>
          <w:sz w:val="36"/>
          <w:szCs w:val="36"/>
          <w:rtl/>
        </w:rPr>
        <w:t>كوفيد</w:t>
      </w:r>
      <w:proofErr w:type="spellEnd"/>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19</w:t>
      </w:r>
      <w:r w:rsidRPr="001C6062">
        <w:rPr>
          <w:rFonts w:ascii="Sakkal Majalla" w:eastAsia="Noto Naskh Arabic" w:hAnsi="Sakkal Majalla" w:cs="Sakkal Majalla"/>
          <w:color w:val="000000" w:themeColor="text1"/>
          <w:sz w:val="36"/>
          <w:szCs w:val="36"/>
          <w:rtl/>
        </w:rPr>
        <w:t>. وأظهرت دراسات الحالة أن الاستشعار السريع واغتنام الفرص والتكيف كانت وسائل رئيسة للتعامل مع الاضطراب. وتدعم الدراسة منطق المرونة، مع اختلافها في المنهج والسياق.</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راجع </w:t>
      </w:r>
      <w:r w:rsidRPr="001C6062">
        <w:rPr>
          <w:rFonts w:ascii="Sakkal Majalla" w:eastAsia="Noto Naskh Arabic" w:hAnsi="Sakkal Majalla" w:cs="Sakkal Majalla"/>
          <w:color w:val="000000" w:themeColor="text1"/>
          <w:sz w:val="36"/>
          <w:szCs w:val="36"/>
        </w:rPr>
        <w:t>Durst et al. (2023)</w:t>
      </w:r>
      <w:r w:rsidRPr="001C6062">
        <w:rPr>
          <w:rFonts w:ascii="Sakkal Majalla" w:eastAsia="Noto Naskh Arabic" w:hAnsi="Sakkal Majalla" w:cs="Sakkal Majalla"/>
          <w:color w:val="000000" w:themeColor="text1"/>
          <w:sz w:val="36"/>
          <w:szCs w:val="36"/>
          <w:rtl/>
        </w:rPr>
        <w:t xml:space="preserve"> أدبيات إدارة المعرفة في المشروعات الصغيرة والمتوسطة، وأبرزوا خصوصية هذه المنشآت من حيث مركزية المالك، والمعرفة الضمنية، ومحدودية الموارد، والحاجة إلى بحوث تطبيقية تربط المعرفة بنتائج استراتيجية. وتؤكد المراجعة ملاءمة دراسة القدرات المعرفية في سياق المشروعات.</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بحث </w:t>
      </w:r>
      <w:proofErr w:type="spellStart"/>
      <w:r w:rsidRPr="001C6062">
        <w:rPr>
          <w:rFonts w:ascii="Sakkal Majalla" w:eastAsia="Noto Naskh Arabic" w:hAnsi="Sakkal Majalla" w:cs="Sakkal Majalla"/>
          <w:color w:val="000000" w:themeColor="text1"/>
          <w:sz w:val="36"/>
          <w:szCs w:val="36"/>
        </w:rPr>
        <w:t>Mikalef</w:t>
      </w:r>
      <w:proofErr w:type="spellEnd"/>
      <w:r w:rsidRPr="001C6062">
        <w:rPr>
          <w:rFonts w:ascii="Sakkal Majalla" w:eastAsia="Noto Naskh Arabic" w:hAnsi="Sakkal Majalla" w:cs="Sakkal Majalla"/>
          <w:color w:val="000000" w:themeColor="text1"/>
          <w:sz w:val="36"/>
          <w:szCs w:val="36"/>
        </w:rPr>
        <w:t xml:space="preserve"> et al. (2023)</w:t>
      </w:r>
      <w:r w:rsidRPr="001C6062">
        <w:rPr>
          <w:rFonts w:ascii="Sakkal Majalla" w:eastAsia="Noto Naskh Arabic" w:hAnsi="Sakkal Majalla" w:cs="Sakkal Majalla"/>
          <w:color w:val="000000" w:themeColor="text1"/>
          <w:sz w:val="36"/>
          <w:szCs w:val="36"/>
          <w:rtl/>
        </w:rPr>
        <w:t xml:space="preserve"> كفاءات الذكاء الاصطناعي اللازمة للأداء التنظيمي من منظور قدرات التسويق بين الشركات، وأظهر أن القيمة تتطلب كفاءات أعمال وتقنية وتنسيقية، وليس معرفة تقنية فقط. ويدعم ذلك بُعد الجاهزية البشرية والقيادية.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حلل </w:t>
      </w:r>
      <w:proofErr w:type="spellStart"/>
      <w:r w:rsidRPr="001C6062">
        <w:rPr>
          <w:rFonts w:ascii="Sakkal Majalla" w:eastAsia="Noto Naskh Arabic" w:hAnsi="Sakkal Majalla" w:cs="Sakkal Majalla"/>
          <w:color w:val="000000" w:themeColor="text1"/>
          <w:sz w:val="36"/>
          <w:szCs w:val="36"/>
        </w:rPr>
        <w:t>Arroyabe</w:t>
      </w:r>
      <w:proofErr w:type="spellEnd"/>
      <w:r w:rsidRPr="001C6062">
        <w:rPr>
          <w:rFonts w:ascii="Sakkal Majalla" w:eastAsia="Noto Naskh Arabic" w:hAnsi="Sakkal Majalla" w:cs="Sakkal Majalla"/>
          <w:color w:val="000000" w:themeColor="text1"/>
          <w:sz w:val="36"/>
          <w:szCs w:val="36"/>
        </w:rPr>
        <w:t xml:space="preserve"> et al. (2024)</w:t>
      </w:r>
      <w:r w:rsidRPr="001C6062">
        <w:rPr>
          <w:rFonts w:ascii="Sakkal Majalla" w:eastAsia="Noto Naskh Arabic" w:hAnsi="Sakkal Majalla" w:cs="Sakkal Majalla"/>
          <w:color w:val="000000" w:themeColor="text1"/>
          <w:sz w:val="36"/>
          <w:szCs w:val="36"/>
          <w:rtl/>
        </w:rPr>
        <w:t xml:space="preserve"> تبنّي الذكاء الاصطناعي في المشروعات الصغيرة والمتوسطة الأوروبية، ووجد أن القدرات الرقمية والابتكار والبيئة الخارجية تؤثر في التبنّي، وأن الموارد الداخلية تمثل محددًا مهمًا. وتعد الدراسة قريبة من السياق الحجمي، لكنها تركز على التبنّي لا على المرونة والوساطة المعرفية.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اقترح </w:t>
      </w:r>
      <w:r w:rsidRPr="001C6062">
        <w:rPr>
          <w:rFonts w:ascii="Sakkal Majalla" w:eastAsia="Noto Naskh Arabic" w:hAnsi="Sakkal Majalla" w:cs="Sakkal Majalla"/>
          <w:color w:val="000000" w:themeColor="text1"/>
          <w:sz w:val="36"/>
          <w:szCs w:val="36"/>
        </w:rPr>
        <w:t xml:space="preserve">Chen and </w:t>
      </w:r>
      <w:proofErr w:type="spellStart"/>
      <w:r w:rsidRPr="001C6062">
        <w:rPr>
          <w:rFonts w:ascii="Sakkal Majalla" w:eastAsia="Noto Naskh Arabic" w:hAnsi="Sakkal Majalla" w:cs="Sakkal Majalla"/>
          <w:color w:val="000000" w:themeColor="text1"/>
          <w:sz w:val="36"/>
          <w:szCs w:val="36"/>
        </w:rPr>
        <w:t>Tajdini</w:t>
      </w:r>
      <w:proofErr w:type="spellEnd"/>
      <w:r w:rsidRPr="001C6062">
        <w:rPr>
          <w:rFonts w:ascii="Sakkal Majalla" w:eastAsia="Noto Naskh Arabic" w:hAnsi="Sakkal Majalla" w:cs="Sakkal Majalla"/>
          <w:color w:val="000000" w:themeColor="text1"/>
          <w:sz w:val="36"/>
          <w:szCs w:val="36"/>
        </w:rPr>
        <w:t xml:space="preserve"> (2025)</w:t>
      </w:r>
      <w:r w:rsidRPr="001C6062">
        <w:rPr>
          <w:rFonts w:ascii="Sakkal Majalla" w:eastAsia="Noto Naskh Arabic" w:hAnsi="Sakkal Majalla" w:cs="Sakkal Majalla"/>
          <w:color w:val="000000" w:themeColor="text1"/>
          <w:sz w:val="36"/>
          <w:szCs w:val="36"/>
          <w:rtl/>
        </w:rPr>
        <w:t xml:space="preserve"> نموذجًا لتبنّي الذكاء الاصطناعي وأثره في أداء الشركات، مع فحص عوامل تنظيمية وسياقية. وأكدت النتائج أن التبنّي يحتاج إلى عوامل مكملة وأن أثره في الأداء ليس تلقائيًا. وتدعم الدراسة الانتقال من السؤال عن الاستخدام إلى السؤال عن الجاهزية والقدرات.</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 xml:space="preserve">تُظهر الدراسات الأحدث حول </w:t>
      </w:r>
      <w:proofErr w:type="spellStart"/>
      <w:r w:rsidRPr="001C6062">
        <w:rPr>
          <w:rFonts w:ascii="Sakkal Majalla" w:eastAsia="Noto Naskh Arabic" w:hAnsi="Sakkal Majalla" w:cs="Sakkal Majalla"/>
          <w:color w:val="000000" w:themeColor="text1"/>
          <w:sz w:val="36"/>
          <w:szCs w:val="36"/>
          <w:rtl/>
        </w:rPr>
        <w:t>حوكمة</w:t>
      </w:r>
      <w:proofErr w:type="spellEnd"/>
      <w:r w:rsidRPr="001C6062">
        <w:rPr>
          <w:rFonts w:ascii="Sakkal Majalla" w:eastAsia="Noto Naskh Arabic" w:hAnsi="Sakkal Majalla" w:cs="Sakkal Majalla"/>
          <w:color w:val="000000" w:themeColor="text1"/>
          <w:sz w:val="36"/>
          <w:szCs w:val="36"/>
          <w:rtl/>
        </w:rPr>
        <w:t xml:space="preserve"> الذكاء الاصطناعي والجاهزية في المشروعات أن مخاطر البيانات والأخلاقيات والمهارات وصعوبة قياس العائد لا تزال من أبرز الحواجز. ويعني ذلك أن إدماج </w:t>
      </w:r>
      <w:proofErr w:type="spellStart"/>
      <w:r w:rsidRPr="001C6062">
        <w:rPr>
          <w:rFonts w:ascii="Sakkal Majalla" w:eastAsia="Noto Naskh Arabic" w:hAnsi="Sakkal Majalla" w:cs="Sakkal Majalla"/>
          <w:color w:val="000000" w:themeColor="text1"/>
          <w:sz w:val="36"/>
          <w:szCs w:val="36"/>
          <w:rtl/>
        </w:rPr>
        <w:t>الحوكمة</w:t>
      </w:r>
      <w:proofErr w:type="spellEnd"/>
      <w:r w:rsidRPr="001C6062">
        <w:rPr>
          <w:rFonts w:ascii="Sakkal Majalla" w:eastAsia="Noto Naskh Arabic" w:hAnsi="Sakkal Majalla" w:cs="Sakkal Majalla"/>
          <w:color w:val="000000" w:themeColor="text1"/>
          <w:sz w:val="36"/>
          <w:szCs w:val="36"/>
          <w:rtl/>
        </w:rPr>
        <w:t xml:space="preserve"> في بُعد الجاهزية لا يمثل إضافة شكلية، بل شرطًا للاستدامة والثقة.</w:t>
      </w:r>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8</w:t>
      </w:r>
      <w:r w:rsidRPr="001C6062">
        <w:rPr>
          <w:rFonts w:ascii="Sakkal Majalla" w:eastAsia="Noto Sans Arabic" w:hAnsi="Sakkal Majalla" w:cs="Sakkal Majalla"/>
          <w:b/>
          <w:color w:val="000000" w:themeColor="text1"/>
          <w:sz w:val="36"/>
          <w:szCs w:val="36"/>
          <w:rtl/>
        </w:rPr>
        <w:t>): ملخص الدراسات الأجنبية السابقة</w:t>
      </w:r>
    </w:p>
    <w:tbl>
      <w:tblPr>
        <w:tblStyle w:val="afb"/>
        <w:tblW w:w="9185" w:type="dxa"/>
        <w:jc w:val="center"/>
        <w:tblLayout w:type="fixed"/>
        <w:tblCellMar>
          <w:top w:w="90" w:type="dxa"/>
          <w:left w:w="90" w:type="dxa"/>
          <w:bottom w:w="90" w:type="dxa"/>
          <w:right w:w="90" w:type="dxa"/>
        </w:tblCellMar>
        <w:tblLook w:val="04A0" w:firstRow="1" w:lastRow="0" w:firstColumn="1" w:lastColumn="0" w:noHBand="0" w:noVBand="1"/>
      </w:tblPr>
      <w:tblGrid>
        <w:gridCol w:w="1837"/>
        <w:gridCol w:w="1837"/>
        <w:gridCol w:w="1837"/>
        <w:gridCol w:w="1837"/>
        <w:gridCol w:w="1837"/>
      </w:tblGrid>
      <w:tr w:rsidR="001C6062" w:rsidRPr="001C6062" w:rsidTr="00DF3755">
        <w:trPr>
          <w:tblHeader/>
          <w:jc w:val="center"/>
        </w:trPr>
        <w:tc>
          <w:tcPr>
            <w:tcW w:w="1837"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الدراسة</w:t>
            </w:r>
          </w:p>
        </w:tc>
        <w:tc>
          <w:tcPr>
            <w:tcW w:w="1837"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الموضوع</w:t>
            </w:r>
          </w:p>
        </w:tc>
        <w:tc>
          <w:tcPr>
            <w:tcW w:w="1837"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المنهج</w:t>
            </w:r>
          </w:p>
        </w:tc>
        <w:tc>
          <w:tcPr>
            <w:tcW w:w="1837"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أبرز الدلالات</w:t>
            </w:r>
          </w:p>
        </w:tc>
        <w:tc>
          <w:tcPr>
            <w:tcW w:w="1837"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الحدود بالنسبة للدراسة الحالية</w:t>
            </w:r>
          </w:p>
        </w:tc>
      </w:tr>
      <w:tr w:rsidR="001C6062" w:rsidRPr="001C6062" w:rsidTr="00DF3755">
        <w:trPr>
          <w:jc w:val="center"/>
        </w:trPr>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Pr>
              <w:t>Jöhnk</w:t>
            </w:r>
            <w:proofErr w:type="spellEnd"/>
            <w:r w:rsidRPr="001C6062">
              <w:rPr>
                <w:rFonts w:ascii="Sakkal Majalla" w:eastAsia="Noto Naskh Arabic" w:hAnsi="Sakkal Majalla" w:cs="Sakkal Majalla"/>
                <w:color w:val="000000" w:themeColor="text1"/>
                <w:sz w:val="36"/>
                <w:szCs w:val="36"/>
              </w:rPr>
              <w:t xml:space="preserve"> et al., 2021</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عوامل الجاهزية التنظيمية للذكاء الاصطناعي</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مقابلات نوعية</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تحديد عوامل استراتيجية وبيانية وتقنية وبشرية </w:t>
            </w:r>
            <w:proofErr w:type="spellStart"/>
            <w:r w:rsidRPr="001C6062">
              <w:rPr>
                <w:rFonts w:ascii="Sakkal Majalla" w:eastAsia="Noto Naskh Arabic" w:hAnsi="Sakkal Majalla" w:cs="Sakkal Majalla"/>
                <w:color w:val="000000" w:themeColor="text1"/>
                <w:sz w:val="36"/>
                <w:szCs w:val="36"/>
                <w:rtl/>
              </w:rPr>
              <w:t>وحوكمية</w:t>
            </w:r>
            <w:proofErr w:type="spellEnd"/>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يختبر أثرًا استراتيجيًا</w:t>
            </w:r>
          </w:p>
        </w:tc>
      </w:tr>
      <w:tr w:rsidR="001C6062" w:rsidRPr="001C6062" w:rsidTr="00DF3755">
        <w:trPr>
          <w:jc w:val="center"/>
        </w:trPr>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Pr>
              <w:t>Mikalef</w:t>
            </w:r>
            <w:proofErr w:type="spellEnd"/>
            <w:r w:rsidRPr="001C6062">
              <w:rPr>
                <w:rFonts w:ascii="Sakkal Majalla" w:eastAsia="Noto Naskh Arabic" w:hAnsi="Sakkal Majalla" w:cs="Sakkal Majalla"/>
                <w:color w:val="000000" w:themeColor="text1"/>
                <w:sz w:val="36"/>
                <w:szCs w:val="36"/>
              </w:rPr>
              <w:t xml:space="preserve"> &amp; Gupta, 2021</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قدرة الذكاء الاصطناعي والأداء</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مسح وتطوير مقياس</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تكامل الموارد يرفع الأداء والإبداع</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لا يركز على </w:t>
            </w:r>
            <w:r w:rsidRPr="001C6062">
              <w:rPr>
                <w:rFonts w:ascii="Sakkal Majalla" w:eastAsia="Noto Naskh Arabic" w:hAnsi="Sakkal Majalla" w:cs="Sakkal Majalla"/>
                <w:color w:val="000000" w:themeColor="text1"/>
                <w:sz w:val="36"/>
                <w:szCs w:val="36"/>
              </w:rPr>
              <w:t>SMEs</w:t>
            </w:r>
            <w:r w:rsidRPr="001C6062">
              <w:rPr>
                <w:rFonts w:ascii="Sakkal Majalla" w:eastAsia="Noto Naskh Arabic" w:hAnsi="Sakkal Majalla" w:cs="Sakkal Majalla"/>
                <w:color w:val="000000" w:themeColor="text1"/>
                <w:sz w:val="36"/>
                <w:szCs w:val="36"/>
                <w:rtl/>
              </w:rPr>
              <w:t xml:space="preserve"> أو الوساطة</w:t>
            </w:r>
          </w:p>
        </w:tc>
      </w:tr>
      <w:tr w:rsidR="001C6062" w:rsidRPr="001C6062" w:rsidTr="00DF3755">
        <w:trPr>
          <w:jc w:val="center"/>
        </w:trPr>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Hock-</w:t>
            </w:r>
            <w:proofErr w:type="spellStart"/>
            <w:r w:rsidRPr="001C6062">
              <w:rPr>
                <w:rFonts w:ascii="Sakkal Majalla" w:eastAsia="Noto Naskh Arabic" w:hAnsi="Sakkal Majalla" w:cs="Sakkal Majalla"/>
                <w:color w:val="000000" w:themeColor="text1"/>
                <w:sz w:val="36"/>
                <w:szCs w:val="36"/>
              </w:rPr>
              <w:t>Doepgen</w:t>
            </w:r>
            <w:proofErr w:type="spellEnd"/>
            <w:r w:rsidRPr="001C6062">
              <w:rPr>
                <w:rFonts w:ascii="Sakkal Majalla" w:eastAsia="Noto Naskh Arabic" w:hAnsi="Sakkal Majalla" w:cs="Sakkal Majalla"/>
                <w:color w:val="000000" w:themeColor="text1"/>
                <w:sz w:val="36"/>
                <w:szCs w:val="36"/>
              </w:rPr>
              <w:t xml:space="preserve"> et al., 2021</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قدرات المعرفة وابتكار نموذج الأعمال في </w:t>
            </w:r>
            <w:r w:rsidRPr="001C6062">
              <w:rPr>
                <w:rFonts w:ascii="Sakkal Majalla" w:eastAsia="Noto Naskh Arabic" w:hAnsi="Sakkal Majalla" w:cs="Sakkal Majalla"/>
                <w:color w:val="000000" w:themeColor="text1"/>
                <w:sz w:val="36"/>
                <w:szCs w:val="36"/>
              </w:rPr>
              <w:t>SMEs</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مسح كمي</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المعرفة تدعم الابتكار والمخاطرة</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يتناول الجاهزية أو المرونة</w:t>
            </w:r>
          </w:p>
        </w:tc>
      </w:tr>
      <w:tr w:rsidR="001C6062" w:rsidRPr="001C6062" w:rsidTr="00DF3755">
        <w:trPr>
          <w:jc w:val="center"/>
        </w:trPr>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Pr>
              <w:t>Enholm</w:t>
            </w:r>
            <w:proofErr w:type="spellEnd"/>
            <w:r w:rsidRPr="001C6062">
              <w:rPr>
                <w:rFonts w:ascii="Sakkal Majalla" w:eastAsia="Noto Naskh Arabic" w:hAnsi="Sakkal Majalla" w:cs="Sakkal Majalla"/>
                <w:color w:val="000000" w:themeColor="text1"/>
                <w:sz w:val="36"/>
                <w:szCs w:val="36"/>
              </w:rPr>
              <w:t xml:space="preserve"> et al., 2022</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الذكاء الاصطناعي وقيمة الأعمال</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مراجعة أدب</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الحاجة إلى قدرات وتغييرات مكملة</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يقدم اختبارًا ميدانيًا</w:t>
            </w:r>
          </w:p>
        </w:tc>
      </w:tr>
      <w:tr w:rsidR="001C6062" w:rsidRPr="001C6062" w:rsidTr="00DF3755">
        <w:trPr>
          <w:jc w:val="center"/>
        </w:trPr>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Pr>
              <w:t>Zahoor</w:t>
            </w:r>
            <w:proofErr w:type="spellEnd"/>
            <w:r w:rsidRPr="001C6062">
              <w:rPr>
                <w:rFonts w:ascii="Sakkal Majalla" w:eastAsia="Noto Naskh Arabic" w:hAnsi="Sakkal Majalla" w:cs="Sakkal Majalla"/>
                <w:color w:val="000000" w:themeColor="text1"/>
                <w:sz w:val="36"/>
                <w:szCs w:val="36"/>
              </w:rPr>
              <w:t xml:space="preserve"> et al., 2022</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القدرات الديناميكية والرشاقة في </w:t>
            </w:r>
            <w:r w:rsidRPr="001C6062">
              <w:rPr>
                <w:rFonts w:ascii="Sakkal Majalla" w:eastAsia="Noto Naskh Arabic" w:hAnsi="Sakkal Majalla" w:cs="Sakkal Majalla"/>
                <w:color w:val="000000" w:themeColor="text1"/>
                <w:sz w:val="36"/>
                <w:szCs w:val="36"/>
              </w:rPr>
              <w:t>SMEs</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دراسات حالة</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الاستشعار والاستجابة يدعمان التكيف</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سياق أزمة وفنلندا</w:t>
            </w:r>
          </w:p>
        </w:tc>
      </w:tr>
      <w:tr w:rsidR="001C6062" w:rsidRPr="001C6062" w:rsidTr="00DF3755">
        <w:trPr>
          <w:jc w:val="center"/>
        </w:trPr>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lastRenderedPageBreak/>
              <w:t>Durst et al., 2023</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إدارة المعرفة في </w:t>
            </w:r>
            <w:r w:rsidRPr="001C6062">
              <w:rPr>
                <w:rFonts w:ascii="Sakkal Majalla" w:eastAsia="Noto Naskh Arabic" w:hAnsi="Sakkal Majalla" w:cs="Sakkal Majalla"/>
                <w:color w:val="000000" w:themeColor="text1"/>
                <w:sz w:val="36"/>
                <w:szCs w:val="36"/>
              </w:rPr>
              <w:t>SMEs</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مراجعة منهجية</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خصوصية المعرفة الضمنية ومركزية المالك</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يختبر النموذج الحالي</w:t>
            </w:r>
          </w:p>
        </w:tc>
      </w:tr>
      <w:tr w:rsidR="001C6062" w:rsidRPr="001C6062" w:rsidTr="00DF3755">
        <w:trPr>
          <w:jc w:val="center"/>
        </w:trPr>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Pr>
              <w:t>Mikalef</w:t>
            </w:r>
            <w:proofErr w:type="spellEnd"/>
            <w:r w:rsidRPr="001C6062">
              <w:rPr>
                <w:rFonts w:ascii="Sakkal Majalla" w:eastAsia="Noto Naskh Arabic" w:hAnsi="Sakkal Majalla" w:cs="Sakkal Majalla"/>
                <w:color w:val="000000" w:themeColor="text1"/>
                <w:sz w:val="36"/>
                <w:szCs w:val="36"/>
              </w:rPr>
              <w:t xml:space="preserve"> et al., 2023</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كفاءات الذكاء الاصطناعي والأداء</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مسح كمي</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أهمية كفاءات الأعمال والتقنية والتنسيق</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تركيز على </w:t>
            </w:r>
            <w:r w:rsidRPr="001C6062">
              <w:rPr>
                <w:rFonts w:ascii="Sakkal Majalla" w:eastAsia="Noto Naskh Arabic" w:hAnsi="Sakkal Majalla" w:cs="Sakkal Majalla"/>
                <w:color w:val="000000" w:themeColor="text1"/>
                <w:sz w:val="36"/>
                <w:szCs w:val="36"/>
              </w:rPr>
              <w:t>B2B</w:t>
            </w:r>
          </w:p>
        </w:tc>
      </w:tr>
      <w:tr w:rsidR="001C6062" w:rsidRPr="001C6062" w:rsidTr="00DF3755">
        <w:trPr>
          <w:jc w:val="center"/>
        </w:trPr>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Pr>
              <w:t>Arroyabe</w:t>
            </w:r>
            <w:proofErr w:type="spellEnd"/>
            <w:r w:rsidRPr="001C6062">
              <w:rPr>
                <w:rFonts w:ascii="Sakkal Majalla" w:eastAsia="Noto Naskh Arabic" w:hAnsi="Sakkal Majalla" w:cs="Sakkal Majalla"/>
                <w:color w:val="000000" w:themeColor="text1"/>
                <w:sz w:val="36"/>
                <w:szCs w:val="36"/>
              </w:rPr>
              <w:t xml:space="preserve"> et al., 2024</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تبنّي الذكاء الاصطناعي في </w:t>
            </w:r>
            <w:r w:rsidRPr="001C6062">
              <w:rPr>
                <w:rFonts w:ascii="Sakkal Majalla" w:eastAsia="Noto Naskh Arabic" w:hAnsi="Sakkal Majalla" w:cs="Sakkal Majalla"/>
                <w:color w:val="000000" w:themeColor="text1"/>
                <w:sz w:val="36"/>
                <w:szCs w:val="36"/>
              </w:rPr>
              <w:t>SMEs</w:t>
            </w:r>
            <w:r w:rsidRPr="001C6062">
              <w:rPr>
                <w:rFonts w:ascii="Sakkal Majalla" w:eastAsia="Noto Naskh Arabic" w:hAnsi="Sakkal Majalla" w:cs="Sakkal Majalla"/>
                <w:color w:val="000000" w:themeColor="text1"/>
                <w:sz w:val="36"/>
                <w:szCs w:val="36"/>
                <w:rtl/>
              </w:rPr>
              <w:t xml:space="preserve"> الأوروبية</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تحليل كمي</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أهمية القدرات الرقمية والابتكار والبيئة</w:t>
            </w:r>
          </w:p>
        </w:tc>
        <w:tc>
          <w:tcPr>
            <w:tcW w:w="1837"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لا يتناول إدارة المعرفة والمرونة</w:t>
            </w:r>
          </w:p>
        </w:tc>
      </w:tr>
      <w:tr w:rsidR="001C6062" w:rsidRPr="001C6062" w:rsidTr="00DF3755">
        <w:trPr>
          <w:jc w:val="center"/>
        </w:trPr>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Pr>
              <w:t xml:space="preserve">Chen &amp; </w:t>
            </w:r>
            <w:proofErr w:type="spellStart"/>
            <w:r w:rsidRPr="001C6062">
              <w:rPr>
                <w:rFonts w:ascii="Sakkal Majalla" w:eastAsia="Noto Naskh Arabic" w:hAnsi="Sakkal Majalla" w:cs="Sakkal Majalla"/>
                <w:color w:val="000000" w:themeColor="text1"/>
                <w:sz w:val="36"/>
                <w:szCs w:val="36"/>
              </w:rPr>
              <w:t>Tajdini</w:t>
            </w:r>
            <w:proofErr w:type="spellEnd"/>
            <w:r w:rsidRPr="001C6062">
              <w:rPr>
                <w:rFonts w:ascii="Sakkal Majalla" w:eastAsia="Noto Naskh Arabic" w:hAnsi="Sakkal Majalla" w:cs="Sakkal Majalla"/>
                <w:color w:val="000000" w:themeColor="text1"/>
                <w:sz w:val="36"/>
                <w:szCs w:val="36"/>
              </w:rPr>
              <w:t>, 2025</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تبنّي الذكاء الاصطناعي وأداء الشركات</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نموذج كمي</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التبنّي يحتاج عوامل تنظيمية مكملة</w:t>
            </w:r>
          </w:p>
        </w:tc>
        <w:tc>
          <w:tcPr>
            <w:tcW w:w="1837"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الأداء عام وليس المرونة</w:t>
            </w:r>
          </w:p>
        </w:tc>
      </w:tr>
    </w:tbl>
    <w:p w:rsidR="005931D6" w:rsidRDefault="00F93CAA" w:rsidP="001C6062">
      <w:pPr>
        <w:bidi/>
        <w:spacing w:after="0" w:line="240" w:lineRule="auto"/>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المصدر: إعداد الباحث بالرجوع إلى الدراسات الواردة.</w:t>
      </w:r>
    </w:p>
    <w:p w:rsidR="0023208A" w:rsidRPr="001C6062" w:rsidRDefault="0023208A" w:rsidP="00765D17">
      <w:pPr>
        <w:bidi/>
        <w:spacing w:after="0" w:line="240" w:lineRule="auto"/>
        <w:jc w:val="both"/>
        <w:rPr>
          <w:rFonts w:ascii="Sakkal Majalla" w:hAnsi="Sakkal Majalla" w:cs="Sakkal Majalla"/>
          <w:color w:val="000000" w:themeColor="text1"/>
          <w:sz w:val="36"/>
          <w:szCs w:val="36"/>
        </w:rPr>
      </w:pPr>
    </w:p>
    <w:p w:rsidR="005931D6" w:rsidRPr="001C6062" w:rsidRDefault="00F93CAA" w:rsidP="00DF3755">
      <w:pPr>
        <w:pStyle w:val="21"/>
        <w:bidi/>
        <w:spacing w:before="0" w:after="0" w:line="240" w:lineRule="auto"/>
        <w:jc w:val="center"/>
        <w:rPr>
          <w:rFonts w:ascii="Sakkal Majalla" w:hAnsi="Sakkal Majalla" w:cs="Sakkal Majalla"/>
          <w:color w:val="000000" w:themeColor="text1"/>
          <w:sz w:val="36"/>
          <w:szCs w:val="36"/>
        </w:rPr>
      </w:pPr>
      <w:bookmarkStart w:id="45" w:name="_Toc235465351"/>
      <w:r w:rsidRPr="001C6062">
        <w:rPr>
          <w:rFonts w:ascii="Sakkal Majalla" w:eastAsia="Noto Sans Arabic" w:hAnsi="Sakkal Majalla" w:cs="Sakkal Majalla"/>
          <w:color w:val="000000" w:themeColor="text1"/>
          <w:sz w:val="36"/>
          <w:szCs w:val="36"/>
        </w:rPr>
        <w:t>2-9-3</w:t>
      </w:r>
      <w:r w:rsidRPr="001C6062">
        <w:rPr>
          <w:rFonts w:ascii="Sakkal Majalla" w:eastAsia="Noto Sans Arabic" w:hAnsi="Sakkal Majalla" w:cs="Sakkal Majalla"/>
          <w:color w:val="000000" w:themeColor="text1"/>
          <w:sz w:val="36"/>
          <w:szCs w:val="36"/>
          <w:rtl/>
        </w:rPr>
        <w:t xml:space="preserve"> التعقيب على الدراسات السابقة</w:t>
      </w:r>
      <w:bookmarkEnd w:id="45"/>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تتفق الدراسات العربية والأجنبية على أن الذكاء الاصطناعي يمكن أن يحسن القرار والعمليات والمعرفة، وأن المرونة والرشاقة تدعمان التعامل مع الاضطراب. كما تتفق على أن التقنية لا تعمل بمعزل عن الموارد البشرية والتنظيمية والبيانات. ومع ذلك تختلف في نقطة التركيز؛ إذ يغلب على الأدبيات العربية الطابع الوصفي أو دراسة العلاقات الثنائية، بينما تقدم الأدبيات الأجنبية مقاييس قدرات ونماذج تبنّي أكثر تطورًا.</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تستفيد الدراسة الحالية من الأدبيات العربية في مواءمة المفاهيم مع اللغة والسياق الإداري العربي، ومن الأدبيات الأجنبية في بناء الأبعاد ونموذج الوساطة ومنهج </w:t>
      </w:r>
      <w:r w:rsidRPr="001C6062">
        <w:rPr>
          <w:rFonts w:ascii="Sakkal Majalla" w:eastAsia="Noto Naskh Arabic" w:hAnsi="Sakkal Majalla" w:cs="Sakkal Majalla"/>
          <w:color w:val="000000" w:themeColor="text1"/>
          <w:sz w:val="36"/>
          <w:szCs w:val="36"/>
        </w:rPr>
        <w:t>PLS-SEM</w:t>
      </w:r>
      <w:r w:rsidRPr="001C6062">
        <w:rPr>
          <w:rFonts w:ascii="Sakkal Majalla" w:eastAsia="Noto Naskh Arabic" w:hAnsi="Sakkal Majalla" w:cs="Sakkal Majalla"/>
          <w:color w:val="000000" w:themeColor="text1"/>
          <w:sz w:val="36"/>
          <w:szCs w:val="36"/>
          <w:rtl/>
        </w:rPr>
        <w:t>. كما تتجنب مساواة الاستخدام بالجاهزية، وتجمع بين أربعة أبعاد للجاهزية وأربعة للمعرفة وثلاثة للمرونة.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 xml:space="preserve">يظهر من المراجعة أن دراسات قليلة تربط بين المتغيرات الثلاثة في نموذج واحد، وأن السياق السعودي للمشروعات الصغيرة والمتوسطة لم يُدرس بالصورة المقترحة. كما أن مفهوم </w:t>
      </w:r>
      <w:proofErr w:type="spellStart"/>
      <w:r w:rsidRPr="001C6062">
        <w:rPr>
          <w:rFonts w:ascii="Sakkal Majalla" w:eastAsia="Noto Naskh Arabic" w:hAnsi="Sakkal Majalla" w:cs="Sakkal Majalla"/>
          <w:color w:val="000000" w:themeColor="text1"/>
          <w:sz w:val="36"/>
          <w:szCs w:val="36"/>
          <w:rtl/>
        </w:rPr>
        <w:t>الحوكمة</w:t>
      </w:r>
      <w:proofErr w:type="spellEnd"/>
      <w:r w:rsidRPr="001C6062">
        <w:rPr>
          <w:rFonts w:ascii="Sakkal Majalla" w:eastAsia="Noto Naskh Arabic" w:hAnsi="Sakkal Majalla" w:cs="Sakkal Majalla"/>
          <w:color w:val="000000" w:themeColor="text1"/>
          <w:sz w:val="36"/>
          <w:szCs w:val="36"/>
          <w:rtl/>
        </w:rPr>
        <w:t xml:space="preserve"> يحتاج حضورًا أوضح في قياس الجاهزية، خصوصًا مع انتشار الأدوات التوليدية وسهولة الاستخدام الفردي.</w:t>
      </w: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46" w:name="_Toc235465352"/>
      <w:r w:rsidRPr="001C6062">
        <w:rPr>
          <w:rFonts w:ascii="Sakkal Majalla" w:eastAsia="Noto Sans Arabic" w:hAnsi="Sakkal Majalla" w:cs="Sakkal Majalla"/>
          <w:color w:val="000000" w:themeColor="text1"/>
          <w:szCs w:val="36"/>
        </w:rPr>
        <w:t>2-10</w:t>
      </w:r>
      <w:r w:rsidRPr="001C6062">
        <w:rPr>
          <w:rFonts w:ascii="Sakkal Majalla" w:eastAsia="Noto Sans Arabic" w:hAnsi="Sakkal Majalla" w:cs="Sakkal Majalla"/>
          <w:color w:val="000000" w:themeColor="text1"/>
          <w:szCs w:val="36"/>
          <w:rtl/>
        </w:rPr>
        <w:t xml:space="preserve"> الفجوة البحثية والإضافة المتوقعة</w:t>
      </w:r>
      <w:bookmarkEnd w:id="46"/>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9</w:t>
      </w:r>
      <w:r w:rsidRPr="001C6062">
        <w:rPr>
          <w:rFonts w:ascii="Sakkal Majalla" w:eastAsia="Noto Sans Arabic" w:hAnsi="Sakkal Majalla" w:cs="Sakkal Majalla"/>
          <w:b/>
          <w:color w:val="000000" w:themeColor="text1"/>
          <w:sz w:val="36"/>
          <w:szCs w:val="36"/>
          <w:rtl/>
        </w:rPr>
        <w:t>): مصفوفة الفجوة البحثية والإضافة المتوقعة</w:t>
      </w:r>
    </w:p>
    <w:tbl>
      <w:tblPr>
        <w:tblStyle w:val="afb"/>
        <w:bidiVisual/>
        <w:tblW w:w="9187" w:type="dxa"/>
        <w:jc w:val="center"/>
        <w:tblLayout w:type="fixed"/>
        <w:tblCellMar>
          <w:top w:w="90" w:type="dxa"/>
          <w:left w:w="90" w:type="dxa"/>
          <w:bottom w:w="90" w:type="dxa"/>
          <w:right w:w="90" w:type="dxa"/>
        </w:tblCellMar>
        <w:tblLook w:val="04A0" w:firstRow="1" w:lastRow="0" w:firstColumn="1" w:lastColumn="0" w:noHBand="0" w:noVBand="1"/>
      </w:tblPr>
      <w:tblGrid>
        <w:gridCol w:w="1682"/>
        <w:gridCol w:w="3544"/>
        <w:gridCol w:w="3961"/>
      </w:tblGrid>
      <w:tr w:rsidR="001C6062" w:rsidRPr="001C6062" w:rsidTr="00DF3755">
        <w:trPr>
          <w:tblHeader/>
          <w:jc w:val="center"/>
        </w:trPr>
        <w:tc>
          <w:tcPr>
            <w:tcW w:w="1682"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نوع الفجوة</w:t>
            </w:r>
          </w:p>
        </w:tc>
        <w:tc>
          <w:tcPr>
            <w:tcW w:w="3544"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مظاهرها في الأدبيات</w:t>
            </w:r>
          </w:p>
        </w:tc>
        <w:tc>
          <w:tcPr>
            <w:tcW w:w="3961"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استجابة الدراسة الحالية</w:t>
            </w:r>
          </w:p>
        </w:tc>
      </w:tr>
      <w:tr w:rsidR="001C6062" w:rsidRPr="001C6062" w:rsidTr="00DF3755">
        <w:trPr>
          <w:jc w:val="center"/>
        </w:trPr>
        <w:tc>
          <w:tcPr>
            <w:tcW w:w="168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تركيبية</w:t>
            </w:r>
          </w:p>
        </w:tc>
        <w:tc>
          <w:tcPr>
            <w:tcW w:w="3544"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غلبة العلاقات الثنائية بين الذكاء الاصطناعي أو المعرفة أو المرونة</w:t>
            </w:r>
          </w:p>
        </w:tc>
        <w:tc>
          <w:tcPr>
            <w:tcW w:w="396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دمج المتغيرات الثلاثة في نموذج مباشر وغير مباشر</w:t>
            </w:r>
          </w:p>
        </w:tc>
      </w:tr>
      <w:tr w:rsidR="001C6062" w:rsidRPr="001C6062" w:rsidTr="00DF3755">
        <w:trPr>
          <w:jc w:val="center"/>
        </w:trPr>
        <w:tc>
          <w:tcPr>
            <w:tcW w:w="168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tl/>
              </w:rPr>
              <w:t>مفاهيمية</w:t>
            </w:r>
            <w:proofErr w:type="spellEnd"/>
          </w:p>
        </w:tc>
        <w:tc>
          <w:tcPr>
            <w:tcW w:w="3544"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قياس الاستخدام أو التبنّي دون تمييز الجاهزية المؤسسية</w:t>
            </w:r>
          </w:p>
        </w:tc>
        <w:tc>
          <w:tcPr>
            <w:tcW w:w="3961"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قياس جاهزية متعددة الأبعاد تشمل التقنية والبيانات والبشر </w:t>
            </w:r>
            <w:proofErr w:type="spellStart"/>
            <w:r w:rsidRPr="001C6062">
              <w:rPr>
                <w:rFonts w:ascii="Sakkal Majalla" w:eastAsia="Noto Naskh Arabic" w:hAnsi="Sakkal Majalla" w:cs="Sakkal Majalla"/>
                <w:color w:val="000000" w:themeColor="text1"/>
                <w:sz w:val="36"/>
                <w:szCs w:val="36"/>
                <w:rtl/>
              </w:rPr>
              <w:t>والحوكمة</w:t>
            </w:r>
            <w:proofErr w:type="spellEnd"/>
          </w:p>
        </w:tc>
      </w:tr>
      <w:tr w:rsidR="001C6062" w:rsidRPr="001C6062" w:rsidTr="00DF3755">
        <w:trPr>
          <w:jc w:val="center"/>
        </w:trPr>
        <w:tc>
          <w:tcPr>
            <w:tcW w:w="168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تفسيرية</w:t>
            </w:r>
          </w:p>
        </w:tc>
        <w:tc>
          <w:tcPr>
            <w:tcW w:w="3544"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ضعف تفسير آلية انتقال أثر التقنية إلى النتيجة الاستراتيجية</w:t>
            </w:r>
          </w:p>
        </w:tc>
        <w:tc>
          <w:tcPr>
            <w:tcW w:w="396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اختبار قدرات إدارة المعرفة كوسيط</w:t>
            </w:r>
          </w:p>
        </w:tc>
      </w:tr>
      <w:tr w:rsidR="001C6062" w:rsidRPr="001C6062" w:rsidTr="00DF3755">
        <w:trPr>
          <w:jc w:val="center"/>
        </w:trPr>
        <w:tc>
          <w:tcPr>
            <w:tcW w:w="168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سياقية</w:t>
            </w:r>
          </w:p>
        </w:tc>
        <w:tc>
          <w:tcPr>
            <w:tcW w:w="3544"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تركز الأدلة المتقدمة في بيئات أجنبية أو قطاعات كبيرة</w:t>
            </w:r>
          </w:p>
        </w:tc>
        <w:tc>
          <w:tcPr>
            <w:tcW w:w="3961"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اختبار النموذج في </w:t>
            </w:r>
            <w:r w:rsidRPr="001C6062">
              <w:rPr>
                <w:rFonts w:ascii="Sakkal Majalla" w:eastAsia="Noto Naskh Arabic" w:hAnsi="Sakkal Majalla" w:cs="Sakkal Majalla"/>
                <w:color w:val="000000" w:themeColor="text1"/>
                <w:sz w:val="36"/>
                <w:szCs w:val="36"/>
              </w:rPr>
              <w:t>SMEs</w:t>
            </w:r>
            <w:r w:rsidRPr="001C6062">
              <w:rPr>
                <w:rFonts w:ascii="Sakkal Majalla" w:eastAsia="Noto Naskh Arabic" w:hAnsi="Sakkal Majalla" w:cs="Sakkal Majalla"/>
                <w:color w:val="000000" w:themeColor="text1"/>
                <w:sz w:val="36"/>
                <w:szCs w:val="36"/>
                <w:rtl/>
              </w:rPr>
              <w:t xml:space="preserve"> السعودية عبر قطاعات ومناطق</w:t>
            </w:r>
          </w:p>
        </w:tc>
      </w:tr>
      <w:tr w:rsidR="001C6062" w:rsidRPr="001C6062" w:rsidTr="00DF3755">
        <w:trPr>
          <w:jc w:val="center"/>
        </w:trPr>
        <w:tc>
          <w:tcPr>
            <w:tcW w:w="168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منهجية</w:t>
            </w:r>
          </w:p>
        </w:tc>
        <w:tc>
          <w:tcPr>
            <w:tcW w:w="3544"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الاعتماد على وصف عام أو علاقات مباشرة</w:t>
            </w:r>
          </w:p>
        </w:tc>
        <w:tc>
          <w:tcPr>
            <w:tcW w:w="3961"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اختبار نموذج القياس والمسارات والوساطة عبر </w:t>
            </w:r>
            <w:r w:rsidRPr="001C6062">
              <w:rPr>
                <w:rFonts w:ascii="Sakkal Majalla" w:eastAsia="Noto Naskh Arabic" w:hAnsi="Sakkal Majalla" w:cs="Sakkal Majalla"/>
                <w:color w:val="000000" w:themeColor="text1"/>
                <w:sz w:val="36"/>
                <w:szCs w:val="36"/>
              </w:rPr>
              <w:t>PLS-SEM</w:t>
            </w:r>
          </w:p>
        </w:tc>
      </w:tr>
      <w:tr w:rsidR="001C6062" w:rsidRPr="001C6062" w:rsidTr="00DF3755">
        <w:trPr>
          <w:jc w:val="center"/>
        </w:trPr>
        <w:tc>
          <w:tcPr>
            <w:tcW w:w="168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تطبيقية</w:t>
            </w:r>
          </w:p>
        </w:tc>
        <w:tc>
          <w:tcPr>
            <w:tcW w:w="3544"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توصيات عامة غير مرتبطة بمؤشرات تنفيذ</w:t>
            </w:r>
          </w:p>
        </w:tc>
        <w:tc>
          <w:tcPr>
            <w:tcW w:w="3961"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خارطة طريق، مؤشرات أداء، سجل مخاطر وأداة تشخيص</w:t>
            </w:r>
          </w:p>
        </w:tc>
      </w:tr>
    </w:tbl>
    <w:p w:rsidR="005931D6" w:rsidRPr="001C6062" w:rsidRDefault="00F93CAA" w:rsidP="001C6062">
      <w:pPr>
        <w:bidi/>
        <w:spacing w:after="0" w:line="240" w:lineRule="auto"/>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المصدر: إعداد الباحث.</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تتمثل الإضافة النظرية في تطوير نموذج يضع الجاهزية بوصفها قدرة </w:t>
      </w:r>
      <w:proofErr w:type="spellStart"/>
      <w:r w:rsidRPr="001C6062">
        <w:rPr>
          <w:rFonts w:ascii="Sakkal Majalla" w:eastAsia="Noto Naskh Arabic" w:hAnsi="Sakkal Majalla" w:cs="Sakkal Majalla"/>
          <w:color w:val="000000" w:themeColor="text1"/>
          <w:sz w:val="36"/>
          <w:szCs w:val="36"/>
          <w:rtl/>
        </w:rPr>
        <w:t>تمكينية</w:t>
      </w:r>
      <w:proofErr w:type="spellEnd"/>
      <w:r w:rsidRPr="001C6062">
        <w:rPr>
          <w:rFonts w:ascii="Sakkal Majalla" w:eastAsia="Noto Naskh Arabic" w:hAnsi="Sakkal Majalla" w:cs="Sakkal Majalla"/>
          <w:color w:val="000000" w:themeColor="text1"/>
          <w:sz w:val="36"/>
          <w:szCs w:val="36"/>
          <w:rtl/>
        </w:rPr>
        <w:t>، وإدارة المعرفة بوصفها آلية تحويلية، والمرونة بوصفها نتيجة استراتيجية. ويسمح هذا الترتيب بفصل المدخلات عن العمليات عن النتائج، ويقلل خطر تفسير الارتباط المباشر بوصفه قيمة تلقائية للتقنية.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أما الإضافة السياقية فتتمثل في تطبيق النموذج على قطاع واسع ومتباين في المملكة، مع مراعاة الأحجام والقطاعات ومراحل التبنّي. وتتمثل الإضافة المنهجية في بناء مقياس متعدد </w:t>
      </w:r>
      <w:r w:rsidRPr="001C6062">
        <w:rPr>
          <w:rFonts w:ascii="Sakkal Majalla" w:eastAsia="Noto Naskh Arabic" w:hAnsi="Sakkal Majalla" w:cs="Sakkal Majalla"/>
          <w:color w:val="000000" w:themeColor="text1"/>
          <w:sz w:val="36"/>
          <w:szCs w:val="36"/>
          <w:rtl/>
        </w:rPr>
        <w:lastRenderedPageBreak/>
        <w:t>الأبعاد واختبار الصدق والثبات والوساطة، بينما تتمثل الإضافة التطبيقية في ترجمة النتائج إلى قرارات مرتبة حسب الأولوية.</w:t>
      </w:r>
    </w:p>
    <w:p w:rsidR="005931D6" w:rsidRDefault="00F93CAA" w:rsidP="001C6062">
      <w:pPr>
        <w:bidi/>
        <w:spacing w:after="0" w:line="240" w:lineRule="auto"/>
        <w:ind w:firstLine="425"/>
        <w:jc w:val="both"/>
        <w:rPr>
          <w:rFonts w:ascii="Sakkal Majalla" w:eastAsia="Noto Naskh Arabic" w:hAnsi="Sakkal Majalla" w:cs="Sakkal Majalla"/>
          <w:color w:val="000000" w:themeColor="text1"/>
          <w:sz w:val="36"/>
          <w:szCs w:val="36"/>
          <w:rtl/>
        </w:rPr>
      </w:pPr>
      <w:r w:rsidRPr="001C6062">
        <w:rPr>
          <w:rFonts w:ascii="Sakkal Majalla" w:eastAsia="Noto Naskh Arabic" w:hAnsi="Sakkal Majalla" w:cs="Sakkal Majalla"/>
          <w:color w:val="000000" w:themeColor="text1"/>
          <w:sz w:val="36"/>
          <w:szCs w:val="36"/>
          <w:rtl/>
        </w:rPr>
        <w:t>لا تدعي الدراسة أن النموذج يغطي جميع العوامل؛ فالدعم الخارجي، والثقافة، والتمويل، والضغط التنافسي قد تؤثر في العلاقات. لكنها تختار نموذجًا متوازنًا قابلًا للاختبار، ويمكن توسيعه في بحوث مستقبلية بإضافة متغيرات معدلة.</w:t>
      </w:r>
    </w:p>
    <w:p w:rsidR="0023208A" w:rsidRPr="001C6062" w:rsidRDefault="0023208A" w:rsidP="00765D17">
      <w:pPr>
        <w:bidi/>
        <w:spacing w:after="0" w:line="240" w:lineRule="auto"/>
        <w:ind w:firstLine="425"/>
        <w:jc w:val="both"/>
        <w:rPr>
          <w:rFonts w:ascii="Sakkal Majalla" w:hAnsi="Sakkal Majalla" w:cs="Sakkal Majalla"/>
          <w:color w:val="000000" w:themeColor="text1"/>
          <w:sz w:val="36"/>
          <w:szCs w:val="36"/>
        </w:rPr>
      </w:pPr>
    </w:p>
    <w:p w:rsidR="005931D6" w:rsidRPr="001C6062" w:rsidRDefault="00F93CAA" w:rsidP="00DF3755">
      <w:pPr>
        <w:pStyle w:val="1"/>
        <w:bidi/>
        <w:spacing w:before="0" w:after="0" w:line="240" w:lineRule="auto"/>
        <w:jc w:val="center"/>
        <w:rPr>
          <w:rFonts w:ascii="Sakkal Majalla" w:hAnsi="Sakkal Majalla" w:cs="Sakkal Majalla"/>
          <w:color w:val="000000" w:themeColor="text1"/>
          <w:szCs w:val="36"/>
        </w:rPr>
      </w:pPr>
      <w:bookmarkStart w:id="47" w:name="_Toc235465353"/>
      <w:r w:rsidRPr="001C6062">
        <w:rPr>
          <w:rFonts w:ascii="Sakkal Majalla" w:eastAsia="Noto Sans Arabic" w:hAnsi="Sakkal Majalla" w:cs="Sakkal Majalla"/>
          <w:color w:val="000000" w:themeColor="text1"/>
          <w:szCs w:val="36"/>
        </w:rPr>
        <w:t>2-11</w:t>
      </w:r>
      <w:r w:rsidRPr="001C6062">
        <w:rPr>
          <w:rFonts w:ascii="Sakkal Majalla" w:eastAsia="Noto Sans Arabic" w:hAnsi="Sakkal Majalla" w:cs="Sakkal Majalla"/>
          <w:color w:val="000000" w:themeColor="text1"/>
          <w:szCs w:val="36"/>
          <w:rtl/>
        </w:rPr>
        <w:t xml:space="preserve"> الأساس النظري للفرضيات</w:t>
      </w:r>
      <w:bookmarkEnd w:id="47"/>
    </w:p>
    <w:p w:rsidR="005931D6" w:rsidRPr="001C6062" w:rsidRDefault="00F93CAA" w:rsidP="00DF3755">
      <w:pPr>
        <w:keepNext/>
        <w:bidi/>
        <w:spacing w:after="0" w:line="240" w:lineRule="auto"/>
        <w:jc w:val="center"/>
        <w:rPr>
          <w:rFonts w:ascii="Sakkal Majalla" w:hAnsi="Sakkal Majalla" w:cs="Sakkal Majalla"/>
          <w:color w:val="000000" w:themeColor="text1"/>
          <w:sz w:val="36"/>
          <w:szCs w:val="36"/>
        </w:rPr>
      </w:pPr>
      <w:r w:rsidRPr="001C6062">
        <w:rPr>
          <w:rFonts w:ascii="Sakkal Majalla" w:eastAsia="Noto Sans Arabic" w:hAnsi="Sakkal Majalla" w:cs="Sakkal Majalla"/>
          <w:b/>
          <w:color w:val="000000" w:themeColor="text1"/>
          <w:sz w:val="36"/>
          <w:szCs w:val="36"/>
          <w:rtl/>
        </w:rPr>
        <w:t>جدول (</w:t>
      </w:r>
      <w:r w:rsidRPr="001C6062">
        <w:rPr>
          <w:rFonts w:ascii="Sakkal Majalla" w:eastAsia="Noto Sans Arabic" w:hAnsi="Sakkal Majalla" w:cs="Sakkal Majalla"/>
          <w:b/>
          <w:color w:val="000000" w:themeColor="text1"/>
          <w:sz w:val="36"/>
          <w:szCs w:val="36"/>
        </w:rPr>
        <w:t>2</w:t>
      </w:r>
      <w:r w:rsidRPr="001C6062">
        <w:rPr>
          <w:rFonts w:ascii="Sakkal Majalla" w:eastAsia="Noto Sans Arabic" w:hAnsi="Sakkal Majalla" w:cs="Sakkal Majalla"/>
          <w:b/>
          <w:color w:val="000000" w:themeColor="text1"/>
          <w:sz w:val="36"/>
          <w:szCs w:val="36"/>
          <w:rtl/>
        </w:rPr>
        <w:t>-</w:t>
      </w:r>
      <w:r w:rsidRPr="001C6062">
        <w:rPr>
          <w:rFonts w:ascii="Sakkal Majalla" w:eastAsia="Noto Sans Arabic" w:hAnsi="Sakkal Majalla" w:cs="Sakkal Majalla"/>
          <w:b/>
          <w:color w:val="000000" w:themeColor="text1"/>
          <w:sz w:val="36"/>
          <w:szCs w:val="36"/>
        </w:rPr>
        <w:t>10</w:t>
      </w:r>
      <w:r w:rsidRPr="001C6062">
        <w:rPr>
          <w:rFonts w:ascii="Sakkal Majalla" w:eastAsia="Noto Sans Arabic" w:hAnsi="Sakkal Majalla" w:cs="Sakkal Majalla"/>
          <w:b/>
          <w:color w:val="000000" w:themeColor="text1"/>
          <w:sz w:val="36"/>
          <w:szCs w:val="36"/>
          <w:rtl/>
        </w:rPr>
        <w:t>): الأساس النظري للفرضيات</w:t>
      </w:r>
    </w:p>
    <w:tbl>
      <w:tblPr>
        <w:tblStyle w:val="afb"/>
        <w:bidiVisual/>
        <w:tblW w:w="9187" w:type="dxa"/>
        <w:jc w:val="center"/>
        <w:tblLayout w:type="fixed"/>
        <w:tblCellMar>
          <w:top w:w="90" w:type="dxa"/>
          <w:left w:w="90" w:type="dxa"/>
          <w:bottom w:w="90" w:type="dxa"/>
          <w:right w:w="90" w:type="dxa"/>
        </w:tblCellMar>
        <w:tblLook w:val="04A0" w:firstRow="1" w:lastRow="0" w:firstColumn="1" w:lastColumn="0" w:noHBand="0" w:noVBand="1"/>
      </w:tblPr>
      <w:tblGrid>
        <w:gridCol w:w="3062"/>
        <w:gridCol w:w="3062"/>
        <w:gridCol w:w="3063"/>
      </w:tblGrid>
      <w:tr w:rsidR="001C6062" w:rsidRPr="001C6062" w:rsidTr="00DF3755">
        <w:trPr>
          <w:tblHeader/>
          <w:jc w:val="center"/>
        </w:trPr>
        <w:tc>
          <w:tcPr>
            <w:tcW w:w="3062"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الفرضية</w:t>
            </w:r>
          </w:p>
        </w:tc>
        <w:tc>
          <w:tcPr>
            <w:tcW w:w="3062"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المنطق النظري</w:t>
            </w:r>
          </w:p>
        </w:tc>
        <w:tc>
          <w:tcPr>
            <w:tcW w:w="3063" w:type="dxa"/>
            <w:shd w:val="clear" w:color="auto" w:fill="F2DBDB" w:themeFill="accent2" w:themeFillTint="33"/>
            <w:vAlign w:val="center"/>
          </w:tcPr>
          <w:p w:rsidR="005931D6" w:rsidRPr="00DF3755" w:rsidRDefault="00F93CAA" w:rsidP="00DF3755">
            <w:pPr>
              <w:bidi/>
              <w:spacing w:after="0" w:line="240" w:lineRule="auto"/>
              <w:jc w:val="center"/>
              <w:rPr>
                <w:rFonts w:ascii="Sakkal Majalla" w:eastAsia="MS Mincho" w:hAnsi="Sakkal Majalla" w:cs="Sakkal Majalla"/>
                <w:bCs/>
                <w:color w:val="000000" w:themeColor="text1"/>
                <w:sz w:val="36"/>
                <w:szCs w:val="36"/>
              </w:rPr>
            </w:pPr>
            <w:r w:rsidRPr="00DF3755">
              <w:rPr>
                <w:rFonts w:ascii="Sakkal Majalla" w:eastAsia="Noto Sans Arabic" w:hAnsi="Sakkal Majalla" w:cs="Sakkal Majalla"/>
                <w:bCs/>
                <w:color w:val="000000" w:themeColor="text1"/>
                <w:sz w:val="36"/>
                <w:szCs w:val="36"/>
                <w:rtl/>
              </w:rPr>
              <w:t>أبرز المساندة</w:t>
            </w:r>
          </w:p>
        </w:tc>
      </w:tr>
      <w:tr w:rsidR="001C6062" w:rsidRPr="001C6062" w:rsidTr="00DF3755">
        <w:trPr>
          <w:jc w:val="center"/>
        </w:trPr>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w:t>
            </w:r>
            <w:r w:rsidRPr="001C6062">
              <w:rPr>
                <w:rFonts w:ascii="Sakkal Majalla" w:eastAsia="Noto Naskh Arabic" w:hAnsi="Sakkal Majalla" w:cs="Sakkal Majalla"/>
                <w:color w:val="000000" w:themeColor="text1"/>
                <w:sz w:val="36"/>
                <w:szCs w:val="36"/>
              </w:rPr>
              <w:t>1</w:t>
            </w:r>
            <w:r w:rsidRPr="001C6062">
              <w:rPr>
                <w:rFonts w:ascii="Sakkal Majalla" w:eastAsia="Noto Naskh Arabic" w:hAnsi="Sakkal Majalla" w:cs="Sakkal Majalla"/>
                <w:color w:val="000000" w:themeColor="text1"/>
                <w:sz w:val="36"/>
                <w:szCs w:val="36"/>
                <w:rtl/>
              </w:rPr>
              <w:t xml:space="preserve">: الجاهزية </w:t>
            </w:r>
            <w:r w:rsidRPr="001C6062">
              <w:rPr>
                <w:rFonts w:ascii="Arial" w:eastAsia="Noto Naskh Arabic" w:hAnsi="Arial" w:cs="Arial" w:hint="cs"/>
                <w:color w:val="000000" w:themeColor="text1"/>
                <w:sz w:val="36"/>
                <w:szCs w:val="36"/>
                <w:rtl/>
              </w:rPr>
              <w:t>←</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hint="cs"/>
                <w:color w:val="000000" w:themeColor="text1"/>
                <w:sz w:val="36"/>
                <w:szCs w:val="36"/>
                <w:rtl/>
              </w:rPr>
              <w:t>إدارة</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hint="cs"/>
                <w:color w:val="000000" w:themeColor="text1"/>
                <w:sz w:val="36"/>
                <w:szCs w:val="36"/>
                <w:rtl/>
              </w:rPr>
              <w:t>المعرفة</w:t>
            </w:r>
          </w:p>
        </w:tc>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تكامل التقنية والبيانات والمهارات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xml:space="preserve"> يرفع قدرة الاكتساب والتخزين والمشاركة والتطبيق</w:t>
            </w:r>
          </w:p>
        </w:tc>
        <w:tc>
          <w:tcPr>
            <w:tcW w:w="306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القرني،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مدوري وولد سعيد،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Jöhnk</w:t>
            </w:r>
            <w:proofErr w:type="spellEnd"/>
            <w:r w:rsidRPr="001C6062">
              <w:rPr>
                <w:rFonts w:ascii="Sakkal Majalla" w:eastAsia="Noto Naskh Arabic" w:hAnsi="Sakkal Majalla" w:cs="Sakkal Majalla"/>
                <w:color w:val="000000" w:themeColor="text1"/>
                <w:sz w:val="36"/>
                <w:szCs w:val="36"/>
              </w:rPr>
              <w:t xml:space="preserve"> et al., 2021</w:t>
            </w:r>
          </w:p>
        </w:tc>
      </w:tr>
      <w:tr w:rsidR="001C6062" w:rsidRPr="001C6062" w:rsidTr="00DF3755">
        <w:trPr>
          <w:jc w:val="center"/>
        </w:trPr>
        <w:tc>
          <w:tcPr>
            <w:tcW w:w="306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w:t>
            </w:r>
            <w:r w:rsidRPr="001C6062">
              <w:rPr>
                <w:rFonts w:ascii="Sakkal Majalla" w:eastAsia="Noto Naskh Arabic" w:hAnsi="Sakkal Majalla" w:cs="Sakkal Majalla"/>
                <w:color w:val="000000" w:themeColor="text1"/>
                <w:sz w:val="36"/>
                <w:szCs w:val="36"/>
              </w:rPr>
              <w:t>2</w:t>
            </w:r>
            <w:r w:rsidRPr="001C6062">
              <w:rPr>
                <w:rFonts w:ascii="Sakkal Majalla" w:eastAsia="Noto Naskh Arabic" w:hAnsi="Sakkal Majalla" w:cs="Sakkal Majalla"/>
                <w:color w:val="000000" w:themeColor="text1"/>
                <w:sz w:val="36"/>
                <w:szCs w:val="36"/>
                <w:rtl/>
              </w:rPr>
              <w:t xml:space="preserve">: إدارة المعرفة </w:t>
            </w:r>
            <w:r w:rsidRPr="001C6062">
              <w:rPr>
                <w:rFonts w:ascii="Arial" w:eastAsia="Noto Naskh Arabic" w:hAnsi="Arial" w:cs="Arial" w:hint="cs"/>
                <w:color w:val="000000" w:themeColor="text1"/>
                <w:sz w:val="36"/>
                <w:szCs w:val="36"/>
                <w:rtl/>
              </w:rPr>
              <w:t>←</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hint="cs"/>
                <w:color w:val="000000" w:themeColor="text1"/>
                <w:sz w:val="36"/>
                <w:szCs w:val="36"/>
                <w:rtl/>
              </w:rPr>
              <w:t>المرونة</w:t>
            </w:r>
          </w:p>
        </w:tc>
        <w:tc>
          <w:tcPr>
            <w:tcW w:w="306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المعرفة الموثوقة والمتاحة تقلل زمن الاستشعار والقرار وإعادة التشكيل</w:t>
            </w:r>
          </w:p>
        </w:tc>
        <w:tc>
          <w:tcPr>
            <w:tcW w:w="3063"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الطهراوي، </w:t>
            </w:r>
            <w:r w:rsidRPr="001C6062">
              <w:rPr>
                <w:rFonts w:ascii="Sakkal Majalla" w:eastAsia="Noto Naskh Arabic" w:hAnsi="Sakkal Majalla" w:cs="Sakkal Majalla"/>
                <w:color w:val="000000" w:themeColor="text1"/>
                <w:sz w:val="36"/>
                <w:szCs w:val="36"/>
              </w:rPr>
              <w:t>2019</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Hock-</w:t>
            </w:r>
            <w:proofErr w:type="spellStart"/>
            <w:r w:rsidRPr="001C6062">
              <w:rPr>
                <w:rFonts w:ascii="Sakkal Majalla" w:eastAsia="Noto Naskh Arabic" w:hAnsi="Sakkal Majalla" w:cs="Sakkal Majalla"/>
                <w:color w:val="000000" w:themeColor="text1"/>
                <w:sz w:val="36"/>
                <w:szCs w:val="36"/>
              </w:rPr>
              <w:t>Doepgen</w:t>
            </w:r>
            <w:proofErr w:type="spellEnd"/>
            <w:r w:rsidRPr="001C6062">
              <w:rPr>
                <w:rFonts w:ascii="Sakkal Majalla" w:eastAsia="Noto Naskh Arabic" w:hAnsi="Sakkal Majalla" w:cs="Sakkal Majalla"/>
                <w:color w:val="000000" w:themeColor="text1"/>
                <w:sz w:val="36"/>
                <w:szCs w:val="36"/>
              </w:rPr>
              <w:t xml:space="preserve"> et al., 2021</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Zahoor</w:t>
            </w:r>
            <w:proofErr w:type="spellEnd"/>
            <w:r w:rsidRPr="001C6062">
              <w:rPr>
                <w:rFonts w:ascii="Sakkal Majalla" w:eastAsia="Noto Naskh Arabic" w:hAnsi="Sakkal Majalla" w:cs="Sakkal Majalla"/>
                <w:color w:val="000000" w:themeColor="text1"/>
                <w:sz w:val="36"/>
                <w:szCs w:val="36"/>
              </w:rPr>
              <w:t xml:space="preserve"> et al., 2022</w:t>
            </w:r>
          </w:p>
        </w:tc>
      </w:tr>
      <w:tr w:rsidR="001C6062" w:rsidRPr="001C6062" w:rsidTr="00DF3755">
        <w:trPr>
          <w:jc w:val="center"/>
        </w:trPr>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w:t>
            </w:r>
            <w:r w:rsidRPr="001C6062">
              <w:rPr>
                <w:rFonts w:ascii="Sakkal Majalla" w:eastAsia="Noto Naskh Arabic" w:hAnsi="Sakkal Majalla" w:cs="Sakkal Majalla"/>
                <w:color w:val="000000" w:themeColor="text1"/>
                <w:sz w:val="36"/>
                <w:szCs w:val="36"/>
              </w:rPr>
              <w:t>3</w:t>
            </w:r>
            <w:r w:rsidRPr="001C6062">
              <w:rPr>
                <w:rFonts w:ascii="Sakkal Majalla" w:eastAsia="Noto Naskh Arabic" w:hAnsi="Sakkal Majalla" w:cs="Sakkal Majalla"/>
                <w:color w:val="000000" w:themeColor="text1"/>
                <w:sz w:val="36"/>
                <w:szCs w:val="36"/>
                <w:rtl/>
              </w:rPr>
              <w:t xml:space="preserve">: الجاهزية </w:t>
            </w:r>
            <w:r w:rsidRPr="001C6062">
              <w:rPr>
                <w:rFonts w:ascii="Arial" w:eastAsia="Noto Naskh Arabic" w:hAnsi="Arial" w:cs="Arial" w:hint="cs"/>
                <w:color w:val="000000" w:themeColor="text1"/>
                <w:sz w:val="36"/>
                <w:szCs w:val="36"/>
                <w:rtl/>
              </w:rPr>
              <w:t>←</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hint="cs"/>
                <w:color w:val="000000" w:themeColor="text1"/>
                <w:sz w:val="36"/>
                <w:szCs w:val="36"/>
                <w:rtl/>
              </w:rPr>
              <w:t>المرونة</w:t>
            </w:r>
          </w:p>
        </w:tc>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التحليل والتكامل </w:t>
            </w:r>
            <w:proofErr w:type="spellStart"/>
            <w:r w:rsidRPr="001C6062">
              <w:rPr>
                <w:rFonts w:ascii="Sakkal Majalla" w:eastAsia="Noto Naskh Arabic" w:hAnsi="Sakkal Majalla" w:cs="Sakkal Majalla"/>
                <w:color w:val="000000" w:themeColor="text1"/>
                <w:sz w:val="36"/>
                <w:szCs w:val="36"/>
                <w:rtl/>
              </w:rPr>
              <w:t>والأتمتة</w:t>
            </w:r>
            <w:proofErr w:type="spellEnd"/>
            <w:r w:rsidRPr="001C6062">
              <w:rPr>
                <w:rFonts w:ascii="Sakkal Majalla" w:eastAsia="Noto Naskh Arabic" w:hAnsi="Sakkal Majalla" w:cs="Sakkal Majalla"/>
                <w:color w:val="000000" w:themeColor="text1"/>
                <w:sz w:val="36"/>
                <w:szCs w:val="36"/>
                <w:rtl/>
              </w:rPr>
              <w:t xml:space="preserve"> والقيادة تسرع تعديل السوق والموارد</w:t>
            </w:r>
          </w:p>
        </w:tc>
        <w:tc>
          <w:tcPr>
            <w:tcW w:w="306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الرقيبة،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Mikalef</w:t>
            </w:r>
            <w:proofErr w:type="spellEnd"/>
            <w:r w:rsidRPr="001C6062">
              <w:rPr>
                <w:rFonts w:ascii="Sakkal Majalla" w:eastAsia="Noto Naskh Arabic" w:hAnsi="Sakkal Majalla" w:cs="Sakkal Majalla"/>
                <w:color w:val="000000" w:themeColor="text1"/>
                <w:sz w:val="36"/>
                <w:szCs w:val="36"/>
              </w:rPr>
              <w:t xml:space="preserve"> &amp; Gupta, 2021</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Arroyabe</w:t>
            </w:r>
            <w:proofErr w:type="spellEnd"/>
            <w:r w:rsidRPr="001C6062">
              <w:rPr>
                <w:rFonts w:ascii="Sakkal Majalla" w:eastAsia="Noto Naskh Arabic" w:hAnsi="Sakkal Majalla" w:cs="Sakkal Majalla"/>
                <w:color w:val="000000" w:themeColor="text1"/>
                <w:sz w:val="36"/>
                <w:szCs w:val="36"/>
              </w:rPr>
              <w:t xml:space="preserve"> et al., 2024</w:t>
            </w:r>
          </w:p>
        </w:tc>
      </w:tr>
      <w:tr w:rsidR="001C6062" w:rsidRPr="001C6062" w:rsidTr="00DF3755">
        <w:trPr>
          <w:jc w:val="center"/>
        </w:trPr>
        <w:tc>
          <w:tcPr>
            <w:tcW w:w="306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w:t>
            </w:r>
            <w:r w:rsidRPr="001C6062">
              <w:rPr>
                <w:rFonts w:ascii="Sakkal Majalla" w:eastAsia="Noto Naskh Arabic" w:hAnsi="Sakkal Majalla" w:cs="Sakkal Majalla"/>
                <w:color w:val="000000" w:themeColor="text1"/>
                <w:sz w:val="36"/>
                <w:szCs w:val="36"/>
              </w:rPr>
              <w:t>4</w:t>
            </w:r>
            <w:r w:rsidRPr="001C6062">
              <w:rPr>
                <w:rFonts w:ascii="Sakkal Majalla" w:eastAsia="Noto Naskh Arabic" w:hAnsi="Sakkal Majalla" w:cs="Sakkal Majalla"/>
                <w:color w:val="000000" w:themeColor="text1"/>
                <w:sz w:val="36"/>
                <w:szCs w:val="36"/>
                <w:rtl/>
              </w:rPr>
              <w:t>: الوساطة</w:t>
            </w:r>
          </w:p>
        </w:tc>
        <w:tc>
          <w:tcPr>
            <w:tcW w:w="3062"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إدارة المعرفة تحول مخرجات التقنية والبيانات إلى معرفة مشتركة وقرارات</w:t>
            </w:r>
          </w:p>
        </w:tc>
        <w:tc>
          <w:tcPr>
            <w:tcW w:w="3063" w:type="dxa"/>
            <w:shd w:val="clear" w:color="auto" w:fill="F3F6FA"/>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الفزاري والشاوي،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w:t>
            </w:r>
            <w:proofErr w:type="spellStart"/>
            <w:r w:rsidRPr="001C6062">
              <w:rPr>
                <w:rFonts w:ascii="Sakkal Majalla" w:eastAsia="Noto Naskh Arabic" w:hAnsi="Sakkal Majalla" w:cs="Sakkal Majalla"/>
                <w:color w:val="000000" w:themeColor="text1"/>
                <w:sz w:val="36"/>
                <w:szCs w:val="36"/>
              </w:rPr>
              <w:t>Enholm</w:t>
            </w:r>
            <w:proofErr w:type="spellEnd"/>
            <w:r w:rsidRPr="001C6062">
              <w:rPr>
                <w:rFonts w:ascii="Sakkal Majalla" w:eastAsia="Noto Naskh Arabic" w:hAnsi="Sakkal Majalla" w:cs="Sakkal Majalla"/>
                <w:color w:val="000000" w:themeColor="text1"/>
                <w:sz w:val="36"/>
                <w:szCs w:val="36"/>
              </w:rPr>
              <w:t xml:space="preserve"> et al., 2022</w:t>
            </w:r>
          </w:p>
        </w:tc>
      </w:tr>
      <w:tr w:rsidR="001C6062" w:rsidRPr="001C6062" w:rsidTr="00DF3755">
        <w:trPr>
          <w:jc w:val="center"/>
        </w:trPr>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ف</w:t>
            </w:r>
            <w:r w:rsidRPr="001C6062">
              <w:rPr>
                <w:rFonts w:ascii="Sakkal Majalla" w:eastAsia="Noto Naskh Arabic" w:hAnsi="Sakkal Majalla" w:cs="Sakkal Majalla"/>
                <w:color w:val="000000" w:themeColor="text1"/>
                <w:sz w:val="36"/>
                <w:szCs w:val="36"/>
              </w:rPr>
              <w:t>5</w:t>
            </w:r>
            <w:r w:rsidRPr="001C6062">
              <w:rPr>
                <w:rFonts w:ascii="Sakkal Majalla" w:eastAsia="Noto Naskh Arabic" w:hAnsi="Sakkal Majalla" w:cs="Sakkal Majalla"/>
                <w:color w:val="000000" w:themeColor="text1"/>
                <w:sz w:val="36"/>
                <w:szCs w:val="36"/>
                <w:rtl/>
              </w:rPr>
              <w:t>: الفروق</w:t>
            </w:r>
          </w:p>
        </w:tc>
        <w:tc>
          <w:tcPr>
            <w:tcW w:w="3062"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الحجم ومرحلة التبنّي يعكسان اختلاف الموارد والخبرة والنظم</w:t>
            </w:r>
          </w:p>
        </w:tc>
        <w:tc>
          <w:tcPr>
            <w:tcW w:w="3063" w:type="dxa"/>
            <w:shd w:val="clear" w:color="auto" w:fill="FFFFFF"/>
            <w:vAlign w:val="center"/>
          </w:tcPr>
          <w:p w:rsidR="005931D6" w:rsidRPr="001C6062" w:rsidRDefault="00F93CAA" w:rsidP="00DF3755">
            <w:pPr>
              <w:bidi/>
              <w:spacing w:after="0" w:line="240" w:lineRule="auto"/>
              <w:jc w:val="center"/>
              <w:rPr>
                <w:rFonts w:ascii="Sakkal Majalla" w:eastAsia="MS Mincho" w:hAnsi="Sakkal Majalla" w:cs="Sakkal Majalla"/>
                <w:color w:val="000000" w:themeColor="text1"/>
                <w:sz w:val="36"/>
                <w:szCs w:val="36"/>
              </w:rPr>
            </w:pPr>
            <w:proofErr w:type="spellStart"/>
            <w:r w:rsidRPr="001C6062">
              <w:rPr>
                <w:rFonts w:ascii="Sakkal Majalla" w:eastAsia="Noto Naskh Arabic" w:hAnsi="Sakkal Majalla" w:cs="Sakkal Majalla"/>
                <w:color w:val="000000" w:themeColor="text1"/>
                <w:sz w:val="36"/>
                <w:szCs w:val="36"/>
              </w:rPr>
              <w:t>Arroyabe</w:t>
            </w:r>
            <w:proofErr w:type="spellEnd"/>
            <w:r w:rsidRPr="001C6062">
              <w:rPr>
                <w:rFonts w:ascii="Sakkal Majalla" w:eastAsia="Noto Naskh Arabic" w:hAnsi="Sakkal Majalla" w:cs="Sakkal Majalla"/>
                <w:color w:val="000000" w:themeColor="text1"/>
                <w:sz w:val="36"/>
                <w:szCs w:val="36"/>
              </w:rPr>
              <w:t xml:space="preserve"> et al., 2024</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 xml:space="preserve">Chen &amp; </w:t>
            </w:r>
            <w:proofErr w:type="spellStart"/>
            <w:r w:rsidRPr="001C6062">
              <w:rPr>
                <w:rFonts w:ascii="Sakkal Majalla" w:eastAsia="Noto Naskh Arabic" w:hAnsi="Sakkal Majalla" w:cs="Sakkal Majalla"/>
                <w:color w:val="000000" w:themeColor="text1"/>
                <w:sz w:val="36"/>
                <w:szCs w:val="36"/>
              </w:rPr>
              <w:t>Tajdini</w:t>
            </w:r>
            <w:proofErr w:type="spellEnd"/>
            <w:r w:rsidRPr="001C6062">
              <w:rPr>
                <w:rFonts w:ascii="Sakkal Majalla" w:eastAsia="Noto Naskh Arabic" w:hAnsi="Sakkal Majalla" w:cs="Sakkal Majalla"/>
                <w:color w:val="000000" w:themeColor="text1"/>
                <w:sz w:val="36"/>
                <w:szCs w:val="36"/>
              </w:rPr>
              <w:t>, 2025</w:t>
            </w:r>
          </w:p>
        </w:tc>
      </w:tr>
    </w:tbl>
    <w:p w:rsidR="005931D6" w:rsidRPr="001C6062" w:rsidRDefault="00F93CAA" w:rsidP="001C6062">
      <w:pPr>
        <w:bidi/>
        <w:spacing w:after="0" w:line="240" w:lineRule="auto"/>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المصدر: إعداد الباحث.</w:t>
      </w:r>
    </w:p>
    <w:p w:rsidR="005931D6" w:rsidRPr="001C6062" w:rsidRDefault="00F93CAA" w:rsidP="001C6062">
      <w:pPr>
        <w:pStyle w:val="1"/>
        <w:bidi/>
        <w:spacing w:before="0" w:after="0" w:line="240" w:lineRule="auto"/>
        <w:jc w:val="both"/>
        <w:rPr>
          <w:rFonts w:ascii="Sakkal Majalla" w:hAnsi="Sakkal Majalla" w:cs="Sakkal Majalla"/>
          <w:color w:val="000000" w:themeColor="text1"/>
          <w:szCs w:val="36"/>
        </w:rPr>
      </w:pPr>
      <w:bookmarkStart w:id="48" w:name="_Toc235465354"/>
      <w:r w:rsidRPr="001C6062">
        <w:rPr>
          <w:rFonts w:ascii="Sakkal Majalla" w:eastAsia="Noto Sans Arabic" w:hAnsi="Sakkal Majalla" w:cs="Sakkal Majalla"/>
          <w:color w:val="000000" w:themeColor="text1"/>
          <w:szCs w:val="36"/>
        </w:rPr>
        <w:lastRenderedPageBreak/>
        <w:t>2-12</w:t>
      </w:r>
      <w:r w:rsidRPr="001C6062">
        <w:rPr>
          <w:rFonts w:ascii="Sakkal Majalla" w:eastAsia="Noto Sans Arabic" w:hAnsi="Sakkal Majalla" w:cs="Sakkal Majalla"/>
          <w:color w:val="000000" w:themeColor="text1"/>
          <w:szCs w:val="36"/>
          <w:rtl/>
        </w:rPr>
        <w:t xml:space="preserve"> خلاصة </w:t>
      </w:r>
      <w:proofErr w:type="gramStart"/>
      <w:r w:rsidRPr="001C6062">
        <w:rPr>
          <w:rFonts w:ascii="Sakkal Majalla" w:eastAsia="Noto Sans Arabic" w:hAnsi="Sakkal Majalla" w:cs="Sakkal Majalla"/>
          <w:color w:val="000000" w:themeColor="text1"/>
          <w:szCs w:val="36"/>
          <w:rtl/>
        </w:rPr>
        <w:t>الفصل</w:t>
      </w:r>
      <w:r w:rsidR="0023208A">
        <w:rPr>
          <w:rFonts w:ascii="Sakkal Majalla" w:eastAsia="Noto Sans Arabic" w:hAnsi="Sakkal Majalla" w:cs="Sakkal Majalla" w:hint="cs"/>
          <w:color w:val="000000" w:themeColor="text1"/>
          <w:szCs w:val="36"/>
          <w:rtl/>
        </w:rPr>
        <w:t xml:space="preserve"> :</w:t>
      </w:r>
      <w:bookmarkEnd w:id="48"/>
      <w:proofErr w:type="gramEnd"/>
      <w:r w:rsidR="0023208A">
        <w:rPr>
          <w:rFonts w:ascii="Sakkal Majalla" w:eastAsia="Noto Sans Arabic" w:hAnsi="Sakkal Majalla" w:cs="Sakkal Majalla" w:hint="cs"/>
          <w:color w:val="000000" w:themeColor="text1"/>
          <w:szCs w:val="36"/>
          <w:rtl/>
        </w:rPr>
        <w:t xml:space="preserve"> </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أظهر الفصل أن الذكاء الاصطناعي لا يولد قيمة مستقلة عن السياق، وأن الجاهزية تمثل قدرة اجتماعية-تقنية تجمع التقنية والبيانات والبشر والقيادة </w:t>
      </w:r>
      <w:proofErr w:type="spellStart"/>
      <w:r w:rsidRPr="001C6062">
        <w:rPr>
          <w:rFonts w:ascii="Sakkal Majalla" w:eastAsia="Noto Naskh Arabic" w:hAnsi="Sakkal Majalla" w:cs="Sakkal Majalla"/>
          <w:color w:val="000000" w:themeColor="text1"/>
          <w:sz w:val="36"/>
          <w:szCs w:val="36"/>
          <w:rtl/>
        </w:rPr>
        <w:t>والحوكمة</w:t>
      </w:r>
      <w:proofErr w:type="spellEnd"/>
      <w:r w:rsidRPr="001C6062">
        <w:rPr>
          <w:rFonts w:ascii="Sakkal Majalla" w:eastAsia="Noto Naskh Arabic" w:hAnsi="Sakkal Majalla" w:cs="Sakkal Majalla"/>
          <w:color w:val="000000" w:themeColor="text1"/>
          <w:sz w:val="36"/>
          <w:szCs w:val="36"/>
          <w:rtl/>
        </w:rPr>
        <w:t>. كما بيّن أن إدارة المعرفة ليست مخزنًا للمعلومات، بل قدرة على اكتساب المعرفة وتنظيمها وتداولها وتطبيقها، وأن المرونة الاستراتيجية تتجسد في تعديل السوق والموارد والاستجابة التنافسية.</w:t>
      </w:r>
    </w:p>
    <w:p w:rsidR="005931D6" w:rsidRPr="001C6062" w:rsidRDefault="00F93CAA" w:rsidP="001C6062">
      <w:pPr>
        <w:bidi/>
        <w:spacing w:after="0" w:line="240" w:lineRule="auto"/>
        <w:ind w:firstLine="425"/>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وأكدت المناظير النظرية والدراسات السابقة منطق المسارات المقترحة، مع وجود فجوة تركيبية وتفسيرية وسياقية ومنهجية. ويترجم الفصل التالي هذا البناء إلى تصميم بحثي وأداة قياس وإجراءات ميدانية وتحليلية تضمن اختبار النموذج بصورة علمية.</w:t>
      </w:r>
    </w:p>
    <w:p w:rsidR="005931D6" w:rsidRDefault="00F93CAA" w:rsidP="001C6062">
      <w:pPr>
        <w:bidi/>
        <w:spacing w:after="0" w:line="240" w:lineRule="auto"/>
        <w:jc w:val="both"/>
        <w:rPr>
          <w:rFonts w:ascii="Sakkal Majalla" w:hAnsi="Sakkal Majalla" w:cs="Sakkal Majalla"/>
          <w:color w:val="000000" w:themeColor="text1"/>
          <w:sz w:val="36"/>
          <w:szCs w:val="36"/>
          <w:rtl/>
        </w:rPr>
      </w:pPr>
      <w:r w:rsidRPr="001C6062">
        <w:rPr>
          <w:rFonts w:ascii="Sakkal Majalla" w:hAnsi="Sakkal Majalla" w:cs="Sakkal Majalla"/>
          <w:color w:val="000000" w:themeColor="text1"/>
          <w:sz w:val="36"/>
          <w:szCs w:val="36"/>
        </w:rPr>
        <w:br w:type="page"/>
      </w:r>
    </w:p>
    <w:p w:rsidR="0023208A" w:rsidRDefault="0023208A" w:rsidP="00765D17">
      <w:pPr>
        <w:bidi/>
        <w:spacing w:after="0" w:line="240" w:lineRule="auto"/>
        <w:jc w:val="both"/>
        <w:rPr>
          <w:rFonts w:ascii="Sakkal Majalla" w:hAnsi="Sakkal Majalla" w:cs="Sakkal Majalla"/>
          <w:color w:val="000000" w:themeColor="text1"/>
          <w:sz w:val="36"/>
          <w:szCs w:val="36"/>
          <w:rtl/>
        </w:rPr>
      </w:pPr>
    </w:p>
    <w:p w:rsidR="00CB4284" w:rsidRDefault="00CB4284" w:rsidP="00765D17">
      <w:pPr>
        <w:bidi/>
        <w:spacing w:after="0" w:line="240" w:lineRule="auto"/>
        <w:jc w:val="both"/>
        <w:rPr>
          <w:rFonts w:ascii="Sakkal Majalla" w:hAnsi="Sakkal Majalla" w:cs="Sakkal Majalla"/>
          <w:color w:val="000000" w:themeColor="text1"/>
          <w:sz w:val="36"/>
          <w:szCs w:val="36"/>
          <w:rtl/>
        </w:rPr>
      </w:pPr>
    </w:p>
    <w:p w:rsidR="00CB4284" w:rsidRDefault="00CB4284" w:rsidP="00DF3755">
      <w:pPr>
        <w:bidi/>
        <w:spacing w:after="0" w:line="240" w:lineRule="auto"/>
        <w:jc w:val="both"/>
        <w:rPr>
          <w:rFonts w:ascii="Sakkal Majalla" w:hAnsi="Sakkal Majalla" w:cs="Sakkal Majalla"/>
          <w:color w:val="000000" w:themeColor="text1"/>
          <w:sz w:val="36"/>
          <w:szCs w:val="36"/>
          <w:rtl/>
        </w:rPr>
      </w:pPr>
    </w:p>
    <w:p w:rsidR="00CB4284" w:rsidRDefault="00CB4284" w:rsidP="00DF3755">
      <w:pPr>
        <w:bidi/>
        <w:spacing w:after="0" w:line="240" w:lineRule="auto"/>
        <w:jc w:val="both"/>
        <w:rPr>
          <w:rFonts w:ascii="Sakkal Majalla" w:hAnsi="Sakkal Majalla" w:cs="Sakkal Majalla"/>
          <w:color w:val="000000" w:themeColor="text1"/>
          <w:sz w:val="36"/>
          <w:szCs w:val="36"/>
          <w:rtl/>
        </w:rPr>
      </w:pPr>
    </w:p>
    <w:p w:rsidR="00CB4284" w:rsidRDefault="00CB4284" w:rsidP="00DF3755">
      <w:pPr>
        <w:bidi/>
        <w:spacing w:after="0" w:line="240" w:lineRule="auto"/>
        <w:jc w:val="both"/>
        <w:rPr>
          <w:rFonts w:ascii="Sakkal Majalla" w:hAnsi="Sakkal Majalla" w:cs="Sakkal Majalla"/>
          <w:color w:val="000000" w:themeColor="text1"/>
          <w:sz w:val="36"/>
          <w:szCs w:val="36"/>
          <w:rtl/>
        </w:rPr>
      </w:pPr>
    </w:p>
    <w:p w:rsidR="00CB4284" w:rsidRPr="001C6062" w:rsidRDefault="00CB4284" w:rsidP="00DF3755">
      <w:pPr>
        <w:bidi/>
        <w:spacing w:after="0" w:line="240" w:lineRule="auto"/>
        <w:jc w:val="both"/>
        <w:rPr>
          <w:rFonts w:ascii="Sakkal Majalla" w:hAnsi="Sakkal Majalla" w:cs="Sakkal Majalla"/>
          <w:color w:val="000000" w:themeColor="text1"/>
          <w:sz w:val="36"/>
          <w:szCs w:val="36"/>
        </w:rPr>
      </w:pPr>
    </w:p>
    <w:p w:rsidR="005931D6" w:rsidRPr="00DF3755" w:rsidRDefault="00F93CAA" w:rsidP="00DF3755">
      <w:pPr>
        <w:pStyle w:val="1"/>
        <w:bidi/>
        <w:spacing w:before="0" w:after="0" w:line="240" w:lineRule="auto"/>
        <w:jc w:val="center"/>
        <w:rPr>
          <w:rFonts w:ascii="Sakkal Majalla" w:eastAsia="Noto Sans Arabic" w:hAnsi="Sakkal Majalla" w:cs="Sakkal Majalla"/>
          <w:color w:val="000000" w:themeColor="text1"/>
          <w:sz w:val="42"/>
          <w:szCs w:val="42"/>
        </w:rPr>
      </w:pPr>
      <w:bookmarkStart w:id="49" w:name="_Toc235465355"/>
      <w:r w:rsidRPr="00DF3755">
        <w:rPr>
          <w:rFonts w:ascii="Sakkal Majalla" w:eastAsia="Noto Sans Arabic" w:hAnsi="Sakkal Majalla" w:cs="Sakkal Majalla"/>
          <w:color w:val="000000" w:themeColor="text1"/>
          <w:sz w:val="42"/>
          <w:szCs w:val="42"/>
          <w:rtl/>
        </w:rPr>
        <w:t xml:space="preserve">قائمة </w:t>
      </w:r>
      <w:proofErr w:type="gramStart"/>
      <w:r w:rsidRPr="00DF3755">
        <w:rPr>
          <w:rFonts w:ascii="Sakkal Majalla" w:eastAsia="Noto Sans Arabic" w:hAnsi="Sakkal Majalla" w:cs="Sakkal Majalla"/>
          <w:color w:val="000000" w:themeColor="text1"/>
          <w:sz w:val="42"/>
          <w:szCs w:val="42"/>
          <w:rtl/>
        </w:rPr>
        <w:t>المراجع</w:t>
      </w:r>
      <w:r w:rsidR="00CB4284" w:rsidRPr="00DF3755">
        <w:rPr>
          <w:rFonts w:ascii="Sakkal Majalla" w:eastAsia="Noto Sans Arabic" w:hAnsi="Sakkal Majalla" w:cs="Sakkal Majalla"/>
          <w:color w:val="000000" w:themeColor="text1"/>
          <w:sz w:val="42"/>
          <w:szCs w:val="42"/>
          <w:rtl/>
        </w:rPr>
        <w:t xml:space="preserve"> :</w:t>
      </w:r>
      <w:bookmarkEnd w:id="49"/>
      <w:proofErr w:type="gramEnd"/>
    </w:p>
    <w:p w:rsidR="005931D6" w:rsidRPr="00DF3755" w:rsidRDefault="00F93CAA" w:rsidP="00DF3755">
      <w:pPr>
        <w:bidi/>
        <w:spacing w:after="0" w:line="240" w:lineRule="auto"/>
        <w:jc w:val="center"/>
        <w:rPr>
          <w:rFonts w:ascii="Sakkal Majalla" w:hAnsi="Sakkal Majalla" w:cs="Sakkal Majalla"/>
          <w:color w:val="000000" w:themeColor="text1"/>
          <w:sz w:val="42"/>
          <w:szCs w:val="42"/>
        </w:rPr>
      </w:pPr>
      <w:r w:rsidRPr="00DF3755">
        <w:rPr>
          <w:rFonts w:ascii="Sakkal Majalla" w:eastAsia="Noto Naskh Arabic" w:hAnsi="Sakkal Majalla" w:cs="Sakkal Majalla"/>
          <w:color w:val="000000" w:themeColor="text1"/>
          <w:sz w:val="42"/>
          <w:szCs w:val="42"/>
          <w:rtl/>
        </w:rPr>
        <w:t>رُتبت المراجع العربية أولًا، ثم المراجع الأجنبية، بما يتوافق مع أسلوب الدراسة.</w:t>
      </w:r>
    </w:p>
    <w:p w:rsidR="005931D6" w:rsidRPr="001C6062" w:rsidRDefault="00F93CAA" w:rsidP="00DF3755">
      <w:pPr>
        <w:bidi/>
        <w:spacing w:after="0" w:line="240" w:lineRule="auto"/>
        <w:jc w:val="center"/>
        <w:rPr>
          <w:rFonts w:ascii="Sakkal Majalla" w:hAnsi="Sakkal Majalla" w:cs="Sakkal Majalla"/>
          <w:color w:val="000000" w:themeColor="text1"/>
          <w:sz w:val="36"/>
          <w:szCs w:val="36"/>
        </w:rPr>
      </w:pPr>
      <w:r w:rsidRPr="001C6062">
        <w:rPr>
          <w:rFonts w:ascii="MS Gothic" w:eastAsia="MS Gothic" w:hAnsi="MS Gothic" w:cs="MS Gothic" w:hint="eastAsia"/>
          <w:b/>
          <w:color w:val="000000" w:themeColor="text1"/>
          <w:sz w:val="36"/>
          <w:szCs w:val="36"/>
        </w:rPr>
        <w:t>━━━━━━━━━━━━━━━━━━━━━━━━</w:t>
      </w:r>
    </w:p>
    <w:p w:rsidR="005931D6" w:rsidRPr="001C6062" w:rsidRDefault="00F93CAA" w:rsidP="001C6062">
      <w:pPr>
        <w:bidi/>
        <w:spacing w:after="0" w:line="240" w:lineRule="auto"/>
        <w:jc w:val="both"/>
        <w:rPr>
          <w:rFonts w:ascii="Sakkal Majalla" w:hAnsi="Sakkal Majalla" w:cs="Sakkal Majalla"/>
          <w:color w:val="000000" w:themeColor="text1"/>
          <w:sz w:val="36"/>
          <w:szCs w:val="36"/>
        </w:rPr>
      </w:pPr>
      <w:r w:rsidRPr="001C6062">
        <w:rPr>
          <w:rFonts w:ascii="Sakkal Majalla" w:hAnsi="Sakkal Majalla" w:cs="Sakkal Majalla"/>
          <w:color w:val="000000" w:themeColor="text1"/>
          <w:sz w:val="36"/>
          <w:szCs w:val="36"/>
        </w:rPr>
        <w:br w:type="page"/>
      </w:r>
    </w:p>
    <w:p w:rsidR="005931D6" w:rsidRPr="001C6062" w:rsidRDefault="00F93CAA" w:rsidP="001C6062">
      <w:pPr>
        <w:pStyle w:val="1"/>
        <w:bidi/>
        <w:spacing w:before="0" w:after="0" w:line="240" w:lineRule="auto"/>
        <w:jc w:val="both"/>
        <w:rPr>
          <w:rFonts w:ascii="Sakkal Majalla" w:hAnsi="Sakkal Majalla" w:cs="Sakkal Majalla"/>
          <w:color w:val="000000" w:themeColor="text1"/>
          <w:szCs w:val="36"/>
        </w:rPr>
      </w:pPr>
      <w:bookmarkStart w:id="50" w:name="_Toc235465356"/>
      <w:r w:rsidRPr="001C6062">
        <w:rPr>
          <w:rFonts w:ascii="Sakkal Majalla" w:eastAsia="Noto Sans Arabic" w:hAnsi="Sakkal Majalla" w:cs="Sakkal Majalla"/>
          <w:color w:val="000000" w:themeColor="text1"/>
          <w:szCs w:val="36"/>
          <w:rtl/>
        </w:rPr>
        <w:lastRenderedPageBreak/>
        <w:t>أولًا: المراجع العربية</w:t>
      </w:r>
      <w:r w:rsidR="00CB4284">
        <w:rPr>
          <w:rFonts w:ascii="Sakkal Majalla" w:eastAsia="Noto Sans Arabic" w:hAnsi="Sakkal Majalla" w:cs="Sakkal Majalla" w:hint="cs"/>
          <w:color w:val="000000" w:themeColor="text1"/>
          <w:szCs w:val="36"/>
          <w:rtl/>
        </w:rPr>
        <w:t>:</w:t>
      </w:r>
      <w:bookmarkEnd w:id="50"/>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إبراهيم، خالد مصطفى محمد، والكبيسي، عقبة نافع سليم. (</w:t>
      </w:r>
      <w:r w:rsidRPr="001C6062">
        <w:rPr>
          <w:rFonts w:ascii="Sakkal Majalla" w:eastAsia="Noto Naskh Arabic" w:hAnsi="Sakkal Majalla" w:cs="Sakkal Majalla"/>
          <w:color w:val="000000" w:themeColor="text1"/>
          <w:sz w:val="36"/>
          <w:szCs w:val="36"/>
        </w:rPr>
        <w:t>2023</w:t>
      </w:r>
      <w:r w:rsidRPr="001C6062">
        <w:rPr>
          <w:rFonts w:ascii="Sakkal Majalla" w:eastAsia="Noto Naskh Arabic" w:hAnsi="Sakkal Majalla" w:cs="Sakkal Majalla"/>
          <w:color w:val="000000" w:themeColor="text1"/>
          <w:sz w:val="36"/>
          <w:szCs w:val="36"/>
          <w:rtl/>
        </w:rPr>
        <w:t xml:space="preserve">). دور المرونة الاستراتيجية في تحقيق التميز التنظيمي: دراسة تحليلية لآراء عينة من العاملين في شركة كورك للاتصالات في مدينة الفلوجة. مجلة الكوت للعلوم الاقتصادية والإدارية، </w:t>
      </w:r>
      <w:r w:rsidRPr="001C6062">
        <w:rPr>
          <w:rFonts w:ascii="Sakkal Majalla" w:eastAsia="Noto Naskh Arabic" w:hAnsi="Sakkal Majalla" w:cs="Sakkal Majalla"/>
          <w:color w:val="000000" w:themeColor="text1"/>
          <w:sz w:val="36"/>
          <w:szCs w:val="36"/>
        </w:rPr>
        <w:t>15</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49</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590</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610</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رؤية السعودية </w:t>
      </w:r>
      <w:r w:rsidRPr="001C6062">
        <w:rPr>
          <w:rFonts w:ascii="Sakkal Majalla" w:eastAsia="Noto Naskh Arabic" w:hAnsi="Sakkal Majalla" w:cs="Sakkal Majalla"/>
          <w:color w:val="000000" w:themeColor="text1"/>
          <w:sz w:val="36"/>
          <w:szCs w:val="36"/>
        </w:rPr>
        <w:t>2030</w:t>
      </w:r>
      <w:r w:rsidRPr="001C6062">
        <w:rPr>
          <w:rFonts w:ascii="Sakkal Majalla" w:eastAsia="Noto Naskh Arabic" w:hAnsi="Sakkal Majalla" w:cs="Sakkal Majalla"/>
          <w:color w:val="000000" w:themeColor="text1"/>
          <w:sz w:val="36"/>
          <w:szCs w:val="36"/>
          <w:rtl/>
        </w:rPr>
        <w:t>. (</w:t>
      </w:r>
      <w:r w:rsidRPr="001C6062">
        <w:rPr>
          <w:rFonts w:ascii="Sakkal Majalla" w:eastAsia="Noto Naskh Arabic" w:hAnsi="Sakkal Majalla" w:cs="Sakkal Majalla"/>
          <w:color w:val="000000" w:themeColor="text1"/>
          <w:sz w:val="36"/>
          <w:szCs w:val="36"/>
        </w:rPr>
        <w:t>2026</w:t>
      </w:r>
      <w:r w:rsidRPr="001C6062">
        <w:rPr>
          <w:rFonts w:ascii="Sakkal Majalla" w:eastAsia="Noto Naskh Arabic" w:hAnsi="Sakkal Majalla" w:cs="Sakkal Majalla"/>
          <w:color w:val="000000" w:themeColor="text1"/>
          <w:sz w:val="36"/>
          <w:szCs w:val="36"/>
          <w:rtl/>
        </w:rPr>
        <w:t xml:space="preserve">). التقرير السنوي لرؤية السعودية </w:t>
      </w:r>
      <w:r w:rsidRPr="001C6062">
        <w:rPr>
          <w:rFonts w:ascii="Sakkal Majalla" w:eastAsia="Noto Naskh Arabic" w:hAnsi="Sakkal Majalla" w:cs="Sakkal Majalla"/>
          <w:color w:val="000000" w:themeColor="text1"/>
          <w:sz w:val="36"/>
          <w:szCs w:val="36"/>
        </w:rPr>
        <w:t>2030</w:t>
      </w:r>
      <w:r w:rsidRPr="001C6062">
        <w:rPr>
          <w:rFonts w:ascii="Sakkal Majalla" w:eastAsia="Noto Naskh Arabic" w:hAnsi="Sakkal Majalla" w:cs="Sakkal Majalla"/>
          <w:color w:val="000000" w:themeColor="text1"/>
          <w:sz w:val="36"/>
          <w:szCs w:val="36"/>
          <w:rtl/>
        </w:rPr>
        <w:t xml:space="preserve"> لعام </w:t>
      </w:r>
      <w:r w:rsidRPr="001C6062">
        <w:rPr>
          <w:rFonts w:ascii="Sakkal Majalla" w:eastAsia="Noto Naskh Arabic" w:hAnsi="Sakkal Majalla" w:cs="Sakkal Majalla"/>
          <w:color w:val="000000" w:themeColor="text1"/>
          <w:sz w:val="36"/>
          <w:szCs w:val="36"/>
        </w:rPr>
        <w:t>2025</w:t>
      </w:r>
      <w:r w:rsidRPr="001C6062">
        <w:rPr>
          <w:rFonts w:ascii="Sakkal Majalla" w:eastAsia="Noto Naskh Arabic" w:hAnsi="Sakkal Majalla" w:cs="Sakkal Majalla"/>
          <w:color w:val="000000" w:themeColor="text1"/>
          <w:sz w:val="36"/>
          <w:szCs w:val="36"/>
          <w:rtl/>
        </w:rPr>
        <w:t xml:space="preserve">. الرياض: رؤية السعودية </w:t>
      </w:r>
      <w:r w:rsidRPr="001C6062">
        <w:rPr>
          <w:rFonts w:ascii="Sakkal Majalla" w:eastAsia="Noto Naskh Arabic" w:hAnsi="Sakkal Majalla" w:cs="Sakkal Majalla"/>
          <w:color w:val="000000" w:themeColor="text1"/>
          <w:sz w:val="36"/>
          <w:szCs w:val="36"/>
        </w:rPr>
        <w:t>2030</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 xml:space="preserve">جهلول، إيمان </w:t>
      </w:r>
      <w:proofErr w:type="spellStart"/>
      <w:r w:rsidRPr="001C6062">
        <w:rPr>
          <w:rFonts w:ascii="Sakkal Majalla" w:eastAsia="Noto Naskh Arabic" w:hAnsi="Sakkal Majalla" w:cs="Sakkal Majalla"/>
          <w:color w:val="000000" w:themeColor="text1"/>
          <w:sz w:val="36"/>
          <w:szCs w:val="36"/>
          <w:rtl/>
        </w:rPr>
        <w:t>هاتو</w:t>
      </w:r>
      <w:proofErr w:type="spellEnd"/>
      <w:r w:rsidRPr="001C6062">
        <w:rPr>
          <w:rFonts w:ascii="Sakkal Majalla" w:eastAsia="Noto Naskh Arabic" w:hAnsi="Sakkal Majalla" w:cs="Sakkal Majalla"/>
          <w:color w:val="000000" w:themeColor="text1"/>
          <w:sz w:val="36"/>
          <w:szCs w:val="36"/>
          <w:rtl/>
        </w:rPr>
        <w:t>، وخضير، وميض عبد الزهرة، واليوسف، عرفات ناصر جاسم.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تأثير الذكاء الاصطناعي في تحسين نوعية القرارات الإدارية. المجلة العراقية للعلوم الإدارية، </w:t>
      </w:r>
      <w:r w:rsidRPr="001C6062">
        <w:rPr>
          <w:rFonts w:ascii="Sakkal Majalla" w:eastAsia="Noto Naskh Arabic" w:hAnsi="Sakkal Majalla" w:cs="Sakkal Majalla"/>
          <w:color w:val="000000" w:themeColor="text1"/>
          <w:sz w:val="36"/>
          <w:szCs w:val="36"/>
        </w:rPr>
        <w:t>20</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79</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116</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135</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https://doi.org/10.71207/ijas.v20i79.1496</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الطهراوي، مجاهد هاني علي. (</w:t>
      </w:r>
      <w:r w:rsidRPr="001C6062">
        <w:rPr>
          <w:rFonts w:ascii="Sakkal Majalla" w:eastAsia="Noto Naskh Arabic" w:hAnsi="Sakkal Majalla" w:cs="Sakkal Majalla"/>
          <w:color w:val="000000" w:themeColor="text1"/>
          <w:sz w:val="36"/>
          <w:szCs w:val="36"/>
        </w:rPr>
        <w:t>2019</w:t>
      </w:r>
      <w:r w:rsidRPr="001C6062">
        <w:rPr>
          <w:rFonts w:ascii="Sakkal Majalla" w:eastAsia="Noto Naskh Arabic" w:hAnsi="Sakkal Majalla" w:cs="Sakkal Majalla"/>
          <w:color w:val="000000" w:themeColor="text1"/>
          <w:sz w:val="36"/>
          <w:szCs w:val="36"/>
          <w:rtl/>
        </w:rPr>
        <w:t xml:space="preserve">). أثر نظم دعم القرار في فاعلية المرونة الاستراتيجية: دراسة ميدانية في شركات الاتصالات الأردنية. مجلة الجامعة الإسلامية للدراسات الاقتصادية والإدارية، </w:t>
      </w:r>
      <w:r w:rsidRPr="001C6062">
        <w:rPr>
          <w:rFonts w:ascii="Sakkal Majalla" w:eastAsia="Noto Naskh Arabic" w:hAnsi="Sakkal Majalla" w:cs="Sakkal Majalla"/>
          <w:color w:val="000000" w:themeColor="text1"/>
          <w:sz w:val="36"/>
          <w:szCs w:val="36"/>
        </w:rPr>
        <w:t>27</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1</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العدوان، محمد فارع نواف.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أثر الذكاء الاصطناعي في ممارسات عمليات إدارة المعرفة في شركات الاتصالات الخلوية الأردنية (رسالة ماجستير). جامعة البلقاء التطبيقية، كلية الدراسات العليا، السلط، الأردن.</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الرقيبة، عبد الله بن أحمد.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دور الذكاء الاصطناعي في تحسين كفاءة العمليات الإدارية. مجلة العلوم التربوية والإنسانية، (</w:t>
      </w:r>
      <w:r w:rsidRPr="001C6062">
        <w:rPr>
          <w:rFonts w:ascii="Sakkal Majalla" w:eastAsia="Noto Naskh Arabic" w:hAnsi="Sakkal Majalla" w:cs="Sakkal Majalla"/>
          <w:color w:val="000000" w:themeColor="text1"/>
          <w:sz w:val="36"/>
          <w:szCs w:val="36"/>
        </w:rPr>
        <w:t>40</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101</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111</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https://doi.org/10.33193/JEAHS.40.2024.558</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الفزاري، عارف خميس، والشاوي، عبد الله.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دور الذكاء الاصطناعي في تطبيق إدارة المعرفة: دراسة استقرائية. مجلة العلوم الاقتصادية والإدارية والقانونية، </w:t>
      </w:r>
      <w:r w:rsidRPr="001C6062">
        <w:rPr>
          <w:rFonts w:ascii="Sakkal Majalla" w:eastAsia="Noto Naskh Arabic" w:hAnsi="Sakkal Majalla" w:cs="Sakkal Majalla"/>
          <w:color w:val="000000" w:themeColor="text1"/>
          <w:sz w:val="36"/>
          <w:szCs w:val="36"/>
        </w:rPr>
        <w:t>8</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13</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65</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98</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https://doi.org/10.26389/AJSRP.G081024</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القرني، هناء علي.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إدارة المعرفة والذكاء الاصطناعي التوليدي: مراجعة أدب الموضوع. المجلة العربية للنشر العلمي، (</w:t>
      </w:r>
      <w:r w:rsidRPr="001C6062">
        <w:rPr>
          <w:rFonts w:ascii="Sakkal Majalla" w:eastAsia="Noto Naskh Arabic" w:hAnsi="Sakkal Majalla" w:cs="Sakkal Majalla"/>
          <w:color w:val="000000" w:themeColor="text1"/>
          <w:sz w:val="36"/>
          <w:szCs w:val="36"/>
        </w:rPr>
        <w:t>67</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164</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195</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الهيئة السعودية للبيانات والذكاء الاصطناعي. (</w:t>
      </w:r>
      <w:r w:rsidRPr="001C6062">
        <w:rPr>
          <w:rFonts w:ascii="Sakkal Majalla" w:eastAsia="Noto Naskh Arabic" w:hAnsi="Sakkal Majalla" w:cs="Sakkal Majalla"/>
          <w:color w:val="000000" w:themeColor="text1"/>
          <w:sz w:val="36"/>
          <w:szCs w:val="36"/>
        </w:rPr>
        <w:t>2022</w:t>
      </w:r>
      <w:r w:rsidRPr="001C6062">
        <w:rPr>
          <w:rFonts w:ascii="Sakkal Majalla" w:eastAsia="Noto Naskh Arabic" w:hAnsi="Sakkal Majalla" w:cs="Sakkal Majalla"/>
          <w:color w:val="000000" w:themeColor="text1"/>
          <w:sz w:val="36"/>
          <w:szCs w:val="36"/>
          <w:rtl/>
        </w:rPr>
        <w:t>). مبادئ أخلاقيات الذكاء الاصطناعي. الرياض: الهيئة السعودية للبيانات والذكاء الاصطناعي.</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الهيئة السعودية للبيانات والذكاء الاصطناعي.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إطار تبنّي الذكاء الاصطناعي. الرياض: الهيئة السعودية للبيانات والذكاء الاصطناعي.</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lastRenderedPageBreak/>
        <w:t>الهيئة العامة للمنشآت الصغيرة والمتوسطة. (</w:t>
      </w:r>
      <w:r w:rsidRPr="001C6062">
        <w:rPr>
          <w:rFonts w:ascii="Sakkal Majalla" w:eastAsia="Noto Naskh Arabic" w:hAnsi="Sakkal Majalla" w:cs="Sakkal Majalla"/>
          <w:color w:val="000000" w:themeColor="text1"/>
          <w:sz w:val="36"/>
          <w:szCs w:val="36"/>
        </w:rPr>
        <w:t>2023</w:t>
      </w:r>
      <w:r w:rsidRPr="001C6062">
        <w:rPr>
          <w:rFonts w:ascii="Sakkal Majalla" w:eastAsia="Noto Naskh Arabic" w:hAnsi="Sakkal Majalla" w:cs="Sakkal Majalla"/>
          <w:color w:val="000000" w:themeColor="text1"/>
          <w:sz w:val="36"/>
          <w:szCs w:val="36"/>
          <w:rtl/>
        </w:rPr>
        <w:t>). تصنيف المنشآت الصغيرة والمتوسطة. الرياض: منشآت.</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لرباع، الهادي. (</w:t>
      </w:r>
      <w:r w:rsidRPr="001C6062">
        <w:rPr>
          <w:rFonts w:ascii="Sakkal Majalla" w:eastAsia="Noto Naskh Arabic" w:hAnsi="Sakkal Majalla" w:cs="Sakkal Majalla"/>
          <w:color w:val="000000" w:themeColor="text1"/>
          <w:sz w:val="36"/>
          <w:szCs w:val="36"/>
        </w:rPr>
        <w:t>2015</w:t>
      </w:r>
      <w:r w:rsidRPr="001C6062">
        <w:rPr>
          <w:rFonts w:ascii="Sakkal Majalla" w:eastAsia="Noto Naskh Arabic" w:hAnsi="Sakkal Majalla" w:cs="Sakkal Majalla"/>
          <w:color w:val="000000" w:themeColor="text1"/>
          <w:sz w:val="36"/>
          <w:szCs w:val="36"/>
          <w:rtl/>
        </w:rPr>
        <w:t>). أنظمة الذكاء الاصطناعي المساعدة في عمليات إدارة المعرفة. مجلة الاقتصاد الإسلامي العالمية، (</w:t>
      </w:r>
      <w:r w:rsidRPr="001C6062">
        <w:rPr>
          <w:rFonts w:ascii="Sakkal Majalla" w:eastAsia="Noto Naskh Arabic" w:hAnsi="Sakkal Majalla" w:cs="Sakkal Majalla"/>
          <w:color w:val="000000" w:themeColor="text1"/>
          <w:sz w:val="36"/>
          <w:szCs w:val="36"/>
        </w:rPr>
        <w:t>32</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18</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24</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bidi/>
        <w:spacing w:after="0" w:line="240" w:lineRule="auto"/>
        <w:ind w:right="397" w:hanging="397"/>
        <w:jc w:val="both"/>
        <w:rPr>
          <w:rFonts w:ascii="Sakkal Majalla" w:hAnsi="Sakkal Majalla" w:cs="Sakkal Majalla"/>
          <w:color w:val="000000" w:themeColor="text1"/>
          <w:sz w:val="36"/>
          <w:szCs w:val="36"/>
        </w:rPr>
      </w:pPr>
      <w:r w:rsidRPr="001C6062">
        <w:rPr>
          <w:rFonts w:ascii="Sakkal Majalla" w:eastAsia="Noto Naskh Arabic" w:hAnsi="Sakkal Majalla" w:cs="Sakkal Majalla"/>
          <w:color w:val="000000" w:themeColor="text1"/>
          <w:sz w:val="36"/>
          <w:szCs w:val="36"/>
          <w:rtl/>
        </w:rPr>
        <w:t>مدوري، نور الدين، وولد سعيد، محمد. (</w:t>
      </w:r>
      <w:r w:rsidRPr="001C6062">
        <w:rPr>
          <w:rFonts w:ascii="Sakkal Majalla" w:eastAsia="Noto Naskh Arabic" w:hAnsi="Sakkal Majalla" w:cs="Sakkal Majalla"/>
          <w:color w:val="000000" w:themeColor="text1"/>
          <w:sz w:val="36"/>
          <w:szCs w:val="36"/>
        </w:rPr>
        <w:t>2024</w:t>
      </w:r>
      <w:r w:rsidRPr="001C6062">
        <w:rPr>
          <w:rFonts w:ascii="Sakkal Majalla" w:eastAsia="Noto Naskh Arabic" w:hAnsi="Sakkal Majalla" w:cs="Sakkal Majalla"/>
          <w:color w:val="000000" w:themeColor="text1"/>
          <w:sz w:val="36"/>
          <w:szCs w:val="36"/>
          <w:rtl/>
        </w:rPr>
        <w:t xml:space="preserve">). دور تطبيقات الذكاء الاصطناعي في تحسين ودعم عمليات إدارة المعرفة. مجلة الاستراتيجية والتنمية، </w:t>
      </w:r>
      <w:r w:rsidRPr="001C6062">
        <w:rPr>
          <w:rFonts w:ascii="Sakkal Majalla" w:eastAsia="Noto Naskh Arabic" w:hAnsi="Sakkal Majalla" w:cs="Sakkal Majalla"/>
          <w:color w:val="000000" w:themeColor="text1"/>
          <w:sz w:val="36"/>
          <w:szCs w:val="36"/>
        </w:rPr>
        <w:t>14</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2</w:t>
      </w:r>
      <w:r w:rsidRPr="001C6062">
        <w:rPr>
          <w:rFonts w:ascii="Sakkal Majalla" w:eastAsia="Noto Naskh Arabic" w:hAnsi="Sakkal Majalla" w:cs="Sakkal Majalla"/>
          <w:color w:val="000000" w:themeColor="text1"/>
          <w:sz w:val="36"/>
          <w:szCs w:val="36"/>
          <w:rtl/>
        </w:rPr>
        <w:t xml:space="preserve">)، </w:t>
      </w:r>
      <w:r w:rsidRPr="001C6062">
        <w:rPr>
          <w:rFonts w:ascii="Sakkal Majalla" w:eastAsia="Noto Naskh Arabic" w:hAnsi="Sakkal Majalla" w:cs="Sakkal Majalla"/>
          <w:color w:val="000000" w:themeColor="text1"/>
          <w:sz w:val="36"/>
          <w:szCs w:val="36"/>
        </w:rPr>
        <w:t>113</w:t>
      </w:r>
      <w:r w:rsidRPr="001C6062">
        <w:rPr>
          <w:rFonts w:ascii="Sakkal Majalla" w:eastAsia="Noto Naskh Arabic" w:hAnsi="Sakkal Majalla" w:cs="Sakkal Majalla"/>
          <w:color w:val="000000" w:themeColor="text1"/>
          <w:sz w:val="36"/>
          <w:szCs w:val="36"/>
          <w:rtl/>
        </w:rPr>
        <w:t>–</w:t>
      </w:r>
      <w:r w:rsidRPr="001C6062">
        <w:rPr>
          <w:rFonts w:ascii="Sakkal Majalla" w:eastAsia="Noto Naskh Arabic" w:hAnsi="Sakkal Majalla" w:cs="Sakkal Majalla"/>
          <w:color w:val="000000" w:themeColor="text1"/>
          <w:sz w:val="36"/>
          <w:szCs w:val="36"/>
        </w:rPr>
        <w:t>131</w:t>
      </w:r>
      <w:r w:rsidRPr="001C6062">
        <w:rPr>
          <w:rFonts w:ascii="Sakkal Majalla" w:eastAsia="Noto Naskh Arabic" w:hAnsi="Sakkal Majalla" w:cs="Sakkal Majalla"/>
          <w:color w:val="000000" w:themeColor="text1"/>
          <w:sz w:val="36"/>
          <w:szCs w:val="36"/>
          <w:rtl/>
        </w:rPr>
        <w:t>.</w:t>
      </w:r>
    </w:p>
    <w:p w:rsidR="005931D6" w:rsidRPr="001C6062" w:rsidRDefault="00F93CAA" w:rsidP="001C6062">
      <w:pPr>
        <w:pStyle w:val="1"/>
        <w:bidi/>
        <w:spacing w:before="0" w:after="0" w:line="240" w:lineRule="auto"/>
        <w:jc w:val="both"/>
        <w:rPr>
          <w:rFonts w:ascii="Sakkal Majalla" w:hAnsi="Sakkal Majalla" w:cs="Sakkal Majalla"/>
          <w:color w:val="000000" w:themeColor="text1"/>
          <w:szCs w:val="36"/>
        </w:rPr>
      </w:pPr>
      <w:bookmarkStart w:id="51" w:name="_Toc235465357"/>
      <w:r w:rsidRPr="001C6062">
        <w:rPr>
          <w:rFonts w:ascii="Sakkal Majalla" w:eastAsia="Noto Sans Arabic" w:hAnsi="Sakkal Majalla" w:cs="Sakkal Majalla"/>
          <w:color w:val="000000" w:themeColor="text1"/>
          <w:szCs w:val="36"/>
          <w:rtl/>
        </w:rPr>
        <w:t>ثانيًا: المراجع الأجنبية</w:t>
      </w:r>
      <w:bookmarkEnd w:id="51"/>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Alavi</w:t>
      </w:r>
      <w:proofErr w:type="spellEnd"/>
      <w:r w:rsidRPr="001C6062">
        <w:rPr>
          <w:rFonts w:ascii="Sakkal Majalla" w:eastAsia="Times New Roman" w:hAnsi="Sakkal Majalla" w:cs="Sakkal Majalla"/>
          <w:color w:val="000000" w:themeColor="text1"/>
          <w:sz w:val="36"/>
          <w:szCs w:val="36"/>
        </w:rPr>
        <w:t xml:space="preserve">, M., &amp; </w:t>
      </w:r>
      <w:proofErr w:type="spellStart"/>
      <w:r w:rsidRPr="001C6062">
        <w:rPr>
          <w:rFonts w:ascii="Sakkal Majalla" w:eastAsia="Times New Roman" w:hAnsi="Sakkal Majalla" w:cs="Sakkal Majalla"/>
          <w:color w:val="000000" w:themeColor="text1"/>
          <w:sz w:val="36"/>
          <w:szCs w:val="36"/>
        </w:rPr>
        <w:t>Leidner</w:t>
      </w:r>
      <w:proofErr w:type="spellEnd"/>
      <w:r w:rsidRPr="001C6062">
        <w:rPr>
          <w:rFonts w:ascii="Sakkal Majalla" w:eastAsia="Times New Roman" w:hAnsi="Sakkal Majalla" w:cs="Sakkal Majalla"/>
          <w:color w:val="000000" w:themeColor="text1"/>
          <w:sz w:val="36"/>
          <w:szCs w:val="36"/>
        </w:rPr>
        <w:t>, D. E. (2001). Review: Knowledge management and knowledge management systems: Conceptual foundations and research issues. MIS Quarterly, 25(1), 107–136. https://doi.org/10.2307/3250961</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Arroyabe</w:t>
      </w:r>
      <w:proofErr w:type="spellEnd"/>
      <w:r w:rsidRPr="001C6062">
        <w:rPr>
          <w:rFonts w:ascii="Sakkal Majalla" w:eastAsia="Times New Roman" w:hAnsi="Sakkal Majalla" w:cs="Sakkal Majalla"/>
          <w:color w:val="000000" w:themeColor="text1"/>
          <w:sz w:val="36"/>
          <w:szCs w:val="36"/>
        </w:rPr>
        <w:t xml:space="preserve">, M. F., </w:t>
      </w:r>
      <w:proofErr w:type="spellStart"/>
      <w:r w:rsidRPr="001C6062">
        <w:rPr>
          <w:rFonts w:ascii="Sakkal Majalla" w:eastAsia="Times New Roman" w:hAnsi="Sakkal Majalla" w:cs="Sakkal Majalla"/>
          <w:color w:val="000000" w:themeColor="text1"/>
          <w:sz w:val="36"/>
          <w:szCs w:val="36"/>
        </w:rPr>
        <w:t>Arranz</w:t>
      </w:r>
      <w:proofErr w:type="spellEnd"/>
      <w:r w:rsidRPr="001C6062">
        <w:rPr>
          <w:rFonts w:ascii="Sakkal Majalla" w:eastAsia="Times New Roman" w:hAnsi="Sakkal Majalla" w:cs="Sakkal Majalla"/>
          <w:color w:val="000000" w:themeColor="text1"/>
          <w:sz w:val="36"/>
          <w:szCs w:val="36"/>
        </w:rPr>
        <w:t xml:space="preserve">, C. F. A., Fernandez De </w:t>
      </w:r>
      <w:proofErr w:type="spellStart"/>
      <w:r w:rsidRPr="001C6062">
        <w:rPr>
          <w:rFonts w:ascii="Sakkal Majalla" w:eastAsia="Times New Roman" w:hAnsi="Sakkal Majalla" w:cs="Sakkal Majalla"/>
          <w:color w:val="000000" w:themeColor="text1"/>
          <w:sz w:val="36"/>
          <w:szCs w:val="36"/>
        </w:rPr>
        <w:t>Arroyabe</w:t>
      </w:r>
      <w:proofErr w:type="spellEnd"/>
      <w:r w:rsidRPr="001C6062">
        <w:rPr>
          <w:rFonts w:ascii="Sakkal Majalla" w:eastAsia="Times New Roman" w:hAnsi="Sakkal Majalla" w:cs="Sakkal Majalla"/>
          <w:color w:val="000000" w:themeColor="text1"/>
          <w:sz w:val="36"/>
          <w:szCs w:val="36"/>
        </w:rPr>
        <w:t xml:space="preserve">, I., &amp; Fernandez de </w:t>
      </w:r>
      <w:proofErr w:type="spellStart"/>
      <w:r w:rsidRPr="001C6062">
        <w:rPr>
          <w:rFonts w:ascii="Sakkal Majalla" w:eastAsia="Times New Roman" w:hAnsi="Sakkal Majalla" w:cs="Sakkal Majalla"/>
          <w:color w:val="000000" w:themeColor="text1"/>
          <w:sz w:val="36"/>
          <w:szCs w:val="36"/>
        </w:rPr>
        <w:t>Arroyabe</w:t>
      </w:r>
      <w:proofErr w:type="spellEnd"/>
      <w:r w:rsidRPr="001C6062">
        <w:rPr>
          <w:rFonts w:ascii="Sakkal Majalla" w:eastAsia="Times New Roman" w:hAnsi="Sakkal Majalla" w:cs="Sakkal Majalla"/>
          <w:color w:val="000000" w:themeColor="text1"/>
          <w:sz w:val="36"/>
          <w:szCs w:val="36"/>
        </w:rPr>
        <w:t>, J. C. (2024). Analyzing AI adoption in European SMEs: A study of digital capabilities, innovation, and external environment. Technology in Society, 79, 102733. https://doi.org/10.1016/j.techsoc.2024.102733</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Brozovic</w:t>
      </w:r>
      <w:proofErr w:type="spellEnd"/>
      <w:r w:rsidRPr="001C6062">
        <w:rPr>
          <w:rFonts w:ascii="Sakkal Majalla" w:eastAsia="Times New Roman" w:hAnsi="Sakkal Majalla" w:cs="Sakkal Majalla"/>
          <w:color w:val="000000" w:themeColor="text1"/>
          <w:sz w:val="36"/>
          <w:szCs w:val="36"/>
        </w:rPr>
        <w:t>, D. (2018). Strategic flexibility: A review of the literature. International Journal of Management Reviews, 20(1), 3–31. https://doi.org/10.1111/ijmr.12111</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 xml:space="preserve">Chen, J., &amp; </w:t>
      </w:r>
      <w:proofErr w:type="spellStart"/>
      <w:r w:rsidRPr="001C6062">
        <w:rPr>
          <w:rFonts w:ascii="Sakkal Majalla" w:eastAsia="Times New Roman" w:hAnsi="Sakkal Majalla" w:cs="Sakkal Majalla"/>
          <w:color w:val="000000" w:themeColor="text1"/>
          <w:sz w:val="36"/>
          <w:szCs w:val="36"/>
        </w:rPr>
        <w:t>Tajdini</w:t>
      </w:r>
      <w:proofErr w:type="spellEnd"/>
      <w:r w:rsidRPr="001C6062">
        <w:rPr>
          <w:rFonts w:ascii="Sakkal Majalla" w:eastAsia="Times New Roman" w:hAnsi="Sakkal Majalla" w:cs="Sakkal Majalla"/>
          <w:color w:val="000000" w:themeColor="text1"/>
          <w:sz w:val="36"/>
          <w:szCs w:val="36"/>
        </w:rPr>
        <w:t>, S. (2025). A moderated model of artificial intelligence adoption in firms and its effects on their performance. Information Technology and Management, 26, 407–419. https://doi.org/10.1007/s10799-024-00422-5</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 xml:space="preserve">Cohen, J. (1988). Statistical power analysis for the behavioral sciences (2nd </w:t>
      </w:r>
      <w:proofErr w:type="gramStart"/>
      <w:r w:rsidRPr="001C6062">
        <w:rPr>
          <w:rFonts w:ascii="Sakkal Majalla" w:eastAsia="Times New Roman" w:hAnsi="Sakkal Majalla" w:cs="Sakkal Majalla"/>
          <w:color w:val="000000" w:themeColor="text1"/>
          <w:sz w:val="36"/>
          <w:szCs w:val="36"/>
        </w:rPr>
        <w:t>ed</w:t>
      </w:r>
      <w:proofErr w:type="gramEnd"/>
      <w:r w:rsidRPr="001C6062">
        <w:rPr>
          <w:rFonts w:ascii="Sakkal Majalla" w:eastAsia="Times New Roman" w:hAnsi="Sakkal Majalla" w:cs="Sakkal Majalla"/>
          <w:color w:val="000000" w:themeColor="text1"/>
          <w:sz w:val="36"/>
          <w:szCs w:val="36"/>
        </w:rPr>
        <w:t>.). Lawrence Erlbaum Associates.</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 xml:space="preserve">Durst, S., </w:t>
      </w:r>
      <w:proofErr w:type="spellStart"/>
      <w:r w:rsidRPr="001C6062">
        <w:rPr>
          <w:rFonts w:ascii="Sakkal Majalla" w:eastAsia="Times New Roman" w:hAnsi="Sakkal Majalla" w:cs="Sakkal Majalla"/>
          <w:color w:val="000000" w:themeColor="text1"/>
          <w:sz w:val="36"/>
          <w:szCs w:val="36"/>
        </w:rPr>
        <w:t>Edvardsson</w:t>
      </w:r>
      <w:proofErr w:type="spellEnd"/>
      <w:r w:rsidRPr="001C6062">
        <w:rPr>
          <w:rFonts w:ascii="Sakkal Majalla" w:eastAsia="Times New Roman" w:hAnsi="Sakkal Majalla" w:cs="Sakkal Majalla"/>
          <w:color w:val="000000" w:themeColor="text1"/>
          <w:sz w:val="36"/>
          <w:szCs w:val="36"/>
        </w:rPr>
        <w:t xml:space="preserve">, I. R., &amp; </w:t>
      </w:r>
      <w:proofErr w:type="spellStart"/>
      <w:r w:rsidRPr="001C6062">
        <w:rPr>
          <w:rFonts w:ascii="Sakkal Majalla" w:eastAsia="Times New Roman" w:hAnsi="Sakkal Majalla" w:cs="Sakkal Majalla"/>
          <w:color w:val="000000" w:themeColor="text1"/>
          <w:sz w:val="36"/>
          <w:szCs w:val="36"/>
        </w:rPr>
        <w:t>Foli</w:t>
      </w:r>
      <w:proofErr w:type="spellEnd"/>
      <w:r w:rsidRPr="001C6062">
        <w:rPr>
          <w:rFonts w:ascii="Sakkal Majalla" w:eastAsia="Times New Roman" w:hAnsi="Sakkal Majalla" w:cs="Sakkal Majalla"/>
          <w:color w:val="000000" w:themeColor="text1"/>
          <w:sz w:val="36"/>
          <w:szCs w:val="36"/>
        </w:rPr>
        <w:t>, S. (2023). Knowledge management in SMEs: A follow-up literature review. Journal of Knowledge Management, 27(11), 25–58. https://doi.org/10.1108/JKM-04-2022-0325</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Enholm</w:t>
      </w:r>
      <w:proofErr w:type="spellEnd"/>
      <w:r w:rsidRPr="001C6062">
        <w:rPr>
          <w:rFonts w:ascii="Sakkal Majalla" w:eastAsia="Times New Roman" w:hAnsi="Sakkal Majalla" w:cs="Sakkal Majalla"/>
          <w:color w:val="000000" w:themeColor="text1"/>
          <w:sz w:val="36"/>
          <w:szCs w:val="36"/>
        </w:rPr>
        <w:t xml:space="preserve">, I. M., </w:t>
      </w:r>
      <w:proofErr w:type="spellStart"/>
      <w:r w:rsidRPr="001C6062">
        <w:rPr>
          <w:rFonts w:ascii="Sakkal Majalla" w:eastAsia="Times New Roman" w:hAnsi="Sakkal Majalla" w:cs="Sakkal Majalla"/>
          <w:color w:val="000000" w:themeColor="text1"/>
          <w:sz w:val="36"/>
          <w:szCs w:val="36"/>
        </w:rPr>
        <w:t>Papagiannidis</w:t>
      </w:r>
      <w:proofErr w:type="spellEnd"/>
      <w:r w:rsidRPr="001C6062">
        <w:rPr>
          <w:rFonts w:ascii="Sakkal Majalla" w:eastAsia="Times New Roman" w:hAnsi="Sakkal Majalla" w:cs="Sakkal Majalla"/>
          <w:color w:val="000000" w:themeColor="text1"/>
          <w:sz w:val="36"/>
          <w:szCs w:val="36"/>
        </w:rPr>
        <w:t xml:space="preserve">, E., </w:t>
      </w:r>
      <w:proofErr w:type="spellStart"/>
      <w:r w:rsidRPr="001C6062">
        <w:rPr>
          <w:rFonts w:ascii="Sakkal Majalla" w:eastAsia="Times New Roman" w:hAnsi="Sakkal Majalla" w:cs="Sakkal Majalla"/>
          <w:color w:val="000000" w:themeColor="text1"/>
          <w:sz w:val="36"/>
          <w:szCs w:val="36"/>
        </w:rPr>
        <w:t>Mikalef</w:t>
      </w:r>
      <w:proofErr w:type="spellEnd"/>
      <w:r w:rsidRPr="001C6062">
        <w:rPr>
          <w:rFonts w:ascii="Sakkal Majalla" w:eastAsia="Times New Roman" w:hAnsi="Sakkal Majalla" w:cs="Sakkal Majalla"/>
          <w:color w:val="000000" w:themeColor="text1"/>
          <w:sz w:val="36"/>
          <w:szCs w:val="36"/>
        </w:rPr>
        <w:t xml:space="preserve">, P., &amp; </w:t>
      </w:r>
      <w:proofErr w:type="spellStart"/>
      <w:r w:rsidRPr="001C6062">
        <w:rPr>
          <w:rFonts w:ascii="Sakkal Majalla" w:eastAsia="Times New Roman" w:hAnsi="Sakkal Majalla" w:cs="Sakkal Majalla"/>
          <w:color w:val="000000" w:themeColor="text1"/>
          <w:sz w:val="36"/>
          <w:szCs w:val="36"/>
        </w:rPr>
        <w:t>Krogstie</w:t>
      </w:r>
      <w:proofErr w:type="spellEnd"/>
      <w:r w:rsidRPr="001C6062">
        <w:rPr>
          <w:rFonts w:ascii="Sakkal Majalla" w:eastAsia="Times New Roman" w:hAnsi="Sakkal Majalla" w:cs="Sakkal Majalla"/>
          <w:color w:val="000000" w:themeColor="text1"/>
          <w:sz w:val="36"/>
          <w:szCs w:val="36"/>
        </w:rPr>
        <w:t>, J. (2022). Artificial intelligence and business value: A literature review. Information Systems Frontiers, 24, 1709–1734. https://doi.org/10.1007/s10796-021-10186-w</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lastRenderedPageBreak/>
        <w:t>Fornell</w:t>
      </w:r>
      <w:proofErr w:type="spellEnd"/>
      <w:r w:rsidRPr="001C6062">
        <w:rPr>
          <w:rFonts w:ascii="Sakkal Majalla" w:eastAsia="Times New Roman" w:hAnsi="Sakkal Majalla" w:cs="Sakkal Majalla"/>
          <w:color w:val="000000" w:themeColor="text1"/>
          <w:sz w:val="36"/>
          <w:szCs w:val="36"/>
        </w:rPr>
        <w:t xml:space="preserve">, C., &amp; </w:t>
      </w:r>
      <w:proofErr w:type="spellStart"/>
      <w:r w:rsidRPr="001C6062">
        <w:rPr>
          <w:rFonts w:ascii="Sakkal Majalla" w:eastAsia="Times New Roman" w:hAnsi="Sakkal Majalla" w:cs="Sakkal Majalla"/>
          <w:color w:val="000000" w:themeColor="text1"/>
          <w:sz w:val="36"/>
          <w:szCs w:val="36"/>
        </w:rPr>
        <w:t>Larcker</w:t>
      </w:r>
      <w:proofErr w:type="spellEnd"/>
      <w:r w:rsidRPr="001C6062">
        <w:rPr>
          <w:rFonts w:ascii="Sakkal Majalla" w:eastAsia="Times New Roman" w:hAnsi="Sakkal Majalla" w:cs="Sakkal Majalla"/>
          <w:color w:val="000000" w:themeColor="text1"/>
          <w:sz w:val="36"/>
          <w:szCs w:val="36"/>
        </w:rPr>
        <w:t>, D. F. (1981). Evaluating structural equation models with unobservable variables and measurement error. Journal of Marketing Research, 18(1), 39–50. https://doi.org/10.1177/002224378101800104</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 xml:space="preserve">Gold, A. H., Malhotra, A., &amp; </w:t>
      </w:r>
      <w:proofErr w:type="spellStart"/>
      <w:r w:rsidRPr="001C6062">
        <w:rPr>
          <w:rFonts w:ascii="Sakkal Majalla" w:eastAsia="Times New Roman" w:hAnsi="Sakkal Majalla" w:cs="Sakkal Majalla"/>
          <w:color w:val="000000" w:themeColor="text1"/>
          <w:sz w:val="36"/>
          <w:szCs w:val="36"/>
        </w:rPr>
        <w:t>Segars</w:t>
      </w:r>
      <w:proofErr w:type="spellEnd"/>
      <w:r w:rsidRPr="001C6062">
        <w:rPr>
          <w:rFonts w:ascii="Sakkal Majalla" w:eastAsia="Times New Roman" w:hAnsi="Sakkal Majalla" w:cs="Sakkal Majalla"/>
          <w:color w:val="000000" w:themeColor="text1"/>
          <w:sz w:val="36"/>
          <w:szCs w:val="36"/>
        </w:rPr>
        <w:t>, A. H. (2001). Knowledge management: An organizational capabilities perspective. Journal of Management Information Systems, 18(1), 185–214. https://doi.org/10.1080/07421222.2001.11045669</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Grant, R. M. (1996). Toward a knowledge-based theory of the firm. Strategic Management Journal, 17(S2), 109–122. https://doi.org/10.1002/smj.4250171110</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 xml:space="preserve">Hair, J. F., </w:t>
      </w:r>
      <w:proofErr w:type="spellStart"/>
      <w:r w:rsidRPr="001C6062">
        <w:rPr>
          <w:rFonts w:ascii="Sakkal Majalla" w:eastAsia="Times New Roman" w:hAnsi="Sakkal Majalla" w:cs="Sakkal Majalla"/>
          <w:color w:val="000000" w:themeColor="text1"/>
          <w:sz w:val="36"/>
          <w:szCs w:val="36"/>
        </w:rPr>
        <w:t>Hult</w:t>
      </w:r>
      <w:proofErr w:type="spellEnd"/>
      <w:r w:rsidRPr="001C6062">
        <w:rPr>
          <w:rFonts w:ascii="Sakkal Majalla" w:eastAsia="Times New Roman" w:hAnsi="Sakkal Majalla" w:cs="Sakkal Majalla"/>
          <w:color w:val="000000" w:themeColor="text1"/>
          <w:sz w:val="36"/>
          <w:szCs w:val="36"/>
        </w:rPr>
        <w:t xml:space="preserve">, G. T. M., </w:t>
      </w:r>
      <w:proofErr w:type="spellStart"/>
      <w:r w:rsidRPr="001C6062">
        <w:rPr>
          <w:rFonts w:ascii="Sakkal Majalla" w:eastAsia="Times New Roman" w:hAnsi="Sakkal Majalla" w:cs="Sakkal Majalla"/>
          <w:color w:val="000000" w:themeColor="text1"/>
          <w:sz w:val="36"/>
          <w:szCs w:val="36"/>
        </w:rPr>
        <w:t>Ringle</w:t>
      </w:r>
      <w:proofErr w:type="spellEnd"/>
      <w:r w:rsidRPr="001C6062">
        <w:rPr>
          <w:rFonts w:ascii="Sakkal Majalla" w:eastAsia="Times New Roman" w:hAnsi="Sakkal Majalla" w:cs="Sakkal Majalla"/>
          <w:color w:val="000000" w:themeColor="text1"/>
          <w:sz w:val="36"/>
          <w:szCs w:val="36"/>
        </w:rPr>
        <w:t xml:space="preserve">, C. M., &amp; </w:t>
      </w:r>
      <w:proofErr w:type="spellStart"/>
      <w:r w:rsidRPr="001C6062">
        <w:rPr>
          <w:rFonts w:ascii="Sakkal Majalla" w:eastAsia="Times New Roman" w:hAnsi="Sakkal Majalla" w:cs="Sakkal Majalla"/>
          <w:color w:val="000000" w:themeColor="text1"/>
          <w:sz w:val="36"/>
          <w:szCs w:val="36"/>
        </w:rPr>
        <w:t>Sarstedt</w:t>
      </w:r>
      <w:proofErr w:type="spellEnd"/>
      <w:r w:rsidRPr="001C6062">
        <w:rPr>
          <w:rFonts w:ascii="Sakkal Majalla" w:eastAsia="Times New Roman" w:hAnsi="Sakkal Majalla" w:cs="Sakkal Majalla"/>
          <w:color w:val="000000" w:themeColor="text1"/>
          <w:sz w:val="36"/>
          <w:szCs w:val="36"/>
        </w:rPr>
        <w:t xml:space="preserve">, M. (2022). A primer on partial least squares structural equation modeling (PLS-SEM) (3rd </w:t>
      </w:r>
      <w:proofErr w:type="gramStart"/>
      <w:r w:rsidRPr="001C6062">
        <w:rPr>
          <w:rFonts w:ascii="Sakkal Majalla" w:eastAsia="Times New Roman" w:hAnsi="Sakkal Majalla" w:cs="Sakkal Majalla"/>
          <w:color w:val="000000" w:themeColor="text1"/>
          <w:sz w:val="36"/>
          <w:szCs w:val="36"/>
        </w:rPr>
        <w:t>ed</w:t>
      </w:r>
      <w:proofErr w:type="gramEnd"/>
      <w:r w:rsidRPr="001C6062">
        <w:rPr>
          <w:rFonts w:ascii="Sakkal Majalla" w:eastAsia="Times New Roman" w:hAnsi="Sakkal Majalla" w:cs="Sakkal Majalla"/>
          <w:color w:val="000000" w:themeColor="text1"/>
          <w:sz w:val="36"/>
          <w:szCs w:val="36"/>
        </w:rPr>
        <w:t>.). Sage.</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Henseler</w:t>
      </w:r>
      <w:proofErr w:type="spellEnd"/>
      <w:r w:rsidRPr="001C6062">
        <w:rPr>
          <w:rFonts w:ascii="Sakkal Majalla" w:eastAsia="Times New Roman" w:hAnsi="Sakkal Majalla" w:cs="Sakkal Majalla"/>
          <w:color w:val="000000" w:themeColor="text1"/>
          <w:sz w:val="36"/>
          <w:szCs w:val="36"/>
        </w:rPr>
        <w:t xml:space="preserve">, J., </w:t>
      </w:r>
      <w:proofErr w:type="spellStart"/>
      <w:r w:rsidRPr="001C6062">
        <w:rPr>
          <w:rFonts w:ascii="Sakkal Majalla" w:eastAsia="Times New Roman" w:hAnsi="Sakkal Majalla" w:cs="Sakkal Majalla"/>
          <w:color w:val="000000" w:themeColor="text1"/>
          <w:sz w:val="36"/>
          <w:szCs w:val="36"/>
        </w:rPr>
        <w:t>Ringle</w:t>
      </w:r>
      <w:proofErr w:type="spellEnd"/>
      <w:r w:rsidRPr="001C6062">
        <w:rPr>
          <w:rFonts w:ascii="Sakkal Majalla" w:eastAsia="Times New Roman" w:hAnsi="Sakkal Majalla" w:cs="Sakkal Majalla"/>
          <w:color w:val="000000" w:themeColor="text1"/>
          <w:sz w:val="36"/>
          <w:szCs w:val="36"/>
        </w:rPr>
        <w:t xml:space="preserve">, C. M., &amp; </w:t>
      </w:r>
      <w:proofErr w:type="spellStart"/>
      <w:r w:rsidRPr="001C6062">
        <w:rPr>
          <w:rFonts w:ascii="Sakkal Majalla" w:eastAsia="Times New Roman" w:hAnsi="Sakkal Majalla" w:cs="Sakkal Majalla"/>
          <w:color w:val="000000" w:themeColor="text1"/>
          <w:sz w:val="36"/>
          <w:szCs w:val="36"/>
        </w:rPr>
        <w:t>Sarstedt</w:t>
      </w:r>
      <w:proofErr w:type="spellEnd"/>
      <w:r w:rsidRPr="001C6062">
        <w:rPr>
          <w:rFonts w:ascii="Sakkal Majalla" w:eastAsia="Times New Roman" w:hAnsi="Sakkal Majalla" w:cs="Sakkal Majalla"/>
          <w:color w:val="000000" w:themeColor="text1"/>
          <w:sz w:val="36"/>
          <w:szCs w:val="36"/>
        </w:rPr>
        <w:t>, M. (2015). A new criterion for assessing discriminant validity in variance-based structural equation modeling. Journal of the Academy of Marketing Science, 43, 115–135. https://doi.org/10.1007/s11747-014-0403-8</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Hock-</w:t>
      </w:r>
      <w:proofErr w:type="spellStart"/>
      <w:r w:rsidRPr="001C6062">
        <w:rPr>
          <w:rFonts w:ascii="Sakkal Majalla" w:eastAsia="Times New Roman" w:hAnsi="Sakkal Majalla" w:cs="Sakkal Majalla"/>
          <w:color w:val="000000" w:themeColor="text1"/>
          <w:sz w:val="36"/>
          <w:szCs w:val="36"/>
        </w:rPr>
        <w:t>Doepgen</w:t>
      </w:r>
      <w:proofErr w:type="spellEnd"/>
      <w:r w:rsidRPr="001C6062">
        <w:rPr>
          <w:rFonts w:ascii="Sakkal Majalla" w:eastAsia="Times New Roman" w:hAnsi="Sakkal Majalla" w:cs="Sakkal Majalla"/>
          <w:color w:val="000000" w:themeColor="text1"/>
          <w:sz w:val="36"/>
          <w:szCs w:val="36"/>
        </w:rPr>
        <w:t xml:space="preserve">, M., </w:t>
      </w:r>
      <w:proofErr w:type="spellStart"/>
      <w:r w:rsidRPr="001C6062">
        <w:rPr>
          <w:rFonts w:ascii="Sakkal Majalla" w:eastAsia="Times New Roman" w:hAnsi="Sakkal Majalla" w:cs="Sakkal Majalla"/>
          <w:color w:val="000000" w:themeColor="text1"/>
          <w:sz w:val="36"/>
          <w:szCs w:val="36"/>
        </w:rPr>
        <w:t>Clauss</w:t>
      </w:r>
      <w:proofErr w:type="spellEnd"/>
      <w:r w:rsidRPr="001C6062">
        <w:rPr>
          <w:rFonts w:ascii="Sakkal Majalla" w:eastAsia="Times New Roman" w:hAnsi="Sakkal Majalla" w:cs="Sakkal Majalla"/>
          <w:color w:val="000000" w:themeColor="text1"/>
          <w:sz w:val="36"/>
          <w:szCs w:val="36"/>
        </w:rPr>
        <w:t>, T., Kraus, S., &amp; Cheng, C.-F. (2021). Knowledge management capabilities and organizational risk-taking for business model innovation in SMEs. Journal of Business Research, 130, 683–697. https://doi.org/10.1016/j.jbusres.2019.12.001</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Jöhnk</w:t>
      </w:r>
      <w:proofErr w:type="spellEnd"/>
      <w:r w:rsidRPr="001C6062">
        <w:rPr>
          <w:rFonts w:ascii="Sakkal Majalla" w:eastAsia="Times New Roman" w:hAnsi="Sakkal Majalla" w:cs="Sakkal Majalla"/>
          <w:color w:val="000000" w:themeColor="text1"/>
          <w:sz w:val="36"/>
          <w:szCs w:val="36"/>
        </w:rPr>
        <w:t xml:space="preserve">, J., </w:t>
      </w:r>
      <w:proofErr w:type="spellStart"/>
      <w:r w:rsidRPr="001C6062">
        <w:rPr>
          <w:rFonts w:ascii="Sakkal Majalla" w:eastAsia="Times New Roman" w:hAnsi="Sakkal Majalla" w:cs="Sakkal Majalla"/>
          <w:color w:val="000000" w:themeColor="text1"/>
          <w:sz w:val="36"/>
          <w:szCs w:val="36"/>
        </w:rPr>
        <w:t>Weißert</w:t>
      </w:r>
      <w:proofErr w:type="spellEnd"/>
      <w:r w:rsidRPr="001C6062">
        <w:rPr>
          <w:rFonts w:ascii="Sakkal Majalla" w:eastAsia="Times New Roman" w:hAnsi="Sakkal Majalla" w:cs="Sakkal Majalla"/>
          <w:color w:val="000000" w:themeColor="text1"/>
          <w:sz w:val="36"/>
          <w:szCs w:val="36"/>
        </w:rPr>
        <w:t xml:space="preserve">, M., &amp; </w:t>
      </w:r>
      <w:proofErr w:type="spellStart"/>
      <w:r w:rsidRPr="001C6062">
        <w:rPr>
          <w:rFonts w:ascii="Sakkal Majalla" w:eastAsia="Times New Roman" w:hAnsi="Sakkal Majalla" w:cs="Sakkal Majalla"/>
          <w:color w:val="000000" w:themeColor="text1"/>
          <w:sz w:val="36"/>
          <w:szCs w:val="36"/>
        </w:rPr>
        <w:t>Wyrtki</w:t>
      </w:r>
      <w:proofErr w:type="spellEnd"/>
      <w:r w:rsidRPr="001C6062">
        <w:rPr>
          <w:rFonts w:ascii="Sakkal Majalla" w:eastAsia="Times New Roman" w:hAnsi="Sakkal Majalla" w:cs="Sakkal Majalla"/>
          <w:color w:val="000000" w:themeColor="text1"/>
          <w:sz w:val="36"/>
          <w:szCs w:val="36"/>
        </w:rPr>
        <w:t>, K. (2021). Ready or not, AI comes—</w:t>
      </w:r>
      <w:proofErr w:type="gramStart"/>
      <w:r w:rsidRPr="001C6062">
        <w:rPr>
          <w:rFonts w:ascii="Sakkal Majalla" w:eastAsia="Times New Roman" w:hAnsi="Sakkal Majalla" w:cs="Sakkal Majalla"/>
          <w:color w:val="000000" w:themeColor="text1"/>
          <w:sz w:val="36"/>
          <w:szCs w:val="36"/>
        </w:rPr>
        <w:t>An</w:t>
      </w:r>
      <w:proofErr w:type="gramEnd"/>
      <w:r w:rsidRPr="001C6062">
        <w:rPr>
          <w:rFonts w:ascii="Sakkal Majalla" w:eastAsia="Times New Roman" w:hAnsi="Sakkal Majalla" w:cs="Sakkal Majalla"/>
          <w:color w:val="000000" w:themeColor="text1"/>
          <w:sz w:val="36"/>
          <w:szCs w:val="36"/>
        </w:rPr>
        <w:t xml:space="preserve"> interview study of organizational AI readiness factors. Business &amp; Information Systems Engineering, 63, 5–20. https://doi.org/10.1007/s12599-020-00676-7</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Kock</w:t>
      </w:r>
      <w:proofErr w:type="spellEnd"/>
      <w:r w:rsidRPr="001C6062">
        <w:rPr>
          <w:rFonts w:ascii="Sakkal Majalla" w:eastAsia="Times New Roman" w:hAnsi="Sakkal Majalla" w:cs="Sakkal Majalla"/>
          <w:color w:val="000000" w:themeColor="text1"/>
          <w:sz w:val="36"/>
          <w:szCs w:val="36"/>
        </w:rPr>
        <w:t xml:space="preserve">, N., &amp; </w:t>
      </w:r>
      <w:proofErr w:type="spellStart"/>
      <w:r w:rsidRPr="001C6062">
        <w:rPr>
          <w:rFonts w:ascii="Sakkal Majalla" w:eastAsia="Times New Roman" w:hAnsi="Sakkal Majalla" w:cs="Sakkal Majalla"/>
          <w:color w:val="000000" w:themeColor="text1"/>
          <w:sz w:val="36"/>
          <w:szCs w:val="36"/>
        </w:rPr>
        <w:t>Hadaya</w:t>
      </w:r>
      <w:proofErr w:type="spellEnd"/>
      <w:r w:rsidRPr="001C6062">
        <w:rPr>
          <w:rFonts w:ascii="Sakkal Majalla" w:eastAsia="Times New Roman" w:hAnsi="Sakkal Majalla" w:cs="Sakkal Majalla"/>
          <w:color w:val="000000" w:themeColor="text1"/>
          <w:sz w:val="36"/>
          <w:szCs w:val="36"/>
        </w:rPr>
        <w:t>, P. (2018). Minimum sample size estimation in PLS-SEM: The inverse square root and gamma-exponential methods. Information Systems Journal, 28(1), 227–261. https://doi.org/10.1111/isj.12131</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Mikalef</w:t>
      </w:r>
      <w:proofErr w:type="spellEnd"/>
      <w:r w:rsidRPr="001C6062">
        <w:rPr>
          <w:rFonts w:ascii="Sakkal Majalla" w:eastAsia="Times New Roman" w:hAnsi="Sakkal Majalla" w:cs="Sakkal Majalla"/>
          <w:color w:val="000000" w:themeColor="text1"/>
          <w:sz w:val="36"/>
          <w:szCs w:val="36"/>
        </w:rPr>
        <w:t xml:space="preserve">, P., &amp; Gupta, M. (2021). Artificial intelligence capability: Conceptualization, measurement calibration, and empirical study on its impact on organizational </w:t>
      </w:r>
      <w:r w:rsidRPr="001C6062">
        <w:rPr>
          <w:rFonts w:ascii="Sakkal Majalla" w:eastAsia="Times New Roman" w:hAnsi="Sakkal Majalla" w:cs="Sakkal Majalla"/>
          <w:color w:val="000000" w:themeColor="text1"/>
          <w:sz w:val="36"/>
          <w:szCs w:val="36"/>
        </w:rPr>
        <w:lastRenderedPageBreak/>
        <w:t>creativity and firm performance. Information &amp; Management, 58(3), 103434. https://doi.org/10.1016/j.im.2021.103434</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Mikalef</w:t>
      </w:r>
      <w:proofErr w:type="spellEnd"/>
      <w:r w:rsidRPr="001C6062">
        <w:rPr>
          <w:rFonts w:ascii="Sakkal Majalla" w:eastAsia="Times New Roman" w:hAnsi="Sakkal Majalla" w:cs="Sakkal Majalla"/>
          <w:color w:val="000000" w:themeColor="text1"/>
          <w:sz w:val="36"/>
          <w:szCs w:val="36"/>
        </w:rPr>
        <w:t xml:space="preserve">, P., Islam, N., </w:t>
      </w:r>
      <w:proofErr w:type="spellStart"/>
      <w:r w:rsidRPr="001C6062">
        <w:rPr>
          <w:rFonts w:ascii="Sakkal Majalla" w:eastAsia="Times New Roman" w:hAnsi="Sakkal Majalla" w:cs="Sakkal Majalla"/>
          <w:color w:val="000000" w:themeColor="text1"/>
          <w:sz w:val="36"/>
          <w:szCs w:val="36"/>
        </w:rPr>
        <w:t>Parida</w:t>
      </w:r>
      <w:proofErr w:type="spellEnd"/>
      <w:r w:rsidRPr="001C6062">
        <w:rPr>
          <w:rFonts w:ascii="Sakkal Majalla" w:eastAsia="Times New Roman" w:hAnsi="Sakkal Majalla" w:cs="Sakkal Majalla"/>
          <w:color w:val="000000" w:themeColor="text1"/>
          <w:sz w:val="36"/>
          <w:szCs w:val="36"/>
        </w:rPr>
        <w:t xml:space="preserve">, V., Singh, H., &amp; </w:t>
      </w:r>
      <w:proofErr w:type="spellStart"/>
      <w:r w:rsidRPr="001C6062">
        <w:rPr>
          <w:rFonts w:ascii="Sakkal Majalla" w:eastAsia="Times New Roman" w:hAnsi="Sakkal Majalla" w:cs="Sakkal Majalla"/>
          <w:color w:val="000000" w:themeColor="text1"/>
          <w:sz w:val="36"/>
          <w:szCs w:val="36"/>
        </w:rPr>
        <w:t>Altwaijry</w:t>
      </w:r>
      <w:proofErr w:type="spellEnd"/>
      <w:r w:rsidRPr="001C6062">
        <w:rPr>
          <w:rFonts w:ascii="Sakkal Majalla" w:eastAsia="Times New Roman" w:hAnsi="Sakkal Majalla" w:cs="Sakkal Majalla"/>
          <w:color w:val="000000" w:themeColor="text1"/>
          <w:sz w:val="36"/>
          <w:szCs w:val="36"/>
        </w:rPr>
        <w:t>, N. (2023). Artificial intelligence (AI) competencies for organizational performance: A B2B marketing capabilities perspective. Journal of Business Research, 164, 113998. https://doi.org/10.1016/j.jbusres.2023.113998</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Nunnally</w:t>
      </w:r>
      <w:proofErr w:type="spellEnd"/>
      <w:r w:rsidRPr="001C6062">
        <w:rPr>
          <w:rFonts w:ascii="Sakkal Majalla" w:eastAsia="Times New Roman" w:hAnsi="Sakkal Majalla" w:cs="Sakkal Majalla"/>
          <w:color w:val="000000" w:themeColor="text1"/>
          <w:sz w:val="36"/>
          <w:szCs w:val="36"/>
        </w:rPr>
        <w:t xml:space="preserve">, J. C., &amp; Bernstein, I. H. (1994). Psychometric theory (3rd </w:t>
      </w:r>
      <w:proofErr w:type="gramStart"/>
      <w:r w:rsidRPr="001C6062">
        <w:rPr>
          <w:rFonts w:ascii="Sakkal Majalla" w:eastAsia="Times New Roman" w:hAnsi="Sakkal Majalla" w:cs="Sakkal Majalla"/>
          <w:color w:val="000000" w:themeColor="text1"/>
          <w:sz w:val="36"/>
          <w:szCs w:val="36"/>
        </w:rPr>
        <w:t>ed</w:t>
      </w:r>
      <w:proofErr w:type="gramEnd"/>
      <w:r w:rsidRPr="001C6062">
        <w:rPr>
          <w:rFonts w:ascii="Sakkal Majalla" w:eastAsia="Times New Roman" w:hAnsi="Sakkal Majalla" w:cs="Sakkal Majalla"/>
          <w:color w:val="000000" w:themeColor="text1"/>
          <w:sz w:val="36"/>
          <w:szCs w:val="36"/>
        </w:rPr>
        <w:t>.). McGraw-Hill.</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Podsakoff</w:t>
      </w:r>
      <w:proofErr w:type="spellEnd"/>
      <w:r w:rsidRPr="001C6062">
        <w:rPr>
          <w:rFonts w:ascii="Sakkal Majalla" w:eastAsia="Times New Roman" w:hAnsi="Sakkal Majalla" w:cs="Sakkal Majalla"/>
          <w:color w:val="000000" w:themeColor="text1"/>
          <w:sz w:val="36"/>
          <w:szCs w:val="36"/>
        </w:rPr>
        <w:t xml:space="preserve">, P. M., </w:t>
      </w:r>
      <w:proofErr w:type="spellStart"/>
      <w:r w:rsidRPr="001C6062">
        <w:rPr>
          <w:rFonts w:ascii="Sakkal Majalla" w:eastAsia="Times New Roman" w:hAnsi="Sakkal Majalla" w:cs="Sakkal Majalla"/>
          <w:color w:val="000000" w:themeColor="text1"/>
          <w:sz w:val="36"/>
          <w:szCs w:val="36"/>
        </w:rPr>
        <w:t>MacKenzie</w:t>
      </w:r>
      <w:proofErr w:type="spellEnd"/>
      <w:r w:rsidRPr="001C6062">
        <w:rPr>
          <w:rFonts w:ascii="Sakkal Majalla" w:eastAsia="Times New Roman" w:hAnsi="Sakkal Majalla" w:cs="Sakkal Majalla"/>
          <w:color w:val="000000" w:themeColor="text1"/>
          <w:sz w:val="36"/>
          <w:szCs w:val="36"/>
        </w:rPr>
        <w:t xml:space="preserve">, S. B., Lee, J.-Y., &amp; </w:t>
      </w:r>
      <w:proofErr w:type="spellStart"/>
      <w:r w:rsidRPr="001C6062">
        <w:rPr>
          <w:rFonts w:ascii="Sakkal Majalla" w:eastAsia="Times New Roman" w:hAnsi="Sakkal Majalla" w:cs="Sakkal Majalla"/>
          <w:color w:val="000000" w:themeColor="text1"/>
          <w:sz w:val="36"/>
          <w:szCs w:val="36"/>
        </w:rPr>
        <w:t>Podsakoff</w:t>
      </w:r>
      <w:proofErr w:type="spellEnd"/>
      <w:r w:rsidRPr="001C6062">
        <w:rPr>
          <w:rFonts w:ascii="Sakkal Majalla" w:eastAsia="Times New Roman" w:hAnsi="Sakkal Majalla" w:cs="Sakkal Majalla"/>
          <w:color w:val="000000" w:themeColor="text1"/>
          <w:sz w:val="36"/>
          <w:szCs w:val="36"/>
        </w:rPr>
        <w:t>, N. P. (2003). Common method biases in behavioral research: A critical review of the literature and recommended remedies. Journal of Applied Psychology, 88(5), 879–903. https://doi.org/10.1037/0021-9010.88.5.879</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Teece</w:t>
      </w:r>
      <w:proofErr w:type="spellEnd"/>
      <w:r w:rsidRPr="001C6062">
        <w:rPr>
          <w:rFonts w:ascii="Sakkal Majalla" w:eastAsia="Times New Roman" w:hAnsi="Sakkal Majalla" w:cs="Sakkal Majalla"/>
          <w:color w:val="000000" w:themeColor="text1"/>
          <w:sz w:val="36"/>
          <w:szCs w:val="36"/>
        </w:rPr>
        <w:t xml:space="preserve">, D. J. (2007). Explicating dynamic capabilities: The nature and </w:t>
      </w:r>
      <w:proofErr w:type="spellStart"/>
      <w:r w:rsidRPr="001C6062">
        <w:rPr>
          <w:rFonts w:ascii="Sakkal Majalla" w:eastAsia="Times New Roman" w:hAnsi="Sakkal Majalla" w:cs="Sakkal Majalla"/>
          <w:color w:val="000000" w:themeColor="text1"/>
          <w:sz w:val="36"/>
          <w:szCs w:val="36"/>
        </w:rPr>
        <w:t>microfoundations</w:t>
      </w:r>
      <w:proofErr w:type="spellEnd"/>
      <w:r w:rsidRPr="001C6062">
        <w:rPr>
          <w:rFonts w:ascii="Sakkal Majalla" w:eastAsia="Times New Roman" w:hAnsi="Sakkal Majalla" w:cs="Sakkal Majalla"/>
          <w:color w:val="000000" w:themeColor="text1"/>
          <w:sz w:val="36"/>
          <w:szCs w:val="36"/>
        </w:rPr>
        <w:t xml:space="preserve"> of (sustainable) enterprise performance. Strategic Management Journal, 28(13), 1319–1350. https://doi.org/10.1002/smj.640</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Teece</w:t>
      </w:r>
      <w:proofErr w:type="spellEnd"/>
      <w:r w:rsidRPr="001C6062">
        <w:rPr>
          <w:rFonts w:ascii="Sakkal Majalla" w:eastAsia="Times New Roman" w:hAnsi="Sakkal Majalla" w:cs="Sakkal Majalla"/>
          <w:color w:val="000000" w:themeColor="text1"/>
          <w:sz w:val="36"/>
          <w:szCs w:val="36"/>
        </w:rPr>
        <w:t xml:space="preserve">, D. J., Pisano, G., &amp; </w:t>
      </w:r>
      <w:proofErr w:type="spellStart"/>
      <w:r w:rsidRPr="001C6062">
        <w:rPr>
          <w:rFonts w:ascii="Sakkal Majalla" w:eastAsia="Times New Roman" w:hAnsi="Sakkal Majalla" w:cs="Sakkal Majalla"/>
          <w:color w:val="000000" w:themeColor="text1"/>
          <w:sz w:val="36"/>
          <w:szCs w:val="36"/>
        </w:rPr>
        <w:t>Shuen</w:t>
      </w:r>
      <w:proofErr w:type="spellEnd"/>
      <w:r w:rsidRPr="001C6062">
        <w:rPr>
          <w:rFonts w:ascii="Sakkal Majalla" w:eastAsia="Times New Roman" w:hAnsi="Sakkal Majalla" w:cs="Sakkal Majalla"/>
          <w:color w:val="000000" w:themeColor="text1"/>
          <w:sz w:val="36"/>
          <w:szCs w:val="36"/>
        </w:rPr>
        <w:t>, A. (1997). Dynamic capabilities and strategic management. Strategic Management Journal, 18(7), 509–533. https://doi.org/10.1002</w:t>
      </w:r>
      <w:proofErr w:type="gramStart"/>
      <w:r w:rsidRPr="001C6062">
        <w:rPr>
          <w:rFonts w:ascii="Sakkal Majalla" w:eastAsia="Times New Roman" w:hAnsi="Sakkal Majalla" w:cs="Sakkal Majalla"/>
          <w:color w:val="000000" w:themeColor="text1"/>
          <w:sz w:val="36"/>
          <w:szCs w:val="36"/>
        </w:rPr>
        <w:t>/(</w:t>
      </w:r>
      <w:proofErr w:type="gramEnd"/>
      <w:r w:rsidRPr="001C6062">
        <w:rPr>
          <w:rFonts w:ascii="Sakkal Majalla" w:eastAsia="Times New Roman" w:hAnsi="Sakkal Majalla" w:cs="Sakkal Majalla"/>
          <w:color w:val="000000" w:themeColor="text1"/>
          <w:sz w:val="36"/>
          <w:szCs w:val="36"/>
        </w:rPr>
        <w:t>SICI)1097-0266(199708)18:7&lt;509::AID-SMJ882&gt;3.0.CO;2-Z</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proofErr w:type="spellStart"/>
      <w:r w:rsidRPr="001C6062">
        <w:rPr>
          <w:rFonts w:ascii="Sakkal Majalla" w:eastAsia="Times New Roman" w:hAnsi="Sakkal Majalla" w:cs="Sakkal Majalla"/>
          <w:color w:val="000000" w:themeColor="text1"/>
          <w:sz w:val="36"/>
          <w:szCs w:val="36"/>
        </w:rPr>
        <w:t>Tornatzky</w:t>
      </w:r>
      <w:proofErr w:type="spellEnd"/>
      <w:r w:rsidRPr="001C6062">
        <w:rPr>
          <w:rFonts w:ascii="Sakkal Majalla" w:eastAsia="Times New Roman" w:hAnsi="Sakkal Majalla" w:cs="Sakkal Majalla"/>
          <w:color w:val="000000" w:themeColor="text1"/>
          <w:sz w:val="36"/>
          <w:szCs w:val="36"/>
        </w:rPr>
        <w:t>, L. G., &amp; Fleischer, M. (1990). The processes of technological innovation. Lexington Books.</w:t>
      </w:r>
    </w:p>
    <w:p w:rsidR="005931D6" w:rsidRPr="001C6062" w:rsidRDefault="00F93CAA" w:rsidP="00DF3755">
      <w:pPr>
        <w:spacing w:after="0" w:line="240" w:lineRule="auto"/>
        <w:ind w:left="397" w:hanging="397"/>
        <w:jc w:val="both"/>
        <w:rPr>
          <w:rFonts w:ascii="Sakkal Majalla" w:hAnsi="Sakkal Majalla" w:cs="Sakkal Majalla"/>
          <w:color w:val="000000" w:themeColor="text1"/>
          <w:sz w:val="36"/>
          <w:szCs w:val="36"/>
        </w:rPr>
      </w:pPr>
      <w:r w:rsidRPr="001C6062">
        <w:rPr>
          <w:rFonts w:ascii="Sakkal Majalla" w:eastAsia="Times New Roman" w:hAnsi="Sakkal Majalla" w:cs="Sakkal Majalla"/>
          <w:color w:val="000000" w:themeColor="text1"/>
          <w:sz w:val="36"/>
          <w:szCs w:val="36"/>
        </w:rPr>
        <w:t>Wee, J. C. N., &amp; Chua, A. Y. K. (2013). The peculiarities of knowledge management processes in SMEs: The case of Singapore. Journal of Knowledge Management, 17(6), 958–972. https://doi.org/10.1108/JKM-04-2013-0163</w:t>
      </w:r>
    </w:p>
    <w:p w:rsidR="00CB4284" w:rsidRDefault="00F93CAA" w:rsidP="00DF3755">
      <w:pPr>
        <w:spacing w:after="0" w:line="240" w:lineRule="auto"/>
        <w:ind w:left="397" w:hanging="397"/>
        <w:jc w:val="both"/>
        <w:rPr>
          <w:rFonts w:ascii="Sakkal Majalla" w:hAnsi="Sakkal Majalla" w:cs="Sakkal Majalla"/>
          <w:color w:val="000000" w:themeColor="text1"/>
          <w:sz w:val="36"/>
          <w:szCs w:val="36"/>
          <w:rtl/>
        </w:rPr>
      </w:pPr>
      <w:proofErr w:type="spellStart"/>
      <w:r w:rsidRPr="001C6062">
        <w:rPr>
          <w:rFonts w:ascii="Sakkal Majalla" w:eastAsia="Times New Roman" w:hAnsi="Sakkal Majalla" w:cs="Sakkal Majalla"/>
          <w:color w:val="000000" w:themeColor="text1"/>
          <w:sz w:val="36"/>
          <w:szCs w:val="36"/>
        </w:rPr>
        <w:t>Zahoor</w:t>
      </w:r>
      <w:proofErr w:type="spellEnd"/>
      <w:r w:rsidRPr="001C6062">
        <w:rPr>
          <w:rFonts w:ascii="Sakkal Majalla" w:eastAsia="Times New Roman" w:hAnsi="Sakkal Majalla" w:cs="Sakkal Majalla"/>
          <w:color w:val="000000" w:themeColor="text1"/>
          <w:sz w:val="36"/>
          <w:szCs w:val="36"/>
        </w:rPr>
        <w:t xml:space="preserve">, N., </w:t>
      </w:r>
      <w:proofErr w:type="spellStart"/>
      <w:r w:rsidRPr="001C6062">
        <w:rPr>
          <w:rFonts w:ascii="Sakkal Majalla" w:eastAsia="Times New Roman" w:hAnsi="Sakkal Majalla" w:cs="Sakkal Majalla"/>
          <w:color w:val="000000" w:themeColor="text1"/>
          <w:sz w:val="36"/>
          <w:szCs w:val="36"/>
        </w:rPr>
        <w:t>Golgeci</w:t>
      </w:r>
      <w:proofErr w:type="spellEnd"/>
      <w:r w:rsidRPr="001C6062">
        <w:rPr>
          <w:rFonts w:ascii="Sakkal Majalla" w:eastAsia="Times New Roman" w:hAnsi="Sakkal Majalla" w:cs="Sakkal Majalla"/>
          <w:color w:val="000000" w:themeColor="text1"/>
          <w:sz w:val="36"/>
          <w:szCs w:val="36"/>
        </w:rPr>
        <w:t xml:space="preserve">, I., </w:t>
      </w:r>
      <w:proofErr w:type="spellStart"/>
      <w:r w:rsidRPr="001C6062">
        <w:rPr>
          <w:rFonts w:ascii="Sakkal Majalla" w:eastAsia="Times New Roman" w:hAnsi="Sakkal Majalla" w:cs="Sakkal Majalla"/>
          <w:color w:val="000000" w:themeColor="text1"/>
          <w:sz w:val="36"/>
          <w:szCs w:val="36"/>
        </w:rPr>
        <w:t>Haapanen</w:t>
      </w:r>
      <w:proofErr w:type="spellEnd"/>
      <w:r w:rsidRPr="001C6062">
        <w:rPr>
          <w:rFonts w:ascii="Sakkal Majalla" w:eastAsia="Times New Roman" w:hAnsi="Sakkal Majalla" w:cs="Sakkal Majalla"/>
          <w:color w:val="000000" w:themeColor="text1"/>
          <w:sz w:val="36"/>
          <w:szCs w:val="36"/>
        </w:rPr>
        <w:t xml:space="preserve">, L., Ali, I., &amp; </w:t>
      </w:r>
      <w:proofErr w:type="spellStart"/>
      <w:r w:rsidRPr="001C6062">
        <w:rPr>
          <w:rFonts w:ascii="Sakkal Majalla" w:eastAsia="Times New Roman" w:hAnsi="Sakkal Majalla" w:cs="Sakkal Majalla"/>
          <w:color w:val="000000" w:themeColor="text1"/>
          <w:sz w:val="36"/>
          <w:szCs w:val="36"/>
        </w:rPr>
        <w:t>Arslan</w:t>
      </w:r>
      <w:proofErr w:type="spellEnd"/>
      <w:r w:rsidRPr="001C6062">
        <w:rPr>
          <w:rFonts w:ascii="Sakkal Majalla" w:eastAsia="Times New Roman" w:hAnsi="Sakkal Majalla" w:cs="Sakkal Majalla"/>
          <w:color w:val="000000" w:themeColor="text1"/>
          <w:sz w:val="36"/>
          <w:szCs w:val="36"/>
        </w:rPr>
        <w:t>, A. (2022). The role of dynamic capabilities and strategic agility of B2B high-tech small and medium-sized enterprises during the COVID-19 pandemic: Exploratory case studies from Finland. Industrial Marketing Management, 105, 502–514. https://doi.org/10.1016/j.indmarman.2022.07.006</w:t>
      </w:r>
    </w:p>
    <w:sectPr w:rsidR="00CB4284">
      <w:headerReference w:type="default" r:id="rId11"/>
      <w:footerReference w:type="default" r:id="rId12"/>
      <w:pgSz w:w="11906" w:h="16838"/>
      <w:pgMar w:top="1247" w:right="1417" w:bottom="1134" w:left="1304" w:header="454" w:footer="45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9ED" w:rsidRDefault="006B39ED">
      <w:pPr>
        <w:spacing w:after="0" w:line="240" w:lineRule="auto"/>
        <w:rPr>
          <w:rFonts w:hint="eastAsia"/>
        </w:rPr>
      </w:pPr>
      <w:r>
        <w:separator/>
      </w:r>
    </w:p>
  </w:endnote>
  <w:endnote w:type="continuationSeparator" w:id="0">
    <w:p w:rsidR="006B39ED" w:rsidRDefault="006B39E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Naskh Arabic">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Noto Sans Arabic">
    <w:altName w:val="Times New Roman"/>
    <w:charset w:val="00"/>
    <w:family w:val="roman"/>
    <w:pitch w:val="variable"/>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4E9" w:rsidRDefault="001B44E9">
    <w:pPr>
      <w:pStyle w:val="a6"/>
      <w:bidi/>
      <w:jc w:val="center"/>
      <w:rPr>
        <w:rFonts w:hint="eastAsia"/>
      </w:rPr>
    </w:pPr>
    <w:r>
      <w:rPr>
        <w:rtl/>
      </w:rPr>
      <w:fldChar w:fldCharType="begin"/>
    </w:r>
    <w:r>
      <w:rPr>
        <w:rtl/>
      </w:rPr>
      <w:instrText xml:space="preserve"> PAGE </w:instrText>
    </w:r>
    <w:r>
      <w:rPr>
        <w:rtl/>
      </w:rPr>
      <w:fldChar w:fldCharType="separate"/>
    </w:r>
    <w:r w:rsidR="00A55B43">
      <w:rPr>
        <w:rFonts w:hint="eastAsia"/>
        <w:noProof/>
        <w:rtl/>
      </w:rPr>
      <w:t>4</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9ED" w:rsidRDefault="006B39ED">
      <w:pPr>
        <w:spacing w:after="0" w:line="240" w:lineRule="auto"/>
        <w:rPr>
          <w:rFonts w:hint="eastAsia"/>
        </w:rPr>
      </w:pPr>
      <w:r>
        <w:separator/>
      </w:r>
    </w:p>
  </w:footnote>
  <w:footnote w:type="continuationSeparator" w:id="0">
    <w:p w:rsidR="006B39ED" w:rsidRDefault="006B39E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4E9" w:rsidRDefault="001B44E9" w:rsidP="001C6062">
    <w:pPr>
      <w:pStyle w:val="a5"/>
      <w:pBdr>
        <w:bottom w:val="single" w:sz="6" w:space="1" w:color="17365D"/>
      </w:pBdr>
      <w:bidi/>
      <w:rPr>
        <w:rFonts w:hint="eastAsia"/>
      </w:rPr>
    </w:pPr>
    <w:r>
      <w:rPr>
        <w:rFonts w:ascii="Noto Sans Arabic" w:eastAsia="Noto Sans Arabic" w:hAnsi="Noto Sans Arabic" w:cs="Noto Sans Arabic"/>
        <w:color w:val="6B7280"/>
        <w:sz w:val="19"/>
        <w:rtl/>
      </w:rPr>
      <w:t>أثر جاهزية تبني الذكاء الاصطناعي في المرونة الاستراتيجية للمشروعات الصغيرة والمتوسطة</w:t>
    </w:r>
    <w:r>
      <w:rPr>
        <w:noProof/>
        <w:rtl/>
      </w:rPr>
      <w:drawing>
        <wp:inline distT="0" distB="0" distL="0" distR="0">
          <wp:extent cx="306070" cy="306070"/>
          <wp:effectExtent l="0" t="0" r="0" b="0"/>
          <wp:docPr id="13"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1"/>
                  <a:stretch>
                    <a:fillRect/>
                  </a:stretch>
                </pic:blipFill>
                <pic:spPr bwMode="auto">
                  <a:xfrm>
                    <a:off x="0" y="0"/>
                    <a:ext cx="306070" cy="306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62BC6"/>
    <w:multiLevelType w:val="multilevel"/>
    <w:tmpl w:val="F9AE38F4"/>
    <w:lvl w:ilvl="0">
      <w:start w:val="1"/>
      <w:numFmt w:val="decimal"/>
      <w:pStyle w:val="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B8298E"/>
    <w:multiLevelType w:val="hybridMultilevel"/>
    <w:tmpl w:val="611A7C78"/>
    <w:lvl w:ilvl="0" w:tplc="8D4C01B8">
      <w:start w:val="1"/>
      <w:numFmt w:val="decimal"/>
      <w:lvlText w:val="%1."/>
      <w:lvlJc w:val="left"/>
      <w:pPr>
        <w:ind w:left="218" w:hanging="360"/>
      </w:pPr>
      <w:rPr>
        <w:rFonts w:eastAsia="Noto Naskh Arabic"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 w15:restartNumberingAfterBreak="0">
    <w:nsid w:val="0F957857"/>
    <w:multiLevelType w:val="multilevel"/>
    <w:tmpl w:val="E898C4E6"/>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F66A1D"/>
    <w:multiLevelType w:val="multilevel"/>
    <w:tmpl w:val="73B427B0"/>
    <w:lvl w:ilvl="0">
      <w:start w:val="1"/>
      <w:numFmt w:val="decimal"/>
      <w:pStyle w:val="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38B4A48"/>
    <w:multiLevelType w:val="hybridMultilevel"/>
    <w:tmpl w:val="E75AE734"/>
    <w:lvl w:ilvl="0" w:tplc="04090011">
      <w:start w:val="1"/>
      <w:numFmt w:val="decimal"/>
      <w:lvlText w:val="%1)"/>
      <w:lvlJc w:val="left"/>
      <w:pPr>
        <w:ind w:left="76" w:hanging="360"/>
      </w:pPr>
      <w:rPr>
        <w:rFont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5" w15:restartNumberingAfterBreak="0">
    <w:nsid w:val="2F2F5164"/>
    <w:multiLevelType w:val="multilevel"/>
    <w:tmpl w:val="56A435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397650A"/>
    <w:multiLevelType w:val="hybridMultilevel"/>
    <w:tmpl w:val="10D4FBB4"/>
    <w:lvl w:ilvl="0" w:tplc="1BF84D4E">
      <w:numFmt w:val="bullet"/>
      <w:lvlText w:val="•"/>
      <w:lvlJc w:val="left"/>
      <w:pPr>
        <w:ind w:left="76" w:hanging="360"/>
      </w:pPr>
      <w:rPr>
        <w:rFonts w:ascii="Sakkal Majalla" w:eastAsia="Noto Naskh Arabic" w:hAnsi="Sakkal Majalla" w:cs="Sakkal Majalla"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7" w15:restartNumberingAfterBreak="0">
    <w:nsid w:val="585A4DC3"/>
    <w:multiLevelType w:val="multilevel"/>
    <w:tmpl w:val="E55A448C"/>
    <w:lvl w:ilvl="0">
      <w:start w:val="1"/>
      <w:numFmt w:val="bullet"/>
      <w:pStyle w:val="30"/>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5F1C0319"/>
    <w:multiLevelType w:val="hybridMultilevel"/>
    <w:tmpl w:val="1E560F9A"/>
    <w:lvl w:ilvl="0" w:tplc="1BF84D4E">
      <w:numFmt w:val="bullet"/>
      <w:lvlText w:val="•"/>
      <w:lvlJc w:val="left"/>
      <w:pPr>
        <w:ind w:left="218" w:hanging="360"/>
      </w:pPr>
      <w:rPr>
        <w:rFonts w:ascii="Sakkal Majalla" w:eastAsia="Noto Naskh Arabic" w:hAnsi="Sakkal Majalla" w:cs="Sakkal Majalla"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9" w15:restartNumberingAfterBreak="0">
    <w:nsid w:val="6C733EB9"/>
    <w:multiLevelType w:val="hybridMultilevel"/>
    <w:tmpl w:val="50BEFFA8"/>
    <w:lvl w:ilvl="0" w:tplc="1BF84D4E">
      <w:start w:val="8"/>
      <w:numFmt w:val="bullet"/>
      <w:lvlText w:val="•"/>
      <w:lvlJc w:val="left"/>
      <w:pPr>
        <w:ind w:left="218" w:hanging="360"/>
      </w:pPr>
      <w:rPr>
        <w:rFonts w:ascii="Sakkal Majalla" w:eastAsia="Noto Naskh Arabic" w:hAnsi="Sakkal Majalla" w:cs="Sakkal Majalla"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10" w15:restartNumberingAfterBreak="0">
    <w:nsid w:val="6F1B21DE"/>
    <w:multiLevelType w:val="multilevel"/>
    <w:tmpl w:val="19F42C10"/>
    <w:lvl w:ilvl="0">
      <w:start w:val="1"/>
      <w:numFmt w:val="bullet"/>
      <w:pStyle w:val="a0"/>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718A098C"/>
    <w:multiLevelType w:val="multilevel"/>
    <w:tmpl w:val="029C95B4"/>
    <w:lvl w:ilvl="0">
      <w:start w:val="1"/>
      <w:numFmt w:val="bullet"/>
      <w:pStyle w:val="20"/>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77E01A82"/>
    <w:multiLevelType w:val="hybridMultilevel"/>
    <w:tmpl w:val="21E254E8"/>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3" w15:restartNumberingAfterBreak="0">
    <w:nsid w:val="79BC6F7C"/>
    <w:multiLevelType w:val="hybridMultilevel"/>
    <w:tmpl w:val="8C285172"/>
    <w:lvl w:ilvl="0" w:tplc="1BF84D4E">
      <w:numFmt w:val="bullet"/>
      <w:lvlText w:val="•"/>
      <w:lvlJc w:val="left"/>
      <w:pPr>
        <w:ind w:left="76" w:hanging="360"/>
      </w:pPr>
      <w:rPr>
        <w:rFonts w:ascii="Sakkal Majalla" w:eastAsia="Noto Naskh Arabic" w:hAnsi="Sakkal Majalla" w:cs="Sakkal Majalla"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num w:numId="1">
    <w:abstractNumId w:val="10"/>
  </w:num>
  <w:num w:numId="2">
    <w:abstractNumId w:val="11"/>
  </w:num>
  <w:num w:numId="3">
    <w:abstractNumId w:val="7"/>
  </w:num>
  <w:num w:numId="4">
    <w:abstractNumId w:val="2"/>
  </w:num>
  <w:num w:numId="5">
    <w:abstractNumId w:val="3"/>
  </w:num>
  <w:num w:numId="6">
    <w:abstractNumId w:val="0"/>
  </w:num>
  <w:num w:numId="7">
    <w:abstractNumId w:val="5"/>
  </w:num>
  <w:num w:numId="8">
    <w:abstractNumId w:val="12"/>
  </w:num>
  <w:num w:numId="9">
    <w:abstractNumId w:val="8"/>
  </w:num>
  <w:num w:numId="10">
    <w:abstractNumId w:val="13"/>
  </w:num>
  <w:num w:numId="11">
    <w:abstractNumId w:val="1"/>
  </w:num>
  <w:num w:numId="12">
    <w:abstractNumId w:val="4"/>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1D6"/>
    <w:rsid w:val="001B44E9"/>
    <w:rsid w:val="001C6062"/>
    <w:rsid w:val="0023208A"/>
    <w:rsid w:val="002A3615"/>
    <w:rsid w:val="002A6D77"/>
    <w:rsid w:val="002E4484"/>
    <w:rsid w:val="00343136"/>
    <w:rsid w:val="005931D6"/>
    <w:rsid w:val="005C72B9"/>
    <w:rsid w:val="006B39ED"/>
    <w:rsid w:val="00765D17"/>
    <w:rsid w:val="00825F55"/>
    <w:rsid w:val="009E39BB"/>
    <w:rsid w:val="00A55B43"/>
    <w:rsid w:val="00CB4284"/>
    <w:rsid w:val="00DF3755"/>
    <w:rsid w:val="00F93CAA"/>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8DC9D"/>
  <w15:docId w15:val="{95361638-C848-4560-B717-17AB3EEFA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120" w:line="360" w:lineRule="auto"/>
    </w:pPr>
    <w:rPr>
      <w:rFonts w:ascii="Noto Naskh Arabic" w:hAnsi="Noto Naskh Arabic" w:cs="Noto Naskh Arabic"/>
      <w:sz w:val="28"/>
    </w:rPr>
  </w:style>
  <w:style w:type="paragraph" w:styleId="1">
    <w:name w:val="heading 1"/>
    <w:basedOn w:val="a1"/>
    <w:next w:val="a1"/>
    <w:link w:val="1Char"/>
    <w:uiPriority w:val="9"/>
    <w:qFormat/>
    <w:rsid w:val="00FC693F"/>
    <w:pPr>
      <w:keepNext/>
      <w:keepLines/>
      <w:spacing w:before="160" w:after="100"/>
      <w:outlineLvl w:val="0"/>
    </w:pPr>
    <w:rPr>
      <w:rFonts w:asciiTheme="majorHAnsi" w:eastAsiaTheme="majorEastAsia" w:hAnsiTheme="majorHAnsi" w:cstheme="majorBidi"/>
      <w:b/>
      <w:bCs/>
      <w:color w:val="17365D"/>
      <w:sz w:val="36"/>
      <w:szCs w:val="28"/>
    </w:rPr>
  </w:style>
  <w:style w:type="paragraph" w:styleId="21">
    <w:name w:val="heading 2"/>
    <w:basedOn w:val="a1"/>
    <w:next w:val="a1"/>
    <w:link w:val="2Char"/>
    <w:uiPriority w:val="9"/>
    <w:unhideWhenUsed/>
    <w:qFormat/>
    <w:rsid w:val="00FC693F"/>
    <w:pPr>
      <w:keepNext/>
      <w:keepLines/>
      <w:spacing w:before="160" w:after="100"/>
      <w:outlineLvl w:val="1"/>
    </w:pPr>
    <w:rPr>
      <w:rFonts w:asciiTheme="majorHAnsi" w:eastAsiaTheme="majorEastAsia" w:hAnsiTheme="majorHAnsi" w:cstheme="majorBidi"/>
      <w:b/>
      <w:bCs/>
      <w:color w:val="2F75B5"/>
      <w:sz w:val="32"/>
      <w:szCs w:val="26"/>
    </w:rPr>
  </w:style>
  <w:style w:type="paragraph" w:styleId="31">
    <w:name w:val="heading 3"/>
    <w:basedOn w:val="a1"/>
    <w:next w:val="a1"/>
    <w:link w:val="3Char"/>
    <w:uiPriority w:val="9"/>
    <w:unhideWhenUsed/>
    <w:qFormat/>
    <w:rsid w:val="00FC693F"/>
    <w:pPr>
      <w:keepNext/>
      <w:keepLines/>
      <w:spacing w:before="160" w:after="100"/>
      <w:outlineLvl w:val="2"/>
    </w:pPr>
    <w:rPr>
      <w:rFonts w:asciiTheme="majorHAnsi" w:eastAsiaTheme="majorEastAsia" w:hAnsiTheme="majorHAnsi" w:cstheme="majorBidi"/>
      <w:b/>
      <w:bCs/>
      <w:color w:val="2A9D8F"/>
      <w:sz w:val="30"/>
    </w:rPr>
  </w:style>
  <w:style w:type="paragraph" w:styleId="4">
    <w:name w:val="heading 4"/>
    <w:basedOn w:val="a1"/>
    <w:next w:val="a1"/>
    <w:link w:val="4Char"/>
    <w:uiPriority w:val="9"/>
    <w:semiHidden/>
    <w:unhideWhenUsed/>
    <w:qFormat/>
    <w:rsid w:val="00FC693F"/>
    <w:pPr>
      <w:keepNext/>
      <w:keepLines/>
      <w:spacing w:before="160" w:after="100"/>
      <w:outlineLvl w:val="3"/>
    </w:pPr>
    <w:rPr>
      <w:rFonts w:asciiTheme="majorHAnsi" w:eastAsiaTheme="majorEastAsia" w:hAnsiTheme="majorHAnsi" w:cstheme="majorBidi"/>
      <w:b/>
      <w:bCs/>
      <w:i/>
      <w:iCs/>
      <w:color w:val="1F2937"/>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Char">
    <w:name w:val="رأس الصفحة Char"/>
    <w:basedOn w:val="a2"/>
    <w:link w:val="a5"/>
    <w:uiPriority w:val="99"/>
    <w:qFormat/>
    <w:rsid w:val="00E618BF"/>
  </w:style>
  <w:style w:type="character" w:customStyle="1" w:styleId="Char0">
    <w:name w:val="تذييل الصفحة Char"/>
    <w:basedOn w:val="a2"/>
    <w:link w:val="a6"/>
    <w:uiPriority w:val="99"/>
    <w:qFormat/>
    <w:rsid w:val="00E618BF"/>
  </w:style>
  <w:style w:type="character" w:customStyle="1" w:styleId="1Char">
    <w:name w:val="العنوان 1 Char"/>
    <w:basedOn w:val="a2"/>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qFormat/>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qFormat/>
    <w:rsid w:val="00FC693F"/>
    <w:rPr>
      <w:rFonts w:asciiTheme="majorHAnsi" w:eastAsiaTheme="majorEastAsia" w:hAnsiTheme="majorHAnsi" w:cstheme="majorBidi"/>
      <w:b/>
      <w:bCs/>
      <w:color w:val="4F81BD" w:themeColor="accent1"/>
    </w:rPr>
  </w:style>
  <w:style w:type="character" w:customStyle="1" w:styleId="Char1">
    <w:name w:val="العنوان Char"/>
    <w:basedOn w:val="a2"/>
    <w:link w:val="a7"/>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Char2">
    <w:name w:val="عنوان فرعي Char"/>
    <w:basedOn w:val="a2"/>
    <w:link w:val="a8"/>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Char3">
    <w:name w:val="نص أساسي Char"/>
    <w:basedOn w:val="a2"/>
    <w:link w:val="a9"/>
    <w:uiPriority w:val="99"/>
    <w:qFormat/>
    <w:rsid w:val="00AA1D8D"/>
  </w:style>
  <w:style w:type="character" w:customStyle="1" w:styleId="2Char0">
    <w:name w:val="نص أساسي 2 Char"/>
    <w:basedOn w:val="a2"/>
    <w:link w:val="22"/>
    <w:uiPriority w:val="99"/>
    <w:qFormat/>
    <w:rsid w:val="00AA1D8D"/>
  </w:style>
  <w:style w:type="character" w:customStyle="1" w:styleId="3Char0">
    <w:name w:val="نص أساسي 3 Char"/>
    <w:basedOn w:val="a2"/>
    <w:link w:val="32"/>
    <w:uiPriority w:val="99"/>
    <w:qFormat/>
    <w:rsid w:val="00AA1D8D"/>
    <w:rPr>
      <w:sz w:val="16"/>
      <w:szCs w:val="16"/>
    </w:rPr>
  </w:style>
  <w:style w:type="character" w:customStyle="1" w:styleId="Char4">
    <w:name w:val="نص ماكرو Char"/>
    <w:basedOn w:val="a2"/>
    <w:link w:val="aa"/>
    <w:uiPriority w:val="99"/>
    <w:qFormat/>
    <w:rsid w:val="0029639D"/>
    <w:rPr>
      <w:rFonts w:ascii="Courier" w:hAnsi="Courier"/>
      <w:sz w:val="20"/>
      <w:szCs w:val="20"/>
    </w:rPr>
  </w:style>
  <w:style w:type="character" w:customStyle="1" w:styleId="Char5">
    <w:name w:val="اقتباس Char"/>
    <w:basedOn w:val="a2"/>
    <w:link w:val="ab"/>
    <w:uiPriority w:val="29"/>
    <w:qFormat/>
    <w:rsid w:val="00FC693F"/>
    <w:rPr>
      <w:i/>
      <w:iCs/>
      <w:color w:val="000000" w:themeColor="text1"/>
    </w:rPr>
  </w:style>
  <w:style w:type="character" w:customStyle="1" w:styleId="4Char">
    <w:name w:val="عنوان 4 Char"/>
    <w:basedOn w:val="a2"/>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ac">
    <w:name w:val="Strong"/>
    <w:basedOn w:val="a2"/>
    <w:uiPriority w:val="22"/>
    <w:qFormat/>
    <w:rsid w:val="00FC693F"/>
    <w:rPr>
      <w:b/>
      <w:bCs/>
    </w:rPr>
  </w:style>
  <w:style w:type="character" w:styleId="ad">
    <w:name w:val="Emphasis"/>
    <w:basedOn w:val="a2"/>
    <w:uiPriority w:val="20"/>
    <w:qFormat/>
    <w:rsid w:val="00FC693F"/>
    <w:rPr>
      <w:i/>
      <w:iCs/>
    </w:rPr>
  </w:style>
  <w:style w:type="character" w:customStyle="1" w:styleId="Char6">
    <w:name w:val="اقتباس مكثف Char"/>
    <w:basedOn w:val="a2"/>
    <w:link w:val="ae"/>
    <w:uiPriority w:val="30"/>
    <w:qFormat/>
    <w:rsid w:val="00FC693F"/>
    <w:rPr>
      <w:b/>
      <w:bCs/>
      <w:i/>
      <w:iCs/>
      <w:color w:val="4F81BD" w:themeColor="accent1"/>
    </w:rPr>
  </w:style>
  <w:style w:type="character" w:styleId="af">
    <w:name w:val="Subtle Emphasis"/>
    <w:basedOn w:val="a2"/>
    <w:uiPriority w:val="19"/>
    <w:qFormat/>
    <w:rsid w:val="00FC693F"/>
    <w:rPr>
      <w:i/>
      <w:iCs/>
      <w:color w:val="808080" w:themeColor="text1" w:themeTint="7F"/>
    </w:rPr>
  </w:style>
  <w:style w:type="character" w:styleId="af0">
    <w:name w:val="Intense Emphasis"/>
    <w:basedOn w:val="a2"/>
    <w:uiPriority w:val="21"/>
    <w:qFormat/>
    <w:rsid w:val="00FC693F"/>
    <w:rPr>
      <w:b/>
      <w:bCs/>
      <w:i/>
      <w:iCs/>
      <w:color w:val="4F81BD" w:themeColor="accent1"/>
    </w:rPr>
  </w:style>
  <w:style w:type="character" w:styleId="af1">
    <w:name w:val="Subtle Reference"/>
    <w:basedOn w:val="a2"/>
    <w:uiPriority w:val="31"/>
    <w:qFormat/>
    <w:rsid w:val="00FC693F"/>
    <w:rPr>
      <w:smallCaps/>
      <w:color w:val="C0504D" w:themeColor="accent2"/>
      <w:u w:val="single"/>
    </w:rPr>
  </w:style>
  <w:style w:type="character" w:styleId="af2">
    <w:name w:val="Intense Reference"/>
    <w:basedOn w:val="a2"/>
    <w:uiPriority w:val="32"/>
    <w:qFormat/>
    <w:rsid w:val="00FC693F"/>
    <w:rPr>
      <w:b/>
      <w:bCs/>
      <w:smallCaps/>
      <w:color w:val="C0504D" w:themeColor="accent2"/>
      <w:spacing w:val="5"/>
      <w:u w:val="single"/>
    </w:rPr>
  </w:style>
  <w:style w:type="character" w:styleId="af3">
    <w:name w:val="Book Title"/>
    <w:basedOn w:val="a2"/>
    <w:uiPriority w:val="33"/>
    <w:qFormat/>
    <w:rsid w:val="00FC693F"/>
    <w:rPr>
      <w:b/>
      <w:bCs/>
      <w:smallCaps/>
      <w:spacing w:val="5"/>
    </w:rPr>
  </w:style>
  <w:style w:type="character" w:styleId="Hyperlink">
    <w:name w:val="Hyperlink"/>
    <w:uiPriority w:val="99"/>
    <w:rPr>
      <w:color w:val="000080"/>
      <w:u w:val="single"/>
    </w:rPr>
  </w:style>
  <w:style w:type="character" w:customStyle="1" w:styleId="IndexLink">
    <w:name w:val="Index Link"/>
    <w:qFormat/>
  </w:style>
  <w:style w:type="paragraph" w:customStyle="1" w:styleId="Heading">
    <w:name w:val="Heading"/>
    <w:basedOn w:val="a1"/>
    <w:next w:val="a9"/>
    <w:qFormat/>
    <w:pPr>
      <w:keepNext/>
      <w:spacing w:before="240"/>
    </w:pPr>
    <w:rPr>
      <w:rFonts w:ascii="Liberation Sans" w:eastAsia="Noto Sans CJK SC" w:hAnsi="Liberation Sans" w:cs="Lohit Devanagari"/>
      <w:szCs w:val="28"/>
    </w:rPr>
  </w:style>
  <w:style w:type="paragraph" w:styleId="a9">
    <w:name w:val="Body Text"/>
    <w:basedOn w:val="a1"/>
    <w:link w:val="Char3"/>
    <w:uiPriority w:val="99"/>
    <w:unhideWhenUsed/>
    <w:rsid w:val="00AA1D8D"/>
  </w:style>
  <w:style w:type="paragraph" w:styleId="af4">
    <w:name w:val="List"/>
    <w:basedOn w:val="a1"/>
    <w:uiPriority w:val="99"/>
    <w:unhideWhenUsed/>
    <w:rsid w:val="00AA1D8D"/>
    <w:pPr>
      <w:ind w:left="360" w:hanging="360"/>
      <w:contextualSpacing/>
    </w:p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a1"/>
    <w:qFormat/>
    <w:pPr>
      <w:suppressLineNumbers/>
    </w:pPr>
    <w:rPr>
      <w:rFonts w:cs="Lohit Devanagari"/>
    </w:rPr>
  </w:style>
  <w:style w:type="paragraph" w:customStyle="1" w:styleId="HeaderandFooter">
    <w:name w:val="Header and Footer"/>
    <w:basedOn w:val="a1"/>
    <w:qFormat/>
  </w:style>
  <w:style w:type="paragraph" w:styleId="a5">
    <w:name w:val="header"/>
    <w:basedOn w:val="a1"/>
    <w:link w:val="Char"/>
    <w:uiPriority w:val="99"/>
    <w:unhideWhenUsed/>
    <w:rsid w:val="00E618BF"/>
    <w:pPr>
      <w:tabs>
        <w:tab w:val="center" w:pos="4680"/>
        <w:tab w:val="right" w:pos="9360"/>
      </w:tabs>
      <w:spacing w:after="0" w:line="240" w:lineRule="auto"/>
    </w:pPr>
  </w:style>
  <w:style w:type="paragraph" w:styleId="a6">
    <w:name w:val="footer"/>
    <w:basedOn w:val="a1"/>
    <w:link w:val="Char0"/>
    <w:uiPriority w:val="99"/>
    <w:unhideWhenUsed/>
    <w:rsid w:val="00E618BF"/>
    <w:pPr>
      <w:tabs>
        <w:tab w:val="center" w:pos="4680"/>
        <w:tab w:val="right" w:pos="9360"/>
      </w:tabs>
      <w:spacing w:after="0" w:line="240" w:lineRule="auto"/>
    </w:pPr>
  </w:style>
  <w:style w:type="paragraph" w:styleId="af6">
    <w:name w:val="No Spacing"/>
    <w:uiPriority w:val="1"/>
    <w:qFormat/>
    <w:rsid w:val="00FC693F"/>
  </w:style>
  <w:style w:type="paragraph" w:styleId="a7">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a8">
    <w:name w:val="Subtitle"/>
    <w:basedOn w:val="a1"/>
    <w:next w:val="a1"/>
    <w:link w:val="Char2"/>
    <w:uiPriority w:val="11"/>
    <w:qFormat/>
    <w:rsid w:val="00FC693F"/>
    <w:rPr>
      <w:rFonts w:asciiTheme="majorHAnsi" w:eastAsiaTheme="majorEastAsia" w:hAnsiTheme="majorHAnsi" w:cstheme="majorBidi"/>
      <w:i/>
      <w:iCs/>
      <w:color w:val="4F81BD" w:themeColor="accent1"/>
      <w:spacing w:val="15"/>
      <w:sz w:val="24"/>
      <w:szCs w:val="24"/>
    </w:rPr>
  </w:style>
  <w:style w:type="paragraph" w:styleId="af7">
    <w:name w:val="List Paragraph"/>
    <w:basedOn w:val="a1"/>
    <w:uiPriority w:val="34"/>
    <w:qFormat/>
    <w:rsid w:val="00FC693F"/>
    <w:pPr>
      <w:ind w:left="720"/>
      <w:contextualSpacing/>
    </w:pPr>
  </w:style>
  <w:style w:type="paragraph" w:styleId="22">
    <w:name w:val="Body Text 2"/>
    <w:basedOn w:val="a1"/>
    <w:link w:val="2Char0"/>
    <w:uiPriority w:val="99"/>
    <w:unhideWhenUsed/>
    <w:qFormat/>
    <w:rsid w:val="00AA1D8D"/>
    <w:pPr>
      <w:spacing w:line="480" w:lineRule="auto"/>
    </w:pPr>
  </w:style>
  <w:style w:type="paragraph" w:styleId="32">
    <w:name w:val="Body Text 3"/>
    <w:basedOn w:val="a1"/>
    <w:link w:val="3Char0"/>
    <w:uiPriority w:val="99"/>
    <w:unhideWhenUsed/>
    <w:qFormat/>
    <w:rsid w:val="00AA1D8D"/>
    <w:rPr>
      <w:sz w:val="16"/>
      <w:szCs w:val="16"/>
    </w:rPr>
  </w:style>
  <w:style w:type="paragraph" w:styleId="23">
    <w:name w:val="List 2"/>
    <w:basedOn w:val="a1"/>
    <w:uiPriority w:val="99"/>
    <w:unhideWhenUsed/>
    <w:qFormat/>
    <w:rsid w:val="00326F90"/>
    <w:pPr>
      <w:ind w:left="720" w:hanging="360"/>
      <w:contextualSpacing/>
    </w:pPr>
  </w:style>
  <w:style w:type="paragraph" w:styleId="33">
    <w:name w:val="List 3"/>
    <w:basedOn w:val="a1"/>
    <w:uiPriority w:val="99"/>
    <w:unhideWhenUsed/>
    <w:qFormat/>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f8">
    <w:name w:val="List Continue"/>
    <w:basedOn w:val="a1"/>
    <w:uiPriority w:val="99"/>
    <w:unhideWhenUsed/>
    <w:rsid w:val="0029639D"/>
    <w:pPr>
      <w:ind w:left="360"/>
      <w:contextualSpacing/>
    </w:pPr>
  </w:style>
  <w:style w:type="paragraph" w:styleId="24">
    <w:name w:val="List Continue 2"/>
    <w:basedOn w:val="a1"/>
    <w:uiPriority w:val="99"/>
    <w:unhideWhenUsed/>
    <w:rsid w:val="0029639D"/>
    <w:pPr>
      <w:ind w:left="720"/>
      <w:contextualSpacing/>
    </w:pPr>
  </w:style>
  <w:style w:type="paragraph" w:styleId="34">
    <w:name w:val="List Continue 3"/>
    <w:basedOn w:val="a1"/>
    <w:uiPriority w:val="99"/>
    <w:unhideWhenUsed/>
    <w:rsid w:val="0029639D"/>
    <w:pPr>
      <w:ind w:left="1080"/>
      <w:contextualSpacing/>
    </w:pPr>
  </w:style>
  <w:style w:type="paragraph" w:styleId="aa">
    <w:name w:val="macro"/>
    <w:link w:val="Char4"/>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ab">
    <w:name w:val="Quote"/>
    <w:basedOn w:val="a1"/>
    <w:next w:val="a1"/>
    <w:link w:val="Char5"/>
    <w:uiPriority w:val="29"/>
    <w:qFormat/>
    <w:rsid w:val="00FC693F"/>
    <w:rPr>
      <w:i/>
      <w:iCs/>
      <w:color w:val="000000" w:themeColor="text1"/>
    </w:rPr>
  </w:style>
  <w:style w:type="paragraph" w:styleId="ae">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9">
    <w:name w:val="index heading"/>
    <w:basedOn w:val="Heading"/>
  </w:style>
  <w:style w:type="paragraph" w:styleId="afa">
    <w:name w:val="TOC Heading"/>
    <w:basedOn w:val="1"/>
    <w:next w:val="a1"/>
    <w:uiPriority w:val="39"/>
    <w:semiHidden/>
    <w:unhideWhenUsed/>
    <w:qFormat/>
    <w:rsid w:val="00FC693F"/>
    <w:pPr>
      <w:outlineLvl w:val="9"/>
    </w:pPr>
  </w:style>
  <w:style w:type="paragraph" w:styleId="10">
    <w:name w:val="toc 1"/>
    <w:basedOn w:val="Index"/>
    <w:uiPriority w:val="39"/>
    <w:pPr>
      <w:tabs>
        <w:tab w:val="right" w:leader="dot" w:pos="9185"/>
      </w:tabs>
    </w:pPr>
  </w:style>
  <w:style w:type="paragraph" w:styleId="25">
    <w:name w:val="toc 2"/>
    <w:basedOn w:val="Index"/>
    <w:uiPriority w:val="39"/>
    <w:pPr>
      <w:tabs>
        <w:tab w:val="right" w:leader="dot" w:pos="8902"/>
      </w:tabs>
      <w:ind w:left="283"/>
    </w:pPr>
  </w:style>
  <w:style w:type="table" w:styleId="afb">
    <w:name w:val="Table Grid"/>
    <w:basedOn w:val="a3"/>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d">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e">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0">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1">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2">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36">
    <w:name w:val="toc 3"/>
    <w:basedOn w:val="a1"/>
    <w:next w:val="a1"/>
    <w:autoRedefine/>
    <w:uiPriority w:val="39"/>
    <w:unhideWhenUsed/>
    <w:rsid w:val="002A3615"/>
    <w:pPr>
      <w:suppressAutoHyphens w:val="0"/>
      <w:spacing w:after="100" w:line="259" w:lineRule="auto"/>
      <w:ind w:left="440"/>
    </w:pPr>
    <w:rPr>
      <w:rFonts w:asciiTheme="minorHAnsi" w:hAnsiTheme="minorHAnsi" w:cstheme="minorBidi"/>
      <w:sz w:val="22"/>
    </w:rPr>
  </w:style>
  <w:style w:type="paragraph" w:styleId="40">
    <w:name w:val="toc 4"/>
    <w:basedOn w:val="a1"/>
    <w:next w:val="a1"/>
    <w:autoRedefine/>
    <w:uiPriority w:val="39"/>
    <w:unhideWhenUsed/>
    <w:rsid w:val="002A3615"/>
    <w:pPr>
      <w:suppressAutoHyphens w:val="0"/>
      <w:spacing w:after="100" w:line="259" w:lineRule="auto"/>
      <w:ind w:left="660"/>
    </w:pPr>
    <w:rPr>
      <w:rFonts w:asciiTheme="minorHAnsi" w:hAnsiTheme="minorHAnsi" w:cstheme="minorBidi"/>
      <w:sz w:val="22"/>
    </w:rPr>
  </w:style>
  <w:style w:type="paragraph" w:styleId="50">
    <w:name w:val="toc 5"/>
    <w:basedOn w:val="a1"/>
    <w:next w:val="a1"/>
    <w:autoRedefine/>
    <w:uiPriority w:val="39"/>
    <w:unhideWhenUsed/>
    <w:rsid w:val="002A3615"/>
    <w:pPr>
      <w:suppressAutoHyphens w:val="0"/>
      <w:spacing w:after="100" w:line="259" w:lineRule="auto"/>
      <w:ind w:left="880"/>
    </w:pPr>
    <w:rPr>
      <w:rFonts w:asciiTheme="minorHAnsi" w:hAnsiTheme="minorHAnsi" w:cstheme="minorBidi"/>
      <w:sz w:val="22"/>
    </w:rPr>
  </w:style>
  <w:style w:type="paragraph" w:styleId="60">
    <w:name w:val="toc 6"/>
    <w:basedOn w:val="a1"/>
    <w:next w:val="a1"/>
    <w:autoRedefine/>
    <w:uiPriority w:val="39"/>
    <w:unhideWhenUsed/>
    <w:rsid w:val="002A3615"/>
    <w:pPr>
      <w:suppressAutoHyphens w:val="0"/>
      <w:spacing w:after="100" w:line="259" w:lineRule="auto"/>
      <w:ind w:left="1100"/>
    </w:pPr>
    <w:rPr>
      <w:rFonts w:asciiTheme="minorHAnsi" w:hAnsiTheme="minorHAnsi" w:cstheme="minorBidi"/>
      <w:sz w:val="22"/>
    </w:rPr>
  </w:style>
  <w:style w:type="paragraph" w:styleId="70">
    <w:name w:val="toc 7"/>
    <w:basedOn w:val="a1"/>
    <w:next w:val="a1"/>
    <w:autoRedefine/>
    <w:uiPriority w:val="39"/>
    <w:unhideWhenUsed/>
    <w:rsid w:val="002A3615"/>
    <w:pPr>
      <w:suppressAutoHyphens w:val="0"/>
      <w:spacing w:after="100" w:line="259" w:lineRule="auto"/>
      <w:ind w:left="1320"/>
    </w:pPr>
    <w:rPr>
      <w:rFonts w:asciiTheme="minorHAnsi" w:hAnsiTheme="minorHAnsi" w:cstheme="minorBidi"/>
      <w:sz w:val="22"/>
    </w:rPr>
  </w:style>
  <w:style w:type="paragraph" w:styleId="80">
    <w:name w:val="toc 8"/>
    <w:basedOn w:val="a1"/>
    <w:next w:val="a1"/>
    <w:autoRedefine/>
    <w:uiPriority w:val="39"/>
    <w:unhideWhenUsed/>
    <w:rsid w:val="002A3615"/>
    <w:pPr>
      <w:suppressAutoHyphens w:val="0"/>
      <w:spacing w:after="100" w:line="259" w:lineRule="auto"/>
      <w:ind w:left="1540"/>
    </w:pPr>
    <w:rPr>
      <w:rFonts w:asciiTheme="minorHAnsi" w:hAnsiTheme="minorHAnsi" w:cstheme="minorBidi"/>
      <w:sz w:val="22"/>
    </w:rPr>
  </w:style>
  <w:style w:type="paragraph" w:styleId="90">
    <w:name w:val="toc 9"/>
    <w:basedOn w:val="a1"/>
    <w:next w:val="a1"/>
    <w:autoRedefine/>
    <w:uiPriority w:val="39"/>
    <w:unhideWhenUsed/>
    <w:rsid w:val="002A3615"/>
    <w:pPr>
      <w:suppressAutoHyphens w:val="0"/>
      <w:spacing w:after="100" w:line="259" w:lineRule="auto"/>
      <w:ind w:left="1760"/>
    </w:pPr>
    <w:rPr>
      <w:rFonts w:asciiTheme="minorHAnsi" w:hAnsiTheme="minorHAnsi" w:cstheme="minorBidi"/>
      <w:sz w:val="22"/>
    </w:rPr>
  </w:style>
  <w:style w:type="paragraph" w:styleId="aff3">
    <w:name w:val="Balloon Text"/>
    <w:basedOn w:val="a1"/>
    <w:link w:val="Char7"/>
    <w:uiPriority w:val="99"/>
    <w:semiHidden/>
    <w:unhideWhenUsed/>
    <w:rsid w:val="00765D17"/>
    <w:pPr>
      <w:spacing w:after="0" w:line="240" w:lineRule="auto"/>
    </w:pPr>
    <w:rPr>
      <w:rFonts w:ascii="Tahoma" w:hAnsi="Tahoma" w:cs="Tahoma"/>
      <w:sz w:val="18"/>
      <w:szCs w:val="18"/>
    </w:rPr>
  </w:style>
  <w:style w:type="character" w:customStyle="1" w:styleId="Char7">
    <w:name w:val="نص في بالون Char"/>
    <w:basedOn w:val="a2"/>
    <w:link w:val="aff3"/>
    <w:uiPriority w:val="99"/>
    <w:semiHidden/>
    <w:rsid w:val="00765D1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7D1F0-4C2D-46F9-B3E6-D60D9D3AB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40</Pages>
  <Words>9058</Words>
  <Characters>51633</Characters>
  <Application>Microsoft Office Word</Application>
  <DocSecurity>0</DocSecurity>
  <Lines>430</Lines>
  <Paragraphs>121</Paragraphs>
  <ScaleCrop>false</ScaleCrop>
  <HeadingPairs>
    <vt:vector size="2" baseType="variant">
      <vt:variant>
        <vt:lpstr>العنوان</vt:lpstr>
      </vt:variant>
      <vt:variant>
        <vt:i4>1</vt:i4>
      </vt:variant>
    </vt:vector>
  </HeadingPairs>
  <TitlesOfParts>
    <vt:vector size="1" baseType="lpstr">
      <vt:lpstr>أثر جاهزية تبنّي الذكاء الاصطناعي في المرونة الاستراتيجية للمشروعات الصغيرة والمتوسطة في المملكة العربية السعودية</vt:lpstr>
    </vt:vector>
  </TitlesOfParts>
  <Company>SACC</Company>
  <LinksUpToDate>false</LinksUpToDate>
  <CharactersWithSpaces>60570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جاهزية تبنّي الذكاء الاصطناعي في المرونة الاستراتيجية للمشروعات الصغيرة والمتوسطة في المملكة العربية السعودية</dc:title>
  <dc:subject>رسالة ماجستير في إدارة الأعمال - الدور الوسيط لقدرات إدارة المعرفة</dc:subject>
  <dc:creator>ماجد محمد يوسف سيت</dc:creator>
  <cp:keywords>الذكاء الاصطناعي، الجاهزية، إدارة المعرفة، المرونة الاستراتيجية، المشروعات الصغيرة والمتوسطة، المملكة العربية السعودية</cp:keywords>
  <dc:description>نسخة أكاديمية موسعة؛ الفصل الرابع يتضمن محاكاة تحليلية مُعلنة يجب استبدالها ببيانات ميدانية قبل الإيداع النهائي.</dc:description>
  <cp:lastModifiedBy>Maher</cp:lastModifiedBy>
  <cp:revision>3</cp:revision>
  <cp:lastPrinted>2026-07-20T15:38:00Z</cp:lastPrinted>
  <dcterms:created xsi:type="dcterms:W3CDTF">2026-07-20T15:38:00Z</dcterms:created>
  <dcterms:modified xsi:type="dcterms:W3CDTF">2026-07-20T15:42:00Z</dcterms:modified>
  <dc:language>en-US</dc:language>
</cp:coreProperties>
</file>