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84532" w14:textId="77777777" w:rsidR="003954AC" w:rsidRDefault="00000000">
      <w:pPr>
        <w:bidi/>
        <w:spacing w:before="600" w:after="60"/>
        <w:jc w:val="center"/>
      </w:pPr>
      <w:r>
        <w:rPr>
          <w:b/>
          <w:bCs/>
          <w:color w:val="1F3864"/>
          <w:sz w:val="40"/>
          <w:szCs w:val="40"/>
          <w:rtl/>
        </w:rPr>
        <w:t>تحليل استراتيجي مُفصّل</w:t>
      </w:r>
    </w:p>
    <w:p w14:paraId="1EF35812" w14:textId="77777777" w:rsidR="003954AC" w:rsidRDefault="00000000">
      <w:pPr>
        <w:bidi/>
        <w:spacing w:after="40"/>
        <w:jc w:val="center"/>
      </w:pPr>
      <w:r>
        <w:rPr>
          <w:b/>
          <w:bCs/>
          <w:color w:val="9F3A2A"/>
          <w:sz w:val="30"/>
          <w:szCs w:val="30"/>
          <w:rtl/>
        </w:rPr>
        <w:t>حملة «من صُنع سعوديين» – اليوم الوطني السعودي</w:t>
      </w:r>
    </w:p>
    <w:p w14:paraId="78867A42" w14:textId="77777777" w:rsidR="003954AC" w:rsidRDefault="00000000">
      <w:pPr>
        <w:bidi/>
        <w:spacing w:after="40"/>
        <w:jc w:val="center"/>
      </w:pPr>
      <w:r>
        <w:rPr>
          <w:color w:val="555555"/>
          <w:sz w:val="24"/>
          <w:szCs w:val="24"/>
          <w:rtl/>
        </w:rPr>
        <w:t xml:space="preserve">العلامة التجارية: مجموعة الاتصالات السعودية </w:t>
      </w:r>
      <w:proofErr w:type="spellStart"/>
      <w:r>
        <w:rPr>
          <w:color w:val="555555"/>
          <w:sz w:val="24"/>
          <w:szCs w:val="24"/>
          <w:rtl/>
        </w:rPr>
        <w:t>stc</w:t>
      </w:r>
      <w:proofErr w:type="spellEnd"/>
    </w:p>
    <w:p w14:paraId="5A0D405E" w14:textId="77777777" w:rsidR="003954AC" w:rsidRDefault="00000000">
      <w:pPr>
        <w:bidi/>
        <w:spacing w:after="400"/>
        <w:jc w:val="center"/>
      </w:pPr>
      <w:r>
        <w:rPr>
          <w:i/>
          <w:iCs/>
          <w:color w:val="555555"/>
          <w:sz w:val="20"/>
          <w:szCs w:val="20"/>
          <w:rtl/>
        </w:rPr>
        <w:t>تحليل الجمهور المستهدف وفق محاور العرض التقديمي</w:t>
      </w:r>
    </w:p>
    <w:p w14:paraId="496B42DE" w14:textId="77777777" w:rsidR="003954AC" w:rsidRDefault="00000000" w:rsidP="00345BBA">
      <w:pPr>
        <w:pStyle w:val="Heading1"/>
        <w:pBdr>
          <w:bottom w:val="single" w:sz="12" w:space="6" w:color="9F3A2A"/>
        </w:pBdr>
        <w:bidi/>
        <w:spacing w:before="320" w:after="160"/>
      </w:pPr>
      <w:r>
        <w:rPr>
          <w:b/>
          <w:bCs/>
          <w:color w:val="1F3864"/>
          <w:sz w:val="30"/>
          <w:szCs w:val="30"/>
          <w:rtl/>
        </w:rPr>
        <w:t>تمهيد</w:t>
      </w:r>
    </w:p>
    <w:p w14:paraId="32F12DFE" w14:textId="77777777" w:rsidR="003954AC" w:rsidRDefault="00000000" w:rsidP="00345BBA">
      <w:pPr>
        <w:bidi/>
        <w:spacing w:after="120" w:line="300" w:lineRule="auto"/>
      </w:pPr>
      <w:r>
        <w:rPr>
          <w:rtl/>
        </w:rPr>
        <w:t xml:space="preserve">يتناول هذا المستند تحليلاً مُفصّلاً لكل محور من محاور تحليل الجمهور المستهدف الواردة في العرض التقديمي لإعلان حملة اليوم الوطني السعودي التي أطلقتها مجموعة </w:t>
      </w:r>
      <w:proofErr w:type="spellStart"/>
      <w:r>
        <w:rPr>
          <w:rtl/>
        </w:rPr>
        <w:t>stc</w:t>
      </w:r>
      <w:proofErr w:type="spellEnd"/>
      <w:r>
        <w:rPr>
          <w:rtl/>
        </w:rPr>
        <w:t xml:space="preserve">. ويجمع التحليل بين قراءة المحتوى الإبداعي للإعلان، والأطر النظرية المُعتمَدة في تحليل الجمهور والإقناع (الخصائص الديموغرافية </w:t>
      </w:r>
      <w:proofErr w:type="spellStart"/>
      <w:r>
        <w:rPr>
          <w:rtl/>
        </w:rPr>
        <w:t>والسيكوجرافية</w:t>
      </w:r>
      <w:proofErr w:type="spellEnd"/>
      <w:r>
        <w:rPr>
          <w:rtl/>
        </w:rPr>
        <w:t>، وتحليل الموقف، وتحليل المشاعر، وتحليل المنصات والمنافسين)، مع الاستشهاد بالمصادر الأكاديمية والإخبارية الموثّقة في نهاية المستند.</w:t>
      </w:r>
    </w:p>
    <w:p w14:paraId="697E3FF7" w14:textId="77777777" w:rsidR="003954AC" w:rsidRDefault="00000000" w:rsidP="00345BBA">
      <w:pPr>
        <w:bidi/>
        <w:spacing w:after="120" w:line="300" w:lineRule="auto"/>
      </w:pPr>
      <w:r>
        <w:rPr>
          <w:i/>
          <w:iCs/>
          <w:color w:val="555555"/>
          <w:rtl/>
        </w:rPr>
        <w:t xml:space="preserve">ملاحظة منهجية مهمّة: الأرقام الرقمية الواردة في العرض (المشاهدات، </w:t>
      </w:r>
      <w:proofErr w:type="spellStart"/>
      <w:r>
        <w:rPr>
          <w:i/>
          <w:iCs/>
          <w:color w:val="555555"/>
          <w:rtl/>
        </w:rPr>
        <w:t>الإعجابات</w:t>
      </w:r>
      <w:proofErr w:type="spellEnd"/>
      <w:r>
        <w:rPr>
          <w:i/>
          <w:iCs/>
          <w:color w:val="555555"/>
          <w:rtl/>
        </w:rPr>
        <w:t>، التعليقات، توزيع المنصات، ونِسَب المشاعر) هي تقديرات توضيحية لأغراض التدريب، وقد رُوجعت في هذا التحليل في ضوء ما هو مُتاح من مصادر منشورة عن الحملة. وحيثما توفّر رقم مُوثّق من مصدر خارجي جرت الإشارة إليه صراحةً.</w:t>
      </w:r>
    </w:p>
    <w:p w14:paraId="2B68C6A4" w14:textId="77777777" w:rsidR="003954AC" w:rsidRDefault="00000000" w:rsidP="00345BBA">
      <w:pPr>
        <w:bidi/>
      </w:pPr>
      <w:r>
        <w:br w:type="page"/>
      </w:r>
    </w:p>
    <w:p w14:paraId="6D99483C" w14:textId="77777777" w:rsidR="003954AC" w:rsidRDefault="00000000" w:rsidP="00345BBA">
      <w:pPr>
        <w:pStyle w:val="Heading1"/>
        <w:pBdr>
          <w:bottom w:val="single" w:sz="12" w:space="6" w:color="9F3A2A"/>
        </w:pBdr>
        <w:bidi/>
        <w:spacing w:before="320" w:after="160"/>
      </w:pPr>
      <w:r>
        <w:rPr>
          <w:b/>
          <w:bCs/>
          <w:color w:val="1F3864"/>
          <w:sz w:val="30"/>
          <w:szCs w:val="30"/>
          <w:rtl/>
        </w:rPr>
        <w:lastRenderedPageBreak/>
        <w:t>أولاً: تحديد الجمهور المستهدف (</w:t>
      </w:r>
      <w:proofErr w:type="spellStart"/>
      <w:r>
        <w:rPr>
          <w:b/>
          <w:bCs/>
          <w:color w:val="1F3864"/>
          <w:sz w:val="30"/>
          <w:szCs w:val="30"/>
          <w:rtl/>
        </w:rPr>
        <w:t>Target</w:t>
      </w:r>
      <w:proofErr w:type="spellEnd"/>
      <w:r>
        <w:rPr>
          <w:b/>
          <w:bCs/>
          <w:color w:val="1F3864"/>
          <w:sz w:val="30"/>
          <w:szCs w:val="30"/>
          <w:rtl/>
        </w:rPr>
        <w:t xml:space="preserve"> </w:t>
      </w:r>
      <w:proofErr w:type="spellStart"/>
      <w:r>
        <w:rPr>
          <w:b/>
          <w:bCs/>
          <w:color w:val="1F3864"/>
          <w:sz w:val="30"/>
          <w:szCs w:val="30"/>
          <w:rtl/>
        </w:rPr>
        <w:t>Audience</w:t>
      </w:r>
      <w:proofErr w:type="spellEnd"/>
      <w:r>
        <w:rPr>
          <w:b/>
          <w:bCs/>
          <w:color w:val="1F3864"/>
          <w:sz w:val="30"/>
          <w:szCs w:val="30"/>
          <w:rtl/>
        </w:rPr>
        <w:t>)</w:t>
      </w:r>
    </w:p>
    <w:p w14:paraId="2C750AA7" w14:textId="77777777" w:rsidR="003954AC" w:rsidRDefault="00000000" w:rsidP="00345BBA">
      <w:pPr>
        <w:bidi/>
        <w:spacing w:after="120" w:line="300" w:lineRule="auto"/>
      </w:pPr>
      <w:r>
        <w:rPr>
          <w:rtl/>
        </w:rPr>
        <w:t>تحليل الجمهور المستهدف هو عملية دراسة اهتمامات فئة معينة وموقعها وسماتها الديموغرافية وسلوكها الرقمي والاجتماعي وتفضيلاتها، بما يتيح فهم العملاء المحتملين وتصنيفهم واتخاذ قرارات تسويقية مبنية على بيانات [1]. وعلى هذا الأساس يمكن تفكيك جمهور حملة «من صُنع سعوديين» إلى المستويات التالية:</w:t>
      </w:r>
    </w:p>
    <w:p w14:paraId="21266F07" w14:textId="77777777" w:rsidR="003954AC" w:rsidRDefault="00000000" w:rsidP="00345BBA">
      <w:pPr>
        <w:pStyle w:val="Heading2"/>
        <w:bidi/>
        <w:spacing w:before="220" w:after="100"/>
      </w:pPr>
      <w:r>
        <w:rPr>
          <w:b/>
          <w:bCs/>
          <w:color w:val="9F3A2A"/>
          <w:sz w:val="25"/>
          <w:szCs w:val="25"/>
          <w:rtl/>
        </w:rPr>
        <w:t>1) الجمهور الأساسي</w:t>
      </w:r>
    </w:p>
    <w:p w14:paraId="5A7E2886" w14:textId="77777777" w:rsidR="003954AC" w:rsidRDefault="00000000" w:rsidP="00345BBA">
      <w:pPr>
        <w:pStyle w:val="ListParagraph"/>
        <w:numPr>
          <w:ilvl w:val="0"/>
          <w:numId w:val="2"/>
        </w:numPr>
        <w:bidi/>
        <w:spacing w:after="70" w:line="290" w:lineRule="auto"/>
      </w:pPr>
      <w:r>
        <w:rPr>
          <w:b/>
          <w:bCs/>
          <w:color w:val="1F3864"/>
          <w:rtl/>
        </w:rPr>
        <w:t xml:space="preserve">الفئة: </w:t>
      </w:r>
      <w:r>
        <w:rPr>
          <w:rtl/>
        </w:rPr>
        <w:t>المواطنون والمقيمون داخل المملكة العربية السعودية من الشباب والعائلات والمهنيين (18–45 سنة).</w:t>
      </w:r>
    </w:p>
    <w:p w14:paraId="34E5735F" w14:textId="77777777" w:rsidR="003954AC" w:rsidRDefault="00000000" w:rsidP="00345BBA">
      <w:pPr>
        <w:bidi/>
        <w:spacing w:after="120" w:line="300" w:lineRule="auto"/>
      </w:pPr>
      <w:r>
        <w:rPr>
          <w:rtl/>
        </w:rPr>
        <w:t xml:space="preserve">تحليل: تُعدّ هذه الفئة القلب النابض لسوق الاتصالات، فهي الأكثر استهلاكاً للبيانات والخدمات الرقمية والأكثر حضوراً على منصات التواصل. واختيارها كجمهور أساسي يتّسق مع طبيعة </w:t>
      </w:r>
      <w:proofErr w:type="spellStart"/>
      <w:r>
        <w:rPr>
          <w:rtl/>
        </w:rPr>
        <w:t>stc</w:t>
      </w:r>
      <w:proofErr w:type="spellEnd"/>
      <w:r>
        <w:rPr>
          <w:rtl/>
        </w:rPr>
        <w:t xml:space="preserve"> </w:t>
      </w:r>
      <w:proofErr w:type="spellStart"/>
      <w:proofErr w:type="gramStart"/>
      <w:r>
        <w:rPr>
          <w:rtl/>
        </w:rPr>
        <w:t>كـ«</w:t>
      </w:r>
      <w:proofErr w:type="gramEnd"/>
      <w:r>
        <w:rPr>
          <w:rtl/>
        </w:rPr>
        <w:t>ممكّن</w:t>
      </w:r>
      <w:proofErr w:type="spellEnd"/>
      <w:r>
        <w:rPr>
          <w:rtl/>
        </w:rPr>
        <w:t xml:space="preserve"> للتحول الرقمي» في المنطقة، إذ تمتلك المجموعة حصة سوقية واسعة وبنية تحتية رقمية متقدمة تخاطب هذه الشريحة تحديداً [7].</w:t>
      </w:r>
    </w:p>
    <w:p w14:paraId="6187E36B" w14:textId="77777777" w:rsidR="003954AC" w:rsidRDefault="00000000" w:rsidP="00345BBA">
      <w:pPr>
        <w:pStyle w:val="Heading2"/>
        <w:bidi/>
        <w:spacing w:before="220" w:after="100"/>
      </w:pPr>
      <w:r>
        <w:rPr>
          <w:b/>
          <w:bCs/>
          <w:color w:val="9F3A2A"/>
          <w:sz w:val="25"/>
          <w:szCs w:val="25"/>
          <w:rtl/>
        </w:rPr>
        <w:t>2) الجمهور الثانوي</w:t>
      </w:r>
    </w:p>
    <w:p w14:paraId="352C6CE5" w14:textId="77777777" w:rsidR="003954AC" w:rsidRDefault="00000000" w:rsidP="00345BBA">
      <w:pPr>
        <w:pStyle w:val="ListParagraph"/>
        <w:numPr>
          <w:ilvl w:val="0"/>
          <w:numId w:val="2"/>
        </w:numPr>
        <w:bidi/>
        <w:spacing w:after="70" w:line="290" w:lineRule="auto"/>
      </w:pPr>
      <w:r>
        <w:rPr>
          <w:b/>
          <w:bCs/>
          <w:color w:val="1F3864"/>
          <w:rtl/>
        </w:rPr>
        <w:t xml:space="preserve">الفئة: </w:t>
      </w:r>
      <w:r>
        <w:rPr>
          <w:rtl/>
        </w:rPr>
        <w:t>أصحاب الأعمال والحرفيون ورواد الأعمال والجيل الجديد المهتم بالتقنية والابتكار والتراث الوطني.</w:t>
      </w:r>
    </w:p>
    <w:p w14:paraId="045A4BB0" w14:textId="77777777" w:rsidR="003954AC" w:rsidRDefault="00000000" w:rsidP="00345BBA">
      <w:pPr>
        <w:bidi/>
        <w:spacing w:after="120" w:line="300" w:lineRule="auto"/>
      </w:pPr>
      <w:r>
        <w:rPr>
          <w:rtl/>
        </w:rPr>
        <w:t xml:space="preserve">تحليل: يمثّل هذا الجمهور امتداداً استراتيجياً للرسالة؛ فالحملة لا تبيع خدمة اتصالات فحسب، بل تُموضِع </w:t>
      </w:r>
      <w:proofErr w:type="spellStart"/>
      <w:r>
        <w:rPr>
          <w:rtl/>
        </w:rPr>
        <w:t>stc</w:t>
      </w:r>
      <w:proofErr w:type="spellEnd"/>
      <w:r>
        <w:rPr>
          <w:rtl/>
        </w:rPr>
        <w:t xml:space="preserve"> كشريكٍ في التمكين الاقتصادي والصناعي. ومخاطبة رواد الأعمال والحرفيين تربط العلامة التجارية بمنظومة رؤية 2030 القائمة على تنويع الاقتصاد ودعم الصناعة المحلية.</w:t>
      </w:r>
    </w:p>
    <w:p w14:paraId="17163EC9" w14:textId="77777777" w:rsidR="003954AC" w:rsidRDefault="00000000" w:rsidP="00345BBA">
      <w:pPr>
        <w:pStyle w:val="Heading2"/>
        <w:bidi/>
        <w:spacing w:before="220" w:after="100"/>
      </w:pPr>
      <w:r>
        <w:rPr>
          <w:b/>
          <w:bCs/>
          <w:color w:val="9F3A2A"/>
          <w:sz w:val="25"/>
          <w:szCs w:val="25"/>
          <w:rtl/>
        </w:rPr>
        <w:t>3) نوع الجمهور وحجم العيّنة الظاهرة</w:t>
      </w:r>
    </w:p>
    <w:p w14:paraId="4B736010" w14:textId="77777777" w:rsidR="003954AC" w:rsidRDefault="00000000" w:rsidP="00345BBA">
      <w:pPr>
        <w:bidi/>
        <w:spacing w:after="120" w:line="300" w:lineRule="auto"/>
      </w:pPr>
      <w:r>
        <w:rPr>
          <w:rtl/>
        </w:rPr>
        <w:t>الحملة تخاطب جمهوراً عامّاً واسعاً (</w:t>
      </w:r>
      <w:proofErr w:type="spellStart"/>
      <w:r>
        <w:rPr>
          <w:rtl/>
        </w:rPr>
        <w:t>Mass</w:t>
      </w:r>
      <w:proofErr w:type="spellEnd"/>
      <w:r>
        <w:rPr>
          <w:rtl/>
        </w:rPr>
        <w:t xml:space="preserve"> </w:t>
      </w:r>
      <w:proofErr w:type="spellStart"/>
      <w:r>
        <w:rPr>
          <w:rtl/>
        </w:rPr>
        <w:t>Audience</w:t>
      </w:r>
      <w:proofErr w:type="spellEnd"/>
      <w:r>
        <w:rPr>
          <w:rtl/>
        </w:rPr>
        <w:t>) يشمل مختلف الأطياف الثقافية والمهنية. ويتجلّى ذلك في التنوّع الواسع للكوادر الوطنية الظاهرة في الإعلان (مبتكرون، مهندسون، فنانون، صُنّاع، طهاة، وعمال في قطاعات مختلفة). وهذا التنويع في العيّنة ليس تفصيلاً عابراً، بل أداة إقناعية مقصودة تتيح لكل مشاهد أن يجد «نفسه» داخل الإعلان، وهو ما يرفع درجة التماهي والانتماء.</w:t>
      </w:r>
    </w:p>
    <w:p w14:paraId="243924C0" w14:textId="77777777" w:rsidR="003954AC" w:rsidRDefault="00000000" w:rsidP="00345BBA">
      <w:pPr>
        <w:shd w:val="clear" w:color="auto" w:fill="F1F1F1"/>
        <w:bidi/>
        <w:spacing w:before="60" w:after="120"/>
      </w:pPr>
      <w:r>
        <w:rPr>
          <w:b/>
          <w:bCs/>
          <w:color w:val="9F3A2A"/>
          <w:rtl/>
        </w:rPr>
        <w:t xml:space="preserve">استنتاج المحور: </w:t>
      </w:r>
      <w:r>
        <w:rPr>
          <w:rtl/>
        </w:rPr>
        <w:t>تبنّت الحملة استراتيجية «الجمهور الشامل مع رسالة موحّدة»، وهي مناسبة لمناسبة وطنية جامعة، لكنها تتطلب لاحقاً تقسيماً أدقّ (</w:t>
      </w:r>
      <w:proofErr w:type="spellStart"/>
      <w:r>
        <w:rPr>
          <w:rtl/>
        </w:rPr>
        <w:t>Segmentation</w:t>
      </w:r>
      <w:proofErr w:type="spellEnd"/>
      <w:r>
        <w:rPr>
          <w:rtl/>
        </w:rPr>
        <w:t>) عند تحويل الحملة إلى عروض تجارية.</w:t>
      </w:r>
    </w:p>
    <w:p w14:paraId="3F43928C" w14:textId="77777777" w:rsidR="003954AC" w:rsidRDefault="00000000" w:rsidP="00345BBA">
      <w:pPr>
        <w:bidi/>
      </w:pPr>
      <w:r>
        <w:br w:type="page"/>
      </w:r>
    </w:p>
    <w:p w14:paraId="1E59D290" w14:textId="77777777" w:rsidR="003954AC" w:rsidRDefault="00000000" w:rsidP="00345BBA">
      <w:pPr>
        <w:pStyle w:val="Heading1"/>
        <w:pBdr>
          <w:bottom w:val="single" w:sz="12" w:space="6" w:color="9F3A2A"/>
        </w:pBdr>
        <w:bidi/>
        <w:spacing w:before="320" w:after="160"/>
      </w:pPr>
      <w:r>
        <w:rPr>
          <w:b/>
          <w:bCs/>
          <w:color w:val="1F3864"/>
          <w:sz w:val="30"/>
          <w:szCs w:val="30"/>
          <w:rtl/>
        </w:rPr>
        <w:lastRenderedPageBreak/>
        <w:t xml:space="preserve">ثانياً: الخصائص الديموغرافية </w:t>
      </w:r>
      <w:proofErr w:type="spellStart"/>
      <w:r>
        <w:rPr>
          <w:b/>
          <w:bCs/>
          <w:color w:val="1F3864"/>
          <w:sz w:val="30"/>
          <w:szCs w:val="30"/>
          <w:rtl/>
        </w:rPr>
        <w:t>والسيكوجرافية</w:t>
      </w:r>
      <w:proofErr w:type="spellEnd"/>
    </w:p>
    <w:p w14:paraId="76EF9FA6" w14:textId="77777777" w:rsidR="003954AC" w:rsidRDefault="00000000" w:rsidP="00345BBA">
      <w:pPr>
        <w:bidi/>
        <w:spacing w:after="120" w:line="300" w:lineRule="auto"/>
      </w:pPr>
      <w:r>
        <w:rPr>
          <w:rtl/>
        </w:rPr>
        <w:t xml:space="preserve">تُوفّر البيانات الديموغرافية تحليلاً كمّياً يُجيب عن سؤال «مَن الجمهور؟» (العمر، النوع، الدخل، التعليم، الموقع)، بينما تحفر البيانات </w:t>
      </w:r>
      <w:proofErr w:type="spellStart"/>
      <w:r>
        <w:rPr>
          <w:rtl/>
        </w:rPr>
        <w:t>السيكوجرافية</w:t>
      </w:r>
      <w:proofErr w:type="spellEnd"/>
      <w:r>
        <w:rPr>
          <w:rtl/>
        </w:rPr>
        <w:t xml:space="preserve"> أعمق للإجابة عن سؤال «لماذا يسلك الجمهور هذا السلوك؟» عبر القيم والاتجاهات وأنماط الحياة والدوافع [3][5]. وفيما يلي قراءة كل بُعد:</w:t>
      </w:r>
    </w:p>
    <w:p w14:paraId="61CC8C21" w14:textId="77777777" w:rsidR="003954AC" w:rsidRDefault="00000000" w:rsidP="00345BBA">
      <w:pPr>
        <w:pStyle w:val="Heading2"/>
        <w:bidi/>
        <w:spacing w:before="220" w:after="100"/>
      </w:pPr>
      <w:r>
        <w:rPr>
          <w:b/>
          <w:bCs/>
          <w:color w:val="9F3A2A"/>
          <w:sz w:val="25"/>
          <w:szCs w:val="25"/>
          <w:rtl/>
        </w:rPr>
        <w:t>1) الخصائص الديموغرافية (</w:t>
      </w:r>
      <w:proofErr w:type="spellStart"/>
      <w:r>
        <w:rPr>
          <w:b/>
          <w:bCs/>
          <w:color w:val="9F3A2A"/>
          <w:sz w:val="25"/>
          <w:szCs w:val="25"/>
          <w:rtl/>
        </w:rPr>
        <w:t>Demographics</w:t>
      </w:r>
      <w:proofErr w:type="spellEnd"/>
      <w:r>
        <w:rPr>
          <w:b/>
          <w:bCs/>
          <w:color w:val="9F3A2A"/>
          <w:sz w:val="25"/>
          <w:szCs w:val="25"/>
          <w:rtl/>
        </w:rPr>
        <w:t>)</w:t>
      </w:r>
    </w:p>
    <w:p w14:paraId="7F28AC52" w14:textId="77777777" w:rsidR="003954AC" w:rsidRDefault="00000000" w:rsidP="00345BBA">
      <w:pPr>
        <w:pStyle w:val="ListParagraph"/>
        <w:numPr>
          <w:ilvl w:val="0"/>
          <w:numId w:val="2"/>
        </w:numPr>
        <w:bidi/>
        <w:spacing w:after="70" w:line="290" w:lineRule="auto"/>
      </w:pPr>
      <w:r>
        <w:rPr>
          <w:b/>
          <w:bCs/>
          <w:color w:val="1F3864"/>
          <w:rtl/>
        </w:rPr>
        <w:t xml:space="preserve">العمر: </w:t>
      </w:r>
      <w:r>
        <w:rPr>
          <w:rtl/>
        </w:rPr>
        <w:t>من 15 إلى 60+ سنة — مدى واسع يعكس طبيعة المناسبة الوطنية الجامعة.</w:t>
      </w:r>
    </w:p>
    <w:p w14:paraId="5667B9ED" w14:textId="77777777" w:rsidR="003954AC" w:rsidRDefault="00000000" w:rsidP="00345BBA">
      <w:pPr>
        <w:pStyle w:val="ListParagraph"/>
        <w:numPr>
          <w:ilvl w:val="0"/>
          <w:numId w:val="2"/>
        </w:numPr>
        <w:bidi/>
        <w:spacing w:after="70" w:line="290" w:lineRule="auto"/>
      </w:pPr>
      <w:r>
        <w:rPr>
          <w:b/>
          <w:bCs/>
          <w:color w:val="1F3864"/>
          <w:rtl/>
        </w:rPr>
        <w:t xml:space="preserve">النوع: </w:t>
      </w:r>
      <w:r>
        <w:rPr>
          <w:rtl/>
        </w:rPr>
        <w:t>ذكور وإناث بنسبة متوازنة تقريباً (50%/50%)، بما يعزّز شمولية الخطاب.</w:t>
      </w:r>
    </w:p>
    <w:p w14:paraId="6454A7EA" w14:textId="77777777" w:rsidR="003954AC" w:rsidRDefault="00000000" w:rsidP="00345BBA">
      <w:pPr>
        <w:pStyle w:val="ListParagraph"/>
        <w:numPr>
          <w:ilvl w:val="0"/>
          <w:numId w:val="2"/>
        </w:numPr>
        <w:bidi/>
        <w:spacing w:after="70" w:line="290" w:lineRule="auto"/>
      </w:pPr>
      <w:r>
        <w:rPr>
          <w:b/>
          <w:bCs/>
          <w:color w:val="1F3864"/>
          <w:rtl/>
        </w:rPr>
        <w:t xml:space="preserve">الحالة الاجتماعية: </w:t>
      </w:r>
      <w:r>
        <w:rPr>
          <w:rtl/>
        </w:rPr>
        <w:t>أفراد وعائلات، وهو ما يفسّر توظيف مشاهد أسرية ومهنية معاً.</w:t>
      </w:r>
    </w:p>
    <w:p w14:paraId="1EBAAEA7" w14:textId="77777777" w:rsidR="003954AC" w:rsidRDefault="00000000" w:rsidP="00345BBA">
      <w:pPr>
        <w:pStyle w:val="ListParagraph"/>
        <w:numPr>
          <w:ilvl w:val="0"/>
          <w:numId w:val="2"/>
        </w:numPr>
        <w:bidi/>
        <w:spacing w:after="70" w:line="290" w:lineRule="auto"/>
      </w:pPr>
      <w:r>
        <w:rPr>
          <w:b/>
          <w:bCs/>
          <w:color w:val="1F3864"/>
          <w:rtl/>
        </w:rPr>
        <w:t xml:space="preserve">المستوى التعليمي والاقتصادي: </w:t>
      </w:r>
      <w:r>
        <w:rPr>
          <w:rtl/>
        </w:rPr>
        <w:t>كافة المستويات، مع تركيز ضمني على الطبقة المتوسطة والعليا الأكثر إنفاقاً على الخدمات الرقمية.</w:t>
      </w:r>
    </w:p>
    <w:p w14:paraId="7ACAECB2" w14:textId="77777777" w:rsidR="003954AC" w:rsidRDefault="00000000" w:rsidP="00345BBA">
      <w:pPr>
        <w:pStyle w:val="ListParagraph"/>
        <w:numPr>
          <w:ilvl w:val="0"/>
          <w:numId w:val="2"/>
        </w:numPr>
        <w:bidi/>
        <w:spacing w:after="70" w:line="290" w:lineRule="auto"/>
      </w:pPr>
      <w:r>
        <w:rPr>
          <w:b/>
          <w:bCs/>
          <w:color w:val="1F3864"/>
          <w:rtl/>
        </w:rPr>
        <w:t xml:space="preserve">الموقع الجغرافي: </w:t>
      </w:r>
      <w:r>
        <w:rPr>
          <w:rtl/>
        </w:rPr>
        <w:t xml:space="preserve">مختلف مناطق ومحافظات المملكة، اتساقاً مع الانتشار الوطني لشبكة </w:t>
      </w:r>
      <w:proofErr w:type="spellStart"/>
      <w:r>
        <w:rPr>
          <w:rtl/>
        </w:rPr>
        <w:t>stc</w:t>
      </w:r>
      <w:proofErr w:type="spellEnd"/>
      <w:r>
        <w:rPr>
          <w:rtl/>
        </w:rPr>
        <w:t>.</w:t>
      </w:r>
    </w:p>
    <w:p w14:paraId="55E75310" w14:textId="77777777" w:rsidR="003954AC" w:rsidRDefault="00000000" w:rsidP="00345BBA">
      <w:pPr>
        <w:bidi/>
        <w:spacing w:after="120" w:line="300" w:lineRule="auto"/>
      </w:pPr>
      <w:r>
        <w:rPr>
          <w:rtl/>
        </w:rPr>
        <w:t>تحليل: تُستخدَم هذه المتغيّرات كأساسٍ لتقسيم الجمهور وتوجيه الرسالة والوسائط؛ فالتوزيع الديموغرافي الواسع يبرّر اختيار قنوات جماهيرية (التلفزيون والمنصات مفتوحة الوصول) بدلاً من قنوات متخصّصة ضيّقة [4][5].</w:t>
      </w:r>
    </w:p>
    <w:p w14:paraId="266A63F5" w14:textId="77777777" w:rsidR="003954AC" w:rsidRDefault="00000000" w:rsidP="00345BBA">
      <w:pPr>
        <w:pStyle w:val="Heading2"/>
        <w:bidi/>
        <w:spacing w:before="220" w:after="100"/>
      </w:pPr>
      <w:r>
        <w:rPr>
          <w:b/>
          <w:bCs/>
          <w:color w:val="9F3A2A"/>
          <w:sz w:val="25"/>
          <w:szCs w:val="25"/>
          <w:rtl/>
        </w:rPr>
        <w:t xml:space="preserve">2) الخصائص </w:t>
      </w:r>
      <w:proofErr w:type="spellStart"/>
      <w:r>
        <w:rPr>
          <w:b/>
          <w:bCs/>
          <w:color w:val="9F3A2A"/>
          <w:sz w:val="25"/>
          <w:szCs w:val="25"/>
          <w:rtl/>
        </w:rPr>
        <w:t>السيكوجرافية</w:t>
      </w:r>
      <w:proofErr w:type="spellEnd"/>
      <w:r>
        <w:rPr>
          <w:b/>
          <w:bCs/>
          <w:color w:val="9F3A2A"/>
          <w:sz w:val="25"/>
          <w:szCs w:val="25"/>
          <w:rtl/>
        </w:rPr>
        <w:t xml:space="preserve"> (</w:t>
      </w:r>
      <w:proofErr w:type="spellStart"/>
      <w:r>
        <w:rPr>
          <w:b/>
          <w:bCs/>
          <w:color w:val="9F3A2A"/>
          <w:sz w:val="25"/>
          <w:szCs w:val="25"/>
          <w:rtl/>
        </w:rPr>
        <w:t>Psychographics</w:t>
      </w:r>
      <w:proofErr w:type="spellEnd"/>
      <w:r>
        <w:rPr>
          <w:b/>
          <w:bCs/>
          <w:color w:val="9F3A2A"/>
          <w:sz w:val="25"/>
          <w:szCs w:val="25"/>
          <w:rtl/>
        </w:rPr>
        <w:t>)</w:t>
      </w:r>
    </w:p>
    <w:p w14:paraId="5A896AFF" w14:textId="77777777" w:rsidR="003954AC" w:rsidRDefault="00000000" w:rsidP="00345BBA">
      <w:pPr>
        <w:pStyle w:val="ListParagraph"/>
        <w:numPr>
          <w:ilvl w:val="0"/>
          <w:numId w:val="2"/>
        </w:numPr>
        <w:bidi/>
        <w:spacing w:after="70" w:line="290" w:lineRule="auto"/>
      </w:pPr>
      <w:r>
        <w:rPr>
          <w:b/>
          <w:bCs/>
          <w:color w:val="1F3864"/>
          <w:rtl/>
        </w:rPr>
        <w:t xml:space="preserve">نمط الحياة: </w:t>
      </w:r>
      <w:r>
        <w:rPr>
          <w:rtl/>
        </w:rPr>
        <w:t>مجتمع طموح، معتزّ بهويته وصناعاته الوطنية، ومتّصل رقمياً وتقنياً.</w:t>
      </w:r>
    </w:p>
    <w:p w14:paraId="64DA8CEE" w14:textId="77777777" w:rsidR="003954AC" w:rsidRDefault="00000000" w:rsidP="00345BBA">
      <w:pPr>
        <w:pStyle w:val="ListParagraph"/>
        <w:numPr>
          <w:ilvl w:val="0"/>
          <w:numId w:val="2"/>
        </w:numPr>
        <w:bidi/>
        <w:spacing w:after="70" w:line="290" w:lineRule="auto"/>
      </w:pPr>
      <w:r>
        <w:rPr>
          <w:b/>
          <w:bCs/>
          <w:color w:val="1F3864"/>
          <w:rtl/>
        </w:rPr>
        <w:t xml:space="preserve">القيم: </w:t>
      </w:r>
      <w:r>
        <w:rPr>
          <w:rtl/>
        </w:rPr>
        <w:t>الفخر بالمنتج الوطني، الاعتزاز بالصناعة المحلية، الانتماء، والتمكين المتبادل.</w:t>
      </w:r>
    </w:p>
    <w:p w14:paraId="2F5D6D90" w14:textId="77777777" w:rsidR="003954AC" w:rsidRDefault="00000000" w:rsidP="00345BBA">
      <w:pPr>
        <w:pStyle w:val="ListParagraph"/>
        <w:numPr>
          <w:ilvl w:val="0"/>
          <w:numId w:val="2"/>
        </w:numPr>
        <w:bidi/>
        <w:spacing w:after="70" w:line="290" w:lineRule="auto"/>
      </w:pPr>
      <w:r>
        <w:rPr>
          <w:b/>
          <w:bCs/>
          <w:color w:val="1F3864"/>
          <w:rtl/>
        </w:rPr>
        <w:t xml:space="preserve">الاهتمامات: </w:t>
      </w:r>
      <w:r>
        <w:rPr>
          <w:rtl/>
        </w:rPr>
        <w:t>الابتكار المحلي، دعم المشاريع السعودية، التكنولوجيا، والتطوير المستمر.</w:t>
      </w:r>
    </w:p>
    <w:p w14:paraId="2E4104C1" w14:textId="77777777" w:rsidR="003954AC" w:rsidRDefault="00000000" w:rsidP="00345BBA">
      <w:pPr>
        <w:pStyle w:val="ListParagraph"/>
        <w:numPr>
          <w:ilvl w:val="0"/>
          <w:numId w:val="2"/>
        </w:numPr>
        <w:bidi/>
        <w:spacing w:after="70" w:line="290" w:lineRule="auto"/>
      </w:pPr>
      <w:r>
        <w:rPr>
          <w:b/>
          <w:bCs/>
          <w:color w:val="1F3864"/>
          <w:rtl/>
        </w:rPr>
        <w:t xml:space="preserve">الدوافع الشرائية: </w:t>
      </w:r>
      <w:r>
        <w:rPr>
          <w:rtl/>
        </w:rPr>
        <w:t>الرغبة في دعم المنتجات والخدمات الوطنية التي تعكس الجودة والفخر بالهوية.</w:t>
      </w:r>
    </w:p>
    <w:p w14:paraId="0F6038FB" w14:textId="77777777" w:rsidR="003954AC" w:rsidRDefault="00000000" w:rsidP="00345BBA">
      <w:pPr>
        <w:bidi/>
        <w:spacing w:after="120" w:line="300" w:lineRule="auto"/>
      </w:pPr>
      <w:r>
        <w:rPr>
          <w:rtl/>
        </w:rPr>
        <w:t xml:space="preserve">تحليل: تمثّل </w:t>
      </w:r>
      <w:proofErr w:type="spellStart"/>
      <w:r>
        <w:rPr>
          <w:rtl/>
        </w:rPr>
        <w:t>السيكوجرافيا</w:t>
      </w:r>
      <w:proofErr w:type="spellEnd"/>
      <w:r>
        <w:rPr>
          <w:rtl/>
        </w:rPr>
        <w:t xml:space="preserve"> جوهر قوة هذه الحملة. فالبيانات </w:t>
      </w:r>
      <w:proofErr w:type="spellStart"/>
      <w:r>
        <w:rPr>
          <w:rtl/>
        </w:rPr>
        <w:t>السيكوجرافية</w:t>
      </w:r>
      <w:proofErr w:type="spellEnd"/>
      <w:r>
        <w:rPr>
          <w:rtl/>
        </w:rPr>
        <w:t xml:space="preserve"> تصنّف مشاعر الجمهور تجاه المنتج أو الفكرة وتفسّر «لماذا» يتخذ قراره [1][6]. وقد بنت </w:t>
      </w:r>
      <w:proofErr w:type="spellStart"/>
      <w:r>
        <w:rPr>
          <w:rtl/>
        </w:rPr>
        <w:t>stc</w:t>
      </w:r>
      <w:proofErr w:type="spellEnd"/>
      <w:r>
        <w:rPr>
          <w:rtl/>
        </w:rPr>
        <w:t xml:space="preserve"> خطابها على قيمة «الفخر الوطني بالصناعة المحلية»، وهي رافعة عاطفية قوية تتجاوز المنفعة الوظيفية للخدمة إلى الانتماء والهوية — وهو ما يجعل الرسالة أكثر رسوخاً وقابلية للمشاركة.</w:t>
      </w:r>
    </w:p>
    <w:p w14:paraId="7976B8FE" w14:textId="77777777" w:rsidR="003954AC" w:rsidRDefault="00000000" w:rsidP="00345BBA">
      <w:pPr>
        <w:shd w:val="clear" w:color="auto" w:fill="F1F1F1"/>
        <w:bidi/>
        <w:spacing w:before="60" w:after="120"/>
      </w:pPr>
      <w:r>
        <w:rPr>
          <w:b/>
          <w:bCs/>
          <w:color w:val="9F3A2A"/>
          <w:rtl/>
        </w:rPr>
        <w:t xml:space="preserve">استنتاج المحور: </w:t>
      </w:r>
      <w:r>
        <w:rPr>
          <w:rtl/>
        </w:rPr>
        <w:t xml:space="preserve">الدمج بين ديموغرافيا واسعة </w:t>
      </w:r>
      <w:proofErr w:type="spellStart"/>
      <w:r>
        <w:rPr>
          <w:rtl/>
        </w:rPr>
        <w:t>وسيكوجرافيا</w:t>
      </w:r>
      <w:proofErr w:type="spellEnd"/>
      <w:r>
        <w:rPr>
          <w:rtl/>
        </w:rPr>
        <w:t xml:space="preserve"> مُركّزة على «الفخر والتمكين» هو ما منح الحملة عمقها </w:t>
      </w:r>
      <w:proofErr w:type="spellStart"/>
      <w:r>
        <w:rPr>
          <w:rtl/>
        </w:rPr>
        <w:t>الإقناعي</w:t>
      </w:r>
      <w:proofErr w:type="spellEnd"/>
      <w:r>
        <w:rPr>
          <w:rtl/>
        </w:rPr>
        <w:t xml:space="preserve">؛ فالديموغرافيا حدّدت مَن نُخاطب، </w:t>
      </w:r>
      <w:proofErr w:type="spellStart"/>
      <w:r>
        <w:rPr>
          <w:rtl/>
        </w:rPr>
        <w:t>والسيكوجرافيا</w:t>
      </w:r>
      <w:proofErr w:type="spellEnd"/>
      <w:r>
        <w:rPr>
          <w:rtl/>
        </w:rPr>
        <w:t xml:space="preserve"> حدّدت كيف نُقنعه.</w:t>
      </w:r>
    </w:p>
    <w:p w14:paraId="5AA3D0DF" w14:textId="77777777" w:rsidR="003954AC" w:rsidRDefault="00000000" w:rsidP="00345BBA">
      <w:pPr>
        <w:bidi/>
      </w:pPr>
      <w:r>
        <w:br w:type="page"/>
      </w:r>
    </w:p>
    <w:p w14:paraId="5990EABB" w14:textId="77777777" w:rsidR="003954AC" w:rsidRDefault="00000000" w:rsidP="00345BBA">
      <w:pPr>
        <w:pStyle w:val="Heading1"/>
        <w:pBdr>
          <w:bottom w:val="single" w:sz="12" w:space="6" w:color="9F3A2A"/>
        </w:pBdr>
        <w:bidi/>
        <w:spacing w:before="320" w:after="160"/>
      </w:pPr>
      <w:r>
        <w:rPr>
          <w:b/>
          <w:bCs/>
          <w:color w:val="1F3864"/>
          <w:sz w:val="30"/>
          <w:szCs w:val="30"/>
          <w:rtl/>
        </w:rPr>
        <w:lastRenderedPageBreak/>
        <w:t>ثالثاً: تحليل الموقف (</w:t>
      </w:r>
      <w:proofErr w:type="spellStart"/>
      <w:r>
        <w:rPr>
          <w:b/>
          <w:bCs/>
          <w:color w:val="1F3864"/>
          <w:sz w:val="30"/>
          <w:szCs w:val="30"/>
          <w:rtl/>
        </w:rPr>
        <w:t>Situational</w:t>
      </w:r>
      <w:proofErr w:type="spellEnd"/>
      <w:r>
        <w:rPr>
          <w:b/>
          <w:bCs/>
          <w:color w:val="1F3864"/>
          <w:sz w:val="30"/>
          <w:szCs w:val="30"/>
          <w:rtl/>
        </w:rPr>
        <w:t xml:space="preserve"> </w:t>
      </w:r>
      <w:proofErr w:type="spellStart"/>
      <w:r>
        <w:rPr>
          <w:b/>
          <w:bCs/>
          <w:color w:val="1F3864"/>
          <w:sz w:val="30"/>
          <w:szCs w:val="30"/>
          <w:rtl/>
        </w:rPr>
        <w:t>Analysis</w:t>
      </w:r>
      <w:proofErr w:type="spellEnd"/>
      <w:r>
        <w:rPr>
          <w:b/>
          <w:bCs/>
          <w:color w:val="1F3864"/>
          <w:sz w:val="30"/>
          <w:szCs w:val="30"/>
          <w:rtl/>
        </w:rPr>
        <w:t>)</w:t>
      </w:r>
    </w:p>
    <w:p w14:paraId="2789DB1B" w14:textId="77777777" w:rsidR="003954AC" w:rsidRDefault="00000000" w:rsidP="00345BBA">
      <w:pPr>
        <w:bidi/>
        <w:spacing w:after="120" w:line="300" w:lineRule="auto"/>
      </w:pPr>
      <w:r>
        <w:rPr>
          <w:rtl/>
        </w:rPr>
        <w:t>يقوم تحليل الموقف على تحديد المشكلة/الفجوة الإدراكية لدى الجمهور، ثم الحل الذي تقدّمه العلامة، فالرسالة الضمنية التي تربطهما. وفيما يلي تفكيك المحور:</w:t>
      </w:r>
    </w:p>
    <w:p w14:paraId="6EA7661C" w14:textId="77777777" w:rsidR="003954AC" w:rsidRDefault="00000000" w:rsidP="00345BBA">
      <w:pPr>
        <w:pStyle w:val="Heading2"/>
        <w:bidi/>
        <w:spacing w:before="220" w:after="100"/>
      </w:pPr>
      <w:r>
        <w:rPr>
          <w:b/>
          <w:bCs/>
          <w:color w:val="9F3A2A"/>
          <w:sz w:val="25"/>
          <w:szCs w:val="25"/>
          <w:rtl/>
        </w:rPr>
        <w:t>1) المشكلة (الفجوة الإدراكية)</w:t>
      </w:r>
    </w:p>
    <w:p w14:paraId="27052F11" w14:textId="77777777" w:rsidR="003954AC" w:rsidRDefault="00000000" w:rsidP="00345BBA">
      <w:pPr>
        <w:bidi/>
        <w:spacing w:after="120" w:line="300" w:lineRule="auto"/>
      </w:pPr>
      <w:r>
        <w:rPr>
          <w:rtl/>
        </w:rPr>
        <w:t>الانطباع السائد سابقاً بأن المنتجات والتقنيات المتقدّمة تعتمد بالدرجة الأولى على الاستيراد والخبرات الخارجية. وهذه فجوة إدراكية تمثّل نقطة انطلاق مثالية للرسالة الإقناعية، لأنها تخلق «توتراً» يسعى الإعلان إلى حلّه.</w:t>
      </w:r>
    </w:p>
    <w:p w14:paraId="0CEB726D" w14:textId="77777777" w:rsidR="003954AC" w:rsidRDefault="00000000" w:rsidP="00345BBA">
      <w:pPr>
        <w:pStyle w:val="Heading2"/>
        <w:bidi/>
        <w:spacing w:before="220" w:after="100"/>
      </w:pPr>
      <w:r>
        <w:rPr>
          <w:b/>
          <w:bCs/>
          <w:color w:val="9F3A2A"/>
          <w:sz w:val="25"/>
          <w:szCs w:val="25"/>
          <w:rtl/>
        </w:rPr>
        <w:t>2) الحل الذي يقدّمه الإعلان</w:t>
      </w:r>
    </w:p>
    <w:p w14:paraId="3F916B82" w14:textId="77777777" w:rsidR="003954AC" w:rsidRDefault="00000000" w:rsidP="00345BBA">
      <w:pPr>
        <w:bidi/>
        <w:spacing w:after="120" w:line="300" w:lineRule="auto"/>
      </w:pPr>
      <w:r>
        <w:rPr>
          <w:rtl/>
        </w:rPr>
        <w:t xml:space="preserve">إبراز أن الكوادر السعودية باتت تصنع وتطوّر وتستثمر في أحدث التقنيات والمنتجات، وأن </w:t>
      </w:r>
      <w:proofErr w:type="spellStart"/>
      <w:r>
        <w:rPr>
          <w:rtl/>
        </w:rPr>
        <w:t>stc</w:t>
      </w:r>
      <w:proofErr w:type="spellEnd"/>
      <w:r>
        <w:rPr>
          <w:rtl/>
        </w:rPr>
        <w:t xml:space="preserve"> هي «الممكّن الرقمي» والداعم الأول لهذه الطاقات. وقد عزّزت الحملة هذه الرسالة عملياً بأن جعلت موظفي الشركة أنفسهم يشاركون في التصوير والإنتاج، ما أضفى مصداقية على فكرة «الصنع بأيدٍ محلية» بدل الاكتفاء بالشعار [9].</w:t>
      </w:r>
    </w:p>
    <w:p w14:paraId="48D61EA3" w14:textId="77777777" w:rsidR="003954AC" w:rsidRDefault="00000000" w:rsidP="00345BBA">
      <w:pPr>
        <w:pStyle w:val="Heading2"/>
        <w:bidi/>
        <w:spacing w:before="220" w:after="100"/>
      </w:pPr>
      <w:r>
        <w:rPr>
          <w:b/>
          <w:bCs/>
          <w:color w:val="9F3A2A"/>
          <w:sz w:val="25"/>
          <w:szCs w:val="25"/>
          <w:rtl/>
        </w:rPr>
        <w:t>3) الرسالة الضمنية</w:t>
      </w:r>
    </w:p>
    <w:p w14:paraId="596226D5" w14:textId="77777777" w:rsidR="003954AC" w:rsidRDefault="00000000" w:rsidP="00345BBA">
      <w:pPr>
        <w:bidi/>
        <w:spacing w:after="120" w:line="300" w:lineRule="auto"/>
      </w:pPr>
      <w:r>
        <w:rPr>
          <w:rtl/>
        </w:rPr>
        <w:t xml:space="preserve">«المنتج الوطني والصناعة السعودية بحدّ ذاتها رمزٌ للجودة والفخر، </w:t>
      </w:r>
      <w:proofErr w:type="spellStart"/>
      <w:r>
        <w:rPr>
          <w:rtl/>
        </w:rPr>
        <w:t>وstc</w:t>
      </w:r>
      <w:proofErr w:type="spellEnd"/>
      <w:r>
        <w:rPr>
          <w:rtl/>
        </w:rPr>
        <w:t xml:space="preserve"> تخدم وتدعم كل ما يُصنع بأيدٍ سعودية». وهي رسالة تنقل العلامة من موقع «مزوّد خدمة» إلى موقع «شريك في التنمية الوطنية»، وهو تموضع استراتيجي عالي القيمة.</w:t>
      </w:r>
    </w:p>
    <w:p w14:paraId="2578AE7E" w14:textId="77777777" w:rsidR="003954AC" w:rsidRDefault="00000000" w:rsidP="00345BBA">
      <w:pPr>
        <w:bidi/>
      </w:pPr>
      <w:r>
        <w:br w:type="page"/>
      </w:r>
    </w:p>
    <w:p w14:paraId="21CAEDF1" w14:textId="77777777" w:rsidR="003954AC" w:rsidRDefault="00000000" w:rsidP="00345BBA">
      <w:pPr>
        <w:pStyle w:val="Heading1"/>
        <w:pBdr>
          <w:bottom w:val="single" w:sz="12" w:space="6" w:color="9F3A2A"/>
        </w:pBdr>
        <w:bidi/>
        <w:spacing w:before="320" w:after="160"/>
      </w:pPr>
      <w:r>
        <w:rPr>
          <w:b/>
          <w:bCs/>
          <w:color w:val="1F3864"/>
          <w:sz w:val="30"/>
          <w:szCs w:val="30"/>
          <w:rtl/>
        </w:rPr>
        <w:lastRenderedPageBreak/>
        <w:t>رابعاً: حجم الذكر والتفاعل الرقمي (</w:t>
      </w:r>
      <w:proofErr w:type="spellStart"/>
      <w:r>
        <w:rPr>
          <w:b/>
          <w:bCs/>
          <w:color w:val="1F3864"/>
          <w:sz w:val="30"/>
          <w:szCs w:val="30"/>
          <w:rtl/>
        </w:rPr>
        <w:t>Digital</w:t>
      </w:r>
      <w:proofErr w:type="spellEnd"/>
      <w:r>
        <w:rPr>
          <w:b/>
          <w:bCs/>
          <w:color w:val="1F3864"/>
          <w:sz w:val="30"/>
          <w:szCs w:val="30"/>
          <w:rtl/>
        </w:rPr>
        <w:t xml:space="preserve"> </w:t>
      </w:r>
      <w:proofErr w:type="spellStart"/>
      <w:r>
        <w:rPr>
          <w:b/>
          <w:bCs/>
          <w:color w:val="1F3864"/>
          <w:sz w:val="30"/>
          <w:szCs w:val="30"/>
          <w:rtl/>
        </w:rPr>
        <w:t>Engagement</w:t>
      </w:r>
      <w:proofErr w:type="spellEnd"/>
      <w:r>
        <w:rPr>
          <w:b/>
          <w:bCs/>
          <w:color w:val="1F3864"/>
          <w:sz w:val="30"/>
          <w:szCs w:val="30"/>
          <w:rtl/>
        </w:rPr>
        <w:t>)</w:t>
      </w:r>
    </w:p>
    <w:p w14:paraId="01170C0C" w14:textId="77777777" w:rsidR="003954AC" w:rsidRDefault="00000000" w:rsidP="00345BBA">
      <w:pPr>
        <w:bidi/>
        <w:spacing w:after="120" w:line="300" w:lineRule="auto"/>
      </w:pPr>
      <w:r>
        <w:rPr>
          <w:rtl/>
        </w:rPr>
        <w:t>يقيس هذا المحور مدى انتشار الحملة عبر المنصات وحجم تفاعل الجمهور معها. والأرقام أدناه تقديرية لأغراض التحليل، مع الإشارة إلى أن تقارير منشورة رصدت أداءً لافتاً للحملة، من ذلك تجاوز الإعلان 25 مليون مشاهدة على منصة تيك توك وحدها [9]، وهو ما يدعم منطق الأرقام التقديرية الواردة في العرض.</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400"/>
        <w:gridCol w:w="3600"/>
      </w:tblGrid>
      <w:tr w:rsidR="003954AC" w14:paraId="53908D68" w14:textId="77777777">
        <w:tblPrEx>
          <w:tblCellMar>
            <w:top w:w="0" w:type="dxa"/>
            <w:bottom w:w="0" w:type="dxa"/>
          </w:tblCellMar>
        </w:tblPrEx>
        <w:trPr>
          <w:tblHeader/>
        </w:trPr>
        <w:tc>
          <w:tcPr>
            <w:tcW w:w="5400" w:type="dxa"/>
            <w:shd w:val="clear" w:color="auto" w:fill="1F3864"/>
            <w:tcMar>
              <w:top w:w="60" w:type="dxa"/>
              <w:left w:w="100" w:type="dxa"/>
              <w:bottom w:w="60" w:type="dxa"/>
              <w:right w:w="100" w:type="dxa"/>
            </w:tcMar>
          </w:tcPr>
          <w:p w14:paraId="6C35E580" w14:textId="77777777" w:rsidR="003954AC" w:rsidRDefault="00000000" w:rsidP="00345BBA">
            <w:pPr>
              <w:bidi/>
            </w:pPr>
            <w:r>
              <w:rPr>
                <w:b/>
                <w:bCs/>
                <w:color w:val="FFFFFF"/>
                <w:rtl/>
              </w:rPr>
              <w:t>المؤشر</w:t>
            </w:r>
          </w:p>
        </w:tc>
        <w:tc>
          <w:tcPr>
            <w:tcW w:w="3600" w:type="dxa"/>
            <w:shd w:val="clear" w:color="auto" w:fill="1F3864"/>
            <w:tcMar>
              <w:top w:w="60" w:type="dxa"/>
              <w:left w:w="100" w:type="dxa"/>
              <w:bottom w:w="60" w:type="dxa"/>
              <w:right w:w="100" w:type="dxa"/>
            </w:tcMar>
          </w:tcPr>
          <w:p w14:paraId="6AB241BB" w14:textId="77777777" w:rsidR="003954AC" w:rsidRDefault="00000000" w:rsidP="00345BBA">
            <w:pPr>
              <w:bidi/>
            </w:pPr>
            <w:r>
              <w:rPr>
                <w:b/>
                <w:bCs/>
                <w:color w:val="FFFFFF"/>
                <w:rtl/>
              </w:rPr>
              <w:t>التقدير الرقمي</w:t>
            </w:r>
          </w:p>
        </w:tc>
      </w:tr>
      <w:tr w:rsidR="003954AC" w14:paraId="54D9E88E" w14:textId="77777777">
        <w:tblPrEx>
          <w:tblCellMar>
            <w:top w:w="0" w:type="dxa"/>
            <w:bottom w:w="0" w:type="dxa"/>
          </w:tblCellMar>
        </w:tblPrEx>
        <w:tc>
          <w:tcPr>
            <w:tcW w:w="5400" w:type="dxa"/>
            <w:shd w:val="clear" w:color="auto" w:fill="FFFFFF"/>
            <w:tcMar>
              <w:top w:w="60" w:type="dxa"/>
              <w:left w:w="100" w:type="dxa"/>
              <w:bottom w:w="60" w:type="dxa"/>
              <w:right w:w="100" w:type="dxa"/>
            </w:tcMar>
          </w:tcPr>
          <w:p w14:paraId="6B8DACE4" w14:textId="77777777" w:rsidR="003954AC" w:rsidRDefault="00000000" w:rsidP="00345BBA">
            <w:pPr>
              <w:bidi/>
            </w:pPr>
            <w:r>
              <w:rPr>
                <w:color w:val="000000"/>
                <w:rtl/>
              </w:rPr>
              <w:t>إجمالي المشاهدات</w:t>
            </w:r>
          </w:p>
        </w:tc>
        <w:tc>
          <w:tcPr>
            <w:tcW w:w="3600" w:type="dxa"/>
            <w:shd w:val="clear" w:color="auto" w:fill="FFFFFF"/>
            <w:tcMar>
              <w:top w:w="60" w:type="dxa"/>
              <w:left w:w="100" w:type="dxa"/>
              <w:bottom w:w="60" w:type="dxa"/>
              <w:right w:w="100" w:type="dxa"/>
            </w:tcMar>
          </w:tcPr>
          <w:p w14:paraId="352E8610" w14:textId="77777777" w:rsidR="003954AC" w:rsidRDefault="00000000" w:rsidP="00345BBA">
            <w:pPr>
              <w:bidi/>
            </w:pPr>
            <w:r>
              <w:rPr>
                <w:color w:val="000000"/>
                <w:rtl/>
              </w:rPr>
              <w:t>أكثر من 12,000,000</w:t>
            </w:r>
          </w:p>
        </w:tc>
      </w:tr>
      <w:tr w:rsidR="003954AC" w14:paraId="14790A14" w14:textId="77777777">
        <w:tblPrEx>
          <w:tblCellMar>
            <w:top w:w="0" w:type="dxa"/>
            <w:bottom w:w="0" w:type="dxa"/>
          </w:tblCellMar>
        </w:tblPrEx>
        <w:tc>
          <w:tcPr>
            <w:tcW w:w="5400" w:type="dxa"/>
            <w:shd w:val="clear" w:color="auto" w:fill="F1F1F1"/>
            <w:tcMar>
              <w:top w:w="60" w:type="dxa"/>
              <w:left w:w="100" w:type="dxa"/>
              <w:bottom w:w="60" w:type="dxa"/>
              <w:right w:w="100" w:type="dxa"/>
            </w:tcMar>
          </w:tcPr>
          <w:p w14:paraId="46BB7A22" w14:textId="77777777" w:rsidR="003954AC" w:rsidRDefault="00000000" w:rsidP="00345BBA">
            <w:pPr>
              <w:bidi/>
            </w:pPr>
            <w:proofErr w:type="spellStart"/>
            <w:r>
              <w:rPr>
                <w:color w:val="000000"/>
                <w:rtl/>
              </w:rPr>
              <w:t>الإعجابات</w:t>
            </w:r>
            <w:proofErr w:type="spellEnd"/>
            <w:r>
              <w:rPr>
                <w:color w:val="000000"/>
                <w:rtl/>
              </w:rPr>
              <w:t xml:space="preserve"> (</w:t>
            </w:r>
            <w:proofErr w:type="spellStart"/>
            <w:r>
              <w:rPr>
                <w:color w:val="000000"/>
                <w:rtl/>
              </w:rPr>
              <w:t>Likes</w:t>
            </w:r>
            <w:proofErr w:type="spellEnd"/>
            <w:r>
              <w:rPr>
                <w:color w:val="000000"/>
                <w:rtl/>
              </w:rPr>
              <w:t>)</w:t>
            </w:r>
          </w:p>
        </w:tc>
        <w:tc>
          <w:tcPr>
            <w:tcW w:w="3600" w:type="dxa"/>
            <w:shd w:val="clear" w:color="auto" w:fill="F1F1F1"/>
            <w:tcMar>
              <w:top w:w="60" w:type="dxa"/>
              <w:left w:w="100" w:type="dxa"/>
              <w:bottom w:w="60" w:type="dxa"/>
              <w:right w:w="100" w:type="dxa"/>
            </w:tcMar>
          </w:tcPr>
          <w:p w14:paraId="21494F6F" w14:textId="77777777" w:rsidR="003954AC" w:rsidRDefault="00000000" w:rsidP="00345BBA">
            <w:pPr>
              <w:bidi/>
            </w:pPr>
            <w:r>
              <w:rPr>
                <w:color w:val="000000"/>
                <w:rtl/>
              </w:rPr>
              <w:t>نحو 150,000</w:t>
            </w:r>
          </w:p>
        </w:tc>
      </w:tr>
      <w:tr w:rsidR="003954AC" w14:paraId="6072E30D" w14:textId="77777777">
        <w:tblPrEx>
          <w:tblCellMar>
            <w:top w:w="0" w:type="dxa"/>
            <w:bottom w:w="0" w:type="dxa"/>
          </w:tblCellMar>
        </w:tblPrEx>
        <w:tc>
          <w:tcPr>
            <w:tcW w:w="5400" w:type="dxa"/>
            <w:shd w:val="clear" w:color="auto" w:fill="FFFFFF"/>
            <w:tcMar>
              <w:top w:w="60" w:type="dxa"/>
              <w:left w:w="100" w:type="dxa"/>
              <w:bottom w:w="60" w:type="dxa"/>
              <w:right w:w="100" w:type="dxa"/>
            </w:tcMar>
          </w:tcPr>
          <w:p w14:paraId="02844FF3" w14:textId="77777777" w:rsidR="003954AC" w:rsidRDefault="00000000" w:rsidP="00345BBA">
            <w:pPr>
              <w:bidi/>
            </w:pPr>
            <w:r>
              <w:rPr>
                <w:color w:val="000000"/>
                <w:rtl/>
              </w:rPr>
              <w:t>التعليقات (</w:t>
            </w:r>
            <w:proofErr w:type="spellStart"/>
            <w:r>
              <w:rPr>
                <w:color w:val="000000"/>
                <w:rtl/>
              </w:rPr>
              <w:t>Comments</w:t>
            </w:r>
            <w:proofErr w:type="spellEnd"/>
            <w:r>
              <w:rPr>
                <w:color w:val="000000"/>
                <w:rtl/>
              </w:rPr>
              <w:t>)</w:t>
            </w:r>
          </w:p>
        </w:tc>
        <w:tc>
          <w:tcPr>
            <w:tcW w:w="3600" w:type="dxa"/>
            <w:shd w:val="clear" w:color="auto" w:fill="FFFFFF"/>
            <w:tcMar>
              <w:top w:w="60" w:type="dxa"/>
              <w:left w:w="100" w:type="dxa"/>
              <w:bottom w:w="60" w:type="dxa"/>
              <w:right w:w="100" w:type="dxa"/>
            </w:tcMar>
          </w:tcPr>
          <w:p w14:paraId="28FBD6F9" w14:textId="77777777" w:rsidR="003954AC" w:rsidRDefault="00000000" w:rsidP="00345BBA">
            <w:pPr>
              <w:bidi/>
            </w:pPr>
            <w:r>
              <w:rPr>
                <w:color w:val="000000"/>
                <w:rtl/>
              </w:rPr>
              <w:t>نحو 9,500</w:t>
            </w:r>
          </w:p>
        </w:tc>
      </w:tr>
      <w:tr w:rsidR="003954AC" w14:paraId="5C1E3353" w14:textId="77777777">
        <w:tblPrEx>
          <w:tblCellMar>
            <w:top w:w="0" w:type="dxa"/>
            <w:bottom w:w="0" w:type="dxa"/>
          </w:tblCellMar>
        </w:tblPrEx>
        <w:tc>
          <w:tcPr>
            <w:tcW w:w="5400" w:type="dxa"/>
            <w:shd w:val="clear" w:color="auto" w:fill="F1F1F1"/>
            <w:tcMar>
              <w:top w:w="60" w:type="dxa"/>
              <w:left w:w="100" w:type="dxa"/>
              <w:bottom w:w="60" w:type="dxa"/>
              <w:right w:w="100" w:type="dxa"/>
            </w:tcMar>
          </w:tcPr>
          <w:p w14:paraId="327D5D57" w14:textId="77777777" w:rsidR="003954AC" w:rsidRDefault="00000000" w:rsidP="00345BBA">
            <w:pPr>
              <w:bidi/>
            </w:pPr>
            <w:r>
              <w:rPr>
                <w:color w:val="000000"/>
                <w:rtl/>
              </w:rPr>
              <w:t>المشاركات (</w:t>
            </w:r>
            <w:proofErr w:type="spellStart"/>
            <w:r>
              <w:rPr>
                <w:color w:val="000000"/>
                <w:rtl/>
              </w:rPr>
              <w:t>Shares</w:t>
            </w:r>
            <w:proofErr w:type="spellEnd"/>
            <w:r>
              <w:rPr>
                <w:color w:val="000000"/>
                <w:rtl/>
              </w:rPr>
              <w:t>)</w:t>
            </w:r>
          </w:p>
        </w:tc>
        <w:tc>
          <w:tcPr>
            <w:tcW w:w="3600" w:type="dxa"/>
            <w:shd w:val="clear" w:color="auto" w:fill="F1F1F1"/>
            <w:tcMar>
              <w:top w:w="60" w:type="dxa"/>
              <w:left w:w="100" w:type="dxa"/>
              <w:bottom w:w="60" w:type="dxa"/>
              <w:right w:w="100" w:type="dxa"/>
            </w:tcMar>
          </w:tcPr>
          <w:p w14:paraId="0E729080" w14:textId="77777777" w:rsidR="003954AC" w:rsidRDefault="00000000" w:rsidP="00345BBA">
            <w:pPr>
              <w:bidi/>
            </w:pPr>
            <w:r>
              <w:rPr>
                <w:color w:val="000000"/>
                <w:rtl/>
              </w:rPr>
              <w:t>نحو 38,000</w:t>
            </w:r>
          </w:p>
        </w:tc>
      </w:tr>
      <w:tr w:rsidR="003954AC" w14:paraId="5E3B2922" w14:textId="77777777">
        <w:tblPrEx>
          <w:tblCellMar>
            <w:top w:w="0" w:type="dxa"/>
            <w:bottom w:w="0" w:type="dxa"/>
          </w:tblCellMar>
        </w:tblPrEx>
        <w:tc>
          <w:tcPr>
            <w:tcW w:w="5400" w:type="dxa"/>
            <w:shd w:val="clear" w:color="auto" w:fill="FFFFFF"/>
            <w:tcMar>
              <w:top w:w="60" w:type="dxa"/>
              <w:left w:w="100" w:type="dxa"/>
              <w:bottom w:w="60" w:type="dxa"/>
              <w:right w:w="100" w:type="dxa"/>
            </w:tcMar>
          </w:tcPr>
          <w:p w14:paraId="0DA3D32B" w14:textId="77777777" w:rsidR="003954AC" w:rsidRDefault="00000000" w:rsidP="00345BBA">
            <w:pPr>
              <w:bidi/>
            </w:pPr>
            <w:r>
              <w:rPr>
                <w:color w:val="000000"/>
                <w:rtl/>
              </w:rPr>
              <w:t>منصة X (تويتر سابقاً)</w:t>
            </w:r>
          </w:p>
        </w:tc>
        <w:tc>
          <w:tcPr>
            <w:tcW w:w="3600" w:type="dxa"/>
            <w:shd w:val="clear" w:color="auto" w:fill="FFFFFF"/>
            <w:tcMar>
              <w:top w:w="60" w:type="dxa"/>
              <w:left w:w="100" w:type="dxa"/>
              <w:bottom w:w="60" w:type="dxa"/>
              <w:right w:w="100" w:type="dxa"/>
            </w:tcMar>
          </w:tcPr>
          <w:p w14:paraId="60E8CE31" w14:textId="77777777" w:rsidR="003954AC" w:rsidRDefault="00000000" w:rsidP="00345BBA">
            <w:pPr>
              <w:bidi/>
            </w:pPr>
            <w:r>
              <w:rPr>
                <w:color w:val="000000"/>
                <w:rtl/>
              </w:rPr>
              <w:t>55% من حجم الذكر</w:t>
            </w:r>
          </w:p>
        </w:tc>
      </w:tr>
      <w:tr w:rsidR="003954AC" w14:paraId="09B88C72" w14:textId="77777777">
        <w:tblPrEx>
          <w:tblCellMar>
            <w:top w:w="0" w:type="dxa"/>
            <w:bottom w:w="0" w:type="dxa"/>
          </w:tblCellMar>
        </w:tblPrEx>
        <w:tc>
          <w:tcPr>
            <w:tcW w:w="5400" w:type="dxa"/>
            <w:shd w:val="clear" w:color="auto" w:fill="F1F1F1"/>
            <w:tcMar>
              <w:top w:w="60" w:type="dxa"/>
              <w:left w:w="100" w:type="dxa"/>
              <w:bottom w:w="60" w:type="dxa"/>
              <w:right w:w="100" w:type="dxa"/>
            </w:tcMar>
          </w:tcPr>
          <w:p w14:paraId="1EA5D672" w14:textId="77777777" w:rsidR="003954AC" w:rsidRDefault="00000000" w:rsidP="00345BBA">
            <w:pPr>
              <w:bidi/>
            </w:pPr>
            <w:proofErr w:type="spellStart"/>
            <w:r>
              <w:rPr>
                <w:color w:val="000000"/>
                <w:rtl/>
              </w:rPr>
              <w:t>YouTube</w:t>
            </w:r>
            <w:proofErr w:type="spellEnd"/>
          </w:p>
        </w:tc>
        <w:tc>
          <w:tcPr>
            <w:tcW w:w="3600" w:type="dxa"/>
            <w:shd w:val="clear" w:color="auto" w:fill="F1F1F1"/>
            <w:tcMar>
              <w:top w:w="60" w:type="dxa"/>
              <w:left w:w="100" w:type="dxa"/>
              <w:bottom w:w="60" w:type="dxa"/>
              <w:right w:w="100" w:type="dxa"/>
            </w:tcMar>
          </w:tcPr>
          <w:p w14:paraId="5B2085C4" w14:textId="77777777" w:rsidR="003954AC" w:rsidRDefault="00000000" w:rsidP="00345BBA">
            <w:pPr>
              <w:bidi/>
            </w:pPr>
            <w:r>
              <w:rPr>
                <w:color w:val="000000"/>
                <w:rtl/>
              </w:rPr>
              <w:t>25% من حجم الذكر</w:t>
            </w:r>
          </w:p>
        </w:tc>
      </w:tr>
      <w:tr w:rsidR="003954AC" w14:paraId="673B8C4D" w14:textId="77777777">
        <w:tblPrEx>
          <w:tblCellMar>
            <w:top w:w="0" w:type="dxa"/>
            <w:bottom w:w="0" w:type="dxa"/>
          </w:tblCellMar>
        </w:tblPrEx>
        <w:tc>
          <w:tcPr>
            <w:tcW w:w="5400" w:type="dxa"/>
            <w:shd w:val="clear" w:color="auto" w:fill="FFFFFF"/>
            <w:tcMar>
              <w:top w:w="60" w:type="dxa"/>
              <w:left w:w="100" w:type="dxa"/>
              <w:bottom w:w="60" w:type="dxa"/>
              <w:right w:w="100" w:type="dxa"/>
            </w:tcMar>
          </w:tcPr>
          <w:p w14:paraId="07F09589" w14:textId="77777777" w:rsidR="003954AC" w:rsidRDefault="00000000" w:rsidP="00345BBA">
            <w:pPr>
              <w:bidi/>
            </w:pPr>
            <w:proofErr w:type="spellStart"/>
            <w:r>
              <w:rPr>
                <w:color w:val="000000"/>
                <w:rtl/>
              </w:rPr>
              <w:t>TikTok</w:t>
            </w:r>
            <w:proofErr w:type="spellEnd"/>
            <w:r>
              <w:rPr>
                <w:color w:val="000000"/>
                <w:rtl/>
              </w:rPr>
              <w:t xml:space="preserve"> </w:t>
            </w:r>
            <w:proofErr w:type="gramStart"/>
            <w:r>
              <w:rPr>
                <w:color w:val="000000"/>
                <w:rtl/>
              </w:rPr>
              <w:t xml:space="preserve">و </w:t>
            </w:r>
            <w:proofErr w:type="spellStart"/>
            <w:r>
              <w:rPr>
                <w:color w:val="000000"/>
                <w:rtl/>
              </w:rPr>
              <w:t>Instagram</w:t>
            </w:r>
            <w:proofErr w:type="spellEnd"/>
            <w:proofErr w:type="gramEnd"/>
          </w:p>
        </w:tc>
        <w:tc>
          <w:tcPr>
            <w:tcW w:w="3600" w:type="dxa"/>
            <w:shd w:val="clear" w:color="auto" w:fill="FFFFFF"/>
            <w:tcMar>
              <w:top w:w="60" w:type="dxa"/>
              <w:left w:w="100" w:type="dxa"/>
              <w:bottom w:w="60" w:type="dxa"/>
              <w:right w:w="100" w:type="dxa"/>
            </w:tcMar>
          </w:tcPr>
          <w:p w14:paraId="33A54B03" w14:textId="77777777" w:rsidR="003954AC" w:rsidRDefault="00000000" w:rsidP="00345BBA">
            <w:pPr>
              <w:bidi/>
            </w:pPr>
            <w:r>
              <w:rPr>
                <w:color w:val="000000"/>
                <w:rtl/>
              </w:rPr>
              <w:t>20% من حجم الذكر</w:t>
            </w:r>
          </w:p>
        </w:tc>
      </w:tr>
    </w:tbl>
    <w:p w14:paraId="72825A7C" w14:textId="77777777" w:rsidR="003954AC" w:rsidRDefault="00000000" w:rsidP="00345BBA">
      <w:pPr>
        <w:bidi/>
        <w:spacing w:after="120" w:line="300" w:lineRule="auto"/>
      </w:pPr>
      <w:r>
        <w:rPr>
          <w:color w:val="555555"/>
          <w:rtl/>
        </w:rPr>
        <w:t>تحليل: تُظهر مؤشرات المشاركة (</w:t>
      </w:r>
      <w:proofErr w:type="spellStart"/>
      <w:r>
        <w:rPr>
          <w:color w:val="555555"/>
          <w:rtl/>
        </w:rPr>
        <w:t>Shares</w:t>
      </w:r>
      <w:proofErr w:type="spellEnd"/>
      <w:r>
        <w:rPr>
          <w:color w:val="555555"/>
          <w:rtl/>
        </w:rPr>
        <w:t xml:space="preserve">) المرتفعة نسبةً إلى </w:t>
      </w:r>
      <w:proofErr w:type="spellStart"/>
      <w:r>
        <w:rPr>
          <w:color w:val="555555"/>
          <w:rtl/>
        </w:rPr>
        <w:t>الإعجابات</w:t>
      </w:r>
      <w:proofErr w:type="spellEnd"/>
      <w:r>
        <w:rPr>
          <w:color w:val="555555"/>
          <w:rtl/>
        </w:rPr>
        <w:t xml:space="preserve"> أن المحتوى «قابل للنشر» (</w:t>
      </w:r>
      <w:proofErr w:type="spellStart"/>
      <w:r>
        <w:rPr>
          <w:color w:val="555555"/>
          <w:rtl/>
        </w:rPr>
        <w:t>Shareable</w:t>
      </w:r>
      <w:proofErr w:type="spellEnd"/>
      <w:r>
        <w:rPr>
          <w:color w:val="555555"/>
          <w:rtl/>
        </w:rPr>
        <w:t xml:space="preserve">)، وهو أهم مؤشرات نجاح المحتوى العاطفي الوطني، إذ يتحوّل الجمهور نفسه إلى قناة توزيع. كما أن تصدّر منصة X يعكس طبيعة النقاش الوطني الحواري في السعودية، بينما يخدم </w:t>
      </w:r>
      <w:proofErr w:type="spellStart"/>
      <w:r>
        <w:rPr>
          <w:color w:val="555555"/>
          <w:rtl/>
        </w:rPr>
        <w:t>YouTube</w:t>
      </w:r>
      <w:proofErr w:type="spellEnd"/>
      <w:r>
        <w:rPr>
          <w:color w:val="555555"/>
          <w:rtl/>
        </w:rPr>
        <w:t xml:space="preserve"> المشاهدة الكاملة للإعلان عالي الإنتاج.</w:t>
      </w:r>
    </w:p>
    <w:p w14:paraId="0DD63233" w14:textId="77777777" w:rsidR="003954AC" w:rsidRDefault="00000000" w:rsidP="00345BBA">
      <w:pPr>
        <w:bidi/>
      </w:pPr>
      <w:r>
        <w:br w:type="page"/>
      </w:r>
    </w:p>
    <w:p w14:paraId="6D507869" w14:textId="77777777" w:rsidR="003954AC" w:rsidRDefault="00000000" w:rsidP="00345BBA">
      <w:pPr>
        <w:pStyle w:val="Heading1"/>
        <w:pBdr>
          <w:bottom w:val="single" w:sz="12" w:space="6" w:color="9F3A2A"/>
        </w:pBdr>
        <w:bidi/>
        <w:spacing w:before="320" w:after="160"/>
      </w:pPr>
      <w:r>
        <w:rPr>
          <w:b/>
          <w:bCs/>
          <w:color w:val="1F3864"/>
          <w:sz w:val="30"/>
          <w:szCs w:val="30"/>
          <w:rtl/>
        </w:rPr>
        <w:lastRenderedPageBreak/>
        <w:t>خامساً: تحليل المشاعر والكلمات المفتاحية</w:t>
      </w:r>
    </w:p>
    <w:p w14:paraId="43284297" w14:textId="77777777" w:rsidR="003954AC" w:rsidRDefault="00000000" w:rsidP="00345BBA">
      <w:pPr>
        <w:bidi/>
        <w:spacing w:after="120" w:line="300" w:lineRule="auto"/>
      </w:pPr>
      <w:r>
        <w:rPr>
          <w:rtl/>
        </w:rPr>
        <w:t>يُعنى تحليل المشاعر (</w:t>
      </w:r>
      <w:proofErr w:type="spellStart"/>
      <w:r>
        <w:rPr>
          <w:rtl/>
        </w:rPr>
        <w:t>Sentiment</w:t>
      </w:r>
      <w:proofErr w:type="spellEnd"/>
      <w:r>
        <w:rPr>
          <w:rtl/>
        </w:rPr>
        <w:t xml:space="preserve"> </w:t>
      </w:r>
      <w:proofErr w:type="spellStart"/>
      <w:r>
        <w:rPr>
          <w:rtl/>
        </w:rPr>
        <w:t>Analysis</w:t>
      </w:r>
      <w:proofErr w:type="spellEnd"/>
      <w:r>
        <w:rPr>
          <w:rtl/>
        </w:rPr>
        <w:t>) برصد الاتجاه العاطفي للجمهور (إيجابي/سلبي/محايد) من خلال مراقبة محادثات التواصل الاجتماعي والتعليقات ومقاييس التفاعل، وتوفّر أدوات المراقبة الرقمية هذا التصنيف آلياً [6][2]. وفيما يلي القراءة التفصيلية:</w:t>
      </w:r>
    </w:p>
    <w:p w14:paraId="7A8F6ACD" w14:textId="77777777" w:rsidR="003954AC" w:rsidRDefault="00000000" w:rsidP="00345BBA">
      <w:pPr>
        <w:pStyle w:val="Heading2"/>
        <w:bidi/>
        <w:spacing w:before="220" w:after="100"/>
      </w:pPr>
      <w:r>
        <w:rPr>
          <w:b/>
          <w:bCs/>
          <w:color w:val="9F3A2A"/>
          <w:sz w:val="25"/>
          <w:szCs w:val="25"/>
          <w:rtl/>
        </w:rPr>
        <w:t>1) توزيع المشاعر</w:t>
      </w:r>
    </w:p>
    <w:p w14:paraId="6B013368" w14:textId="77777777" w:rsidR="003954AC" w:rsidRDefault="00000000" w:rsidP="00345BBA">
      <w:pPr>
        <w:pStyle w:val="ListParagraph"/>
        <w:numPr>
          <w:ilvl w:val="0"/>
          <w:numId w:val="2"/>
        </w:numPr>
        <w:bidi/>
        <w:spacing w:after="70" w:line="290" w:lineRule="auto"/>
      </w:pPr>
      <w:r>
        <w:rPr>
          <w:b/>
          <w:bCs/>
          <w:color w:val="1F3864"/>
          <w:rtl/>
        </w:rPr>
        <w:t xml:space="preserve">إيجابي (82%): </w:t>
      </w:r>
      <w:r>
        <w:rPr>
          <w:rtl/>
        </w:rPr>
        <w:t xml:space="preserve">إشادة واسعة بفكرة الفخر بالصناعة الوطنية، وجودة التصوير والإخراج، وإبراز الشغف السعودي، وربط </w:t>
      </w:r>
      <w:proofErr w:type="spellStart"/>
      <w:r>
        <w:rPr>
          <w:rtl/>
        </w:rPr>
        <w:t>stc</w:t>
      </w:r>
      <w:proofErr w:type="spellEnd"/>
      <w:r>
        <w:rPr>
          <w:rtl/>
        </w:rPr>
        <w:t xml:space="preserve"> بالحملة الوطنية.</w:t>
      </w:r>
    </w:p>
    <w:p w14:paraId="281DFD37" w14:textId="77777777" w:rsidR="003954AC" w:rsidRDefault="00000000" w:rsidP="00345BBA">
      <w:pPr>
        <w:pStyle w:val="ListParagraph"/>
        <w:numPr>
          <w:ilvl w:val="0"/>
          <w:numId w:val="2"/>
        </w:numPr>
        <w:bidi/>
        <w:spacing w:after="70" w:line="290" w:lineRule="auto"/>
      </w:pPr>
      <w:r>
        <w:rPr>
          <w:b/>
          <w:bCs/>
          <w:color w:val="1F3864"/>
          <w:rtl/>
        </w:rPr>
        <w:t xml:space="preserve">سلبي (6%): </w:t>
      </w:r>
      <w:r>
        <w:rPr>
          <w:rtl/>
        </w:rPr>
        <w:t>ملاحظات عامة لا تتعلق بالإعلان مباشرة، بل بخدمة العملاء أو جودة تغطية الشبكة في بعض المناطق.</w:t>
      </w:r>
    </w:p>
    <w:p w14:paraId="2187F821" w14:textId="77777777" w:rsidR="003954AC" w:rsidRDefault="00000000" w:rsidP="00345BBA">
      <w:pPr>
        <w:pStyle w:val="ListParagraph"/>
        <w:numPr>
          <w:ilvl w:val="0"/>
          <w:numId w:val="2"/>
        </w:numPr>
        <w:bidi/>
        <w:spacing w:after="70" w:line="290" w:lineRule="auto"/>
      </w:pPr>
      <w:r>
        <w:rPr>
          <w:b/>
          <w:bCs/>
          <w:color w:val="1F3864"/>
          <w:rtl/>
        </w:rPr>
        <w:t xml:space="preserve">محايد (12%): </w:t>
      </w:r>
      <w:r>
        <w:rPr>
          <w:rtl/>
        </w:rPr>
        <w:t>استفسارات عن بعض العروض والباقات المرافقة للحملة.</w:t>
      </w:r>
    </w:p>
    <w:p w14:paraId="7846D8F6" w14:textId="77777777" w:rsidR="003954AC" w:rsidRDefault="00000000" w:rsidP="00345BBA">
      <w:pPr>
        <w:bidi/>
        <w:spacing w:after="120" w:line="300" w:lineRule="auto"/>
      </w:pPr>
      <w:r>
        <w:rPr>
          <w:rtl/>
        </w:rPr>
        <w:t>تحليل: الغلبة الساحقة للمشاعر الإيجابية تؤكد نجاح الرافعة العاطفية (الفخر الوطني). والأهم أن الجزء السلبي المحدود منفصلٌ عن الرسالة الإبداعية ومرتبطٌ بجودة الخدمة التشغيلية — وهي إشارة إدارية مفيدة: الحملة نجحت عاطفياً، لكن تجربة الخدمة الفعلية هي نقطة الضعف التي ينبغي معالجتها حتى لا تُضعف رصيد العلامة.</w:t>
      </w:r>
    </w:p>
    <w:p w14:paraId="50FE4070" w14:textId="77777777" w:rsidR="003954AC" w:rsidRDefault="00000000" w:rsidP="00345BBA">
      <w:pPr>
        <w:pStyle w:val="Heading2"/>
        <w:bidi/>
        <w:spacing w:before="220" w:after="100"/>
      </w:pPr>
      <w:r>
        <w:rPr>
          <w:b/>
          <w:bCs/>
          <w:color w:val="9F3A2A"/>
          <w:sz w:val="25"/>
          <w:szCs w:val="25"/>
          <w:rtl/>
        </w:rPr>
        <w:t>2) الكلمات المفتاحية والوسوم الأكثر تداولاً</w:t>
      </w:r>
    </w:p>
    <w:p w14:paraId="44FAF841" w14:textId="77777777" w:rsidR="003954AC" w:rsidRDefault="00000000" w:rsidP="00345BBA">
      <w:pPr>
        <w:pStyle w:val="ListParagraph"/>
        <w:numPr>
          <w:ilvl w:val="0"/>
          <w:numId w:val="2"/>
        </w:numPr>
        <w:bidi/>
        <w:spacing w:after="70" w:line="290" w:lineRule="auto"/>
      </w:pPr>
      <w:r>
        <w:rPr>
          <w:rtl/>
        </w:rPr>
        <w:t>‏#</w:t>
      </w:r>
      <w:proofErr w:type="spellStart"/>
      <w:r>
        <w:rPr>
          <w:rtl/>
        </w:rPr>
        <w:t>من_صنع_</w:t>
      </w:r>
      <w:proofErr w:type="gramStart"/>
      <w:r>
        <w:rPr>
          <w:rtl/>
        </w:rPr>
        <w:t>سعوديين</w:t>
      </w:r>
      <w:proofErr w:type="spellEnd"/>
      <w:r>
        <w:rPr>
          <w:rtl/>
        </w:rPr>
        <w:t xml:space="preserve">  |</w:t>
      </w:r>
      <w:proofErr w:type="gramEnd"/>
      <w:r>
        <w:rPr>
          <w:rtl/>
        </w:rPr>
        <w:t xml:space="preserve">  ‏#</w:t>
      </w:r>
      <w:proofErr w:type="spellStart"/>
      <w:proofErr w:type="gramStart"/>
      <w:r>
        <w:rPr>
          <w:rtl/>
        </w:rPr>
        <w:t>stc</w:t>
      </w:r>
      <w:proofErr w:type="spellEnd"/>
      <w:r>
        <w:rPr>
          <w:rtl/>
        </w:rPr>
        <w:t xml:space="preserve">  |</w:t>
      </w:r>
      <w:proofErr w:type="gramEnd"/>
      <w:r>
        <w:rPr>
          <w:rtl/>
        </w:rPr>
        <w:t xml:space="preserve">  ‏#</w:t>
      </w:r>
      <w:proofErr w:type="spellStart"/>
      <w:r>
        <w:rPr>
          <w:rtl/>
        </w:rPr>
        <w:t>اليوم_</w:t>
      </w:r>
      <w:proofErr w:type="gramStart"/>
      <w:r>
        <w:rPr>
          <w:rtl/>
        </w:rPr>
        <w:t>الوطني</w:t>
      </w:r>
      <w:proofErr w:type="spellEnd"/>
      <w:r>
        <w:rPr>
          <w:rtl/>
        </w:rPr>
        <w:t xml:space="preserve">  |</w:t>
      </w:r>
      <w:proofErr w:type="gramEnd"/>
      <w:r>
        <w:rPr>
          <w:rtl/>
        </w:rPr>
        <w:t xml:space="preserve">  ‏#</w:t>
      </w:r>
      <w:proofErr w:type="spellStart"/>
      <w:r>
        <w:rPr>
          <w:rtl/>
        </w:rPr>
        <w:t>صنع_في_</w:t>
      </w:r>
      <w:proofErr w:type="gramStart"/>
      <w:r>
        <w:rPr>
          <w:rtl/>
        </w:rPr>
        <w:t>السعودية</w:t>
      </w:r>
      <w:proofErr w:type="spellEnd"/>
      <w:r>
        <w:rPr>
          <w:rtl/>
        </w:rPr>
        <w:t xml:space="preserve">  |</w:t>
      </w:r>
      <w:proofErr w:type="gramEnd"/>
      <w:r>
        <w:rPr>
          <w:rtl/>
        </w:rPr>
        <w:t xml:space="preserve">  ‏#</w:t>
      </w:r>
      <w:proofErr w:type="spellStart"/>
      <w:r>
        <w:rPr>
          <w:rtl/>
        </w:rPr>
        <w:t>همة_حتى_</w:t>
      </w:r>
      <w:proofErr w:type="gramStart"/>
      <w:r>
        <w:rPr>
          <w:rtl/>
        </w:rPr>
        <w:t>القمة</w:t>
      </w:r>
      <w:proofErr w:type="spellEnd"/>
      <w:r>
        <w:rPr>
          <w:rtl/>
        </w:rPr>
        <w:t xml:space="preserve">  |</w:t>
      </w:r>
      <w:proofErr w:type="gramEnd"/>
      <w:r>
        <w:rPr>
          <w:rtl/>
        </w:rPr>
        <w:t xml:space="preserve">  ‏#الفخر</w:t>
      </w:r>
    </w:p>
    <w:p w14:paraId="6B12C135" w14:textId="77777777" w:rsidR="003954AC" w:rsidRDefault="00000000" w:rsidP="00345BBA">
      <w:pPr>
        <w:bidi/>
        <w:spacing w:after="120" w:line="300" w:lineRule="auto"/>
      </w:pPr>
      <w:r>
        <w:rPr>
          <w:color w:val="555555"/>
          <w:rtl/>
        </w:rPr>
        <w:t>تحليل: تمزج هذه الوسوم بين وسم العلامة (#stc)، والوسم الحملي (#من_صنع_سعوديين)، والوسوم الوطنية العامة (#اليوم_الوطني). هذا المزج يُوسّع مدى الوصول عبر ركوب موجة الوسوم الرائجة وطنياً، مع الحفاظ على هوية العلامة داخل النقاش.</w:t>
      </w:r>
    </w:p>
    <w:p w14:paraId="498B0829" w14:textId="77777777" w:rsidR="003954AC" w:rsidRDefault="00000000" w:rsidP="00345BBA">
      <w:pPr>
        <w:bidi/>
      </w:pPr>
      <w:r>
        <w:br w:type="page"/>
      </w:r>
    </w:p>
    <w:p w14:paraId="75C4FB1C" w14:textId="77777777" w:rsidR="003954AC" w:rsidRDefault="00000000" w:rsidP="00345BBA">
      <w:pPr>
        <w:pStyle w:val="Heading1"/>
        <w:pBdr>
          <w:bottom w:val="single" w:sz="12" w:space="6" w:color="9F3A2A"/>
        </w:pBdr>
        <w:bidi/>
        <w:spacing w:before="320" w:after="160"/>
      </w:pPr>
      <w:r>
        <w:rPr>
          <w:b/>
          <w:bCs/>
          <w:color w:val="1F3864"/>
          <w:sz w:val="30"/>
          <w:szCs w:val="30"/>
          <w:rtl/>
        </w:rPr>
        <w:lastRenderedPageBreak/>
        <w:t>سادساً: تحليل المنصات والمنافسين</w:t>
      </w:r>
    </w:p>
    <w:p w14:paraId="20E268CB" w14:textId="77777777" w:rsidR="003954AC" w:rsidRDefault="00000000" w:rsidP="00345BBA">
      <w:pPr>
        <w:pStyle w:val="Heading2"/>
        <w:bidi/>
        <w:spacing w:before="220" w:after="100"/>
      </w:pPr>
      <w:r>
        <w:rPr>
          <w:b/>
          <w:bCs/>
          <w:color w:val="9F3A2A"/>
          <w:sz w:val="25"/>
          <w:szCs w:val="25"/>
          <w:rtl/>
        </w:rPr>
        <w:t>1) المنصات ونوع الجمهور</w:t>
      </w:r>
    </w:p>
    <w:p w14:paraId="28DB04E5" w14:textId="77777777" w:rsidR="003954AC" w:rsidRDefault="00000000" w:rsidP="00345BBA">
      <w:pPr>
        <w:pStyle w:val="ListParagraph"/>
        <w:numPr>
          <w:ilvl w:val="0"/>
          <w:numId w:val="2"/>
        </w:numPr>
        <w:bidi/>
        <w:spacing w:after="70" w:line="290" w:lineRule="auto"/>
      </w:pPr>
      <w:proofErr w:type="spellStart"/>
      <w:r>
        <w:rPr>
          <w:b/>
          <w:bCs/>
          <w:color w:val="1F3864"/>
          <w:rtl/>
        </w:rPr>
        <w:t>YouTube</w:t>
      </w:r>
      <w:proofErr w:type="spellEnd"/>
      <w:r>
        <w:rPr>
          <w:b/>
          <w:bCs/>
          <w:color w:val="1F3864"/>
          <w:rtl/>
        </w:rPr>
        <w:t xml:space="preserve">: </w:t>
      </w:r>
      <w:r>
        <w:rPr>
          <w:rtl/>
        </w:rPr>
        <w:t>مشاهدة الإعلان والتقرير كاملاً بتركيز عالٍ من المهتمين بالإخراج والمحتوى الملهم.</w:t>
      </w:r>
    </w:p>
    <w:p w14:paraId="7557942A" w14:textId="77777777" w:rsidR="003954AC" w:rsidRDefault="00000000" w:rsidP="00345BBA">
      <w:pPr>
        <w:pStyle w:val="ListParagraph"/>
        <w:numPr>
          <w:ilvl w:val="0"/>
          <w:numId w:val="2"/>
        </w:numPr>
        <w:bidi/>
        <w:spacing w:after="70" w:line="290" w:lineRule="auto"/>
      </w:pPr>
      <w:r>
        <w:rPr>
          <w:b/>
          <w:bCs/>
          <w:color w:val="1F3864"/>
          <w:rtl/>
        </w:rPr>
        <w:t xml:space="preserve">X </w:t>
      </w:r>
      <w:proofErr w:type="gramStart"/>
      <w:r>
        <w:rPr>
          <w:b/>
          <w:bCs/>
          <w:color w:val="1F3864"/>
          <w:rtl/>
        </w:rPr>
        <w:t xml:space="preserve">و </w:t>
      </w:r>
      <w:proofErr w:type="spellStart"/>
      <w:r>
        <w:rPr>
          <w:b/>
          <w:bCs/>
          <w:color w:val="1F3864"/>
          <w:rtl/>
        </w:rPr>
        <w:t>TikTok</w:t>
      </w:r>
      <w:proofErr w:type="spellEnd"/>
      <w:proofErr w:type="gramEnd"/>
      <w:r>
        <w:rPr>
          <w:b/>
          <w:bCs/>
          <w:color w:val="1F3864"/>
          <w:rtl/>
        </w:rPr>
        <w:t xml:space="preserve">: </w:t>
      </w:r>
      <w:r>
        <w:rPr>
          <w:rtl/>
        </w:rPr>
        <w:t>انتشار واسع لمقاطع قصيرة مع إعادة نشر واقتباسات تعبّر عن الفخر بالصناعة الوطنية.</w:t>
      </w:r>
    </w:p>
    <w:p w14:paraId="3BDBFA55" w14:textId="77777777" w:rsidR="003954AC" w:rsidRDefault="00000000" w:rsidP="00345BBA">
      <w:pPr>
        <w:bidi/>
        <w:spacing w:after="120" w:line="300" w:lineRule="auto"/>
      </w:pPr>
      <w:r>
        <w:rPr>
          <w:rtl/>
        </w:rPr>
        <w:t xml:space="preserve">تحليل: يعكس هذا التوزيع فهماً ناضجاً لطبيعة كل منصة — المحتوى الطويل عالي الإنتاج على </w:t>
      </w:r>
      <w:proofErr w:type="spellStart"/>
      <w:r>
        <w:rPr>
          <w:rtl/>
        </w:rPr>
        <w:t>YouTube</w:t>
      </w:r>
      <w:proofErr w:type="spellEnd"/>
      <w:r>
        <w:rPr>
          <w:rtl/>
        </w:rPr>
        <w:t xml:space="preserve">، والمقاطع القصيرة القابلة للانتشار على </w:t>
      </w:r>
      <w:proofErr w:type="spellStart"/>
      <w:r>
        <w:rPr>
          <w:rtl/>
        </w:rPr>
        <w:t>TikTok</w:t>
      </w:r>
      <w:proofErr w:type="spellEnd"/>
      <w:r>
        <w:rPr>
          <w:rtl/>
        </w:rPr>
        <w:t xml:space="preserve"> </w:t>
      </w:r>
      <w:proofErr w:type="spellStart"/>
      <w:r>
        <w:rPr>
          <w:rtl/>
        </w:rPr>
        <w:t>وX</w:t>
      </w:r>
      <w:proofErr w:type="spellEnd"/>
      <w:r>
        <w:rPr>
          <w:rtl/>
        </w:rPr>
        <w:t>. واختيار الجمهور للقناة (</w:t>
      </w:r>
      <w:proofErr w:type="spellStart"/>
      <w:r>
        <w:rPr>
          <w:rtl/>
        </w:rPr>
        <w:t>Channel</w:t>
      </w:r>
      <w:proofErr w:type="spellEnd"/>
      <w:r>
        <w:rPr>
          <w:rtl/>
        </w:rPr>
        <w:t xml:space="preserve"> </w:t>
      </w:r>
      <w:proofErr w:type="spellStart"/>
      <w:r>
        <w:rPr>
          <w:rtl/>
        </w:rPr>
        <w:t>Fit</w:t>
      </w:r>
      <w:proofErr w:type="spellEnd"/>
      <w:r>
        <w:rPr>
          <w:rtl/>
        </w:rPr>
        <w:t>) هو أحد أعمدة تحليل الجمهور الرشيد [4][2].</w:t>
      </w:r>
    </w:p>
    <w:p w14:paraId="011F5817" w14:textId="77777777" w:rsidR="003954AC" w:rsidRDefault="00000000" w:rsidP="00345BBA">
      <w:pPr>
        <w:pStyle w:val="Heading2"/>
        <w:bidi/>
        <w:spacing w:before="220" w:after="100"/>
      </w:pPr>
      <w:r>
        <w:rPr>
          <w:b/>
          <w:bCs/>
          <w:color w:val="9F3A2A"/>
          <w:sz w:val="25"/>
          <w:szCs w:val="25"/>
          <w:rtl/>
        </w:rPr>
        <w:t>2) مقارنة الأداء مع المنافسين (موبايلي / زين)</w:t>
      </w:r>
    </w:p>
    <w:p w14:paraId="2A83093A" w14:textId="77777777" w:rsidR="003954AC" w:rsidRDefault="00000000" w:rsidP="00345BBA">
      <w:pPr>
        <w:pStyle w:val="ListParagraph"/>
        <w:numPr>
          <w:ilvl w:val="0"/>
          <w:numId w:val="2"/>
        </w:numPr>
        <w:bidi/>
        <w:spacing w:after="70" w:line="290" w:lineRule="auto"/>
      </w:pPr>
      <w:r>
        <w:rPr>
          <w:b/>
          <w:bCs/>
          <w:color w:val="1F3864"/>
          <w:rtl/>
        </w:rPr>
        <w:t xml:space="preserve">التمايز: </w:t>
      </w:r>
      <w:r>
        <w:rPr>
          <w:rtl/>
        </w:rPr>
        <w:t xml:space="preserve">ركّزت </w:t>
      </w:r>
      <w:proofErr w:type="spellStart"/>
      <w:r>
        <w:rPr>
          <w:rtl/>
        </w:rPr>
        <w:t>stc</w:t>
      </w:r>
      <w:proofErr w:type="spellEnd"/>
      <w:r>
        <w:rPr>
          <w:rtl/>
        </w:rPr>
        <w:t xml:space="preserve"> على «التمكين والصناعة الوطنية» بدلاً من الاكتفاء بالمشاعر الوطنية العامة.</w:t>
      </w:r>
    </w:p>
    <w:p w14:paraId="0005C99F" w14:textId="77777777" w:rsidR="003954AC" w:rsidRDefault="00000000" w:rsidP="00345BBA">
      <w:pPr>
        <w:pStyle w:val="ListParagraph"/>
        <w:numPr>
          <w:ilvl w:val="0"/>
          <w:numId w:val="2"/>
        </w:numPr>
        <w:bidi/>
        <w:spacing w:after="70" w:line="290" w:lineRule="auto"/>
      </w:pPr>
      <w:r>
        <w:rPr>
          <w:b/>
          <w:bCs/>
          <w:color w:val="1F3864"/>
          <w:rtl/>
        </w:rPr>
        <w:t xml:space="preserve">الريادة الرقمية: </w:t>
      </w:r>
      <w:r>
        <w:rPr>
          <w:rtl/>
        </w:rPr>
        <w:t>حقّقت تصدّراً في التفاعل الرقمي لربطها اسم الشركة بمفهوم «التنمية الوطنية الشاملة».</w:t>
      </w:r>
    </w:p>
    <w:p w14:paraId="791485AE" w14:textId="77777777" w:rsidR="003954AC" w:rsidRDefault="00000000" w:rsidP="00345BBA">
      <w:pPr>
        <w:bidi/>
        <w:spacing w:after="120" w:line="300" w:lineRule="auto"/>
      </w:pPr>
      <w:r>
        <w:rPr>
          <w:rtl/>
        </w:rPr>
        <w:t>تحليل: في سوق تتشابه فيه العروض الوطنية موسمياً، يصنع «زاوية الرسالة» (</w:t>
      </w:r>
      <w:proofErr w:type="spellStart"/>
      <w:r>
        <w:rPr>
          <w:rtl/>
        </w:rPr>
        <w:t>Message</w:t>
      </w:r>
      <w:proofErr w:type="spellEnd"/>
      <w:r>
        <w:rPr>
          <w:rtl/>
        </w:rPr>
        <w:t xml:space="preserve"> </w:t>
      </w:r>
      <w:proofErr w:type="spellStart"/>
      <w:r>
        <w:rPr>
          <w:rtl/>
        </w:rPr>
        <w:t>Angle</w:t>
      </w:r>
      <w:proofErr w:type="spellEnd"/>
      <w:r>
        <w:rPr>
          <w:rtl/>
        </w:rPr>
        <w:t xml:space="preserve">) الفارق. اختيار </w:t>
      </w:r>
      <w:proofErr w:type="spellStart"/>
      <w:r>
        <w:rPr>
          <w:rtl/>
        </w:rPr>
        <w:t>stc</w:t>
      </w:r>
      <w:proofErr w:type="spellEnd"/>
      <w:r>
        <w:rPr>
          <w:rtl/>
        </w:rPr>
        <w:t xml:space="preserve"> لزاوية «التمكين الصناعي» — بدل زاوية الاحتفال العاطفي التقليدية — منحها تموضعاً مميّزاً يصعب على المنافس تقليده فورياً، لأنه يستند إلى موقع الشركة الفعلي كممكّن للتحول الرقمي [7][9].</w:t>
      </w:r>
    </w:p>
    <w:p w14:paraId="23594D27" w14:textId="77777777" w:rsidR="003954AC" w:rsidRDefault="00000000" w:rsidP="00345BBA">
      <w:pPr>
        <w:bidi/>
      </w:pPr>
      <w:r>
        <w:br w:type="page"/>
      </w:r>
    </w:p>
    <w:p w14:paraId="33F18E3C" w14:textId="77777777" w:rsidR="003954AC" w:rsidRDefault="00000000" w:rsidP="00345BBA">
      <w:pPr>
        <w:pStyle w:val="Heading1"/>
        <w:pBdr>
          <w:bottom w:val="single" w:sz="12" w:space="6" w:color="9F3A2A"/>
        </w:pBdr>
        <w:bidi/>
        <w:spacing w:before="320" w:after="160"/>
      </w:pPr>
      <w:r>
        <w:rPr>
          <w:b/>
          <w:bCs/>
          <w:color w:val="1F3864"/>
          <w:sz w:val="30"/>
          <w:szCs w:val="30"/>
          <w:rtl/>
        </w:rPr>
        <w:lastRenderedPageBreak/>
        <w:t>سابعاً: أمثلة التفاعل والتوصيات الاستراتيجية</w:t>
      </w:r>
    </w:p>
    <w:p w14:paraId="54EA6F0F" w14:textId="77777777" w:rsidR="003954AC" w:rsidRDefault="00000000" w:rsidP="00345BBA">
      <w:pPr>
        <w:pStyle w:val="Heading2"/>
        <w:bidi/>
        <w:spacing w:before="220" w:after="100"/>
      </w:pPr>
      <w:r>
        <w:rPr>
          <w:b/>
          <w:bCs/>
          <w:color w:val="9F3A2A"/>
          <w:sz w:val="25"/>
          <w:szCs w:val="25"/>
          <w:rtl/>
        </w:rPr>
        <w:t>1) نماذج من تعليقات الجمهور</w:t>
      </w:r>
    </w:p>
    <w:p w14:paraId="40B3756E" w14:textId="77777777" w:rsidR="003954AC" w:rsidRDefault="00000000" w:rsidP="00345BBA">
      <w:pPr>
        <w:pStyle w:val="ListParagraph"/>
        <w:numPr>
          <w:ilvl w:val="0"/>
          <w:numId w:val="2"/>
        </w:numPr>
        <w:bidi/>
        <w:spacing w:after="70" w:line="290" w:lineRule="auto"/>
      </w:pPr>
      <w:r>
        <w:rPr>
          <w:i/>
          <w:iCs/>
          <w:rtl/>
        </w:rPr>
        <w:t>«فخرٌ ما بعده فخر، إعلانٌ يرفع الراية ويعكس واقع الشباب السعودي المبدع!»</w:t>
      </w:r>
    </w:p>
    <w:p w14:paraId="3FACD4C7" w14:textId="77777777" w:rsidR="003954AC" w:rsidRDefault="00000000" w:rsidP="00345BBA">
      <w:pPr>
        <w:pStyle w:val="ListParagraph"/>
        <w:numPr>
          <w:ilvl w:val="0"/>
          <w:numId w:val="2"/>
        </w:numPr>
        <w:bidi/>
        <w:spacing w:after="70" w:line="290" w:lineRule="auto"/>
      </w:pPr>
      <w:r>
        <w:rPr>
          <w:i/>
          <w:iCs/>
          <w:rtl/>
        </w:rPr>
        <w:t>«</w:t>
      </w:r>
      <w:proofErr w:type="spellStart"/>
      <w:r>
        <w:rPr>
          <w:i/>
          <w:iCs/>
          <w:rtl/>
        </w:rPr>
        <w:t>stc</w:t>
      </w:r>
      <w:proofErr w:type="spellEnd"/>
      <w:r>
        <w:rPr>
          <w:i/>
          <w:iCs/>
          <w:rtl/>
        </w:rPr>
        <w:t xml:space="preserve"> دائماً تلمس المكان الصح في إعلانات اليوم الوطني، شكراً لكل يدٍ سعودية تعمل وتُنتج.»</w:t>
      </w:r>
    </w:p>
    <w:p w14:paraId="646BABA2" w14:textId="77777777" w:rsidR="003954AC" w:rsidRDefault="00000000" w:rsidP="00345BBA">
      <w:pPr>
        <w:bidi/>
        <w:spacing w:after="120" w:line="300" w:lineRule="auto"/>
      </w:pPr>
      <w:r>
        <w:rPr>
          <w:color w:val="555555"/>
          <w:rtl/>
        </w:rPr>
        <w:t>تحليل: تكشف اللغة العفوية للتعليقات عن استجابة عاطفية أصيلة (فخر، امتنان، تماهٍ)، وهي الدليل النوعي (</w:t>
      </w:r>
      <w:proofErr w:type="spellStart"/>
      <w:r>
        <w:rPr>
          <w:color w:val="555555"/>
          <w:rtl/>
        </w:rPr>
        <w:t>Qualitative</w:t>
      </w:r>
      <w:proofErr w:type="spellEnd"/>
      <w:r>
        <w:rPr>
          <w:color w:val="555555"/>
          <w:rtl/>
        </w:rPr>
        <w:t>) الذي يُكمّل الأرقام الكمّية ويؤكد أن الرسالة وصلت كما قُصد لها.</w:t>
      </w:r>
    </w:p>
    <w:p w14:paraId="11A461C9" w14:textId="77777777" w:rsidR="003954AC" w:rsidRDefault="00000000" w:rsidP="00345BBA">
      <w:pPr>
        <w:pStyle w:val="Heading2"/>
        <w:bidi/>
        <w:spacing w:before="220" w:after="100"/>
      </w:pPr>
      <w:r>
        <w:rPr>
          <w:b/>
          <w:bCs/>
          <w:color w:val="9F3A2A"/>
          <w:sz w:val="25"/>
          <w:szCs w:val="25"/>
          <w:rtl/>
        </w:rPr>
        <w:t>2) التوصيات والاستنتاجات النهائية</w:t>
      </w:r>
    </w:p>
    <w:p w14:paraId="6A482021" w14:textId="77777777" w:rsidR="003954AC" w:rsidRDefault="00000000" w:rsidP="00345BBA">
      <w:pPr>
        <w:pStyle w:val="ListParagraph"/>
        <w:numPr>
          <w:ilvl w:val="0"/>
          <w:numId w:val="2"/>
        </w:numPr>
        <w:bidi/>
        <w:spacing w:after="70" w:line="290" w:lineRule="auto"/>
      </w:pPr>
      <w:r>
        <w:rPr>
          <w:b/>
          <w:bCs/>
          <w:color w:val="1F3864"/>
          <w:rtl/>
        </w:rPr>
        <w:t xml:space="preserve">استدامة المبادرة: </w:t>
      </w:r>
      <w:r>
        <w:rPr>
          <w:rtl/>
        </w:rPr>
        <w:t xml:space="preserve">الاستمرار في تسليط الضوء على المشاريع والكوادر السعودية عبر منصات </w:t>
      </w:r>
      <w:proofErr w:type="spellStart"/>
      <w:r>
        <w:rPr>
          <w:rtl/>
        </w:rPr>
        <w:t>stc</w:t>
      </w:r>
      <w:proofErr w:type="spellEnd"/>
      <w:r>
        <w:rPr>
          <w:rtl/>
        </w:rPr>
        <w:t xml:space="preserve"> طوال العام، لا في المناسبات الوطنية فقط، لتحويل الحملة من حدثٍ موسمي إلى تموضعٍ دائم للعلامة.</w:t>
      </w:r>
    </w:p>
    <w:p w14:paraId="6C057019" w14:textId="77777777" w:rsidR="003954AC" w:rsidRDefault="00000000" w:rsidP="00345BBA">
      <w:pPr>
        <w:pStyle w:val="ListParagraph"/>
        <w:numPr>
          <w:ilvl w:val="0"/>
          <w:numId w:val="2"/>
        </w:numPr>
        <w:bidi/>
        <w:spacing w:after="70" w:line="290" w:lineRule="auto"/>
      </w:pPr>
      <w:r>
        <w:rPr>
          <w:b/>
          <w:bCs/>
          <w:color w:val="1F3864"/>
          <w:rtl/>
        </w:rPr>
        <w:t xml:space="preserve">شراكات عملية: </w:t>
      </w:r>
      <w:r>
        <w:rPr>
          <w:rtl/>
        </w:rPr>
        <w:t>إطلاق حاضنات أو مسابقات لدعم المشاريع الوطنية تحت شعار «من صُنع سعوديين»، لترجمة الرسالة العاطفية إلى أثرٍ ملموس يعزّز المصداقية.</w:t>
      </w:r>
    </w:p>
    <w:p w14:paraId="27AA4E51" w14:textId="77777777" w:rsidR="003954AC" w:rsidRDefault="00000000" w:rsidP="00345BBA">
      <w:pPr>
        <w:pStyle w:val="ListParagraph"/>
        <w:numPr>
          <w:ilvl w:val="0"/>
          <w:numId w:val="2"/>
        </w:numPr>
        <w:bidi/>
        <w:spacing w:after="70" w:line="290" w:lineRule="auto"/>
      </w:pPr>
      <w:r>
        <w:rPr>
          <w:b/>
          <w:bCs/>
          <w:color w:val="1F3864"/>
          <w:rtl/>
        </w:rPr>
        <w:t xml:space="preserve">توسيع المحتوى الرقمي: </w:t>
      </w:r>
      <w:r>
        <w:rPr>
          <w:rtl/>
        </w:rPr>
        <w:t>استثمار منصات المحتوى القصير (</w:t>
      </w:r>
      <w:proofErr w:type="spellStart"/>
      <w:r>
        <w:rPr>
          <w:rtl/>
        </w:rPr>
        <w:t>TikTok</w:t>
      </w:r>
      <w:proofErr w:type="spellEnd"/>
      <w:r>
        <w:rPr>
          <w:rtl/>
        </w:rPr>
        <w:t xml:space="preserve"> / </w:t>
      </w:r>
      <w:proofErr w:type="spellStart"/>
      <w:r>
        <w:rPr>
          <w:rtl/>
        </w:rPr>
        <w:t>Reels</w:t>
      </w:r>
      <w:proofErr w:type="spellEnd"/>
      <w:r>
        <w:rPr>
          <w:rtl/>
        </w:rPr>
        <w:t>) لنشر قصص نجاح مختصرة للكوادر الظاهرة في الإعلان، بما يطيل عمر الحملة ويغذّي التفاعل.</w:t>
      </w:r>
    </w:p>
    <w:p w14:paraId="4B8B4E2B" w14:textId="77777777" w:rsidR="003954AC" w:rsidRDefault="00000000" w:rsidP="00345BBA">
      <w:pPr>
        <w:pStyle w:val="ListParagraph"/>
        <w:numPr>
          <w:ilvl w:val="0"/>
          <w:numId w:val="2"/>
        </w:numPr>
        <w:bidi/>
        <w:spacing w:after="70" w:line="290" w:lineRule="auto"/>
      </w:pPr>
      <w:r>
        <w:rPr>
          <w:b/>
          <w:bCs/>
          <w:color w:val="1F3864"/>
          <w:rtl/>
        </w:rPr>
        <w:t xml:space="preserve">معالجة نقطة الضعف: </w:t>
      </w:r>
      <w:r>
        <w:rPr>
          <w:rtl/>
        </w:rPr>
        <w:t>توصية مُضافة — بما أن الجزء السلبي ارتبط بجودة الخدمة، يُقترح مواكبة الحملة الإبداعية بتحسينات تشغيلية معلنة (تغطية/خدمة عملاء) حتى لا تفتح فجوة بين الوعد العاطفي والتجربة الفعلية.</w:t>
      </w:r>
    </w:p>
    <w:p w14:paraId="3A42B22B" w14:textId="77777777" w:rsidR="003954AC" w:rsidRDefault="00000000" w:rsidP="00345BBA">
      <w:pPr>
        <w:pStyle w:val="Heading1"/>
        <w:pBdr>
          <w:bottom w:val="single" w:sz="12" w:space="6" w:color="9F3A2A"/>
        </w:pBdr>
        <w:bidi/>
        <w:spacing w:before="320" w:after="160"/>
      </w:pPr>
      <w:r>
        <w:rPr>
          <w:b/>
          <w:bCs/>
          <w:color w:val="1F3864"/>
          <w:sz w:val="30"/>
          <w:szCs w:val="30"/>
          <w:rtl/>
        </w:rPr>
        <w:t>ثامناً: توثيق أدوات الذكاء الاصطناعي المستخدمة</w:t>
      </w:r>
    </w:p>
    <w:p w14:paraId="2BBA00B3" w14:textId="77777777" w:rsidR="003954AC" w:rsidRDefault="00000000" w:rsidP="00345BBA">
      <w:pPr>
        <w:bidi/>
        <w:spacing w:after="120" w:line="300" w:lineRule="auto"/>
      </w:pPr>
      <w:r>
        <w:rPr>
          <w:rtl/>
        </w:rPr>
        <w:t>أُشير في العرض إلى الاستعانة بأدوات الذكاء الاصطناعي (</w:t>
      </w:r>
      <w:proofErr w:type="spellStart"/>
      <w:r>
        <w:rPr>
          <w:rtl/>
        </w:rPr>
        <w:t>Gemini</w:t>
      </w:r>
      <w:proofErr w:type="spellEnd"/>
      <w:r>
        <w:rPr>
          <w:rtl/>
        </w:rPr>
        <w:t xml:space="preserve"> / </w:t>
      </w:r>
      <w:proofErr w:type="spellStart"/>
      <w:r>
        <w:rPr>
          <w:rtl/>
        </w:rPr>
        <w:t>ChatGPT</w:t>
      </w:r>
      <w:proofErr w:type="spellEnd"/>
      <w:r>
        <w:rPr>
          <w:rtl/>
        </w:rPr>
        <w:t>) في إعداد التحليل. ويُعدّ هذا التوثيق ممارسة منهجية سليمة تعزّز الشفافية الأكاديمية. ويُوصى عند التوثيق بذكر: اسم الأداة وإصدارها، والغرض من الاستخدام (توليد أفكار/صياغة/تلخيص)، وتاريخ الاستخدام، مع تأكيد أن التحقق من الحقائق والأرقام تمّ عبر مصادر مستقلة.</w:t>
      </w:r>
    </w:p>
    <w:p w14:paraId="19B9AE25" w14:textId="77777777" w:rsidR="003954AC" w:rsidRDefault="00000000" w:rsidP="00345BBA">
      <w:pPr>
        <w:bidi/>
      </w:pPr>
      <w:r>
        <w:br w:type="page"/>
      </w:r>
    </w:p>
    <w:p w14:paraId="035A7020" w14:textId="77777777" w:rsidR="003954AC" w:rsidRDefault="00000000" w:rsidP="00345BBA">
      <w:pPr>
        <w:pStyle w:val="Heading1"/>
        <w:pBdr>
          <w:bottom w:val="single" w:sz="12" w:space="6" w:color="9F3A2A"/>
        </w:pBdr>
        <w:bidi/>
        <w:spacing w:before="320" w:after="160"/>
      </w:pPr>
      <w:r>
        <w:rPr>
          <w:b/>
          <w:bCs/>
          <w:color w:val="1F3864"/>
          <w:sz w:val="30"/>
          <w:szCs w:val="30"/>
          <w:rtl/>
        </w:rPr>
        <w:lastRenderedPageBreak/>
        <w:t>المصادر والمراجع</w:t>
      </w:r>
    </w:p>
    <w:p w14:paraId="3F8C3552" w14:textId="77777777" w:rsidR="003954AC" w:rsidRDefault="00000000" w:rsidP="00345BBA">
      <w:pPr>
        <w:bidi/>
        <w:spacing w:after="120" w:line="300" w:lineRule="auto"/>
      </w:pPr>
      <w:r>
        <w:rPr>
          <w:i/>
          <w:iCs/>
          <w:color w:val="555555"/>
          <w:rtl/>
        </w:rPr>
        <w:t xml:space="preserve">رُتّبت المصادر أدناه وفق ورودها في التحليل. وتجمع بين مراجع نظرية في تحليل الجمهور والإقناع، ومصادر إخبارية موثّقة عن حملة </w:t>
      </w:r>
      <w:proofErr w:type="spellStart"/>
      <w:r>
        <w:rPr>
          <w:i/>
          <w:iCs/>
          <w:color w:val="555555"/>
          <w:rtl/>
        </w:rPr>
        <w:t>stc</w:t>
      </w:r>
      <w:proofErr w:type="spellEnd"/>
      <w:r>
        <w:rPr>
          <w:i/>
          <w:iCs/>
          <w:color w:val="555555"/>
          <w:rtl/>
        </w:rPr>
        <w:t>.</w:t>
      </w:r>
    </w:p>
    <w:p w14:paraId="00E65F63" w14:textId="77777777" w:rsidR="003954AC" w:rsidRDefault="00000000" w:rsidP="00345BBA">
      <w:pPr>
        <w:bidi/>
        <w:spacing w:after="40" w:line="280" w:lineRule="auto"/>
      </w:pPr>
      <w:r>
        <w:rPr>
          <w:b/>
          <w:bCs/>
          <w:color w:val="1F3864"/>
          <w:sz w:val="20"/>
          <w:szCs w:val="20"/>
          <w:rtl/>
        </w:rPr>
        <w:t xml:space="preserve">[1] </w:t>
      </w:r>
      <w:proofErr w:type="spellStart"/>
      <w:r>
        <w:rPr>
          <w:sz w:val="20"/>
          <w:szCs w:val="20"/>
          <w:rtl/>
        </w:rPr>
        <w:t>Sprinklr</w:t>
      </w:r>
      <w:proofErr w:type="spellEnd"/>
      <w:r>
        <w:rPr>
          <w:sz w:val="20"/>
          <w:szCs w:val="20"/>
          <w:rtl/>
        </w:rPr>
        <w:t xml:space="preserve"> — </w:t>
      </w:r>
      <w:proofErr w:type="spellStart"/>
      <w:r>
        <w:rPr>
          <w:sz w:val="20"/>
          <w:szCs w:val="20"/>
          <w:rtl/>
        </w:rPr>
        <w:t>Audience</w:t>
      </w:r>
      <w:proofErr w:type="spellEnd"/>
      <w:r>
        <w:rPr>
          <w:sz w:val="20"/>
          <w:szCs w:val="20"/>
          <w:rtl/>
        </w:rPr>
        <w:t xml:space="preserve"> </w:t>
      </w:r>
      <w:proofErr w:type="spellStart"/>
      <w:r>
        <w:rPr>
          <w:sz w:val="20"/>
          <w:szCs w:val="20"/>
          <w:rtl/>
        </w:rPr>
        <w:t>Analysis</w:t>
      </w:r>
      <w:proofErr w:type="spellEnd"/>
      <w:r>
        <w:rPr>
          <w:sz w:val="20"/>
          <w:szCs w:val="20"/>
          <w:rtl/>
        </w:rPr>
        <w:t xml:space="preserve">: </w:t>
      </w:r>
      <w:proofErr w:type="spellStart"/>
      <w:r>
        <w:rPr>
          <w:sz w:val="20"/>
          <w:szCs w:val="20"/>
          <w:rtl/>
        </w:rPr>
        <w:t>Analyze</w:t>
      </w:r>
      <w:proofErr w:type="spellEnd"/>
      <w:r>
        <w:rPr>
          <w:sz w:val="20"/>
          <w:szCs w:val="20"/>
          <w:rtl/>
        </w:rPr>
        <w:t xml:space="preserve"> </w:t>
      </w:r>
      <w:proofErr w:type="spellStart"/>
      <w:r>
        <w:rPr>
          <w:sz w:val="20"/>
          <w:szCs w:val="20"/>
          <w:rtl/>
        </w:rPr>
        <w:t>Your</w:t>
      </w:r>
      <w:proofErr w:type="spellEnd"/>
      <w:r>
        <w:rPr>
          <w:sz w:val="20"/>
          <w:szCs w:val="20"/>
          <w:rtl/>
        </w:rPr>
        <w:t xml:space="preserve"> </w:t>
      </w:r>
      <w:proofErr w:type="spellStart"/>
      <w:r>
        <w:rPr>
          <w:sz w:val="20"/>
          <w:szCs w:val="20"/>
          <w:rtl/>
        </w:rPr>
        <w:t>Target</w:t>
      </w:r>
      <w:proofErr w:type="spellEnd"/>
      <w:r>
        <w:rPr>
          <w:sz w:val="20"/>
          <w:szCs w:val="20"/>
          <w:rtl/>
        </w:rPr>
        <w:t xml:space="preserve"> </w:t>
      </w:r>
      <w:proofErr w:type="spellStart"/>
      <w:r>
        <w:rPr>
          <w:sz w:val="20"/>
          <w:szCs w:val="20"/>
          <w:rtl/>
        </w:rPr>
        <w:t>Audience</w:t>
      </w:r>
      <w:proofErr w:type="spellEnd"/>
      <w:r>
        <w:rPr>
          <w:sz w:val="20"/>
          <w:szCs w:val="20"/>
          <w:rtl/>
        </w:rPr>
        <w:t xml:space="preserve"> </w:t>
      </w:r>
      <w:proofErr w:type="spellStart"/>
      <w:r>
        <w:rPr>
          <w:sz w:val="20"/>
          <w:szCs w:val="20"/>
          <w:rtl/>
        </w:rPr>
        <w:t>Profile</w:t>
      </w:r>
      <w:proofErr w:type="spellEnd"/>
      <w:r>
        <w:rPr>
          <w:sz w:val="20"/>
          <w:szCs w:val="20"/>
          <w:rtl/>
        </w:rPr>
        <w:t xml:space="preserve"> (تعريف تحليل الجمهور وأبعاده الديموغرافية </w:t>
      </w:r>
      <w:proofErr w:type="spellStart"/>
      <w:r>
        <w:rPr>
          <w:sz w:val="20"/>
          <w:szCs w:val="20"/>
          <w:rtl/>
        </w:rPr>
        <w:t>والسيكوجرافية</w:t>
      </w:r>
      <w:proofErr w:type="spellEnd"/>
      <w:r>
        <w:rPr>
          <w:sz w:val="20"/>
          <w:szCs w:val="20"/>
          <w:rtl/>
        </w:rPr>
        <w:t xml:space="preserve"> والمشاعر).  </w:t>
      </w:r>
    </w:p>
    <w:p w14:paraId="20E60F37" w14:textId="77777777" w:rsidR="003954AC" w:rsidRDefault="00000000" w:rsidP="00345BBA">
      <w:pPr>
        <w:bidi/>
        <w:spacing w:after="130"/>
      </w:pPr>
      <w:hyperlink r:id="rId7" w:history="1">
        <w:r>
          <w:rPr>
            <w:color w:val="0563C1"/>
            <w:sz w:val="18"/>
            <w:szCs w:val="18"/>
            <w:u w:val="single"/>
          </w:rPr>
          <w:t>https://www.sprinklr.com/blog/audience-analysis/</w:t>
        </w:r>
      </w:hyperlink>
    </w:p>
    <w:p w14:paraId="34E277F1" w14:textId="77777777" w:rsidR="003954AC" w:rsidRDefault="00000000" w:rsidP="00345BBA">
      <w:pPr>
        <w:bidi/>
        <w:spacing w:after="40" w:line="280" w:lineRule="auto"/>
      </w:pPr>
      <w:r>
        <w:rPr>
          <w:b/>
          <w:bCs/>
          <w:color w:val="1F3864"/>
          <w:sz w:val="20"/>
          <w:szCs w:val="20"/>
          <w:rtl/>
        </w:rPr>
        <w:t xml:space="preserve">[2] </w:t>
      </w:r>
      <w:proofErr w:type="spellStart"/>
      <w:r>
        <w:rPr>
          <w:sz w:val="20"/>
          <w:szCs w:val="20"/>
          <w:rtl/>
        </w:rPr>
        <w:t>Omniconvert</w:t>
      </w:r>
      <w:proofErr w:type="spellEnd"/>
      <w:r>
        <w:rPr>
          <w:sz w:val="20"/>
          <w:szCs w:val="20"/>
          <w:rtl/>
        </w:rPr>
        <w:t xml:space="preserve"> — </w:t>
      </w:r>
      <w:proofErr w:type="spellStart"/>
      <w:r>
        <w:rPr>
          <w:sz w:val="20"/>
          <w:szCs w:val="20"/>
          <w:rtl/>
        </w:rPr>
        <w:t>How</w:t>
      </w:r>
      <w:proofErr w:type="spellEnd"/>
      <w:r>
        <w:rPr>
          <w:sz w:val="20"/>
          <w:szCs w:val="20"/>
          <w:rtl/>
        </w:rPr>
        <w:t xml:space="preserve"> </w:t>
      </w:r>
      <w:proofErr w:type="spellStart"/>
      <w:r>
        <w:rPr>
          <w:sz w:val="20"/>
          <w:szCs w:val="20"/>
          <w:rtl/>
        </w:rPr>
        <w:t>to</w:t>
      </w:r>
      <w:proofErr w:type="spellEnd"/>
      <w:r>
        <w:rPr>
          <w:sz w:val="20"/>
          <w:szCs w:val="20"/>
          <w:rtl/>
        </w:rPr>
        <w:t xml:space="preserve"> </w:t>
      </w:r>
      <w:proofErr w:type="spellStart"/>
      <w:r>
        <w:rPr>
          <w:sz w:val="20"/>
          <w:szCs w:val="20"/>
          <w:rtl/>
        </w:rPr>
        <w:t>Do</w:t>
      </w:r>
      <w:proofErr w:type="spellEnd"/>
      <w:r>
        <w:rPr>
          <w:sz w:val="20"/>
          <w:szCs w:val="20"/>
          <w:rtl/>
        </w:rPr>
        <w:t xml:space="preserve"> a </w:t>
      </w:r>
      <w:proofErr w:type="spellStart"/>
      <w:r>
        <w:rPr>
          <w:sz w:val="20"/>
          <w:szCs w:val="20"/>
          <w:rtl/>
        </w:rPr>
        <w:t>Complete</w:t>
      </w:r>
      <w:proofErr w:type="spellEnd"/>
      <w:r>
        <w:rPr>
          <w:sz w:val="20"/>
          <w:szCs w:val="20"/>
          <w:rtl/>
        </w:rPr>
        <w:t xml:space="preserve"> </w:t>
      </w:r>
      <w:proofErr w:type="spellStart"/>
      <w:r>
        <w:rPr>
          <w:sz w:val="20"/>
          <w:szCs w:val="20"/>
          <w:rtl/>
        </w:rPr>
        <w:t>Audience</w:t>
      </w:r>
      <w:proofErr w:type="spellEnd"/>
      <w:r>
        <w:rPr>
          <w:sz w:val="20"/>
          <w:szCs w:val="20"/>
          <w:rtl/>
        </w:rPr>
        <w:t xml:space="preserve"> </w:t>
      </w:r>
      <w:proofErr w:type="spellStart"/>
      <w:r>
        <w:rPr>
          <w:sz w:val="20"/>
          <w:szCs w:val="20"/>
          <w:rtl/>
        </w:rPr>
        <w:t>Analysis</w:t>
      </w:r>
      <w:proofErr w:type="spellEnd"/>
      <w:r>
        <w:rPr>
          <w:sz w:val="20"/>
          <w:szCs w:val="20"/>
          <w:rtl/>
        </w:rPr>
        <w:t xml:space="preserve"> (التقسيم الديموغرافي والجغرافي </w:t>
      </w:r>
      <w:proofErr w:type="spellStart"/>
      <w:r>
        <w:rPr>
          <w:sz w:val="20"/>
          <w:szCs w:val="20"/>
          <w:rtl/>
        </w:rPr>
        <w:t>والسيكوجرافي</w:t>
      </w:r>
      <w:proofErr w:type="spellEnd"/>
      <w:r>
        <w:rPr>
          <w:sz w:val="20"/>
          <w:szCs w:val="20"/>
          <w:rtl/>
        </w:rPr>
        <w:t xml:space="preserve"> والسلوكي وتحليل المشاعر عبر المنصات).  </w:t>
      </w:r>
    </w:p>
    <w:p w14:paraId="6F20180D" w14:textId="77777777" w:rsidR="003954AC" w:rsidRDefault="00000000" w:rsidP="00345BBA">
      <w:pPr>
        <w:bidi/>
        <w:spacing w:after="130"/>
      </w:pPr>
      <w:hyperlink r:id="rId8" w:history="1">
        <w:r>
          <w:rPr>
            <w:color w:val="0563C1"/>
            <w:sz w:val="18"/>
            <w:szCs w:val="18"/>
            <w:u w:val="single"/>
          </w:rPr>
          <w:t>https://www.omniconvert.com/blog/how-to-do-a-complete-audience-analysis/</w:t>
        </w:r>
      </w:hyperlink>
    </w:p>
    <w:p w14:paraId="3D479575" w14:textId="77777777" w:rsidR="003954AC" w:rsidRDefault="00000000" w:rsidP="00345BBA">
      <w:pPr>
        <w:bidi/>
        <w:spacing w:after="40" w:line="280" w:lineRule="auto"/>
      </w:pPr>
      <w:r>
        <w:rPr>
          <w:b/>
          <w:bCs/>
          <w:color w:val="1F3864"/>
          <w:sz w:val="20"/>
          <w:szCs w:val="20"/>
          <w:rtl/>
        </w:rPr>
        <w:t xml:space="preserve">[3] </w:t>
      </w:r>
      <w:proofErr w:type="spellStart"/>
      <w:r>
        <w:rPr>
          <w:sz w:val="20"/>
          <w:szCs w:val="20"/>
          <w:rtl/>
        </w:rPr>
        <w:t>YouScan</w:t>
      </w:r>
      <w:proofErr w:type="spellEnd"/>
      <w:r>
        <w:rPr>
          <w:sz w:val="20"/>
          <w:szCs w:val="20"/>
          <w:rtl/>
        </w:rPr>
        <w:t xml:space="preserve"> — </w:t>
      </w:r>
      <w:proofErr w:type="spellStart"/>
      <w:r>
        <w:rPr>
          <w:sz w:val="20"/>
          <w:szCs w:val="20"/>
          <w:rtl/>
        </w:rPr>
        <w:t>Target</w:t>
      </w:r>
      <w:proofErr w:type="spellEnd"/>
      <w:r>
        <w:rPr>
          <w:sz w:val="20"/>
          <w:szCs w:val="20"/>
          <w:rtl/>
        </w:rPr>
        <w:t xml:space="preserve"> </w:t>
      </w:r>
      <w:proofErr w:type="spellStart"/>
      <w:r>
        <w:rPr>
          <w:sz w:val="20"/>
          <w:szCs w:val="20"/>
          <w:rtl/>
        </w:rPr>
        <w:t>Audience</w:t>
      </w:r>
      <w:proofErr w:type="spellEnd"/>
      <w:r>
        <w:rPr>
          <w:sz w:val="20"/>
          <w:szCs w:val="20"/>
          <w:rtl/>
        </w:rPr>
        <w:t xml:space="preserve"> </w:t>
      </w:r>
      <w:proofErr w:type="spellStart"/>
      <w:r>
        <w:rPr>
          <w:sz w:val="20"/>
          <w:szCs w:val="20"/>
          <w:rtl/>
        </w:rPr>
        <w:t>Analysis</w:t>
      </w:r>
      <w:proofErr w:type="spellEnd"/>
      <w:r>
        <w:rPr>
          <w:sz w:val="20"/>
          <w:szCs w:val="20"/>
          <w:rtl/>
        </w:rPr>
        <w:t xml:space="preserve"> </w:t>
      </w:r>
      <w:proofErr w:type="spellStart"/>
      <w:r>
        <w:rPr>
          <w:sz w:val="20"/>
          <w:szCs w:val="20"/>
          <w:rtl/>
        </w:rPr>
        <w:t>Explained</w:t>
      </w:r>
      <w:proofErr w:type="spellEnd"/>
      <w:r>
        <w:rPr>
          <w:sz w:val="20"/>
          <w:szCs w:val="20"/>
          <w:rtl/>
        </w:rPr>
        <w:t xml:space="preserve"> (الديموغرافيا تُجيب عن «مَن» </w:t>
      </w:r>
      <w:proofErr w:type="spellStart"/>
      <w:r>
        <w:rPr>
          <w:sz w:val="20"/>
          <w:szCs w:val="20"/>
          <w:rtl/>
        </w:rPr>
        <w:t>والسيكوجرافيا</w:t>
      </w:r>
      <w:proofErr w:type="spellEnd"/>
      <w:r>
        <w:rPr>
          <w:sz w:val="20"/>
          <w:szCs w:val="20"/>
          <w:rtl/>
        </w:rPr>
        <w:t xml:space="preserve"> عن «لماذا»).  </w:t>
      </w:r>
    </w:p>
    <w:p w14:paraId="7E3D8CEE" w14:textId="77777777" w:rsidR="003954AC" w:rsidRDefault="00000000" w:rsidP="00345BBA">
      <w:pPr>
        <w:bidi/>
        <w:spacing w:after="130"/>
      </w:pPr>
      <w:hyperlink r:id="rId9" w:history="1">
        <w:r>
          <w:rPr>
            <w:color w:val="0563C1"/>
            <w:sz w:val="18"/>
            <w:szCs w:val="18"/>
            <w:u w:val="single"/>
          </w:rPr>
          <w:t>https://youscan.io/blog/target-audience-analysis/</w:t>
        </w:r>
      </w:hyperlink>
    </w:p>
    <w:p w14:paraId="1A548817" w14:textId="77777777" w:rsidR="003954AC" w:rsidRDefault="00000000" w:rsidP="00345BBA">
      <w:pPr>
        <w:bidi/>
        <w:spacing w:after="40" w:line="280" w:lineRule="auto"/>
      </w:pPr>
      <w:r>
        <w:rPr>
          <w:b/>
          <w:bCs/>
          <w:color w:val="1F3864"/>
          <w:sz w:val="20"/>
          <w:szCs w:val="20"/>
          <w:rtl/>
        </w:rPr>
        <w:t xml:space="preserve">[4] </w:t>
      </w:r>
      <w:proofErr w:type="spellStart"/>
      <w:r>
        <w:rPr>
          <w:sz w:val="20"/>
          <w:szCs w:val="20"/>
          <w:rtl/>
        </w:rPr>
        <w:t>Emplifi</w:t>
      </w:r>
      <w:proofErr w:type="spellEnd"/>
      <w:r>
        <w:rPr>
          <w:sz w:val="20"/>
          <w:szCs w:val="20"/>
          <w:rtl/>
        </w:rPr>
        <w:t xml:space="preserve"> — </w:t>
      </w:r>
      <w:proofErr w:type="spellStart"/>
      <w:r>
        <w:rPr>
          <w:sz w:val="20"/>
          <w:szCs w:val="20"/>
          <w:rtl/>
        </w:rPr>
        <w:t>Target</w:t>
      </w:r>
      <w:proofErr w:type="spellEnd"/>
      <w:r>
        <w:rPr>
          <w:sz w:val="20"/>
          <w:szCs w:val="20"/>
          <w:rtl/>
        </w:rPr>
        <w:t xml:space="preserve"> </w:t>
      </w:r>
      <w:proofErr w:type="spellStart"/>
      <w:r>
        <w:rPr>
          <w:sz w:val="20"/>
          <w:szCs w:val="20"/>
          <w:rtl/>
        </w:rPr>
        <w:t>Audience</w:t>
      </w:r>
      <w:proofErr w:type="spellEnd"/>
      <w:r>
        <w:rPr>
          <w:sz w:val="20"/>
          <w:szCs w:val="20"/>
          <w:rtl/>
        </w:rPr>
        <w:t xml:space="preserve"> </w:t>
      </w:r>
      <w:proofErr w:type="spellStart"/>
      <w:r>
        <w:rPr>
          <w:sz w:val="20"/>
          <w:szCs w:val="20"/>
          <w:rtl/>
        </w:rPr>
        <w:t>Analysis</w:t>
      </w:r>
      <w:proofErr w:type="spellEnd"/>
      <w:r>
        <w:rPr>
          <w:sz w:val="20"/>
          <w:szCs w:val="20"/>
          <w:rtl/>
        </w:rPr>
        <w:t xml:space="preserve"> </w:t>
      </w:r>
      <w:proofErr w:type="spellStart"/>
      <w:r>
        <w:rPr>
          <w:sz w:val="20"/>
          <w:szCs w:val="20"/>
          <w:rtl/>
        </w:rPr>
        <w:t>Guide</w:t>
      </w:r>
      <w:proofErr w:type="spellEnd"/>
      <w:r>
        <w:rPr>
          <w:sz w:val="20"/>
          <w:szCs w:val="20"/>
          <w:rtl/>
        </w:rPr>
        <w:t xml:space="preserve"> </w:t>
      </w:r>
      <w:proofErr w:type="spellStart"/>
      <w:r>
        <w:rPr>
          <w:sz w:val="20"/>
          <w:szCs w:val="20"/>
          <w:rtl/>
        </w:rPr>
        <w:t>for</w:t>
      </w:r>
      <w:proofErr w:type="spellEnd"/>
      <w:r>
        <w:rPr>
          <w:sz w:val="20"/>
          <w:szCs w:val="20"/>
          <w:rtl/>
        </w:rPr>
        <w:t xml:space="preserve"> </w:t>
      </w:r>
      <w:proofErr w:type="spellStart"/>
      <w:r>
        <w:rPr>
          <w:sz w:val="20"/>
          <w:szCs w:val="20"/>
          <w:rtl/>
        </w:rPr>
        <w:t>Digital</w:t>
      </w:r>
      <w:proofErr w:type="spellEnd"/>
      <w:r>
        <w:rPr>
          <w:sz w:val="20"/>
          <w:szCs w:val="20"/>
          <w:rtl/>
        </w:rPr>
        <w:t xml:space="preserve"> </w:t>
      </w:r>
      <w:proofErr w:type="spellStart"/>
      <w:r>
        <w:rPr>
          <w:sz w:val="20"/>
          <w:szCs w:val="20"/>
          <w:rtl/>
        </w:rPr>
        <w:t>Marketers</w:t>
      </w:r>
      <w:proofErr w:type="spellEnd"/>
      <w:r>
        <w:rPr>
          <w:sz w:val="20"/>
          <w:szCs w:val="20"/>
          <w:rtl/>
        </w:rPr>
        <w:t xml:space="preserve"> (أبعاد الديموغرافيا </w:t>
      </w:r>
      <w:proofErr w:type="spellStart"/>
      <w:r>
        <w:rPr>
          <w:sz w:val="20"/>
          <w:szCs w:val="20"/>
          <w:rtl/>
        </w:rPr>
        <w:t>والسيكوجرافيا</w:t>
      </w:r>
      <w:proofErr w:type="spellEnd"/>
      <w:r>
        <w:rPr>
          <w:sz w:val="20"/>
          <w:szCs w:val="20"/>
          <w:rtl/>
        </w:rPr>
        <w:t xml:space="preserve"> والسلوك والقنوات).  </w:t>
      </w:r>
    </w:p>
    <w:p w14:paraId="37F59720" w14:textId="77777777" w:rsidR="003954AC" w:rsidRDefault="00000000" w:rsidP="00345BBA">
      <w:pPr>
        <w:bidi/>
        <w:spacing w:after="130"/>
      </w:pPr>
      <w:hyperlink r:id="rId10" w:history="1">
        <w:r>
          <w:rPr>
            <w:color w:val="0563C1"/>
            <w:sz w:val="18"/>
            <w:szCs w:val="18"/>
            <w:u w:val="single"/>
          </w:rPr>
          <w:t>https://emplifi.io/resources/blog/target-audience-analysis-guide-everything-digital-marketers-need-to-know/</w:t>
        </w:r>
      </w:hyperlink>
    </w:p>
    <w:p w14:paraId="63B36603" w14:textId="77777777" w:rsidR="003954AC" w:rsidRDefault="00000000" w:rsidP="00345BBA">
      <w:pPr>
        <w:bidi/>
        <w:spacing w:after="40" w:line="280" w:lineRule="auto"/>
      </w:pPr>
      <w:r>
        <w:rPr>
          <w:b/>
          <w:bCs/>
          <w:color w:val="1F3864"/>
          <w:sz w:val="20"/>
          <w:szCs w:val="20"/>
          <w:rtl/>
        </w:rPr>
        <w:t xml:space="preserve">[5] </w:t>
      </w:r>
      <w:proofErr w:type="spellStart"/>
      <w:r>
        <w:rPr>
          <w:sz w:val="20"/>
          <w:szCs w:val="20"/>
          <w:rtl/>
        </w:rPr>
        <w:t>Indeed</w:t>
      </w:r>
      <w:proofErr w:type="spellEnd"/>
      <w:r>
        <w:rPr>
          <w:sz w:val="20"/>
          <w:szCs w:val="20"/>
          <w:rtl/>
        </w:rPr>
        <w:t xml:space="preserve"> — </w:t>
      </w:r>
      <w:proofErr w:type="spellStart"/>
      <w:r>
        <w:rPr>
          <w:sz w:val="20"/>
          <w:szCs w:val="20"/>
          <w:rtl/>
        </w:rPr>
        <w:t>Demographics</w:t>
      </w:r>
      <w:proofErr w:type="spellEnd"/>
      <w:r>
        <w:rPr>
          <w:sz w:val="20"/>
          <w:szCs w:val="20"/>
          <w:rtl/>
        </w:rPr>
        <w:t xml:space="preserve"> </w:t>
      </w:r>
      <w:proofErr w:type="spellStart"/>
      <w:r>
        <w:rPr>
          <w:sz w:val="20"/>
          <w:szCs w:val="20"/>
          <w:rtl/>
        </w:rPr>
        <w:t>vs</w:t>
      </w:r>
      <w:proofErr w:type="spellEnd"/>
      <w:r>
        <w:rPr>
          <w:sz w:val="20"/>
          <w:szCs w:val="20"/>
          <w:rtl/>
        </w:rPr>
        <w:t xml:space="preserve">. </w:t>
      </w:r>
      <w:proofErr w:type="spellStart"/>
      <w:r>
        <w:rPr>
          <w:sz w:val="20"/>
          <w:szCs w:val="20"/>
          <w:rtl/>
        </w:rPr>
        <w:t>Psychographics</w:t>
      </w:r>
      <w:proofErr w:type="spellEnd"/>
      <w:r>
        <w:rPr>
          <w:sz w:val="20"/>
          <w:szCs w:val="20"/>
          <w:rtl/>
        </w:rPr>
        <w:t xml:space="preserve"> </w:t>
      </w:r>
      <w:proofErr w:type="spellStart"/>
      <w:r>
        <w:rPr>
          <w:sz w:val="20"/>
          <w:szCs w:val="20"/>
          <w:rtl/>
        </w:rPr>
        <w:t>in</w:t>
      </w:r>
      <w:proofErr w:type="spellEnd"/>
      <w:r>
        <w:rPr>
          <w:sz w:val="20"/>
          <w:szCs w:val="20"/>
          <w:rtl/>
        </w:rPr>
        <w:t xml:space="preserve"> </w:t>
      </w:r>
      <w:proofErr w:type="spellStart"/>
      <w:r>
        <w:rPr>
          <w:sz w:val="20"/>
          <w:szCs w:val="20"/>
          <w:rtl/>
        </w:rPr>
        <w:t>Audience</w:t>
      </w:r>
      <w:proofErr w:type="spellEnd"/>
      <w:r>
        <w:rPr>
          <w:sz w:val="20"/>
          <w:szCs w:val="20"/>
          <w:rtl/>
        </w:rPr>
        <w:t xml:space="preserve"> </w:t>
      </w:r>
      <w:proofErr w:type="spellStart"/>
      <w:r>
        <w:rPr>
          <w:sz w:val="20"/>
          <w:szCs w:val="20"/>
          <w:rtl/>
        </w:rPr>
        <w:t>Segmentation</w:t>
      </w:r>
      <w:proofErr w:type="spellEnd"/>
      <w:r>
        <w:rPr>
          <w:sz w:val="20"/>
          <w:szCs w:val="20"/>
          <w:rtl/>
        </w:rPr>
        <w:t xml:space="preserve"> (الفرق بين البيانات الكمّية الديموغرافية والنوعية </w:t>
      </w:r>
      <w:proofErr w:type="spellStart"/>
      <w:r>
        <w:rPr>
          <w:sz w:val="20"/>
          <w:szCs w:val="20"/>
          <w:rtl/>
        </w:rPr>
        <w:t>السيكوجرافية</w:t>
      </w:r>
      <w:proofErr w:type="spellEnd"/>
      <w:r>
        <w:rPr>
          <w:sz w:val="20"/>
          <w:szCs w:val="20"/>
          <w:rtl/>
        </w:rPr>
        <w:t xml:space="preserve">).  </w:t>
      </w:r>
    </w:p>
    <w:p w14:paraId="745D748D" w14:textId="77777777" w:rsidR="003954AC" w:rsidRDefault="00000000" w:rsidP="00345BBA">
      <w:pPr>
        <w:bidi/>
        <w:spacing w:after="130"/>
      </w:pPr>
      <w:hyperlink r:id="rId11" w:history="1">
        <w:r>
          <w:rPr>
            <w:color w:val="0563C1"/>
            <w:sz w:val="18"/>
            <w:szCs w:val="18"/>
            <w:u w:val="single"/>
          </w:rPr>
          <w:t>https://www.indeed.com/career-advice/career-development/demographics-vs-psychographics</w:t>
        </w:r>
      </w:hyperlink>
    </w:p>
    <w:p w14:paraId="404D41E7" w14:textId="77777777" w:rsidR="003954AC" w:rsidRDefault="00000000" w:rsidP="00345BBA">
      <w:pPr>
        <w:bidi/>
        <w:spacing w:after="40" w:line="280" w:lineRule="auto"/>
      </w:pPr>
      <w:r>
        <w:rPr>
          <w:b/>
          <w:bCs/>
          <w:color w:val="1F3864"/>
          <w:sz w:val="20"/>
          <w:szCs w:val="20"/>
          <w:rtl/>
        </w:rPr>
        <w:t xml:space="preserve">[6] </w:t>
      </w:r>
      <w:proofErr w:type="spellStart"/>
      <w:r>
        <w:rPr>
          <w:sz w:val="20"/>
          <w:szCs w:val="20"/>
          <w:rtl/>
        </w:rPr>
        <w:t>Salesforce</w:t>
      </w:r>
      <w:proofErr w:type="spellEnd"/>
      <w:r>
        <w:rPr>
          <w:sz w:val="20"/>
          <w:szCs w:val="20"/>
          <w:rtl/>
        </w:rPr>
        <w:t xml:space="preserve"> — </w:t>
      </w:r>
      <w:proofErr w:type="spellStart"/>
      <w:r>
        <w:rPr>
          <w:sz w:val="20"/>
          <w:szCs w:val="20"/>
          <w:rtl/>
        </w:rPr>
        <w:t>Psychographics</w:t>
      </w:r>
      <w:proofErr w:type="spellEnd"/>
      <w:r>
        <w:rPr>
          <w:sz w:val="20"/>
          <w:szCs w:val="20"/>
          <w:rtl/>
        </w:rPr>
        <w:t xml:space="preserve">: </w:t>
      </w:r>
      <w:proofErr w:type="spellStart"/>
      <w:r>
        <w:rPr>
          <w:sz w:val="20"/>
          <w:szCs w:val="20"/>
          <w:rtl/>
        </w:rPr>
        <w:t>Definition</w:t>
      </w:r>
      <w:proofErr w:type="spellEnd"/>
      <w:r>
        <w:rPr>
          <w:sz w:val="20"/>
          <w:szCs w:val="20"/>
          <w:rtl/>
        </w:rPr>
        <w:t xml:space="preserve"> &amp; </w:t>
      </w:r>
      <w:proofErr w:type="spellStart"/>
      <w:r>
        <w:rPr>
          <w:sz w:val="20"/>
          <w:szCs w:val="20"/>
          <w:rtl/>
        </w:rPr>
        <w:t>Marketing</w:t>
      </w:r>
      <w:proofErr w:type="spellEnd"/>
      <w:r>
        <w:rPr>
          <w:sz w:val="20"/>
          <w:szCs w:val="20"/>
          <w:rtl/>
        </w:rPr>
        <w:t xml:space="preserve"> </w:t>
      </w:r>
      <w:proofErr w:type="spellStart"/>
      <w:r>
        <w:rPr>
          <w:sz w:val="20"/>
          <w:szCs w:val="20"/>
          <w:rtl/>
        </w:rPr>
        <w:t>Use</w:t>
      </w:r>
      <w:proofErr w:type="spellEnd"/>
      <w:r>
        <w:rPr>
          <w:sz w:val="20"/>
          <w:szCs w:val="20"/>
          <w:rtl/>
        </w:rPr>
        <w:t xml:space="preserve"> </w:t>
      </w:r>
      <w:proofErr w:type="spellStart"/>
      <w:r>
        <w:rPr>
          <w:sz w:val="20"/>
          <w:szCs w:val="20"/>
          <w:rtl/>
        </w:rPr>
        <w:t>Cases</w:t>
      </w:r>
      <w:proofErr w:type="spellEnd"/>
      <w:r>
        <w:rPr>
          <w:sz w:val="20"/>
          <w:szCs w:val="20"/>
          <w:rtl/>
        </w:rPr>
        <w:t xml:space="preserve"> (تحليل المشاعر عبر مراقبة التواصل الاجتماعي).  </w:t>
      </w:r>
    </w:p>
    <w:p w14:paraId="6EE61E58" w14:textId="77777777" w:rsidR="003954AC" w:rsidRDefault="00000000" w:rsidP="00345BBA">
      <w:pPr>
        <w:bidi/>
        <w:spacing w:after="130"/>
      </w:pPr>
      <w:hyperlink r:id="rId12" w:history="1">
        <w:r>
          <w:rPr>
            <w:color w:val="0563C1"/>
            <w:sz w:val="18"/>
            <w:szCs w:val="18"/>
            <w:u w:val="single"/>
          </w:rPr>
          <w:t>https://www.salesforce.com/marketing/psychographics/</w:t>
        </w:r>
      </w:hyperlink>
    </w:p>
    <w:p w14:paraId="0D271799" w14:textId="77777777" w:rsidR="003954AC" w:rsidRDefault="00000000" w:rsidP="00345BBA">
      <w:pPr>
        <w:bidi/>
        <w:spacing w:after="40" w:line="280" w:lineRule="auto"/>
      </w:pPr>
      <w:r>
        <w:rPr>
          <w:b/>
          <w:bCs/>
          <w:color w:val="1F3864"/>
          <w:sz w:val="20"/>
          <w:szCs w:val="20"/>
          <w:rtl/>
        </w:rPr>
        <w:t xml:space="preserve">[7] </w:t>
      </w:r>
      <w:proofErr w:type="spellStart"/>
      <w:r>
        <w:rPr>
          <w:sz w:val="20"/>
          <w:szCs w:val="20"/>
          <w:rtl/>
        </w:rPr>
        <w:t>Wikipedia</w:t>
      </w:r>
      <w:proofErr w:type="spellEnd"/>
      <w:r>
        <w:rPr>
          <w:sz w:val="20"/>
          <w:szCs w:val="20"/>
          <w:rtl/>
        </w:rPr>
        <w:t xml:space="preserve"> — </w:t>
      </w:r>
      <w:proofErr w:type="spellStart"/>
      <w:r>
        <w:rPr>
          <w:sz w:val="20"/>
          <w:szCs w:val="20"/>
          <w:rtl/>
        </w:rPr>
        <w:t>stc</w:t>
      </w:r>
      <w:proofErr w:type="spellEnd"/>
      <w:r>
        <w:rPr>
          <w:sz w:val="20"/>
          <w:szCs w:val="20"/>
          <w:rtl/>
        </w:rPr>
        <w:t xml:space="preserve"> </w:t>
      </w:r>
      <w:proofErr w:type="spellStart"/>
      <w:r>
        <w:rPr>
          <w:sz w:val="20"/>
          <w:szCs w:val="20"/>
          <w:rtl/>
        </w:rPr>
        <w:t>Group</w:t>
      </w:r>
      <w:proofErr w:type="spellEnd"/>
      <w:r>
        <w:rPr>
          <w:sz w:val="20"/>
          <w:szCs w:val="20"/>
          <w:rtl/>
        </w:rPr>
        <w:t xml:space="preserve"> / </w:t>
      </w:r>
      <w:proofErr w:type="spellStart"/>
      <w:r>
        <w:rPr>
          <w:sz w:val="20"/>
          <w:szCs w:val="20"/>
          <w:rtl/>
        </w:rPr>
        <w:t>Saudi</w:t>
      </w:r>
      <w:proofErr w:type="spellEnd"/>
      <w:r>
        <w:rPr>
          <w:sz w:val="20"/>
          <w:szCs w:val="20"/>
          <w:rtl/>
        </w:rPr>
        <w:t xml:space="preserve"> </w:t>
      </w:r>
      <w:proofErr w:type="spellStart"/>
      <w:r>
        <w:rPr>
          <w:sz w:val="20"/>
          <w:szCs w:val="20"/>
          <w:rtl/>
        </w:rPr>
        <w:t>Telecom</w:t>
      </w:r>
      <w:proofErr w:type="spellEnd"/>
      <w:r>
        <w:rPr>
          <w:sz w:val="20"/>
          <w:szCs w:val="20"/>
          <w:rtl/>
        </w:rPr>
        <w:t xml:space="preserve"> </w:t>
      </w:r>
      <w:proofErr w:type="spellStart"/>
      <w:r>
        <w:rPr>
          <w:sz w:val="20"/>
          <w:szCs w:val="20"/>
          <w:rtl/>
        </w:rPr>
        <w:t>Company</w:t>
      </w:r>
      <w:proofErr w:type="spellEnd"/>
      <w:r>
        <w:rPr>
          <w:sz w:val="20"/>
          <w:szCs w:val="20"/>
          <w:rtl/>
        </w:rPr>
        <w:t xml:space="preserve"> (بيانات الشركة وحصّتها السوقية ودورها كممكّن للتحول الرقمي).  </w:t>
      </w:r>
    </w:p>
    <w:p w14:paraId="2FC1055A" w14:textId="77777777" w:rsidR="003954AC" w:rsidRDefault="00000000" w:rsidP="00345BBA">
      <w:pPr>
        <w:bidi/>
        <w:spacing w:after="130"/>
      </w:pPr>
      <w:hyperlink r:id="rId13" w:history="1">
        <w:r>
          <w:rPr>
            <w:color w:val="0563C1"/>
            <w:sz w:val="18"/>
            <w:szCs w:val="18"/>
            <w:u w:val="single"/>
          </w:rPr>
          <w:t>https://en.wikipedia.org/wiki/Stc_Group</w:t>
        </w:r>
      </w:hyperlink>
    </w:p>
    <w:p w14:paraId="1AF70D16" w14:textId="77777777" w:rsidR="003954AC" w:rsidRDefault="00000000" w:rsidP="00345BBA">
      <w:pPr>
        <w:bidi/>
        <w:spacing w:after="40" w:line="280" w:lineRule="auto"/>
      </w:pPr>
      <w:r>
        <w:rPr>
          <w:b/>
          <w:bCs/>
          <w:color w:val="1F3864"/>
          <w:sz w:val="20"/>
          <w:szCs w:val="20"/>
          <w:rtl/>
        </w:rPr>
        <w:t xml:space="preserve">[8] </w:t>
      </w:r>
      <w:r>
        <w:rPr>
          <w:sz w:val="20"/>
          <w:szCs w:val="20"/>
          <w:rtl/>
        </w:rPr>
        <w:t xml:space="preserve">صحيفة عكاظ — مجموعة </w:t>
      </w:r>
      <w:proofErr w:type="spellStart"/>
      <w:r>
        <w:rPr>
          <w:sz w:val="20"/>
          <w:szCs w:val="20"/>
          <w:rtl/>
        </w:rPr>
        <w:t>stc</w:t>
      </w:r>
      <w:proofErr w:type="spellEnd"/>
      <w:r>
        <w:rPr>
          <w:sz w:val="20"/>
          <w:szCs w:val="20"/>
          <w:rtl/>
        </w:rPr>
        <w:t xml:space="preserve"> تحتفل باليوم الوطني السعودي (توثيق الحملة الترويجية للمناسبة الوطنية).  </w:t>
      </w:r>
    </w:p>
    <w:p w14:paraId="12BDD219" w14:textId="77777777" w:rsidR="003954AC" w:rsidRDefault="00000000" w:rsidP="00345BBA">
      <w:pPr>
        <w:bidi/>
        <w:spacing w:after="130"/>
      </w:pPr>
      <w:hyperlink r:id="rId14" w:history="1">
        <w:r>
          <w:rPr>
            <w:color w:val="0563C1"/>
            <w:sz w:val="18"/>
            <w:szCs w:val="18"/>
            <w:u w:val="single"/>
          </w:rPr>
          <w:t>https://www.okaz.com.sa/economy/saudi/2143780</w:t>
        </w:r>
      </w:hyperlink>
    </w:p>
    <w:p w14:paraId="1731B90A" w14:textId="77777777" w:rsidR="003954AC" w:rsidRDefault="00000000" w:rsidP="00345BBA">
      <w:pPr>
        <w:bidi/>
        <w:spacing w:after="40" w:line="280" w:lineRule="auto"/>
      </w:pPr>
      <w:r>
        <w:rPr>
          <w:b/>
          <w:bCs/>
          <w:color w:val="1F3864"/>
          <w:sz w:val="20"/>
          <w:szCs w:val="20"/>
          <w:rtl/>
        </w:rPr>
        <w:t xml:space="preserve">[9] </w:t>
      </w:r>
      <w:proofErr w:type="spellStart"/>
      <w:r>
        <w:rPr>
          <w:sz w:val="20"/>
          <w:szCs w:val="20"/>
          <w:rtl/>
        </w:rPr>
        <w:t>Arabisk</w:t>
      </w:r>
      <w:proofErr w:type="spellEnd"/>
      <w:r>
        <w:rPr>
          <w:sz w:val="20"/>
          <w:szCs w:val="20"/>
          <w:rtl/>
        </w:rPr>
        <w:t xml:space="preserve"> </w:t>
      </w:r>
      <w:proofErr w:type="spellStart"/>
      <w:r>
        <w:rPr>
          <w:sz w:val="20"/>
          <w:szCs w:val="20"/>
          <w:rtl/>
        </w:rPr>
        <w:t>London</w:t>
      </w:r>
      <w:proofErr w:type="spellEnd"/>
      <w:r>
        <w:rPr>
          <w:sz w:val="20"/>
          <w:szCs w:val="20"/>
          <w:rtl/>
        </w:rPr>
        <w:t xml:space="preserve"> — مجموعة STC تحوّل الاحتفال باليوم الوطني إلى تجربة فريدة (تجاوز الإعلان 25 مليون مشاهدة على تيك توك ومشاركة الموظفين في الإنتاج).  </w:t>
      </w:r>
    </w:p>
    <w:p w14:paraId="699471B2" w14:textId="77777777" w:rsidR="003954AC" w:rsidRDefault="00000000" w:rsidP="00345BBA">
      <w:pPr>
        <w:bidi/>
        <w:spacing w:after="130"/>
      </w:pPr>
      <w:hyperlink r:id="rId15" w:history="1">
        <w:r>
          <w:rPr>
            <w:color w:val="0563C1"/>
            <w:sz w:val="18"/>
            <w:szCs w:val="18"/>
            <w:u w:val="single"/>
          </w:rPr>
          <w:t>https://sa.arabisklondon.com/</w:t>
        </w:r>
      </w:hyperlink>
    </w:p>
    <w:p w14:paraId="7EDABB49" w14:textId="77777777" w:rsidR="003954AC" w:rsidRDefault="00000000" w:rsidP="00345BBA">
      <w:pPr>
        <w:bidi/>
        <w:spacing w:after="40" w:line="280" w:lineRule="auto"/>
      </w:pPr>
      <w:r>
        <w:rPr>
          <w:b/>
          <w:bCs/>
          <w:color w:val="1F3864"/>
          <w:sz w:val="20"/>
          <w:szCs w:val="20"/>
          <w:rtl/>
        </w:rPr>
        <w:t xml:space="preserve">[10] </w:t>
      </w:r>
      <w:r>
        <w:rPr>
          <w:sz w:val="20"/>
          <w:szCs w:val="20"/>
          <w:rtl/>
        </w:rPr>
        <w:t xml:space="preserve">صحيفة الجزيرة — مجموعة </w:t>
      </w:r>
      <w:proofErr w:type="spellStart"/>
      <w:r>
        <w:rPr>
          <w:sz w:val="20"/>
          <w:szCs w:val="20"/>
          <w:rtl/>
        </w:rPr>
        <w:t>stc</w:t>
      </w:r>
      <w:proofErr w:type="spellEnd"/>
      <w:r>
        <w:rPr>
          <w:sz w:val="20"/>
          <w:szCs w:val="20"/>
          <w:rtl/>
        </w:rPr>
        <w:t xml:space="preserve"> تواكب احتفالات المملكة باليوم الوطني (توثيق شعار الحملة وأهدافها في تعزيز الانتماء).  </w:t>
      </w:r>
    </w:p>
    <w:p w14:paraId="284FE8DD" w14:textId="77777777" w:rsidR="003954AC" w:rsidRDefault="00000000" w:rsidP="00345BBA">
      <w:pPr>
        <w:bidi/>
        <w:spacing w:after="130"/>
      </w:pPr>
      <w:hyperlink r:id="rId16" w:history="1">
        <w:r>
          <w:rPr>
            <w:color w:val="0563C1"/>
            <w:sz w:val="18"/>
            <w:szCs w:val="18"/>
            <w:u w:val="single"/>
          </w:rPr>
          <w:t>https://www.al-jazirah.com/2025/20250923/uw17.htm</w:t>
        </w:r>
      </w:hyperlink>
    </w:p>
    <w:sectPr w:rsidR="003954AC">
      <w:footerReference w:type="default" r:id="rId17"/>
      <w:pgSz w:w="11906" w:h="16838"/>
      <w:pgMar w:top="1100" w:right="1100" w:bottom="1100" w:left="11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BCBD3" w14:textId="77777777" w:rsidR="007174D6" w:rsidRDefault="007174D6">
      <w:r>
        <w:separator/>
      </w:r>
    </w:p>
  </w:endnote>
  <w:endnote w:type="continuationSeparator" w:id="0">
    <w:p w14:paraId="5AF7F1C0" w14:textId="77777777" w:rsidR="007174D6" w:rsidRDefault="00717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iro">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EDFF1" w14:textId="77777777" w:rsidR="003954AC" w:rsidRDefault="00000000">
    <w:pPr>
      <w:jc w:val="center"/>
    </w:pPr>
    <w:r>
      <w:rPr>
        <w:color w:val="555555"/>
        <w:sz w:val="16"/>
        <w:szCs w:val="16"/>
      </w:rPr>
      <w:t xml:space="preserve">GMAI – Green Media AI  |  </w:t>
    </w:r>
    <w:r>
      <w:rPr>
        <w:color w:val="555555"/>
        <w:sz w:val="16"/>
        <w:szCs w:val="16"/>
      </w:rPr>
      <w:fldChar w:fldCharType="begin"/>
    </w:r>
    <w:r>
      <w:rPr>
        <w:color w:val="555555"/>
        <w:sz w:val="16"/>
        <w:szCs w:val="16"/>
      </w:rPr>
      <w:instrText>PAGE</w:instrText>
    </w:r>
    <w:r>
      <w:rPr>
        <w:color w:val="555555"/>
        <w:sz w:val="16"/>
        <w:szCs w:val="16"/>
      </w:rPr>
      <w:fldChar w:fldCharType="separate"/>
    </w:r>
    <w:r w:rsidR="00345BBA">
      <w:rPr>
        <w:noProof/>
        <w:color w:val="555555"/>
        <w:sz w:val="16"/>
        <w:szCs w:val="16"/>
      </w:rPr>
      <w:t>1</w:t>
    </w:r>
    <w:r>
      <w:rPr>
        <w:color w:val="555555"/>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B604A" w14:textId="77777777" w:rsidR="007174D6" w:rsidRDefault="007174D6">
      <w:r>
        <w:separator/>
      </w:r>
    </w:p>
  </w:footnote>
  <w:footnote w:type="continuationSeparator" w:id="0">
    <w:p w14:paraId="78959F6B" w14:textId="77777777" w:rsidR="007174D6" w:rsidRDefault="007174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E3A2D"/>
    <w:multiLevelType w:val="hybridMultilevel"/>
    <w:tmpl w:val="1EC6FFE2"/>
    <w:lvl w:ilvl="0" w:tplc="3E56F076">
      <w:start w:val="1"/>
      <w:numFmt w:val="decimal"/>
      <w:lvlText w:val="%1."/>
      <w:lvlJc w:val="right"/>
      <w:pPr>
        <w:ind w:right="360" w:hanging="260"/>
      </w:pPr>
    </w:lvl>
    <w:lvl w:ilvl="1" w:tplc="617A124A">
      <w:numFmt w:val="decimal"/>
      <w:lvlText w:val=""/>
      <w:lvlJc w:val="left"/>
    </w:lvl>
    <w:lvl w:ilvl="2" w:tplc="19148684">
      <w:numFmt w:val="decimal"/>
      <w:lvlText w:val=""/>
      <w:lvlJc w:val="left"/>
    </w:lvl>
    <w:lvl w:ilvl="3" w:tplc="F60827BA">
      <w:numFmt w:val="decimal"/>
      <w:lvlText w:val=""/>
      <w:lvlJc w:val="left"/>
    </w:lvl>
    <w:lvl w:ilvl="4" w:tplc="5C7A1D7C">
      <w:numFmt w:val="decimal"/>
      <w:lvlText w:val=""/>
      <w:lvlJc w:val="left"/>
    </w:lvl>
    <w:lvl w:ilvl="5" w:tplc="85C43444">
      <w:numFmt w:val="decimal"/>
      <w:lvlText w:val=""/>
      <w:lvlJc w:val="left"/>
    </w:lvl>
    <w:lvl w:ilvl="6" w:tplc="89283CFC">
      <w:numFmt w:val="decimal"/>
      <w:lvlText w:val=""/>
      <w:lvlJc w:val="left"/>
    </w:lvl>
    <w:lvl w:ilvl="7" w:tplc="E690B3D6">
      <w:numFmt w:val="decimal"/>
      <w:lvlText w:val=""/>
      <w:lvlJc w:val="left"/>
    </w:lvl>
    <w:lvl w:ilvl="8" w:tplc="A9FA5268">
      <w:numFmt w:val="decimal"/>
      <w:lvlText w:val=""/>
      <w:lvlJc w:val="left"/>
    </w:lvl>
  </w:abstractNum>
  <w:abstractNum w:abstractNumId="1" w15:restartNumberingAfterBreak="0">
    <w:nsid w:val="290E2DB0"/>
    <w:multiLevelType w:val="hybridMultilevel"/>
    <w:tmpl w:val="C4CEBC3A"/>
    <w:lvl w:ilvl="0" w:tplc="B73E3F0E">
      <w:start w:val="1"/>
      <w:numFmt w:val="bullet"/>
      <w:lvlText w:val="•"/>
      <w:lvlJc w:val="right"/>
      <w:pPr>
        <w:ind w:right="360" w:hanging="220"/>
      </w:pPr>
      <w:rPr>
        <w:color w:val="9F3A2A"/>
      </w:rPr>
    </w:lvl>
    <w:lvl w:ilvl="1" w:tplc="5A168C4A">
      <w:start w:val="1"/>
      <w:numFmt w:val="bullet"/>
      <w:lvlText w:val="◦"/>
      <w:lvlJc w:val="right"/>
      <w:pPr>
        <w:ind w:right="720" w:hanging="220"/>
      </w:pPr>
    </w:lvl>
    <w:lvl w:ilvl="2" w:tplc="7D0A7B9E">
      <w:numFmt w:val="decimal"/>
      <w:lvlText w:val=""/>
      <w:lvlJc w:val="left"/>
    </w:lvl>
    <w:lvl w:ilvl="3" w:tplc="FF064A62">
      <w:numFmt w:val="decimal"/>
      <w:lvlText w:val=""/>
      <w:lvlJc w:val="left"/>
    </w:lvl>
    <w:lvl w:ilvl="4" w:tplc="DF4E5B66">
      <w:numFmt w:val="decimal"/>
      <w:lvlText w:val=""/>
      <w:lvlJc w:val="left"/>
    </w:lvl>
    <w:lvl w:ilvl="5" w:tplc="E0084018">
      <w:numFmt w:val="decimal"/>
      <w:lvlText w:val=""/>
      <w:lvlJc w:val="left"/>
    </w:lvl>
    <w:lvl w:ilvl="6" w:tplc="35685B6C">
      <w:numFmt w:val="decimal"/>
      <w:lvlText w:val=""/>
      <w:lvlJc w:val="left"/>
    </w:lvl>
    <w:lvl w:ilvl="7" w:tplc="A698A58E">
      <w:numFmt w:val="decimal"/>
      <w:lvlText w:val=""/>
      <w:lvlJc w:val="left"/>
    </w:lvl>
    <w:lvl w:ilvl="8" w:tplc="E224335A">
      <w:numFmt w:val="decimal"/>
      <w:lvlText w:val=""/>
      <w:lvlJc w:val="left"/>
    </w:lvl>
  </w:abstractNum>
  <w:abstractNum w:abstractNumId="2" w15:restartNumberingAfterBreak="0">
    <w:nsid w:val="33EE7569"/>
    <w:multiLevelType w:val="hybridMultilevel"/>
    <w:tmpl w:val="9D626A26"/>
    <w:lvl w:ilvl="0" w:tplc="CA8008CC">
      <w:start w:val="1"/>
      <w:numFmt w:val="bullet"/>
      <w:lvlText w:val="●"/>
      <w:lvlJc w:val="left"/>
      <w:pPr>
        <w:ind w:left="720" w:hanging="360"/>
      </w:pPr>
    </w:lvl>
    <w:lvl w:ilvl="1" w:tplc="F69A0B78">
      <w:start w:val="1"/>
      <w:numFmt w:val="bullet"/>
      <w:lvlText w:val="○"/>
      <w:lvlJc w:val="left"/>
      <w:pPr>
        <w:ind w:left="1440" w:hanging="360"/>
      </w:pPr>
    </w:lvl>
    <w:lvl w:ilvl="2" w:tplc="76622F64">
      <w:start w:val="1"/>
      <w:numFmt w:val="bullet"/>
      <w:lvlText w:val="■"/>
      <w:lvlJc w:val="left"/>
      <w:pPr>
        <w:ind w:left="2160" w:hanging="360"/>
      </w:pPr>
    </w:lvl>
    <w:lvl w:ilvl="3" w:tplc="83BA0A08">
      <w:start w:val="1"/>
      <w:numFmt w:val="bullet"/>
      <w:lvlText w:val="●"/>
      <w:lvlJc w:val="left"/>
      <w:pPr>
        <w:ind w:left="2880" w:hanging="360"/>
      </w:pPr>
    </w:lvl>
    <w:lvl w:ilvl="4" w:tplc="3EDE34B4">
      <w:start w:val="1"/>
      <w:numFmt w:val="bullet"/>
      <w:lvlText w:val="○"/>
      <w:lvlJc w:val="left"/>
      <w:pPr>
        <w:ind w:left="3600" w:hanging="360"/>
      </w:pPr>
    </w:lvl>
    <w:lvl w:ilvl="5" w:tplc="298672C8">
      <w:start w:val="1"/>
      <w:numFmt w:val="bullet"/>
      <w:lvlText w:val="■"/>
      <w:lvlJc w:val="left"/>
      <w:pPr>
        <w:ind w:left="4320" w:hanging="360"/>
      </w:pPr>
    </w:lvl>
    <w:lvl w:ilvl="6" w:tplc="C2DCED70">
      <w:start w:val="1"/>
      <w:numFmt w:val="bullet"/>
      <w:lvlText w:val="●"/>
      <w:lvlJc w:val="left"/>
      <w:pPr>
        <w:ind w:left="5040" w:hanging="360"/>
      </w:pPr>
    </w:lvl>
    <w:lvl w:ilvl="7" w:tplc="70F8711C">
      <w:start w:val="1"/>
      <w:numFmt w:val="bullet"/>
      <w:lvlText w:val="●"/>
      <w:lvlJc w:val="left"/>
      <w:pPr>
        <w:ind w:left="5760" w:hanging="360"/>
      </w:pPr>
    </w:lvl>
    <w:lvl w:ilvl="8" w:tplc="97865560">
      <w:start w:val="1"/>
      <w:numFmt w:val="bullet"/>
      <w:lvlText w:val="●"/>
      <w:lvlJc w:val="left"/>
      <w:pPr>
        <w:ind w:left="6480" w:hanging="360"/>
      </w:pPr>
    </w:lvl>
  </w:abstractNum>
  <w:num w:numId="1" w16cid:durableId="1000427073">
    <w:abstractNumId w:val="2"/>
    <w:lvlOverride w:ilvl="0">
      <w:startOverride w:val="1"/>
    </w:lvlOverride>
  </w:num>
  <w:num w:numId="2" w16cid:durableId="91312140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4AC"/>
    <w:rsid w:val="00345BBA"/>
    <w:rsid w:val="003954AC"/>
    <w:rsid w:val="007174D6"/>
    <w:rsid w:val="007933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25D4D"/>
  <w15:docId w15:val="{F48E6482-863E-45AA-A326-4072642C4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iro" w:eastAsia="Cairo" w:hAnsi="Cairo" w:cs="Cairo"/>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omniconvert.com/blog/how-to-do-a-complete-audience-analysis/" TargetMode="External"/><Relationship Id="rId13" Type="http://schemas.openxmlformats.org/officeDocument/2006/relationships/hyperlink" Target="https://en.wikipedia.org/wiki/Stc_Group"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prinklr.com/blog/audience-analysis/" TargetMode="External"/><Relationship Id="rId12" Type="http://schemas.openxmlformats.org/officeDocument/2006/relationships/hyperlink" Target="https://www.salesforce.com/marketing/psychographic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al-jazirah.com/2025/20250923/uw17.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deed.com/career-advice/career-development/demographics-vs-psychographics" TargetMode="External"/><Relationship Id="rId5" Type="http://schemas.openxmlformats.org/officeDocument/2006/relationships/footnotes" Target="footnotes.xml"/><Relationship Id="rId15" Type="http://schemas.openxmlformats.org/officeDocument/2006/relationships/hyperlink" Target="https://sa.arabisklondon.com/" TargetMode="External"/><Relationship Id="rId10" Type="http://schemas.openxmlformats.org/officeDocument/2006/relationships/hyperlink" Target="https://emplifi.io/resources/blog/target-audience-analysis-guide-everything-digital-marketers-need-to-know/"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youscan.io/blog/target-audience-analysis/" TargetMode="External"/><Relationship Id="rId14" Type="http://schemas.openxmlformats.org/officeDocument/2006/relationships/hyperlink" Target="https://www.okaz.com.sa/economy/saudi/21437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1927</Words>
  <Characters>10990</Characters>
  <Application>Microsoft Office Word</Application>
  <DocSecurity>0</DocSecurity>
  <Lines>91</Lines>
  <Paragraphs>25</Paragraphs>
  <ScaleCrop>false</ScaleCrop>
  <Company/>
  <LinksUpToDate>false</LinksUpToDate>
  <CharactersWithSpaces>12892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GMAI</dc:creator>
  <cp:lastModifiedBy>kiki tokki</cp:lastModifiedBy>
  <cp:revision>2</cp:revision>
  <dcterms:created xsi:type="dcterms:W3CDTF">2026-07-21T08:25:00Z</dcterms:created>
  <dcterms:modified xsi:type="dcterms:W3CDTF">2026-07-21T08:35:00Z</dcterms:modified>
</cp:coreProperties>
</file>