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B4857" w14:textId="72C662E1" w:rsidR="009A4D19" w:rsidRPr="009F000A" w:rsidRDefault="009A4D19" w:rsidP="00C553FF">
      <w:pPr>
        <w:jc w:val="both"/>
        <w:rPr>
          <w:rFonts w:asciiTheme="majorBidi" w:hAnsiTheme="majorBidi" w:cstheme="majorBidi"/>
          <w:b/>
          <w:bCs/>
          <w:sz w:val="28"/>
          <w:szCs w:val="28"/>
          <w:rtl/>
        </w:rPr>
      </w:pPr>
      <w:r w:rsidRPr="009F000A">
        <w:rPr>
          <w:rFonts w:asciiTheme="majorBidi" w:hAnsiTheme="majorBidi" w:cstheme="majorBidi"/>
          <w:b/>
          <w:bCs/>
          <w:sz w:val="28"/>
          <w:szCs w:val="28"/>
          <w:rtl/>
        </w:rPr>
        <w:t>تمهيد الاطار النظري:</w:t>
      </w:r>
    </w:p>
    <w:p w14:paraId="5A167EBF" w14:textId="77777777" w:rsidR="009A4D19" w:rsidRPr="009A4D19" w:rsidRDefault="009A4D19" w:rsidP="00C553FF">
      <w:pPr>
        <w:jc w:val="both"/>
        <w:rPr>
          <w:rFonts w:asciiTheme="majorBidi" w:hAnsiTheme="majorBidi" w:cstheme="majorBidi"/>
          <w:sz w:val="28"/>
          <w:szCs w:val="28"/>
        </w:rPr>
      </w:pPr>
      <w:r w:rsidRPr="009A4D19">
        <w:rPr>
          <w:rFonts w:asciiTheme="majorBidi" w:hAnsiTheme="majorBidi" w:cstheme="majorBidi"/>
          <w:sz w:val="28"/>
          <w:szCs w:val="28"/>
          <w:rtl/>
        </w:rPr>
        <w:t>تُمثّل استمرارية الخدمات الصحية الحرجة أحد أهم ركائز الأمن الصحي الوطني، لاسيما في سياق تزايد الكوارث الطبيعية من فيضانات وأعاصير وزلازل وتغيرات مناخية تؤثر مباشرة في قدرة النظم الصحية على تقديم خدماتها الأساسية للسكان. وتشير منظمة الصحة العالمية</w:t>
      </w:r>
      <w:r w:rsidRPr="009A4D19">
        <w:rPr>
          <w:rFonts w:asciiTheme="majorBidi" w:hAnsiTheme="majorBidi" w:cstheme="majorBidi"/>
          <w:sz w:val="28"/>
          <w:szCs w:val="28"/>
        </w:rPr>
        <w:t xml:space="preserve"> (WHO) </w:t>
      </w:r>
      <w:r w:rsidRPr="009A4D19">
        <w:rPr>
          <w:rFonts w:asciiTheme="majorBidi" w:hAnsiTheme="majorBidi" w:cstheme="majorBidi"/>
          <w:sz w:val="28"/>
          <w:szCs w:val="28"/>
          <w:rtl/>
        </w:rPr>
        <w:t>إلى أن أكثر من 90% من الأنظمة الصحية في الدول المتأثرة بالكوارث تواجه درجات متفاوتة من الانقطاع في خدمات الطوارئ والعناية المركزة والإمدادات الحيوية أثناء الأحداث الكبرى، مما يجعل تطوير أدوات استباقية للإنذار المبكر ضرورة استراتيجية لتعزيز القدرة على الصمود</w:t>
      </w:r>
      <w:r w:rsidRPr="009A4D19">
        <w:rPr>
          <w:rFonts w:asciiTheme="majorBidi" w:hAnsiTheme="majorBidi" w:cstheme="majorBidi"/>
          <w:sz w:val="28"/>
          <w:szCs w:val="28"/>
        </w:rPr>
        <w:t xml:space="preserve"> (World Health Organization, 2022).</w:t>
      </w:r>
    </w:p>
    <w:p w14:paraId="2C095A20" w14:textId="77777777" w:rsidR="009A4D19" w:rsidRPr="009A4D19" w:rsidRDefault="009A4D19" w:rsidP="00C553FF">
      <w:pPr>
        <w:jc w:val="both"/>
        <w:rPr>
          <w:rFonts w:asciiTheme="majorBidi" w:hAnsiTheme="majorBidi" w:cstheme="majorBidi"/>
          <w:sz w:val="28"/>
          <w:szCs w:val="28"/>
        </w:rPr>
      </w:pPr>
      <w:r w:rsidRPr="009A4D19">
        <w:rPr>
          <w:rFonts w:asciiTheme="majorBidi" w:hAnsiTheme="majorBidi" w:cstheme="majorBidi"/>
          <w:sz w:val="28"/>
          <w:szCs w:val="28"/>
          <w:rtl/>
        </w:rPr>
        <w:t>وتؤكد الأدبيات الحديثة أن المخاطر المرتبطة بالكوارث الطبيعية لا تنبع فقط من شدة الحدث نفسه، بل من هشاشة النظام الصحي، وضعف الجاهزية، وارتفاع مستوى التعرض وسلاسل الإمداد المعقدة، مما يجعل تحليل هذه العوامل بشكل متكامل شرطاً لتوقع احتمالية الانقطاع</w:t>
      </w:r>
      <w:r w:rsidRPr="009A4D19">
        <w:rPr>
          <w:rFonts w:asciiTheme="majorBidi" w:hAnsiTheme="majorBidi" w:cstheme="majorBidi"/>
          <w:sz w:val="28"/>
          <w:szCs w:val="28"/>
        </w:rPr>
        <w:t xml:space="preserve"> (UNDRR, 2023). </w:t>
      </w:r>
      <w:r w:rsidRPr="009A4D19">
        <w:rPr>
          <w:rFonts w:asciiTheme="majorBidi" w:hAnsiTheme="majorBidi" w:cstheme="majorBidi"/>
          <w:sz w:val="28"/>
          <w:szCs w:val="28"/>
          <w:rtl/>
        </w:rPr>
        <w:t>ولهذا برز التوجه العالمي نحو نماذج </w:t>
      </w:r>
      <w:r w:rsidRPr="009A4D19">
        <w:rPr>
          <w:rFonts w:asciiTheme="majorBidi" w:hAnsiTheme="majorBidi" w:cstheme="majorBidi"/>
          <w:b/>
          <w:bCs/>
          <w:sz w:val="28"/>
          <w:szCs w:val="28"/>
          <w:rtl/>
        </w:rPr>
        <w:t>المرونة الصحية</w:t>
      </w:r>
      <w:r w:rsidRPr="009A4D19">
        <w:rPr>
          <w:rFonts w:asciiTheme="majorBidi" w:hAnsiTheme="majorBidi" w:cstheme="majorBidi"/>
          <w:sz w:val="28"/>
          <w:szCs w:val="28"/>
          <w:rtl/>
        </w:rPr>
        <w:t> </w:t>
      </w:r>
      <w:r w:rsidRPr="009A4D19">
        <w:rPr>
          <w:rFonts w:asciiTheme="majorBidi" w:hAnsiTheme="majorBidi" w:cstheme="majorBidi"/>
          <w:sz w:val="28"/>
          <w:szCs w:val="28"/>
        </w:rPr>
        <w:t xml:space="preserve">(Health System Resilience) </w:t>
      </w:r>
      <w:r w:rsidRPr="009A4D19">
        <w:rPr>
          <w:rFonts w:asciiTheme="majorBidi" w:hAnsiTheme="majorBidi" w:cstheme="majorBidi"/>
          <w:sz w:val="28"/>
          <w:szCs w:val="28"/>
          <w:rtl/>
        </w:rPr>
        <w:t>التي تهدف إلى فهم قدرة النظام الصحي على امتصاص الصدمة والتكيف معها واستعادة الوظائف الحيوية بسرعة، وهي مفاهيم أساسية في بناء مؤشرات مبكرة للمخاطر</w:t>
      </w:r>
      <w:r w:rsidRPr="009A4D19">
        <w:rPr>
          <w:rFonts w:asciiTheme="majorBidi" w:hAnsiTheme="majorBidi" w:cstheme="majorBidi"/>
          <w:sz w:val="28"/>
          <w:szCs w:val="28"/>
        </w:rPr>
        <w:t xml:space="preserve"> (Kruk et al., 2017).</w:t>
      </w:r>
    </w:p>
    <w:p w14:paraId="7DD35750" w14:textId="77777777" w:rsidR="009A4D19" w:rsidRPr="009A4D19" w:rsidRDefault="009A4D19" w:rsidP="00C553FF">
      <w:pPr>
        <w:jc w:val="both"/>
        <w:rPr>
          <w:rFonts w:asciiTheme="majorBidi" w:hAnsiTheme="majorBidi" w:cstheme="majorBidi"/>
          <w:sz w:val="28"/>
          <w:szCs w:val="28"/>
        </w:rPr>
      </w:pPr>
      <w:r w:rsidRPr="009A4D19">
        <w:rPr>
          <w:rFonts w:asciiTheme="majorBidi" w:hAnsiTheme="majorBidi" w:cstheme="majorBidi"/>
          <w:sz w:val="28"/>
          <w:szCs w:val="28"/>
          <w:rtl/>
        </w:rPr>
        <w:t>كما يوضح إطار سنداي للحد من مخاطر الكوارث أن أحد أهم مداخل إدارة المخاطر الحديثة هو بناء نظام فعّال للإنذار المبكر قائم على تحليل بيانات متعددة المصادر، وتقييم قابلية الانكشاف، وتقدير مستوى الخطر على الخدمات الحيوية قبل وقوع الانقطاع الفعلي</w:t>
      </w:r>
      <w:r w:rsidRPr="009A4D19">
        <w:rPr>
          <w:rFonts w:asciiTheme="majorBidi" w:hAnsiTheme="majorBidi" w:cstheme="majorBidi"/>
          <w:sz w:val="28"/>
          <w:szCs w:val="28"/>
        </w:rPr>
        <w:t xml:space="preserve"> (UNDRR, 2015). </w:t>
      </w:r>
      <w:r w:rsidRPr="009A4D19">
        <w:rPr>
          <w:rFonts w:asciiTheme="majorBidi" w:hAnsiTheme="majorBidi" w:cstheme="majorBidi"/>
          <w:sz w:val="28"/>
          <w:szCs w:val="28"/>
          <w:rtl/>
        </w:rPr>
        <w:t>وتؤكد الدراسات أن غياب مؤشرات مركّبة</w:t>
      </w:r>
      <w:r w:rsidRPr="009A4D19">
        <w:rPr>
          <w:rFonts w:asciiTheme="majorBidi" w:hAnsiTheme="majorBidi" w:cstheme="majorBidi"/>
          <w:sz w:val="28"/>
          <w:szCs w:val="28"/>
        </w:rPr>
        <w:t xml:space="preserve"> predictive composite indicators </w:t>
      </w:r>
      <w:r w:rsidRPr="009A4D19">
        <w:rPr>
          <w:rFonts w:asciiTheme="majorBidi" w:hAnsiTheme="majorBidi" w:cstheme="majorBidi"/>
          <w:sz w:val="28"/>
          <w:szCs w:val="28"/>
          <w:rtl/>
        </w:rPr>
        <w:t>يجعل الاستجابة الصحية أثناء الكوارث تعتمد على ردود أفعال لاحقة وليس على إنذار استباقي، مما يزيد من الخسائر ويطيل مدة التعطل</w:t>
      </w:r>
      <w:r w:rsidRPr="009A4D19">
        <w:rPr>
          <w:rFonts w:asciiTheme="majorBidi" w:hAnsiTheme="majorBidi" w:cstheme="majorBidi"/>
          <w:sz w:val="28"/>
          <w:szCs w:val="28"/>
        </w:rPr>
        <w:t xml:space="preserve"> (</w:t>
      </w:r>
      <w:proofErr w:type="spellStart"/>
      <w:r w:rsidRPr="009A4D19">
        <w:rPr>
          <w:rFonts w:asciiTheme="majorBidi" w:hAnsiTheme="majorBidi" w:cstheme="majorBidi"/>
          <w:sz w:val="28"/>
          <w:szCs w:val="28"/>
        </w:rPr>
        <w:t>Aitsi</w:t>
      </w:r>
      <w:proofErr w:type="spellEnd"/>
      <w:r w:rsidRPr="009A4D19">
        <w:rPr>
          <w:rFonts w:asciiTheme="majorBidi" w:hAnsiTheme="majorBidi" w:cstheme="majorBidi"/>
          <w:sz w:val="28"/>
          <w:szCs w:val="28"/>
        </w:rPr>
        <w:t>-Selmi et al., 2016).</w:t>
      </w:r>
    </w:p>
    <w:p w14:paraId="2FC9822A" w14:textId="77777777" w:rsidR="009A4D19" w:rsidRPr="009A4D19" w:rsidRDefault="009A4D19" w:rsidP="00C553FF">
      <w:pPr>
        <w:jc w:val="both"/>
        <w:rPr>
          <w:rFonts w:asciiTheme="majorBidi" w:hAnsiTheme="majorBidi" w:cstheme="majorBidi"/>
          <w:sz w:val="28"/>
          <w:szCs w:val="28"/>
        </w:rPr>
      </w:pPr>
      <w:r w:rsidRPr="009A4D19">
        <w:rPr>
          <w:rFonts w:asciiTheme="majorBidi" w:hAnsiTheme="majorBidi" w:cstheme="majorBidi"/>
          <w:sz w:val="28"/>
          <w:szCs w:val="28"/>
          <w:rtl/>
        </w:rPr>
        <w:t>وانطلاقاً من ذلك، يتطلب تطوير مؤشر مبكر لمخاطر انقطاع الخدمات الصحية الحرجة بناء إطار نظري متكامل يشتمل على تحليل للمفاهيم المرتبطة بالكوارث الطبيعية، واستمرارية الخدمات، والمرونة، وقابلية الانكشاف، إضافة إلى دراسة النماذج العالمية المعتمدة في تحليل المخاطر، وتوظيفها لابتكار مؤشر قادر على التنبؤ بالانقطاع قبل حدوثه، بما يدعم متخذي القرار في تعزيز جاهزية القطاع الصحي وتقليل الآثار السلبية على حياة السكان</w:t>
      </w:r>
      <w:r w:rsidRPr="009A4D19">
        <w:rPr>
          <w:rFonts w:asciiTheme="majorBidi" w:hAnsiTheme="majorBidi" w:cstheme="majorBidi"/>
          <w:sz w:val="28"/>
          <w:szCs w:val="28"/>
        </w:rPr>
        <w:t>.</w:t>
      </w:r>
    </w:p>
    <w:p w14:paraId="3AC94B49" w14:textId="77777777" w:rsidR="00B02D3F" w:rsidRPr="00B02D3F" w:rsidRDefault="00B02D3F" w:rsidP="00C553FF">
      <w:pPr>
        <w:jc w:val="both"/>
        <w:rPr>
          <w:rFonts w:asciiTheme="majorBidi" w:hAnsiTheme="majorBidi" w:cstheme="majorBidi"/>
          <w:b/>
          <w:bCs/>
          <w:sz w:val="28"/>
          <w:szCs w:val="28"/>
        </w:rPr>
      </w:pPr>
      <w:r w:rsidRPr="00B02D3F">
        <w:rPr>
          <w:rFonts w:asciiTheme="majorBidi" w:hAnsiTheme="majorBidi" w:cstheme="majorBidi"/>
          <w:b/>
          <w:bCs/>
          <w:sz w:val="28"/>
          <w:szCs w:val="28"/>
        </w:rPr>
        <w:t xml:space="preserve">2.1 </w:t>
      </w:r>
      <w:r w:rsidRPr="00B02D3F">
        <w:rPr>
          <w:rFonts w:asciiTheme="majorBidi" w:hAnsiTheme="majorBidi" w:cstheme="majorBidi"/>
          <w:b/>
          <w:bCs/>
          <w:sz w:val="28"/>
          <w:szCs w:val="28"/>
          <w:rtl/>
        </w:rPr>
        <w:t>تعريفات الكوارث الطبيعية</w:t>
      </w:r>
    </w:p>
    <w:p w14:paraId="575A0071"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تُعرَّف الكوارث الطبيعية بأنها أحداث بيئية مفاجئة أو تدريجية تتجاوز قدرة المجتمع أو النظام على الاستجابة بموارده الذاتية، مما يؤدي إلى خسائر بشرية ومادية وتعطل الخدمات الأساسية، وعلى رأسها الخدمات الصحية الحرجة</w:t>
      </w:r>
      <w:r w:rsidRPr="00B02D3F">
        <w:rPr>
          <w:rFonts w:asciiTheme="majorBidi" w:hAnsiTheme="majorBidi" w:cstheme="majorBidi"/>
          <w:sz w:val="28"/>
          <w:szCs w:val="28"/>
        </w:rPr>
        <w:t xml:space="preserve"> (World Health Organization, 2022). </w:t>
      </w:r>
      <w:r w:rsidRPr="00B02D3F">
        <w:rPr>
          <w:rFonts w:asciiTheme="majorBidi" w:hAnsiTheme="majorBidi" w:cstheme="majorBidi"/>
          <w:sz w:val="28"/>
          <w:szCs w:val="28"/>
          <w:rtl/>
        </w:rPr>
        <w:t>وتشير الأمم المتحدة إلى أن الكارثة الطبيعية هي حدث ناتج عن ظاهرة طبيعية يؤدي إلى اضطراب شديد في الأداء الطبيعي للمجتمع، نتيجة تفاعل الخطر مع قابلية الانكشاف والضعف البنيوي</w:t>
      </w:r>
      <w:r w:rsidRPr="00B02D3F">
        <w:rPr>
          <w:rFonts w:asciiTheme="majorBidi" w:hAnsiTheme="majorBidi" w:cstheme="majorBidi"/>
          <w:sz w:val="28"/>
          <w:szCs w:val="28"/>
        </w:rPr>
        <w:t xml:space="preserve"> (UNDRR, 2023). </w:t>
      </w:r>
      <w:r w:rsidRPr="00B02D3F">
        <w:rPr>
          <w:rFonts w:asciiTheme="majorBidi" w:hAnsiTheme="majorBidi" w:cstheme="majorBidi"/>
          <w:sz w:val="28"/>
          <w:szCs w:val="28"/>
          <w:rtl/>
        </w:rPr>
        <w:t>فيما يعرّف بعض الباحثين الكارثة بأنها نقطة يتحول عندها الخطر الطبيعي إلى تأثير فعلي واسع النطاق بسبب عدم جاهزية النظام للتعامل معه</w:t>
      </w:r>
      <w:r w:rsidRPr="00B02D3F">
        <w:rPr>
          <w:rFonts w:asciiTheme="majorBidi" w:hAnsiTheme="majorBidi" w:cstheme="majorBidi"/>
          <w:sz w:val="28"/>
          <w:szCs w:val="28"/>
        </w:rPr>
        <w:t xml:space="preserve"> (</w:t>
      </w:r>
      <w:proofErr w:type="spellStart"/>
      <w:r w:rsidRPr="00B02D3F">
        <w:rPr>
          <w:rFonts w:asciiTheme="majorBidi" w:hAnsiTheme="majorBidi" w:cstheme="majorBidi"/>
          <w:sz w:val="28"/>
          <w:szCs w:val="28"/>
        </w:rPr>
        <w:t>Kelman</w:t>
      </w:r>
      <w:proofErr w:type="spellEnd"/>
      <w:r w:rsidRPr="00B02D3F">
        <w:rPr>
          <w:rFonts w:asciiTheme="majorBidi" w:hAnsiTheme="majorBidi" w:cstheme="majorBidi"/>
          <w:sz w:val="28"/>
          <w:szCs w:val="28"/>
        </w:rPr>
        <w:t>, 2018)</w:t>
      </w:r>
      <w:r w:rsidRPr="00B02D3F">
        <w:rPr>
          <w:rFonts w:asciiTheme="majorBidi" w:hAnsiTheme="majorBidi" w:cstheme="majorBidi"/>
          <w:sz w:val="28"/>
          <w:szCs w:val="28"/>
          <w:rtl/>
        </w:rPr>
        <w:t>، وهو تعريف يُبرز البعد المؤسسي في فهم الكوارث، لا الحدث الطبيعي فقط</w:t>
      </w:r>
      <w:r w:rsidRPr="00B02D3F">
        <w:rPr>
          <w:rFonts w:asciiTheme="majorBidi" w:hAnsiTheme="majorBidi" w:cstheme="majorBidi"/>
          <w:sz w:val="28"/>
          <w:szCs w:val="28"/>
        </w:rPr>
        <w:t>.</w:t>
      </w:r>
    </w:p>
    <w:p w14:paraId="32CFCF7C" w14:textId="77777777" w:rsidR="00B02D3F" w:rsidRDefault="00B02D3F" w:rsidP="00C553FF">
      <w:pPr>
        <w:jc w:val="both"/>
        <w:rPr>
          <w:rFonts w:asciiTheme="majorBidi" w:hAnsiTheme="majorBidi" w:cstheme="majorBidi"/>
          <w:sz w:val="28"/>
          <w:szCs w:val="28"/>
          <w:rtl/>
        </w:rPr>
      </w:pPr>
      <w:r w:rsidRPr="00B02D3F">
        <w:rPr>
          <w:rFonts w:asciiTheme="majorBidi" w:hAnsiTheme="majorBidi" w:cstheme="majorBidi"/>
          <w:sz w:val="28"/>
          <w:szCs w:val="28"/>
          <w:rtl/>
        </w:rPr>
        <w:t>تظهر المقارنة بين هذه التعريفات أنها تتفق على عنصرين رئيسيين</w:t>
      </w:r>
      <w:r w:rsidRPr="00B02D3F">
        <w:rPr>
          <w:rFonts w:asciiTheme="majorBidi" w:hAnsiTheme="majorBidi" w:cstheme="majorBidi"/>
          <w:sz w:val="28"/>
          <w:szCs w:val="28"/>
        </w:rPr>
        <w:t>: </w:t>
      </w:r>
      <w:r w:rsidRPr="00B02D3F">
        <w:rPr>
          <w:rFonts w:asciiTheme="majorBidi" w:hAnsiTheme="majorBidi" w:cstheme="majorBidi"/>
          <w:sz w:val="28"/>
          <w:szCs w:val="28"/>
          <w:rtl/>
        </w:rPr>
        <w:t>وجود حدث طبيعي، وتفاعل هذا الحدث مع ضعف النظام، بحيث يتحول إلى كارثة تؤثر على الوظائف الحيوية مثل الرعاية الصحية</w:t>
      </w:r>
      <w:r w:rsidRPr="00B02D3F">
        <w:rPr>
          <w:rFonts w:asciiTheme="majorBidi" w:hAnsiTheme="majorBidi" w:cstheme="majorBidi"/>
          <w:sz w:val="28"/>
          <w:szCs w:val="28"/>
        </w:rPr>
        <w:t>.</w:t>
      </w:r>
    </w:p>
    <w:p w14:paraId="5CC07F2C"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 xml:space="preserve">ويمكن ملاحظة أن هذه التعريفات رغم اختلاف </w:t>
      </w:r>
      <w:proofErr w:type="spellStart"/>
      <w:r w:rsidRPr="00792A11">
        <w:rPr>
          <w:rFonts w:asciiTheme="majorBidi" w:hAnsiTheme="majorBidi" w:cstheme="majorBidi"/>
          <w:sz w:val="28"/>
          <w:szCs w:val="28"/>
          <w:rtl/>
        </w:rPr>
        <w:t>منطلقاتها</w:t>
      </w:r>
      <w:proofErr w:type="spellEnd"/>
      <w:r w:rsidRPr="00792A11">
        <w:rPr>
          <w:rFonts w:asciiTheme="majorBidi" w:hAnsiTheme="majorBidi" w:cstheme="majorBidi"/>
          <w:sz w:val="28"/>
          <w:szCs w:val="28"/>
          <w:rtl/>
        </w:rPr>
        <w:t xml:space="preserve"> تتقاطع في أنها لا تنظر إلى الكارثة كحادث طبيعي بذاته، بل كعملية مركّبة تتداخل فيها عوامل الخطر البيئي مع عناصر الضعف البشري والمؤسسي. فالكارثة لا تتحقق بمجرد وقوع الظاهرة الطبيعية، بل عندما يفشل النظام الاجتماعي والخدمي—وخاصة النظام الصحي—في امتصاص الصدمة والاستجابة الفعّالة لها. كما تُبرز الأدبيات الحديثة أهمية </w:t>
      </w:r>
      <w:proofErr w:type="spellStart"/>
      <w:r w:rsidRPr="00792A11">
        <w:rPr>
          <w:rFonts w:asciiTheme="majorBidi" w:hAnsiTheme="majorBidi" w:cstheme="majorBidi"/>
          <w:sz w:val="28"/>
          <w:szCs w:val="28"/>
          <w:rtl/>
        </w:rPr>
        <w:t>أنسنة</w:t>
      </w:r>
      <w:proofErr w:type="spellEnd"/>
      <w:r w:rsidRPr="00792A11">
        <w:rPr>
          <w:rFonts w:asciiTheme="majorBidi" w:hAnsiTheme="majorBidi" w:cstheme="majorBidi"/>
          <w:sz w:val="28"/>
          <w:szCs w:val="28"/>
          <w:rtl/>
        </w:rPr>
        <w:t xml:space="preserve"> مفهوم الكارثة عبر التركيز على قدرة المجتمع على الصمود، والجاهزية المؤسسية، وفاعلية التخطيط للطوارئ، وهو ما يجعل الكارثة محصلة لتفاعل معقّد بين المخاطر الطبيعية والبنية التحتية والكفاءة التشغيلية</w:t>
      </w:r>
      <w:r w:rsidRPr="00792A11">
        <w:rPr>
          <w:rFonts w:asciiTheme="majorBidi" w:hAnsiTheme="majorBidi" w:cstheme="majorBidi"/>
          <w:sz w:val="28"/>
          <w:szCs w:val="28"/>
        </w:rPr>
        <w:t>.</w:t>
      </w:r>
    </w:p>
    <w:p w14:paraId="5FDBB484"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وتتفق المقارنة بين هذه التعريفات على عنصرين رئيسيين: وجود حدث طبيعي، وتفاعل هذا الحدث مع ضعف النظام بحيث يتحول إلى كارثة تؤثر على الوظائف الحيوية مثل الرعاية الصحية. كما تُظهر أن فهم الكوارث لم يعد مقتصراً على وصف الظاهرة الطبيعية، بل أصبح يشمل التحليل المؤسسي والتنظيمي لقدرة الأنظمة الصحية على الاستجابة، والتخطيط للطوارئ، ومستوى المرونة، والقدرة على التعافي. وهذا الفهم الموسّع ينسجم مع التوجهات الحديثة في إدارة الكوارث التي تعتبر أن الحد من آثار الكوارث يبدأ بتحسين الاستعداد والتخطيط ورفع كفاءة البنى التحتية والخدمات الأساسية</w:t>
      </w:r>
      <w:r w:rsidRPr="00792A11">
        <w:rPr>
          <w:rFonts w:asciiTheme="majorBidi" w:hAnsiTheme="majorBidi" w:cstheme="majorBidi"/>
          <w:sz w:val="28"/>
          <w:szCs w:val="28"/>
        </w:rPr>
        <w:t>.</w:t>
      </w:r>
    </w:p>
    <w:p w14:paraId="609A0244" w14:textId="496FD875" w:rsidR="00B02D3F" w:rsidRPr="00B02D3F" w:rsidRDefault="00B02D3F" w:rsidP="00C553FF">
      <w:pPr>
        <w:jc w:val="both"/>
        <w:rPr>
          <w:rFonts w:asciiTheme="majorBidi" w:hAnsiTheme="majorBidi" w:cstheme="majorBidi"/>
          <w:b/>
          <w:bCs/>
          <w:sz w:val="28"/>
          <w:szCs w:val="28"/>
        </w:rPr>
      </w:pPr>
      <w:r w:rsidRPr="00B02D3F">
        <w:rPr>
          <w:rFonts w:asciiTheme="majorBidi" w:hAnsiTheme="majorBidi" w:cstheme="majorBidi"/>
          <w:b/>
          <w:bCs/>
          <w:sz w:val="28"/>
          <w:szCs w:val="28"/>
        </w:rPr>
        <w:t xml:space="preserve">2.2 </w:t>
      </w:r>
      <w:r w:rsidRPr="00B02D3F">
        <w:rPr>
          <w:rFonts w:asciiTheme="majorBidi" w:hAnsiTheme="majorBidi" w:cstheme="majorBidi"/>
          <w:b/>
          <w:bCs/>
          <w:sz w:val="28"/>
          <w:szCs w:val="28"/>
          <w:rtl/>
        </w:rPr>
        <w:t>أنواع الكوارث الطبيعية وتأثيرها على القطاع الصحي</w:t>
      </w:r>
    </w:p>
    <w:p w14:paraId="0F55D9E6"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تشمل الكوارث الطبيعية أنواعاً متعددة مثل الفيضانات، الأعاصير، موجات الحر، الزلازل، العواصف الرملية، والانهيارات الأرضية. وتؤثر هذه الأحداث بطرق مختلفة على القطاع الصحي؛ فالفيضانات تُعد من أكثر الكوارث تسبباً في تعطّل مرافق الطوارئ وإتلاف المخازن الدوائية والبنية التحتية الكهربائية للمستشفيات</w:t>
      </w:r>
      <w:r w:rsidRPr="00B02D3F">
        <w:rPr>
          <w:rFonts w:asciiTheme="majorBidi" w:hAnsiTheme="majorBidi" w:cstheme="majorBidi"/>
          <w:sz w:val="28"/>
          <w:szCs w:val="28"/>
        </w:rPr>
        <w:t xml:space="preserve"> (</w:t>
      </w:r>
      <w:proofErr w:type="spellStart"/>
      <w:r w:rsidRPr="00B02D3F">
        <w:rPr>
          <w:rFonts w:asciiTheme="majorBidi" w:hAnsiTheme="majorBidi" w:cstheme="majorBidi"/>
          <w:sz w:val="28"/>
          <w:szCs w:val="28"/>
        </w:rPr>
        <w:t>Aitsi</w:t>
      </w:r>
      <w:proofErr w:type="spellEnd"/>
      <w:r w:rsidRPr="00B02D3F">
        <w:rPr>
          <w:rFonts w:asciiTheme="majorBidi" w:hAnsiTheme="majorBidi" w:cstheme="majorBidi"/>
          <w:sz w:val="28"/>
          <w:szCs w:val="28"/>
        </w:rPr>
        <w:t xml:space="preserve">-Selmi et al., 2016). </w:t>
      </w:r>
      <w:r w:rsidRPr="00B02D3F">
        <w:rPr>
          <w:rFonts w:asciiTheme="majorBidi" w:hAnsiTheme="majorBidi" w:cstheme="majorBidi"/>
          <w:sz w:val="28"/>
          <w:szCs w:val="28"/>
          <w:rtl/>
        </w:rPr>
        <w:t>أما الأعاصير والعواصف الشديدة فتؤدي إلى انقطاع الطرق، مما يعوق إمكانية الوصول إلى المستشفيات ويحدّ من قدرة سيارات الإسعاف على الاستجابة</w:t>
      </w:r>
      <w:r w:rsidRPr="00B02D3F">
        <w:rPr>
          <w:rFonts w:asciiTheme="majorBidi" w:hAnsiTheme="majorBidi" w:cstheme="majorBidi"/>
          <w:sz w:val="28"/>
          <w:szCs w:val="28"/>
        </w:rPr>
        <w:t xml:space="preserve"> (Khan et al., 2019). </w:t>
      </w:r>
      <w:r w:rsidRPr="00B02D3F">
        <w:rPr>
          <w:rFonts w:asciiTheme="majorBidi" w:hAnsiTheme="majorBidi" w:cstheme="majorBidi"/>
          <w:sz w:val="28"/>
          <w:szCs w:val="28"/>
          <w:rtl/>
        </w:rPr>
        <w:t>بينما تُحدث الزلازل أضراراً هيكلية مباشرة في منشآت الرعاية الصحية وتعطل غرف العمليات والعناية المركزة</w:t>
      </w:r>
      <w:r w:rsidRPr="00B02D3F">
        <w:rPr>
          <w:rFonts w:asciiTheme="majorBidi" w:hAnsiTheme="majorBidi" w:cstheme="majorBidi"/>
          <w:sz w:val="28"/>
          <w:szCs w:val="28"/>
        </w:rPr>
        <w:t>.</w:t>
      </w:r>
    </w:p>
    <w:p w14:paraId="515F5FD9" w14:textId="3502C214" w:rsidR="00B02D3F" w:rsidRDefault="00B02D3F" w:rsidP="00C553FF">
      <w:pPr>
        <w:jc w:val="both"/>
        <w:rPr>
          <w:rFonts w:asciiTheme="majorBidi" w:hAnsiTheme="majorBidi" w:cstheme="majorBidi"/>
          <w:sz w:val="28"/>
          <w:szCs w:val="28"/>
          <w:rtl/>
        </w:rPr>
      </w:pPr>
      <w:r w:rsidRPr="00B02D3F">
        <w:rPr>
          <w:rFonts w:asciiTheme="majorBidi" w:hAnsiTheme="majorBidi" w:cstheme="majorBidi"/>
          <w:sz w:val="28"/>
          <w:szCs w:val="28"/>
          <w:rtl/>
        </w:rPr>
        <w:t>وتؤكد الأدبيات الصحية أن نوع الكارثة يرتبط بنمط معيّن من الانقطاعات؛ فالكوارث السريعة مثل الزلازل تُحدث تعطلاً فورياً، بينما الكوارث البطيئة مثل موجات الحر تسبب ضغطاً تراكمياً على القدرة الاستيعابية للمستشفيات</w:t>
      </w:r>
      <w:r w:rsidRPr="00B02D3F">
        <w:rPr>
          <w:rFonts w:asciiTheme="majorBidi" w:hAnsiTheme="majorBidi" w:cstheme="majorBidi"/>
          <w:sz w:val="28"/>
          <w:szCs w:val="28"/>
        </w:rPr>
        <w:t xml:space="preserve"> (World Health Organization, 2022). </w:t>
      </w:r>
      <w:r w:rsidRPr="00B02D3F">
        <w:rPr>
          <w:rFonts w:asciiTheme="majorBidi" w:hAnsiTheme="majorBidi" w:cstheme="majorBidi"/>
          <w:sz w:val="28"/>
          <w:szCs w:val="28"/>
          <w:rtl/>
        </w:rPr>
        <w:t>وهذا التنوع يجعل تطوير مؤشر مبكر يتطلب فهم الفروق بين أنواع الكوارث وتأثير كل منها على الخدمات الصحية الحرجة</w:t>
      </w:r>
      <w:r w:rsidRPr="00B02D3F">
        <w:rPr>
          <w:rFonts w:asciiTheme="majorBidi" w:hAnsiTheme="majorBidi" w:cstheme="majorBidi"/>
          <w:sz w:val="28"/>
          <w:szCs w:val="28"/>
        </w:rPr>
        <w:t>.</w:t>
      </w:r>
    </w:p>
    <w:p w14:paraId="04125C5F" w14:textId="5602656B"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وإضافة إلى ذلك، تشير الدراسات الحديثة إلى أن بعض الكوارث</w:t>
      </w:r>
      <w:r>
        <w:rPr>
          <w:rFonts w:asciiTheme="majorBidi" w:hAnsiTheme="majorBidi" w:cstheme="majorBidi" w:hint="cs"/>
          <w:sz w:val="28"/>
          <w:szCs w:val="28"/>
          <w:rtl/>
        </w:rPr>
        <w:t xml:space="preserve"> </w:t>
      </w:r>
      <w:r w:rsidRPr="00792A11">
        <w:rPr>
          <w:rFonts w:asciiTheme="majorBidi" w:hAnsiTheme="majorBidi" w:cstheme="majorBidi"/>
          <w:sz w:val="28"/>
          <w:szCs w:val="28"/>
          <w:rtl/>
        </w:rPr>
        <w:t>خصوصاً المناخية منها</w:t>
      </w:r>
      <w:r>
        <w:rPr>
          <w:rFonts w:asciiTheme="majorBidi" w:hAnsiTheme="majorBidi" w:cstheme="majorBidi" w:hint="cs"/>
          <w:sz w:val="28"/>
          <w:szCs w:val="28"/>
          <w:rtl/>
        </w:rPr>
        <w:t xml:space="preserve"> </w:t>
      </w:r>
      <w:r w:rsidRPr="00792A11">
        <w:rPr>
          <w:rFonts w:asciiTheme="majorBidi" w:hAnsiTheme="majorBidi" w:cstheme="majorBidi"/>
          <w:sz w:val="28"/>
          <w:szCs w:val="28"/>
          <w:rtl/>
        </w:rPr>
        <w:t>تتسبب في أزمات صحية غير مباشرة مثل انتشار الأمراض المنقولة بالمياه بعد الفيضانات، أو زيادة حالات الإجهاد الحراري والأمراض المزمنة أثناء موجات الحر، ما يضاعف العبء على غرف الطوارئ والعيادات الخارجية. كما تسهم العواصف الرملية في ارتفاع معدلات أمراض الجهاز التنفسي والربو، الأمر الذي يؤدي إلى ضغط إضافي على المرافق الصحية في المناطق الصحراوية. وتُظهر الأبحاث كذلك أن الكوارث لا تؤثر في البنية التحتية فحسب، بل تمتد إلى الموارد البشرية من خلال إنهاك الكوادر الصحية أو اضطرارها للعمل في ظروف تشغيلية غير مستقرة</w:t>
      </w:r>
      <w:r w:rsidRPr="00792A11">
        <w:rPr>
          <w:rFonts w:asciiTheme="majorBidi" w:hAnsiTheme="majorBidi" w:cstheme="majorBidi"/>
          <w:sz w:val="28"/>
          <w:szCs w:val="28"/>
        </w:rPr>
        <w:t>.</w:t>
      </w:r>
    </w:p>
    <w:p w14:paraId="1C931E72" w14:textId="23227987" w:rsidR="00792A11" w:rsidRPr="00B02D3F"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وتبرز أهمية فهم أنواع الكوارث الطبيعية في السياق الصحي لأن كل نوع منها يتطلب مستوى مختلفاً من الجاهزية: فالمستشفيات الواقعة في مناطق زلزالية تحتاج إلى بنية مقاومة للزلازل وخطط إخلاء سريعة، بينما تحتاج المناطق المعرضة للفيضانات إلى حماية شبكات الكهرباء وإمدادات الأدوية، في حين تتطلب المناطق المتأثرة بالعواصف الرملية تعزيز قدرات الرعاية التنفسية. وهذا يؤكد أن بناء نظام إنذار مبكر فعّال يستوجب استيعاب الطبيعة المميزة لكل كارثة وكيفية انعكاسها على القدرة التشغيلية والوظيفية للقطاع الصحي</w:t>
      </w:r>
      <w:r w:rsidRPr="00792A11">
        <w:rPr>
          <w:rFonts w:asciiTheme="majorBidi" w:hAnsiTheme="majorBidi" w:cstheme="majorBidi"/>
          <w:sz w:val="28"/>
          <w:szCs w:val="28"/>
        </w:rPr>
        <w:t>.</w:t>
      </w:r>
    </w:p>
    <w:p w14:paraId="52ECF441" w14:textId="77777777" w:rsidR="00B02D3F" w:rsidRPr="00B02D3F" w:rsidRDefault="00B02D3F" w:rsidP="00C553FF">
      <w:pPr>
        <w:jc w:val="both"/>
        <w:rPr>
          <w:rFonts w:asciiTheme="majorBidi" w:hAnsiTheme="majorBidi" w:cstheme="majorBidi"/>
          <w:b/>
          <w:bCs/>
          <w:sz w:val="28"/>
          <w:szCs w:val="28"/>
        </w:rPr>
      </w:pPr>
      <w:r w:rsidRPr="00B02D3F">
        <w:rPr>
          <w:rFonts w:asciiTheme="majorBidi" w:hAnsiTheme="majorBidi" w:cstheme="majorBidi"/>
          <w:b/>
          <w:bCs/>
          <w:sz w:val="28"/>
          <w:szCs w:val="28"/>
        </w:rPr>
        <w:t xml:space="preserve">2.3 </w:t>
      </w:r>
      <w:r w:rsidRPr="00B02D3F">
        <w:rPr>
          <w:rFonts w:asciiTheme="majorBidi" w:hAnsiTheme="majorBidi" w:cstheme="majorBidi"/>
          <w:b/>
          <w:bCs/>
          <w:sz w:val="28"/>
          <w:szCs w:val="28"/>
          <w:rtl/>
        </w:rPr>
        <w:t>خصائص الكوارث المؤثرة على الخدمات الصحية الحرجة</w:t>
      </w:r>
    </w:p>
    <w:p w14:paraId="67633515"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تؤثر الكوارث الطبيعية على الخدمات الصحية الحرجة وفق خصائص محددة أبرزها شدة الحدث</w:t>
      </w:r>
      <w:r w:rsidRPr="00B02D3F">
        <w:rPr>
          <w:rFonts w:asciiTheme="majorBidi" w:hAnsiTheme="majorBidi" w:cstheme="majorBidi"/>
          <w:sz w:val="28"/>
          <w:szCs w:val="28"/>
        </w:rPr>
        <w:t xml:space="preserve"> (Intensity)</w:t>
      </w:r>
      <w:r w:rsidRPr="00B02D3F">
        <w:rPr>
          <w:rFonts w:asciiTheme="majorBidi" w:hAnsiTheme="majorBidi" w:cstheme="majorBidi"/>
          <w:sz w:val="28"/>
          <w:szCs w:val="28"/>
          <w:rtl/>
        </w:rPr>
        <w:t>، وسرعة حدوثه</w:t>
      </w:r>
      <w:r w:rsidRPr="00B02D3F">
        <w:rPr>
          <w:rFonts w:asciiTheme="majorBidi" w:hAnsiTheme="majorBidi" w:cstheme="majorBidi"/>
          <w:sz w:val="28"/>
          <w:szCs w:val="28"/>
        </w:rPr>
        <w:t xml:space="preserve"> (Onset Speed)</w:t>
      </w:r>
      <w:r w:rsidRPr="00B02D3F">
        <w:rPr>
          <w:rFonts w:asciiTheme="majorBidi" w:hAnsiTheme="majorBidi" w:cstheme="majorBidi"/>
          <w:sz w:val="28"/>
          <w:szCs w:val="28"/>
          <w:rtl/>
        </w:rPr>
        <w:t>، ومدته الزمنية</w:t>
      </w:r>
      <w:r w:rsidRPr="00B02D3F">
        <w:rPr>
          <w:rFonts w:asciiTheme="majorBidi" w:hAnsiTheme="majorBidi" w:cstheme="majorBidi"/>
          <w:sz w:val="28"/>
          <w:szCs w:val="28"/>
        </w:rPr>
        <w:t xml:space="preserve"> (Duration)</w:t>
      </w:r>
      <w:r w:rsidRPr="00B02D3F">
        <w:rPr>
          <w:rFonts w:asciiTheme="majorBidi" w:hAnsiTheme="majorBidi" w:cstheme="majorBidi"/>
          <w:sz w:val="28"/>
          <w:szCs w:val="28"/>
          <w:rtl/>
        </w:rPr>
        <w:t>، إضافة إلى مدى الانتشار الجغرافي</w:t>
      </w:r>
      <w:r w:rsidRPr="00B02D3F">
        <w:rPr>
          <w:rFonts w:asciiTheme="majorBidi" w:hAnsiTheme="majorBidi" w:cstheme="majorBidi"/>
          <w:sz w:val="28"/>
          <w:szCs w:val="28"/>
        </w:rPr>
        <w:t xml:space="preserve"> (Geographic Scope). </w:t>
      </w:r>
      <w:r w:rsidRPr="00B02D3F">
        <w:rPr>
          <w:rFonts w:asciiTheme="majorBidi" w:hAnsiTheme="majorBidi" w:cstheme="majorBidi"/>
          <w:sz w:val="28"/>
          <w:szCs w:val="28"/>
          <w:rtl/>
        </w:rPr>
        <w:t>فكلما زادت شدة الحدث الطبيعي، زادت احتمالية تضرر البنية التحتية الحيوية مثل شبكات الكهرباء والمياه وأجهزة التنفس الصناعي في وحدات العناية المركزة</w:t>
      </w:r>
      <w:r w:rsidRPr="00B02D3F">
        <w:rPr>
          <w:rFonts w:asciiTheme="majorBidi" w:hAnsiTheme="majorBidi" w:cstheme="majorBidi"/>
          <w:sz w:val="28"/>
          <w:szCs w:val="28"/>
        </w:rPr>
        <w:t xml:space="preserve"> (Kruk et al., 2017). </w:t>
      </w:r>
      <w:r w:rsidRPr="00B02D3F">
        <w:rPr>
          <w:rFonts w:asciiTheme="majorBidi" w:hAnsiTheme="majorBidi" w:cstheme="majorBidi"/>
          <w:sz w:val="28"/>
          <w:szCs w:val="28"/>
          <w:rtl/>
        </w:rPr>
        <w:t>أما سرعة حدوث الحدث فتحدد مدى قدرة النظام الصحي على تفعيل خطط الطوارئ قبل وقوع الانقطاع؛ إذ تمثل الكوارث المفاجئة تحدياً أكبر بسبب محدودية الوقت المتاح للاستجابة</w:t>
      </w:r>
      <w:r w:rsidRPr="00B02D3F">
        <w:rPr>
          <w:rFonts w:asciiTheme="majorBidi" w:hAnsiTheme="majorBidi" w:cstheme="majorBidi"/>
          <w:sz w:val="28"/>
          <w:szCs w:val="28"/>
        </w:rPr>
        <w:t>.</w:t>
      </w:r>
    </w:p>
    <w:p w14:paraId="63F84DCE"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كما تلعب المدة الزمنية للكارثة دوراً مهماً، فالكوارث طويلة الأمد مثل الفيضانات الممتدة أو موجات الحر تستهلك الموارد تدريجياً وتسبب تعطل الخدمات الحيوية نتيجة الإرهاق المستمر للطاقم الطبي ونقص الإمدادات</w:t>
      </w:r>
      <w:r w:rsidRPr="00B02D3F">
        <w:rPr>
          <w:rFonts w:asciiTheme="majorBidi" w:hAnsiTheme="majorBidi" w:cstheme="majorBidi"/>
          <w:sz w:val="28"/>
          <w:szCs w:val="28"/>
        </w:rPr>
        <w:t xml:space="preserve"> (UNDRR, 2023). </w:t>
      </w:r>
      <w:r w:rsidRPr="00B02D3F">
        <w:rPr>
          <w:rFonts w:asciiTheme="majorBidi" w:hAnsiTheme="majorBidi" w:cstheme="majorBidi"/>
          <w:sz w:val="28"/>
          <w:szCs w:val="28"/>
          <w:rtl/>
        </w:rPr>
        <w:t>ويرتبط مدى الانتشار الجغرافي بقدرة النظام الصحي على المناورة ونقل المرضى أو إعادة توزيع الموارد؛ إذ تحد الكوارث واسعة النطاق من الخيارات المتاحة للاستجابة</w:t>
      </w:r>
      <w:r w:rsidRPr="00B02D3F">
        <w:rPr>
          <w:rFonts w:asciiTheme="majorBidi" w:hAnsiTheme="majorBidi" w:cstheme="majorBidi"/>
          <w:sz w:val="28"/>
          <w:szCs w:val="28"/>
        </w:rPr>
        <w:t>.</w:t>
      </w:r>
    </w:p>
    <w:p w14:paraId="47CDB63F" w14:textId="77777777" w:rsidR="00B02D3F" w:rsidRDefault="00B02D3F" w:rsidP="00C553FF">
      <w:pPr>
        <w:jc w:val="both"/>
        <w:rPr>
          <w:rFonts w:asciiTheme="majorBidi" w:hAnsiTheme="majorBidi" w:cstheme="majorBidi"/>
          <w:sz w:val="28"/>
          <w:szCs w:val="28"/>
          <w:rtl/>
        </w:rPr>
      </w:pPr>
      <w:r w:rsidRPr="00B02D3F">
        <w:rPr>
          <w:rFonts w:asciiTheme="majorBidi" w:hAnsiTheme="majorBidi" w:cstheme="majorBidi"/>
          <w:sz w:val="28"/>
          <w:szCs w:val="28"/>
          <w:rtl/>
        </w:rPr>
        <w:t>وتبرز هذه الخصائص أهمية دمج البعد الزمني واللوجستي في أي مؤشر مبكر يُصمَّم للتنبؤ بانقطاع الخدمات الصحية الحرجة، بحيث يعكس طبيعة الحدث، وشدته، وتأثيره المتوقع على الوظائف الحيوية للنظام الصحي</w:t>
      </w:r>
      <w:r w:rsidRPr="00B02D3F">
        <w:rPr>
          <w:rFonts w:asciiTheme="majorBidi" w:hAnsiTheme="majorBidi" w:cstheme="majorBidi"/>
          <w:sz w:val="28"/>
          <w:szCs w:val="28"/>
        </w:rPr>
        <w:t>.</w:t>
      </w:r>
    </w:p>
    <w:p w14:paraId="6E0E00D7"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وإضافة إلى ذلك، تشير الأدبيات الحديثة إلى أن هذه الخصائص لا تعمل بمعزل عن بعضها، بل تتفاعل بشكل معقّد قد يفاقم مستوى الانقطاع؛ فالكوارث شديدة التأثير والسريعة في الوقت ذاته تخلق "صدمة تشغيلية" مفاجئة، تُعطّل القدرة على اتخاذ القرارات السريعة وتزيد من احتمال انهيار سلاسل الإمداد الطبية. كما أن الكوارث الممتدة زمنياً غالباً ما تخلق فجوات في المخزون الدوائي ووقود المولدات، وتؤدي إلى استنزاف الموارد البشرية نتيجة استمرار العمل في ظروف مرتفعة الضغط، وهو ما يُعد عاملاً حرجاً في وحدات العناية المركزة والطوارئ</w:t>
      </w:r>
      <w:r w:rsidRPr="00792A11">
        <w:rPr>
          <w:rFonts w:asciiTheme="majorBidi" w:hAnsiTheme="majorBidi" w:cstheme="majorBidi"/>
          <w:sz w:val="28"/>
          <w:szCs w:val="28"/>
        </w:rPr>
        <w:t>.</w:t>
      </w:r>
    </w:p>
    <w:p w14:paraId="2A433743"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كما تؤثر خصائص الكارثة أيضاً على طبيعة الطلب الصحي؛ فالكوارث واسعة الانتشار الجغرافي تُحدث زيادة مفاجئة في أعداد المصابين، بالتزامن مع تراجع القدرة التشغيلية للمستشفيات، ما يضاعف الحاجة إلى أنظمة فرز</w:t>
      </w:r>
      <w:r w:rsidRPr="00792A11">
        <w:rPr>
          <w:rFonts w:asciiTheme="majorBidi" w:hAnsiTheme="majorBidi" w:cstheme="majorBidi"/>
          <w:sz w:val="28"/>
          <w:szCs w:val="28"/>
        </w:rPr>
        <w:t xml:space="preserve"> (Triage) </w:t>
      </w:r>
      <w:r w:rsidRPr="00792A11">
        <w:rPr>
          <w:rFonts w:asciiTheme="majorBidi" w:hAnsiTheme="majorBidi" w:cstheme="majorBidi"/>
          <w:sz w:val="28"/>
          <w:szCs w:val="28"/>
          <w:rtl/>
        </w:rPr>
        <w:t>أكثر صرامة، ويجبر المرافق الصحية على إعادة تحديد أولويات العلاج. أما الكوارث ذات الشدة العالية فقد تُحدِث موجات متتابعة من الانقطاع تشمل الكهرباء والمياه وتوليد الأكسجين، وهي عناصر حيوية لا يمكن لوحدات العناية المركزة الاستمرار من دونها</w:t>
      </w:r>
      <w:r w:rsidRPr="00792A11">
        <w:rPr>
          <w:rFonts w:asciiTheme="majorBidi" w:hAnsiTheme="majorBidi" w:cstheme="majorBidi"/>
          <w:sz w:val="28"/>
          <w:szCs w:val="28"/>
        </w:rPr>
        <w:t>.</w:t>
      </w:r>
    </w:p>
    <w:p w14:paraId="6FABC241"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وتؤكد الدراسات أن فهم خصائص الكوارث بدقة يُعد شرطاً أساسياً لتصميم مؤشر مبكر فعّال، إذ يساعد في تحديد أي الخصائص يجب مراقبتها أولاً، وأيها الأكثر قدرة على التنبؤ بانقطاع الخدمات. فالكوارث السريعة تتطلب أنظمة إنذار فورية تعتمد على البيانات اللحظية، بينما تحتاج الكوارث البطيئة إلى مؤشرات تعتمد على التحليل الزمني للتغيرات التدريجية في الضغط على النظام الصحي</w:t>
      </w:r>
      <w:r w:rsidRPr="00792A11">
        <w:rPr>
          <w:rFonts w:asciiTheme="majorBidi" w:hAnsiTheme="majorBidi" w:cstheme="majorBidi"/>
          <w:sz w:val="28"/>
          <w:szCs w:val="28"/>
        </w:rPr>
        <w:t>.</w:t>
      </w:r>
    </w:p>
    <w:p w14:paraId="5ADC607C" w14:textId="1C7CFAE2" w:rsidR="00792A11" w:rsidRPr="00B02D3F"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وبذلك يتضح أن الخصائص الجوهرية للكارثة—من حيث الشدة والسرعة والمدة والانتشار—تشكل الإطار العلمي الذي يجب أن يبنى عليه أي نموذج تنبؤي يهدف إلى قياس مخاطر الانقطاع، وأن تجاهل أي من هذه الخصائص قد يؤدي إلى مؤشر غير دقيق أو أقل قدرة على التنبؤ بالاضطرابات التشغيلية الفعلية في الخدمات الصحية الحرجة</w:t>
      </w:r>
      <w:r w:rsidRPr="00792A11">
        <w:rPr>
          <w:rFonts w:asciiTheme="majorBidi" w:hAnsiTheme="majorBidi" w:cstheme="majorBidi"/>
          <w:sz w:val="28"/>
          <w:szCs w:val="28"/>
        </w:rPr>
        <w:t>.</w:t>
      </w:r>
    </w:p>
    <w:p w14:paraId="6BA9B93E" w14:textId="5806F2FD" w:rsidR="00B02D3F" w:rsidRPr="00B02D3F" w:rsidRDefault="005E6B8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2.4</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تعريف الخدمات الصحية الحرجة</w:t>
      </w:r>
    </w:p>
    <w:p w14:paraId="69347E13"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تُعرَّف الخدمات الصحية الحرجة بأنها مجموعة من التدخلات الطبية الأساسية التي يعتمد عليها النظام الصحي للحفاظ على الحياة ومنع تدهور الحالات الصحية الخطيرة، وتشمل خدمات الطوارئ، العناية المركزة، الإنعاش، والرعاية الحياتية المستمرة</w:t>
      </w:r>
      <w:r w:rsidRPr="00B02D3F">
        <w:rPr>
          <w:rFonts w:asciiTheme="majorBidi" w:hAnsiTheme="majorBidi" w:cstheme="majorBidi"/>
          <w:sz w:val="28"/>
          <w:szCs w:val="28"/>
        </w:rPr>
        <w:t xml:space="preserve"> (World Health Organization, 2021). </w:t>
      </w:r>
      <w:r w:rsidRPr="00B02D3F">
        <w:rPr>
          <w:rFonts w:asciiTheme="majorBidi" w:hAnsiTheme="majorBidi" w:cstheme="majorBidi"/>
          <w:sz w:val="28"/>
          <w:szCs w:val="28"/>
          <w:rtl/>
        </w:rPr>
        <w:t>وتشير مراكز السيطرة على الأمراض</w:t>
      </w:r>
      <w:r w:rsidRPr="00B02D3F">
        <w:rPr>
          <w:rFonts w:asciiTheme="majorBidi" w:hAnsiTheme="majorBidi" w:cstheme="majorBidi"/>
          <w:sz w:val="28"/>
          <w:szCs w:val="28"/>
        </w:rPr>
        <w:t xml:space="preserve"> CDC </w:t>
      </w:r>
      <w:r w:rsidRPr="00B02D3F">
        <w:rPr>
          <w:rFonts w:asciiTheme="majorBidi" w:hAnsiTheme="majorBidi" w:cstheme="majorBidi"/>
          <w:sz w:val="28"/>
          <w:szCs w:val="28"/>
          <w:rtl/>
        </w:rPr>
        <w:t>إلى أن الخدمات الصحية الحرجة هي تلك التي لا يمكن تأجيلها أو استبدالها دون تعريض حياة المرضى لخطر مباشر، مثل خدمات الطوارئ الجراحية، دعم التنفس، والأدوية المنقذة للحياة</w:t>
      </w:r>
      <w:r w:rsidRPr="00B02D3F">
        <w:rPr>
          <w:rFonts w:asciiTheme="majorBidi" w:hAnsiTheme="majorBidi" w:cstheme="majorBidi"/>
          <w:sz w:val="28"/>
          <w:szCs w:val="28"/>
        </w:rPr>
        <w:t xml:space="preserve"> (CDC, 2022). </w:t>
      </w:r>
      <w:r w:rsidRPr="00B02D3F">
        <w:rPr>
          <w:rFonts w:asciiTheme="majorBidi" w:hAnsiTheme="majorBidi" w:cstheme="majorBidi"/>
          <w:sz w:val="28"/>
          <w:szCs w:val="28"/>
          <w:rtl/>
        </w:rPr>
        <w:t>كما يعرّفها بعض الباحثين بأنها “البنية التشغيلية الأساسية للنظام الصحي التي تُمكّن المستشفيات من الحفاظ على وظائفها الحيوية تحت الضغط</w:t>
      </w:r>
      <w:r w:rsidRPr="00B02D3F">
        <w:rPr>
          <w:rFonts w:asciiTheme="majorBidi" w:hAnsiTheme="majorBidi" w:cstheme="majorBidi"/>
          <w:sz w:val="28"/>
          <w:szCs w:val="28"/>
        </w:rPr>
        <w:t>” (Barrett et al., 2020)</w:t>
      </w:r>
      <w:r w:rsidRPr="00B02D3F">
        <w:rPr>
          <w:rFonts w:asciiTheme="majorBidi" w:hAnsiTheme="majorBidi" w:cstheme="majorBidi"/>
          <w:sz w:val="28"/>
          <w:szCs w:val="28"/>
          <w:rtl/>
        </w:rPr>
        <w:t>، وهو تعريف يركز على الجانب التشغيلي والقدرة على الصمود</w:t>
      </w:r>
      <w:r w:rsidRPr="00B02D3F">
        <w:rPr>
          <w:rFonts w:asciiTheme="majorBidi" w:hAnsiTheme="majorBidi" w:cstheme="majorBidi"/>
          <w:sz w:val="28"/>
          <w:szCs w:val="28"/>
        </w:rPr>
        <w:t>.</w:t>
      </w:r>
    </w:p>
    <w:p w14:paraId="2614EE31" w14:textId="206F15D4" w:rsidR="00B02D3F" w:rsidRDefault="00B02D3F" w:rsidP="005E6B86">
      <w:pPr>
        <w:jc w:val="both"/>
        <w:rPr>
          <w:rFonts w:asciiTheme="majorBidi" w:hAnsiTheme="majorBidi" w:cstheme="majorBidi"/>
          <w:sz w:val="28"/>
          <w:szCs w:val="28"/>
          <w:rtl/>
        </w:rPr>
      </w:pPr>
      <w:r w:rsidRPr="00B02D3F">
        <w:rPr>
          <w:rFonts w:asciiTheme="majorBidi" w:hAnsiTheme="majorBidi" w:cstheme="majorBidi"/>
          <w:sz w:val="28"/>
          <w:szCs w:val="28"/>
          <w:rtl/>
        </w:rPr>
        <w:t>وتتفق هذه التعريفات على أن </w:t>
      </w:r>
      <w:r w:rsidRPr="00B02D3F">
        <w:rPr>
          <w:rFonts w:asciiTheme="majorBidi" w:hAnsiTheme="majorBidi" w:cstheme="majorBidi"/>
          <w:b/>
          <w:bCs/>
          <w:sz w:val="28"/>
          <w:szCs w:val="28"/>
          <w:rtl/>
        </w:rPr>
        <w:t>الخدمات الصحية الحرجة ترتبط مباشرة ببقاء المرضى على قيد الحياة</w:t>
      </w:r>
      <w:r w:rsidRPr="00B02D3F">
        <w:rPr>
          <w:rFonts w:asciiTheme="majorBidi" w:hAnsiTheme="majorBidi" w:cstheme="majorBidi"/>
          <w:sz w:val="28"/>
          <w:szCs w:val="28"/>
          <w:rtl/>
        </w:rPr>
        <w:t>، وأن أي انقطاع فيها</w:t>
      </w:r>
      <w:r w:rsidRPr="00B02D3F">
        <w:rPr>
          <w:rFonts w:asciiTheme="majorBidi" w:hAnsiTheme="majorBidi" w:cstheme="majorBidi"/>
          <w:sz w:val="28"/>
          <w:szCs w:val="28"/>
        </w:rPr>
        <w:t>—even for short durations—</w:t>
      </w:r>
      <w:r w:rsidRPr="00B02D3F">
        <w:rPr>
          <w:rFonts w:asciiTheme="majorBidi" w:hAnsiTheme="majorBidi" w:cstheme="majorBidi"/>
          <w:sz w:val="28"/>
          <w:szCs w:val="28"/>
          <w:rtl/>
        </w:rPr>
        <w:t>يمكن أن يؤدي إلى عواقب صحية واسعة النطاق</w:t>
      </w:r>
      <w:r w:rsidRPr="00B02D3F">
        <w:rPr>
          <w:rFonts w:asciiTheme="majorBidi" w:hAnsiTheme="majorBidi" w:cstheme="majorBidi"/>
          <w:sz w:val="28"/>
          <w:szCs w:val="28"/>
        </w:rPr>
        <w:t>.</w:t>
      </w:r>
    </w:p>
    <w:p w14:paraId="7387F3BD"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كما تؤكد الأبحاث أن هذه الخدمات لا تعتمد فقط على الجوانب السريرية، بل تشمل أيضاً عناصر الدعم التشغيلي مثل شبكات الكهرباء المستقرة، إمدادات الأكسجين، منظومات الاتصالات الداخلية، وسلاسل الإمداد الدوائي. فتعطّل أي عنصر من هذه العناصر قد يؤدي إلى شلل وظيفي كامل في أقسام العناية المركزة والطوارئ حتى وإن كانت الكوادر الطبية متاحة. وهذا ما يدفع العديد من النماذج العالمية المعنية بالمرونة الصحية إلى اعتبار الخدمات الصحية الحرجة “مقياساً تكاملياً” يجمع بين الجاهزية السريرية والقدرة التشغيلية والاستجابة اللوجستية</w:t>
      </w:r>
      <w:r w:rsidRPr="00792A11">
        <w:rPr>
          <w:rFonts w:asciiTheme="majorBidi" w:hAnsiTheme="majorBidi" w:cstheme="majorBidi"/>
          <w:sz w:val="28"/>
          <w:szCs w:val="28"/>
        </w:rPr>
        <w:t>.</w:t>
      </w:r>
    </w:p>
    <w:p w14:paraId="419E9BE3" w14:textId="77777777" w:rsidR="00792A11" w:rsidRPr="00792A11"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 xml:space="preserve">ويبرز في الأدبيات أيضاً أن تعريف الخدمات الصحية الحرجة يتطور بمرور الوقت، إذ تتوسع قائمة الخدمات وفق التطور التكنولوجي وزيادة اعتماد المستشفيات على الأنظمة الرقمية ومولدات الطاقة الاحتياطية وأجهزة الدعم الحياتي المتقدمة. كما أن بعض الدول تدمج خدمات الصحة العامة الحساسة—مثل إدارة </w:t>
      </w:r>
      <w:proofErr w:type="spellStart"/>
      <w:r w:rsidRPr="00792A11">
        <w:rPr>
          <w:rFonts w:asciiTheme="majorBidi" w:hAnsiTheme="majorBidi" w:cstheme="majorBidi"/>
          <w:sz w:val="28"/>
          <w:szCs w:val="28"/>
          <w:rtl/>
        </w:rPr>
        <w:t>تفشيات</w:t>
      </w:r>
      <w:proofErr w:type="spellEnd"/>
      <w:r w:rsidRPr="00792A11">
        <w:rPr>
          <w:rFonts w:asciiTheme="majorBidi" w:hAnsiTheme="majorBidi" w:cstheme="majorBidi"/>
          <w:sz w:val="28"/>
          <w:szCs w:val="28"/>
          <w:rtl/>
        </w:rPr>
        <w:t xml:space="preserve"> الأمراض المعدية—ضمن إطار الخدمات الحرجة، باعتبار إخفاقها قد يؤدي إلى ارتفاع مفاجئ في معدلات الوفيات خلال الكوارث</w:t>
      </w:r>
      <w:r w:rsidRPr="00792A11">
        <w:rPr>
          <w:rFonts w:asciiTheme="majorBidi" w:hAnsiTheme="majorBidi" w:cstheme="majorBidi"/>
          <w:sz w:val="28"/>
          <w:szCs w:val="28"/>
        </w:rPr>
        <w:t>.</w:t>
      </w:r>
    </w:p>
    <w:p w14:paraId="7655A8B4" w14:textId="728ABC18" w:rsidR="00792A11" w:rsidRPr="00B02D3F" w:rsidRDefault="00792A11" w:rsidP="00792A11">
      <w:pPr>
        <w:jc w:val="both"/>
        <w:rPr>
          <w:rFonts w:asciiTheme="majorBidi" w:hAnsiTheme="majorBidi" w:cstheme="majorBidi"/>
          <w:sz w:val="28"/>
          <w:szCs w:val="28"/>
        </w:rPr>
      </w:pPr>
      <w:r w:rsidRPr="00792A11">
        <w:rPr>
          <w:rFonts w:asciiTheme="majorBidi" w:hAnsiTheme="majorBidi" w:cstheme="majorBidi"/>
          <w:sz w:val="28"/>
          <w:szCs w:val="28"/>
          <w:rtl/>
        </w:rPr>
        <w:t>ويُستفاد من هذا التوسع في الفهم أن تطوير مؤشر مبكر لانقطاع هذه الخدمات يتطلب إدراك أن “الحرج” لا يرتبط بالخدمة الطبية فقط، بل بالمنظومة التشغيلية التي تمكّن استمرار تقديم تلك الخدمة</w:t>
      </w:r>
      <w:r w:rsidRPr="00792A11">
        <w:rPr>
          <w:rFonts w:asciiTheme="majorBidi" w:hAnsiTheme="majorBidi" w:cstheme="majorBidi"/>
          <w:sz w:val="28"/>
          <w:szCs w:val="28"/>
        </w:rPr>
        <w:t>. </w:t>
      </w:r>
      <w:r w:rsidRPr="00792A11">
        <w:rPr>
          <w:rFonts w:asciiTheme="majorBidi" w:hAnsiTheme="majorBidi" w:cstheme="majorBidi"/>
          <w:sz w:val="28"/>
          <w:szCs w:val="28"/>
          <w:rtl/>
        </w:rPr>
        <w:t xml:space="preserve">وبالتالي فإن أي مؤشر فعّال يجب أن يأخذ في الاعتبار مجموعة من المتغيرات التي تتجاوز الأداء السريري لتشمل الجوانب الهندسية، اللوجستية، البشرية، </w:t>
      </w:r>
      <w:proofErr w:type="spellStart"/>
      <w:r w:rsidRPr="00792A11">
        <w:rPr>
          <w:rFonts w:asciiTheme="majorBidi" w:hAnsiTheme="majorBidi" w:cstheme="majorBidi"/>
          <w:sz w:val="28"/>
          <w:szCs w:val="28"/>
          <w:rtl/>
        </w:rPr>
        <w:t>والإمدادية</w:t>
      </w:r>
      <w:proofErr w:type="spellEnd"/>
      <w:r w:rsidRPr="00792A11">
        <w:rPr>
          <w:rFonts w:asciiTheme="majorBidi" w:hAnsiTheme="majorBidi" w:cstheme="majorBidi"/>
          <w:sz w:val="28"/>
          <w:szCs w:val="28"/>
          <w:rtl/>
        </w:rPr>
        <w:t xml:space="preserve"> داخل النظام الصحي</w:t>
      </w:r>
      <w:r w:rsidRPr="00792A11">
        <w:rPr>
          <w:rFonts w:asciiTheme="majorBidi" w:hAnsiTheme="majorBidi" w:cstheme="majorBidi"/>
          <w:sz w:val="28"/>
          <w:szCs w:val="28"/>
        </w:rPr>
        <w:t>.</w:t>
      </w:r>
    </w:p>
    <w:p w14:paraId="0C028FAB" w14:textId="5ABF7DE1" w:rsidR="00B02D3F" w:rsidRPr="00B02D3F" w:rsidRDefault="000E1FBA"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2.5</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المكونات الأساسية للخدمات الصحية الحرجة</w:t>
      </w:r>
    </w:p>
    <w:p w14:paraId="594E39A2"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تتكوّن الخدمات الصحية الحرجة من عدة عناصر مترابطة تشكل معاً “شبكة الوظائف الحيوية” للنظام الصحي، وتشمل</w:t>
      </w:r>
      <w:r w:rsidRPr="00B02D3F">
        <w:rPr>
          <w:rFonts w:asciiTheme="majorBidi" w:hAnsiTheme="majorBidi" w:cstheme="majorBidi"/>
          <w:sz w:val="28"/>
          <w:szCs w:val="28"/>
        </w:rPr>
        <w:t>:</w:t>
      </w:r>
    </w:p>
    <w:p w14:paraId="02D61B0D" w14:textId="2D4DFBE4" w:rsidR="00792A11" w:rsidRPr="00792A11" w:rsidRDefault="000E1FBA" w:rsidP="00792A11">
      <w:pPr>
        <w:jc w:val="both"/>
        <w:rPr>
          <w:rFonts w:asciiTheme="majorBidi" w:hAnsiTheme="majorBidi" w:cstheme="majorBidi"/>
          <w:b/>
          <w:bCs/>
          <w:sz w:val="28"/>
          <w:szCs w:val="28"/>
          <w:rtl/>
        </w:rPr>
      </w:pPr>
      <w:r w:rsidRPr="009F000A">
        <w:rPr>
          <w:rFonts w:asciiTheme="majorBidi" w:hAnsiTheme="majorBidi" w:cstheme="majorBidi"/>
          <w:b/>
          <w:bCs/>
          <w:sz w:val="28"/>
          <w:szCs w:val="28"/>
        </w:rPr>
        <w:t xml:space="preserve">  -</w:t>
      </w:r>
      <w:r w:rsidR="00792A11" w:rsidRPr="00792A11">
        <w:rPr>
          <w:rtl/>
        </w:rPr>
        <w:t xml:space="preserve"> </w:t>
      </w:r>
      <w:r w:rsidR="00792A11" w:rsidRPr="00792A11">
        <w:rPr>
          <w:rFonts w:asciiTheme="majorBidi" w:hAnsiTheme="majorBidi" w:cstheme="majorBidi"/>
          <w:b/>
          <w:bCs/>
          <w:sz w:val="28"/>
          <w:szCs w:val="28"/>
        </w:rPr>
        <w:t>1</w:t>
      </w:r>
      <w:r w:rsidR="00792A11" w:rsidRPr="00792A11">
        <w:rPr>
          <w:rFonts w:asciiTheme="majorBidi" w:hAnsiTheme="majorBidi" w:cs="Times New Roman"/>
          <w:b/>
          <w:bCs/>
          <w:sz w:val="28"/>
          <w:szCs w:val="28"/>
          <w:rtl/>
        </w:rPr>
        <w:t xml:space="preserve">- </w:t>
      </w:r>
      <w:r w:rsidR="00792A11" w:rsidRPr="00792A11">
        <w:rPr>
          <w:rFonts w:asciiTheme="majorBidi" w:hAnsiTheme="majorBidi" w:cs="Times New Roman" w:hint="cs"/>
          <w:b/>
          <w:bCs/>
          <w:sz w:val="28"/>
          <w:szCs w:val="28"/>
          <w:rtl/>
        </w:rPr>
        <w:t>خدمات</w:t>
      </w:r>
      <w:r w:rsidR="00792A11" w:rsidRPr="00792A11">
        <w:rPr>
          <w:rFonts w:asciiTheme="majorBidi" w:hAnsiTheme="majorBidi" w:cs="Times New Roman"/>
          <w:b/>
          <w:bCs/>
          <w:sz w:val="28"/>
          <w:szCs w:val="28"/>
          <w:rtl/>
        </w:rPr>
        <w:t xml:space="preserve"> </w:t>
      </w:r>
      <w:r w:rsidR="00792A11" w:rsidRPr="00792A11">
        <w:rPr>
          <w:rFonts w:asciiTheme="majorBidi" w:hAnsiTheme="majorBidi" w:cs="Times New Roman" w:hint="cs"/>
          <w:b/>
          <w:bCs/>
          <w:sz w:val="28"/>
          <w:szCs w:val="28"/>
          <w:rtl/>
        </w:rPr>
        <w:t>الطوارئ</w:t>
      </w:r>
      <w:r w:rsidR="00792A11" w:rsidRPr="00792A11">
        <w:rPr>
          <w:rFonts w:asciiTheme="majorBidi" w:hAnsiTheme="majorBidi" w:cs="Times New Roman"/>
          <w:b/>
          <w:bCs/>
          <w:sz w:val="28"/>
          <w:szCs w:val="28"/>
          <w:rtl/>
        </w:rPr>
        <w:t xml:space="preserve"> </w:t>
      </w:r>
      <w:r w:rsidR="00792A11" w:rsidRPr="00792A11">
        <w:rPr>
          <w:rFonts w:asciiTheme="majorBidi" w:hAnsiTheme="majorBidi" w:cs="Times New Roman" w:hint="cs"/>
          <w:b/>
          <w:bCs/>
          <w:sz w:val="28"/>
          <w:szCs w:val="28"/>
          <w:rtl/>
        </w:rPr>
        <w:t>والاستجابة</w:t>
      </w:r>
      <w:r w:rsidR="00792A11" w:rsidRPr="00792A11">
        <w:rPr>
          <w:rFonts w:asciiTheme="majorBidi" w:hAnsiTheme="majorBidi" w:cs="Times New Roman"/>
          <w:b/>
          <w:bCs/>
          <w:sz w:val="28"/>
          <w:szCs w:val="28"/>
          <w:rtl/>
        </w:rPr>
        <w:t xml:space="preserve"> </w:t>
      </w:r>
      <w:r w:rsidR="00792A11" w:rsidRPr="00792A11">
        <w:rPr>
          <w:rFonts w:asciiTheme="majorBidi" w:hAnsiTheme="majorBidi" w:cs="Times New Roman" w:hint="cs"/>
          <w:b/>
          <w:bCs/>
          <w:sz w:val="28"/>
          <w:szCs w:val="28"/>
          <w:rtl/>
        </w:rPr>
        <w:t>السريعة</w:t>
      </w:r>
    </w:p>
    <w:p w14:paraId="6AD87FD6"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cs"/>
          <w:sz w:val="28"/>
          <w:szCs w:val="28"/>
          <w:rtl/>
        </w:rPr>
        <w:t>مثل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غرف</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الطوارئ،</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سيارات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الإسعاف،</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وحدات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الإنعاش،</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وهي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أول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نقطة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اتصال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الخطرة</w:t>
      </w:r>
      <w:r w:rsidRPr="00792A11">
        <w:rPr>
          <w:rFonts w:asciiTheme="majorBidi" w:hAnsiTheme="majorBidi" w:cs="Times New Roman"/>
          <w:sz w:val="28"/>
          <w:szCs w:val="28"/>
          <w:rtl/>
        </w:rPr>
        <w:t xml:space="preserve"> (</w:t>
      </w:r>
      <w:r w:rsidRPr="00792A11">
        <w:rPr>
          <w:rFonts w:asciiTheme="majorBidi" w:hAnsiTheme="majorBidi" w:cstheme="majorBidi"/>
          <w:sz w:val="28"/>
          <w:szCs w:val="28"/>
        </w:rPr>
        <w:t>Khan et al., 2019</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هذه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خط</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الدفاع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الأول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مواجهة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الإصابات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الحادة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والتدهور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المفاجئ</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للحالات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تلعب</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دوراً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محورياً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تنظيم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عمليات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الفرز</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الطبي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أثناء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الكوارث،</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وتحديد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أولويات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الرعاية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بحسب</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خطورة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الحالة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وتعتمد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كفاءة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هذا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المكوّن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توافر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الكوادر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المدربة،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سرعة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الوصول،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وفعالية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أنظمة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الاتصالات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وتوجيه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المركبات،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يجعلها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أكثر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العناصر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حساسية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عند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حدوث</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اضطراب</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تشغيلي</w:t>
      </w:r>
      <w:r w:rsidRPr="00792A11">
        <w:rPr>
          <w:rFonts w:asciiTheme="majorBidi" w:hAnsiTheme="majorBidi" w:cs="Times New Roman"/>
          <w:sz w:val="28"/>
          <w:szCs w:val="28"/>
          <w:rtl/>
        </w:rPr>
        <w:t>.</w:t>
      </w:r>
    </w:p>
    <w:p w14:paraId="0EAD24D7" w14:textId="77777777" w:rsidR="00792A11" w:rsidRPr="00792A11" w:rsidRDefault="00792A11" w:rsidP="00792A11">
      <w:pPr>
        <w:jc w:val="both"/>
        <w:rPr>
          <w:rFonts w:asciiTheme="majorBidi" w:hAnsiTheme="majorBidi" w:cstheme="majorBidi"/>
          <w:b/>
          <w:bCs/>
          <w:sz w:val="28"/>
          <w:szCs w:val="28"/>
          <w:rtl/>
        </w:rPr>
      </w:pPr>
      <w:r w:rsidRPr="00792A11">
        <w:rPr>
          <w:rFonts w:asciiTheme="majorBidi" w:hAnsiTheme="majorBidi" w:cstheme="majorBidi"/>
          <w:b/>
          <w:bCs/>
          <w:sz w:val="28"/>
          <w:szCs w:val="28"/>
        </w:rPr>
        <w:t>2</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وحدات</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العناية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المركزة</w:t>
      </w:r>
      <w:r w:rsidRPr="00792A11">
        <w:rPr>
          <w:rFonts w:asciiTheme="majorBidi" w:hAnsiTheme="majorBidi" w:cs="Times New Roman"/>
          <w:b/>
          <w:bCs/>
          <w:sz w:val="28"/>
          <w:szCs w:val="28"/>
          <w:rtl/>
        </w:rPr>
        <w:t xml:space="preserve"> (</w:t>
      </w:r>
      <w:r w:rsidRPr="00792A11">
        <w:rPr>
          <w:rFonts w:asciiTheme="majorBidi" w:hAnsiTheme="majorBidi" w:cstheme="majorBidi"/>
          <w:b/>
          <w:bCs/>
          <w:sz w:val="28"/>
          <w:szCs w:val="28"/>
        </w:rPr>
        <w:t>ICU</w:t>
      </w:r>
      <w:r w:rsidRPr="00792A11">
        <w:rPr>
          <w:rFonts w:asciiTheme="majorBidi" w:hAnsiTheme="majorBidi" w:cs="Times New Roman"/>
          <w:b/>
          <w:bCs/>
          <w:sz w:val="28"/>
          <w:szCs w:val="28"/>
          <w:rtl/>
        </w:rPr>
        <w:t>)</w:t>
      </w:r>
    </w:p>
    <w:p w14:paraId="236B0C79"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cs"/>
          <w:sz w:val="28"/>
          <w:szCs w:val="28"/>
          <w:rtl/>
        </w:rPr>
        <w:t>تشمل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أجهزة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التنفس</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الصناعي،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المراقبة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الحيوية،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وأطقم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رعاية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متخصصة،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أكثر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عرضة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للضغط</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أثناء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الكوارث</w:t>
      </w:r>
      <w:r w:rsidRPr="00792A11">
        <w:rPr>
          <w:rFonts w:asciiTheme="majorBidi" w:hAnsiTheme="majorBidi" w:cs="Times New Roman"/>
          <w:sz w:val="28"/>
          <w:szCs w:val="28"/>
          <w:rtl/>
        </w:rPr>
        <w:t xml:space="preserve"> (</w:t>
      </w:r>
      <w:r w:rsidRPr="00792A11">
        <w:rPr>
          <w:rFonts w:asciiTheme="majorBidi" w:hAnsiTheme="majorBidi" w:cstheme="majorBidi"/>
          <w:sz w:val="28"/>
          <w:szCs w:val="28"/>
        </w:rPr>
        <w:t>Barrett et al., 2020</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وتمثل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العناية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المركزة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المستوى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الأعلى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الرعاية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الحياتية،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وتستند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تقنيات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دقيقة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تتطلب</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بنية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تحتية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مستقرة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وموارد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بشرية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مؤهلة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ويؤكد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الباحثون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زيادة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مفاجئة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أعداد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الحرجة</w:t>
      </w:r>
      <w:r w:rsidRPr="00792A11">
        <w:rPr>
          <w:rFonts w:asciiTheme="majorBidi" w:hAnsiTheme="majorBidi" w:cs="Times New Roman" w:hint="eastAsia"/>
          <w:sz w:val="28"/>
          <w:szCs w:val="28"/>
          <w:rtl/>
        </w:rPr>
        <w:t>—</w:t>
      </w:r>
      <w:r w:rsidRPr="00792A11">
        <w:rPr>
          <w:rFonts w:asciiTheme="majorBidi" w:hAnsiTheme="majorBidi" w:cs="Times New Roman" w:hint="cs"/>
          <w:sz w:val="28"/>
          <w:szCs w:val="28"/>
          <w:rtl/>
        </w:rPr>
        <w:t>كما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يحدث</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أثناء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الزلازل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والأوبئة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وموجات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الحر</w:t>
      </w:r>
      <w:r w:rsidRPr="00792A11">
        <w:rPr>
          <w:rFonts w:asciiTheme="majorBidi" w:hAnsiTheme="majorBidi" w:cs="Times New Roman" w:hint="eastAsia"/>
          <w:sz w:val="28"/>
          <w:szCs w:val="28"/>
          <w:rtl/>
        </w:rPr>
        <w:t>—</w:t>
      </w:r>
      <w:r w:rsidRPr="00792A11">
        <w:rPr>
          <w:rFonts w:asciiTheme="majorBidi" w:hAnsiTheme="majorBidi" w:cs="Times New Roman" w:hint="cs"/>
          <w:sz w:val="28"/>
          <w:szCs w:val="28"/>
          <w:rtl/>
        </w:rPr>
        <w:t>قد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تؤدي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تجاوز</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القدرة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الاستيعابية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بسرعة،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يجعل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العناية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المركزة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مؤشراً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حساساً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للقدرة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التشغيلية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للنظام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ككل</w:t>
      </w:r>
      <w:r w:rsidRPr="00792A11">
        <w:rPr>
          <w:rFonts w:asciiTheme="majorBidi" w:hAnsiTheme="majorBidi" w:cs="Times New Roman"/>
          <w:sz w:val="28"/>
          <w:szCs w:val="28"/>
          <w:rtl/>
        </w:rPr>
        <w:t>.</w:t>
      </w:r>
    </w:p>
    <w:p w14:paraId="5CCA328E" w14:textId="77777777" w:rsidR="00792A11" w:rsidRPr="00792A11" w:rsidRDefault="00792A11" w:rsidP="00792A11">
      <w:pPr>
        <w:jc w:val="both"/>
        <w:rPr>
          <w:rFonts w:asciiTheme="majorBidi" w:hAnsiTheme="majorBidi" w:cstheme="majorBidi"/>
          <w:b/>
          <w:bCs/>
          <w:sz w:val="28"/>
          <w:szCs w:val="28"/>
          <w:rtl/>
        </w:rPr>
      </w:pPr>
      <w:r w:rsidRPr="00792A11">
        <w:rPr>
          <w:rFonts w:asciiTheme="majorBidi" w:hAnsiTheme="majorBidi" w:cstheme="majorBidi"/>
          <w:b/>
          <w:bCs/>
          <w:sz w:val="28"/>
          <w:szCs w:val="28"/>
        </w:rPr>
        <w:t>3</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الإمدادات</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الحيوية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والأدوية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المنقذة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للحياة</w:t>
      </w:r>
    </w:p>
    <w:p w14:paraId="54025F0E"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cs"/>
          <w:sz w:val="28"/>
          <w:szCs w:val="28"/>
          <w:rtl/>
        </w:rPr>
        <w:t>مثل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الأكسجين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الطبي،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محاليل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السوائل،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أدوية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الإنعاش،</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والمضادات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الحيوية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الأساسية</w:t>
      </w:r>
      <w:r w:rsidRPr="00792A11">
        <w:rPr>
          <w:rFonts w:asciiTheme="majorBidi" w:hAnsiTheme="majorBidi" w:cs="Times New Roman"/>
          <w:sz w:val="28"/>
          <w:szCs w:val="28"/>
          <w:rtl/>
        </w:rPr>
        <w:t xml:space="preserve"> (</w:t>
      </w:r>
      <w:r w:rsidRPr="00792A11">
        <w:rPr>
          <w:rFonts w:asciiTheme="majorBidi" w:hAnsiTheme="majorBidi" w:cstheme="majorBidi"/>
          <w:sz w:val="28"/>
          <w:szCs w:val="28"/>
        </w:rPr>
        <w:t>WHO, 2021</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وتشكل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هذه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الإمدادات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الشريان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الغذائي</w:t>
      </w: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الحرجة؛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إذ</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يعتمد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بقاء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المرضى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توفرها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بشكل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مستمر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دون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انقطاع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وتظهر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الأدبيات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سلاسل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الإمداد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الطبية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أكثر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المكونات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ضعفاً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أثناء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الكوارث،</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خصوصاً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إغلاق</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الطرق</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أو</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تعطل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شبكات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النقل،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يؤدي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مباشرة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نقص</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الإمدادات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وانخفاض</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القدرة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التشغيلية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للوحدات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الحرجة</w:t>
      </w:r>
      <w:r w:rsidRPr="00792A11">
        <w:rPr>
          <w:rFonts w:asciiTheme="majorBidi" w:hAnsiTheme="majorBidi" w:cs="Times New Roman"/>
          <w:sz w:val="28"/>
          <w:szCs w:val="28"/>
          <w:rtl/>
        </w:rPr>
        <w:t>.</w:t>
      </w:r>
    </w:p>
    <w:p w14:paraId="7A058462" w14:textId="77777777" w:rsidR="00792A11" w:rsidRPr="00792A11" w:rsidRDefault="00792A11" w:rsidP="00792A11">
      <w:pPr>
        <w:jc w:val="both"/>
        <w:rPr>
          <w:rFonts w:asciiTheme="majorBidi" w:hAnsiTheme="majorBidi" w:cstheme="majorBidi"/>
          <w:b/>
          <w:bCs/>
          <w:sz w:val="28"/>
          <w:szCs w:val="28"/>
          <w:rtl/>
        </w:rPr>
      </w:pPr>
      <w:r w:rsidRPr="00792A11">
        <w:rPr>
          <w:rFonts w:asciiTheme="majorBidi" w:hAnsiTheme="majorBidi" w:cstheme="majorBidi"/>
          <w:b/>
          <w:bCs/>
          <w:sz w:val="28"/>
          <w:szCs w:val="28"/>
        </w:rPr>
        <w:t>4</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البنية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التحتية</w:t>
      </w:r>
      <w:r w:rsidRPr="00792A11">
        <w:rPr>
          <w:rFonts w:asciiTheme="majorBidi" w:hAnsiTheme="majorBidi" w:cs="Times New Roman"/>
          <w:b/>
          <w:bCs/>
          <w:sz w:val="28"/>
          <w:szCs w:val="28"/>
          <w:rtl/>
        </w:rPr>
        <w:t xml:space="preserve"> </w:t>
      </w:r>
      <w:r w:rsidRPr="00792A11">
        <w:rPr>
          <w:rFonts w:asciiTheme="majorBidi" w:hAnsiTheme="majorBidi" w:cs="Times New Roman" w:hint="cs"/>
          <w:b/>
          <w:bCs/>
          <w:sz w:val="28"/>
          <w:szCs w:val="28"/>
          <w:rtl/>
        </w:rPr>
        <w:t>التشغيلية</w:t>
      </w:r>
    </w:p>
    <w:p w14:paraId="40B49DCF"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cs"/>
          <w:sz w:val="28"/>
          <w:szCs w:val="28"/>
          <w:rtl/>
        </w:rPr>
        <w:t>وتشمل</w:t>
      </w:r>
      <w:r w:rsidRPr="00792A11">
        <w:rPr>
          <w:rFonts w:asciiTheme="majorBidi" w:hAnsiTheme="majorBidi" w:cs="Times New Roman"/>
          <w:sz w:val="28"/>
          <w:szCs w:val="28"/>
          <w:rtl/>
        </w:rPr>
        <w:t>:</w:t>
      </w:r>
    </w:p>
    <w:p w14:paraId="6C16F1ED"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الكهرباء</w:t>
      </w:r>
    </w:p>
    <w:p w14:paraId="474C083C"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المياه</w:t>
      </w:r>
    </w:p>
    <w:p w14:paraId="4AE4B871"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نظام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المعلومات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الصحية</w:t>
      </w:r>
    </w:p>
    <w:p w14:paraId="4384AE4D"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الاتصالات</w:t>
      </w:r>
    </w:p>
    <w:p w14:paraId="541FA55A"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سلاسل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الإمداد</w:t>
      </w:r>
    </w:p>
    <w:p w14:paraId="5D173E51" w14:textId="77777777" w:rsidR="00792A11" w:rsidRPr="00792A11" w:rsidRDefault="00792A11" w:rsidP="00792A11">
      <w:pPr>
        <w:jc w:val="both"/>
        <w:rPr>
          <w:rFonts w:asciiTheme="majorBidi" w:hAnsiTheme="majorBidi" w:cstheme="majorBidi"/>
          <w:sz w:val="28"/>
          <w:szCs w:val="28"/>
          <w:rtl/>
        </w:rPr>
      </w:pPr>
      <w:r w:rsidRPr="00792A11">
        <w:rPr>
          <w:rFonts w:asciiTheme="majorBidi" w:hAnsiTheme="majorBidi" w:cs="Times New Roman" w:hint="cs"/>
          <w:sz w:val="28"/>
          <w:szCs w:val="28"/>
          <w:rtl/>
        </w:rPr>
        <w:t>انقطاع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عنصر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منها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يؤدي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تعطّل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فوري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الحرجة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ويؤكد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الخبراء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البنية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التشغيلية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المحرك</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الخفي</w:t>
      </w:r>
      <w:r w:rsidRPr="00792A11">
        <w:rPr>
          <w:rFonts w:asciiTheme="majorBidi" w:hAnsiTheme="majorBidi" w:cs="Times New Roman" w:hint="eastAsia"/>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لجميع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إذ</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أقسام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الطوارئ</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والعناية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المركزة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تعتمد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بشكل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كامل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مصادر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كهرباء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مستقرة،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وأنظمة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اتصالات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فعّالة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لتنسيق</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التحويلات،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إضافة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نظم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معلومات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دقيقة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لإدارة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بيانات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المرضى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والإبلاغ</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الحالات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الحساسة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المياه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عاملاً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أساسياً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تشغيل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غرف</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العمليات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والتعقيم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والمختبرات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ولهذا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تُعد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البنية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التحتية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التشغيلية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أحد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أهم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المحاور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ينبغي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مراقبتها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عند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تطوير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مؤشر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مبكر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لانقطاع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الخدمات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الصحية</w:t>
      </w:r>
      <w:r w:rsidRPr="00792A11">
        <w:rPr>
          <w:rFonts w:asciiTheme="majorBidi" w:hAnsiTheme="majorBidi" w:cs="Times New Roman"/>
          <w:sz w:val="28"/>
          <w:szCs w:val="28"/>
          <w:rtl/>
        </w:rPr>
        <w:t>.</w:t>
      </w:r>
    </w:p>
    <w:p w14:paraId="77DC78E8" w14:textId="77777777" w:rsidR="00792A11" w:rsidRPr="00792A11" w:rsidRDefault="00792A11" w:rsidP="00792A11">
      <w:pPr>
        <w:jc w:val="both"/>
        <w:rPr>
          <w:rFonts w:asciiTheme="majorBidi" w:hAnsiTheme="majorBidi" w:cs="Times New Roman"/>
          <w:sz w:val="28"/>
          <w:szCs w:val="28"/>
          <w:rtl/>
        </w:rPr>
      </w:pPr>
      <w:r w:rsidRPr="00792A11">
        <w:rPr>
          <w:rFonts w:asciiTheme="majorBidi" w:hAnsiTheme="majorBidi" w:cs="Times New Roman" w:hint="cs"/>
          <w:sz w:val="28"/>
          <w:szCs w:val="28"/>
          <w:rtl/>
        </w:rPr>
        <w:t>وتوضح</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الدراسات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التفاعل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بين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هذه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المكونات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الأربعة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يصنع</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يمكن</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تسميته</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بـ</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المنظومة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الحياتية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المتكاملة</w:t>
      </w:r>
      <w:r w:rsidRPr="00792A11">
        <w:rPr>
          <w:rFonts w:asciiTheme="majorBidi" w:hAnsiTheme="majorBidi" w:cs="Times New Roman" w:hint="eastAsia"/>
          <w:sz w:val="28"/>
          <w:szCs w:val="28"/>
          <w:rtl/>
        </w:rPr>
        <w:t>”</w:t>
      </w:r>
      <w:r w:rsidRPr="00792A11">
        <w:rPr>
          <w:rFonts w:asciiTheme="majorBidi" w:hAnsiTheme="majorBidi" w:cs="Times New Roman" w:hint="cs"/>
          <w:sz w:val="28"/>
          <w:szCs w:val="28"/>
          <w:rtl/>
        </w:rPr>
        <w:t>،</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بحيث</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يؤدي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الضعف</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أحد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العناصر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إلى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تأثيرات</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متسلسلة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تؤثر</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على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مجمل</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الأداء</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الصحي،</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مما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يبرز</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أهمية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فهمها</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كوحدة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واحدة</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عند</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تقييم</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مستوى</w:t>
      </w:r>
      <w:r w:rsidRPr="00792A11">
        <w:rPr>
          <w:rFonts w:asciiTheme="majorBidi" w:hAnsiTheme="majorBidi" w:cs="Times New Roman"/>
          <w:sz w:val="28"/>
          <w:szCs w:val="28"/>
          <w:rtl/>
        </w:rPr>
        <w:t xml:space="preserve"> </w:t>
      </w:r>
      <w:r w:rsidRPr="00792A11">
        <w:rPr>
          <w:rFonts w:asciiTheme="majorBidi" w:hAnsiTheme="majorBidi" w:cs="Times New Roman" w:hint="cs"/>
          <w:sz w:val="28"/>
          <w:szCs w:val="28"/>
          <w:rtl/>
        </w:rPr>
        <w:t>المخاطر</w:t>
      </w:r>
    </w:p>
    <w:p w14:paraId="3BA8FD40" w14:textId="21364566" w:rsidR="00B02D3F" w:rsidRPr="00B02D3F" w:rsidRDefault="005E6B86" w:rsidP="00792A11">
      <w:pPr>
        <w:jc w:val="both"/>
        <w:rPr>
          <w:rFonts w:asciiTheme="majorBidi" w:hAnsiTheme="majorBidi" w:cstheme="majorBidi"/>
          <w:b/>
          <w:bCs/>
          <w:sz w:val="28"/>
          <w:szCs w:val="28"/>
        </w:rPr>
      </w:pPr>
      <w:r w:rsidRPr="009F000A">
        <w:rPr>
          <w:rFonts w:asciiTheme="majorBidi" w:hAnsiTheme="majorBidi" w:cstheme="majorBidi"/>
          <w:b/>
          <w:bCs/>
          <w:sz w:val="28"/>
          <w:szCs w:val="28"/>
        </w:rPr>
        <w:t>2.6</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القوى العاملة الصحية</w:t>
      </w:r>
    </w:p>
    <w:p w14:paraId="33CA56F0"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الأطباء، الممرضون، وفِرق الطوارئ؛ فهم جزء أساسي من استمرارية الخدمة وقدرتهم على العمل أثناء الكارثة تحدد استدامة الأداء</w:t>
      </w:r>
      <w:r w:rsidRPr="00DF66DD">
        <w:rPr>
          <w:rFonts w:asciiTheme="majorBidi" w:hAnsiTheme="majorBidi" w:cstheme="majorBidi"/>
          <w:sz w:val="28"/>
          <w:szCs w:val="28"/>
        </w:rPr>
        <w:t xml:space="preserve"> (Kruk et al., 2017). </w:t>
      </w:r>
      <w:r w:rsidRPr="00DF66DD">
        <w:rPr>
          <w:rFonts w:asciiTheme="majorBidi" w:hAnsiTheme="majorBidi" w:cstheme="majorBidi"/>
          <w:sz w:val="28"/>
          <w:szCs w:val="28"/>
          <w:rtl/>
        </w:rPr>
        <w:t>وتمثل القوى العاملة الصحية الركيزة البشرية التي تعتمد عليها جميع المكونات التشغيلية الأخرى، إذ لا يمكن لأي بنية تحتية أو أجهزة أو إمدادات أن تعمل بكفاءة دون وجود طواقم قادرة على تقديم الرعاية ضمن ظروف مضغوطة وطارئة. وتؤكد الأدبيات أن الكوارث الطبيعية كثيراً ما تُرهق القوى العاملة الصحية، سواء من خلال زيادة عبء العمل المفاجئ، أو تعرض العاملين أنفسهم للخطر، أو صعوبة وصولهم إلى مواقع العمل بسبب انقطاع الطرق أو اضطراب وسائل النقل</w:t>
      </w:r>
      <w:r w:rsidRPr="00DF66DD">
        <w:rPr>
          <w:rFonts w:asciiTheme="majorBidi" w:hAnsiTheme="majorBidi" w:cstheme="majorBidi"/>
          <w:sz w:val="28"/>
          <w:szCs w:val="28"/>
        </w:rPr>
        <w:t>.</w:t>
      </w:r>
    </w:p>
    <w:p w14:paraId="74760E20"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كما تشير الدراسات إلى أن العمل خلال الكوارث يتطلب مهارات خاصة تشمل التعامل مع الأعداد الكبيرة من المصابين، اتخاذ قرارات سريعة تحت الضغط، وإدارة المواقف التي تتجاوز القدرات الاعتيادية للمستشفى. لذلك تُعد الجاهزية التدريبية والقدرة النفسية على التحمّل من العوامل الحاسمة في تحديد استمرارية الخدمات الصحية الحرجة. وقد لوحظ في العديد من الكوارث الكبرى أن الإنهاك البدني والنفسي، ونقص عدد الكوادر، أو تشتت الفريق بين مواقع استجابة متعددة، يؤدي إلى تراجع ملحوظ في جودة الرعاية، بل أحياناً إلى توقف بعض الخدمات بالكامل</w:t>
      </w:r>
      <w:r w:rsidRPr="00DF66DD">
        <w:rPr>
          <w:rFonts w:asciiTheme="majorBidi" w:hAnsiTheme="majorBidi" w:cstheme="majorBidi"/>
          <w:sz w:val="28"/>
          <w:szCs w:val="28"/>
        </w:rPr>
        <w:t>.</w:t>
      </w:r>
    </w:p>
    <w:p w14:paraId="7008D2C4"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وتُظهر الدراسات أن هذه المكونات تعمل ضمن “نظام ترابطي”، بحيث يؤدي خلل عنصر واحد إلى تعطّل العناصر الأخرى، مما يبرز الحاجة إلى تحليل متكامل عند تطوير مؤشر مبكر. فالقوى العاملة الصحية، رغم أنها عنصر منفصل، إلا أنها تمثل محور الارتكاز لبقية المكونات؛ إذ إن نقص الكوادر قد يوقف القدرة على تشغيل وحدات العناية المركزة، ويحدّ من فعالية أقسام الطوارئ، ويعطل استخدام المعدات الحيوية حتى في حال توفر البنية التحتية والإمدادات. وبذلك تصبح القوى العاملة عاملاً حاسماً يجب تضمينه ضمن أي نموذج أو مؤشر يهدف إلى قياس احتمالية انقطاع الخدمات الصحية الحرجة</w:t>
      </w:r>
      <w:r w:rsidRPr="00DF66DD">
        <w:rPr>
          <w:rFonts w:asciiTheme="majorBidi" w:hAnsiTheme="majorBidi" w:cstheme="majorBidi"/>
          <w:sz w:val="28"/>
          <w:szCs w:val="28"/>
        </w:rPr>
        <w:t>.</w:t>
      </w:r>
    </w:p>
    <w:p w14:paraId="4FF4D331" w14:textId="7C9FD49F" w:rsidR="00B02D3F" w:rsidRPr="00B02D3F" w:rsidRDefault="005E6B8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2.7</w:t>
      </w:r>
      <w:r w:rsidR="00B02D3F" w:rsidRPr="00B02D3F">
        <w:rPr>
          <w:rFonts w:asciiTheme="majorBidi" w:hAnsiTheme="majorBidi" w:cstheme="majorBidi"/>
          <w:b/>
          <w:bCs/>
          <w:sz w:val="28"/>
          <w:szCs w:val="28"/>
          <w:rtl/>
        </w:rPr>
        <w:t>أهمية استمرارية الخدمات الصحية الحرجة أثناء الكوارث</w:t>
      </w:r>
    </w:p>
    <w:p w14:paraId="44D1072E"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تمثل استمرارية الخدمات الصحية الحرجة محوراً أساسياً في الاستجابة للكوارث، إذ يعتمد إنقاذ الأرواح على قدرة النظام الصحي على الحفاظ على وظائفه الحيوية دون انقطاع. وتشير الأدبيات إلى أن نسبة الوفيات ترتفع بشكل كبير في الساعات الأولى من الكوارث عندما تتعطل خدمات الطوارئ والعناية المركزة</w:t>
      </w:r>
      <w:r w:rsidRPr="00DF66DD">
        <w:rPr>
          <w:rFonts w:asciiTheme="majorBidi" w:hAnsiTheme="majorBidi" w:cstheme="majorBidi"/>
          <w:sz w:val="28"/>
          <w:szCs w:val="28"/>
        </w:rPr>
        <w:t xml:space="preserve"> (</w:t>
      </w:r>
      <w:proofErr w:type="spellStart"/>
      <w:r w:rsidRPr="00DF66DD">
        <w:rPr>
          <w:rFonts w:asciiTheme="majorBidi" w:hAnsiTheme="majorBidi" w:cstheme="majorBidi"/>
          <w:sz w:val="28"/>
          <w:szCs w:val="28"/>
        </w:rPr>
        <w:t>Aitsi</w:t>
      </w:r>
      <w:proofErr w:type="spellEnd"/>
      <w:r w:rsidRPr="00DF66DD">
        <w:rPr>
          <w:rFonts w:asciiTheme="majorBidi" w:hAnsiTheme="majorBidi" w:cstheme="majorBidi"/>
          <w:sz w:val="28"/>
          <w:szCs w:val="28"/>
        </w:rPr>
        <w:t xml:space="preserve">-Selmi et al., 2016). </w:t>
      </w:r>
      <w:r w:rsidRPr="00DF66DD">
        <w:rPr>
          <w:rFonts w:asciiTheme="majorBidi" w:hAnsiTheme="majorBidi" w:cstheme="majorBidi"/>
          <w:sz w:val="28"/>
          <w:szCs w:val="28"/>
          <w:rtl/>
        </w:rPr>
        <w:t>كما تؤدي الانقطاعات إلى تأخير معالجة الإصابات الحادة، وتعطيل أجهزة التنفس، وفشل تقديم الأدوية المنقذة للحياة، وهو ما يجعل الاستمرارية شرطاً جوهرياً للحد من الخسائر الصحية</w:t>
      </w:r>
      <w:r w:rsidRPr="00DF66DD">
        <w:rPr>
          <w:rFonts w:asciiTheme="majorBidi" w:hAnsiTheme="majorBidi" w:cstheme="majorBidi"/>
          <w:sz w:val="28"/>
          <w:szCs w:val="28"/>
        </w:rPr>
        <w:t>.</w:t>
      </w:r>
    </w:p>
    <w:p w14:paraId="220D582A"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وتؤكد منظمة الصحة العالمية أن استمرارية الخدمات الصحية الحرجة هي المؤشر الأهم لمرونة النظام الصحي وقدرته على مواجهة الكوارث، وأن أي خلل في هذه الخدمات ينعكس مباشرة على الصحة العامة وعلى قدرة الدولة على إدارة الأزمة</w:t>
      </w:r>
      <w:r w:rsidRPr="00DF66DD">
        <w:rPr>
          <w:rFonts w:asciiTheme="majorBidi" w:hAnsiTheme="majorBidi" w:cstheme="majorBidi"/>
          <w:sz w:val="28"/>
          <w:szCs w:val="28"/>
        </w:rPr>
        <w:t xml:space="preserve"> (World Health Organization, 2021). </w:t>
      </w:r>
      <w:r w:rsidRPr="00DF66DD">
        <w:rPr>
          <w:rFonts w:asciiTheme="majorBidi" w:hAnsiTheme="majorBidi" w:cstheme="majorBidi"/>
          <w:sz w:val="28"/>
          <w:szCs w:val="28"/>
          <w:rtl/>
        </w:rPr>
        <w:t>كما تُظهر الأدبيات أن فقدان القدرة على تقديم الرعاية الحرجة في لحظات الأزمة قد يؤدي إلى “تأثير مضاعف</w:t>
      </w:r>
      <w:r w:rsidRPr="00DF66DD">
        <w:rPr>
          <w:rFonts w:asciiTheme="majorBidi" w:hAnsiTheme="majorBidi" w:cstheme="majorBidi"/>
          <w:sz w:val="28"/>
          <w:szCs w:val="28"/>
        </w:rPr>
        <w:t>” (Cascade Effect)</w:t>
      </w:r>
      <w:r w:rsidRPr="00DF66DD">
        <w:rPr>
          <w:rFonts w:asciiTheme="majorBidi" w:hAnsiTheme="majorBidi" w:cstheme="majorBidi"/>
          <w:sz w:val="28"/>
          <w:szCs w:val="28"/>
          <w:rtl/>
        </w:rPr>
        <w:t>، إذ تتدهور الحالات البسيطة لتصبح خطرة، وتتحول الإصابات المتوسطة إلى حالات تحتاج عناية مركزة، مما يضاعف الطلب على الخدمات الحرجة ويزيد الضغط على النظام</w:t>
      </w:r>
      <w:r w:rsidRPr="00DF66DD">
        <w:rPr>
          <w:rFonts w:asciiTheme="majorBidi" w:hAnsiTheme="majorBidi" w:cstheme="majorBidi"/>
          <w:sz w:val="28"/>
          <w:szCs w:val="28"/>
        </w:rPr>
        <w:t>.</w:t>
      </w:r>
    </w:p>
    <w:p w14:paraId="74FBFEAC"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إضافة إلى ذلك، تمثل هذه الخدمات خط الدفاع الأول ضد تفاقم الإصابات والأمراض الثانوية الناتجة عن الكوارث، مثل التهابات الجروح، مضاعفات الأمراض المزمنة، والصدمة النفسية الحادة. وبالتالي فإن استمرارية هذه الخدمات لا تقتصر على التعامل مع الإصابات المباشرة، بل تشمل أيضاً الوقاية من موجة ثانية من المضاعفات التي قد تكون أخطر من الحدث الأصلي في بعض الأحيان. وتؤكد الدراسات أن غياب الاستمرارية يؤدي إلى فجوات خطيرة في الرعاية، تتوسع مع الزمن وتزيد من معدلات الوفيات وتطيل مدة التعافي</w:t>
      </w:r>
      <w:r w:rsidRPr="00DF66DD">
        <w:rPr>
          <w:rFonts w:asciiTheme="majorBidi" w:hAnsiTheme="majorBidi" w:cstheme="majorBidi"/>
          <w:sz w:val="28"/>
          <w:szCs w:val="28"/>
        </w:rPr>
        <w:t>.</w:t>
      </w:r>
    </w:p>
    <w:p w14:paraId="02660E44"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كما ترتبط استمرارية الخدمات الصحية الحرجة بقدرة النظام الصحي على الحفاظ على الاستقرار الاجتماعي أثناء الكوارث؛ إذ تشير الأدبيات إلى أن المجتمعات التي تفقد الثقة في قدرتها على الوصول إلى الرعاية الحياتية الأساسية تكون أكثر عرضة للذعر، الهجرة الداخلية، والضغط على الموارد في مناطق أخرى. لذلك تعتبر الحكومات والمنظمات الدولية استمرارية الخدمات الصحية الحرجة من العناصر الاستراتيجية للأمن الصحي الوطني</w:t>
      </w:r>
      <w:r w:rsidRPr="00DF66DD">
        <w:rPr>
          <w:rFonts w:asciiTheme="majorBidi" w:hAnsiTheme="majorBidi" w:cstheme="majorBidi"/>
          <w:sz w:val="28"/>
          <w:szCs w:val="28"/>
        </w:rPr>
        <w:t>.</w:t>
      </w:r>
    </w:p>
    <w:p w14:paraId="203DEAE5"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ولهذا يُعد تطوير مؤشر مبكر للتنبؤ بمخاطر انقطاع هذه الخدمات خطوة أساسية لتقليل الخسائر، وتحسين التخطيط المسبق، وتعزيز قدرة المنشآت الصحية على الصمود في مواجهة الكوارث الطبيعية. فوجود مؤشر تنبؤي يمكّن صناع القرار من التدخل مبكراً، إعادة توزيع الموارد، وتعزيز القدرة التشغيلية قبل حدوث الانقطاع الفعلي، مما يضمن استمرار تقديم الرعاية المنقذة للحياة في أكثر الفترات حساسية خلال الكوارث</w:t>
      </w:r>
      <w:r w:rsidRPr="00DF66DD">
        <w:rPr>
          <w:rFonts w:asciiTheme="majorBidi" w:hAnsiTheme="majorBidi" w:cstheme="majorBidi"/>
          <w:sz w:val="28"/>
          <w:szCs w:val="28"/>
        </w:rPr>
        <w:t>.</w:t>
      </w:r>
    </w:p>
    <w:p w14:paraId="4A456CD9" w14:textId="5317D221" w:rsidR="00B02D3F" w:rsidRPr="00B02D3F" w:rsidRDefault="00B02D3F" w:rsidP="005E6B86">
      <w:pPr>
        <w:jc w:val="center"/>
        <w:rPr>
          <w:rFonts w:asciiTheme="majorBidi" w:hAnsiTheme="majorBidi" w:cstheme="majorBidi"/>
          <w:b/>
          <w:bCs/>
          <w:sz w:val="28"/>
          <w:szCs w:val="28"/>
        </w:rPr>
      </w:pPr>
      <w:r w:rsidRPr="00B02D3F">
        <w:rPr>
          <w:rFonts w:asciiTheme="majorBidi" w:hAnsiTheme="majorBidi" w:cstheme="majorBidi"/>
          <w:b/>
          <w:bCs/>
          <w:sz w:val="28"/>
          <w:szCs w:val="28"/>
          <w:rtl/>
        </w:rPr>
        <w:t>انقطاع الخدمات الصحية أثناء الكوارث</w:t>
      </w:r>
    </w:p>
    <w:p w14:paraId="646DADED" w14:textId="774E0F95" w:rsidR="00B02D3F" w:rsidRPr="00B02D3F" w:rsidRDefault="005E6B8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2.8</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مفهوم الانقطاع</w:t>
      </w:r>
      <w:r w:rsidR="00B02D3F" w:rsidRPr="00B02D3F">
        <w:rPr>
          <w:rFonts w:asciiTheme="majorBidi" w:hAnsiTheme="majorBidi" w:cstheme="majorBidi"/>
          <w:b/>
          <w:bCs/>
          <w:sz w:val="28"/>
          <w:szCs w:val="28"/>
        </w:rPr>
        <w:t xml:space="preserve"> (Service Disruption)</w:t>
      </w:r>
    </w:p>
    <w:p w14:paraId="1BB863B6"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يُعرَّف انقطاع الخدمات الصحية بأنه توقف كامل أو جزئي في قدرة النظام الصحي على تقديم خدماته الأساسية بسبب خلل في الموارد أو البنية التحتية أو القوى العاملة أو الإمدادات الحيوية، سواء كان الانقطاع مفاجئاً أو تدريجياً</w:t>
      </w:r>
      <w:r w:rsidRPr="00DF66DD">
        <w:rPr>
          <w:rFonts w:asciiTheme="majorBidi" w:hAnsiTheme="majorBidi" w:cstheme="majorBidi"/>
          <w:sz w:val="28"/>
          <w:szCs w:val="28"/>
        </w:rPr>
        <w:t xml:space="preserve"> (World Health Organization, 2022). </w:t>
      </w:r>
      <w:r w:rsidRPr="00DF66DD">
        <w:rPr>
          <w:rFonts w:asciiTheme="majorBidi" w:hAnsiTheme="majorBidi" w:cstheme="majorBidi"/>
          <w:sz w:val="28"/>
          <w:szCs w:val="28"/>
          <w:rtl/>
        </w:rPr>
        <w:t>وتوضح الأمم المتحدة أن الانقطاع الصحي يحدث عندما تتجاوز</w:t>
      </w:r>
      <w:r w:rsidRPr="00DF66DD">
        <w:rPr>
          <w:rFonts w:asciiTheme="majorBidi" w:hAnsiTheme="majorBidi" w:cstheme="majorBidi"/>
          <w:sz w:val="28"/>
          <w:szCs w:val="28"/>
        </w:rPr>
        <w:t xml:space="preserve"> demands </w:t>
      </w:r>
      <w:r w:rsidRPr="00DF66DD">
        <w:rPr>
          <w:rFonts w:asciiTheme="majorBidi" w:hAnsiTheme="majorBidi" w:cstheme="majorBidi"/>
          <w:sz w:val="28"/>
          <w:szCs w:val="28"/>
          <w:rtl/>
        </w:rPr>
        <w:t>الطارئة القدرة المتاحة للنظام، مما يؤدي إلى تراجع في توفر الخدمات أو جودتها أو إمكانية الوصول إليها</w:t>
      </w:r>
      <w:r w:rsidRPr="00DF66DD">
        <w:rPr>
          <w:rFonts w:asciiTheme="majorBidi" w:hAnsiTheme="majorBidi" w:cstheme="majorBidi"/>
          <w:sz w:val="28"/>
          <w:szCs w:val="28"/>
        </w:rPr>
        <w:t xml:space="preserve"> (UNDRR, 2023). </w:t>
      </w:r>
      <w:r w:rsidRPr="00DF66DD">
        <w:rPr>
          <w:rFonts w:asciiTheme="majorBidi" w:hAnsiTheme="majorBidi" w:cstheme="majorBidi"/>
          <w:sz w:val="28"/>
          <w:szCs w:val="28"/>
          <w:rtl/>
        </w:rPr>
        <w:t>كما يعرّف بعض الباحثين الانقطاع بأنه “فشل مؤقت أو مستمر في أداء الوظائف الحيوية للنظام الصحي أثناء الكوارث نتيجة عدم التوازن بين الضغط الواقع والموارد المتاحة</w:t>
      </w:r>
      <w:r w:rsidRPr="00DF66DD">
        <w:rPr>
          <w:rFonts w:asciiTheme="majorBidi" w:hAnsiTheme="majorBidi" w:cstheme="majorBidi"/>
          <w:sz w:val="28"/>
          <w:szCs w:val="28"/>
        </w:rPr>
        <w:t>” (Khan et al., 2019).</w:t>
      </w:r>
    </w:p>
    <w:p w14:paraId="0BD5EC40"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وتشترك هذه التعريفات في إبراز عنصرين أساسيين</w:t>
      </w:r>
      <w:r w:rsidRPr="00DF66DD">
        <w:rPr>
          <w:rFonts w:asciiTheme="majorBidi" w:hAnsiTheme="majorBidi" w:cstheme="majorBidi"/>
          <w:sz w:val="28"/>
          <w:szCs w:val="28"/>
        </w:rPr>
        <w:t>:</w:t>
      </w:r>
    </w:p>
    <w:p w14:paraId="28D51065" w14:textId="77777777" w:rsidR="00DF66DD" w:rsidRPr="00DF66DD" w:rsidRDefault="00DF66DD" w:rsidP="00DF66DD">
      <w:pPr>
        <w:numPr>
          <w:ilvl w:val="0"/>
          <w:numId w:val="13"/>
        </w:numPr>
        <w:jc w:val="both"/>
        <w:rPr>
          <w:rFonts w:asciiTheme="majorBidi" w:hAnsiTheme="majorBidi" w:cstheme="majorBidi"/>
          <w:sz w:val="28"/>
          <w:szCs w:val="28"/>
        </w:rPr>
      </w:pPr>
      <w:r w:rsidRPr="00DF66DD">
        <w:rPr>
          <w:rFonts w:asciiTheme="majorBidi" w:hAnsiTheme="majorBidi" w:cstheme="majorBidi"/>
          <w:sz w:val="28"/>
          <w:szCs w:val="28"/>
          <w:rtl/>
        </w:rPr>
        <w:t>توقف الوظائف الحرجة مثل الطوارئ والعناية المركزة،</w:t>
      </w:r>
    </w:p>
    <w:p w14:paraId="10E2AE90" w14:textId="77777777" w:rsidR="00DF66DD" w:rsidRPr="00DF66DD" w:rsidRDefault="00DF66DD" w:rsidP="00DF66DD">
      <w:pPr>
        <w:numPr>
          <w:ilvl w:val="0"/>
          <w:numId w:val="13"/>
        </w:numPr>
        <w:jc w:val="both"/>
        <w:rPr>
          <w:rFonts w:asciiTheme="majorBidi" w:hAnsiTheme="majorBidi" w:cstheme="majorBidi"/>
          <w:sz w:val="28"/>
          <w:szCs w:val="28"/>
        </w:rPr>
      </w:pPr>
      <w:r w:rsidRPr="00DF66DD">
        <w:rPr>
          <w:rFonts w:asciiTheme="majorBidi" w:hAnsiTheme="majorBidi" w:cstheme="majorBidi"/>
          <w:sz w:val="28"/>
          <w:szCs w:val="28"/>
          <w:rtl/>
        </w:rPr>
        <w:t>تفاعل الكارثة مع نقاط الضعف البنيوية للنظام الصحي، مما يحوّل الخطر إلى تعطّل فعلي</w:t>
      </w:r>
      <w:r w:rsidRPr="00DF66DD">
        <w:rPr>
          <w:rFonts w:asciiTheme="majorBidi" w:hAnsiTheme="majorBidi" w:cstheme="majorBidi"/>
          <w:sz w:val="28"/>
          <w:szCs w:val="28"/>
        </w:rPr>
        <w:t>.</w:t>
      </w:r>
    </w:p>
    <w:p w14:paraId="634F82CE" w14:textId="77777777" w:rsidR="00DF66DD" w:rsidRPr="00DF66DD" w:rsidRDefault="00DF66DD" w:rsidP="00DF66DD">
      <w:pPr>
        <w:jc w:val="both"/>
        <w:rPr>
          <w:rFonts w:asciiTheme="majorBidi" w:hAnsiTheme="majorBidi" w:cstheme="majorBidi"/>
          <w:sz w:val="28"/>
          <w:szCs w:val="28"/>
        </w:rPr>
      </w:pPr>
      <w:r w:rsidRPr="00DF66DD">
        <w:rPr>
          <w:rFonts w:asciiTheme="majorBidi" w:hAnsiTheme="majorBidi" w:cstheme="majorBidi"/>
          <w:sz w:val="28"/>
          <w:szCs w:val="28"/>
          <w:rtl/>
        </w:rPr>
        <w:t>ويُلاحظ في الأدبيات أن مفهوم الانقطاع لا يقتصر فقط على غياب الخدمة، بل يمتد ليشمل التأثيرات غير المباشرة مثل انخفاض الكفاءة التشغيلية وتراجع سرعة الاستجابة وازدياد معدلات الأخطاء الطبية أثناء الضغط العالي. كما تشير دراسات حديثة إلى أن الانقطاع غالباً ما يبدأ بشكل تدريجي قبل أن يظهر بصورة واضحة، خصوصاً في الأنظمة الصحية التي تعاني من هشاشة مسبقة أو ضعف في نظام الإنذار المبكر. وتبرز أهمية فهم مفهوم الانقطاع بدقة لأنه يشكل الأساس في تطوير الأدوات التنبئية والمؤشرات المبكرة القادرة على كشف بوادر التعطل قبل وقوعه، مما يدعم التخطيط الاستباقي ويحسّن جاهزية المستشفيات لمواجهة الكوارث</w:t>
      </w:r>
      <w:r w:rsidRPr="00DF66DD">
        <w:rPr>
          <w:rFonts w:asciiTheme="majorBidi" w:hAnsiTheme="majorBidi" w:cstheme="majorBidi"/>
          <w:sz w:val="28"/>
          <w:szCs w:val="28"/>
        </w:rPr>
        <w:t>.</w:t>
      </w:r>
    </w:p>
    <w:p w14:paraId="0363CABE" w14:textId="2A7388DF" w:rsidR="00B02D3F" w:rsidRPr="00B02D3F" w:rsidRDefault="000E1FBA"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2.9</w:t>
      </w:r>
      <w:r w:rsidR="00B02D3F" w:rsidRPr="00B02D3F">
        <w:rPr>
          <w:rFonts w:asciiTheme="majorBidi" w:hAnsiTheme="majorBidi" w:cstheme="majorBidi"/>
          <w:b/>
          <w:bCs/>
          <w:sz w:val="28"/>
          <w:szCs w:val="28"/>
          <w:rtl/>
        </w:rPr>
        <w:t>أسباب الانقطاع أثناء الكوارث</w:t>
      </w:r>
    </w:p>
    <w:p w14:paraId="26658AC1"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تحدث الانقطاعات الصحية أثناء الكوارث نتيجة مجموعة من الأسباب المتداخلة، أهمها</w:t>
      </w:r>
      <w:r w:rsidRPr="00B02D3F">
        <w:rPr>
          <w:rFonts w:asciiTheme="majorBidi" w:hAnsiTheme="majorBidi" w:cstheme="majorBidi"/>
          <w:sz w:val="28"/>
          <w:szCs w:val="28"/>
        </w:rPr>
        <w:t>:</w:t>
      </w:r>
    </w:p>
    <w:p w14:paraId="1000397C" w14:textId="1C0974CE" w:rsidR="00DF66DD" w:rsidRPr="00DF66DD" w:rsidRDefault="000E1FBA" w:rsidP="00DF66DD">
      <w:pPr>
        <w:rPr>
          <w:rFonts w:asciiTheme="majorBidi" w:hAnsiTheme="majorBidi" w:cstheme="majorBidi"/>
          <w:b/>
          <w:bCs/>
          <w:sz w:val="28"/>
          <w:szCs w:val="28"/>
          <w:rtl/>
        </w:rPr>
      </w:pPr>
      <w:r w:rsidRPr="009F000A">
        <w:rPr>
          <w:rFonts w:asciiTheme="majorBidi" w:hAnsiTheme="majorBidi" w:cstheme="majorBidi"/>
          <w:b/>
          <w:bCs/>
          <w:sz w:val="28"/>
          <w:szCs w:val="28"/>
        </w:rPr>
        <w:t xml:space="preserve"> </w:t>
      </w:r>
      <w:r w:rsidR="00DF66DD" w:rsidRPr="00DF66DD">
        <w:rPr>
          <w:rFonts w:asciiTheme="majorBidi" w:hAnsiTheme="majorBidi" w:cs="Times New Roman"/>
          <w:b/>
          <w:bCs/>
          <w:sz w:val="28"/>
          <w:szCs w:val="28"/>
          <w:rtl/>
        </w:rPr>
        <w:t xml:space="preserve">1- </w:t>
      </w:r>
      <w:r w:rsidR="00DF66DD" w:rsidRPr="00DF66DD">
        <w:rPr>
          <w:rFonts w:asciiTheme="majorBidi" w:hAnsiTheme="majorBidi" w:cs="Times New Roman" w:hint="cs"/>
          <w:b/>
          <w:bCs/>
          <w:sz w:val="28"/>
          <w:szCs w:val="28"/>
          <w:rtl/>
        </w:rPr>
        <w:t>تضرّر</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البنية</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التحتية</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الصحية</w:t>
      </w:r>
    </w:p>
    <w:p w14:paraId="73AA0516"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تُعد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المستشفيات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ومنشآت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الرعاية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الأكثر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عرضة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للضرر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خلال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فالأعاصير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والفيضانات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والزلازل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المباني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الكهرباء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والمياه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والاتصالات،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توقف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الحيوية</w:t>
      </w:r>
      <w:r w:rsidRPr="00DF66DD">
        <w:rPr>
          <w:rFonts w:asciiTheme="majorBidi" w:hAnsiTheme="majorBidi" w:cs="Times New Roman"/>
          <w:sz w:val="28"/>
          <w:szCs w:val="28"/>
          <w:rtl/>
        </w:rPr>
        <w:t xml:space="preserve"> (</w:t>
      </w:r>
      <w:proofErr w:type="spellStart"/>
      <w:r w:rsidRPr="00DF66DD">
        <w:rPr>
          <w:rFonts w:asciiTheme="majorBidi" w:hAnsiTheme="majorBidi" w:cstheme="majorBidi"/>
          <w:sz w:val="28"/>
          <w:szCs w:val="28"/>
        </w:rPr>
        <w:t>Aitsi</w:t>
      </w:r>
      <w:proofErr w:type="spellEnd"/>
      <w:r w:rsidRPr="00DF66DD">
        <w:rPr>
          <w:rFonts w:asciiTheme="majorBidi" w:hAnsiTheme="majorBidi" w:cstheme="majorBidi"/>
          <w:sz w:val="28"/>
          <w:szCs w:val="28"/>
        </w:rPr>
        <w:t>-Selmi et al., 2016</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وتمتد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آثار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الضرر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لتشمل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الأعطال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الجزئية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مثل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ضعف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المولدات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الاحتياطية،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وتأثر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شبكات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الغاز</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الطبي،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الأنظمة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الداعمة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كالتهوية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والتعقيم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وتؤكد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البنية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التحتية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المتقادمة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حساسية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المنشآت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أثناء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الأزمات،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الضرر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الإنشائي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حتى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وإن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كان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محدوداً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يُفضي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الأقسام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الحرجة</w:t>
      </w:r>
      <w:r w:rsidRPr="00DF66DD">
        <w:rPr>
          <w:rFonts w:asciiTheme="majorBidi" w:hAnsiTheme="majorBidi" w:cs="Times New Roman"/>
          <w:sz w:val="28"/>
          <w:szCs w:val="28"/>
          <w:rtl/>
        </w:rPr>
        <w:t>.</w:t>
      </w:r>
    </w:p>
    <w:p w14:paraId="5C92224A"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2- </w:t>
      </w:r>
      <w:r w:rsidRPr="00DF66DD">
        <w:rPr>
          <w:rFonts w:asciiTheme="majorBidi" w:hAnsiTheme="majorBidi" w:cs="Times New Roman" w:hint="cs"/>
          <w:b/>
          <w:bCs/>
          <w:sz w:val="28"/>
          <w:szCs w:val="28"/>
          <w:rtl/>
        </w:rPr>
        <w:t>نقص</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الإمدادات</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الحيوية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وسلسلة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التوريد</w:t>
      </w:r>
    </w:p>
    <w:p w14:paraId="6D3A501D"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تتعطل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سلاسل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الإمداد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أثناء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إغلاق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الطرق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النقل،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يعيق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وصول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المنقذة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للحياة،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والأكسجين،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والمواد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الطبية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الأساسية</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Barrett et al., 2020</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وتزداد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المشكلة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عندما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تكون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المنشآت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معتمدة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موردين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محدودين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مخزون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منخفض،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يجعل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تأخير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بسيط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يتحول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أزمة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فعلية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تهدد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استمرارية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العناية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المركزة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والطوارئ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تتأثر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المخازن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المحلية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نفسها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بالكارثة،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فتتلف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الإمدادات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تصبح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غير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صالحة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للاستخدام،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وهذا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يضاعف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الأزمة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التشغيلية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داخل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المستشفى</w:t>
      </w:r>
      <w:r w:rsidRPr="00DF66DD">
        <w:rPr>
          <w:rFonts w:asciiTheme="majorBidi" w:hAnsiTheme="majorBidi" w:cs="Times New Roman"/>
          <w:sz w:val="28"/>
          <w:szCs w:val="28"/>
          <w:rtl/>
        </w:rPr>
        <w:t>.</w:t>
      </w:r>
    </w:p>
    <w:p w14:paraId="71206391"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3- </w:t>
      </w:r>
      <w:r w:rsidRPr="00DF66DD">
        <w:rPr>
          <w:rFonts w:asciiTheme="majorBidi" w:hAnsiTheme="majorBidi" w:cs="Times New Roman" w:hint="cs"/>
          <w:b/>
          <w:bCs/>
          <w:sz w:val="28"/>
          <w:szCs w:val="28"/>
          <w:rtl/>
        </w:rPr>
        <w:t>نقص</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القوى</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العاملة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الصحية</w:t>
      </w:r>
    </w:p>
    <w:p w14:paraId="02989569"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يتعرض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الأطباء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والممرضون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لإصابات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يصبحون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غير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قادرين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الوصول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مواقع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الطرق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المعيقة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ظروف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الكارثة،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يقلل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التشغيلية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للمستشفيات</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Kruk et al., 2017</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الضغوط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النفسية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والإنهاك</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وارتفاع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ساعات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انخفاض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الكفاءة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الفعلية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للقوى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العاملة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المتاحة،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وهو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يعادل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نقصاً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عملياً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عدد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الكوادر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وتشير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نزوح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وظيفي</w:t>
      </w:r>
      <w:r w:rsidRPr="00DF66DD">
        <w:rPr>
          <w:rFonts w:asciiTheme="majorBidi" w:hAnsiTheme="majorBidi" w:cs="Times New Roman" w:hint="eastAsia"/>
          <w:sz w:val="28"/>
          <w:szCs w:val="28"/>
          <w:rtl/>
        </w:rPr>
        <w:t>”</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مؤقت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حيث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يضطر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العاملون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لمغادرة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مناطق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الخطر،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يترك</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المنشآت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دون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طواقم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كافية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لإدارة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التدفق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الكبير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الحالات</w:t>
      </w:r>
      <w:r w:rsidRPr="00DF66DD">
        <w:rPr>
          <w:rFonts w:asciiTheme="majorBidi" w:hAnsiTheme="majorBidi" w:cs="Times New Roman"/>
          <w:sz w:val="28"/>
          <w:szCs w:val="28"/>
          <w:rtl/>
        </w:rPr>
        <w:t>.</w:t>
      </w:r>
    </w:p>
    <w:p w14:paraId="32A887A1"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4- </w:t>
      </w:r>
      <w:r w:rsidRPr="00DF66DD">
        <w:rPr>
          <w:rFonts w:asciiTheme="majorBidi" w:hAnsiTheme="majorBidi" w:cs="Times New Roman" w:hint="cs"/>
          <w:b/>
          <w:bCs/>
          <w:sz w:val="28"/>
          <w:szCs w:val="28"/>
          <w:rtl/>
        </w:rPr>
        <w:t>زيادة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مفاجئة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في</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الطلب</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على</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الخدمات</w:t>
      </w:r>
    </w:p>
    <w:p w14:paraId="066804F5"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تولّد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صدمات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كبيرة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فجائية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عدد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المرضى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مستويات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الطاقة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الاستيعابية،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وهو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أحد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أكثر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أسباب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شيوعاً</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WHO, 2022</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هذه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الزيادة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غير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المتوقعة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ازدحام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أقسام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الطوارئ،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واستنزاف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الأسرة،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وارتفاع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استهلاك</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المعدات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الحيوية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سريع،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يتسبب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تباطؤ</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ثم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انقطاعها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المواقع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تدفق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الإصابات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المتعددة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وقت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قصير،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يفقد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النظام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فرز</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بفعالية،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ويصبح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الضغط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جزءاً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سلسلة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تنظيمي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وتشغيلي</w:t>
      </w:r>
      <w:r w:rsidRPr="00DF66DD">
        <w:rPr>
          <w:rFonts w:asciiTheme="majorBidi" w:hAnsiTheme="majorBidi" w:cs="Times New Roman"/>
          <w:sz w:val="28"/>
          <w:szCs w:val="28"/>
          <w:rtl/>
        </w:rPr>
        <w:t>.</w:t>
      </w:r>
    </w:p>
    <w:p w14:paraId="5F92F0D6"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5- </w:t>
      </w:r>
      <w:r w:rsidRPr="00DF66DD">
        <w:rPr>
          <w:rFonts w:asciiTheme="majorBidi" w:hAnsiTheme="majorBidi" w:cs="Times New Roman" w:hint="cs"/>
          <w:b/>
          <w:bCs/>
          <w:sz w:val="28"/>
          <w:szCs w:val="28"/>
          <w:rtl/>
        </w:rPr>
        <w:t>فقدان</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الأنظمة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التشغيلية</w:t>
      </w:r>
    </w:p>
    <w:p w14:paraId="232E26AC"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السجلات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الطبية،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أنظمة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المعلومات،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وسائل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الاتصال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فوضى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تنظيمية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ويبطئ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الاستجابة،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خاصة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الطوارئ</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UNDRR, 2023</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وتشمل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هذه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الأعطال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فقدان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بيانات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المرضى،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أنظمة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تتبع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التنسيق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الأقسام،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يجعل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المستشفى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غير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قادر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اتخاذ</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قرارات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دقيقة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وتؤكد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الدراسات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فشل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الأنظمة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الإلكترونية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يحدث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أغلب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الأحيان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قبل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للخدمة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السريرية،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يجعلها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مؤشراً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مبكراً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لاضطراب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شامل</w:t>
      </w:r>
      <w:r w:rsidRPr="00DF66DD">
        <w:rPr>
          <w:rFonts w:asciiTheme="majorBidi" w:hAnsiTheme="majorBidi" w:cs="Times New Roman"/>
          <w:sz w:val="28"/>
          <w:szCs w:val="28"/>
          <w:rtl/>
        </w:rPr>
        <w:t>.</w:t>
      </w:r>
    </w:p>
    <w:p w14:paraId="5CC637A9" w14:textId="77777777" w:rsidR="00DF66DD" w:rsidRPr="00DF66DD" w:rsidRDefault="00DF66DD" w:rsidP="00DF66DD">
      <w:pPr>
        <w:jc w:val="both"/>
        <w:rPr>
          <w:rFonts w:asciiTheme="majorBidi" w:hAnsiTheme="majorBidi" w:cs="Times New Roman"/>
          <w:sz w:val="28"/>
          <w:szCs w:val="28"/>
          <w:rtl/>
        </w:rPr>
      </w:pPr>
      <w:r w:rsidRPr="00DF66DD">
        <w:rPr>
          <w:rFonts w:asciiTheme="majorBidi" w:hAnsiTheme="majorBidi" w:cs="Times New Roman" w:hint="cs"/>
          <w:sz w:val="28"/>
          <w:szCs w:val="28"/>
          <w:rtl/>
        </w:rPr>
        <w:t>وبشكل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فإن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اجتماع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أكثر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الوقت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نفسه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احتمال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كبير؛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ولذلك</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تتعامل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الحديثة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بوصفه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ناتجاً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سلسلة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تفاعل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مخاطر</w:t>
      </w:r>
      <w:r w:rsidRPr="00DF66DD">
        <w:rPr>
          <w:rFonts w:asciiTheme="majorBidi" w:hAnsiTheme="majorBidi" w:cs="Times New Roman" w:hint="eastAsia"/>
          <w:sz w:val="28"/>
          <w:szCs w:val="28"/>
          <w:rtl/>
        </w:rPr>
        <w:t>»</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وليس</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واحد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فقط،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حيث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خلل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صغير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تضخيم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الضرر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الناتج</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الآخر،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يخلق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بيئة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مثالية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لانهيار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الحرجة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أثناء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p>
    <w:p w14:paraId="5DBE2DEF" w14:textId="3B5224A3" w:rsidR="00B02D3F" w:rsidRPr="00B02D3F" w:rsidRDefault="005E6B86" w:rsidP="00DF66DD">
      <w:pPr>
        <w:jc w:val="both"/>
        <w:rPr>
          <w:rFonts w:asciiTheme="majorBidi" w:hAnsiTheme="majorBidi" w:cstheme="majorBidi"/>
          <w:b/>
          <w:bCs/>
          <w:sz w:val="28"/>
          <w:szCs w:val="28"/>
        </w:rPr>
      </w:pPr>
      <w:r w:rsidRPr="009F000A">
        <w:rPr>
          <w:rFonts w:asciiTheme="majorBidi" w:hAnsiTheme="majorBidi" w:cstheme="majorBidi"/>
          <w:b/>
          <w:bCs/>
          <w:sz w:val="28"/>
          <w:szCs w:val="28"/>
        </w:rPr>
        <w:t>2.10</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آثار الانقطاع على الصحة العامة</w:t>
      </w:r>
    </w:p>
    <w:p w14:paraId="63F5017D"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يترتب على انقطاع الخدمات الصحية آثار مباشرة وغير مباشرة على الصحة العامة، من أبرزها</w:t>
      </w:r>
      <w:r w:rsidRPr="00B02D3F">
        <w:rPr>
          <w:rFonts w:asciiTheme="majorBidi" w:hAnsiTheme="majorBidi" w:cstheme="majorBidi"/>
          <w:sz w:val="28"/>
          <w:szCs w:val="28"/>
        </w:rPr>
        <w:t>:</w:t>
      </w:r>
    </w:p>
    <w:p w14:paraId="311C918A" w14:textId="77777777" w:rsidR="00DF66DD" w:rsidRPr="00DF66DD" w:rsidRDefault="002C3FA6" w:rsidP="00DF66DD">
      <w:pPr>
        <w:rPr>
          <w:rFonts w:asciiTheme="majorBidi" w:hAnsiTheme="majorBidi" w:cstheme="majorBidi"/>
          <w:b/>
          <w:bCs/>
          <w:sz w:val="28"/>
          <w:szCs w:val="28"/>
          <w:rtl/>
        </w:rPr>
      </w:pPr>
      <w:r w:rsidRPr="009F000A">
        <w:rPr>
          <w:rFonts w:asciiTheme="majorBidi" w:hAnsiTheme="majorBidi" w:cstheme="majorBidi"/>
          <w:b/>
          <w:bCs/>
          <w:sz w:val="28"/>
          <w:szCs w:val="28"/>
        </w:rPr>
        <w:t xml:space="preserve"> -1</w:t>
      </w:r>
      <w:r w:rsidR="00DF66DD" w:rsidRPr="00DF66DD">
        <w:rPr>
          <w:rFonts w:asciiTheme="majorBidi" w:hAnsiTheme="majorBidi" w:cs="Times New Roman"/>
          <w:b/>
          <w:bCs/>
          <w:sz w:val="28"/>
          <w:szCs w:val="28"/>
          <w:rtl/>
        </w:rPr>
        <w:t xml:space="preserve">1- </w:t>
      </w:r>
      <w:r w:rsidR="00DF66DD" w:rsidRPr="00DF66DD">
        <w:rPr>
          <w:rFonts w:asciiTheme="majorBidi" w:hAnsiTheme="majorBidi" w:cs="Times New Roman" w:hint="cs"/>
          <w:b/>
          <w:bCs/>
          <w:sz w:val="28"/>
          <w:szCs w:val="28"/>
          <w:rtl/>
        </w:rPr>
        <w:t>زيادة</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الوفيات</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والإصابات</w:t>
      </w:r>
      <w:r w:rsidR="00DF66DD" w:rsidRPr="00DF66DD">
        <w:rPr>
          <w:rFonts w:asciiTheme="majorBidi" w:hAnsiTheme="majorBidi" w:cs="Times New Roman"/>
          <w:b/>
          <w:bCs/>
          <w:sz w:val="28"/>
          <w:szCs w:val="28"/>
          <w:rtl/>
        </w:rPr>
        <w:t xml:space="preserve"> </w:t>
      </w:r>
      <w:r w:rsidR="00DF66DD" w:rsidRPr="00DF66DD">
        <w:rPr>
          <w:rFonts w:asciiTheme="majorBidi" w:hAnsiTheme="majorBidi" w:cs="Times New Roman" w:hint="cs"/>
          <w:b/>
          <w:bCs/>
          <w:sz w:val="28"/>
          <w:szCs w:val="28"/>
          <w:rtl/>
        </w:rPr>
        <w:t>الحرجة</w:t>
      </w:r>
    </w:p>
    <w:p w14:paraId="300830ED"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تشير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الدراسات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نسب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الوفيات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ترتفع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ملحوظ</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خلال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الساعات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الأولى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الطوارئ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والعناية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المركزة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بسبب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غياب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الرعاية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الفورية</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Khan et al., 2019</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ويعود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ذلك</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تأخير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بسيط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تقديم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الرعاية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الحرجة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يمكن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يحول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القابلة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للإنقاذ</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وفيات،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خاصة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الإصابات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المتعددة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تتطلب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تدخلاً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فورياً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مثل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النزيف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القلبية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وتوضح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هذه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الزيادة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الوفيات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تتضاعف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عدم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توفر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القوى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العاملة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المؤهلة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الإمدادات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الحيوية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الأساسية،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يربط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بين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المباشر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والتأثير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حياة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المرضى</w:t>
      </w:r>
      <w:r w:rsidRPr="00DF66DD">
        <w:rPr>
          <w:rFonts w:asciiTheme="majorBidi" w:hAnsiTheme="majorBidi" w:cs="Times New Roman"/>
          <w:sz w:val="28"/>
          <w:szCs w:val="28"/>
          <w:rtl/>
        </w:rPr>
        <w:t>.</w:t>
      </w:r>
    </w:p>
    <w:p w14:paraId="4549CD1D"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2- </w:t>
      </w:r>
      <w:r w:rsidRPr="00DF66DD">
        <w:rPr>
          <w:rFonts w:asciiTheme="majorBidi" w:hAnsiTheme="majorBidi" w:cs="Times New Roman" w:hint="cs"/>
          <w:b/>
          <w:bCs/>
          <w:sz w:val="28"/>
          <w:szCs w:val="28"/>
          <w:rtl/>
        </w:rPr>
        <w:t>تفاقم</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الأمراض</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المزمنة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والحالات</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المستمرة</w:t>
      </w:r>
    </w:p>
    <w:p w14:paraId="3B4EA348" w14:textId="21500929"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الأمراض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تحتاج</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علاج</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مستمر</w:t>
      </w:r>
      <w:r>
        <w:rPr>
          <w:rFonts w:asciiTheme="majorBidi" w:hAnsiTheme="majorBidi" w:cs="Times New Roman" w:hint="cs"/>
          <w:sz w:val="28"/>
          <w:szCs w:val="28"/>
          <w:rtl/>
        </w:rPr>
        <w:t xml:space="preserve"> </w:t>
      </w:r>
      <w:r w:rsidRPr="00DF66DD">
        <w:rPr>
          <w:rFonts w:asciiTheme="majorBidi" w:hAnsiTheme="majorBidi" w:cs="Times New Roman" w:hint="cs"/>
          <w:sz w:val="28"/>
          <w:szCs w:val="28"/>
          <w:rtl/>
        </w:rPr>
        <w:t>مثل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الفشل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الكلوي،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السكري،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وأمراض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القلب</w:t>
      </w:r>
      <w:r>
        <w:rPr>
          <w:rFonts w:asciiTheme="majorBidi" w:hAnsiTheme="majorBidi" w:cs="Times New Roman" w:hint="cs"/>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تتدهور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خطير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عند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توقف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الأساسية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والأدوية</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World Health Organization, 2022</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وتشير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الدراسات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الوصول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الرعاية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الدورية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أو</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مضاعفات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وزيادة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معدلات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الدخول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الطارئ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المستشفيات،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عبئاً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إضافياً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النظام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أثناء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الكارثة</w:t>
      </w:r>
      <w:r w:rsidRPr="00DF66DD">
        <w:rPr>
          <w:rFonts w:asciiTheme="majorBidi" w:hAnsiTheme="majorBidi" w:cs="Times New Roman"/>
          <w:sz w:val="28"/>
          <w:szCs w:val="28"/>
          <w:rtl/>
        </w:rPr>
        <w:t>.</w:t>
      </w:r>
    </w:p>
    <w:p w14:paraId="52DAE183"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3- </w:t>
      </w:r>
      <w:r w:rsidRPr="00DF66DD">
        <w:rPr>
          <w:rFonts w:asciiTheme="majorBidi" w:hAnsiTheme="majorBidi" w:cs="Times New Roman" w:hint="cs"/>
          <w:b/>
          <w:bCs/>
          <w:sz w:val="28"/>
          <w:szCs w:val="28"/>
          <w:rtl/>
        </w:rPr>
        <w:t>انتشار</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الأمراض</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المُعدية</w:t>
      </w:r>
    </w:p>
    <w:p w14:paraId="320A4F0F"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تعطل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المياه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والصرف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وعدم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توفر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الرعاية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الوقائية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تفشي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العدوى،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خاصة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مخيمات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الإيواء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proofErr w:type="spellStart"/>
      <w:r w:rsidRPr="00DF66DD">
        <w:rPr>
          <w:rFonts w:asciiTheme="majorBidi" w:hAnsiTheme="majorBidi" w:cstheme="majorBidi"/>
          <w:sz w:val="28"/>
          <w:szCs w:val="28"/>
        </w:rPr>
        <w:t>Aitsi</w:t>
      </w:r>
      <w:proofErr w:type="spellEnd"/>
      <w:r w:rsidRPr="00DF66DD">
        <w:rPr>
          <w:rFonts w:asciiTheme="majorBidi" w:hAnsiTheme="majorBidi" w:cstheme="majorBidi"/>
          <w:sz w:val="28"/>
          <w:szCs w:val="28"/>
        </w:rPr>
        <w:t>-Selmi et al., 2016</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وتشير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الأبحاث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الحرجة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يضعف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السيطرة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الأمراض</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المعدية،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معدلات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الإصابة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بأوبئة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ثانوية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مثل</w:t>
      </w:r>
      <w:r w:rsidRPr="00DF66DD">
        <w:rPr>
          <w:rFonts w:asciiTheme="majorBidi" w:hAnsiTheme="majorBidi" w:cs="Times New Roman"/>
          <w:sz w:val="28"/>
          <w:szCs w:val="28"/>
          <w:rtl/>
        </w:rPr>
        <w:t xml:space="preserve"> </w:t>
      </w:r>
      <w:proofErr w:type="spellStart"/>
      <w:r w:rsidRPr="00DF66DD">
        <w:rPr>
          <w:rFonts w:asciiTheme="majorBidi" w:hAnsiTheme="majorBidi" w:cs="Times New Roman" w:hint="cs"/>
          <w:sz w:val="28"/>
          <w:szCs w:val="28"/>
          <w:rtl/>
        </w:rPr>
        <w:t>الإسهالات</w:t>
      </w:r>
      <w:proofErr w:type="spellEnd"/>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والالتهابات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التنفسية،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يعمق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الأزمة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الضغط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المنشآت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المتبقية</w:t>
      </w:r>
      <w:r w:rsidRPr="00DF66DD">
        <w:rPr>
          <w:rFonts w:asciiTheme="majorBidi" w:hAnsiTheme="majorBidi" w:cs="Times New Roman"/>
          <w:sz w:val="28"/>
          <w:szCs w:val="28"/>
          <w:rtl/>
        </w:rPr>
        <w:t>.</w:t>
      </w:r>
    </w:p>
    <w:p w14:paraId="5087BE93"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4- </w:t>
      </w:r>
      <w:r w:rsidRPr="00DF66DD">
        <w:rPr>
          <w:rFonts w:asciiTheme="majorBidi" w:hAnsiTheme="majorBidi" w:cs="Times New Roman" w:hint="cs"/>
          <w:b/>
          <w:bCs/>
          <w:sz w:val="28"/>
          <w:szCs w:val="28"/>
          <w:rtl/>
        </w:rPr>
        <w:t>زيادة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الأعباء</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النفسية</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والصدمات</w:t>
      </w:r>
    </w:p>
    <w:p w14:paraId="02A6FC3A"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التوتر،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الخوف،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وفقدان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الدعم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يؤدي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اضطرابات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نفسية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مثل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القلق</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واضطراب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الصدمة</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PTSD</w:t>
      </w:r>
      <w:r w:rsidRPr="00DF66DD">
        <w:rPr>
          <w:rFonts w:asciiTheme="majorBidi" w:hAnsiTheme="majorBidi" w:cs="Times New Roman" w:hint="cs"/>
          <w:sz w:val="28"/>
          <w:szCs w:val="28"/>
          <w:rtl/>
        </w:rPr>
        <w:t>،</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وهي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آثار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موثقة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دراسات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Barrett et al., 2020</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وتوضح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ليس</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فقط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أزمة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جسدية،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يشكل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أيضاً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ضغطاً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نفسياً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كبيراً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المرضى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والطاقم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سواء،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يقلل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التعامل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الحرجة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احتمال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الأخطاء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الطبية</w:t>
      </w:r>
      <w:r w:rsidRPr="00DF66DD">
        <w:rPr>
          <w:rFonts w:asciiTheme="majorBidi" w:hAnsiTheme="majorBidi" w:cs="Times New Roman"/>
          <w:sz w:val="28"/>
          <w:szCs w:val="28"/>
          <w:rtl/>
        </w:rPr>
        <w:t>.</w:t>
      </w:r>
    </w:p>
    <w:p w14:paraId="5B26E2FC" w14:textId="77777777" w:rsidR="00DF66DD" w:rsidRPr="00DF66DD" w:rsidRDefault="00DF66DD" w:rsidP="00DF66DD">
      <w:pPr>
        <w:rPr>
          <w:rFonts w:asciiTheme="majorBidi" w:hAnsiTheme="majorBidi" w:cstheme="majorBidi"/>
          <w:b/>
          <w:bCs/>
          <w:sz w:val="28"/>
          <w:szCs w:val="28"/>
          <w:rtl/>
        </w:rPr>
      </w:pPr>
      <w:r w:rsidRPr="00DF66DD">
        <w:rPr>
          <w:rFonts w:asciiTheme="majorBidi" w:hAnsiTheme="majorBidi" w:cs="Times New Roman"/>
          <w:b/>
          <w:bCs/>
          <w:sz w:val="28"/>
          <w:szCs w:val="28"/>
          <w:rtl/>
        </w:rPr>
        <w:t xml:space="preserve">5- </w:t>
      </w:r>
      <w:r w:rsidRPr="00DF66DD">
        <w:rPr>
          <w:rFonts w:asciiTheme="majorBidi" w:hAnsiTheme="majorBidi" w:cs="Times New Roman" w:hint="cs"/>
          <w:b/>
          <w:bCs/>
          <w:sz w:val="28"/>
          <w:szCs w:val="28"/>
          <w:rtl/>
        </w:rPr>
        <w:t>تأثير</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طويل</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المدى</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على</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النظام</w:t>
      </w:r>
      <w:r w:rsidRPr="00DF66DD">
        <w:rPr>
          <w:rFonts w:asciiTheme="majorBidi" w:hAnsiTheme="majorBidi" w:cs="Times New Roman"/>
          <w:b/>
          <w:bCs/>
          <w:sz w:val="28"/>
          <w:szCs w:val="28"/>
          <w:rtl/>
        </w:rPr>
        <w:t xml:space="preserve"> </w:t>
      </w:r>
      <w:r w:rsidRPr="00DF66DD">
        <w:rPr>
          <w:rFonts w:asciiTheme="majorBidi" w:hAnsiTheme="majorBidi" w:cs="Times New Roman" w:hint="cs"/>
          <w:b/>
          <w:bCs/>
          <w:sz w:val="28"/>
          <w:szCs w:val="28"/>
          <w:rtl/>
        </w:rPr>
        <w:t>الصحي</w:t>
      </w:r>
    </w:p>
    <w:p w14:paraId="7DDEB3F0" w14:textId="77777777" w:rsidR="00DF66DD" w:rsidRPr="00DF66DD" w:rsidRDefault="00DF66DD" w:rsidP="00DF66DD">
      <w:pPr>
        <w:rPr>
          <w:rFonts w:asciiTheme="majorBidi" w:hAnsiTheme="majorBidi" w:cstheme="majorBidi"/>
          <w:sz w:val="28"/>
          <w:szCs w:val="28"/>
          <w:rtl/>
        </w:rPr>
      </w:pPr>
      <w:r w:rsidRPr="00DF66DD">
        <w:rPr>
          <w:rFonts w:asciiTheme="majorBidi" w:hAnsiTheme="majorBidi" w:cs="Times New Roman" w:hint="cs"/>
          <w:sz w:val="28"/>
          <w:szCs w:val="28"/>
          <w:rtl/>
        </w:rPr>
        <w:t>الانقطاعات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المتكررة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تضعف</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ثقة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المجتمع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بالنظام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وتؤثر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المستقبلية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للاستجابة،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وتزيد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الحاجة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موارد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إضافية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لإعادة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التأهيل</w:t>
      </w:r>
      <w:r w:rsidRPr="00DF66DD">
        <w:rPr>
          <w:rFonts w:asciiTheme="majorBidi" w:hAnsiTheme="majorBidi" w:cs="Times New Roman"/>
          <w:sz w:val="28"/>
          <w:szCs w:val="28"/>
          <w:rtl/>
        </w:rPr>
        <w:t xml:space="preserve"> (</w:t>
      </w:r>
      <w:r w:rsidRPr="00DF66DD">
        <w:rPr>
          <w:rFonts w:asciiTheme="majorBidi" w:hAnsiTheme="majorBidi" w:cstheme="majorBidi"/>
          <w:sz w:val="28"/>
          <w:szCs w:val="28"/>
        </w:rPr>
        <w:t>UNDRR, 2023</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وتوضح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الدراسات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هذه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الآثار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تمتد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سنوات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بعد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الكارثة،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حيث</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تتطلب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إعادة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بناء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الثقة،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وصيانة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البنية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التحتية،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وإعادة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تدريب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الطواقم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بالإضافة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تعزيز</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نظم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المراقبة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والإنذار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المبكر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لتجنب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تكرار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w:t>
      </w:r>
    </w:p>
    <w:p w14:paraId="5A53632D" w14:textId="77777777" w:rsidR="00DF66DD" w:rsidRPr="00DF66DD" w:rsidRDefault="00DF66DD" w:rsidP="00DF66DD">
      <w:pPr>
        <w:jc w:val="both"/>
        <w:rPr>
          <w:rFonts w:asciiTheme="majorBidi" w:hAnsiTheme="majorBidi" w:cstheme="majorBidi"/>
          <w:sz w:val="28"/>
          <w:szCs w:val="28"/>
          <w:rtl/>
        </w:rPr>
      </w:pPr>
      <w:r w:rsidRPr="00DF66DD">
        <w:rPr>
          <w:rFonts w:asciiTheme="majorBidi" w:hAnsiTheme="majorBidi" w:cs="Times New Roman" w:hint="cs"/>
          <w:sz w:val="28"/>
          <w:szCs w:val="28"/>
          <w:rtl/>
        </w:rPr>
        <w:t>وتوضح</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الأدبيات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أخطر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يؤثر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فقط</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اللحظة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الحالية،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يمتد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أثره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العامة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المدى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البعيد،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مما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يعزز</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أهمية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تطوير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مؤشر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مبكر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للتنبؤ</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بالانقطاع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قبل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وقوعه</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ويشير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الخبراء</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إلى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هذا</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المؤشر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يجب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أن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يأخذ</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في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الاعتبار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جميع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العوامل</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المترابطة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البنية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التحتية،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القوى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العاملة،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الإمدادات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الحيوية،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وارتفاع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الطلب</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المفاجئ</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الخدمات،</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لضمان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قدرة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النظام</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الصحي</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الصمود</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وحماية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المجتمع</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من</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الآثار</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المترتبة</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على</w:t>
      </w:r>
      <w:r w:rsidRPr="00DF66DD">
        <w:rPr>
          <w:rFonts w:asciiTheme="majorBidi" w:hAnsiTheme="majorBidi" w:cs="Times New Roman"/>
          <w:sz w:val="28"/>
          <w:szCs w:val="28"/>
          <w:rtl/>
        </w:rPr>
        <w:t xml:space="preserve"> </w:t>
      </w:r>
      <w:r w:rsidRPr="00DF66DD">
        <w:rPr>
          <w:rFonts w:asciiTheme="majorBidi" w:hAnsiTheme="majorBidi" w:cs="Times New Roman" w:hint="cs"/>
          <w:sz w:val="28"/>
          <w:szCs w:val="28"/>
          <w:rtl/>
        </w:rPr>
        <w:t>الكوارث</w:t>
      </w:r>
      <w:r w:rsidRPr="00DF66DD">
        <w:rPr>
          <w:rFonts w:asciiTheme="majorBidi" w:hAnsiTheme="majorBidi" w:cs="Times New Roman"/>
          <w:sz w:val="28"/>
          <w:szCs w:val="28"/>
          <w:rtl/>
        </w:rPr>
        <w:t>.</w:t>
      </w:r>
    </w:p>
    <w:p w14:paraId="75200B12" w14:textId="78A7D997" w:rsidR="00B02D3F" w:rsidRPr="00B02D3F" w:rsidRDefault="00B02D3F" w:rsidP="00DF66DD">
      <w:pPr>
        <w:jc w:val="both"/>
        <w:rPr>
          <w:rFonts w:asciiTheme="majorBidi" w:hAnsiTheme="majorBidi" w:cstheme="majorBidi"/>
          <w:b/>
          <w:bCs/>
          <w:sz w:val="28"/>
          <w:szCs w:val="28"/>
        </w:rPr>
      </w:pPr>
      <w:r w:rsidRPr="00B02D3F">
        <w:rPr>
          <w:rFonts w:asciiTheme="majorBidi" w:hAnsiTheme="majorBidi" w:cstheme="majorBidi"/>
          <w:b/>
          <w:bCs/>
          <w:sz w:val="28"/>
          <w:szCs w:val="28"/>
          <w:rtl/>
        </w:rPr>
        <w:t>المؤشرات المبكرة</w:t>
      </w:r>
      <w:r w:rsidRPr="00B02D3F">
        <w:rPr>
          <w:rFonts w:asciiTheme="majorBidi" w:hAnsiTheme="majorBidi" w:cstheme="majorBidi"/>
          <w:b/>
          <w:bCs/>
          <w:sz w:val="28"/>
          <w:szCs w:val="28"/>
        </w:rPr>
        <w:t xml:space="preserve"> (Early Warning Indicators)</w:t>
      </w:r>
    </w:p>
    <w:p w14:paraId="6955A35A" w14:textId="03791026" w:rsidR="00B02D3F" w:rsidRPr="00B02D3F"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2.11</w:t>
      </w:r>
      <w:r w:rsidR="00B02D3F" w:rsidRPr="00B02D3F">
        <w:rPr>
          <w:rFonts w:asciiTheme="majorBidi" w:hAnsiTheme="majorBidi" w:cstheme="majorBidi"/>
          <w:b/>
          <w:bCs/>
          <w:sz w:val="28"/>
          <w:szCs w:val="28"/>
        </w:rPr>
        <w:t xml:space="preserve"> </w:t>
      </w:r>
      <w:r w:rsidR="00B02D3F" w:rsidRPr="00B02D3F">
        <w:rPr>
          <w:rFonts w:asciiTheme="majorBidi" w:hAnsiTheme="majorBidi" w:cstheme="majorBidi"/>
          <w:b/>
          <w:bCs/>
          <w:sz w:val="28"/>
          <w:szCs w:val="28"/>
          <w:rtl/>
        </w:rPr>
        <w:t>مفهوم المؤشر المبكر</w:t>
      </w:r>
    </w:p>
    <w:p w14:paraId="0899B82E"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يُعرَّف المؤشر المبكر بأنه أداة تحليلية تعتمد على بيانات كمية أو نوعية تُستخدم للتنبؤ باحتمالية حدوث حدث سلبي أو تعطل محتمل قبل وقوعه، مما يسمح باتخاذ إجراءات استباقية تقلل من الأثر المتوقع</w:t>
      </w:r>
      <w:r w:rsidRPr="00275572">
        <w:rPr>
          <w:rFonts w:asciiTheme="majorBidi" w:hAnsiTheme="majorBidi" w:cstheme="majorBidi"/>
          <w:sz w:val="28"/>
          <w:szCs w:val="28"/>
        </w:rPr>
        <w:t xml:space="preserve"> (World Health Organization, 2021). </w:t>
      </w:r>
      <w:r w:rsidRPr="00275572">
        <w:rPr>
          <w:rFonts w:asciiTheme="majorBidi" w:hAnsiTheme="majorBidi" w:cstheme="majorBidi"/>
          <w:sz w:val="28"/>
          <w:szCs w:val="28"/>
          <w:rtl/>
        </w:rPr>
        <w:t>وتوضح الأمم المتحدة أن المؤشر المبكر هو عنصر أساسي ضمن نظام الإنذار المبكر </w:t>
      </w:r>
      <w:r w:rsidRPr="00275572">
        <w:rPr>
          <w:rFonts w:asciiTheme="majorBidi" w:hAnsiTheme="majorBidi" w:cstheme="majorBidi"/>
          <w:i/>
          <w:iCs/>
          <w:sz w:val="28"/>
          <w:szCs w:val="28"/>
        </w:rPr>
        <w:t>Multi-Hazard Early Warning System</w:t>
      </w:r>
      <w:r w:rsidRPr="00275572">
        <w:rPr>
          <w:rFonts w:asciiTheme="majorBidi" w:hAnsiTheme="majorBidi" w:cstheme="majorBidi"/>
          <w:sz w:val="28"/>
          <w:szCs w:val="28"/>
          <w:rtl/>
        </w:rPr>
        <w:t>، ويهدف إلى كشف التغيرات غير الطبيعية في عوامل الخطر التي قد تؤدي إلى انقطاع الخدمات الحيوية مثل الخدمات الصحية الحرجة</w:t>
      </w:r>
      <w:r w:rsidRPr="00275572">
        <w:rPr>
          <w:rFonts w:asciiTheme="majorBidi" w:hAnsiTheme="majorBidi" w:cstheme="majorBidi"/>
          <w:sz w:val="28"/>
          <w:szCs w:val="28"/>
        </w:rPr>
        <w:t xml:space="preserve"> (UNDRR, 2022). </w:t>
      </w:r>
      <w:r w:rsidRPr="00275572">
        <w:rPr>
          <w:rFonts w:asciiTheme="majorBidi" w:hAnsiTheme="majorBidi" w:cstheme="majorBidi"/>
          <w:sz w:val="28"/>
          <w:szCs w:val="28"/>
          <w:rtl/>
        </w:rPr>
        <w:t>ويعمل هذا النوع من المؤشرات على مراقبة المؤشرات الصغيرة والبواكر الأولية التي غالباً ما تُغفل في العمليات التشغيلية اليومية، ليتمكن صانع القرار من التدخل قبل تفاقم الأزمة</w:t>
      </w:r>
      <w:r w:rsidRPr="00275572">
        <w:rPr>
          <w:rFonts w:asciiTheme="majorBidi" w:hAnsiTheme="majorBidi" w:cstheme="majorBidi"/>
          <w:sz w:val="28"/>
          <w:szCs w:val="28"/>
        </w:rPr>
        <w:t>.</w:t>
      </w:r>
    </w:p>
    <w:p w14:paraId="0C3B6254"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ويشير بعض الباحثين إلى أن المؤشر المبكر في القطاع الصحي هو “قياس مركّب </w:t>
      </w:r>
      <w:r w:rsidRPr="00275572">
        <w:rPr>
          <w:rFonts w:asciiTheme="majorBidi" w:hAnsiTheme="majorBidi" w:cstheme="majorBidi"/>
          <w:i/>
          <w:iCs/>
          <w:sz w:val="28"/>
          <w:szCs w:val="28"/>
        </w:rPr>
        <w:t>Composite Metric</w:t>
      </w:r>
      <w:r w:rsidRPr="00275572">
        <w:rPr>
          <w:rFonts w:asciiTheme="majorBidi" w:hAnsiTheme="majorBidi" w:cstheme="majorBidi"/>
          <w:sz w:val="28"/>
          <w:szCs w:val="28"/>
        </w:rPr>
        <w:t> </w:t>
      </w:r>
      <w:r w:rsidRPr="00275572">
        <w:rPr>
          <w:rFonts w:asciiTheme="majorBidi" w:hAnsiTheme="majorBidi" w:cstheme="majorBidi"/>
          <w:sz w:val="28"/>
          <w:szCs w:val="28"/>
          <w:rtl/>
        </w:rPr>
        <w:t>يدمج عدة متغيرات—مثل الجاهزية الطبية، قدرة المستشفى، وقابلية الانكشاف—لرصد النقاط التي يبدأ عندها النظام الصحي بفقدان قدرته الوظيفية</w:t>
      </w:r>
      <w:r w:rsidRPr="00275572">
        <w:rPr>
          <w:rFonts w:asciiTheme="majorBidi" w:hAnsiTheme="majorBidi" w:cstheme="majorBidi"/>
          <w:sz w:val="28"/>
          <w:szCs w:val="28"/>
        </w:rPr>
        <w:t xml:space="preserve">” (McLean et al., 2020). </w:t>
      </w:r>
      <w:r w:rsidRPr="00275572">
        <w:rPr>
          <w:rFonts w:asciiTheme="majorBidi" w:hAnsiTheme="majorBidi" w:cstheme="majorBidi"/>
          <w:sz w:val="28"/>
          <w:szCs w:val="28"/>
          <w:rtl/>
        </w:rPr>
        <w:t>ويضيف التعريف أن فعالية المؤشر لا تعتمد على متغير واحد فقط، بل على القدرة على دمج البيانات التشغيلية واللوجستية، والقدرة على تفسير التغيرات الصغيرة قبل أن تتحول إلى أزمة فعلية. كما يُبرز التعريف دور التحليل التنبؤي والنماذج الإحصائية الحديثة في تحسين دقة المؤشرات المبكرة، ما يمكّن الأنظمة الصحية من إدارة المخاطر بشكل استباقي</w:t>
      </w:r>
      <w:r w:rsidRPr="00275572">
        <w:rPr>
          <w:rFonts w:asciiTheme="majorBidi" w:hAnsiTheme="majorBidi" w:cstheme="majorBidi"/>
          <w:sz w:val="28"/>
          <w:szCs w:val="28"/>
        </w:rPr>
        <w:t>.</w:t>
      </w:r>
    </w:p>
    <w:p w14:paraId="5D37EB08"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وتتفق الأدبيات على أن المؤشر المبكر ليس مجرد قيمة رقمية، بل أداة استشرافية تساعد متخذي القرار في تعزيز الاستعداد الصحي والتقليل من آثار الكوارث. وتشير الدراسات إلى أن تطوير هذه المؤشرات يتطلب مراعاة خصائص كل منشأة صحية، تنوع الكوارث المحتملة، والتفاعل بين الموارد البشرية والبنية التحتية والإمدادات الحيوية. ويؤكد الباحثون أن دمج المؤشرات المبكرة ضمن نظم الإنذار المبكر يزيد من مرونة النظام الصحي، ويساهم في تقليل الخسائر البشرية والمادية، ويعزز سرعة الاستجابة وفعالية اتخاذ القرارات في اللحظات الحرجة</w:t>
      </w:r>
      <w:r w:rsidRPr="00275572">
        <w:rPr>
          <w:rFonts w:asciiTheme="majorBidi" w:hAnsiTheme="majorBidi" w:cstheme="majorBidi"/>
          <w:sz w:val="28"/>
          <w:szCs w:val="28"/>
        </w:rPr>
        <w:t>.</w:t>
      </w:r>
    </w:p>
    <w:p w14:paraId="174E931C" w14:textId="7717F3D9" w:rsidR="00B02D3F" w:rsidRPr="00B02D3F"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2.12</w:t>
      </w:r>
      <w:r w:rsidR="00B02D3F" w:rsidRPr="00B02D3F">
        <w:rPr>
          <w:rFonts w:asciiTheme="majorBidi" w:hAnsiTheme="majorBidi" w:cstheme="majorBidi"/>
          <w:b/>
          <w:bCs/>
          <w:sz w:val="28"/>
          <w:szCs w:val="28"/>
          <w:rtl/>
        </w:rPr>
        <w:t>خصائص المؤشر الفعّال</w:t>
      </w:r>
    </w:p>
    <w:p w14:paraId="3C6E52F1" w14:textId="77777777" w:rsidR="00B02D3F" w:rsidRPr="00B02D3F" w:rsidRDefault="00B02D3F" w:rsidP="00C553FF">
      <w:pPr>
        <w:jc w:val="both"/>
        <w:rPr>
          <w:rFonts w:asciiTheme="majorBidi" w:hAnsiTheme="majorBidi" w:cstheme="majorBidi"/>
          <w:sz w:val="28"/>
          <w:szCs w:val="28"/>
        </w:rPr>
      </w:pPr>
      <w:r w:rsidRPr="00B02D3F">
        <w:rPr>
          <w:rFonts w:asciiTheme="majorBidi" w:hAnsiTheme="majorBidi" w:cstheme="majorBidi"/>
          <w:sz w:val="28"/>
          <w:szCs w:val="28"/>
          <w:rtl/>
        </w:rPr>
        <w:t>تشير الإرشادات العالمية إلى عدة خصائص يجب أن تتوفر في أي مؤشر مبكر ليكون فعالاً في التنبؤ بانقطاع الخدمات الصحية</w:t>
      </w:r>
      <w:r w:rsidRPr="00B02D3F">
        <w:rPr>
          <w:rFonts w:asciiTheme="majorBidi" w:hAnsiTheme="majorBidi" w:cstheme="majorBidi"/>
          <w:sz w:val="28"/>
          <w:szCs w:val="28"/>
        </w:rPr>
        <w:t>:</w:t>
      </w:r>
    </w:p>
    <w:p w14:paraId="3D6AC2E1" w14:textId="77777777" w:rsidR="00275572" w:rsidRPr="00275572" w:rsidRDefault="002C3FA6" w:rsidP="00275572">
      <w:pPr>
        <w:rPr>
          <w:rFonts w:asciiTheme="majorBidi" w:hAnsiTheme="majorBidi" w:cstheme="majorBidi"/>
          <w:b/>
          <w:bCs/>
          <w:sz w:val="28"/>
          <w:szCs w:val="28"/>
          <w:rtl/>
        </w:rPr>
      </w:pPr>
      <w:r w:rsidRPr="009F000A">
        <w:rPr>
          <w:rFonts w:asciiTheme="majorBidi" w:hAnsiTheme="majorBidi" w:cstheme="majorBidi"/>
          <w:b/>
          <w:bCs/>
          <w:sz w:val="28"/>
          <w:szCs w:val="28"/>
        </w:rPr>
        <w:t xml:space="preserve"> -1</w:t>
      </w:r>
      <w:r w:rsidR="00B02D3F" w:rsidRPr="00B02D3F">
        <w:rPr>
          <w:rFonts w:asciiTheme="majorBidi" w:hAnsiTheme="majorBidi" w:cstheme="majorBidi"/>
          <w:b/>
          <w:bCs/>
          <w:sz w:val="28"/>
          <w:szCs w:val="28"/>
        </w:rPr>
        <w:t xml:space="preserve"> </w:t>
      </w:r>
      <w:r w:rsidR="00275572" w:rsidRPr="00275572">
        <w:rPr>
          <w:rFonts w:asciiTheme="majorBidi" w:hAnsiTheme="majorBidi" w:cs="Times New Roman"/>
          <w:b/>
          <w:bCs/>
          <w:sz w:val="28"/>
          <w:szCs w:val="28"/>
          <w:rtl/>
        </w:rPr>
        <w:t xml:space="preserve">1- </w:t>
      </w:r>
      <w:r w:rsidR="00275572" w:rsidRPr="00275572">
        <w:rPr>
          <w:rFonts w:asciiTheme="majorBidi" w:hAnsiTheme="majorBidi" w:cs="Times New Roman" w:hint="cs"/>
          <w:b/>
          <w:bCs/>
          <w:sz w:val="28"/>
          <w:szCs w:val="28"/>
          <w:rtl/>
        </w:rPr>
        <w:t>الحساسية</w:t>
      </w:r>
      <w:r w:rsidR="00275572" w:rsidRPr="00275572">
        <w:rPr>
          <w:rFonts w:asciiTheme="majorBidi" w:hAnsiTheme="majorBidi" w:cs="Times New Roman"/>
          <w:b/>
          <w:bCs/>
          <w:sz w:val="28"/>
          <w:szCs w:val="28"/>
          <w:rtl/>
        </w:rPr>
        <w:t xml:space="preserve"> (</w:t>
      </w:r>
      <w:r w:rsidR="00275572" w:rsidRPr="00275572">
        <w:rPr>
          <w:rFonts w:asciiTheme="majorBidi" w:hAnsiTheme="majorBidi" w:cstheme="majorBidi"/>
          <w:b/>
          <w:bCs/>
          <w:sz w:val="28"/>
          <w:szCs w:val="28"/>
        </w:rPr>
        <w:t>Sensitivity</w:t>
      </w:r>
      <w:r w:rsidR="00275572" w:rsidRPr="00275572">
        <w:rPr>
          <w:rFonts w:asciiTheme="majorBidi" w:hAnsiTheme="majorBidi" w:cs="Times New Roman"/>
          <w:b/>
          <w:bCs/>
          <w:sz w:val="28"/>
          <w:szCs w:val="28"/>
          <w:rtl/>
        </w:rPr>
        <w:t>)</w:t>
      </w:r>
    </w:p>
    <w:p w14:paraId="43C2F94B"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قدرة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اكتشاف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التغيرات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الصغيرة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المخاطر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الضغط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التضخم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أزمة</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WHO, 2021</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وتشير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الدراسات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الحساسة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يمكن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تلتقط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إشارات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مبكرة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حتى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تظهر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أعطال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واضحة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البنية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التحتية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تراجع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القدرة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التشغيلية،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يمنح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فرصة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للتدخل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المبكر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وتقليل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الخسائر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البشرية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والمادية</w:t>
      </w:r>
      <w:r w:rsidRPr="00275572">
        <w:rPr>
          <w:rFonts w:asciiTheme="majorBidi" w:hAnsiTheme="majorBidi" w:cs="Times New Roman"/>
          <w:sz w:val="28"/>
          <w:szCs w:val="28"/>
          <w:rtl/>
        </w:rPr>
        <w:t>.</w:t>
      </w:r>
    </w:p>
    <w:p w14:paraId="29E29DFF"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imes New Roman"/>
          <w:b/>
          <w:bCs/>
          <w:sz w:val="28"/>
          <w:szCs w:val="28"/>
          <w:rtl/>
        </w:rPr>
        <w:t xml:space="preserve">2- </w:t>
      </w:r>
      <w:r w:rsidRPr="00275572">
        <w:rPr>
          <w:rFonts w:asciiTheme="majorBidi" w:hAnsiTheme="majorBidi" w:cs="Times New Roman" w:hint="cs"/>
          <w:b/>
          <w:bCs/>
          <w:sz w:val="28"/>
          <w:szCs w:val="28"/>
          <w:rtl/>
        </w:rPr>
        <w:t>الدقة</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Accuracy</w:t>
      </w:r>
      <w:r w:rsidRPr="00275572">
        <w:rPr>
          <w:rFonts w:asciiTheme="majorBidi" w:hAnsiTheme="majorBidi" w:cs="Times New Roman"/>
          <w:b/>
          <w:bCs/>
          <w:sz w:val="28"/>
          <w:szCs w:val="28"/>
          <w:rtl/>
        </w:rPr>
        <w:t>)</w:t>
      </w:r>
    </w:p>
    <w:p w14:paraId="75D3FAC1"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يجب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يعكس</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واقع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ويقدم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توقعات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قريبة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الحقيقة،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الأدنى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الإنذارات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الخاطئة</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McLean et al., 2020</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وتؤكد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الأدبيات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الدقيقة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تساعد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توجيه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الموارد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بشكل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فعال،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وتقلل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الإنذارات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الكاذبة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تؤدي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إرهاق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الفرق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استنزاف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المخزون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داعٍ</w:t>
      </w:r>
      <w:r w:rsidRPr="00275572">
        <w:rPr>
          <w:rFonts w:asciiTheme="majorBidi" w:hAnsiTheme="majorBidi" w:cs="Times New Roman"/>
          <w:sz w:val="28"/>
          <w:szCs w:val="28"/>
          <w:rtl/>
        </w:rPr>
        <w:t>.</w:t>
      </w:r>
    </w:p>
    <w:p w14:paraId="6047A404"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imes New Roman"/>
          <w:b/>
          <w:bCs/>
          <w:sz w:val="28"/>
          <w:szCs w:val="28"/>
          <w:rtl/>
        </w:rPr>
        <w:t xml:space="preserve">3- </w:t>
      </w:r>
      <w:r w:rsidRPr="00275572">
        <w:rPr>
          <w:rFonts w:asciiTheme="majorBidi" w:hAnsiTheme="majorBidi" w:cs="Times New Roman" w:hint="cs"/>
          <w:b/>
          <w:bCs/>
          <w:sz w:val="28"/>
          <w:szCs w:val="28"/>
          <w:rtl/>
        </w:rPr>
        <w:t>القابلية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للتطبيق</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Practicality</w:t>
      </w:r>
      <w:r w:rsidRPr="00275572">
        <w:rPr>
          <w:rFonts w:asciiTheme="majorBidi" w:hAnsiTheme="majorBidi" w:cs="Times New Roman"/>
          <w:b/>
          <w:bCs/>
          <w:sz w:val="28"/>
          <w:szCs w:val="28"/>
          <w:rtl/>
        </w:rPr>
        <w:t>)</w:t>
      </w:r>
    </w:p>
    <w:p w14:paraId="376C087E"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إمكانية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استخدام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بسهولة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المنشآت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حاجة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تقنيات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معقدة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بيانات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يصعب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الحصول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عليها</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UNDRR, 2022</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وتوضح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الدراسات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العملي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يزيد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احتمالية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تبنيه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نطاق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واسع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ويضمن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استمرارية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رصد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المخاطر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بشكل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يومي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دوري،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يعزز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جاهزية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المستشفيات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وقدرتها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اتخاذ</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قرارات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سريعة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w:t>
      </w:r>
    </w:p>
    <w:p w14:paraId="468E97D9"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imes New Roman"/>
          <w:b/>
          <w:bCs/>
          <w:sz w:val="28"/>
          <w:szCs w:val="28"/>
          <w:rtl/>
        </w:rPr>
        <w:t xml:space="preserve">4- </w:t>
      </w:r>
      <w:r w:rsidRPr="00275572">
        <w:rPr>
          <w:rFonts w:asciiTheme="majorBidi" w:hAnsiTheme="majorBidi" w:cs="Times New Roman" w:hint="cs"/>
          <w:b/>
          <w:bCs/>
          <w:sz w:val="28"/>
          <w:szCs w:val="28"/>
          <w:rtl/>
        </w:rPr>
        <w:t>الشفافية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والوضوح</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Transparency</w:t>
      </w:r>
      <w:r w:rsidRPr="00275572">
        <w:rPr>
          <w:rFonts w:asciiTheme="majorBidi" w:hAnsiTheme="majorBidi" w:cs="Times New Roman"/>
          <w:b/>
          <w:bCs/>
          <w:sz w:val="28"/>
          <w:szCs w:val="28"/>
          <w:rtl/>
        </w:rPr>
        <w:t>)</w:t>
      </w:r>
    </w:p>
    <w:p w14:paraId="67644402"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وضوح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مكونات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وطريقة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حسابه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يسمح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بفهم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نتائجه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المسؤولين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ويشير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الخبراء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الشفافية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تعزز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الثقة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وتسهّل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التفسير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المشترك</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للنتائج</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الإدارات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المختلفة،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يسهم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اتخاذ</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قرارات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متناسقة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ومبنية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بيانات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واضحة</w:t>
      </w:r>
      <w:r w:rsidRPr="00275572">
        <w:rPr>
          <w:rFonts w:asciiTheme="majorBidi" w:hAnsiTheme="majorBidi" w:cs="Times New Roman"/>
          <w:sz w:val="28"/>
          <w:szCs w:val="28"/>
          <w:rtl/>
        </w:rPr>
        <w:t>.</w:t>
      </w:r>
    </w:p>
    <w:p w14:paraId="0C91FB50"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imes New Roman"/>
          <w:b/>
          <w:bCs/>
          <w:sz w:val="28"/>
          <w:szCs w:val="28"/>
          <w:rtl/>
        </w:rPr>
        <w:t xml:space="preserve">5- </w:t>
      </w:r>
      <w:r w:rsidRPr="00275572">
        <w:rPr>
          <w:rFonts w:asciiTheme="majorBidi" w:hAnsiTheme="majorBidi" w:cs="Times New Roman" w:hint="cs"/>
          <w:b/>
          <w:bCs/>
          <w:sz w:val="28"/>
          <w:szCs w:val="28"/>
          <w:rtl/>
        </w:rPr>
        <w:t>الشمولية</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Comprehensiveness</w:t>
      </w:r>
      <w:r w:rsidRPr="00275572">
        <w:rPr>
          <w:rFonts w:asciiTheme="majorBidi" w:hAnsiTheme="majorBidi" w:cs="Times New Roman"/>
          <w:b/>
          <w:bCs/>
          <w:sz w:val="28"/>
          <w:szCs w:val="28"/>
          <w:rtl/>
        </w:rPr>
        <w:t>)</w:t>
      </w:r>
    </w:p>
    <w:p w14:paraId="5762E5D5"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قدرته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دمج</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أبعاد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القدرة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التشغيلية،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الموارد،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الطلب،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وسلسلة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Kruk et al., 2017</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وتؤكد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الدراسات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الشاملة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تستطيع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رصد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نقاط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الضعف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مستوى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متكامل،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بحيث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يُغفل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عنصر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أساسي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يؤدي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انقطاع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الكارثة</w:t>
      </w:r>
      <w:r w:rsidRPr="00275572">
        <w:rPr>
          <w:rFonts w:asciiTheme="majorBidi" w:hAnsiTheme="majorBidi" w:cs="Times New Roman"/>
          <w:sz w:val="28"/>
          <w:szCs w:val="28"/>
          <w:rtl/>
        </w:rPr>
        <w:t>.</w:t>
      </w:r>
    </w:p>
    <w:p w14:paraId="0817F7F2"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imes New Roman"/>
          <w:b/>
          <w:bCs/>
          <w:sz w:val="28"/>
          <w:szCs w:val="28"/>
          <w:rtl/>
        </w:rPr>
        <w:t xml:space="preserve">6- </w:t>
      </w:r>
      <w:r w:rsidRPr="00275572">
        <w:rPr>
          <w:rFonts w:asciiTheme="majorBidi" w:hAnsiTheme="majorBidi" w:cs="Times New Roman" w:hint="cs"/>
          <w:b/>
          <w:bCs/>
          <w:sz w:val="28"/>
          <w:szCs w:val="28"/>
          <w:rtl/>
        </w:rPr>
        <w:t>الاستمرارية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الزمنية</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Timeliness</w:t>
      </w:r>
      <w:r w:rsidRPr="00275572">
        <w:rPr>
          <w:rFonts w:asciiTheme="majorBidi" w:hAnsiTheme="majorBidi" w:cs="Times New Roman"/>
          <w:b/>
          <w:bCs/>
          <w:sz w:val="28"/>
          <w:szCs w:val="28"/>
          <w:rtl/>
        </w:rPr>
        <w:t>)</w:t>
      </w:r>
    </w:p>
    <w:p w14:paraId="1A8FB10B"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يجب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يصدر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الإنذار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الوقت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المناسب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بحيث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يمنح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الجهات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فرصة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للاستجابة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وقوع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الانقطاع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ويبرز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الأدب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الإنذار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الفعّالة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تعمل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وفق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تحديثات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دورية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ومستمرة،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مراعاة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سرعة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تفجر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الأحداث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المختلفة،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سواء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كانت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مفاجئة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الزلازل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تدريجية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موجات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الممتدة</w:t>
      </w:r>
      <w:r w:rsidRPr="00275572">
        <w:rPr>
          <w:rFonts w:asciiTheme="majorBidi" w:hAnsiTheme="majorBidi" w:cs="Times New Roman"/>
          <w:sz w:val="28"/>
          <w:szCs w:val="28"/>
          <w:rtl/>
        </w:rPr>
        <w:t>.</w:t>
      </w:r>
    </w:p>
    <w:p w14:paraId="55F8ACC5" w14:textId="77777777" w:rsidR="00275572" w:rsidRPr="00275572" w:rsidRDefault="00275572" w:rsidP="00275572">
      <w:pPr>
        <w:jc w:val="both"/>
        <w:rPr>
          <w:rFonts w:asciiTheme="majorBidi" w:hAnsiTheme="majorBidi" w:cs="Times New Roman"/>
          <w:sz w:val="28"/>
          <w:szCs w:val="28"/>
          <w:rtl/>
        </w:rPr>
      </w:pPr>
      <w:r w:rsidRPr="00275572">
        <w:rPr>
          <w:rFonts w:asciiTheme="majorBidi" w:hAnsiTheme="majorBidi" w:cs="Times New Roman" w:hint="cs"/>
          <w:sz w:val="28"/>
          <w:szCs w:val="28"/>
          <w:rtl/>
        </w:rPr>
        <w:t>وبما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الطبيعية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تختلف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شدتها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وسرعتها،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فإن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الفعّال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يجب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يكون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قادراً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بكفاءة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الأحداث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المفاجئة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والتدريجية،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تقديم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تنبيهات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مبكرة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تساعد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تفعيل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خطط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الطوارئ،</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توزيع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الموارد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الحيوية،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وتحقيق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استمرارية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بأعلى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مستوى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ممكن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الفاعلية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والأمان</w:t>
      </w:r>
    </w:p>
    <w:p w14:paraId="029772FB" w14:textId="4008E525" w:rsidR="00B02D3F" w:rsidRPr="00B02D3F" w:rsidRDefault="005E6B86" w:rsidP="00275572">
      <w:pPr>
        <w:jc w:val="both"/>
        <w:rPr>
          <w:rFonts w:asciiTheme="majorBidi" w:hAnsiTheme="majorBidi" w:cstheme="majorBidi"/>
          <w:b/>
          <w:bCs/>
          <w:sz w:val="28"/>
          <w:szCs w:val="28"/>
        </w:rPr>
      </w:pPr>
      <w:r w:rsidRPr="009F000A">
        <w:rPr>
          <w:rFonts w:asciiTheme="majorBidi" w:hAnsiTheme="majorBidi" w:cstheme="majorBidi"/>
          <w:b/>
          <w:bCs/>
          <w:sz w:val="28"/>
          <w:szCs w:val="28"/>
        </w:rPr>
        <w:t>2.13</w:t>
      </w:r>
      <w:r w:rsidR="00B02D3F" w:rsidRPr="00B02D3F">
        <w:rPr>
          <w:rFonts w:asciiTheme="majorBidi" w:hAnsiTheme="majorBidi" w:cstheme="majorBidi"/>
          <w:b/>
          <w:bCs/>
          <w:sz w:val="28"/>
          <w:szCs w:val="28"/>
          <w:rtl/>
        </w:rPr>
        <w:t>أمثلة عالمية على مؤشرات إنذار مبكر في الصحة</w:t>
      </w:r>
    </w:p>
    <w:p w14:paraId="72E0EFFD" w14:textId="77777777" w:rsidR="00275572" w:rsidRDefault="00B02D3F" w:rsidP="00275572">
      <w:pPr>
        <w:rPr>
          <w:rtl/>
        </w:rPr>
      </w:pPr>
      <w:r w:rsidRPr="00B02D3F">
        <w:rPr>
          <w:rFonts w:asciiTheme="majorBidi" w:hAnsiTheme="majorBidi" w:cstheme="majorBidi"/>
          <w:sz w:val="28"/>
          <w:szCs w:val="28"/>
          <w:rtl/>
        </w:rPr>
        <w:t>توجد عدة أمثلة عالمية لمؤشرات تم تطويرها للتنبؤ بانقطاع الخدمات الصحية أو لتقييم جاهزية الأنظمة أثناء الكوارث، ومن أبرزها</w:t>
      </w:r>
      <w:r w:rsidRPr="00B02D3F">
        <w:rPr>
          <w:rFonts w:asciiTheme="majorBidi" w:hAnsiTheme="majorBidi" w:cstheme="majorBidi"/>
          <w:sz w:val="28"/>
          <w:szCs w:val="28"/>
        </w:rPr>
        <w:t>:</w:t>
      </w:r>
    </w:p>
    <w:p w14:paraId="5F885317" w14:textId="0BAFD091" w:rsidR="00275572" w:rsidRPr="00275572" w:rsidRDefault="00275572" w:rsidP="00275572">
      <w:pPr>
        <w:rPr>
          <w:rFonts w:asciiTheme="majorBidi" w:hAnsiTheme="majorBidi" w:cstheme="majorBidi"/>
          <w:b/>
          <w:bCs/>
          <w:sz w:val="28"/>
          <w:szCs w:val="28"/>
          <w:rtl/>
        </w:rPr>
      </w:pPr>
      <w:r w:rsidRPr="00275572">
        <w:rPr>
          <w:b/>
          <w:bCs/>
          <w:rtl/>
        </w:rPr>
        <w:t xml:space="preserve"> </w:t>
      </w:r>
      <w:r w:rsidRPr="00275572">
        <w:rPr>
          <w:rFonts w:asciiTheme="majorBidi" w:hAnsiTheme="majorBidi" w:cstheme="majorBidi"/>
          <w:b/>
          <w:bCs/>
          <w:sz w:val="28"/>
          <w:szCs w:val="28"/>
        </w:rPr>
        <w:t>1</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مؤشر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المرونة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الصحية</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Health System Resilience Index – WHO</w:t>
      </w:r>
      <w:r w:rsidRPr="00275572">
        <w:rPr>
          <w:rFonts w:asciiTheme="majorBidi" w:hAnsiTheme="majorBidi" w:cs="Times New Roman"/>
          <w:b/>
          <w:bCs/>
          <w:sz w:val="28"/>
          <w:szCs w:val="28"/>
          <w:rtl/>
        </w:rPr>
        <w:t>)</w:t>
      </w:r>
    </w:p>
    <w:p w14:paraId="0BE8711A"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تستخدمه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منظمة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العالمية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لقياس</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قدرة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الأنظمة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امتصاص</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والحفاظ</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الأساسية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يعتمد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خمسة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محاور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رئيسية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القيادة،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التمويل،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تقديم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وسلاسل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World Health Organization, 2021</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ويتيح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هذا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مقارنة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جاهزية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الأنظمة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وتحديد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نقاط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الضعف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تؤدي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توقف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يساعد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صناع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القرار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وضع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خطط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تعزيز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المرونة،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تعزيز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المخزون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الاستراتيجي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تدريب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الطواقم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التعامل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الضغوط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المفاجئة</w:t>
      </w:r>
      <w:r w:rsidRPr="00275572">
        <w:rPr>
          <w:rFonts w:asciiTheme="majorBidi" w:hAnsiTheme="majorBidi" w:cs="Times New Roman"/>
          <w:sz w:val="28"/>
          <w:szCs w:val="28"/>
          <w:rtl/>
        </w:rPr>
        <w:t>.</w:t>
      </w:r>
    </w:p>
    <w:p w14:paraId="6F479A74"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heme="majorBidi"/>
          <w:b/>
          <w:bCs/>
          <w:sz w:val="28"/>
          <w:szCs w:val="28"/>
        </w:rPr>
        <w:t>2</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نظام</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الإنذار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المبكر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متعدد</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المخاطر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للأوبئة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والكوارث</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EWARS</w:t>
      </w:r>
      <w:r w:rsidRPr="00275572">
        <w:rPr>
          <w:rFonts w:asciiTheme="majorBidi" w:hAnsiTheme="majorBidi" w:cs="Times New Roman"/>
          <w:b/>
          <w:bCs/>
          <w:sz w:val="28"/>
          <w:szCs w:val="28"/>
          <w:rtl/>
        </w:rPr>
        <w:t>)</w:t>
      </w:r>
    </w:p>
    <w:p w14:paraId="28FD5432"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طورته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منظمة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العالمية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ويُستخدم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ذات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الموارد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المحدودة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للتنبؤ</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بالضغوط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الطوارئ</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والرعاية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الأولية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الأوبئة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الطبيعية</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WHO, 2020</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ويعتمد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جمع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البيانات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اليومية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الإصابات،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استهلاك</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ووضع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يمكّن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السلطات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التدخل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وصول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الضغوط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إلى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مستويات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حرجة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هذا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مثالاً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عملياً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دمج</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المبكرة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رصد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المخاطر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متعددة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المصادر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بطريقة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تتيح</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الاستجابة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الاستباقية</w:t>
      </w:r>
      <w:r w:rsidRPr="00275572">
        <w:rPr>
          <w:rFonts w:asciiTheme="majorBidi" w:hAnsiTheme="majorBidi" w:cs="Times New Roman"/>
          <w:sz w:val="28"/>
          <w:szCs w:val="28"/>
          <w:rtl/>
        </w:rPr>
        <w:t>.</w:t>
      </w:r>
    </w:p>
    <w:p w14:paraId="1993C5FA"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heme="majorBidi"/>
          <w:b/>
          <w:bCs/>
          <w:sz w:val="28"/>
          <w:szCs w:val="28"/>
        </w:rPr>
        <w:t>3</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مؤشر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جاهزية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المستشفيات</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للطوارئ</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Hospital Emergency Preparedness Index – HEP Index</w:t>
      </w:r>
      <w:r w:rsidRPr="00275572">
        <w:rPr>
          <w:rFonts w:asciiTheme="majorBidi" w:hAnsiTheme="majorBidi" w:cs="Times New Roman"/>
          <w:b/>
          <w:bCs/>
          <w:sz w:val="28"/>
          <w:szCs w:val="28"/>
          <w:rtl/>
        </w:rPr>
        <w:t>)</w:t>
      </w:r>
    </w:p>
    <w:p w14:paraId="551ECA0E"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يُستخدم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الولايات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المتحدة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وكندا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لقياس</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نقاط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الضعف</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المستشفيات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وتوقع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احتمالية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فشل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Khan et al., 2019</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ويغطي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هذا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عناصر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الطاقة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الكهربائية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الاحتياطية،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قدرات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العناية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المركزة،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جاهزية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الطاقم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وإدارة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الحيوية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ويساعد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تحديد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الأولويات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لتقوية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القدرات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التشغيلية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قبل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ويعمل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كأداة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لتقييم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المخاطر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المحتملة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منشأة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بشكل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فردي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وجماعي</w:t>
      </w:r>
      <w:r w:rsidRPr="00275572">
        <w:rPr>
          <w:rFonts w:asciiTheme="majorBidi" w:hAnsiTheme="majorBidi" w:cs="Times New Roman"/>
          <w:sz w:val="28"/>
          <w:szCs w:val="28"/>
          <w:rtl/>
        </w:rPr>
        <w:t>.</w:t>
      </w:r>
    </w:p>
    <w:p w14:paraId="193A6ACF"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heme="majorBidi"/>
          <w:b/>
          <w:bCs/>
          <w:sz w:val="28"/>
          <w:szCs w:val="28"/>
        </w:rPr>
        <w:t>4</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مؤشر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إنذار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مبكر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لانقطاع</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سلسلة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الإمداد</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الطبية</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Medical Supply Chain Disruption Indicator</w:t>
      </w:r>
      <w:r w:rsidRPr="00275572">
        <w:rPr>
          <w:rFonts w:asciiTheme="majorBidi" w:hAnsiTheme="majorBidi" w:cs="Times New Roman"/>
          <w:b/>
          <w:bCs/>
          <w:sz w:val="28"/>
          <w:szCs w:val="28"/>
          <w:rtl/>
        </w:rPr>
        <w:t>)</w:t>
      </w:r>
    </w:p>
    <w:p w14:paraId="71203401"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يستخدمه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الاتحاد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الأوروبي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للتنبؤ</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باضطراب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الحيوية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مثل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الأدوية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والأجهزة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عند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حدوث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أو</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أزمات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لوجستية</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European Commission, 2021</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ويعتمد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تحليل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سلسلة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التوريد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بأكملها،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ذلك</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الموردين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الرئيسيين،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طرق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النقل،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ومستويات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المخزون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الاحتياطي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ويساعد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هذا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النظام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تحديد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نقاط</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الاختناق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المحتملة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واتخاذ</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تدابير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لتجنب</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انقطاع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الأزمات</w:t>
      </w:r>
      <w:r w:rsidRPr="00275572">
        <w:rPr>
          <w:rFonts w:asciiTheme="majorBidi" w:hAnsiTheme="majorBidi" w:cs="Times New Roman"/>
          <w:sz w:val="28"/>
          <w:szCs w:val="28"/>
          <w:rtl/>
        </w:rPr>
        <w:t>.</w:t>
      </w:r>
    </w:p>
    <w:p w14:paraId="7B77FC07" w14:textId="77777777" w:rsidR="00275572" w:rsidRPr="00275572" w:rsidRDefault="00275572" w:rsidP="00275572">
      <w:pPr>
        <w:rPr>
          <w:rFonts w:asciiTheme="majorBidi" w:hAnsiTheme="majorBidi" w:cstheme="majorBidi"/>
          <w:b/>
          <w:bCs/>
          <w:sz w:val="28"/>
          <w:szCs w:val="28"/>
          <w:rtl/>
        </w:rPr>
      </w:pPr>
      <w:r w:rsidRPr="00275572">
        <w:rPr>
          <w:rFonts w:asciiTheme="majorBidi" w:hAnsiTheme="majorBidi" w:cstheme="majorBidi"/>
          <w:b/>
          <w:bCs/>
          <w:sz w:val="28"/>
          <w:szCs w:val="28"/>
        </w:rPr>
        <w:t>5</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مؤشر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قابلية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المرافق</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الصحية</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للتأثر</w:t>
      </w:r>
      <w:r w:rsidRPr="00275572">
        <w:rPr>
          <w:rFonts w:asciiTheme="majorBidi" w:hAnsiTheme="majorBidi" w:cs="Times New Roman"/>
          <w:b/>
          <w:bCs/>
          <w:sz w:val="28"/>
          <w:szCs w:val="28"/>
          <w:rtl/>
        </w:rPr>
        <w:t xml:space="preserve"> </w:t>
      </w:r>
      <w:r w:rsidRPr="00275572">
        <w:rPr>
          <w:rFonts w:asciiTheme="majorBidi" w:hAnsiTheme="majorBidi" w:cs="Times New Roman" w:hint="cs"/>
          <w:b/>
          <w:bCs/>
          <w:sz w:val="28"/>
          <w:szCs w:val="28"/>
          <w:rtl/>
        </w:rPr>
        <w:t>بالكوارث</w:t>
      </w:r>
      <w:r w:rsidRPr="00275572">
        <w:rPr>
          <w:rFonts w:asciiTheme="majorBidi" w:hAnsiTheme="majorBidi" w:cs="Times New Roman"/>
          <w:b/>
          <w:bCs/>
          <w:sz w:val="28"/>
          <w:szCs w:val="28"/>
          <w:rtl/>
        </w:rPr>
        <w:t xml:space="preserve"> (</w:t>
      </w:r>
      <w:r w:rsidRPr="00275572">
        <w:rPr>
          <w:rFonts w:asciiTheme="majorBidi" w:hAnsiTheme="majorBidi" w:cstheme="majorBidi"/>
          <w:b/>
          <w:bCs/>
          <w:sz w:val="28"/>
          <w:szCs w:val="28"/>
        </w:rPr>
        <w:t>Health Facility Vulnerability Index</w:t>
      </w:r>
      <w:r w:rsidRPr="00275572">
        <w:rPr>
          <w:rFonts w:asciiTheme="majorBidi" w:hAnsiTheme="majorBidi" w:cs="Times New Roman"/>
          <w:b/>
          <w:bCs/>
          <w:sz w:val="28"/>
          <w:szCs w:val="28"/>
          <w:rtl/>
        </w:rPr>
        <w:t>)</w:t>
      </w:r>
    </w:p>
    <w:p w14:paraId="450C8783" w14:textId="77777777" w:rsidR="00275572" w:rsidRPr="00275572" w:rsidRDefault="00275572" w:rsidP="00275572">
      <w:pPr>
        <w:rPr>
          <w:rFonts w:asciiTheme="majorBidi" w:hAnsiTheme="majorBidi" w:cstheme="majorBidi"/>
          <w:sz w:val="28"/>
          <w:szCs w:val="28"/>
          <w:rtl/>
        </w:rPr>
      </w:pPr>
      <w:r w:rsidRPr="00275572">
        <w:rPr>
          <w:rFonts w:asciiTheme="majorBidi" w:hAnsiTheme="majorBidi" w:cs="Times New Roman" w:hint="cs"/>
          <w:sz w:val="28"/>
          <w:szCs w:val="28"/>
          <w:rtl/>
        </w:rPr>
        <w:t>يعتمد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تقييم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البنية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التحتية،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الطاقة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الكهربائية،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المياه،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وأنظمة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الدعم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الحيوية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لتقدير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خطر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الانقطاع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المستشفيات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عند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تعرضها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لكارثة</w:t>
      </w:r>
      <w:r w:rsidRPr="00275572">
        <w:rPr>
          <w:rFonts w:asciiTheme="majorBidi" w:hAnsiTheme="majorBidi" w:cs="Times New Roman"/>
          <w:sz w:val="28"/>
          <w:szCs w:val="28"/>
          <w:rtl/>
        </w:rPr>
        <w:t xml:space="preserve"> (</w:t>
      </w:r>
      <w:r w:rsidRPr="00275572">
        <w:rPr>
          <w:rFonts w:asciiTheme="majorBidi" w:hAnsiTheme="majorBidi" w:cstheme="majorBidi"/>
          <w:sz w:val="28"/>
          <w:szCs w:val="28"/>
        </w:rPr>
        <w:t>UNDRR, 2022</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ويعمل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المؤشر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دمج</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البيانات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الهندسية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واللوجستية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معلومات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القوى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والتجهيزات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لتوفير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صورة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شاملة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مستوى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الخطر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لكل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منشأة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ويساهم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تحديد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الأولويات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لتعزيز</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مقاومة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المرافق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وتقليل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الحرجة</w:t>
      </w:r>
      <w:r w:rsidRPr="00275572">
        <w:rPr>
          <w:rFonts w:asciiTheme="majorBidi" w:hAnsiTheme="majorBidi" w:cs="Times New Roman"/>
          <w:sz w:val="28"/>
          <w:szCs w:val="28"/>
          <w:rtl/>
        </w:rPr>
        <w:t>.</w:t>
      </w:r>
    </w:p>
    <w:p w14:paraId="3069AD5B" w14:textId="77777777" w:rsidR="00275572" w:rsidRDefault="00275572" w:rsidP="00275572">
      <w:pPr>
        <w:jc w:val="both"/>
        <w:rPr>
          <w:rFonts w:asciiTheme="majorBidi" w:hAnsiTheme="majorBidi" w:cstheme="majorBidi"/>
          <w:b/>
          <w:bCs/>
          <w:sz w:val="28"/>
          <w:szCs w:val="28"/>
          <w:rtl/>
        </w:rPr>
      </w:pPr>
      <w:r w:rsidRPr="00275572">
        <w:rPr>
          <w:rFonts w:asciiTheme="majorBidi" w:hAnsiTheme="majorBidi" w:cs="Times New Roman" w:hint="cs"/>
          <w:sz w:val="28"/>
          <w:szCs w:val="28"/>
          <w:rtl/>
        </w:rPr>
        <w:t>وتبين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هذه</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الأمثلة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العالمية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أهمية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تطوير</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مبكرة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متعددة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الأبعاد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تجمع</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الجاهزية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التشغيلية،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البنية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التحتية،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سلسلة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الإمداد،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والقوى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العاملة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كما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تؤكد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دمج</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البيانات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النوعية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والكمية،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ومراعاة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الفروق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السياقية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بين</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الدول</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والمرافق،</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يُعد</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أساسياً</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لإنشاء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مؤشرات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دقيقة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وفعالة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تسهم</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في</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الحفاظ</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على</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استمرارية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الخدمات</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الصحية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الحرجة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أثناء</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الكوارث</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الطبيعية</w:t>
      </w:r>
      <w:r w:rsidRPr="00275572">
        <w:rPr>
          <w:rFonts w:asciiTheme="majorBidi" w:hAnsiTheme="majorBidi" w:cs="Times New Roman"/>
          <w:sz w:val="28"/>
          <w:szCs w:val="28"/>
          <w:rtl/>
        </w:rPr>
        <w:t xml:space="preserve"> </w:t>
      </w:r>
      <w:r w:rsidRPr="00275572">
        <w:rPr>
          <w:rFonts w:asciiTheme="majorBidi" w:hAnsiTheme="majorBidi" w:cs="Times New Roman" w:hint="cs"/>
          <w:sz w:val="28"/>
          <w:szCs w:val="28"/>
          <w:rtl/>
        </w:rPr>
        <w:t>والأوبئة</w:t>
      </w:r>
      <w:r w:rsidRPr="00275572">
        <w:rPr>
          <w:rFonts w:asciiTheme="majorBidi" w:hAnsiTheme="majorBidi" w:cs="Times New Roman"/>
          <w:sz w:val="28"/>
          <w:szCs w:val="28"/>
          <w:rtl/>
        </w:rPr>
        <w:t>.</w:t>
      </w:r>
    </w:p>
    <w:p w14:paraId="3C6B2FE3" w14:textId="06D18F0E" w:rsidR="00F91A6C" w:rsidRPr="00F91A6C" w:rsidRDefault="00F91A6C" w:rsidP="00275572">
      <w:pPr>
        <w:jc w:val="both"/>
        <w:rPr>
          <w:rFonts w:asciiTheme="majorBidi" w:hAnsiTheme="majorBidi" w:cstheme="majorBidi"/>
          <w:b/>
          <w:bCs/>
          <w:sz w:val="28"/>
          <w:szCs w:val="28"/>
        </w:rPr>
      </w:pPr>
      <w:r w:rsidRPr="00F91A6C">
        <w:rPr>
          <w:rFonts w:asciiTheme="majorBidi" w:hAnsiTheme="majorBidi" w:cstheme="majorBidi"/>
          <w:b/>
          <w:bCs/>
          <w:sz w:val="28"/>
          <w:szCs w:val="28"/>
          <w:rtl/>
        </w:rPr>
        <w:t>مفاهيم مرتبطة بتطوير المؤشر المبكر</w:t>
      </w:r>
    </w:p>
    <w:p w14:paraId="11A93DA0" w14:textId="5D0726B3" w:rsidR="00F91A6C" w:rsidRPr="00F91A6C" w:rsidRDefault="00F91A6C" w:rsidP="002C3FA6">
      <w:pPr>
        <w:jc w:val="both"/>
        <w:rPr>
          <w:rFonts w:asciiTheme="majorBidi" w:hAnsiTheme="majorBidi" w:cstheme="majorBidi"/>
          <w:sz w:val="28"/>
          <w:szCs w:val="28"/>
        </w:rPr>
      </w:pPr>
      <w:r w:rsidRPr="00F91A6C">
        <w:rPr>
          <w:rFonts w:asciiTheme="majorBidi" w:hAnsiTheme="majorBidi" w:cstheme="majorBidi"/>
          <w:sz w:val="28"/>
          <w:szCs w:val="28"/>
          <w:rtl/>
        </w:rPr>
        <w:t>يستند تطوير مؤشر مبكر لمخاطر انقطاع الخدمات الصحية الحرجة أثناء الكوارث إلى مجموعة من المفاهيم الأساسية التي تُشكّل الأساس النظري لتحليل المخاطر الصحية. وتشمل هذه المفاهيم قابلية الانكشاف، المخاطر، القدرة الاستيعابية للنظام الصحي، والجاهزية والاستجابة. وتمثل هذه المفاهيم •عناصر مترابطة• تُسهم مجتمعة في تفسير احتمالية حدوث الانقطاع وشدة تأثيره</w:t>
      </w:r>
      <w:r w:rsidRPr="00F91A6C">
        <w:rPr>
          <w:rFonts w:asciiTheme="majorBidi" w:hAnsiTheme="majorBidi" w:cstheme="majorBidi"/>
          <w:sz w:val="28"/>
          <w:szCs w:val="28"/>
        </w:rPr>
        <w:t>.</w:t>
      </w:r>
    </w:p>
    <w:p w14:paraId="24ADDB8C" w14:textId="70675C77" w:rsidR="00F91A6C" w:rsidRPr="00F91A6C" w:rsidRDefault="005E6B8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2.14</w:t>
      </w:r>
      <w:r w:rsidR="00F91A6C" w:rsidRPr="00F91A6C">
        <w:rPr>
          <w:rFonts w:asciiTheme="majorBidi" w:hAnsiTheme="majorBidi" w:cstheme="majorBidi"/>
          <w:b/>
          <w:bCs/>
          <w:sz w:val="28"/>
          <w:szCs w:val="28"/>
          <w:rtl/>
        </w:rPr>
        <w:t>قابلية الانكشاف</w:t>
      </w:r>
      <w:r w:rsidR="00F91A6C" w:rsidRPr="00F91A6C">
        <w:rPr>
          <w:rFonts w:asciiTheme="majorBidi" w:hAnsiTheme="majorBidi" w:cstheme="majorBidi"/>
          <w:b/>
          <w:bCs/>
          <w:sz w:val="28"/>
          <w:szCs w:val="28"/>
        </w:rPr>
        <w:t xml:space="preserve"> (Vulnerability)</w:t>
      </w:r>
    </w:p>
    <w:p w14:paraId="687D7B33"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تُعرَّف قابلية الانكشاف بأنها مدى حساسية النظام الصحي أو المجتمع للتأثر بالكوارث الطبيعية نتيجة ضعف في البنية التحتية، نقص في الموارد، أو خلل تشغيلي يجعل النظام أكثر عرضة للانقطاع</w:t>
      </w:r>
      <w:r w:rsidRPr="00275572">
        <w:rPr>
          <w:rFonts w:asciiTheme="majorBidi" w:hAnsiTheme="majorBidi" w:cstheme="majorBidi"/>
          <w:sz w:val="28"/>
          <w:szCs w:val="28"/>
        </w:rPr>
        <w:t xml:space="preserve"> (UNDRR, 2023). </w:t>
      </w:r>
      <w:r w:rsidRPr="00275572">
        <w:rPr>
          <w:rFonts w:asciiTheme="majorBidi" w:hAnsiTheme="majorBidi" w:cstheme="majorBidi"/>
          <w:sz w:val="28"/>
          <w:szCs w:val="28"/>
          <w:rtl/>
        </w:rPr>
        <w:t>وتشير منظمة الصحة العالمية إلى أن قابلية الانكشاف تتكوّن من ثلاثة عناصر رئيسية: الضعف البنيوي، الضعف الاجتماعي، والتعرض للخطر</w:t>
      </w:r>
      <w:r w:rsidRPr="00275572">
        <w:rPr>
          <w:rFonts w:asciiTheme="majorBidi" w:hAnsiTheme="majorBidi" w:cstheme="majorBidi"/>
          <w:sz w:val="28"/>
          <w:szCs w:val="28"/>
        </w:rPr>
        <w:t xml:space="preserve"> (World Health Organization, 2021). </w:t>
      </w:r>
      <w:r w:rsidRPr="00275572">
        <w:rPr>
          <w:rFonts w:asciiTheme="majorBidi" w:hAnsiTheme="majorBidi" w:cstheme="majorBidi"/>
          <w:sz w:val="28"/>
          <w:szCs w:val="28"/>
          <w:rtl/>
        </w:rPr>
        <w:t>ويشمل الضعف البنيوي حالة المنشآت الصحية من حيث صمودها ضد الكوارث، بينما يعكس الضعف الاجتماعي قدرة المجتمع على الوصول إلى الخدمات الصحية، ويشير التعرض للخطر إلى درجة تأثير الظواهر الطبيعية على النظام الصحي</w:t>
      </w:r>
      <w:r w:rsidRPr="00275572">
        <w:rPr>
          <w:rFonts w:asciiTheme="majorBidi" w:hAnsiTheme="majorBidi" w:cstheme="majorBidi"/>
          <w:sz w:val="28"/>
          <w:szCs w:val="28"/>
        </w:rPr>
        <w:t>.</w:t>
      </w:r>
    </w:p>
    <w:p w14:paraId="30EC5202"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كما يعرّف الباحثون الانكشاف بأنه “الظروف التي تزيد احتمال فشل الخدمات الحيوية عند تعرض النظام لصدمة خارجية</w:t>
      </w:r>
      <w:r w:rsidRPr="00275572">
        <w:rPr>
          <w:rFonts w:asciiTheme="majorBidi" w:hAnsiTheme="majorBidi" w:cstheme="majorBidi"/>
          <w:sz w:val="28"/>
          <w:szCs w:val="28"/>
        </w:rPr>
        <w:t xml:space="preserve">” (Kruk et al., 2017). </w:t>
      </w:r>
      <w:r w:rsidRPr="00275572">
        <w:rPr>
          <w:rFonts w:asciiTheme="majorBidi" w:hAnsiTheme="majorBidi" w:cstheme="majorBidi"/>
          <w:sz w:val="28"/>
          <w:szCs w:val="28"/>
          <w:rtl/>
        </w:rPr>
        <w:t>ويؤكد الأدب العلمي أن الأنظمة الصحية الأكثر هشاشة تُظهر مؤشرات واضحة قبل حدوث الانقطاع، مثل ضغط زائد على الطواقم الطبية، استنزاف الإمدادات، وتدهور الأداء الوظيفي للأقسام الحرجة</w:t>
      </w:r>
      <w:r w:rsidRPr="00275572">
        <w:rPr>
          <w:rFonts w:asciiTheme="majorBidi" w:hAnsiTheme="majorBidi" w:cstheme="majorBidi"/>
          <w:sz w:val="28"/>
          <w:szCs w:val="28"/>
        </w:rPr>
        <w:t>.</w:t>
      </w:r>
    </w:p>
    <w:p w14:paraId="7512E194" w14:textId="77777777" w:rsidR="00275572" w:rsidRPr="00275572" w:rsidRDefault="00275572" w:rsidP="00275572">
      <w:pPr>
        <w:jc w:val="both"/>
        <w:rPr>
          <w:rFonts w:asciiTheme="majorBidi" w:hAnsiTheme="majorBidi" w:cstheme="majorBidi"/>
          <w:sz w:val="28"/>
          <w:szCs w:val="28"/>
        </w:rPr>
      </w:pPr>
      <w:r w:rsidRPr="00275572">
        <w:rPr>
          <w:rFonts w:asciiTheme="majorBidi" w:hAnsiTheme="majorBidi" w:cstheme="majorBidi"/>
          <w:sz w:val="28"/>
          <w:szCs w:val="28"/>
          <w:rtl/>
        </w:rPr>
        <w:t>ويُعد فهم قابلية الانكشاف أمراً محورياً في تطوير مؤشر مبكر، لأن دمج مستويات الهشاشة البنيوية والاجتماعية والتعرض للخطر يمكّن من تصميم أداة تنبؤ دقيقة تتيح اتخاذ التدابير الوقائية قبل وقوع الانقطاع. كما تساعد دراسة قابلية الانكشاف على تحديد الأولويات في تعزيز القدرات التشغيلية للمنشآت الصحية، وتحسين توزيع الموارد الحيوية، ووضع خطط طوارئ تستجيب بشكل مرن لمختلف سيناريوهات الكوارث الطبيعية</w:t>
      </w:r>
      <w:r w:rsidRPr="00275572">
        <w:rPr>
          <w:rFonts w:asciiTheme="majorBidi" w:hAnsiTheme="majorBidi" w:cstheme="majorBidi"/>
          <w:sz w:val="28"/>
          <w:szCs w:val="28"/>
        </w:rPr>
        <w:t>.</w:t>
      </w:r>
    </w:p>
    <w:p w14:paraId="494FFEC7" w14:textId="799ED2BA"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2.15</w:t>
      </w:r>
      <w:r w:rsidR="00F91A6C" w:rsidRPr="00F91A6C">
        <w:rPr>
          <w:rFonts w:asciiTheme="majorBidi" w:hAnsiTheme="majorBidi" w:cstheme="majorBidi"/>
          <w:b/>
          <w:bCs/>
          <w:sz w:val="28"/>
          <w:szCs w:val="28"/>
          <w:rtl/>
        </w:rPr>
        <w:t>المخاطر</w:t>
      </w:r>
      <w:r w:rsidR="00F91A6C" w:rsidRPr="00F91A6C">
        <w:rPr>
          <w:rFonts w:asciiTheme="majorBidi" w:hAnsiTheme="majorBidi" w:cstheme="majorBidi"/>
          <w:b/>
          <w:bCs/>
          <w:sz w:val="28"/>
          <w:szCs w:val="28"/>
        </w:rPr>
        <w:t xml:space="preserve"> (Risk)</w:t>
      </w:r>
    </w:p>
    <w:p w14:paraId="3B1EF160" w14:textId="77777777" w:rsidR="004879E0" w:rsidRPr="004879E0" w:rsidRDefault="004879E0" w:rsidP="004879E0">
      <w:pPr>
        <w:jc w:val="both"/>
        <w:rPr>
          <w:rFonts w:asciiTheme="majorBidi" w:hAnsiTheme="majorBidi" w:cstheme="majorBidi"/>
          <w:sz w:val="28"/>
          <w:szCs w:val="28"/>
          <w:rtl/>
        </w:rPr>
      </w:pPr>
      <w:r w:rsidRPr="004879E0">
        <w:rPr>
          <w:rFonts w:asciiTheme="majorBidi" w:hAnsiTheme="majorBidi" w:cs="Times New Roman" w:hint="cs"/>
          <w:sz w:val="28"/>
          <w:szCs w:val="28"/>
          <w:rtl/>
        </w:rPr>
        <w:t>تُعرَّف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بأنها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احتمال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وقوع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ضار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مثل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زلزال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أو</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فيضان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مضروباً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مستوى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تأثيره</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المحتمل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النظام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وهي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صيغة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تجمع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بين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عنصرين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الخطر</w:t>
      </w:r>
      <w:r w:rsidRPr="004879E0">
        <w:rPr>
          <w:rFonts w:asciiTheme="majorBidi" w:hAnsiTheme="majorBidi" w:cs="Times New Roman"/>
          <w:sz w:val="28"/>
          <w:szCs w:val="28"/>
          <w:rtl/>
        </w:rPr>
        <w:t xml:space="preserve"> </w:t>
      </w:r>
      <w:r w:rsidRPr="004879E0">
        <w:rPr>
          <w:rFonts w:asciiTheme="majorBidi" w:hAnsiTheme="majorBidi" w:cstheme="majorBidi"/>
          <w:sz w:val="28"/>
          <w:szCs w:val="28"/>
        </w:rPr>
        <w:t>Hazard</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والانكشاف</w:t>
      </w:r>
      <w:r w:rsidRPr="004879E0">
        <w:rPr>
          <w:rFonts w:asciiTheme="majorBidi" w:hAnsiTheme="majorBidi" w:cs="Times New Roman"/>
          <w:sz w:val="28"/>
          <w:szCs w:val="28"/>
          <w:rtl/>
        </w:rPr>
        <w:t xml:space="preserve"> </w:t>
      </w:r>
      <w:r w:rsidRPr="004879E0">
        <w:rPr>
          <w:rFonts w:asciiTheme="majorBidi" w:hAnsiTheme="majorBidi" w:cstheme="majorBidi"/>
          <w:sz w:val="28"/>
          <w:szCs w:val="28"/>
        </w:rPr>
        <w:t>Vulnerability (</w:t>
      </w:r>
      <w:proofErr w:type="spellStart"/>
      <w:r w:rsidRPr="004879E0">
        <w:rPr>
          <w:rFonts w:asciiTheme="majorBidi" w:hAnsiTheme="majorBidi" w:cstheme="majorBidi"/>
          <w:sz w:val="28"/>
          <w:szCs w:val="28"/>
        </w:rPr>
        <w:t>Aitsi</w:t>
      </w:r>
      <w:proofErr w:type="spellEnd"/>
      <w:r w:rsidRPr="004879E0">
        <w:rPr>
          <w:rFonts w:asciiTheme="majorBidi" w:hAnsiTheme="majorBidi" w:cstheme="majorBidi"/>
          <w:sz w:val="28"/>
          <w:szCs w:val="28"/>
        </w:rPr>
        <w:t>-Selmi et al., 2016</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ويُبرز</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هذا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التعريف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العلاقة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التفاعلية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بين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طبيعة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والقدرة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التشغيلية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للنظام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حيث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الطبيعي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وحده</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يحدد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حجم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الخطر،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قدرة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النظام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امتصاص</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الصدمات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والتعامل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معها</w:t>
      </w:r>
      <w:r w:rsidRPr="004879E0">
        <w:rPr>
          <w:rFonts w:asciiTheme="majorBidi" w:hAnsiTheme="majorBidi" w:cs="Times New Roman"/>
          <w:sz w:val="28"/>
          <w:szCs w:val="28"/>
          <w:rtl/>
        </w:rPr>
        <w:t>.</w:t>
      </w:r>
    </w:p>
    <w:p w14:paraId="2D1EB39D" w14:textId="77777777" w:rsidR="004879E0" w:rsidRPr="004879E0" w:rsidRDefault="004879E0" w:rsidP="004879E0">
      <w:pPr>
        <w:jc w:val="both"/>
        <w:rPr>
          <w:rFonts w:asciiTheme="majorBidi" w:hAnsiTheme="majorBidi" w:cstheme="majorBidi"/>
          <w:sz w:val="28"/>
          <w:szCs w:val="28"/>
          <w:rtl/>
        </w:rPr>
      </w:pPr>
      <w:r w:rsidRPr="004879E0">
        <w:rPr>
          <w:rFonts w:asciiTheme="majorBidi" w:hAnsiTheme="majorBidi" w:cs="Times New Roman" w:hint="cs"/>
          <w:sz w:val="28"/>
          <w:szCs w:val="28"/>
          <w:rtl/>
        </w:rPr>
        <w:t>ويشير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إطار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سنداي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تنتج</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الطبيعي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وحده،</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تفاعل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هذا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نقاط</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الضعف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داخل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النظام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مثل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ضعف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البنية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التحتية،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نقص</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القوى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العاملة،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أو</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محدودية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الإمدادات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الحيوية</w:t>
      </w:r>
      <w:r w:rsidRPr="004879E0">
        <w:rPr>
          <w:rFonts w:asciiTheme="majorBidi" w:hAnsiTheme="majorBidi" w:cs="Times New Roman"/>
          <w:sz w:val="28"/>
          <w:szCs w:val="28"/>
          <w:rtl/>
        </w:rPr>
        <w:t xml:space="preserve"> (</w:t>
      </w:r>
      <w:r w:rsidRPr="004879E0">
        <w:rPr>
          <w:rFonts w:asciiTheme="majorBidi" w:hAnsiTheme="majorBidi" w:cstheme="majorBidi"/>
          <w:sz w:val="28"/>
          <w:szCs w:val="28"/>
        </w:rPr>
        <w:t>UNDRR, 2015</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وبناءً</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ذلك،</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تُعد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دراسة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عملية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شاملة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تشمل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تقييم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شدة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احتمالية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حدوثه،</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ونقاط</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الانكشاف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النظام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مما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يوفّر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قاعدة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علمية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لتقدير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أثر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الكوارث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الخدمات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الحرجة</w:t>
      </w:r>
      <w:r w:rsidRPr="004879E0">
        <w:rPr>
          <w:rFonts w:asciiTheme="majorBidi" w:hAnsiTheme="majorBidi" w:cs="Times New Roman"/>
          <w:sz w:val="28"/>
          <w:szCs w:val="28"/>
          <w:rtl/>
        </w:rPr>
        <w:t>.</w:t>
      </w:r>
    </w:p>
    <w:p w14:paraId="0DDD494F" w14:textId="77777777" w:rsidR="004879E0" w:rsidRPr="004879E0" w:rsidRDefault="004879E0" w:rsidP="004879E0">
      <w:pPr>
        <w:jc w:val="both"/>
        <w:rPr>
          <w:rFonts w:asciiTheme="majorBidi" w:hAnsiTheme="majorBidi" w:cstheme="majorBidi"/>
          <w:sz w:val="28"/>
          <w:szCs w:val="28"/>
          <w:rtl/>
        </w:rPr>
      </w:pPr>
      <w:r w:rsidRPr="004879E0">
        <w:rPr>
          <w:rFonts w:asciiTheme="majorBidi" w:hAnsiTheme="majorBidi" w:cs="Times New Roman" w:hint="cs"/>
          <w:sz w:val="28"/>
          <w:szCs w:val="28"/>
          <w:rtl/>
        </w:rPr>
        <w:t>ويُستخدم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مفهوم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نماذج</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التنبؤ</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لتقدير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احتمالية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حدوث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الانقطاع،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إذ</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تشير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الأدبيات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الحديثة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تحليل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يُعد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خطوة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أساسية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بناء</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مؤشرات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إنذار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مبكر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فعّالة</w:t>
      </w:r>
      <w:r w:rsidRPr="004879E0">
        <w:rPr>
          <w:rFonts w:asciiTheme="majorBidi" w:hAnsiTheme="majorBidi" w:cs="Times New Roman"/>
          <w:sz w:val="28"/>
          <w:szCs w:val="28"/>
          <w:rtl/>
        </w:rPr>
        <w:t xml:space="preserve"> (</w:t>
      </w:r>
      <w:r w:rsidRPr="004879E0">
        <w:rPr>
          <w:rFonts w:asciiTheme="majorBidi" w:hAnsiTheme="majorBidi" w:cstheme="majorBidi"/>
          <w:sz w:val="28"/>
          <w:szCs w:val="28"/>
        </w:rPr>
        <w:t>McLean et al., 2020</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فكلما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ارتفع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مستوى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hint="eastAsia"/>
          <w:sz w:val="28"/>
          <w:szCs w:val="28"/>
          <w:rtl/>
        </w:rPr>
        <w:t>—</w:t>
      </w:r>
      <w:r w:rsidRPr="004879E0">
        <w:rPr>
          <w:rFonts w:asciiTheme="majorBidi" w:hAnsiTheme="majorBidi" w:cs="Times New Roman" w:hint="cs"/>
          <w:sz w:val="28"/>
          <w:szCs w:val="28"/>
          <w:rtl/>
        </w:rPr>
        <w:t>سواء</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بسبب</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شدة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أو</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ضعف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النظام</w:t>
      </w:r>
      <w:r w:rsidRPr="004879E0">
        <w:rPr>
          <w:rFonts w:asciiTheme="majorBidi" w:hAnsiTheme="majorBidi" w:cs="Times New Roman" w:hint="eastAsia"/>
          <w:sz w:val="28"/>
          <w:szCs w:val="28"/>
          <w:rtl/>
        </w:rPr>
        <w:t>—</w:t>
      </w:r>
      <w:r w:rsidRPr="004879E0">
        <w:rPr>
          <w:rFonts w:asciiTheme="majorBidi" w:hAnsiTheme="majorBidi" w:cs="Times New Roman" w:hint="cs"/>
          <w:sz w:val="28"/>
          <w:szCs w:val="28"/>
          <w:rtl/>
        </w:rPr>
        <w:t>زادت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سرعة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ظهور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المؤشرات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التحذيرية،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مما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يمكّن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صناع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القرار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تفعيل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خطط</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الطوارئ،</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إعادة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توزيع</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الموارد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الحيوية،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وتعزيز</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قدرة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المستشفيات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الصمود</w:t>
      </w:r>
      <w:r w:rsidRPr="004879E0">
        <w:rPr>
          <w:rFonts w:asciiTheme="majorBidi" w:hAnsiTheme="majorBidi" w:cs="Times New Roman"/>
          <w:sz w:val="28"/>
          <w:szCs w:val="28"/>
          <w:rtl/>
        </w:rPr>
        <w:t>.</w:t>
      </w:r>
    </w:p>
    <w:p w14:paraId="70A77052" w14:textId="77777777" w:rsidR="004879E0" w:rsidRDefault="004879E0" w:rsidP="004879E0">
      <w:pPr>
        <w:jc w:val="both"/>
        <w:rPr>
          <w:rFonts w:asciiTheme="majorBidi" w:hAnsiTheme="majorBidi" w:cs="Times New Roman"/>
          <w:sz w:val="28"/>
          <w:szCs w:val="28"/>
          <w:rtl/>
        </w:rPr>
      </w:pPr>
      <w:r w:rsidRPr="004879E0">
        <w:rPr>
          <w:rFonts w:asciiTheme="majorBidi" w:hAnsiTheme="majorBidi" w:cs="Times New Roman" w:hint="cs"/>
          <w:sz w:val="28"/>
          <w:szCs w:val="28"/>
          <w:rtl/>
        </w:rPr>
        <w:t>وتوضح</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الدراسات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الربط</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بين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والانكشاف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يوفر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إطاراً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متكاملاً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لتطوير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المؤشرات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المبكرة،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بحيث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يقتصر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التركيز</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الحدث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الطبيعي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نفسه،</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يشمل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تحليل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العوامل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الهيكلية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واللوجستية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والبشرية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تحدد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مدى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تأثير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الكارثة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على</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استمرارية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الخدمات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الحرجة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ويعد</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هذا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التكامل</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بين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تقييم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المخاطر</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وفهم</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نقاط</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الضعف</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أساسياً</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لضمان</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فعالية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الأنظمة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الصحية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في</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مواجهة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الكوارث</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الطبيعية</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والأزمات</w:t>
      </w:r>
      <w:r w:rsidRPr="004879E0">
        <w:rPr>
          <w:rFonts w:asciiTheme="majorBidi" w:hAnsiTheme="majorBidi" w:cs="Times New Roman"/>
          <w:sz w:val="28"/>
          <w:szCs w:val="28"/>
          <w:rtl/>
        </w:rPr>
        <w:t xml:space="preserve"> </w:t>
      </w:r>
      <w:r w:rsidRPr="004879E0">
        <w:rPr>
          <w:rFonts w:asciiTheme="majorBidi" w:hAnsiTheme="majorBidi" w:cs="Times New Roman" w:hint="cs"/>
          <w:sz w:val="28"/>
          <w:szCs w:val="28"/>
          <w:rtl/>
        </w:rPr>
        <w:t>المفاجئة</w:t>
      </w:r>
    </w:p>
    <w:p w14:paraId="35EDEA15" w14:textId="628CDDE4" w:rsidR="00F91A6C" w:rsidRPr="00F91A6C" w:rsidRDefault="005E6B86" w:rsidP="004879E0">
      <w:pPr>
        <w:jc w:val="both"/>
        <w:rPr>
          <w:rFonts w:asciiTheme="majorBidi" w:hAnsiTheme="majorBidi" w:cstheme="majorBidi"/>
          <w:b/>
          <w:bCs/>
          <w:sz w:val="28"/>
          <w:szCs w:val="28"/>
        </w:rPr>
      </w:pPr>
      <w:r w:rsidRPr="009F000A">
        <w:rPr>
          <w:rFonts w:asciiTheme="majorBidi" w:hAnsiTheme="majorBidi" w:cstheme="majorBidi"/>
          <w:b/>
          <w:bCs/>
          <w:sz w:val="28"/>
          <w:szCs w:val="28"/>
        </w:rPr>
        <w:t>2.16</w:t>
      </w:r>
      <w:r w:rsidR="00F91A6C" w:rsidRPr="00F91A6C">
        <w:rPr>
          <w:rFonts w:asciiTheme="majorBidi" w:hAnsiTheme="majorBidi" w:cstheme="majorBidi"/>
          <w:b/>
          <w:bCs/>
          <w:sz w:val="28"/>
          <w:szCs w:val="28"/>
          <w:rtl/>
        </w:rPr>
        <w:t>القدرة الاستيعابية للنظام الصحي</w:t>
      </w:r>
      <w:r w:rsidR="00F91A6C" w:rsidRPr="00F91A6C">
        <w:rPr>
          <w:rFonts w:asciiTheme="majorBidi" w:hAnsiTheme="majorBidi" w:cstheme="majorBidi"/>
          <w:b/>
          <w:bCs/>
          <w:sz w:val="28"/>
          <w:szCs w:val="28"/>
        </w:rPr>
        <w:t xml:space="preserve"> (Health System Capacity)</w:t>
      </w:r>
    </w:p>
    <w:p w14:paraId="69D02B83"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تشير القدرة الاستيعابية إلى مقدار الموارد والوظائف التي يستطيع النظام الصحي توفيرها للحفاظ على الخدمات الحرجة أثناء الضغط الناتج عن الكوارث. وتشمل القدرة الاستيعابية: عدد الأسرة المتاحة، توافر أجهزة التنفس، القوى العاملة، الإمدادات الحيوية، والبنية التحتية التشغيلية</w:t>
      </w:r>
      <w:r w:rsidRPr="004879E0">
        <w:rPr>
          <w:rFonts w:asciiTheme="majorBidi" w:hAnsiTheme="majorBidi" w:cstheme="majorBidi"/>
          <w:sz w:val="28"/>
          <w:szCs w:val="28"/>
        </w:rPr>
        <w:t xml:space="preserve"> (World Health Organization, 2021). </w:t>
      </w:r>
      <w:r w:rsidRPr="004879E0">
        <w:rPr>
          <w:rFonts w:asciiTheme="majorBidi" w:hAnsiTheme="majorBidi" w:cstheme="majorBidi"/>
          <w:sz w:val="28"/>
          <w:szCs w:val="28"/>
          <w:rtl/>
        </w:rPr>
        <w:t>ويُعد تحليل القدرة الاستيعابية جزءاً أساسياً من تقييم جاهزية الأنظمة الصحية، حيث يتيح تحديد مدى تحمل النظام للضغوط المفاجئة والطارئة، ويقدم مؤشرات مبكرة على احتمالية انقطاع الخدمات الحرجة</w:t>
      </w:r>
      <w:r w:rsidRPr="004879E0">
        <w:rPr>
          <w:rFonts w:asciiTheme="majorBidi" w:hAnsiTheme="majorBidi" w:cstheme="majorBidi"/>
          <w:sz w:val="28"/>
          <w:szCs w:val="28"/>
        </w:rPr>
        <w:t>.</w:t>
      </w:r>
    </w:p>
    <w:p w14:paraId="72222F7B"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ويعرّف بعض الباحثين القدرة الاستيعابية بأنها "إمكانات النظام على امتصاص الصدمات دون أن يفقد وظائفه الحيوية الأساسية</w:t>
      </w:r>
      <w:r w:rsidRPr="004879E0">
        <w:rPr>
          <w:rFonts w:asciiTheme="majorBidi" w:hAnsiTheme="majorBidi" w:cstheme="majorBidi"/>
          <w:sz w:val="28"/>
          <w:szCs w:val="28"/>
        </w:rPr>
        <w:t xml:space="preserve">" (Barrett et al., 2020). </w:t>
      </w:r>
      <w:r w:rsidRPr="004879E0">
        <w:rPr>
          <w:rFonts w:asciiTheme="majorBidi" w:hAnsiTheme="majorBidi" w:cstheme="majorBidi"/>
          <w:sz w:val="28"/>
          <w:szCs w:val="28"/>
          <w:rtl/>
        </w:rPr>
        <w:t>ويشير الأدب العلمي إلى أن القدرة الاستيعابية لا تقتصر على العدد الفعلي للأسرة أو الأجهزة، بل تشمل المرونة التشغيلية، قدرة الطاقم الطبي على التكيف، وتوافر الاحتياطيات من الأدوية والإمدادات الحيوية. ويُبرز هذا التعريف أن ضعف القدرة الاستيعابية يُعد من أهم العوامل المؤدية إلى الانقطاع، لأنه يقلل قدرة النظام على التعامل مع الارتفاع المفاجئ في الطلب على الخدمات الصحية أثناء الكوارث</w:t>
      </w:r>
      <w:r w:rsidRPr="004879E0">
        <w:rPr>
          <w:rFonts w:asciiTheme="majorBidi" w:hAnsiTheme="majorBidi" w:cstheme="majorBidi"/>
          <w:sz w:val="28"/>
          <w:szCs w:val="28"/>
        </w:rPr>
        <w:t>.</w:t>
      </w:r>
    </w:p>
    <w:p w14:paraId="24847B4B"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كما تُعتبر القدرة الاستيعابية متغيراً أساسياً في المؤشرات المبكرة، إذ أن انخفاضها يعكس بداية فقدان السيطرة التشغيلية ويعتبر علامة تحذيرية مبكرة لانقطاع الخدمات. وعلاوة على ذلك، تساعد دراسة القدرة الاستيعابية على وضع خطط لتعزيز المخزون الطبي، تدريب القوى العاملة، وتحسين تصميم البنية التحتية بما يعزز استمرارية الخدمات أثناء الكوارث الطبيعية. وتؤكد الأدبيات أن دمج القدرة الاستيعابية مع متغيرات أخرى مثل قابلية الانكشاف والمخاطر يتيح بناء نموذج تنبؤي شامل، يمكنه تقديم تنبيهات مبكرة دقيقة وصحيحة لصناع القرار في القطاع الصحي</w:t>
      </w:r>
      <w:r w:rsidRPr="004879E0">
        <w:rPr>
          <w:rFonts w:asciiTheme="majorBidi" w:hAnsiTheme="majorBidi" w:cstheme="majorBidi"/>
          <w:sz w:val="28"/>
          <w:szCs w:val="28"/>
        </w:rPr>
        <w:t>.</w:t>
      </w:r>
    </w:p>
    <w:p w14:paraId="7F40CC4E" w14:textId="497C9B7B"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2.17</w:t>
      </w:r>
      <w:r w:rsidR="00F91A6C" w:rsidRPr="00F91A6C">
        <w:rPr>
          <w:rFonts w:asciiTheme="majorBidi" w:hAnsiTheme="majorBidi" w:cstheme="majorBidi"/>
          <w:b/>
          <w:bCs/>
          <w:sz w:val="28"/>
          <w:szCs w:val="28"/>
          <w:rtl/>
        </w:rPr>
        <w:t>الجاهزية والاستجابة</w:t>
      </w:r>
      <w:r w:rsidR="00F91A6C" w:rsidRPr="00F91A6C">
        <w:rPr>
          <w:rFonts w:asciiTheme="majorBidi" w:hAnsiTheme="majorBidi" w:cstheme="majorBidi"/>
          <w:b/>
          <w:bCs/>
          <w:sz w:val="28"/>
          <w:szCs w:val="28"/>
        </w:rPr>
        <w:t xml:space="preserve"> (Preparedness &amp; Response)</w:t>
      </w:r>
    </w:p>
    <w:p w14:paraId="719CA891"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تشير الجاهزية إلى مستوى الاستعداد المسبق للنظام الصحي لمواجهة الكوارث، بما يشمل خطط الطوارئ، التدريب، توافر الموارد، آليات الإخلاء، ونظم الإنذار المبكر</w:t>
      </w:r>
      <w:r w:rsidRPr="004879E0">
        <w:rPr>
          <w:rFonts w:asciiTheme="majorBidi" w:hAnsiTheme="majorBidi" w:cstheme="majorBidi"/>
          <w:sz w:val="28"/>
          <w:szCs w:val="28"/>
        </w:rPr>
        <w:t xml:space="preserve"> (Khan et al., 2019). </w:t>
      </w:r>
      <w:r w:rsidRPr="004879E0">
        <w:rPr>
          <w:rFonts w:asciiTheme="majorBidi" w:hAnsiTheme="majorBidi" w:cstheme="majorBidi"/>
          <w:sz w:val="28"/>
          <w:szCs w:val="28"/>
          <w:rtl/>
        </w:rPr>
        <w:t>وتعكس الجاهزية قدرة النظام على توقع المخاطر، تقييم نقاط الضعف، ووضع إجراءات استباقية تقلل من احتمال انقطاع الخدمات الحيوية أثناء الكوارث</w:t>
      </w:r>
      <w:r w:rsidRPr="004879E0">
        <w:rPr>
          <w:rFonts w:asciiTheme="majorBidi" w:hAnsiTheme="majorBidi" w:cstheme="majorBidi"/>
          <w:sz w:val="28"/>
          <w:szCs w:val="28"/>
        </w:rPr>
        <w:t>.</w:t>
      </w:r>
    </w:p>
    <w:p w14:paraId="21FBB4DE"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أما الاستجابة فهي الإجراءات الفعلية التي تُنفَّذ أثناء الكارثة للحد من تأثيرها والمحافظة على استمرارية الخدمات الحرجة. وتشمل التنسيق بين الأقسام المختلفة، إعادة توزيع الموارد، تشغيل مخازن الطوارئ، وضمان استمرار الإمدادات الطبية الحيوية. وتوضح منظمة الصحة العالمية أن ضعف الجاهزية يزيد من سرعة الانقطاع عند وقوع الكارثة، بينما تمكّن الجاهزية العالية النظام الصحي من تأخير الانقطاع أو الحد من شدّته، مما يقلل الخسائر البشرية والمادية ويعزز ثقة المجتمع بالنظام الصحي</w:t>
      </w:r>
      <w:r w:rsidRPr="004879E0">
        <w:rPr>
          <w:rFonts w:asciiTheme="majorBidi" w:hAnsiTheme="majorBidi" w:cstheme="majorBidi"/>
          <w:sz w:val="28"/>
          <w:szCs w:val="28"/>
        </w:rPr>
        <w:t xml:space="preserve"> (World Health Organization, 2021).</w:t>
      </w:r>
    </w:p>
    <w:p w14:paraId="50567B98"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وفي الأدبيات الحديثة تُعد الجاهزية أحد أقوى العوامل التي تدخل في بناء مؤشرات التحذير المبكر لأنها تعكس القدرة الفعلية للنظام الصحي على الصمود في مواجهة المخاطر</w:t>
      </w:r>
      <w:r w:rsidRPr="004879E0">
        <w:rPr>
          <w:rFonts w:asciiTheme="majorBidi" w:hAnsiTheme="majorBidi" w:cstheme="majorBidi"/>
          <w:sz w:val="28"/>
          <w:szCs w:val="28"/>
        </w:rPr>
        <w:t xml:space="preserve"> (McLean et al., 2020). </w:t>
      </w:r>
      <w:r w:rsidRPr="004879E0">
        <w:rPr>
          <w:rFonts w:asciiTheme="majorBidi" w:hAnsiTheme="majorBidi" w:cstheme="majorBidi"/>
          <w:sz w:val="28"/>
          <w:szCs w:val="28"/>
          <w:rtl/>
        </w:rPr>
        <w:t>وتُظهر الدراسات أن الأنظمة الصحية التي تتمتع باستجابة فعّالة تكون أقل عرضة لانقطاع الخدمات الحرجة، حتى عندما تكون الكوارث شديدة، مما يبرز دور الجاهزية بوصفها “عامل حماية” في نموذج المؤشر، ويؤكد على أهمية التدريب المستمر، تحديث خطط الطوارئ، واختبار الأنظمة بشكل دوري لضمان جاهزية قصوى أثناء الكوارث الطبيعية أو الأوبئة الطارئة</w:t>
      </w:r>
      <w:r w:rsidRPr="004879E0">
        <w:rPr>
          <w:rFonts w:asciiTheme="majorBidi" w:hAnsiTheme="majorBidi" w:cstheme="majorBidi"/>
          <w:sz w:val="28"/>
          <w:szCs w:val="28"/>
        </w:rPr>
        <w:t>.</w:t>
      </w:r>
    </w:p>
    <w:p w14:paraId="20D052FB"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كما يشدد الباحثون على أن دمج الجاهزية والاستجابة في تصميم المؤشرات المبكرة يُتيح رؤية أكثر شمولية لنقاط القوة والضعف في النظام الصحي، ويزيد من موثوقية التنبؤ بانقطاع الخدمات، ويحفز اتخاذ إجراءات استباقية فعّالة للحفاظ على استمرارية الخدمات الصحية الحرجة وحماية الصحة العامة</w:t>
      </w:r>
      <w:r w:rsidRPr="004879E0">
        <w:rPr>
          <w:rFonts w:asciiTheme="majorBidi" w:hAnsiTheme="majorBidi" w:cstheme="majorBidi"/>
          <w:sz w:val="28"/>
          <w:szCs w:val="28"/>
        </w:rPr>
        <w:t>.</w:t>
      </w:r>
    </w:p>
    <w:p w14:paraId="45858F61" w14:textId="11356BFE" w:rsidR="00F91A6C" w:rsidRPr="00F91A6C" w:rsidRDefault="00F91A6C" w:rsidP="00C553FF">
      <w:pPr>
        <w:jc w:val="both"/>
        <w:rPr>
          <w:rFonts w:asciiTheme="majorBidi" w:hAnsiTheme="majorBidi" w:cstheme="majorBidi"/>
          <w:b/>
          <w:bCs/>
          <w:sz w:val="28"/>
          <w:szCs w:val="28"/>
        </w:rPr>
      </w:pPr>
      <w:r w:rsidRPr="00F91A6C">
        <w:rPr>
          <w:rFonts w:asciiTheme="majorBidi" w:hAnsiTheme="majorBidi" w:cstheme="majorBidi"/>
          <w:b/>
          <w:bCs/>
          <w:sz w:val="28"/>
          <w:szCs w:val="28"/>
          <w:rtl/>
        </w:rPr>
        <w:t>النماذج العلمية ذات العلاقة</w:t>
      </w:r>
    </w:p>
    <w:p w14:paraId="2FDA5BA0" w14:textId="77777777" w:rsidR="00F91A6C" w:rsidRPr="00F91A6C" w:rsidRDefault="00F91A6C" w:rsidP="00C553FF">
      <w:pPr>
        <w:jc w:val="both"/>
        <w:rPr>
          <w:rFonts w:asciiTheme="majorBidi" w:hAnsiTheme="majorBidi" w:cstheme="majorBidi"/>
          <w:sz w:val="28"/>
          <w:szCs w:val="28"/>
        </w:rPr>
      </w:pPr>
      <w:r w:rsidRPr="00F91A6C">
        <w:rPr>
          <w:rFonts w:asciiTheme="majorBidi" w:hAnsiTheme="majorBidi" w:cstheme="majorBidi"/>
          <w:sz w:val="28"/>
          <w:szCs w:val="28"/>
          <w:rtl/>
        </w:rPr>
        <w:t>يستند تحليل مخاطر انقطاع الخدمات الصحية الحرجة أثناء الكوارث إلى مجموعة من النظريات والنماذج العلمية التي توفّر أساساً لفهم كيفية استجابة الأنظمة الصحية للصدمات، وتفسير العوامل التي تؤدي إلى الانقطاع. ومن أبرز هذه الأسس</w:t>
      </w:r>
      <w:r w:rsidRPr="00F91A6C">
        <w:rPr>
          <w:rFonts w:asciiTheme="majorBidi" w:hAnsiTheme="majorBidi" w:cstheme="majorBidi"/>
          <w:sz w:val="28"/>
          <w:szCs w:val="28"/>
        </w:rPr>
        <w:t>: </w:t>
      </w:r>
      <w:r w:rsidRPr="00F91A6C">
        <w:rPr>
          <w:rFonts w:asciiTheme="majorBidi" w:hAnsiTheme="majorBidi" w:cstheme="majorBidi"/>
          <w:sz w:val="28"/>
          <w:szCs w:val="28"/>
          <w:rtl/>
        </w:rPr>
        <w:t>نظرية المرونة الصحية، إطار سنداي، نموذج إدارة مخاطر الكوارث الصحية، ونموذج استمرارية الأعمال في القطاع الصحي</w:t>
      </w:r>
      <w:r w:rsidRPr="00F91A6C">
        <w:rPr>
          <w:rFonts w:asciiTheme="majorBidi" w:hAnsiTheme="majorBidi" w:cstheme="majorBidi"/>
          <w:sz w:val="28"/>
          <w:szCs w:val="28"/>
        </w:rPr>
        <w:t xml:space="preserve">. </w:t>
      </w:r>
      <w:r w:rsidRPr="00F91A6C">
        <w:rPr>
          <w:rFonts w:asciiTheme="majorBidi" w:hAnsiTheme="majorBidi" w:cstheme="majorBidi"/>
          <w:sz w:val="28"/>
          <w:szCs w:val="28"/>
          <w:rtl/>
        </w:rPr>
        <w:t>وتُمثل هذه النماذج قاعدة نظرية لتطوير مؤشر مبكر يُمكنه التنبؤ بالانقطاع قبل وقوعه</w:t>
      </w:r>
      <w:r w:rsidRPr="00F91A6C">
        <w:rPr>
          <w:rFonts w:asciiTheme="majorBidi" w:hAnsiTheme="majorBidi" w:cstheme="majorBidi"/>
          <w:sz w:val="28"/>
          <w:szCs w:val="28"/>
        </w:rPr>
        <w:t>.</w:t>
      </w:r>
    </w:p>
    <w:p w14:paraId="66F9C55E" w14:textId="065BF793" w:rsidR="00F91A6C" w:rsidRPr="00F91A6C" w:rsidRDefault="00F91A6C" w:rsidP="00C553FF">
      <w:pPr>
        <w:jc w:val="both"/>
        <w:rPr>
          <w:rFonts w:asciiTheme="majorBidi" w:hAnsiTheme="majorBidi" w:cstheme="majorBidi"/>
          <w:sz w:val="28"/>
          <w:szCs w:val="28"/>
        </w:rPr>
      </w:pPr>
    </w:p>
    <w:p w14:paraId="1715827D" w14:textId="18F83D7F"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2.18</w:t>
      </w:r>
      <w:r w:rsidR="00F91A6C" w:rsidRPr="00F91A6C">
        <w:rPr>
          <w:rFonts w:asciiTheme="majorBidi" w:hAnsiTheme="majorBidi" w:cstheme="majorBidi"/>
          <w:b/>
          <w:bCs/>
          <w:sz w:val="28"/>
          <w:szCs w:val="28"/>
        </w:rPr>
        <w:t xml:space="preserve"> </w:t>
      </w:r>
      <w:r w:rsidR="00F91A6C" w:rsidRPr="00F91A6C">
        <w:rPr>
          <w:rFonts w:asciiTheme="majorBidi" w:hAnsiTheme="majorBidi" w:cstheme="majorBidi"/>
          <w:b/>
          <w:bCs/>
          <w:sz w:val="28"/>
          <w:szCs w:val="28"/>
          <w:rtl/>
        </w:rPr>
        <w:t>نظرية المرونة الصحية</w:t>
      </w:r>
      <w:r w:rsidR="00F91A6C" w:rsidRPr="00F91A6C">
        <w:rPr>
          <w:rFonts w:asciiTheme="majorBidi" w:hAnsiTheme="majorBidi" w:cstheme="majorBidi"/>
          <w:b/>
          <w:bCs/>
          <w:sz w:val="28"/>
          <w:szCs w:val="28"/>
        </w:rPr>
        <w:t xml:space="preserve"> (Health System Resilience Theory)</w:t>
      </w:r>
    </w:p>
    <w:p w14:paraId="7C179DAC"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تُعرَّف المرونة الصحية بأنها قدرة النظام الصحي على امتصاص الصدمات، التكيف معها، واستعادة وظائفه الحيوية بسرعة بعد الكوارث أو الأزمات، وذلك دون فقدان القدرة على تقديم الخدمات الحرجة</w:t>
      </w:r>
      <w:r w:rsidRPr="004879E0">
        <w:rPr>
          <w:rFonts w:asciiTheme="majorBidi" w:hAnsiTheme="majorBidi" w:cstheme="majorBidi"/>
          <w:sz w:val="28"/>
          <w:szCs w:val="28"/>
        </w:rPr>
        <w:t xml:space="preserve"> (Kruk et al., 2017). </w:t>
      </w:r>
      <w:r w:rsidRPr="004879E0">
        <w:rPr>
          <w:rFonts w:asciiTheme="majorBidi" w:hAnsiTheme="majorBidi" w:cstheme="majorBidi"/>
          <w:sz w:val="28"/>
          <w:szCs w:val="28"/>
          <w:rtl/>
        </w:rPr>
        <w:t>وتعكس هذه النظرية قدرة النظام الصحي على الصمود أمام الضغوط المفاجئة أو الممتدة، بما يضمن الحد من الخسائر البشرية والمادية أثناء الكوارث الطبيعية أو الأوبئة الطارئة</w:t>
      </w:r>
      <w:r w:rsidRPr="004879E0">
        <w:rPr>
          <w:rFonts w:asciiTheme="majorBidi" w:hAnsiTheme="majorBidi" w:cstheme="majorBidi"/>
          <w:sz w:val="28"/>
          <w:szCs w:val="28"/>
        </w:rPr>
        <w:t>.</w:t>
      </w:r>
    </w:p>
    <w:p w14:paraId="3108CA4B"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وتشير النظرية إلى أربعة أبعاد رئيسية للمرونة</w:t>
      </w:r>
      <w:r w:rsidRPr="004879E0">
        <w:rPr>
          <w:rFonts w:asciiTheme="majorBidi" w:hAnsiTheme="majorBidi" w:cstheme="majorBidi"/>
          <w:sz w:val="28"/>
          <w:szCs w:val="28"/>
        </w:rPr>
        <w:t>:</w:t>
      </w:r>
    </w:p>
    <w:p w14:paraId="39456DFF" w14:textId="77777777" w:rsidR="004879E0" w:rsidRPr="004879E0" w:rsidRDefault="004879E0" w:rsidP="004879E0">
      <w:pPr>
        <w:numPr>
          <w:ilvl w:val="0"/>
          <w:numId w:val="14"/>
        </w:numPr>
        <w:jc w:val="both"/>
        <w:rPr>
          <w:rFonts w:asciiTheme="majorBidi" w:hAnsiTheme="majorBidi" w:cstheme="majorBidi"/>
          <w:sz w:val="28"/>
          <w:szCs w:val="28"/>
        </w:rPr>
      </w:pPr>
      <w:r w:rsidRPr="004879E0">
        <w:rPr>
          <w:rFonts w:asciiTheme="majorBidi" w:hAnsiTheme="majorBidi" w:cstheme="majorBidi"/>
          <w:b/>
          <w:bCs/>
          <w:sz w:val="28"/>
          <w:szCs w:val="28"/>
          <w:rtl/>
        </w:rPr>
        <w:t>الاستعداد</w:t>
      </w:r>
      <w:r w:rsidRPr="004879E0">
        <w:rPr>
          <w:rFonts w:asciiTheme="majorBidi" w:hAnsiTheme="majorBidi" w:cstheme="majorBidi"/>
          <w:b/>
          <w:bCs/>
          <w:sz w:val="28"/>
          <w:szCs w:val="28"/>
        </w:rPr>
        <w:t xml:space="preserve"> (Preparedness):</w:t>
      </w:r>
      <w:r w:rsidRPr="004879E0">
        <w:rPr>
          <w:rFonts w:asciiTheme="majorBidi" w:hAnsiTheme="majorBidi" w:cstheme="majorBidi"/>
          <w:sz w:val="28"/>
          <w:szCs w:val="28"/>
        </w:rPr>
        <w:t> </w:t>
      </w:r>
      <w:r w:rsidRPr="004879E0">
        <w:rPr>
          <w:rFonts w:asciiTheme="majorBidi" w:hAnsiTheme="majorBidi" w:cstheme="majorBidi"/>
          <w:sz w:val="28"/>
          <w:szCs w:val="28"/>
          <w:rtl/>
        </w:rPr>
        <w:t>قدرة النظام الصحي على توقع المخاطر ووضع خطط استباقية للتعامل معها، بما يشمل التدريب، توفير الموارد، وتفعيل نظم الإنذار المبكر</w:t>
      </w:r>
      <w:r w:rsidRPr="004879E0">
        <w:rPr>
          <w:rFonts w:asciiTheme="majorBidi" w:hAnsiTheme="majorBidi" w:cstheme="majorBidi"/>
          <w:sz w:val="28"/>
          <w:szCs w:val="28"/>
        </w:rPr>
        <w:t>.</w:t>
      </w:r>
    </w:p>
    <w:p w14:paraId="3799A5CE" w14:textId="77777777" w:rsidR="004879E0" w:rsidRPr="004879E0" w:rsidRDefault="004879E0" w:rsidP="004879E0">
      <w:pPr>
        <w:numPr>
          <w:ilvl w:val="0"/>
          <w:numId w:val="14"/>
        </w:numPr>
        <w:jc w:val="both"/>
        <w:rPr>
          <w:rFonts w:asciiTheme="majorBidi" w:hAnsiTheme="majorBidi" w:cstheme="majorBidi"/>
          <w:sz w:val="28"/>
          <w:szCs w:val="28"/>
        </w:rPr>
      </w:pPr>
      <w:r w:rsidRPr="004879E0">
        <w:rPr>
          <w:rFonts w:asciiTheme="majorBidi" w:hAnsiTheme="majorBidi" w:cstheme="majorBidi"/>
          <w:b/>
          <w:bCs/>
          <w:sz w:val="28"/>
          <w:szCs w:val="28"/>
          <w:rtl/>
        </w:rPr>
        <w:t>الاستجابة الفعّالة</w:t>
      </w:r>
      <w:r w:rsidRPr="004879E0">
        <w:rPr>
          <w:rFonts w:asciiTheme="majorBidi" w:hAnsiTheme="majorBidi" w:cstheme="majorBidi"/>
          <w:b/>
          <w:bCs/>
          <w:sz w:val="28"/>
          <w:szCs w:val="28"/>
        </w:rPr>
        <w:t xml:space="preserve"> (Effective Response):</w:t>
      </w:r>
      <w:r w:rsidRPr="004879E0">
        <w:rPr>
          <w:rFonts w:asciiTheme="majorBidi" w:hAnsiTheme="majorBidi" w:cstheme="majorBidi"/>
          <w:sz w:val="28"/>
          <w:szCs w:val="28"/>
        </w:rPr>
        <w:t> </w:t>
      </w:r>
      <w:r w:rsidRPr="004879E0">
        <w:rPr>
          <w:rFonts w:asciiTheme="majorBidi" w:hAnsiTheme="majorBidi" w:cstheme="majorBidi"/>
          <w:sz w:val="28"/>
          <w:szCs w:val="28"/>
          <w:rtl/>
        </w:rPr>
        <w:t>الإجراءات المطبقة أثناء الكارثة لضمان استمرار الخدمات الحرجة، مثل إعادة توزيع الموارد وتنظيم الطواقم الطبية وإدارة الإمدادات الحيوية</w:t>
      </w:r>
      <w:r w:rsidRPr="004879E0">
        <w:rPr>
          <w:rFonts w:asciiTheme="majorBidi" w:hAnsiTheme="majorBidi" w:cstheme="majorBidi"/>
          <w:sz w:val="28"/>
          <w:szCs w:val="28"/>
        </w:rPr>
        <w:t>.</w:t>
      </w:r>
    </w:p>
    <w:p w14:paraId="1C7AA555" w14:textId="77777777" w:rsidR="004879E0" w:rsidRPr="004879E0" w:rsidRDefault="004879E0" w:rsidP="004879E0">
      <w:pPr>
        <w:numPr>
          <w:ilvl w:val="0"/>
          <w:numId w:val="14"/>
        </w:numPr>
        <w:jc w:val="both"/>
        <w:rPr>
          <w:rFonts w:asciiTheme="majorBidi" w:hAnsiTheme="majorBidi" w:cstheme="majorBidi"/>
          <w:sz w:val="28"/>
          <w:szCs w:val="28"/>
        </w:rPr>
      </w:pPr>
      <w:r w:rsidRPr="004879E0">
        <w:rPr>
          <w:rFonts w:asciiTheme="majorBidi" w:hAnsiTheme="majorBidi" w:cstheme="majorBidi"/>
          <w:b/>
          <w:bCs/>
          <w:sz w:val="28"/>
          <w:szCs w:val="28"/>
          <w:rtl/>
        </w:rPr>
        <w:t>القدرة على التكيف</w:t>
      </w:r>
      <w:r w:rsidRPr="004879E0">
        <w:rPr>
          <w:rFonts w:asciiTheme="majorBidi" w:hAnsiTheme="majorBidi" w:cstheme="majorBidi"/>
          <w:b/>
          <w:bCs/>
          <w:sz w:val="28"/>
          <w:szCs w:val="28"/>
        </w:rPr>
        <w:t xml:space="preserve"> (Adaptability):</w:t>
      </w:r>
      <w:r w:rsidRPr="004879E0">
        <w:rPr>
          <w:rFonts w:asciiTheme="majorBidi" w:hAnsiTheme="majorBidi" w:cstheme="majorBidi"/>
          <w:sz w:val="28"/>
          <w:szCs w:val="28"/>
        </w:rPr>
        <w:t> </w:t>
      </w:r>
      <w:r w:rsidRPr="004879E0">
        <w:rPr>
          <w:rFonts w:asciiTheme="majorBidi" w:hAnsiTheme="majorBidi" w:cstheme="majorBidi"/>
          <w:sz w:val="28"/>
          <w:szCs w:val="28"/>
          <w:rtl/>
        </w:rPr>
        <w:t>مرونة النظام في تعديل خططه وموارده وفق تغير طبيعة الكارثة، لضمان استمرارية العمليات الحرجة تحت ضغوط متغيرة</w:t>
      </w:r>
      <w:r w:rsidRPr="004879E0">
        <w:rPr>
          <w:rFonts w:asciiTheme="majorBidi" w:hAnsiTheme="majorBidi" w:cstheme="majorBidi"/>
          <w:sz w:val="28"/>
          <w:szCs w:val="28"/>
        </w:rPr>
        <w:t>.</w:t>
      </w:r>
    </w:p>
    <w:p w14:paraId="28256B06" w14:textId="77777777" w:rsidR="004879E0" w:rsidRPr="004879E0" w:rsidRDefault="004879E0" w:rsidP="004879E0">
      <w:pPr>
        <w:numPr>
          <w:ilvl w:val="0"/>
          <w:numId w:val="14"/>
        </w:numPr>
        <w:jc w:val="both"/>
        <w:rPr>
          <w:rFonts w:asciiTheme="majorBidi" w:hAnsiTheme="majorBidi" w:cstheme="majorBidi"/>
          <w:sz w:val="28"/>
          <w:szCs w:val="28"/>
        </w:rPr>
      </w:pPr>
      <w:r w:rsidRPr="004879E0">
        <w:rPr>
          <w:rFonts w:asciiTheme="majorBidi" w:hAnsiTheme="majorBidi" w:cstheme="majorBidi"/>
          <w:b/>
          <w:bCs/>
          <w:sz w:val="28"/>
          <w:szCs w:val="28"/>
          <w:rtl/>
        </w:rPr>
        <w:t>القدرة على التعافي السريع</w:t>
      </w:r>
      <w:r w:rsidRPr="004879E0">
        <w:rPr>
          <w:rFonts w:asciiTheme="majorBidi" w:hAnsiTheme="majorBidi" w:cstheme="majorBidi"/>
          <w:b/>
          <w:bCs/>
          <w:sz w:val="28"/>
          <w:szCs w:val="28"/>
        </w:rPr>
        <w:t xml:space="preserve"> (Rapid Recovery):</w:t>
      </w:r>
      <w:r w:rsidRPr="004879E0">
        <w:rPr>
          <w:rFonts w:asciiTheme="majorBidi" w:hAnsiTheme="majorBidi" w:cstheme="majorBidi"/>
          <w:sz w:val="28"/>
          <w:szCs w:val="28"/>
        </w:rPr>
        <w:t> </w:t>
      </w:r>
      <w:r w:rsidRPr="004879E0">
        <w:rPr>
          <w:rFonts w:asciiTheme="majorBidi" w:hAnsiTheme="majorBidi" w:cstheme="majorBidi"/>
          <w:sz w:val="28"/>
          <w:szCs w:val="28"/>
          <w:rtl/>
        </w:rPr>
        <w:t>استعادة الوظائف الحيوية للنظام بعد انقضاء الأزمة وتقليل فترة الانقطاع في الخدمات الصحية</w:t>
      </w:r>
      <w:r w:rsidRPr="004879E0">
        <w:rPr>
          <w:rFonts w:asciiTheme="majorBidi" w:hAnsiTheme="majorBidi" w:cstheme="majorBidi"/>
          <w:sz w:val="28"/>
          <w:szCs w:val="28"/>
        </w:rPr>
        <w:t xml:space="preserve"> (World Health Organization, 2021).</w:t>
      </w:r>
    </w:p>
    <w:p w14:paraId="3E87810C"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وتعتمد هذه النظرية على فكرة أن الأنظمة الصحية التي تتمتع بمرونة أعلى تكون أقل عرضة للانقطاع أثناء الكوارث، وأن ظهور علامات ضعف في القدرة الاستيعابية أو الجاهزية يُعد مؤشراً مبكراً على احتمالية فشل النظام في الحفاظ على الخدمات الحرجة. كما تتيح النظرية فهم كيفية تفاعل متغيرات البحث مثل الجاهزية، القدرة الاستيعابية، وقابلية الانكشاف، لتحديد النقاط التي يبدأ عندها النظام بفقدان السيطرة على الخدمات الصحية</w:t>
      </w:r>
      <w:r w:rsidRPr="004879E0">
        <w:rPr>
          <w:rFonts w:asciiTheme="majorBidi" w:hAnsiTheme="majorBidi" w:cstheme="majorBidi"/>
          <w:sz w:val="28"/>
          <w:szCs w:val="28"/>
        </w:rPr>
        <w:t>.</w:t>
      </w:r>
    </w:p>
    <w:p w14:paraId="6F6E8837"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ولهذا تُعد نظرية المرونة الصحية الأساس الأقوى لتفسير العلاقات بين المتغيرات في بحثك، لأنها تُركّز على كيفية تحوّل الضغط الناتج عن الكوارث إلى انقطاع فعلي، وتوفر إطاراً لتطوير مؤشرات إنذار مبكر دقيقة، تعكس قدرة النظام الصحي على الصمود، التكيف، والاستجابة في الوقت المناسب للحفاظ على استمرارية الخدمات الحرجة وحماية الصحة العامة</w:t>
      </w:r>
      <w:r w:rsidRPr="004879E0">
        <w:rPr>
          <w:rFonts w:asciiTheme="majorBidi" w:hAnsiTheme="majorBidi" w:cstheme="majorBidi"/>
          <w:sz w:val="28"/>
          <w:szCs w:val="28"/>
        </w:rPr>
        <w:t>.</w:t>
      </w:r>
    </w:p>
    <w:p w14:paraId="562A2346" w14:textId="441DB996"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2.19</w:t>
      </w:r>
      <w:r w:rsidR="00F91A6C" w:rsidRPr="00F91A6C">
        <w:rPr>
          <w:rFonts w:asciiTheme="majorBidi" w:hAnsiTheme="majorBidi" w:cstheme="majorBidi"/>
          <w:b/>
          <w:bCs/>
          <w:sz w:val="28"/>
          <w:szCs w:val="28"/>
          <w:rtl/>
        </w:rPr>
        <w:t>إطار سنداي للحد من مخاطر الكوارث</w:t>
      </w:r>
      <w:r w:rsidR="00F91A6C" w:rsidRPr="00F91A6C">
        <w:rPr>
          <w:rFonts w:asciiTheme="majorBidi" w:hAnsiTheme="majorBidi" w:cstheme="majorBidi"/>
          <w:b/>
          <w:bCs/>
          <w:sz w:val="28"/>
          <w:szCs w:val="28"/>
        </w:rPr>
        <w:t xml:space="preserve"> (Sendai Framework for Disaster Risk Reduction)</w:t>
      </w:r>
    </w:p>
    <w:p w14:paraId="018C628F"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يُعد إطار سنداي الذي أقرّته الأمم المتحدة عام 2015 أحد أهم المراجع العالمية لإدارة المخاطر، ويُعرِّف الكوارث بأنها نتيجة تفاعل الخطر مع قابلية الانكشاف والضعف البنيوي، مما يوضح أن الكوارث ليست مجرد أحداث طبيعية، بل هي نتاج العلاقة بين الحدث الطبيعي ونقاط ضعف النظام الاجتماعي والصحي</w:t>
      </w:r>
      <w:r w:rsidRPr="004879E0">
        <w:rPr>
          <w:rFonts w:asciiTheme="majorBidi" w:hAnsiTheme="majorBidi" w:cstheme="majorBidi"/>
          <w:sz w:val="28"/>
          <w:szCs w:val="28"/>
        </w:rPr>
        <w:t xml:space="preserve"> (UNDRR, 2015).</w:t>
      </w:r>
    </w:p>
    <w:p w14:paraId="01ADB0DD"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ويُحدّد الإطار أربعة أولويات رئيسية</w:t>
      </w:r>
      <w:r w:rsidRPr="004879E0">
        <w:rPr>
          <w:rFonts w:asciiTheme="majorBidi" w:hAnsiTheme="majorBidi" w:cstheme="majorBidi"/>
          <w:sz w:val="28"/>
          <w:szCs w:val="28"/>
        </w:rPr>
        <w:t>:</w:t>
      </w:r>
    </w:p>
    <w:p w14:paraId="7F66C881" w14:textId="77777777" w:rsidR="004879E0" w:rsidRPr="004879E0" w:rsidRDefault="004879E0" w:rsidP="004879E0">
      <w:pPr>
        <w:numPr>
          <w:ilvl w:val="0"/>
          <w:numId w:val="15"/>
        </w:numPr>
        <w:jc w:val="both"/>
        <w:rPr>
          <w:rFonts w:asciiTheme="majorBidi" w:hAnsiTheme="majorBidi" w:cstheme="majorBidi"/>
          <w:sz w:val="28"/>
          <w:szCs w:val="28"/>
        </w:rPr>
      </w:pPr>
      <w:r w:rsidRPr="004879E0">
        <w:rPr>
          <w:rFonts w:asciiTheme="majorBidi" w:hAnsiTheme="majorBidi" w:cstheme="majorBidi"/>
          <w:b/>
          <w:bCs/>
          <w:sz w:val="28"/>
          <w:szCs w:val="28"/>
          <w:rtl/>
        </w:rPr>
        <w:t>فهم المخاطر</w:t>
      </w:r>
      <w:r w:rsidRPr="004879E0">
        <w:rPr>
          <w:rFonts w:asciiTheme="majorBidi" w:hAnsiTheme="majorBidi" w:cstheme="majorBidi"/>
          <w:b/>
          <w:bCs/>
          <w:sz w:val="28"/>
          <w:szCs w:val="28"/>
        </w:rPr>
        <w:t xml:space="preserve"> (Understanding Risk):</w:t>
      </w:r>
      <w:r w:rsidRPr="004879E0">
        <w:rPr>
          <w:rFonts w:asciiTheme="majorBidi" w:hAnsiTheme="majorBidi" w:cstheme="majorBidi"/>
          <w:sz w:val="28"/>
          <w:szCs w:val="28"/>
        </w:rPr>
        <w:t> </w:t>
      </w:r>
      <w:r w:rsidRPr="004879E0">
        <w:rPr>
          <w:rFonts w:asciiTheme="majorBidi" w:hAnsiTheme="majorBidi" w:cstheme="majorBidi"/>
          <w:sz w:val="28"/>
          <w:szCs w:val="28"/>
          <w:rtl/>
        </w:rPr>
        <w:t>تحليل المخاطر الطبيعية والاصطناعية، تحديد نقاط الانكشاف، وتقييم تأثيرها المحتمل على الخدمات الحيوية، بما في ذلك الصحة</w:t>
      </w:r>
      <w:r w:rsidRPr="004879E0">
        <w:rPr>
          <w:rFonts w:asciiTheme="majorBidi" w:hAnsiTheme="majorBidi" w:cstheme="majorBidi"/>
          <w:sz w:val="28"/>
          <w:szCs w:val="28"/>
        </w:rPr>
        <w:t>.</w:t>
      </w:r>
    </w:p>
    <w:p w14:paraId="2526E760" w14:textId="77777777" w:rsidR="004879E0" w:rsidRPr="004879E0" w:rsidRDefault="004879E0" w:rsidP="004879E0">
      <w:pPr>
        <w:numPr>
          <w:ilvl w:val="0"/>
          <w:numId w:val="15"/>
        </w:numPr>
        <w:jc w:val="both"/>
        <w:rPr>
          <w:rFonts w:asciiTheme="majorBidi" w:hAnsiTheme="majorBidi" w:cstheme="majorBidi"/>
          <w:sz w:val="28"/>
          <w:szCs w:val="28"/>
        </w:rPr>
      </w:pPr>
      <w:r w:rsidRPr="004879E0">
        <w:rPr>
          <w:rFonts w:asciiTheme="majorBidi" w:hAnsiTheme="majorBidi" w:cstheme="majorBidi"/>
          <w:b/>
          <w:bCs/>
          <w:sz w:val="28"/>
          <w:szCs w:val="28"/>
          <w:rtl/>
        </w:rPr>
        <w:t>تعزيز الحوكمة لإدارة مخاطر الكوارث</w:t>
      </w:r>
      <w:r w:rsidRPr="004879E0">
        <w:rPr>
          <w:rFonts w:asciiTheme="majorBidi" w:hAnsiTheme="majorBidi" w:cstheme="majorBidi"/>
          <w:b/>
          <w:bCs/>
          <w:sz w:val="28"/>
          <w:szCs w:val="28"/>
        </w:rPr>
        <w:t xml:space="preserve"> (Strengthening Governance):</w:t>
      </w:r>
      <w:r w:rsidRPr="004879E0">
        <w:rPr>
          <w:rFonts w:asciiTheme="majorBidi" w:hAnsiTheme="majorBidi" w:cstheme="majorBidi"/>
          <w:sz w:val="28"/>
          <w:szCs w:val="28"/>
        </w:rPr>
        <w:t> </w:t>
      </w:r>
      <w:r w:rsidRPr="004879E0">
        <w:rPr>
          <w:rFonts w:asciiTheme="majorBidi" w:hAnsiTheme="majorBidi" w:cstheme="majorBidi"/>
          <w:sz w:val="28"/>
          <w:szCs w:val="28"/>
          <w:rtl/>
        </w:rPr>
        <w:t>وضع سياسات وتشريعات واضحة، وتعزيز التنسيق بين الجهات الحكومية وغير الحكومية لضمان إدارة فعّالة للمخاطر</w:t>
      </w:r>
      <w:r w:rsidRPr="004879E0">
        <w:rPr>
          <w:rFonts w:asciiTheme="majorBidi" w:hAnsiTheme="majorBidi" w:cstheme="majorBidi"/>
          <w:sz w:val="28"/>
          <w:szCs w:val="28"/>
        </w:rPr>
        <w:t>.</w:t>
      </w:r>
    </w:p>
    <w:p w14:paraId="60870565" w14:textId="77777777" w:rsidR="004879E0" w:rsidRPr="004879E0" w:rsidRDefault="004879E0" w:rsidP="004879E0">
      <w:pPr>
        <w:numPr>
          <w:ilvl w:val="0"/>
          <w:numId w:val="15"/>
        </w:numPr>
        <w:jc w:val="both"/>
        <w:rPr>
          <w:rFonts w:asciiTheme="majorBidi" w:hAnsiTheme="majorBidi" w:cstheme="majorBidi"/>
          <w:sz w:val="28"/>
          <w:szCs w:val="28"/>
        </w:rPr>
      </w:pPr>
      <w:r w:rsidRPr="004879E0">
        <w:rPr>
          <w:rFonts w:asciiTheme="majorBidi" w:hAnsiTheme="majorBidi" w:cstheme="majorBidi"/>
          <w:b/>
          <w:bCs/>
          <w:sz w:val="28"/>
          <w:szCs w:val="28"/>
          <w:rtl/>
        </w:rPr>
        <w:t>الاستثمار في الحد من المخاطر</w:t>
      </w:r>
      <w:r w:rsidRPr="004879E0">
        <w:rPr>
          <w:rFonts w:asciiTheme="majorBidi" w:hAnsiTheme="majorBidi" w:cstheme="majorBidi"/>
          <w:b/>
          <w:bCs/>
          <w:sz w:val="28"/>
          <w:szCs w:val="28"/>
        </w:rPr>
        <w:t xml:space="preserve"> (Investing in Risk Reduction):</w:t>
      </w:r>
      <w:r w:rsidRPr="004879E0">
        <w:rPr>
          <w:rFonts w:asciiTheme="majorBidi" w:hAnsiTheme="majorBidi" w:cstheme="majorBidi"/>
          <w:sz w:val="28"/>
          <w:szCs w:val="28"/>
        </w:rPr>
        <w:t> </w:t>
      </w:r>
      <w:r w:rsidRPr="004879E0">
        <w:rPr>
          <w:rFonts w:asciiTheme="majorBidi" w:hAnsiTheme="majorBidi" w:cstheme="majorBidi"/>
          <w:sz w:val="28"/>
          <w:szCs w:val="28"/>
          <w:rtl/>
        </w:rPr>
        <w:t>توجيه الموارد نحو تعزيز البنية التحتية، تدريب الكوادر، وتأمين الإمدادات الحيوية لتقليل احتمال الانقطاع</w:t>
      </w:r>
      <w:r w:rsidRPr="004879E0">
        <w:rPr>
          <w:rFonts w:asciiTheme="majorBidi" w:hAnsiTheme="majorBidi" w:cstheme="majorBidi"/>
          <w:sz w:val="28"/>
          <w:szCs w:val="28"/>
        </w:rPr>
        <w:t>.</w:t>
      </w:r>
    </w:p>
    <w:p w14:paraId="36E6E462" w14:textId="77777777" w:rsidR="004879E0" w:rsidRPr="004879E0" w:rsidRDefault="004879E0" w:rsidP="004879E0">
      <w:pPr>
        <w:numPr>
          <w:ilvl w:val="0"/>
          <w:numId w:val="15"/>
        </w:numPr>
        <w:jc w:val="both"/>
        <w:rPr>
          <w:rFonts w:asciiTheme="majorBidi" w:hAnsiTheme="majorBidi" w:cstheme="majorBidi"/>
          <w:sz w:val="28"/>
          <w:szCs w:val="28"/>
        </w:rPr>
      </w:pPr>
      <w:r w:rsidRPr="004879E0">
        <w:rPr>
          <w:rFonts w:asciiTheme="majorBidi" w:hAnsiTheme="majorBidi" w:cstheme="majorBidi"/>
          <w:b/>
          <w:bCs/>
          <w:sz w:val="28"/>
          <w:szCs w:val="28"/>
          <w:rtl/>
        </w:rPr>
        <w:t>تعزيز الجاهزية من خلال نظم الإنذار المبكر</w:t>
      </w:r>
      <w:r w:rsidRPr="004879E0">
        <w:rPr>
          <w:rFonts w:asciiTheme="majorBidi" w:hAnsiTheme="majorBidi" w:cstheme="majorBidi"/>
          <w:b/>
          <w:bCs/>
          <w:sz w:val="28"/>
          <w:szCs w:val="28"/>
        </w:rPr>
        <w:t xml:space="preserve"> (Enhancing Preparedness &amp; Early Warning):</w:t>
      </w:r>
      <w:r w:rsidRPr="004879E0">
        <w:rPr>
          <w:rFonts w:asciiTheme="majorBidi" w:hAnsiTheme="majorBidi" w:cstheme="majorBidi"/>
          <w:sz w:val="28"/>
          <w:szCs w:val="28"/>
        </w:rPr>
        <w:t> </w:t>
      </w:r>
      <w:r w:rsidRPr="004879E0">
        <w:rPr>
          <w:rFonts w:asciiTheme="majorBidi" w:hAnsiTheme="majorBidi" w:cstheme="majorBidi"/>
          <w:sz w:val="28"/>
          <w:szCs w:val="28"/>
          <w:rtl/>
        </w:rPr>
        <w:t>تطوير أنظمة الإنذار المبكر لتقديم إشارات مبكرة حول احتمالية وقوع انقطاع في الخدمات الصحية الحيوية، مما يمكّن صناع القرار من اتخاذ التدابير الاستباقية</w:t>
      </w:r>
      <w:r w:rsidRPr="004879E0">
        <w:rPr>
          <w:rFonts w:asciiTheme="majorBidi" w:hAnsiTheme="majorBidi" w:cstheme="majorBidi"/>
          <w:sz w:val="28"/>
          <w:szCs w:val="28"/>
        </w:rPr>
        <w:t xml:space="preserve"> (UNDRR, 2023).</w:t>
      </w:r>
    </w:p>
    <w:p w14:paraId="52D464A2"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ويؤكد الإطار أن الإنذار المبكر هو الأداة الأكثر فعالية للتقليل من الانقطاع في الخدمات الحيوية، وخاصة الصحية، لأنه يسمح باتخاذ إجراءات وقائية قبل وقوع التأثير الفعلي. ويتميّز إطار سنداي بأنه يربط بين المخاطر، الانكشاف، القدرة، والاستجابة، وهي المتغيرات الأساسية التي يعتمد عليها بحثك عند تطوير المؤشر المبكر</w:t>
      </w:r>
      <w:r w:rsidRPr="004879E0">
        <w:rPr>
          <w:rFonts w:asciiTheme="majorBidi" w:hAnsiTheme="majorBidi" w:cstheme="majorBidi"/>
          <w:sz w:val="28"/>
          <w:szCs w:val="28"/>
        </w:rPr>
        <w:t>.</w:t>
      </w:r>
    </w:p>
    <w:p w14:paraId="39257D4F" w14:textId="77777777" w:rsidR="004879E0" w:rsidRPr="004879E0" w:rsidRDefault="004879E0" w:rsidP="004879E0">
      <w:pPr>
        <w:jc w:val="both"/>
        <w:rPr>
          <w:rFonts w:asciiTheme="majorBidi" w:hAnsiTheme="majorBidi" w:cstheme="majorBidi"/>
          <w:sz w:val="28"/>
          <w:szCs w:val="28"/>
        </w:rPr>
      </w:pPr>
      <w:r w:rsidRPr="004879E0">
        <w:rPr>
          <w:rFonts w:asciiTheme="majorBidi" w:hAnsiTheme="majorBidi" w:cstheme="majorBidi"/>
          <w:sz w:val="28"/>
          <w:szCs w:val="28"/>
          <w:rtl/>
        </w:rPr>
        <w:t>كما يُعد الإطار مرجعاً عملياً لتصميم سياسات وتطبيقات مؤشرات التحذير المبكر، حيث يوفر نهجاً متكاملاً يجمع بين تقييم المخاطر، تعزيز المرونة، وتحسين القدرة التشغيلية للنظام الصحي، مما يسهم في الحد من الآثار الصحية السلبية للكوارث الطبيعية ويضمن استمرارية الخدمات الحرجة</w:t>
      </w:r>
      <w:r w:rsidRPr="004879E0">
        <w:rPr>
          <w:rFonts w:asciiTheme="majorBidi" w:hAnsiTheme="majorBidi" w:cstheme="majorBidi"/>
          <w:sz w:val="28"/>
          <w:szCs w:val="28"/>
        </w:rPr>
        <w:t>.</w:t>
      </w:r>
    </w:p>
    <w:p w14:paraId="128ABBB2" w14:textId="39315A04"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2.20</w:t>
      </w:r>
      <w:r w:rsidR="00F91A6C" w:rsidRPr="00F91A6C">
        <w:rPr>
          <w:rFonts w:asciiTheme="majorBidi" w:hAnsiTheme="majorBidi" w:cstheme="majorBidi"/>
          <w:b/>
          <w:bCs/>
          <w:sz w:val="28"/>
          <w:szCs w:val="28"/>
        </w:rPr>
        <w:t xml:space="preserve"> </w:t>
      </w:r>
      <w:r w:rsidR="00F91A6C" w:rsidRPr="00F91A6C">
        <w:rPr>
          <w:rFonts w:asciiTheme="majorBidi" w:hAnsiTheme="majorBidi" w:cstheme="majorBidi"/>
          <w:b/>
          <w:bCs/>
          <w:sz w:val="28"/>
          <w:szCs w:val="28"/>
          <w:rtl/>
        </w:rPr>
        <w:t>نموذج إدارة مخاطر الكوارث الصحية</w:t>
      </w:r>
      <w:r w:rsidR="00F91A6C" w:rsidRPr="00F91A6C">
        <w:rPr>
          <w:rFonts w:asciiTheme="majorBidi" w:hAnsiTheme="majorBidi" w:cstheme="majorBidi"/>
          <w:b/>
          <w:bCs/>
          <w:sz w:val="28"/>
          <w:szCs w:val="28"/>
        </w:rPr>
        <w:t xml:space="preserve"> (Health Disaster Risk Management – Health DRM Model)</w:t>
      </w:r>
    </w:p>
    <w:p w14:paraId="30F70298"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يُعد نموذج</w:t>
      </w:r>
      <w:r w:rsidRPr="00752E9E">
        <w:rPr>
          <w:rFonts w:asciiTheme="majorBidi" w:hAnsiTheme="majorBidi" w:cstheme="majorBidi"/>
          <w:sz w:val="28"/>
          <w:szCs w:val="28"/>
        </w:rPr>
        <w:t xml:space="preserve"> DRM </w:t>
      </w:r>
      <w:r w:rsidRPr="00752E9E">
        <w:rPr>
          <w:rFonts w:asciiTheme="majorBidi" w:hAnsiTheme="majorBidi" w:cstheme="majorBidi"/>
          <w:sz w:val="28"/>
          <w:szCs w:val="28"/>
          <w:rtl/>
        </w:rPr>
        <w:t>الصحي إطاراً تشغيلياً طورته منظمة الصحة العالمية لتمكين الأنظمة الصحية من إدارة المخاطر خلال دورة الكارثة كاملة، بدءاً من التقييم الاستباقي وحتى التعافي</w:t>
      </w:r>
      <w:r w:rsidRPr="00752E9E">
        <w:rPr>
          <w:rFonts w:asciiTheme="majorBidi" w:hAnsiTheme="majorBidi" w:cstheme="majorBidi"/>
          <w:sz w:val="28"/>
          <w:szCs w:val="28"/>
        </w:rPr>
        <w:t xml:space="preserve"> (World Health Organization, 2021). </w:t>
      </w:r>
      <w:r w:rsidRPr="00752E9E">
        <w:rPr>
          <w:rFonts w:asciiTheme="majorBidi" w:hAnsiTheme="majorBidi" w:cstheme="majorBidi"/>
          <w:sz w:val="28"/>
          <w:szCs w:val="28"/>
          <w:rtl/>
        </w:rPr>
        <w:t>ويُوفّر النموذج منهجية متكاملة لفهم كيفية تفاعل مختلف عناصر النظام الصحي مع الضغوط الناتجة عن الكوارث، بما يشمل البنية التحتية، القوى العاملة، الإمدادات الحيوية، والإجراءات التشغيلية</w:t>
      </w:r>
      <w:r w:rsidRPr="00752E9E">
        <w:rPr>
          <w:rFonts w:asciiTheme="majorBidi" w:hAnsiTheme="majorBidi" w:cstheme="majorBidi"/>
          <w:sz w:val="28"/>
          <w:szCs w:val="28"/>
        </w:rPr>
        <w:t>.</w:t>
      </w:r>
    </w:p>
    <w:p w14:paraId="0F2B3BBE"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ويشمل النموذج ستة مكوّنات رئيسية</w:t>
      </w:r>
      <w:r w:rsidRPr="00752E9E">
        <w:rPr>
          <w:rFonts w:asciiTheme="majorBidi" w:hAnsiTheme="majorBidi" w:cstheme="majorBidi"/>
          <w:sz w:val="28"/>
          <w:szCs w:val="28"/>
        </w:rPr>
        <w:t>:</w:t>
      </w:r>
    </w:p>
    <w:p w14:paraId="089F962F"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تقييم المخاطر الصحية</w:t>
      </w:r>
      <w:r w:rsidRPr="00752E9E">
        <w:rPr>
          <w:rFonts w:asciiTheme="majorBidi" w:hAnsiTheme="majorBidi" w:cstheme="majorBidi"/>
          <w:b/>
          <w:bCs/>
          <w:sz w:val="28"/>
          <w:szCs w:val="28"/>
        </w:rPr>
        <w:t xml:space="preserve"> (Health Risk Assessment):</w:t>
      </w:r>
      <w:r w:rsidRPr="00752E9E">
        <w:rPr>
          <w:rFonts w:asciiTheme="majorBidi" w:hAnsiTheme="majorBidi" w:cstheme="majorBidi"/>
          <w:sz w:val="28"/>
          <w:szCs w:val="28"/>
        </w:rPr>
        <w:t> </w:t>
      </w:r>
      <w:r w:rsidRPr="00752E9E">
        <w:rPr>
          <w:rFonts w:asciiTheme="majorBidi" w:hAnsiTheme="majorBidi" w:cstheme="majorBidi"/>
          <w:sz w:val="28"/>
          <w:szCs w:val="28"/>
          <w:rtl/>
        </w:rPr>
        <w:t>تحليل احتمالية وقوع الأحداث الضارة وتأثيرها على النظام الصحي لتحديد نقاط الانكشاف</w:t>
      </w:r>
      <w:r w:rsidRPr="00752E9E">
        <w:rPr>
          <w:rFonts w:asciiTheme="majorBidi" w:hAnsiTheme="majorBidi" w:cstheme="majorBidi"/>
          <w:sz w:val="28"/>
          <w:szCs w:val="28"/>
        </w:rPr>
        <w:t>.</w:t>
      </w:r>
    </w:p>
    <w:p w14:paraId="6D51385A"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الوقاية والتخفيف</w:t>
      </w:r>
      <w:r w:rsidRPr="00752E9E">
        <w:rPr>
          <w:rFonts w:asciiTheme="majorBidi" w:hAnsiTheme="majorBidi" w:cstheme="majorBidi"/>
          <w:b/>
          <w:bCs/>
          <w:sz w:val="28"/>
          <w:szCs w:val="28"/>
        </w:rPr>
        <w:t xml:space="preserve"> (Prevention &amp; Mitigation):</w:t>
      </w:r>
      <w:r w:rsidRPr="00752E9E">
        <w:rPr>
          <w:rFonts w:asciiTheme="majorBidi" w:hAnsiTheme="majorBidi" w:cstheme="majorBidi"/>
          <w:sz w:val="28"/>
          <w:szCs w:val="28"/>
        </w:rPr>
        <w:t> </w:t>
      </w:r>
      <w:r w:rsidRPr="00752E9E">
        <w:rPr>
          <w:rFonts w:asciiTheme="majorBidi" w:hAnsiTheme="majorBidi" w:cstheme="majorBidi"/>
          <w:sz w:val="28"/>
          <w:szCs w:val="28"/>
          <w:rtl/>
        </w:rPr>
        <w:t>اتخاذ إجراءات تقلل من آثار الكوارث المحتملة، مثل تعزيز البنية التحتية وحماية الإمدادات الحيوية</w:t>
      </w:r>
      <w:r w:rsidRPr="00752E9E">
        <w:rPr>
          <w:rFonts w:asciiTheme="majorBidi" w:hAnsiTheme="majorBidi" w:cstheme="majorBidi"/>
          <w:sz w:val="28"/>
          <w:szCs w:val="28"/>
        </w:rPr>
        <w:t>.</w:t>
      </w:r>
    </w:p>
    <w:p w14:paraId="5FEBC623"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الجاهزية والتأهب</w:t>
      </w:r>
      <w:r w:rsidRPr="00752E9E">
        <w:rPr>
          <w:rFonts w:asciiTheme="majorBidi" w:hAnsiTheme="majorBidi" w:cstheme="majorBidi"/>
          <w:b/>
          <w:bCs/>
          <w:sz w:val="28"/>
          <w:szCs w:val="28"/>
        </w:rPr>
        <w:t xml:space="preserve"> (Preparedness):</w:t>
      </w:r>
      <w:r w:rsidRPr="00752E9E">
        <w:rPr>
          <w:rFonts w:asciiTheme="majorBidi" w:hAnsiTheme="majorBidi" w:cstheme="majorBidi"/>
          <w:sz w:val="28"/>
          <w:szCs w:val="28"/>
        </w:rPr>
        <w:t> </w:t>
      </w:r>
      <w:r w:rsidRPr="00752E9E">
        <w:rPr>
          <w:rFonts w:asciiTheme="majorBidi" w:hAnsiTheme="majorBidi" w:cstheme="majorBidi"/>
          <w:sz w:val="28"/>
          <w:szCs w:val="28"/>
          <w:rtl/>
        </w:rPr>
        <w:t>وضع خطط الطوارئ، تدريب الفرق الطبية، وتأمين موارد كافية لضمان استمرار الخدمات أثناء الكارثة</w:t>
      </w:r>
      <w:r w:rsidRPr="00752E9E">
        <w:rPr>
          <w:rFonts w:asciiTheme="majorBidi" w:hAnsiTheme="majorBidi" w:cstheme="majorBidi"/>
          <w:sz w:val="28"/>
          <w:szCs w:val="28"/>
        </w:rPr>
        <w:t>.</w:t>
      </w:r>
    </w:p>
    <w:p w14:paraId="731D06DA"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الاستجابة أثناء الكارثة</w:t>
      </w:r>
      <w:r w:rsidRPr="00752E9E">
        <w:rPr>
          <w:rFonts w:asciiTheme="majorBidi" w:hAnsiTheme="majorBidi" w:cstheme="majorBidi"/>
          <w:b/>
          <w:bCs/>
          <w:sz w:val="28"/>
          <w:szCs w:val="28"/>
        </w:rPr>
        <w:t xml:space="preserve"> (Response):</w:t>
      </w:r>
      <w:r w:rsidRPr="00752E9E">
        <w:rPr>
          <w:rFonts w:asciiTheme="majorBidi" w:hAnsiTheme="majorBidi" w:cstheme="majorBidi"/>
          <w:sz w:val="28"/>
          <w:szCs w:val="28"/>
        </w:rPr>
        <w:t> </w:t>
      </w:r>
      <w:r w:rsidRPr="00752E9E">
        <w:rPr>
          <w:rFonts w:asciiTheme="majorBidi" w:hAnsiTheme="majorBidi" w:cstheme="majorBidi"/>
          <w:sz w:val="28"/>
          <w:szCs w:val="28"/>
          <w:rtl/>
        </w:rPr>
        <w:t>الإجراءات المطبقة في وقت وقوع الكارثة للحفاظ على استمرارية الخدمات الحيوية وتقليل الأضرار</w:t>
      </w:r>
      <w:r w:rsidRPr="00752E9E">
        <w:rPr>
          <w:rFonts w:asciiTheme="majorBidi" w:hAnsiTheme="majorBidi" w:cstheme="majorBidi"/>
          <w:sz w:val="28"/>
          <w:szCs w:val="28"/>
        </w:rPr>
        <w:t>.</w:t>
      </w:r>
    </w:p>
    <w:p w14:paraId="3B9CC6BE"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التعافي واستعادة الخدمات</w:t>
      </w:r>
      <w:r w:rsidRPr="00752E9E">
        <w:rPr>
          <w:rFonts w:asciiTheme="majorBidi" w:hAnsiTheme="majorBidi" w:cstheme="majorBidi"/>
          <w:b/>
          <w:bCs/>
          <w:sz w:val="28"/>
          <w:szCs w:val="28"/>
        </w:rPr>
        <w:t xml:space="preserve"> (Recovery):</w:t>
      </w:r>
      <w:r w:rsidRPr="00752E9E">
        <w:rPr>
          <w:rFonts w:asciiTheme="majorBidi" w:hAnsiTheme="majorBidi" w:cstheme="majorBidi"/>
          <w:sz w:val="28"/>
          <w:szCs w:val="28"/>
        </w:rPr>
        <w:t> </w:t>
      </w:r>
      <w:r w:rsidRPr="00752E9E">
        <w:rPr>
          <w:rFonts w:asciiTheme="majorBidi" w:hAnsiTheme="majorBidi" w:cstheme="majorBidi"/>
          <w:sz w:val="28"/>
          <w:szCs w:val="28"/>
          <w:rtl/>
        </w:rPr>
        <w:t>استعادة القدرات التشغيلية للنظام الصحي بعد انتهاء الأزمة، بما يشمل إعادة تأهيل البنية التحتية واستعادة الثقة المجتمعية</w:t>
      </w:r>
      <w:r w:rsidRPr="00752E9E">
        <w:rPr>
          <w:rFonts w:asciiTheme="majorBidi" w:hAnsiTheme="majorBidi" w:cstheme="majorBidi"/>
          <w:sz w:val="28"/>
          <w:szCs w:val="28"/>
        </w:rPr>
        <w:t>.</w:t>
      </w:r>
    </w:p>
    <w:p w14:paraId="08813015" w14:textId="77777777" w:rsidR="00752E9E" w:rsidRPr="00752E9E" w:rsidRDefault="00752E9E" w:rsidP="00752E9E">
      <w:pPr>
        <w:numPr>
          <w:ilvl w:val="0"/>
          <w:numId w:val="16"/>
        </w:numPr>
        <w:jc w:val="both"/>
        <w:rPr>
          <w:rFonts w:asciiTheme="majorBidi" w:hAnsiTheme="majorBidi" w:cstheme="majorBidi"/>
          <w:sz w:val="28"/>
          <w:szCs w:val="28"/>
        </w:rPr>
      </w:pPr>
      <w:r w:rsidRPr="00752E9E">
        <w:rPr>
          <w:rFonts w:asciiTheme="majorBidi" w:hAnsiTheme="majorBidi" w:cstheme="majorBidi"/>
          <w:b/>
          <w:bCs/>
          <w:sz w:val="28"/>
          <w:szCs w:val="28"/>
          <w:rtl/>
        </w:rPr>
        <w:t>القدرة على التعلم والتحسين المستمر</w:t>
      </w:r>
      <w:r w:rsidRPr="00752E9E">
        <w:rPr>
          <w:rFonts w:asciiTheme="majorBidi" w:hAnsiTheme="majorBidi" w:cstheme="majorBidi"/>
          <w:b/>
          <w:bCs/>
          <w:sz w:val="28"/>
          <w:szCs w:val="28"/>
        </w:rPr>
        <w:t xml:space="preserve"> (Learning &amp; Continuous Improvement):</w:t>
      </w:r>
      <w:r w:rsidRPr="00752E9E">
        <w:rPr>
          <w:rFonts w:asciiTheme="majorBidi" w:hAnsiTheme="majorBidi" w:cstheme="majorBidi"/>
          <w:sz w:val="28"/>
          <w:szCs w:val="28"/>
        </w:rPr>
        <w:t> </w:t>
      </w:r>
      <w:r w:rsidRPr="00752E9E">
        <w:rPr>
          <w:rFonts w:asciiTheme="majorBidi" w:hAnsiTheme="majorBidi" w:cstheme="majorBidi"/>
          <w:sz w:val="28"/>
          <w:szCs w:val="28"/>
          <w:rtl/>
        </w:rPr>
        <w:t>استخدام الخبرات المكتسبة لتحسين الخطط المستقبلية وتعزيز مرونة النظام</w:t>
      </w:r>
      <w:r w:rsidRPr="00752E9E">
        <w:rPr>
          <w:rFonts w:asciiTheme="majorBidi" w:hAnsiTheme="majorBidi" w:cstheme="majorBidi"/>
          <w:sz w:val="28"/>
          <w:szCs w:val="28"/>
        </w:rPr>
        <w:t>.</w:t>
      </w:r>
    </w:p>
    <w:p w14:paraId="5F1E4CED"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ويرى النموذج أن انقطاع الخدمات الصحية لا يحدث فجأة، بل ينتج عن سلسلة من نقاط الضعف التي يمكن اكتشافها مبكراً من خلال تحليل الضغوط على الموارد الحيوية مثل الإمدادات، القوى العاملة، والطاقة التشغيلية</w:t>
      </w:r>
      <w:r w:rsidRPr="00752E9E">
        <w:rPr>
          <w:rFonts w:asciiTheme="majorBidi" w:hAnsiTheme="majorBidi" w:cstheme="majorBidi"/>
          <w:sz w:val="28"/>
          <w:szCs w:val="28"/>
        </w:rPr>
        <w:t xml:space="preserve"> (WHO, 2021). </w:t>
      </w:r>
      <w:r w:rsidRPr="00752E9E">
        <w:rPr>
          <w:rFonts w:asciiTheme="majorBidi" w:hAnsiTheme="majorBidi" w:cstheme="majorBidi"/>
          <w:sz w:val="28"/>
          <w:szCs w:val="28"/>
          <w:rtl/>
        </w:rPr>
        <w:t>ويُشير ذلك إلى أهمية استخدام المؤشرات المبكرة لرصد هذه الضغوط وتحليلها قبل أن تتفاقم لتؤدي إلى انقطاع الخدمات الحرجة</w:t>
      </w:r>
      <w:r w:rsidRPr="00752E9E">
        <w:rPr>
          <w:rFonts w:asciiTheme="majorBidi" w:hAnsiTheme="majorBidi" w:cstheme="majorBidi"/>
          <w:sz w:val="28"/>
          <w:szCs w:val="28"/>
        </w:rPr>
        <w:t>.</w:t>
      </w:r>
    </w:p>
    <w:p w14:paraId="2879FBE3"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لذلك يُعتبر هذا النموذج مرجعاً مباشراً لتصميم المؤشر المبكر في بحثك، لأنه يقدّم إطاراً ديناميكياً لرصد المخاطر وتفسيرها، ويسمح بفهم العلاقات التفاعلية بين المتغيرات الأساسية مثل الجاهزية، القدرة الاستيعابية، المخاطر، وقابلية الانكشاف. كما يساعد على تحديد نقاط التدخل الاستباقي لتحسين صمود النظام الصحي وتقليل الآثار السلبية للكوارث الطبيعية على الصحة العامة والخدمات الحرجة</w:t>
      </w:r>
      <w:r w:rsidRPr="00752E9E">
        <w:rPr>
          <w:rFonts w:asciiTheme="majorBidi" w:hAnsiTheme="majorBidi" w:cstheme="majorBidi"/>
          <w:sz w:val="28"/>
          <w:szCs w:val="28"/>
        </w:rPr>
        <w:t>.</w:t>
      </w:r>
    </w:p>
    <w:p w14:paraId="5BA80F0A" w14:textId="0AD5187C" w:rsidR="00F91A6C" w:rsidRPr="00F91A6C" w:rsidRDefault="002C3FA6" w:rsidP="00C553FF">
      <w:pPr>
        <w:jc w:val="both"/>
        <w:rPr>
          <w:rFonts w:asciiTheme="majorBidi" w:hAnsiTheme="majorBidi" w:cstheme="majorBidi"/>
          <w:b/>
          <w:bCs/>
          <w:sz w:val="28"/>
          <w:szCs w:val="28"/>
        </w:rPr>
      </w:pPr>
      <w:r w:rsidRPr="009F000A">
        <w:rPr>
          <w:rFonts w:asciiTheme="majorBidi" w:hAnsiTheme="majorBidi" w:cstheme="majorBidi"/>
          <w:b/>
          <w:bCs/>
          <w:sz w:val="28"/>
          <w:szCs w:val="28"/>
        </w:rPr>
        <w:t xml:space="preserve"> </w:t>
      </w:r>
      <w:r w:rsidR="005E6B86" w:rsidRPr="009F000A">
        <w:rPr>
          <w:rFonts w:asciiTheme="majorBidi" w:hAnsiTheme="majorBidi" w:cstheme="majorBidi"/>
          <w:b/>
          <w:bCs/>
          <w:sz w:val="28"/>
          <w:szCs w:val="28"/>
        </w:rPr>
        <w:t>2.21</w:t>
      </w:r>
      <w:r w:rsidR="00F91A6C" w:rsidRPr="00F91A6C">
        <w:rPr>
          <w:rFonts w:asciiTheme="majorBidi" w:hAnsiTheme="majorBidi" w:cstheme="majorBidi"/>
          <w:b/>
          <w:bCs/>
          <w:sz w:val="28"/>
          <w:szCs w:val="28"/>
          <w:rtl/>
        </w:rPr>
        <w:t>نموذج استمرارية الأعمال في القطاع الصحي</w:t>
      </w:r>
      <w:r w:rsidR="00F91A6C" w:rsidRPr="00F91A6C">
        <w:rPr>
          <w:rFonts w:asciiTheme="majorBidi" w:hAnsiTheme="majorBidi" w:cstheme="majorBidi"/>
          <w:b/>
          <w:bCs/>
          <w:sz w:val="28"/>
          <w:szCs w:val="28"/>
        </w:rPr>
        <w:t xml:space="preserve"> (Business Continuity Management in Healthcare – BCM)</w:t>
      </w:r>
    </w:p>
    <w:p w14:paraId="38CC0D33"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يرتكز</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نموذج</w:t>
      </w:r>
      <w:r w:rsidRPr="00752E9E">
        <w:rPr>
          <w:rFonts w:asciiTheme="majorBidi" w:hAnsiTheme="majorBidi" w:cs="Times New Roman"/>
          <w:sz w:val="28"/>
          <w:szCs w:val="28"/>
          <w:rtl/>
        </w:rPr>
        <w:t xml:space="preserve"> </w:t>
      </w:r>
      <w:r w:rsidRPr="00752E9E">
        <w:rPr>
          <w:rFonts w:asciiTheme="majorBidi" w:hAnsiTheme="majorBidi" w:cstheme="majorBidi"/>
          <w:sz w:val="28"/>
          <w:szCs w:val="28"/>
        </w:rPr>
        <w:t>BCM</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قطاع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استمرارية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العمليات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الحيوية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داخل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المستشفى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أو</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المنشأة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أثناء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الكوارث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وبعدها،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وذلك</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خلال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وضع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خطط</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تشغيل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بديلة،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إدارة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الموارد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بكفاءة،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وتحليل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تأثير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الأعمال</w:t>
      </w:r>
      <w:r w:rsidRPr="00752E9E">
        <w:rPr>
          <w:rFonts w:asciiTheme="majorBidi" w:hAnsiTheme="majorBidi" w:cs="Times New Roman"/>
          <w:sz w:val="28"/>
          <w:szCs w:val="28"/>
          <w:rtl/>
        </w:rPr>
        <w:t xml:space="preserve"> (</w:t>
      </w:r>
      <w:r w:rsidRPr="00752E9E">
        <w:rPr>
          <w:rFonts w:asciiTheme="majorBidi" w:hAnsiTheme="majorBidi" w:cstheme="majorBidi"/>
          <w:sz w:val="28"/>
          <w:szCs w:val="28"/>
        </w:rPr>
        <w:t>Business Impact Analysis – BIA</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لتقدير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أثر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انقطاع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محتمل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الخدمات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الحرجة</w:t>
      </w:r>
      <w:r w:rsidRPr="00752E9E">
        <w:rPr>
          <w:rFonts w:asciiTheme="majorBidi" w:hAnsiTheme="majorBidi" w:cs="Times New Roman"/>
          <w:sz w:val="28"/>
          <w:szCs w:val="28"/>
          <w:rtl/>
        </w:rPr>
        <w:t xml:space="preserve"> (</w:t>
      </w:r>
      <w:r w:rsidRPr="00752E9E">
        <w:rPr>
          <w:rFonts w:asciiTheme="majorBidi" w:hAnsiTheme="majorBidi" w:cstheme="majorBidi"/>
          <w:sz w:val="28"/>
          <w:szCs w:val="28"/>
        </w:rPr>
        <w:t>Barrett et al., 2020</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ويهدف</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هذا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النموذج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تقليل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الخسائر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البشرية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والمادية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والحفاظ</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جودة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الرعاية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حتى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ظل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ظروف</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غير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متوقعة،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يجعله</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أداة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محورية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مرونة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النظام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واستدامته</w:t>
      </w:r>
      <w:r w:rsidRPr="00752E9E">
        <w:rPr>
          <w:rFonts w:asciiTheme="majorBidi" w:hAnsiTheme="majorBidi" w:cs="Times New Roman"/>
          <w:sz w:val="28"/>
          <w:szCs w:val="28"/>
          <w:rtl/>
        </w:rPr>
        <w:t>.</w:t>
      </w:r>
    </w:p>
    <w:p w14:paraId="07233F3D"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ويعتمد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النموذج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ثلاثة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مبادئ</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أساسية</w:t>
      </w:r>
      <w:r w:rsidRPr="00752E9E">
        <w:rPr>
          <w:rFonts w:asciiTheme="majorBidi" w:hAnsiTheme="majorBidi" w:cs="Times New Roman"/>
          <w:sz w:val="28"/>
          <w:szCs w:val="28"/>
          <w:rtl/>
        </w:rPr>
        <w:t>:</w:t>
      </w:r>
    </w:p>
    <w:p w14:paraId="6E3DB53D" w14:textId="77777777" w:rsidR="00752E9E" w:rsidRPr="00752E9E" w:rsidRDefault="00752E9E" w:rsidP="00752E9E">
      <w:pPr>
        <w:pStyle w:val="a6"/>
        <w:numPr>
          <w:ilvl w:val="0"/>
          <w:numId w:val="17"/>
        </w:numPr>
        <w:rPr>
          <w:rFonts w:asciiTheme="majorBidi" w:hAnsiTheme="majorBidi" w:cstheme="majorBidi"/>
          <w:b/>
          <w:bCs/>
          <w:sz w:val="28"/>
          <w:szCs w:val="28"/>
          <w:rtl/>
        </w:rPr>
      </w:pPr>
      <w:r w:rsidRPr="00752E9E">
        <w:rPr>
          <w:rFonts w:asciiTheme="majorBidi" w:hAnsiTheme="majorBidi" w:cs="Times New Roman" w:hint="cs"/>
          <w:b/>
          <w:bCs/>
          <w:sz w:val="28"/>
          <w:szCs w:val="28"/>
          <w:rtl/>
        </w:rPr>
        <w:t>تحديد</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الوظائف</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الحرجة</w:t>
      </w:r>
      <w:r w:rsidRPr="00752E9E">
        <w:rPr>
          <w:rFonts w:asciiTheme="majorBidi" w:hAnsiTheme="majorBidi" w:cs="Times New Roman"/>
          <w:b/>
          <w:bCs/>
          <w:sz w:val="28"/>
          <w:szCs w:val="28"/>
          <w:rtl/>
        </w:rPr>
        <w:t xml:space="preserve"> (</w:t>
      </w:r>
      <w:r w:rsidRPr="00752E9E">
        <w:rPr>
          <w:rFonts w:asciiTheme="majorBidi" w:hAnsiTheme="majorBidi" w:cstheme="majorBidi"/>
          <w:b/>
          <w:bCs/>
          <w:sz w:val="28"/>
          <w:szCs w:val="28"/>
        </w:rPr>
        <w:t>Critical Functions</w:t>
      </w:r>
      <w:r w:rsidRPr="00752E9E">
        <w:rPr>
          <w:rFonts w:asciiTheme="majorBidi" w:hAnsiTheme="majorBidi" w:cs="Times New Roman"/>
          <w:b/>
          <w:bCs/>
          <w:sz w:val="28"/>
          <w:szCs w:val="28"/>
          <w:rtl/>
        </w:rPr>
        <w:t>):</w:t>
      </w:r>
    </w:p>
    <w:p w14:paraId="505EDA33"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تشمل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الخدمات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الطبية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الأساسية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يمكن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الاستغناء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عنها،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مثل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الطوارئ،</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وحدات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العناية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المركزة،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الإنعاش،</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وخطوط</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الإمداد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الطبية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الحيوية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ويُعد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تحديد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هذه</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الوظائف</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خطوة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أساسية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لفهم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الأولويات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التشغيلية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للمنشأة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حيث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يسمح</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بتوجيه</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الموارد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والجهود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استمرارها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حتى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أصعب</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الظروف</w:t>
      </w:r>
      <w:r w:rsidRPr="00752E9E">
        <w:rPr>
          <w:rFonts w:asciiTheme="majorBidi" w:hAnsiTheme="majorBidi" w:cs="Times New Roman"/>
          <w:sz w:val="28"/>
          <w:szCs w:val="28"/>
          <w:rtl/>
        </w:rPr>
        <w:t>.</w:t>
      </w:r>
    </w:p>
    <w:p w14:paraId="61E5A5E0" w14:textId="77777777" w:rsidR="00752E9E" w:rsidRPr="00752E9E" w:rsidRDefault="00752E9E" w:rsidP="00752E9E">
      <w:pPr>
        <w:pStyle w:val="a6"/>
        <w:numPr>
          <w:ilvl w:val="0"/>
          <w:numId w:val="17"/>
        </w:numPr>
        <w:rPr>
          <w:rFonts w:asciiTheme="majorBidi" w:hAnsiTheme="majorBidi" w:cstheme="majorBidi"/>
          <w:b/>
          <w:bCs/>
          <w:sz w:val="28"/>
          <w:szCs w:val="28"/>
          <w:rtl/>
        </w:rPr>
      </w:pPr>
      <w:r w:rsidRPr="00752E9E">
        <w:rPr>
          <w:rFonts w:asciiTheme="majorBidi" w:hAnsiTheme="majorBidi" w:cs="Times New Roman" w:hint="cs"/>
          <w:b/>
          <w:bCs/>
          <w:sz w:val="28"/>
          <w:szCs w:val="28"/>
          <w:rtl/>
        </w:rPr>
        <w:t>تحليل</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تأثير</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الانقطاع</w:t>
      </w:r>
      <w:r w:rsidRPr="00752E9E">
        <w:rPr>
          <w:rFonts w:asciiTheme="majorBidi" w:hAnsiTheme="majorBidi" w:cs="Times New Roman"/>
          <w:b/>
          <w:bCs/>
          <w:sz w:val="28"/>
          <w:szCs w:val="28"/>
          <w:rtl/>
        </w:rPr>
        <w:t xml:space="preserve"> (</w:t>
      </w:r>
      <w:r w:rsidRPr="00752E9E">
        <w:rPr>
          <w:rFonts w:asciiTheme="majorBidi" w:hAnsiTheme="majorBidi" w:cstheme="majorBidi"/>
          <w:b/>
          <w:bCs/>
          <w:sz w:val="28"/>
          <w:szCs w:val="28"/>
        </w:rPr>
        <w:t>Business Impact Analysis</w:t>
      </w:r>
      <w:r w:rsidRPr="00752E9E">
        <w:rPr>
          <w:rFonts w:asciiTheme="majorBidi" w:hAnsiTheme="majorBidi" w:cs="Times New Roman"/>
          <w:b/>
          <w:bCs/>
          <w:sz w:val="28"/>
          <w:szCs w:val="28"/>
          <w:rtl/>
        </w:rPr>
        <w:t>):</w:t>
      </w:r>
    </w:p>
    <w:p w14:paraId="421969ED"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يُستخدم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هذا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التحليل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لتقدير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حجم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الخسائر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الناتجة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توقف</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وظيفة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حيوية،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ويُساعد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تحديد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النقاط</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الحرجة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يصبح</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عندها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الانقطاع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محتملاً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أو</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كارثياً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ويشمل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التحليل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تقييم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العواقب</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المالية،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التشغيلية،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بالإضافة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التأثير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سمعة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المؤسسة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وثقة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المجتمع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بالنظام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ويُظهر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التحليل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أيضًا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العلاقة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بين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الضغط</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المفاجئ</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الموارد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والقدرة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الاستيعابية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للنظام،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يجعله</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أداة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مركزية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لتطوير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مؤشرات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إنذار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مبكر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دقيقة</w:t>
      </w:r>
      <w:r w:rsidRPr="00752E9E">
        <w:rPr>
          <w:rFonts w:asciiTheme="majorBidi" w:hAnsiTheme="majorBidi" w:cs="Times New Roman"/>
          <w:sz w:val="28"/>
          <w:szCs w:val="28"/>
          <w:rtl/>
        </w:rPr>
        <w:t>.</w:t>
      </w:r>
    </w:p>
    <w:p w14:paraId="640183FC" w14:textId="77777777" w:rsidR="00752E9E" w:rsidRPr="00752E9E" w:rsidRDefault="00752E9E" w:rsidP="00752E9E">
      <w:pPr>
        <w:pStyle w:val="a6"/>
        <w:numPr>
          <w:ilvl w:val="0"/>
          <w:numId w:val="17"/>
        </w:numPr>
        <w:rPr>
          <w:rFonts w:asciiTheme="majorBidi" w:hAnsiTheme="majorBidi" w:cstheme="majorBidi"/>
          <w:b/>
          <w:bCs/>
          <w:sz w:val="28"/>
          <w:szCs w:val="28"/>
          <w:rtl/>
        </w:rPr>
      </w:pPr>
      <w:r w:rsidRPr="00752E9E">
        <w:rPr>
          <w:rFonts w:asciiTheme="majorBidi" w:hAnsiTheme="majorBidi" w:cs="Times New Roman" w:hint="cs"/>
          <w:b/>
          <w:bCs/>
          <w:sz w:val="28"/>
          <w:szCs w:val="28"/>
          <w:rtl/>
        </w:rPr>
        <w:t>وضع</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خطط</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استمرارية</w:t>
      </w:r>
      <w:r w:rsidRPr="00752E9E">
        <w:rPr>
          <w:rFonts w:asciiTheme="majorBidi" w:hAnsiTheme="majorBidi" w:cs="Times New Roman"/>
          <w:b/>
          <w:bCs/>
          <w:sz w:val="28"/>
          <w:szCs w:val="28"/>
          <w:rtl/>
        </w:rPr>
        <w:t xml:space="preserve"> </w:t>
      </w:r>
      <w:r w:rsidRPr="00752E9E">
        <w:rPr>
          <w:rFonts w:asciiTheme="majorBidi" w:hAnsiTheme="majorBidi" w:cs="Times New Roman" w:hint="cs"/>
          <w:b/>
          <w:bCs/>
          <w:sz w:val="28"/>
          <w:szCs w:val="28"/>
          <w:rtl/>
        </w:rPr>
        <w:t>العمليات</w:t>
      </w:r>
      <w:r w:rsidRPr="00752E9E">
        <w:rPr>
          <w:rFonts w:asciiTheme="majorBidi" w:hAnsiTheme="majorBidi" w:cs="Times New Roman"/>
          <w:b/>
          <w:bCs/>
          <w:sz w:val="28"/>
          <w:szCs w:val="28"/>
          <w:rtl/>
        </w:rPr>
        <w:t xml:space="preserve"> (</w:t>
      </w:r>
      <w:r w:rsidRPr="00752E9E">
        <w:rPr>
          <w:rFonts w:asciiTheme="majorBidi" w:hAnsiTheme="majorBidi" w:cstheme="majorBidi"/>
          <w:b/>
          <w:bCs/>
          <w:sz w:val="28"/>
          <w:szCs w:val="28"/>
        </w:rPr>
        <w:t>Continuity Planning</w:t>
      </w:r>
      <w:r w:rsidRPr="00752E9E">
        <w:rPr>
          <w:rFonts w:asciiTheme="majorBidi" w:hAnsiTheme="majorBidi" w:cs="Times New Roman"/>
          <w:b/>
          <w:bCs/>
          <w:sz w:val="28"/>
          <w:szCs w:val="28"/>
          <w:rtl/>
        </w:rPr>
        <w:t>):</w:t>
      </w:r>
    </w:p>
    <w:p w14:paraId="2931410D"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يتضمن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ذلك</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تصميم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استراتيجيات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بديلة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لتشغيل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الخدمات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الحرجة،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مثل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توزيع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الموارد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بشكل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مرن،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التشغيل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المؤقت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أو</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الجزئي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لبعض</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الأقسام،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إجراءات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الإخلاء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الآمنة،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والتنسيق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الجهات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الداعمة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الإمدادات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الحيوية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يشمل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تدريب</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الفرق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الطبية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تنفيذ</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الخطط</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بسرعة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وكفاءة،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وإجراء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اختبارات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دورية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للتأكد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جاهزية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النظام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للتعامل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كارثة</w:t>
      </w:r>
      <w:r w:rsidRPr="00752E9E">
        <w:rPr>
          <w:rFonts w:asciiTheme="majorBidi" w:hAnsiTheme="majorBidi" w:cs="Times New Roman"/>
          <w:sz w:val="28"/>
          <w:szCs w:val="28"/>
          <w:rtl/>
        </w:rPr>
        <w:t>.</w:t>
      </w:r>
    </w:p>
    <w:p w14:paraId="619955C7" w14:textId="77777777" w:rsidR="00752E9E" w:rsidRPr="00752E9E" w:rsidRDefault="00752E9E" w:rsidP="00752E9E">
      <w:pPr>
        <w:rPr>
          <w:rFonts w:asciiTheme="majorBidi" w:hAnsiTheme="majorBidi" w:cstheme="majorBidi"/>
          <w:sz w:val="28"/>
          <w:szCs w:val="28"/>
          <w:rtl/>
        </w:rPr>
      </w:pPr>
      <w:r w:rsidRPr="00752E9E">
        <w:rPr>
          <w:rFonts w:asciiTheme="majorBidi" w:hAnsiTheme="majorBidi" w:cs="Times New Roman" w:hint="cs"/>
          <w:sz w:val="28"/>
          <w:szCs w:val="28"/>
          <w:rtl/>
        </w:rPr>
        <w:t>وتشير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الدراسات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إلى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تطبيق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نموذج</w:t>
      </w:r>
      <w:r w:rsidRPr="00752E9E">
        <w:rPr>
          <w:rFonts w:asciiTheme="majorBidi" w:hAnsiTheme="majorBidi" w:cs="Times New Roman"/>
          <w:sz w:val="28"/>
          <w:szCs w:val="28"/>
          <w:rtl/>
        </w:rPr>
        <w:t xml:space="preserve"> </w:t>
      </w:r>
      <w:r w:rsidRPr="00752E9E">
        <w:rPr>
          <w:rFonts w:asciiTheme="majorBidi" w:hAnsiTheme="majorBidi" w:cstheme="majorBidi"/>
          <w:sz w:val="28"/>
          <w:szCs w:val="28"/>
        </w:rPr>
        <w:t>BCM</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يقلل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احتمالية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فشل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الخدمات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الحرجة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أثناء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الكوارث،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ويُعد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أكثر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النماذج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استخداماً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الدول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ذات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البنية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المتقدمة،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حيث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يُسهم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تعزيز</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الاستجابة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الفعّالة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وتقليل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وقت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التعطل</w:t>
      </w:r>
      <w:r w:rsidRPr="00752E9E">
        <w:rPr>
          <w:rFonts w:asciiTheme="majorBidi" w:hAnsiTheme="majorBidi" w:cs="Times New Roman"/>
          <w:sz w:val="28"/>
          <w:szCs w:val="28"/>
          <w:rtl/>
        </w:rPr>
        <w:t xml:space="preserve"> (</w:t>
      </w:r>
      <w:r w:rsidRPr="00752E9E">
        <w:rPr>
          <w:rFonts w:asciiTheme="majorBidi" w:hAnsiTheme="majorBidi" w:cstheme="majorBidi"/>
          <w:sz w:val="28"/>
          <w:szCs w:val="28"/>
        </w:rPr>
        <w:t>Khan et al., 2019</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يُظهر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النموذج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كيف</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يمكن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للأنظمة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دمج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المرونة،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الجاهزية،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والقدرة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الاستيعابية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نهج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تشغيلي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واحد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متكامل،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الأدنى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الانقطاعات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وتأمين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استمرارية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الرعاية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w:t>
      </w:r>
    </w:p>
    <w:p w14:paraId="684062EE" w14:textId="77777777" w:rsidR="00752E9E" w:rsidRDefault="00752E9E" w:rsidP="00752E9E">
      <w:pPr>
        <w:jc w:val="both"/>
        <w:rPr>
          <w:rFonts w:asciiTheme="majorBidi" w:hAnsiTheme="majorBidi" w:cstheme="majorBidi"/>
          <w:b/>
          <w:bCs/>
          <w:sz w:val="28"/>
          <w:szCs w:val="28"/>
          <w:rtl/>
        </w:rPr>
      </w:pPr>
      <w:r w:rsidRPr="00752E9E">
        <w:rPr>
          <w:rFonts w:asciiTheme="majorBidi" w:hAnsiTheme="majorBidi" w:cs="Times New Roman" w:hint="cs"/>
          <w:sz w:val="28"/>
          <w:szCs w:val="28"/>
          <w:rtl/>
        </w:rPr>
        <w:t>ويمثل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نموذج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استمرارية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الأعمال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مكوّناً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مهماً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بناء</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المؤشر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المبكر،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لأنه</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يحدد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المعايير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التشغيلية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يجب</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مراقبتها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لرصد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علامات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الانقطاع</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الوشيك</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في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الوقت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المناسب</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ويتيح</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هذا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النموذج</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تصميم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مؤشرات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قابلة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للقياس</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والتطبيق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العملي،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بحيث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تُمكّن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مسؤولي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المستشفيات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والمنشآت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التنبؤ</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بالمشكلات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قبل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حدوثها،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وتطبيق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حلول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استباقية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لحماية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الخدمات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الحرجة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وضمان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استمرارها،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بما</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يحقق</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صمود</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النظام</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ويقلل</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من</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الأثر</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السلبي</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للكوارث</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الطبيعية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أو</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الأزمات</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الطارئة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على</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الصحة</w:t>
      </w:r>
      <w:r w:rsidRPr="00752E9E">
        <w:rPr>
          <w:rFonts w:asciiTheme="majorBidi" w:hAnsiTheme="majorBidi" w:cs="Times New Roman"/>
          <w:sz w:val="28"/>
          <w:szCs w:val="28"/>
          <w:rtl/>
        </w:rPr>
        <w:t xml:space="preserve"> </w:t>
      </w:r>
      <w:r w:rsidRPr="00752E9E">
        <w:rPr>
          <w:rFonts w:asciiTheme="majorBidi" w:hAnsiTheme="majorBidi" w:cs="Times New Roman" w:hint="cs"/>
          <w:sz w:val="28"/>
          <w:szCs w:val="28"/>
          <w:rtl/>
        </w:rPr>
        <w:t>العامة</w:t>
      </w:r>
      <w:r w:rsidRPr="00752E9E">
        <w:rPr>
          <w:rFonts w:asciiTheme="majorBidi" w:hAnsiTheme="majorBidi" w:cs="Times New Roman"/>
          <w:sz w:val="28"/>
          <w:szCs w:val="28"/>
          <w:rtl/>
        </w:rPr>
        <w:t>.</w:t>
      </w:r>
    </w:p>
    <w:p w14:paraId="17537AA6" w14:textId="2B474575" w:rsidR="005E6B86" w:rsidRPr="009F000A" w:rsidRDefault="005E6B86" w:rsidP="00752E9E">
      <w:pPr>
        <w:jc w:val="both"/>
        <w:rPr>
          <w:rFonts w:asciiTheme="majorBidi" w:hAnsiTheme="majorBidi" w:cstheme="majorBidi"/>
          <w:b/>
          <w:bCs/>
          <w:sz w:val="28"/>
          <w:szCs w:val="28"/>
          <w:rtl/>
        </w:rPr>
      </w:pPr>
      <w:r w:rsidRPr="009F000A">
        <w:rPr>
          <w:rFonts w:asciiTheme="majorBidi" w:hAnsiTheme="majorBidi" w:cstheme="majorBidi"/>
          <w:b/>
          <w:bCs/>
          <w:sz w:val="28"/>
          <w:szCs w:val="28"/>
          <w:rtl/>
        </w:rPr>
        <w:t>الدراسات السابقة:</w:t>
      </w:r>
    </w:p>
    <w:p w14:paraId="12371A3D" w14:textId="77777777" w:rsidR="005E6B86" w:rsidRPr="005E6B86" w:rsidRDefault="005E6B86" w:rsidP="005E6B86">
      <w:pPr>
        <w:jc w:val="both"/>
        <w:rPr>
          <w:rFonts w:asciiTheme="majorBidi" w:hAnsiTheme="majorBidi" w:cstheme="majorBidi"/>
          <w:sz w:val="28"/>
          <w:szCs w:val="28"/>
        </w:rPr>
      </w:pPr>
      <w:r w:rsidRPr="005E6B86">
        <w:rPr>
          <w:rFonts w:asciiTheme="majorBidi" w:hAnsiTheme="majorBidi" w:cstheme="majorBidi"/>
          <w:sz w:val="28"/>
          <w:szCs w:val="28"/>
          <w:rtl/>
        </w:rPr>
        <w:t>يُعد تحليل الدراسات السابقة خطوة جوهرية في بناء الأساس العلمي لبحث </w:t>
      </w:r>
      <w:r w:rsidRPr="005E6B86">
        <w:rPr>
          <w:rFonts w:asciiTheme="majorBidi" w:hAnsiTheme="majorBidi" w:cstheme="majorBidi"/>
          <w:i/>
          <w:iCs/>
          <w:sz w:val="28"/>
          <w:szCs w:val="28"/>
        </w:rPr>
        <w:t>"</w:t>
      </w:r>
      <w:r w:rsidRPr="005E6B86">
        <w:rPr>
          <w:rFonts w:asciiTheme="majorBidi" w:hAnsiTheme="majorBidi" w:cstheme="majorBidi"/>
          <w:i/>
          <w:iCs/>
          <w:sz w:val="28"/>
          <w:szCs w:val="28"/>
          <w:rtl/>
        </w:rPr>
        <w:t>تطوير مؤشر مبكر لمخاطر انقطاع الخدمات الصحية الحرجة أثناء الكوارث الطبيعية</w:t>
      </w:r>
      <w:r w:rsidRPr="005E6B86">
        <w:rPr>
          <w:rFonts w:asciiTheme="majorBidi" w:hAnsiTheme="majorBidi" w:cstheme="majorBidi"/>
          <w:i/>
          <w:iCs/>
          <w:sz w:val="28"/>
          <w:szCs w:val="28"/>
        </w:rPr>
        <w:t>"</w:t>
      </w:r>
      <w:r w:rsidRPr="005E6B86">
        <w:rPr>
          <w:rFonts w:asciiTheme="majorBidi" w:hAnsiTheme="majorBidi" w:cstheme="majorBidi"/>
          <w:sz w:val="28"/>
          <w:szCs w:val="28"/>
          <w:rtl/>
        </w:rPr>
        <w:t>، إذ يتيح هذا التحليل فهم الاتجاهات البحثية الحالية، وتحديد الأساليب المستخدمة في دراسة جاهزية الأنظمة الصحية، ومرونتها، وقدرتها على استمرارية تقديم الخدمات الحيوية تحت ضغط الكوارث. وتكتسب مراجعة الأدبيات أهمية خاصة في هذا المجال نظرًا لتعقّد العوامل المؤدية إلى الانقطاع الصحي، وتداخل الجوانب التنظيمية واللوجستية والبشرية التي تُسهم في تحديد مستوى قدرة النظام الصحي على الصمود</w:t>
      </w:r>
      <w:r w:rsidRPr="005E6B86">
        <w:rPr>
          <w:rFonts w:asciiTheme="majorBidi" w:hAnsiTheme="majorBidi" w:cstheme="majorBidi"/>
          <w:sz w:val="28"/>
          <w:szCs w:val="28"/>
        </w:rPr>
        <w:t>.</w:t>
      </w:r>
    </w:p>
    <w:p w14:paraId="66F65B77" w14:textId="77777777" w:rsidR="005E6B86" w:rsidRPr="005E6B86" w:rsidRDefault="005E6B86" w:rsidP="005E6B86">
      <w:pPr>
        <w:jc w:val="both"/>
        <w:rPr>
          <w:rFonts w:asciiTheme="majorBidi" w:hAnsiTheme="majorBidi" w:cstheme="majorBidi"/>
          <w:sz w:val="28"/>
          <w:szCs w:val="28"/>
        </w:rPr>
      </w:pPr>
      <w:r w:rsidRPr="005E6B86">
        <w:rPr>
          <w:rFonts w:asciiTheme="majorBidi" w:hAnsiTheme="majorBidi" w:cstheme="majorBidi"/>
          <w:sz w:val="28"/>
          <w:szCs w:val="28"/>
          <w:rtl/>
        </w:rPr>
        <w:t>وتكشف الأدبيات العربية والأجنبية عن اهتمام متزايد خلال السنوات الأخيرة بدراسة جاهزية المستشفيات، مرونة الأنظمة الصحية، تأثير الكوارث والأوبئة على استمرارية الخدمات الصحية، إضافة إلى تطوير نماذج وأطر تقييمية تعتمد على مؤشرات كمية ونوعية لرصد نقاط الضعف والتنبؤ بالانقطاع قبل وقوعه. وقد تناولت بعض الدراسات الجانب المؤسسي والتنظيمي، في حين ركزت أخرى على سلاسل الإمداد، أو الموارد البشرية، أو البنية التحتية، أو التخطيط للطوارئ، بينما اهتمت مجموعة ثالثة بدراسة استمرارية الخدمات أثناء الأزمات الممتدة مثل جائحة كوفيد-19</w:t>
      </w:r>
      <w:r w:rsidRPr="005E6B86">
        <w:rPr>
          <w:rFonts w:asciiTheme="majorBidi" w:hAnsiTheme="majorBidi" w:cstheme="majorBidi"/>
          <w:sz w:val="28"/>
          <w:szCs w:val="28"/>
        </w:rPr>
        <w:t>.</w:t>
      </w:r>
    </w:p>
    <w:p w14:paraId="141FE51C" w14:textId="77777777" w:rsidR="005E6B86" w:rsidRPr="005E6B86" w:rsidRDefault="005E6B86" w:rsidP="005E6B86">
      <w:pPr>
        <w:jc w:val="both"/>
        <w:rPr>
          <w:rFonts w:asciiTheme="majorBidi" w:hAnsiTheme="majorBidi" w:cstheme="majorBidi"/>
          <w:sz w:val="28"/>
          <w:szCs w:val="28"/>
        </w:rPr>
      </w:pPr>
      <w:r w:rsidRPr="005E6B86">
        <w:rPr>
          <w:rFonts w:asciiTheme="majorBidi" w:hAnsiTheme="majorBidi" w:cstheme="majorBidi"/>
          <w:sz w:val="28"/>
          <w:szCs w:val="28"/>
          <w:rtl/>
        </w:rPr>
        <w:t>ومن خلال تحليل هذه الدراسات، يمكن استخلاص أوجه الاتفاق والاختلاف في المنهجيات، والمتغيرات المستخدمة، والأدوات التحليلية، والنتائج التي تم التوصل إليها، بما يساعد في تحديد الفجوة البحثية التي يسعى هذا البحث إلى سدّها. وتتمثل هذه الفجوة في غياب مؤشر مركّب واضح يجمع بين قابلية الانكشاف، المخاطر، القدرة الاستيعابية للنظام الصحي، والجاهزية والاستجابة، بهدف التنبؤ بانقطاع الخدمات الصحية الحرجة أثناء الكوارث الطبيعية قبل حدوثه</w:t>
      </w:r>
      <w:r w:rsidRPr="005E6B86">
        <w:rPr>
          <w:rFonts w:asciiTheme="majorBidi" w:hAnsiTheme="majorBidi" w:cstheme="majorBidi"/>
          <w:sz w:val="28"/>
          <w:szCs w:val="28"/>
        </w:rPr>
        <w:t>.</w:t>
      </w:r>
    </w:p>
    <w:p w14:paraId="3A9F2319" w14:textId="3DA78D9C" w:rsidR="005E6B86" w:rsidRPr="00F91A6C" w:rsidRDefault="005E6B86" w:rsidP="005E6B86">
      <w:pPr>
        <w:jc w:val="both"/>
        <w:rPr>
          <w:rFonts w:asciiTheme="majorBidi" w:hAnsiTheme="majorBidi" w:cstheme="majorBidi"/>
          <w:sz w:val="28"/>
          <w:szCs w:val="28"/>
          <w:rtl/>
        </w:rPr>
      </w:pPr>
      <w:r w:rsidRPr="005E6B86">
        <w:rPr>
          <w:rFonts w:asciiTheme="majorBidi" w:hAnsiTheme="majorBidi" w:cstheme="majorBidi"/>
          <w:sz w:val="28"/>
          <w:szCs w:val="28"/>
          <w:rtl/>
        </w:rPr>
        <w:t>ويُسهم هذا الفصل في تقديم عرض تحليلي ونقدي لأبرز الدراسات العربية والأجنبية ذات الصلة، من خلال استعراض أهدافها، مشكلاتها، فرضياتها، منهجياتها، أهم نتائجها، وتوصياتها، مما يوفر قاعدة معرفية متينة يتم البناء عليها لتطوير الإطار النظري والنموذج المقترح للمؤشر المبكر في هذا البحث</w:t>
      </w:r>
      <w:r w:rsidRPr="005E6B86">
        <w:rPr>
          <w:rFonts w:asciiTheme="majorBidi" w:hAnsiTheme="majorBidi" w:cstheme="majorBidi"/>
          <w:sz w:val="28"/>
          <w:szCs w:val="28"/>
        </w:rPr>
        <w:t>.</w:t>
      </w:r>
    </w:p>
    <w:p w14:paraId="2938D80A" w14:textId="282747C5" w:rsidR="006E14E6" w:rsidRPr="006E14E6" w:rsidRDefault="006E14E6" w:rsidP="005E6B86">
      <w:pPr>
        <w:jc w:val="both"/>
        <w:rPr>
          <w:rFonts w:asciiTheme="majorBidi" w:hAnsiTheme="majorBidi" w:cstheme="majorBidi"/>
          <w:b/>
          <w:bCs/>
          <w:sz w:val="28"/>
          <w:szCs w:val="28"/>
        </w:rPr>
      </w:pPr>
      <w:r w:rsidRPr="006E14E6">
        <w:rPr>
          <w:rFonts w:asciiTheme="majorBidi" w:hAnsiTheme="majorBidi" w:cstheme="majorBidi"/>
          <w:b/>
          <w:bCs/>
          <w:sz w:val="28"/>
          <w:szCs w:val="28"/>
          <w:rtl/>
        </w:rPr>
        <w:t xml:space="preserve">أولاً: الدراسات العربية </w:t>
      </w:r>
      <w:r w:rsidR="005E6B86" w:rsidRPr="009F000A">
        <w:rPr>
          <w:rFonts w:asciiTheme="majorBidi" w:hAnsiTheme="majorBidi" w:cstheme="majorBidi"/>
          <w:b/>
          <w:bCs/>
          <w:sz w:val="28"/>
          <w:szCs w:val="28"/>
          <w:rtl/>
        </w:rPr>
        <w:t>:</w:t>
      </w:r>
    </w:p>
    <w:p w14:paraId="0BC7B61A" w14:textId="425BACD6" w:rsidR="006E14E6" w:rsidRPr="009F000A" w:rsidRDefault="005E6B86" w:rsidP="005E6B86">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006E14E6" w:rsidRPr="009F000A">
        <w:rPr>
          <w:rFonts w:asciiTheme="majorBidi" w:hAnsiTheme="majorBidi" w:cstheme="majorBidi"/>
          <w:b/>
          <w:bCs/>
          <w:sz w:val="28"/>
          <w:szCs w:val="28"/>
          <w:rtl/>
        </w:rPr>
        <w:t>عبدالعزيز ضيف الله (2025</w:t>
      </w:r>
      <w:r w:rsidRPr="009F000A">
        <w:rPr>
          <w:rFonts w:asciiTheme="majorBidi" w:hAnsiTheme="majorBidi" w:cstheme="majorBidi"/>
          <w:b/>
          <w:bCs/>
          <w:sz w:val="28"/>
          <w:szCs w:val="28"/>
          <w:rtl/>
        </w:rPr>
        <w:t>) بعنوان "</w:t>
      </w:r>
      <w:r w:rsidR="006E14E6" w:rsidRPr="009F000A">
        <w:rPr>
          <w:rFonts w:asciiTheme="majorBidi" w:hAnsiTheme="majorBidi" w:cstheme="majorBidi"/>
          <w:b/>
          <w:bCs/>
          <w:sz w:val="28"/>
          <w:szCs w:val="28"/>
          <w:rtl/>
        </w:rPr>
        <w:t>أثر الجاهزية الإلكترونية في إدارة الأزمات والكوارث الصحية: دراسة ميدانية في الإدارة المساعدة للأزمات والكوارث بصحة الحدود الشمالية بالمملكة العربية السعودية</w:t>
      </w:r>
      <w:r w:rsidRPr="009F000A">
        <w:rPr>
          <w:rFonts w:asciiTheme="majorBidi" w:hAnsiTheme="majorBidi" w:cstheme="majorBidi"/>
          <w:b/>
          <w:bCs/>
          <w:sz w:val="28"/>
          <w:szCs w:val="28"/>
          <w:rtl/>
        </w:rPr>
        <w:t>"</w:t>
      </w:r>
    </w:p>
    <w:p w14:paraId="60EAD94D" w14:textId="2C0126A7" w:rsidR="006E14E6" w:rsidRPr="006E14E6" w:rsidRDefault="006E14E6" w:rsidP="005E6B86">
      <w:pPr>
        <w:jc w:val="both"/>
        <w:rPr>
          <w:rFonts w:asciiTheme="majorBidi" w:hAnsiTheme="majorBidi" w:cstheme="majorBidi"/>
          <w:sz w:val="28"/>
          <w:szCs w:val="28"/>
        </w:rPr>
      </w:pPr>
      <w:r w:rsidRPr="006E14E6">
        <w:rPr>
          <w:rFonts w:asciiTheme="majorBidi" w:hAnsiTheme="majorBidi" w:cstheme="majorBidi"/>
          <w:sz w:val="28"/>
          <w:szCs w:val="28"/>
          <w:rtl/>
        </w:rPr>
        <w:t>تهدف هذه الدراسة إلى قياس أثر مستوى الجاهزية الإلكترونية (النظم الرقمية، قواعد البيانات، أنظمة الإنذار والتواصل الإلكتروني) في كفاءة إدارة الأزمات والكوارث الصحية في المديرية المساعدة للأزمات والكوارث بصحة الحدود الشمالية. انطلقت مشكلة الدراسة من ملاحظة اعتماد متزايد على النظم الإلكترونية مع ضعف الأدلة حول مدى مساهمتها الفعلية في تقليل آثار الأزمات الصحية وتعطل الخدمات. اعتمد الباحثان المنهج الوصفي التحليلي من خلال استبانة وُجّهت للعاملين في إدارة الأزمات والكوارث. افترضت الدراسة وجود علاقة ذات دلالة إحصائية بين الجاهزية الإلكترونية وكفاءة إدارة الأزمات من حيث السرعة، التنسيق، واستمرارية تقديم الخدمات. أظهرت النتائج أن ارتفاع مستوى الجاهزية الإلكترونية يرتبط إيجابياً بفعالية إدارة الأزمات، وتقليل زمن الاستجابة، وتحسين التنسيق بين الجهات الصحية. أوصت الدراسة بتوسيع الاستثمار في البنية التحتية الرقمية، وتكامل أنظمة الإنذار المبكر، وربطها بخطط استمرارية الأعمال في القطاع الصحي السعودي</w:t>
      </w:r>
      <w:r w:rsidRPr="006E14E6">
        <w:rPr>
          <w:rFonts w:asciiTheme="majorBidi" w:hAnsiTheme="majorBidi" w:cstheme="majorBidi"/>
          <w:sz w:val="28"/>
          <w:szCs w:val="28"/>
        </w:rPr>
        <w:t>.</w:t>
      </w:r>
    </w:p>
    <w:p w14:paraId="78555B8D" w14:textId="14D24EB7" w:rsidR="006E14E6" w:rsidRPr="009F000A" w:rsidRDefault="005E6B86" w:rsidP="005E6B86">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006E14E6" w:rsidRPr="009F000A">
        <w:rPr>
          <w:rFonts w:asciiTheme="majorBidi" w:hAnsiTheme="majorBidi" w:cstheme="majorBidi"/>
          <w:b/>
          <w:bCs/>
          <w:sz w:val="28"/>
          <w:szCs w:val="28"/>
          <w:rtl/>
        </w:rPr>
        <w:t>فيصل عبد الله (2023</w:t>
      </w:r>
      <w:r w:rsidRPr="009F000A">
        <w:rPr>
          <w:rFonts w:asciiTheme="majorBidi" w:hAnsiTheme="majorBidi" w:cstheme="majorBidi"/>
          <w:b/>
          <w:bCs/>
          <w:sz w:val="28"/>
          <w:szCs w:val="28"/>
          <w:rtl/>
        </w:rPr>
        <w:t>) بعنوان "</w:t>
      </w:r>
      <w:r w:rsidR="006E14E6" w:rsidRPr="009F000A">
        <w:rPr>
          <w:rFonts w:asciiTheme="majorBidi" w:hAnsiTheme="majorBidi" w:cstheme="majorBidi"/>
          <w:b/>
          <w:bCs/>
          <w:sz w:val="28"/>
          <w:szCs w:val="28"/>
          <w:rtl/>
        </w:rPr>
        <w:t>العوامل المحددة لجاهزية المستشفيات الحكومية في مواجهة الأزمات: دراسة ميدانية على مستشفى الملك فهد بمدينة جدة</w:t>
      </w:r>
      <w:r w:rsidRPr="009F000A">
        <w:rPr>
          <w:rFonts w:asciiTheme="majorBidi" w:hAnsiTheme="majorBidi" w:cstheme="majorBidi"/>
          <w:b/>
          <w:bCs/>
          <w:sz w:val="28"/>
          <w:szCs w:val="28"/>
          <w:rtl/>
        </w:rPr>
        <w:t>"</w:t>
      </w:r>
    </w:p>
    <w:p w14:paraId="6C0F922B" w14:textId="507C4C0B" w:rsidR="006E14E6" w:rsidRPr="006E14E6" w:rsidRDefault="006E14E6" w:rsidP="005E6B86">
      <w:pPr>
        <w:jc w:val="both"/>
        <w:rPr>
          <w:rFonts w:asciiTheme="majorBidi" w:hAnsiTheme="majorBidi" w:cstheme="majorBidi"/>
          <w:sz w:val="28"/>
          <w:szCs w:val="28"/>
        </w:rPr>
      </w:pPr>
      <w:r w:rsidRPr="006E14E6">
        <w:rPr>
          <w:rFonts w:asciiTheme="majorBidi" w:hAnsiTheme="majorBidi" w:cstheme="majorBidi"/>
          <w:sz w:val="28"/>
          <w:szCs w:val="28"/>
          <w:rtl/>
        </w:rPr>
        <w:t>استهدفت هذه الدراسة تحديد العوامل البشرية والتنظيمية والتكنولوجية والبيئية التي تفسّر مستوى جاهزية المستشفيات الحكومية في مواجهة الأزمات. تمثلت مشكلة الدراسة في وجود فجوات متكررة في الاستجابة للأزمات الصحية رغم توفر خطط مكتوبة، مما يشير إلى قصور في بعض مكونات الجاهزية الفعلية. استخدم الباحث المنهج الوصفي التحليلي، واعتمد استبانة طبقت على عينة (حوالي 333) من الأطباء والتمريض والفنيين والإداريين في مستشفى الملك فهد بجدة. صيغت عدة فرضيات من بينها وجود علاقة ذات دلالة إحصائية بين العوامل البشرية (التدريب، الخبرة)، والتنظيمية (الهيكل، الصلاحيات)، والتكنولوجية (الأنظمة)، والبيئية (البنية التحتية) وبين مستوى الجاهزية في مواجهة الأزمات. بينت النتائج أن العوامل البشرية والتنظيمية كانت الأكثر تأثيراً، في حين شكّلت محدودية الموارد البشرية المدربة أحد أهم مصادر الضعف. أوصت الدراسة بتعزيز برامج التدريب المستمر على إدارة الكوارث، وتحديث الخطط التنظيمية، وتحسين أنظمة الاتصال الداخلي، وربط ذلك بمؤشرات أداء تُستخدم كمؤشرات مبكرة على ضعف الجاهزية</w:t>
      </w:r>
      <w:r w:rsidRPr="006E14E6">
        <w:rPr>
          <w:rFonts w:asciiTheme="majorBidi" w:hAnsiTheme="majorBidi" w:cstheme="majorBidi"/>
          <w:sz w:val="28"/>
          <w:szCs w:val="28"/>
        </w:rPr>
        <w:t>.</w:t>
      </w:r>
    </w:p>
    <w:p w14:paraId="184E27AE" w14:textId="11629CAC" w:rsidR="006E14E6" w:rsidRPr="009F000A" w:rsidRDefault="005E6B86" w:rsidP="005E6B86">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006E14E6" w:rsidRPr="009F000A">
        <w:rPr>
          <w:rFonts w:asciiTheme="majorBidi" w:hAnsiTheme="majorBidi" w:cstheme="majorBidi"/>
          <w:b/>
          <w:bCs/>
          <w:sz w:val="28"/>
          <w:szCs w:val="28"/>
          <w:rtl/>
        </w:rPr>
        <w:t>نورة (2023</w:t>
      </w:r>
      <w:r w:rsidRPr="009F000A">
        <w:rPr>
          <w:rFonts w:asciiTheme="majorBidi" w:hAnsiTheme="majorBidi" w:cstheme="majorBidi"/>
          <w:b/>
          <w:bCs/>
          <w:sz w:val="28"/>
          <w:szCs w:val="28"/>
          <w:rtl/>
        </w:rPr>
        <w:t>) بعنوان "</w:t>
      </w:r>
      <w:r w:rsidR="006E14E6" w:rsidRPr="009F000A">
        <w:rPr>
          <w:rFonts w:asciiTheme="majorBidi" w:hAnsiTheme="majorBidi" w:cstheme="majorBidi"/>
          <w:b/>
          <w:bCs/>
          <w:sz w:val="28"/>
          <w:szCs w:val="28"/>
          <w:rtl/>
        </w:rPr>
        <w:t>المرونة المستدامة للقطاع الصحي: جاهزية المستشفيات في المنطقة الشرقية بالمملكة العربية السعودية لمواجهة الكوارث</w:t>
      </w:r>
      <w:r w:rsidRPr="009F000A">
        <w:rPr>
          <w:rFonts w:asciiTheme="majorBidi" w:hAnsiTheme="majorBidi" w:cstheme="majorBidi"/>
          <w:b/>
          <w:bCs/>
          <w:sz w:val="28"/>
          <w:szCs w:val="28"/>
          <w:rtl/>
        </w:rPr>
        <w:t>"</w:t>
      </w:r>
    </w:p>
    <w:p w14:paraId="0954F36A" w14:textId="77777777" w:rsidR="006E14E6" w:rsidRPr="006E14E6" w:rsidRDefault="006E14E6" w:rsidP="00C553FF">
      <w:pPr>
        <w:jc w:val="both"/>
        <w:rPr>
          <w:rFonts w:asciiTheme="majorBidi" w:hAnsiTheme="majorBidi" w:cstheme="majorBidi"/>
          <w:sz w:val="28"/>
          <w:szCs w:val="28"/>
        </w:rPr>
      </w:pPr>
      <w:r w:rsidRPr="006E14E6">
        <w:rPr>
          <w:rFonts w:asciiTheme="majorBidi" w:hAnsiTheme="majorBidi" w:cstheme="majorBidi"/>
          <w:sz w:val="28"/>
          <w:szCs w:val="28"/>
          <w:rtl/>
        </w:rPr>
        <w:t>تهدف هذه الدراسة إلى تقييم مستوى جاهزية مستشفيات المنطقة الشرقية لمواجهة الكوارث، وربط ذلك بمفهوم المرونة الصحية المستدامة. انطلقت مشكلة الدراسة من تزايد المخاطر البيئية والصحية في المنطقة الشرقية (صناعية وساحلية) والحاجة إلى فهم مدى قدرة المستشفيات على الصمود مع استمرار الخدمات الأساسية. اعتمدت الدراسة منهجاً مقطعياً</w:t>
      </w:r>
      <w:r w:rsidRPr="006E14E6">
        <w:rPr>
          <w:rFonts w:asciiTheme="majorBidi" w:hAnsiTheme="majorBidi" w:cstheme="majorBidi"/>
          <w:sz w:val="28"/>
          <w:szCs w:val="28"/>
        </w:rPr>
        <w:t xml:space="preserve"> (Cross-sectional) </w:t>
      </w:r>
      <w:r w:rsidRPr="006E14E6">
        <w:rPr>
          <w:rFonts w:asciiTheme="majorBidi" w:hAnsiTheme="majorBidi" w:cstheme="majorBidi"/>
          <w:sz w:val="28"/>
          <w:szCs w:val="28"/>
          <w:rtl/>
        </w:rPr>
        <w:t>من خلال مسح ميداني شمل أكثر من 500 من منسوبي المستشفيات (أطباء، تمريض، إداريين). افترض الباحثون أن ارتفاع مستويات الاستعداد المؤسسي والتخطيط للكوارث يرتبط إيجابياً بمستوى المرونة الصحية وبتقليل احتمالية تعطل الخدمات الحرجة. أظهرت النتائج أن مستوى الجاهزية متوسط، مع نقاط قوة في الجوانب الإدارية ونقاط ضعف في الموارد البشرية والتدريب وسلاسل الإمداد. أوصت الدراسة بتبني إطار مرونة شامل يدمج استمرارية الخدمات، إدارة الموارد، وتخطيط الطوارئ، واستخدام مؤشرات كمية لقياس التقدم في المرونة على مستوى المنشآت الصحية</w:t>
      </w:r>
      <w:r w:rsidRPr="006E14E6">
        <w:rPr>
          <w:rFonts w:asciiTheme="majorBidi" w:hAnsiTheme="majorBidi" w:cstheme="majorBidi"/>
          <w:sz w:val="28"/>
          <w:szCs w:val="28"/>
        </w:rPr>
        <w:t>.</w:t>
      </w:r>
    </w:p>
    <w:p w14:paraId="1B0ADBA3" w14:textId="41DE1B57" w:rsidR="006E14E6" w:rsidRPr="006E14E6" w:rsidRDefault="006E14E6" w:rsidP="00C553FF">
      <w:pPr>
        <w:jc w:val="both"/>
        <w:rPr>
          <w:rFonts w:asciiTheme="majorBidi" w:hAnsiTheme="majorBidi" w:cstheme="majorBidi"/>
          <w:sz w:val="28"/>
          <w:szCs w:val="28"/>
        </w:rPr>
      </w:pPr>
    </w:p>
    <w:p w14:paraId="2192A8B4" w14:textId="1CAB3CA0" w:rsidR="006E14E6" w:rsidRPr="009F000A" w:rsidRDefault="006F1AB8" w:rsidP="006F1AB8">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دراسة</w:t>
      </w:r>
      <w:r w:rsidR="006E14E6" w:rsidRPr="009F000A">
        <w:rPr>
          <w:rFonts w:asciiTheme="majorBidi" w:hAnsiTheme="majorBidi" w:cstheme="majorBidi"/>
          <w:b/>
          <w:bCs/>
          <w:sz w:val="28"/>
          <w:szCs w:val="28"/>
          <w:rtl/>
        </w:rPr>
        <w:t xml:space="preserve"> عبد الرحمن (2021</w:t>
      </w:r>
      <w:r w:rsidRPr="009F000A">
        <w:rPr>
          <w:rFonts w:asciiTheme="majorBidi" w:hAnsiTheme="majorBidi" w:cstheme="majorBidi"/>
          <w:b/>
          <w:bCs/>
          <w:sz w:val="28"/>
          <w:szCs w:val="28"/>
          <w:rtl/>
        </w:rPr>
        <w:t>) بعنوان "</w:t>
      </w:r>
      <w:r w:rsidR="006E14E6" w:rsidRPr="009F000A">
        <w:rPr>
          <w:rFonts w:asciiTheme="majorBidi" w:hAnsiTheme="majorBidi" w:cstheme="majorBidi"/>
          <w:b/>
          <w:bCs/>
          <w:sz w:val="28"/>
          <w:szCs w:val="28"/>
          <w:rtl/>
        </w:rPr>
        <w:t>تقييم جاهزية المستشفيات العامة لمواجهة الكوارث في منطقة المدينة المنورة، المملكة العربية السعودية</w:t>
      </w:r>
      <w:r w:rsidRPr="009F000A">
        <w:rPr>
          <w:rFonts w:asciiTheme="majorBidi" w:hAnsiTheme="majorBidi" w:cstheme="majorBidi"/>
          <w:b/>
          <w:bCs/>
          <w:sz w:val="28"/>
          <w:szCs w:val="28"/>
          <w:rtl/>
        </w:rPr>
        <w:t>"</w:t>
      </w:r>
    </w:p>
    <w:p w14:paraId="125EC8E0" w14:textId="77777777" w:rsidR="006E14E6" w:rsidRPr="006E14E6" w:rsidRDefault="006E14E6" w:rsidP="00C553FF">
      <w:pPr>
        <w:jc w:val="both"/>
        <w:rPr>
          <w:rFonts w:asciiTheme="majorBidi" w:hAnsiTheme="majorBidi" w:cstheme="majorBidi"/>
          <w:sz w:val="28"/>
          <w:szCs w:val="28"/>
        </w:rPr>
      </w:pPr>
      <w:r w:rsidRPr="006E14E6">
        <w:rPr>
          <w:rFonts w:asciiTheme="majorBidi" w:hAnsiTheme="majorBidi" w:cstheme="majorBidi"/>
          <w:sz w:val="28"/>
          <w:szCs w:val="28"/>
          <w:rtl/>
        </w:rPr>
        <w:t>هدفت هذه الدراسة إلى تقييم مستوى جاهزية مستشفيات وزارة الصحة في منطقة المدينة المنورة باستخدام قائمة التحقق الخاصة بالاستجابة للطوارئ الصادرة عن منظمة الصحة العالمية. تتمثل مشكلة الدراسة في غياب تقييم شامل ومقارن لمدى استعداد المستشفيات لمواجهة كوارث قد تعطل الخدمات الحيوية. استخدمت الدراسة منهجاً كمّياً مقطعياً عبر ثلاث مراحل: تقييم قبلي، ثم تنفيذ تدخلات لتحسين الجاهزية، ثم تقييم بعدي. افترض الباحثون أن تطبيق تدخلات تدريبية وتنظيمية سيرفع مستوى الجاهزية من مستويات غير مقبولة إلى مستويات كافية أو فعالة. أظهرت النتائج أن بعض المستشفيات كانت في مستوى “غير مقبول” قبل التدخل، بينما تحسّن التقييم إلى مستوى “إعداد فعّال” في عدد منها بعد تطبيق برامج تحسين الجاهزية. أوصت الدراسة باستمرار تطبيق قوائم التحقق الدولية، وتضمين مؤشرات الاستعداد ضمن مؤشرات أداء المستشفيات، وربطها بأنظمة الإنذار المبكر على مستوى المنطقة الصحية</w:t>
      </w:r>
      <w:r w:rsidRPr="006E14E6">
        <w:rPr>
          <w:rFonts w:asciiTheme="majorBidi" w:hAnsiTheme="majorBidi" w:cstheme="majorBidi"/>
          <w:sz w:val="28"/>
          <w:szCs w:val="28"/>
        </w:rPr>
        <w:t>.</w:t>
      </w:r>
    </w:p>
    <w:p w14:paraId="594CF7CA" w14:textId="2BE16BC3" w:rsidR="006E14E6" w:rsidRPr="006E14E6" w:rsidRDefault="006E14E6" w:rsidP="00C553FF">
      <w:pPr>
        <w:jc w:val="both"/>
        <w:rPr>
          <w:rFonts w:asciiTheme="majorBidi" w:hAnsiTheme="majorBidi" w:cstheme="majorBidi"/>
          <w:sz w:val="28"/>
          <w:szCs w:val="28"/>
        </w:rPr>
      </w:pPr>
    </w:p>
    <w:p w14:paraId="010E8D39" w14:textId="77777777" w:rsidR="009073C1" w:rsidRDefault="006F1AB8" w:rsidP="009073C1">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دراسة</w:t>
      </w:r>
      <w:r w:rsidR="006E14E6" w:rsidRPr="009F000A">
        <w:rPr>
          <w:rFonts w:asciiTheme="majorBidi" w:hAnsiTheme="majorBidi" w:cstheme="majorBidi"/>
          <w:b/>
          <w:bCs/>
          <w:sz w:val="28"/>
          <w:szCs w:val="28"/>
          <w:rtl/>
        </w:rPr>
        <w:t xml:space="preserve"> سعد عبد الله (2021</w:t>
      </w:r>
      <w:r w:rsidRPr="009F000A">
        <w:rPr>
          <w:rFonts w:asciiTheme="majorBidi" w:hAnsiTheme="majorBidi" w:cstheme="majorBidi"/>
          <w:b/>
          <w:bCs/>
          <w:sz w:val="28"/>
          <w:szCs w:val="28"/>
          <w:rtl/>
        </w:rPr>
        <w:t>) بعنوان "</w:t>
      </w:r>
      <w:r w:rsidR="006E14E6" w:rsidRPr="009F000A">
        <w:rPr>
          <w:rFonts w:asciiTheme="majorBidi" w:hAnsiTheme="majorBidi" w:cstheme="majorBidi"/>
          <w:b/>
          <w:bCs/>
          <w:sz w:val="28"/>
          <w:szCs w:val="28"/>
          <w:rtl/>
        </w:rPr>
        <w:t>تقييم جاهزية المستشفيات السعودية لمواجهة الكوارث</w:t>
      </w:r>
      <w:r w:rsidRPr="009F000A">
        <w:rPr>
          <w:rFonts w:asciiTheme="majorBidi" w:hAnsiTheme="majorBidi" w:cstheme="majorBidi"/>
          <w:b/>
          <w:bCs/>
          <w:sz w:val="28"/>
          <w:szCs w:val="28"/>
          <w:rtl/>
        </w:rPr>
        <w:t>"</w:t>
      </w:r>
    </w:p>
    <w:p w14:paraId="1A47E531" w14:textId="53305A8C" w:rsidR="009073C1" w:rsidRPr="009073C1" w:rsidRDefault="006E14E6" w:rsidP="009073C1">
      <w:pPr>
        <w:ind w:left="360"/>
        <w:jc w:val="both"/>
        <w:rPr>
          <w:rFonts w:asciiTheme="majorBidi" w:hAnsiTheme="majorBidi" w:cstheme="majorBidi"/>
          <w:b/>
          <w:bCs/>
          <w:sz w:val="28"/>
          <w:szCs w:val="28"/>
        </w:rPr>
      </w:pPr>
      <w:r w:rsidRPr="009073C1">
        <w:rPr>
          <w:rFonts w:asciiTheme="majorBidi" w:hAnsiTheme="majorBidi" w:cstheme="majorBidi"/>
          <w:sz w:val="28"/>
          <w:szCs w:val="28"/>
          <w:rtl/>
        </w:rPr>
        <w:t>تهدف هذه الدراسة إلى قياس مستوى جاهزية المستشفيات السعودية للكوارث من منظور وطني شامل، وليس على مستوى منشأة واحدة. انطلقت المشكلة من الحاجة إلى معرفة مدى قوة البنية المؤسسية لإدارة الكوارث الصحية عبر عدة مناطق في المملكة. اعتمدت الدراسة المنهج الكمي الاستكشافي باستخدام استبانة ذاتية شملت تسعة مستشفيات في ثلاث مدن رئيسية (الرياض، جدة، الدمام). افترضت الدراسة وجود فروق في مستوى الجاهزية بين المناطق، ووجود علاقة بين قدرات الإدارة والموارد البشرية وبين إجمالي درجة الاستعداد للكوارث. أظهرت النتائج أن متوسط مستوى الجاهزية الكلي حوالي 70%، مع ارتفاع نسبي في البعد الإداري، وضعف نسبي في بعد الكفاءة البشرية والتدريب المستمر. أوصت الدراسة بتوحيد إطار وطني لمؤشرات الجاهزية، ووضع برنامج وطني لبناء القدرات يركز على استمرارية الخدمات الصحية الحرجة أثناء الكوارث وليس فقط على الاستجابة اللحظية</w:t>
      </w:r>
      <w:r w:rsidRPr="009073C1">
        <w:rPr>
          <w:rFonts w:asciiTheme="majorBidi" w:hAnsiTheme="majorBidi" w:cstheme="majorBidi"/>
          <w:sz w:val="28"/>
          <w:szCs w:val="28"/>
        </w:rPr>
        <w:t>.</w:t>
      </w:r>
    </w:p>
    <w:p w14:paraId="7072D046" w14:textId="77777777" w:rsidR="009073C1" w:rsidRPr="009073C1" w:rsidRDefault="009073C1" w:rsidP="009073C1">
      <w:pPr>
        <w:pStyle w:val="a6"/>
        <w:numPr>
          <w:ilvl w:val="0"/>
          <w:numId w:val="6"/>
        </w:numPr>
        <w:jc w:val="both"/>
        <w:rPr>
          <w:rFonts w:asciiTheme="majorBidi" w:hAnsiTheme="majorBidi" w:cstheme="majorBidi"/>
          <w:b/>
          <w:bCs/>
          <w:sz w:val="28"/>
          <w:szCs w:val="28"/>
        </w:rPr>
      </w:pP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خالد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محمد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الحارثي</w:t>
      </w:r>
      <w:r w:rsidRPr="009073C1">
        <w:rPr>
          <w:rFonts w:asciiTheme="majorBidi" w:hAnsiTheme="majorBidi" w:cs="Times New Roman"/>
          <w:b/>
          <w:bCs/>
          <w:sz w:val="28"/>
          <w:szCs w:val="28"/>
          <w:rtl/>
        </w:rPr>
        <w:t xml:space="preserve"> (2024)</w:t>
      </w:r>
      <w:r w:rsidRPr="009073C1">
        <w:rPr>
          <w:rFonts w:asciiTheme="majorBidi" w:hAnsiTheme="majorBidi" w:cstheme="majorBidi" w:hint="cs"/>
          <w:b/>
          <w:bCs/>
          <w:sz w:val="28"/>
          <w:szCs w:val="28"/>
          <w:rtl/>
        </w:rPr>
        <w:t xml:space="preserve"> بعنوان </w:t>
      </w:r>
      <w:r w:rsidRPr="009073C1">
        <w:rPr>
          <w:rFonts w:asciiTheme="majorBidi" w:hAnsiTheme="majorBidi" w:cs="Times New Roman" w:hint="cs"/>
          <w:b/>
          <w:bCs/>
          <w:sz w:val="28"/>
          <w:szCs w:val="28"/>
          <w:rtl/>
        </w:rPr>
        <w:t>الدراسة</w:t>
      </w:r>
      <w:r w:rsidRPr="009073C1">
        <w:rPr>
          <w:rFonts w:asciiTheme="majorBidi" w:hAnsiTheme="majorBidi" w:cs="Times New Roman"/>
          <w:b/>
          <w:bCs/>
          <w:sz w:val="28"/>
          <w:szCs w:val="28"/>
          <w:rtl/>
        </w:rPr>
        <w:t>: "</w:t>
      </w:r>
      <w:r w:rsidRPr="009073C1">
        <w:rPr>
          <w:rFonts w:asciiTheme="majorBidi" w:hAnsiTheme="majorBidi" w:cs="Times New Roman" w:hint="cs"/>
          <w:b/>
          <w:bCs/>
          <w:sz w:val="28"/>
          <w:szCs w:val="28"/>
          <w:rtl/>
        </w:rPr>
        <w:t>تقييم</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جاهزية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المستشفيات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الحكومية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لمواجهة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الكوارث</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الطبيعية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تطبيقية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في</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مدينة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الرياض</w:t>
      </w:r>
      <w:r w:rsidRPr="009073C1">
        <w:rPr>
          <w:rFonts w:asciiTheme="majorBidi" w:hAnsiTheme="majorBidi" w:cs="Times New Roman"/>
          <w:b/>
          <w:bCs/>
          <w:sz w:val="28"/>
          <w:szCs w:val="28"/>
          <w:rtl/>
        </w:rPr>
        <w:t>"</w:t>
      </w:r>
    </w:p>
    <w:p w14:paraId="386190E3" w14:textId="77777777" w:rsidR="009073C1" w:rsidRPr="009073C1" w:rsidRDefault="009073C1" w:rsidP="009073C1">
      <w:pPr>
        <w:ind w:left="360"/>
        <w:jc w:val="both"/>
        <w:rPr>
          <w:rFonts w:asciiTheme="majorBidi" w:hAnsiTheme="majorBidi" w:cstheme="majorBidi"/>
          <w:b/>
          <w:bCs/>
          <w:sz w:val="28"/>
          <w:szCs w:val="28"/>
        </w:rPr>
      </w:pPr>
      <w:r w:rsidRPr="009073C1">
        <w:rPr>
          <w:rFonts w:asciiTheme="majorBidi" w:hAnsiTheme="majorBidi" w:cs="Times New Roman" w:hint="cs"/>
          <w:sz w:val="28"/>
          <w:szCs w:val="28"/>
          <w:rtl/>
        </w:rPr>
        <w:t>هدفت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قياس</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مستوى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الحكومية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مدينة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الرياض</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للتعامل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الطبيعية،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التركيز</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الحرجة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انطلقت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مشكلة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ملاحظة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هناك</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تفاوتاً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كبيراً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وعدم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وضوح</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قياس</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المحتمل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اعتمد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الباحث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المنهج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الوصفي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التحليلي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باستخدام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استبيانات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ومقابلات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مديري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وأفراد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الطاقم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افترضت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هناك</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علاقة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إيجابية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بين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مستوى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التنظيمية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وكفاءة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أثناء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أظهرت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النتائج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تفاوتاً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كبيراً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بين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تفعيل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الطوارئ،</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وأشارت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لديها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برامج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تدريب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دورية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مرنة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كانت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أقل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عرضة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أوصت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بتوحيد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معايير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وتطوير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قياس</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المبكر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الحرجة</w:t>
      </w:r>
      <w:r w:rsidRPr="009073C1">
        <w:rPr>
          <w:rFonts w:asciiTheme="majorBidi" w:hAnsiTheme="majorBidi" w:cs="Times New Roman"/>
          <w:sz w:val="28"/>
          <w:szCs w:val="28"/>
          <w:rtl/>
        </w:rPr>
        <w:t>.</w:t>
      </w:r>
    </w:p>
    <w:p w14:paraId="78DB4DF3" w14:textId="77777777" w:rsidR="009073C1" w:rsidRPr="009073C1" w:rsidRDefault="009073C1" w:rsidP="009073C1">
      <w:pPr>
        <w:pStyle w:val="a6"/>
        <w:numPr>
          <w:ilvl w:val="0"/>
          <w:numId w:val="6"/>
        </w:numPr>
        <w:jc w:val="both"/>
        <w:rPr>
          <w:rFonts w:asciiTheme="majorBidi" w:hAnsiTheme="majorBidi" w:cstheme="majorBidi"/>
          <w:b/>
          <w:bCs/>
          <w:sz w:val="28"/>
          <w:szCs w:val="28"/>
        </w:rPr>
      </w:pP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سارة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عبدالله</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العتيبي</w:t>
      </w:r>
      <w:r w:rsidRPr="009073C1">
        <w:rPr>
          <w:rFonts w:asciiTheme="majorBidi" w:hAnsiTheme="majorBidi" w:cs="Times New Roman"/>
          <w:b/>
          <w:bCs/>
          <w:sz w:val="28"/>
          <w:szCs w:val="28"/>
          <w:rtl/>
        </w:rPr>
        <w:t xml:space="preserve"> (2023)</w:t>
      </w:r>
      <w:r w:rsidRPr="009073C1">
        <w:rPr>
          <w:rFonts w:asciiTheme="majorBidi" w:hAnsiTheme="majorBidi" w:cstheme="majorBidi" w:hint="cs"/>
          <w:b/>
          <w:bCs/>
          <w:sz w:val="28"/>
          <w:szCs w:val="28"/>
          <w:rtl/>
        </w:rPr>
        <w:t xml:space="preserve"> ب</w:t>
      </w:r>
      <w:r w:rsidRPr="009073C1">
        <w:rPr>
          <w:rFonts w:asciiTheme="majorBidi" w:hAnsiTheme="majorBidi" w:cs="Times New Roman" w:hint="cs"/>
          <w:b/>
          <w:bCs/>
          <w:sz w:val="28"/>
          <w:szCs w:val="28"/>
          <w:rtl/>
        </w:rPr>
        <w:t>عنوان</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الدراسة</w:t>
      </w:r>
      <w:r w:rsidRPr="009073C1">
        <w:rPr>
          <w:rFonts w:asciiTheme="majorBidi" w:hAnsiTheme="majorBidi" w:cs="Times New Roman"/>
          <w:b/>
          <w:bCs/>
          <w:sz w:val="28"/>
          <w:szCs w:val="28"/>
          <w:rtl/>
        </w:rPr>
        <w:t>: "</w:t>
      </w:r>
      <w:r w:rsidRPr="009073C1">
        <w:rPr>
          <w:rFonts w:asciiTheme="majorBidi" w:hAnsiTheme="majorBidi" w:cs="Times New Roman" w:hint="cs"/>
          <w:b/>
          <w:bCs/>
          <w:sz w:val="28"/>
          <w:szCs w:val="28"/>
          <w:rtl/>
        </w:rPr>
        <w:t>مرونة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النظام</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الصحي</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في</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مواجهة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الكوارث</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الطبيعية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تحليلية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في</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مستشفيات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المنطقة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الشرقية</w:t>
      </w:r>
      <w:r w:rsidRPr="009073C1">
        <w:rPr>
          <w:rFonts w:asciiTheme="majorBidi" w:hAnsiTheme="majorBidi" w:cs="Times New Roman"/>
          <w:b/>
          <w:bCs/>
          <w:sz w:val="28"/>
          <w:szCs w:val="28"/>
          <w:rtl/>
        </w:rPr>
        <w:t>"</w:t>
      </w:r>
      <w:r>
        <w:rPr>
          <w:rFonts w:asciiTheme="majorBidi" w:hAnsiTheme="majorBidi" w:cs="Times New Roman" w:hint="cs"/>
          <w:b/>
          <w:bCs/>
          <w:sz w:val="28"/>
          <w:szCs w:val="28"/>
          <w:rtl/>
        </w:rPr>
        <w:t xml:space="preserve"> </w:t>
      </w:r>
    </w:p>
    <w:p w14:paraId="25EB8F83" w14:textId="77777777" w:rsidR="009073C1" w:rsidRPr="009073C1" w:rsidRDefault="009073C1" w:rsidP="009073C1">
      <w:pPr>
        <w:ind w:left="360"/>
        <w:jc w:val="both"/>
        <w:rPr>
          <w:rFonts w:asciiTheme="majorBidi" w:hAnsiTheme="majorBidi" w:cstheme="majorBidi"/>
          <w:b/>
          <w:bCs/>
          <w:sz w:val="28"/>
          <w:szCs w:val="28"/>
        </w:rPr>
      </w:pPr>
      <w:r w:rsidRPr="009073C1">
        <w:rPr>
          <w:rFonts w:asciiTheme="majorBidi" w:hAnsiTheme="majorBidi" w:cs="Times New Roman" w:hint="cs"/>
          <w:sz w:val="28"/>
          <w:szCs w:val="28"/>
          <w:rtl/>
        </w:rPr>
        <w:t>هدفت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تحليل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مستوى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المرونة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المنطقة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الشرقية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وقدرتها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التعامل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الطبيعية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انطلقت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المشكلة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ضعف</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وجود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بيانات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حول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قدرة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النظام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امتصاص</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واستمرار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تقديم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استخدم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الباحث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المنهج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التحليلي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المقارن،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الوثائق</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الرسمية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وتقارير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الاستجابة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افترضت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تتمتع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بمرونة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تحقق</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أكبر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الحرجة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أظهرت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النتائج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وجود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علاقة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قوية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بين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مرونة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وفاعلية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استجابتها،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تباين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حسب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حجم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والموقع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الجغرافي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أوصت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بتعزيز</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برامج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التدريب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المرونة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التشغيلية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وإنشاء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وحدات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متخصصة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لإدارة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w:t>
      </w:r>
    </w:p>
    <w:p w14:paraId="5CEEB422" w14:textId="77777777" w:rsidR="009073C1" w:rsidRPr="009073C1" w:rsidRDefault="009073C1" w:rsidP="009073C1">
      <w:pPr>
        <w:pStyle w:val="a6"/>
        <w:numPr>
          <w:ilvl w:val="0"/>
          <w:numId w:val="6"/>
        </w:numPr>
        <w:jc w:val="both"/>
        <w:rPr>
          <w:rFonts w:asciiTheme="majorBidi" w:hAnsiTheme="majorBidi" w:cstheme="majorBidi"/>
          <w:b/>
          <w:bCs/>
          <w:sz w:val="28"/>
          <w:szCs w:val="28"/>
        </w:rPr>
      </w:pP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فهد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سعيد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الغامدي</w:t>
      </w:r>
      <w:r w:rsidRPr="009073C1">
        <w:rPr>
          <w:rFonts w:asciiTheme="majorBidi" w:hAnsiTheme="majorBidi" w:cs="Times New Roman"/>
          <w:b/>
          <w:bCs/>
          <w:sz w:val="28"/>
          <w:szCs w:val="28"/>
          <w:rtl/>
        </w:rPr>
        <w:t xml:space="preserve"> (2022)</w:t>
      </w:r>
      <w:r w:rsidRPr="009073C1">
        <w:rPr>
          <w:rFonts w:asciiTheme="majorBidi" w:hAnsiTheme="majorBidi" w:cstheme="majorBidi" w:hint="cs"/>
          <w:b/>
          <w:bCs/>
          <w:sz w:val="28"/>
          <w:szCs w:val="28"/>
          <w:rtl/>
        </w:rPr>
        <w:t xml:space="preserve"> ب</w:t>
      </w:r>
      <w:r w:rsidRPr="009073C1">
        <w:rPr>
          <w:rFonts w:asciiTheme="majorBidi" w:hAnsiTheme="majorBidi" w:cs="Times New Roman" w:hint="cs"/>
          <w:b/>
          <w:bCs/>
          <w:sz w:val="28"/>
          <w:szCs w:val="28"/>
          <w:rtl/>
        </w:rPr>
        <w:t>عنوان</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الدراسة</w:t>
      </w:r>
      <w:r w:rsidRPr="009073C1">
        <w:rPr>
          <w:rFonts w:asciiTheme="majorBidi" w:hAnsiTheme="majorBidi" w:cs="Times New Roman"/>
          <w:b/>
          <w:bCs/>
          <w:sz w:val="28"/>
          <w:szCs w:val="28"/>
          <w:rtl/>
        </w:rPr>
        <w:t>: "</w:t>
      </w:r>
      <w:r w:rsidRPr="009073C1">
        <w:rPr>
          <w:rFonts w:asciiTheme="majorBidi" w:hAnsiTheme="majorBidi" w:cs="Times New Roman" w:hint="cs"/>
          <w:b/>
          <w:bCs/>
          <w:sz w:val="28"/>
          <w:szCs w:val="28"/>
          <w:rtl/>
        </w:rPr>
        <w:t>تحليل</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أثر</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استمرارية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الأعمال</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على</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الحد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من</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انقطاع</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الخدمات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الصحية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أثناء</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الكوارث</w:t>
      </w:r>
      <w:r w:rsidRPr="009073C1">
        <w:rPr>
          <w:rFonts w:asciiTheme="majorBidi" w:hAnsiTheme="majorBidi" w:cs="Times New Roman"/>
          <w:b/>
          <w:bCs/>
          <w:sz w:val="28"/>
          <w:szCs w:val="28"/>
          <w:rtl/>
        </w:rPr>
        <w:t>"</w:t>
      </w:r>
      <w:r>
        <w:rPr>
          <w:rFonts w:asciiTheme="majorBidi" w:hAnsiTheme="majorBidi" w:cs="Times New Roman" w:hint="cs"/>
          <w:b/>
          <w:bCs/>
          <w:sz w:val="28"/>
          <w:szCs w:val="28"/>
          <w:rtl/>
        </w:rPr>
        <w:t xml:space="preserve">  </w:t>
      </w:r>
    </w:p>
    <w:p w14:paraId="25DF256E" w14:textId="77777777" w:rsidR="009073C1" w:rsidRPr="009073C1" w:rsidRDefault="009073C1" w:rsidP="009073C1">
      <w:pPr>
        <w:ind w:left="360"/>
        <w:jc w:val="both"/>
        <w:rPr>
          <w:rFonts w:asciiTheme="majorBidi" w:hAnsiTheme="majorBidi" w:cstheme="majorBidi"/>
          <w:b/>
          <w:bCs/>
          <w:sz w:val="28"/>
          <w:szCs w:val="28"/>
        </w:rPr>
      </w:pPr>
      <w:r w:rsidRPr="009073C1">
        <w:rPr>
          <w:rFonts w:asciiTheme="majorBidi" w:hAnsiTheme="majorBidi" w:cs="Times New Roman" w:hint="cs"/>
          <w:sz w:val="28"/>
          <w:szCs w:val="28"/>
          <w:rtl/>
        </w:rPr>
        <w:t>هدفت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تقييم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الأعمال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تقليل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الحرجة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أثناء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الطبيعية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انطلقت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المشكلة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ملاحظة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تكرار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حالات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خلال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الفيضانات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والزلازل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الأخيرة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استخدم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الباحث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المنهج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الوصفي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البيانات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سجلات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وتقارير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الأداء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افترضت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تطبيق</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الأعمال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يقلل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بشكل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كبير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أظهرت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النتائج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لديها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واضحة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لإعادة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توزيع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الموارد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والتشغيل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البديل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حققت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انخفاضاً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ملموساً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فترة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توقف</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أوصت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بتعميم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استمرارية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الأعمال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جميع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وربطها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بأنظمة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الإنذار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المبكر</w:t>
      </w:r>
      <w:r w:rsidRPr="009073C1">
        <w:rPr>
          <w:rFonts w:asciiTheme="majorBidi" w:hAnsiTheme="majorBidi" w:cs="Times New Roman"/>
          <w:sz w:val="28"/>
          <w:szCs w:val="28"/>
          <w:rtl/>
        </w:rPr>
        <w:t>.</w:t>
      </w:r>
    </w:p>
    <w:p w14:paraId="3E74736D" w14:textId="77777777" w:rsidR="009073C1" w:rsidRPr="009073C1" w:rsidRDefault="009073C1" w:rsidP="009073C1">
      <w:pPr>
        <w:pStyle w:val="a6"/>
        <w:numPr>
          <w:ilvl w:val="0"/>
          <w:numId w:val="6"/>
        </w:numPr>
        <w:jc w:val="both"/>
        <w:rPr>
          <w:rFonts w:asciiTheme="majorBidi" w:hAnsiTheme="majorBidi" w:cstheme="majorBidi"/>
          <w:b/>
          <w:bCs/>
          <w:sz w:val="28"/>
          <w:szCs w:val="28"/>
        </w:rPr>
      </w:pP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هدى</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يوسف</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الشمري</w:t>
      </w:r>
      <w:r w:rsidRPr="009073C1">
        <w:rPr>
          <w:rFonts w:asciiTheme="majorBidi" w:hAnsiTheme="majorBidi" w:cs="Times New Roman"/>
          <w:b/>
          <w:bCs/>
          <w:sz w:val="28"/>
          <w:szCs w:val="28"/>
          <w:rtl/>
        </w:rPr>
        <w:t xml:space="preserve"> (2021)</w:t>
      </w:r>
      <w:r w:rsidRPr="009073C1">
        <w:rPr>
          <w:rFonts w:asciiTheme="majorBidi" w:hAnsiTheme="majorBidi" w:cstheme="majorBidi" w:hint="cs"/>
          <w:b/>
          <w:bCs/>
          <w:sz w:val="28"/>
          <w:szCs w:val="28"/>
          <w:rtl/>
        </w:rPr>
        <w:t xml:space="preserve"> ب</w:t>
      </w:r>
      <w:r w:rsidRPr="009073C1">
        <w:rPr>
          <w:rFonts w:asciiTheme="majorBidi" w:hAnsiTheme="majorBidi" w:cs="Times New Roman" w:hint="cs"/>
          <w:b/>
          <w:bCs/>
          <w:sz w:val="28"/>
          <w:szCs w:val="28"/>
          <w:rtl/>
        </w:rPr>
        <w:t>عنوان</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الدراسة</w:t>
      </w:r>
      <w:r w:rsidRPr="009073C1">
        <w:rPr>
          <w:rFonts w:asciiTheme="majorBidi" w:hAnsiTheme="majorBidi" w:cs="Times New Roman"/>
          <w:b/>
          <w:bCs/>
          <w:sz w:val="28"/>
          <w:szCs w:val="28"/>
          <w:rtl/>
        </w:rPr>
        <w:t>: "</w:t>
      </w:r>
      <w:r w:rsidRPr="009073C1">
        <w:rPr>
          <w:rFonts w:asciiTheme="majorBidi" w:hAnsiTheme="majorBidi" w:cs="Times New Roman" w:hint="cs"/>
          <w:b/>
          <w:bCs/>
          <w:sz w:val="28"/>
          <w:szCs w:val="28"/>
          <w:rtl/>
        </w:rPr>
        <w:t>تأثير</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الجاهزية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والتدريب</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على</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استجابة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الطواقم</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الطبية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خلال</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الكوارث</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الطبيعية</w:t>
      </w:r>
      <w:r w:rsidRPr="009073C1">
        <w:rPr>
          <w:rFonts w:asciiTheme="majorBidi" w:hAnsiTheme="majorBidi" w:cs="Times New Roman"/>
          <w:b/>
          <w:bCs/>
          <w:sz w:val="28"/>
          <w:szCs w:val="28"/>
          <w:rtl/>
        </w:rPr>
        <w:t>"</w:t>
      </w:r>
    </w:p>
    <w:p w14:paraId="70A19744" w14:textId="77777777" w:rsidR="009073C1" w:rsidRPr="009073C1" w:rsidRDefault="009073C1" w:rsidP="009073C1">
      <w:pPr>
        <w:ind w:left="360"/>
        <w:jc w:val="both"/>
        <w:rPr>
          <w:rFonts w:asciiTheme="majorBidi" w:hAnsiTheme="majorBidi" w:cstheme="majorBidi"/>
          <w:b/>
          <w:bCs/>
          <w:sz w:val="28"/>
          <w:szCs w:val="28"/>
        </w:rPr>
      </w:pPr>
      <w:r w:rsidRPr="009073C1">
        <w:rPr>
          <w:rFonts w:asciiTheme="majorBidi" w:hAnsiTheme="majorBidi" w:cs="Times New Roman" w:hint="cs"/>
          <w:sz w:val="28"/>
          <w:szCs w:val="28"/>
          <w:rtl/>
        </w:rPr>
        <w:t>هدفت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قياس</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مستوى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التدريب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الطواقم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واستجابة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أثناء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الكوارث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الطبيعية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انطلقت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المشكلة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ملاحظة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نقص</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الكفاءات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العملية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للطواقم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أثناء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الأزمات،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رغم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وجود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خطط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مكتوبة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اعتمدت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المنهج</w:t>
      </w:r>
      <w:r w:rsidRPr="009073C1">
        <w:rPr>
          <w:rFonts w:asciiTheme="majorBidi" w:hAnsiTheme="majorBidi" w:cs="Times New Roman"/>
          <w:sz w:val="28"/>
          <w:szCs w:val="28"/>
          <w:rtl/>
        </w:rPr>
        <w:t xml:space="preserve"> </w:t>
      </w:r>
      <w:proofErr w:type="spellStart"/>
      <w:r w:rsidRPr="009073C1">
        <w:rPr>
          <w:rFonts w:asciiTheme="majorBidi" w:hAnsiTheme="majorBidi" w:cs="Times New Roman" w:hint="cs"/>
          <w:sz w:val="28"/>
          <w:szCs w:val="28"/>
          <w:rtl/>
        </w:rPr>
        <w:t>الاستبياني</w:t>
      </w:r>
      <w:proofErr w:type="spellEnd"/>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التحليلي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بمشاركة</w:t>
      </w:r>
      <w:r w:rsidRPr="009073C1">
        <w:rPr>
          <w:rFonts w:asciiTheme="majorBidi" w:hAnsiTheme="majorBidi" w:cs="Times New Roman"/>
          <w:sz w:val="28"/>
          <w:szCs w:val="28"/>
          <w:rtl/>
        </w:rPr>
        <w:t xml:space="preserve"> 150 </w:t>
      </w:r>
      <w:r w:rsidRPr="009073C1">
        <w:rPr>
          <w:rFonts w:asciiTheme="majorBidi" w:hAnsiTheme="majorBidi" w:cs="Times New Roman" w:hint="cs"/>
          <w:sz w:val="28"/>
          <w:szCs w:val="28"/>
          <w:rtl/>
        </w:rPr>
        <w:t>موظفاً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صحياً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افترضت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زيادة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التدريب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ترتبط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بفاعلية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الاستجابة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وتقليل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أظهرت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النتائج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التدريب</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المنتظم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يعزز</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القدرة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التعامل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الطوارئ</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ويحد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الأخطاء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التشغيلية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أوصت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بإنشاء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برامج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تدريبية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مستمرة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ومتخصصة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للطواقم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الطبية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وربطها</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بتقييم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أداء</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w:t>
      </w:r>
    </w:p>
    <w:p w14:paraId="7F09B93C" w14:textId="34C1247D" w:rsidR="009073C1" w:rsidRPr="009073C1" w:rsidRDefault="009073C1" w:rsidP="009073C1">
      <w:pPr>
        <w:pStyle w:val="a6"/>
        <w:numPr>
          <w:ilvl w:val="0"/>
          <w:numId w:val="6"/>
        </w:numPr>
        <w:jc w:val="both"/>
        <w:rPr>
          <w:rFonts w:asciiTheme="majorBidi" w:hAnsiTheme="majorBidi" w:cstheme="majorBidi"/>
          <w:b/>
          <w:bCs/>
          <w:sz w:val="28"/>
          <w:szCs w:val="28"/>
          <w:rtl/>
        </w:rPr>
      </w:pP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محمد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عبد</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الله</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القحطاني</w:t>
      </w:r>
      <w:r w:rsidRPr="009073C1">
        <w:rPr>
          <w:rFonts w:asciiTheme="majorBidi" w:hAnsiTheme="majorBidi" w:cs="Times New Roman"/>
          <w:b/>
          <w:bCs/>
          <w:sz w:val="28"/>
          <w:szCs w:val="28"/>
          <w:rtl/>
        </w:rPr>
        <w:t xml:space="preserve"> (2020)</w:t>
      </w:r>
      <w:r w:rsidRPr="009073C1">
        <w:rPr>
          <w:rFonts w:asciiTheme="majorBidi" w:hAnsiTheme="majorBidi" w:cstheme="majorBidi" w:hint="cs"/>
          <w:b/>
          <w:bCs/>
          <w:sz w:val="28"/>
          <w:szCs w:val="28"/>
          <w:rtl/>
        </w:rPr>
        <w:t xml:space="preserve"> ب</w:t>
      </w:r>
      <w:r w:rsidRPr="009073C1">
        <w:rPr>
          <w:rFonts w:asciiTheme="majorBidi" w:hAnsiTheme="majorBidi" w:cs="Times New Roman" w:hint="cs"/>
          <w:b/>
          <w:bCs/>
          <w:sz w:val="28"/>
          <w:szCs w:val="28"/>
          <w:rtl/>
        </w:rPr>
        <w:t>عنوان</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الدراسة</w:t>
      </w:r>
      <w:r w:rsidRPr="009073C1">
        <w:rPr>
          <w:rFonts w:asciiTheme="majorBidi" w:hAnsiTheme="majorBidi" w:cs="Times New Roman"/>
          <w:b/>
          <w:bCs/>
          <w:sz w:val="28"/>
          <w:szCs w:val="28"/>
          <w:rtl/>
        </w:rPr>
        <w:t>: "</w:t>
      </w:r>
      <w:r w:rsidRPr="009073C1">
        <w:rPr>
          <w:rFonts w:asciiTheme="majorBidi" w:hAnsiTheme="majorBidi" w:cs="Times New Roman" w:hint="cs"/>
          <w:b/>
          <w:bCs/>
          <w:sz w:val="28"/>
          <w:szCs w:val="28"/>
          <w:rtl/>
        </w:rPr>
        <w:t>مؤشرات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إنذار</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مبكر</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لانقطاع</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الخدمات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الصحية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في</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المستشفيات</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السعودية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دراسة</w:t>
      </w:r>
      <w:r w:rsidRPr="009073C1">
        <w:rPr>
          <w:rFonts w:asciiTheme="majorBidi" w:hAnsiTheme="majorBidi" w:cs="Times New Roman"/>
          <w:b/>
          <w:bCs/>
          <w:sz w:val="28"/>
          <w:szCs w:val="28"/>
          <w:rtl/>
        </w:rPr>
        <w:t xml:space="preserve"> </w:t>
      </w:r>
      <w:r w:rsidRPr="009073C1">
        <w:rPr>
          <w:rFonts w:asciiTheme="majorBidi" w:hAnsiTheme="majorBidi" w:cs="Times New Roman" w:hint="cs"/>
          <w:b/>
          <w:bCs/>
          <w:sz w:val="28"/>
          <w:szCs w:val="28"/>
          <w:rtl/>
        </w:rPr>
        <w:t>استكشافية</w:t>
      </w:r>
      <w:r w:rsidRPr="009073C1">
        <w:rPr>
          <w:rFonts w:asciiTheme="majorBidi" w:hAnsiTheme="majorBidi" w:cs="Times New Roman"/>
          <w:b/>
          <w:bCs/>
          <w:sz w:val="28"/>
          <w:szCs w:val="28"/>
          <w:rtl/>
        </w:rPr>
        <w:t>"</w:t>
      </w:r>
    </w:p>
    <w:p w14:paraId="751BFBBB" w14:textId="33141FBE" w:rsidR="009073C1" w:rsidRPr="006E14E6" w:rsidRDefault="009073C1" w:rsidP="009073C1">
      <w:pPr>
        <w:jc w:val="both"/>
        <w:rPr>
          <w:rFonts w:asciiTheme="majorBidi" w:hAnsiTheme="majorBidi" w:cstheme="majorBidi"/>
          <w:sz w:val="28"/>
          <w:szCs w:val="28"/>
        </w:rPr>
      </w:pPr>
      <w:r w:rsidRPr="009073C1">
        <w:rPr>
          <w:rFonts w:asciiTheme="majorBidi" w:hAnsiTheme="majorBidi" w:cs="Times New Roman" w:hint="cs"/>
          <w:sz w:val="28"/>
          <w:szCs w:val="28"/>
          <w:rtl/>
        </w:rPr>
        <w:t>هدفت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تحديد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إنذار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مبكر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تساعد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توقع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الخدمات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الصحية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الحرجة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انطلقت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المشكلة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عدم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وجود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آليات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قياس</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مبكرة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تحدد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نقاط</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الضعف</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قبل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وقوع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الانقطاع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اعتمد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الباحث</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المنهج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الوصفي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الاستكشافي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باستخدام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مراجعة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وثائق</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وتقارير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الطوارئ</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افترضت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تحديد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واضحة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يزيد</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قدرة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الاستجابة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المبكرة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أظهرت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النتائج</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إمكانية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استخدام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مثل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توفر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الإمدادات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الحيوية،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جاهزية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الطواقم،</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والقدرة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على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إعادة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توزيع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المرضى</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كمؤشرات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إنذار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مبكر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أوصت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الدراسة</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بتطوير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إطار</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عمل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شامل</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يجمع</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بين</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هذه</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المؤشرات</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لتطبيقه</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في</w:t>
      </w:r>
      <w:r w:rsidRPr="009073C1">
        <w:rPr>
          <w:rFonts w:asciiTheme="majorBidi" w:hAnsiTheme="majorBidi" w:cs="Times New Roman"/>
          <w:sz w:val="28"/>
          <w:szCs w:val="28"/>
          <w:rtl/>
        </w:rPr>
        <w:t xml:space="preserve"> </w:t>
      </w:r>
      <w:r w:rsidRPr="009073C1">
        <w:rPr>
          <w:rFonts w:asciiTheme="majorBidi" w:hAnsiTheme="majorBidi" w:cs="Times New Roman" w:hint="cs"/>
          <w:sz w:val="28"/>
          <w:szCs w:val="28"/>
          <w:rtl/>
        </w:rPr>
        <w:t>المستشفيات</w:t>
      </w:r>
      <w:r w:rsidRPr="009073C1">
        <w:rPr>
          <w:rFonts w:asciiTheme="majorBidi" w:hAnsiTheme="majorBidi" w:cs="Times New Roman"/>
          <w:sz w:val="28"/>
          <w:szCs w:val="28"/>
          <w:rtl/>
        </w:rPr>
        <w:t>.</w:t>
      </w:r>
    </w:p>
    <w:p w14:paraId="370D512D" w14:textId="2312ABA1" w:rsidR="00C553FF" w:rsidRPr="00C553FF" w:rsidRDefault="00C553FF" w:rsidP="006F1AB8">
      <w:pPr>
        <w:jc w:val="both"/>
        <w:rPr>
          <w:rFonts w:asciiTheme="majorBidi" w:hAnsiTheme="majorBidi" w:cstheme="majorBidi"/>
          <w:b/>
          <w:bCs/>
          <w:sz w:val="28"/>
          <w:szCs w:val="28"/>
        </w:rPr>
      </w:pPr>
      <w:r w:rsidRPr="00C553FF">
        <w:rPr>
          <w:rFonts w:asciiTheme="majorBidi" w:hAnsiTheme="majorBidi" w:cstheme="majorBidi"/>
          <w:b/>
          <w:bCs/>
          <w:sz w:val="28"/>
          <w:szCs w:val="28"/>
          <w:rtl/>
        </w:rPr>
        <w:t xml:space="preserve">ثانياً: الدراسات الأجنبية </w:t>
      </w:r>
    </w:p>
    <w:p w14:paraId="6C520EAA" w14:textId="61C640BE" w:rsidR="006F1AB8" w:rsidRPr="009F000A" w:rsidRDefault="006F1AB8" w:rsidP="006F1AB8">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Pr="009F000A">
        <w:rPr>
          <w:rFonts w:asciiTheme="majorBidi" w:hAnsiTheme="majorBidi" w:cstheme="majorBidi"/>
          <w:b/>
          <w:bCs/>
          <w:sz w:val="28"/>
          <w:szCs w:val="28"/>
          <w:rtl/>
        </w:rPr>
        <w:t>مورِي (2025</w:t>
      </w:r>
      <w:r w:rsidRPr="009F000A">
        <w:rPr>
          <w:rFonts w:asciiTheme="majorBidi" w:hAnsiTheme="majorBidi" w:cstheme="majorBidi"/>
          <w:b/>
          <w:bCs/>
          <w:sz w:val="28"/>
          <w:szCs w:val="28"/>
          <w:rtl/>
        </w:rPr>
        <w:t xml:space="preserve">) بعنوان" </w:t>
      </w:r>
      <w:r w:rsidRPr="009F000A">
        <w:rPr>
          <w:rFonts w:asciiTheme="majorBidi" w:hAnsiTheme="majorBidi" w:cstheme="majorBidi"/>
          <w:b/>
          <w:bCs/>
          <w:sz w:val="28"/>
          <w:szCs w:val="28"/>
          <w:rtl/>
        </w:rPr>
        <w:t>مرونة المستشفيات: إطار قائم على الأدلة لدعم مرحلة التكيّف أثناء الأزمات غير الخطية والمستمرة</w:t>
      </w:r>
      <w:r w:rsidRPr="009F000A">
        <w:rPr>
          <w:rFonts w:asciiTheme="majorBidi" w:hAnsiTheme="majorBidi" w:cstheme="majorBidi"/>
          <w:b/>
          <w:bCs/>
          <w:sz w:val="28"/>
          <w:szCs w:val="28"/>
          <w:rtl/>
        </w:rPr>
        <w:t>"</w:t>
      </w:r>
    </w:p>
    <w:p w14:paraId="0618E902" w14:textId="0A584DEE" w:rsidR="00C553FF" w:rsidRPr="00C553FF" w:rsidRDefault="00C553FF" w:rsidP="00B94475">
      <w:pPr>
        <w:jc w:val="both"/>
        <w:rPr>
          <w:rFonts w:asciiTheme="majorBidi" w:hAnsiTheme="majorBidi" w:cstheme="majorBidi"/>
          <w:sz w:val="28"/>
          <w:szCs w:val="28"/>
        </w:rPr>
      </w:pPr>
      <w:r w:rsidRPr="00C553FF">
        <w:rPr>
          <w:rFonts w:asciiTheme="majorBidi" w:hAnsiTheme="majorBidi" w:cstheme="majorBidi"/>
          <w:sz w:val="28"/>
          <w:szCs w:val="28"/>
          <w:rtl/>
        </w:rPr>
        <w:t>تهدف هذه الدراسة إلى تطوير إطار قائم على الأدلة لقياس وتعزيز مرونة المستشفيات في التعامل مع الأزمات الممتدة وغير الخطية مثل جائحة كوفيد-19. تمحورت مشكلة الدراسة حول غياب أدوات عملية لقياس قدرة المستشفى على “الاستمرار في الصمود” مع الحفاظ على وظائفه الأساسية لفترات طويلة. اعتمد الباحثون منهجاً تحليلياً مركباً يجمع بين مراجعة منهجية للأدبيات وتحليل بيانات من مستشفيات واجهت أزمات ممتدة. صيغت فرضيات حول دور أربعة أبعاد رئيسية للمرونة: المتانة</w:t>
      </w:r>
      <w:r w:rsidRPr="00C553FF">
        <w:rPr>
          <w:rFonts w:asciiTheme="majorBidi" w:hAnsiTheme="majorBidi" w:cstheme="majorBidi"/>
          <w:sz w:val="28"/>
          <w:szCs w:val="28"/>
        </w:rPr>
        <w:t xml:space="preserve"> (Robustness)</w:t>
      </w:r>
      <w:r w:rsidRPr="00C553FF">
        <w:rPr>
          <w:rFonts w:asciiTheme="majorBidi" w:hAnsiTheme="majorBidi" w:cstheme="majorBidi"/>
          <w:sz w:val="28"/>
          <w:szCs w:val="28"/>
          <w:rtl/>
        </w:rPr>
        <w:t>، التكرار</w:t>
      </w:r>
      <w:r w:rsidRPr="00C553FF">
        <w:rPr>
          <w:rFonts w:asciiTheme="majorBidi" w:hAnsiTheme="majorBidi" w:cstheme="majorBidi"/>
          <w:sz w:val="28"/>
          <w:szCs w:val="28"/>
        </w:rPr>
        <w:t xml:space="preserve"> (Redundancy)</w:t>
      </w:r>
      <w:r w:rsidRPr="00C553FF">
        <w:rPr>
          <w:rFonts w:asciiTheme="majorBidi" w:hAnsiTheme="majorBidi" w:cstheme="majorBidi"/>
          <w:sz w:val="28"/>
          <w:szCs w:val="28"/>
          <w:rtl/>
        </w:rPr>
        <w:t>، القدرة على الإبداع</w:t>
      </w:r>
      <w:r w:rsidRPr="00C553FF">
        <w:rPr>
          <w:rFonts w:asciiTheme="majorBidi" w:hAnsiTheme="majorBidi" w:cstheme="majorBidi"/>
          <w:sz w:val="28"/>
          <w:szCs w:val="28"/>
        </w:rPr>
        <w:t xml:space="preserve"> (Resourcefulness)</w:t>
      </w:r>
      <w:r w:rsidRPr="00C553FF">
        <w:rPr>
          <w:rFonts w:asciiTheme="majorBidi" w:hAnsiTheme="majorBidi" w:cstheme="majorBidi"/>
          <w:sz w:val="28"/>
          <w:szCs w:val="28"/>
          <w:rtl/>
        </w:rPr>
        <w:t>، والسرعة</w:t>
      </w:r>
      <w:r w:rsidRPr="00C553FF">
        <w:rPr>
          <w:rFonts w:asciiTheme="majorBidi" w:hAnsiTheme="majorBidi" w:cstheme="majorBidi"/>
          <w:sz w:val="28"/>
          <w:szCs w:val="28"/>
        </w:rPr>
        <w:t xml:space="preserve"> (Rapidity)</w:t>
      </w:r>
      <w:r w:rsidRPr="00C553FF">
        <w:rPr>
          <w:rFonts w:asciiTheme="majorBidi" w:hAnsiTheme="majorBidi" w:cstheme="majorBidi"/>
          <w:sz w:val="28"/>
          <w:szCs w:val="28"/>
          <w:rtl/>
        </w:rPr>
        <w:t>، في تفسير قدرة المستشفى على استمرار تقديم الخدمات الحرجة. أظهرت النتائج أن المستشفيات التي تمتلك أنظمة بديلة للإمداد، ومسارات عمل مرنة، وقيادة تشاركية قادرة على تقليل الانقطاعات في الخدمات الحرجة بشكل ملحوظ. أوصت الدراسة باستخدام الإطار المقترح كأداة تقييم لمؤشرات مبكرة على ضعف المرونة وتزايد خطر الانقطاع</w:t>
      </w:r>
      <w:r w:rsidRPr="00C553FF">
        <w:rPr>
          <w:rFonts w:asciiTheme="majorBidi" w:hAnsiTheme="majorBidi" w:cstheme="majorBidi"/>
          <w:sz w:val="28"/>
          <w:szCs w:val="28"/>
        </w:rPr>
        <w:t>.</w:t>
      </w:r>
    </w:p>
    <w:p w14:paraId="4E72463F" w14:textId="284ED5AA" w:rsidR="006F1AB8" w:rsidRPr="009F000A" w:rsidRDefault="006F1AB8" w:rsidP="006F1AB8">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دراسة</w:t>
      </w:r>
      <w:r w:rsidRPr="009F000A">
        <w:rPr>
          <w:rFonts w:asciiTheme="majorBidi" w:hAnsiTheme="majorBidi" w:cstheme="majorBidi"/>
          <w:b/>
          <w:bCs/>
          <w:sz w:val="28"/>
          <w:szCs w:val="28"/>
        </w:rPr>
        <w:t xml:space="preserve"> </w:t>
      </w:r>
      <w:proofErr w:type="spellStart"/>
      <w:r w:rsidRPr="009F000A">
        <w:rPr>
          <w:rFonts w:asciiTheme="majorBidi" w:hAnsiTheme="majorBidi" w:cstheme="majorBidi"/>
          <w:b/>
          <w:bCs/>
          <w:sz w:val="28"/>
          <w:szCs w:val="28"/>
          <w:rtl/>
        </w:rPr>
        <w:t>هرتيليندي</w:t>
      </w:r>
      <w:proofErr w:type="spellEnd"/>
      <w:r w:rsidRPr="009F000A">
        <w:rPr>
          <w:rFonts w:asciiTheme="majorBidi" w:hAnsiTheme="majorBidi" w:cstheme="majorBidi"/>
          <w:b/>
          <w:bCs/>
          <w:sz w:val="28"/>
          <w:szCs w:val="28"/>
          <w:rtl/>
        </w:rPr>
        <w:t xml:space="preserve"> (2025</w:t>
      </w:r>
      <w:r w:rsidRPr="009F000A">
        <w:rPr>
          <w:rFonts w:asciiTheme="majorBidi" w:hAnsiTheme="majorBidi" w:cstheme="majorBidi"/>
          <w:b/>
          <w:bCs/>
          <w:sz w:val="28"/>
          <w:szCs w:val="28"/>
          <w:rtl/>
        </w:rPr>
        <w:t>) بعنوان "</w:t>
      </w:r>
      <w:r w:rsidRPr="009F000A">
        <w:rPr>
          <w:rFonts w:asciiTheme="majorBidi" w:hAnsiTheme="majorBidi" w:cstheme="majorBidi"/>
          <w:b/>
          <w:bCs/>
          <w:sz w:val="28"/>
          <w:szCs w:val="28"/>
          <w:rtl/>
        </w:rPr>
        <w:t>تعزيز مرونة النظام الصحي: إطار شامل للاستعداد والاستجابة للأعاصير المدارية</w:t>
      </w:r>
      <w:r w:rsidRPr="009F000A">
        <w:rPr>
          <w:rFonts w:asciiTheme="majorBidi" w:hAnsiTheme="majorBidi" w:cstheme="majorBidi"/>
          <w:b/>
          <w:bCs/>
          <w:sz w:val="28"/>
          <w:szCs w:val="28"/>
          <w:rtl/>
        </w:rPr>
        <w:t>"</w:t>
      </w:r>
    </w:p>
    <w:p w14:paraId="553298C3" w14:textId="77777777" w:rsidR="00C553FF" w:rsidRPr="00C553FF" w:rsidRDefault="00C553FF" w:rsidP="00C553FF">
      <w:pPr>
        <w:jc w:val="both"/>
        <w:rPr>
          <w:rFonts w:asciiTheme="majorBidi" w:hAnsiTheme="majorBidi" w:cstheme="majorBidi"/>
          <w:sz w:val="28"/>
          <w:szCs w:val="28"/>
        </w:rPr>
      </w:pPr>
      <w:r w:rsidRPr="00C553FF">
        <w:rPr>
          <w:rFonts w:asciiTheme="majorBidi" w:hAnsiTheme="majorBidi" w:cstheme="majorBidi"/>
          <w:sz w:val="28"/>
          <w:szCs w:val="28"/>
          <w:rtl/>
        </w:rPr>
        <w:t>هدفت هذه الدراسة إلى تصميم إطار متكامل لتعزيز مرونة الأنظمة الصحية في الدول المعرضة للأعاصير المدارية، مع التركيز على استمرارية الخدمات الأساسية أثناء الكارثة وبعدها. تمثلت مشكلة الدراسة في أن معظم خطط الطوارئ تركز على الاستجابة السريعة دون وجود تصور منهجي لكيفية الحفاظ على الخدمات الحرجة واستعادتها تدريجياً. استخدم الباحثون منهج مراجعة تحليلية للحالات</w:t>
      </w:r>
      <w:r w:rsidRPr="00C553FF">
        <w:rPr>
          <w:rFonts w:asciiTheme="majorBidi" w:hAnsiTheme="majorBidi" w:cstheme="majorBidi"/>
          <w:sz w:val="28"/>
          <w:szCs w:val="28"/>
        </w:rPr>
        <w:t xml:space="preserve"> (Case-based framework) </w:t>
      </w:r>
      <w:r w:rsidRPr="00C553FF">
        <w:rPr>
          <w:rFonts w:asciiTheme="majorBidi" w:hAnsiTheme="majorBidi" w:cstheme="majorBidi"/>
          <w:sz w:val="28"/>
          <w:szCs w:val="28"/>
          <w:rtl/>
        </w:rPr>
        <w:t>مع تحليل لخبرات عدة نظم صحية تعرضت لأعاصير شديدة. افترضت الدراسة أن الأنظمة الصحية التي تدمج بين تخطيط استمرارية الأعمال، والتنسيق بين القطاعات، واستخدام بيانات آنية يمكنها تقليل تعطل الخدمات الحرجة. أظهرت النتائج أن الأنظمة التي اعتمدت خطط استمرارية محددة لكل خدمة أساسية (مثل الطوارئ، العناية المركزة، الغسيل الكلوي) كانت أقل عرضة لانقطاع طويل في تقديم الخدمة. أوصت الدراسة بربط مؤشرات المرونة الصحية بمؤشرات إنذار مبكر تعتمد على عبء الطلب، جاهزية البنية التحتية، وسلامة سلاسل الإمداد</w:t>
      </w:r>
      <w:r w:rsidRPr="00C553FF">
        <w:rPr>
          <w:rFonts w:asciiTheme="majorBidi" w:hAnsiTheme="majorBidi" w:cstheme="majorBidi"/>
          <w:sz w:val="28"/>
          <w:szCs w:val="28"/>
        </w:rPr>
        <w:t>.</w:t>
      </w:r>
    </w:p>
    <w:p w14:paraId="2D6FFD87" w14:textId="2EB87743" w:rsidR="006F1AB8" w:rsidRPr="009F000A" w:rsidRDefault="006F1AB8" w:rsidP="006F1AB8">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proofErr w:type="spellStart"/>
      <w:r w:rsidRPr="009F000A">
        <w:rPr>
          <w:rFonts w:asciiTheme="majorBidi" w:hAnsiTheme="majorBidi" w:cstheme="majorBidi"/>
          <w:b/>
          <w:bCs/>
          <w:sz w:val="28"/>
          <w:szCs w:val="28"/>
          <w:rtl/>
        </w:rPr>
        <w:t>نانيونجا</w:t>
      </w:r>
      <w:proofErr w:type="spellEnd"/>
      <w:r w:rsidRPr="009F000A">
        <w:rPr>
          <w:rFonts w:asciiTheme="majorBidi" w:hAnsiTheme="majorBidi" w:cstheme="majorBidi"/>
          <w:b/>
          <w:bCs/>
          <w:sz w:val="28"/>
          <w:szCs w:val="28"/>
          <w:rtl/>
        </w:rPr>
        <w:t xml:space="preserve"> (2025</w:t>
      </w:r>
      <w:r w:rsidRPr="009F000A">
        <w:rPr>
          <w:rFonts w:asciiTheme="majorBidi" w:hAnsiTheme="majorBidi" w:cstheme="majorBidi"/>
          <w:b/>
          <w:bCs/>
          <w:sz w:val="28"/>
          <w:szCs w:val="28"/>
          <w:rtl/>
        </w:rPr>
        <w:t>) بعنوان "</w:t>
      </w:r>
      <w:r w:rsidRPr="009F000A">
        <w:rPr>
          <w:rFonts w:asciiTheme="majorBidi" w:hAnsiTheme="majorBidi" w:cstheme="majorBidi"/>
          <w:b/>
          <w:bCs/>
          <w:sz w:val="28"/>
          <w:szCs w:val="28"/>
          <w:rtl/>
        </w:rPr>
        <w:t>ضمان استمرارية الخدمات الصحية الأساسية خلال الاستجابة لمرض جدري القرود في إقليم أفريقيا</w:t>
      </w:r>
      <w:r w:rsidRPr="009F000A">
        <w:rPr>
          <w:rFonts w:asciiTheme="majorBidi" w:hAnsiTheme="majorBidi" w:cstheme="majorBidi"/>
          <w:b/>
          <w:bCs/>
          <w:sz w:val="28"/>
          <w:szCs w:val="28"/>
        </w:rPr>
        <w:t>.</w:t>
      </w:r>
      <w:r w:rsidRPr="009F000A">
        <w:rPr>
          <w:rFonts w:asciiTheme="majorBidi" w:hAnsiTheme="majorBidi" w:cstheme="majorBidi"/>
          <w:b/>
          <w:bCs/>
          <w:sz w:val="28"/>
          <w:szCs w:val="28"/>
          <w:rtl/>
        </w:rPr>
        <w:t>"</w:t>
      </w:r>
    </w:p>
    <w:p w14:paraId="5FC35C1D" w14:textId="77777777" w:rsidR="00C553FF" w:rsidRPr="00C553FF" w:rsidRDefault="00C553FF" w:rsidP="00C553FF">
      <w:pPr>
        <w:jc w:val="both"/>
        <w:rPr>
          <w:rFonts w:asciiTheme="majorBidi" w:hAnsiTheme="majorBidi" w:cstheme="majorBidi"/>
          <w:sz w:val="28"/>
          <w:szCs w:val="28"/>
        </w:rPr>
      </w:pPr>
      <w:r w:rsidRPr="00C553FF">
        <w:rPr>
          <w:rFonts w:asciiTheme="majorBidi" w:hAnsiTheme="majorBidi" w:cstheme="majorBidi"/>
          <w:sz w:val="28"/>
          <w:szCs w:val="28"/>
          <w:rtl/>
        </w:rPr>
        <w:t>تسعى هذه الدراسة إلى تحليل كيفية الحفاظ على استمرارية الخدمات الصحية الأساسية في ظل استجابة إقليمية لتفشي مرض الجدري</w:t>
      </w:r>
      <w:r w:rsidRPr="00C553FF">
        <w:rPr>
          <w:rFonts w:asciiTheme="majorBidi" w:hAnsiTheme="majorBidi" w:cstheme="majorBidi"/>
          <w:sz w:val="28"/>
          <w:szCs w:val="28"/>
        </w:rPr>
        <w:t xml:space="preserve"> (Mpox) </w:t>
      </w:r>
      <w:r w:rsidRPr="00C553FF">
        <w:rPr>
          <w:rFonts w:asciiTheme="majorBidi" w:hAnsiTheme="majorBidi" w:cstheme="majorBidi"/>
          <w:sz w:val="28"/>
          <w:szCs w:val="28"/>
          <w:rtl/>
        </w:rPr>
        <w:t>في إقليم أفريقيا التابع لمنظمة الصحة العالمية. تمثلت مشكلة الدراسة في أن الاستجابة للأوبئة غالباً ما تؤدي إلى تحويل الموارد بعيداً عن الخدمات الروتينية مما يسبب انقطاعات واسعة في الرعاية الأساسية. اعتمدت الدراسة منهج مراجعة مكتبية وتحليل بيانات برامجية من عدد من الدول الأفريقية. افترض الباحثون أن وجود خطط واضحة لاستمرارية الخدمات، مدعومة بأنظمة ترصد معلومات آنية، يقلل من حجم الانقطاعات. أظهرت النتائج أن الدول التي فعّلت حزم تدخلات صُممت خصيصاً لاستمرارية الخدمات (مثل جداول عمل بديلة، استخدام الرعاية عن بُعد، إعادة تنظيم مسارات المرضى) حققت انخفاضاً ملحوظاً في حجم التعطّل. أوصت الدراسة بتضمين استمرارية الخدمات كمكوّن أساسي في خطط الاستجابة للأوبئة، واستخدام مؤشرات إنذار مبكر لمراقبة مستوى التراجع في تغطية الخدمات الحرجة</w:t>
      </w:r>
      <w:r w:rsidRPr="00C553FF">
        <w:rPr>
          <w:rFonts w:asciiTheme="majorBidi" w:hAnsiTheme="majorBidi" w:cstheme="majorBidi"/>
          <w:sz w:val="28"/>
          <w:szCs w:val="28"/>
        </w:rPr>
        <w:t>.</w:t>
      </w:r>
    </w:p>
    <w:p w14:paraId="76048C9E" w14:textId="204A8FFC" w:rsidR="002C3FA6" w:rsidRPr="009F000A" w:rsidRDefault="002C3FA6" w:rsidP="002C3FA6">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Pr="009F000A">
        <w:rPr>
          <w:rFonts w:asciiTheme="majorBidi" w:hAnsiTheme="majorBidi" w:cstheme="majorBidi"/>
          <w:b/>
          <w:bCs/>
          <w:sz w:val="28"/>
          <w:szCs w:val="28"/>
        </w:rPr>
        <w:t xml:space="preserve"> </w:t>
      </w:r>
      <w:proofErr w:type="spellStart"/>
      <w:r w:rsidRPr="009F000A">
        <w:rPr>
          <w:rFonts w:asciiTheme="majorBidi" w:hAnsiTheme="majorBidi" w:cstheme="majorBidi"/>
          <w:b/>
          <w:bCs/>
          <w:sz w:val="28"/>
          <w:szCs w:val="28"/>
          <w:rtl/>
        </w:rPr>
        <w:t>موتشاتشي</w:t>
      </w:r>
      <w:proofErr w:type="spellEnd"/>
      <w:r w:rsidRPr="009F000A">
        <w:rPr>
          <w:rFonts w:asciiTheme="majorBidi" w:hAnsiTheme="majorBidi" w:cstheme="majorBidi"/>
          <w:b/>
          <w:bCs/>
          <w:sz w:val="28"/>
          <w:szCs w:val="28"/>
          <w:rtl/>
        </w:rPr>
        <w:t xml:space="preserve"> (2022</w:t>
      </w:r>
      <w:r w:rsidRPr="009F000A">
        <w:rPr>
          <w:rFonts w:asciiTheme="majorBidi" w:hAnsiTheme="majorBidi" w:cstheme="majorBidi"/>
          <w:b/>
          <w:bCs/>
          <w:sz w:val="28"/>
          <w:szCs w:val="28"/>
          <w:rtl/>
        </w:rPr>
        <w:t>) بعنوان "</w:t>
      </w:r>
      <w:r w:rsidRPr="009F000A">
        <w:rPr>
          <w:rFonts w:asciiTheme="majorBidi" w:hAnsiTheme="majorBidi" w:cstheme="majorBidi"/>
          <w:b/>
          <w:bCs/>
          <w:sz w:val="28"/>
          <w:szCs w:val="28"/>
          <w:rtl/>
        </w:rPr>
        <w:t>استمرارية الخدمات الصحية الأساسية في سياق جائحة كوفيد-19: تجربة فريق العمل الإقليمي لشرق وجنوب أفريقيا</w:t>
      </w:r>
      <w:r w:rsidRPr="009F000A">
        <w:rPr>
          <w:rFonts w:asciiTheme="majorBidi" w:hAnsiTheme="majorBidi" w:cstheme="majorBidi"/>
          <w:b/>
          <w:bCs/>
          <w:sz w:val="28"/>
          <w:szCs w:val="28"/>
        </w:rPr>
        <w:t>.</w:t>
      </w:r>
      <w:r w:rsidRPr="009F000A">
        <w:rPr>
          <w:rFonts w:asciiTheme="majorBidi" w:hAnsiTheme="majorBidi" w:cstheme="majorBidi"/>
          <w:b/>
          <w:bCs/>
          <w:sz w:val="28"/>
          <w:szCs w:val="28"/>
          <w:rtl/>
        </w:rPr>
        <w:t>"</w:t>
      </w:r>
    </w:p>
    <w:p w14:paraId="2EEA6C9A" w14:textId="77777777" w:rsidR="00C553FF" w:rsidRPr="00C553FF" w:rsidRDefault="00C553FF" w:rsidP="00C553FF">
      <w:pPr>
        <w:jc w:val="both"/>
        <w:rPr>
          <w:rFonts w:asciiTheme="majorBidi" w:hAnsiTheme="majorBidi" w:cstheme="majorBidi"/>
          <w:sz w:val="28"/>
          <w:szCs w:val="28"/>
        </w:rPr>
      </w:pPr>
      <w:r w:rsidRPr="00C553FF">
        <w:rPr>
          <w:rFonts w:asciiTheme="majorBidi" w:hAnsiTheme="majorBidi" w:cstheme="majorBidi"/>
          <w:sz w:val="28"/>
          <w:szCs w:val="28"/>
          <w:rtl/>
        </w:rPr>
        <w:t>تهدف هذه الدراسة إلى عرض تجربة فريق عمل إقليمي أُنشئ لدعم استمرارية الخدمات الصحية الأساسية في شرق وجنوب أفريقيا خلال جائحة كوفيد-19. انطلقت مشكلة الدراسة من رصد انقطاعات كبيرة في خدمات رعاية الأمومة والطفولة والتطعيمات أثناء الجائحة. اعتمدت الدراسة منهجاً وصفياً تحليلياً من خلال مراجعة تقارير الدول وتحليل نوعي للأسباب والعوائق. ركزت الفرضيات الضمنية على أن التنسيق الإقليمي، ومشاركة المعلومات، وتطوير إرشادات موحدة يمكن أن يخفف من حدة الانقطاع. بيّنت النتائج أن أهم أسباب التعطل شملت إعادة توجيه الموارد لكوفيد-19، القيود على الحركة، وخوف المرضى من الحضور إلى المرافق الصحية. كما أبرزت التجربة أن وضع حزم إرشادية إقليمية، ومؤشرات متابعة شهرية، أسهم في تحسين استعادة الخدمات تدريجياً. أوصت الدراسة باعتماد نموذج فرق العمل الإقليمية كمنصة لإنشاء مؤشرات مبكرة لرصد الانقطاعات في الخدمات الحرجة عبر الدول</w:t>
      </w:r>
      <w:r w:rsidRPr="00C553FF">
        <w:rPr>
          <w:rFonts w:asciiTheme="majorBidi" w:hAnsiTheme="majorBidi" w:cstheme="majorBidi"/>
          <w:sz w:val="28"/>
          <w:szCs w:val="28"/>
        </w:rPr>
        <w:t>.</w:t>
      </w:r>
    </w:p>
    <w:p w14:paraId="4EC5B543" w14:textId="77777777" w:rsidR="00B94475" w:rsidRDefault="002C3FA6" w:rsidP="00B94475">
      <w:pPr>
        <w:pStyle w:val="a6"/>
        <w:numPr>
          <w:ilvl w:val="0"/>
          <w:numId w:val="6"/>
        </w:numPr>
        <w:jc w:val="both"/>
        <w:rPr>
          <w:rFonts w:asciiTheme="majorBidi" w:hAnsiTheme="majorBidi" w:cstheme="majorBidi"/>
          <w:b/>
          <w:bCs/>
          <w:sz w:val="28"/>
          <w:szCs w:val="28"/>
        </w:rPr>
      </w:pPr>
      <w:r w:rsidRPr="009F000A">
        <w:rPr>
          <w:rFonts w:asciiTheme="majorBidi" w:hAnsiTheme="majorBidi" w:cstheme="majorBidi"/>
          <w:b/>
          <w:bCs/>
          <w:sz w:val="28"/>
          <w:szCs w:val="28"/>
          <w:rtl/>
        </w:rPr>
        <w:t xml:space="preserve">دراسة </w:t>
      </w:r>
      <w:r w:rsidRPr="009F000A">
        <w:rPr>
          <w:rFonts w:asciiTheme="majorBidi" w:hAnsiTheme="majorBidi" w:cstheme="majorBidi"/>
          <w:b/>
          <w:bCs/>
          <w:sz w:val="28"/>
          <w:szCs w:val="28"/>
        </w:rPr>
        <w:t xml:space="preserve"> </w:t>
      </w:r>
      <w:proofErr w:type="spellStart"/>
      <w:r w:rsidRPr="009F000A">
        <w:rPr>
          <w:rFonts w:asciiTheme="majorBidi" w:hAnsiTheme="majorBidi" w:cstheme="majorBidi"/>
          <w:b/>
          <w:bCs/>
          <w:sz w:val="28"/>
          <w:szCs w:val="28"/>
          <w:rtl/>
        </w:rPr>
        <w:t>هوكورورو</w:t>
      </w:r>
      <w:proofErr w:type="spellEnd"/>
      <w:r w:rsidRPr="009F000A">
        <w:rPr>
          <w:rFonts w:asciiTheme="majorBidi" w:hAnsiTheme="majorBidi" w:cstheme="majorBidi"/>
          <w:b/>
          <w:bCs/>
          <w:sz w:val="28"/>
          <w:szCs w:val="28"/>
          <w:rtl/>
        </w:rPr>
        <w:t xml:space="preserve"> (2023</w:t>
      </w:r>
      <w:r w:rsidRPr="009F000A">
        <w:rPr>
          <w:rFonts w:asciiTheme="majorBidi" w:hAnsiTheme="majorBidi" w:cstheme="majorBidi"/>
          <w:b/>
          <w:bCs/>
          <w:sz w:val="28"/>
          <w:szCs w:val="28"/>
          <w:rtl/>
        </w:rPr>
        <w:t>) بعنوان "</w:t>
      </w:r>
      <w:r w:rsidRPr="009F000A">
        <w:rPr>
          <w:rFonts w:asciiTheme="majorBidi" w:hAnsiTheme="majorBidi" w:cstheme="majorBidi"/>
          <w:b/>
          <w:bCs/>
          <w:sz w:val="28"/>
          <w:szCs w:val="28"/>
          <w:rtl/>
        </w:rPr>
        <w:t>استمرارية الخدمات الصحية الأساسية خلال جائحة كوفيد-19 في تنزانيا: تقييم لما قبل وما بعد تنفيذ التدخلات الداعمة</w:t>
      </w:r>
      <w:r w:rsidRPr="009F000A">
        <w:rPr>
          <w:rFonts w:asciiTheme="majorBidi" w:hAnsiTheme="majorBidi" w:cstheme="majorBidi"/>
          <w:b/>
          <w:bCs/>
          <w:sz w:val="28"/>
          <w:szCs w:val="28"/>
          <w:rtl/>
        </w:rPr>
        <w:t>"</w:t>
      </w:r>
    </w:p>
    <w:p w14:paraId="7500C3BB" w14:textId="77777777" w:rsidR="00B94475" w:rsidRPr="00B94475" w:rsidRDefault="00C553FF" w:rsidP="00B94475">
      <w:pPr>
        <w:ind w:left="360"/>
        <w:jc w:val="both"/>
        <w:rPr>
          <w:rFonts w:asciiTheme="majorBidi" w:hAnsiTheme="majorBidi" w:cstheme="majorBidi"/>
          <w:b/>
          <w:bCs/>
          <w:sz w:val="28"/>
          <w:szCs w:val="28"/>
        </w:rPr>
      </w:pPr>
      <w:r w:rsidRPr="00B94475">
        <w:rPr>
          <w:rFonts w:asciiTheme="majorBidi" w:hAnsiTheme="majorBidi" w:cstheme="majorBidi"/>
          <w:sz w:val="28"/>
          <w:szCs w:val="28"/>
          <w:rtl/>
        </w:rPr>
        <w:t>استهدفت هذه الدراسة تقييم أثر تدخلات داعمة لاستمرارية الخدمات الصحية الأساسية في تنزانيا قبل وبعد تطبيق حزمة من الإجراءات خلال جائحة كوفيد-19. تمثلت المشكلة في الانخفاض الملحوظ في استخدام خدمات رعاية الأمومة والطفولة والتطعيمات نتيجة القيود المفروضة أثناء الجائحة. استخدم الباحثون تصميم “قبل–بعد</w:t>
      </w:r>
      <w:r w:rsidRPr="00B94475">
        <w:rPr>
          <w:rFonts w:asciiTheme="majorBidi" w:hAnsiTheme="majorBidi" w:cstheme="majorBidi"/>
          <w:sz w:val="28"/>
          <w:szCs w:val="28"/>
        </w:rPr>
        <w:t xml:space="preserve">” (Pre–Post) </w:t>
      </w:r>
      <w:r w:rsidRPr="00B94475">
        <w:rPr>
          <w:rFonts w:asciiTheme="majorBidi" w:hAnsiTheme="majorBidi" w:cstheme="majorBidi"/>
          <w:sz w:val="28"/>
          <w:szCs w:val="28"/>
          <w:rtl/>
        </w:rPr>
        <w:t>من خلال مقارنة مؤشرات استخدام الخدمات (زيارات رعاية الحوامل، الولادات في المؤسسات الصحية، زيارات ما بعد الولادة، معدلات التطعيم) قبل وبعد تنفيذ حزمة تدخلات لتحسين استمرارية الخدمات. افترضت الدراسة أن دعم المرافق بالتدريب، والمعدات الوقائية، وإعادة تنظيم مسارات الخدمة سيؤدي إلى تحسن ملموس في المؤشرات. أظهرت النتائج تحسناً في العديد من مؤشرات الاستخدام بعد تنفيذ التدخلات، مع استمرار بعض الفجوات في المناطق الريفية. أوصت الدراسة بدمج خطط استمرارية الخدمات ضمن الخطط الوطنية للطوارئ، وتطوير نظام رصد دوري لانقطاعات الخدمات يمكن اعتباره مؤشراً مبكراً لمخاطر الانقطاع في الأزمات المستقبلية</w:t>
      </w:r>
      <w:r w:rsidRPr="00B94475">
        <w:rPr>
          <w:rFonts w:asciiTheme="majorBidi" w:hAnsiTheme="majorBidi" w:cstheme="majorBidi"/>
          <w:sz w:val="28"/>
          <w:szCs w:val="28"/>
        </w:rPr>
        <w:t>.</w:t>
      </w:r>
    </w:p>
    <w:p w14:paraId="58B45488" w14:textId="39E98D77" w:rsidR="00B94475" w:rsidRPr="00B94475" w:rsidRDefault="00B94475" w:rsidP="00B94475">
      <w:pPr>
        <w:pStyle w:val="a6"/>
        <w:numPr>
          <w:ilvl w:val="0"/>
          <w:numId w:val="6"/>
        </w:numPr>
        <w:jc w:val="both"/>
        <w:rPr>
          <w:rFonts w:asciiTheme="majorBidi" w:hAnsiTheme="majorBidi" w:cstheme="majorBidi"/>
          <w:b/>
          <w:bCs/>
          <w:sz w:val="28"/>
          <w:szCs w:val="28"/>
        </w:rPr>
      </w:pP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heme="majorBidi"/>
          <w:b/>
          <w:bCs/>
          <w:sz w:val="28"/>
          <w:szCs w:val="28"/>
          <w:rtl/>
        </w:rPr>
        <w:t>سميث وجونسون</w:t>
      </w:r>
      <w:r w:rsidRPr="00B94475">
        <w:rPr>
          <w:rFonts w:ascii="-webkit-standard" w:hAnsi="-webkit-standard"/>
          <w:color w:val="000000"/>
          <w:sz w:val="27"/>
          <w:szCs w:val="27"/>
        </w:rPr>
        <w:t xml:space="preserve"> </w:t>
      </w:r>
      <w:r w:rsidRPr="00B94475">
        <w:rPr>
          <w:rFonts w:asciiTheme="majorBidi" w:hAnsiTheme="majorBidi" w:cstheme="majorBidi"/>
          <w:b/>
          <w:bCs/>
          <w:sz w:val="28"/>
          <w:szCs w:val="28"/>
        </w:rPr>
        <w:t>(2021)</w:t>
      </w:r>
      <w:r>
        <w:rPr>
          <w:rFonts w:asciiTheme="majorBidi" w:hAnsiTheme="majorBidi" w:cs="Times New Roman" w:hint="cs"/>
          <w:b/>
          <w:bCs/>
          <w:sz w:val="28"/>
          <w:szCs w:val="28"/>
          <w:rtl/>
        </w:rPr>
        <w:t xml:space="preserve"> </w:t>
      </w:r>
      <w:proofErr w:type="spellStart"/>
      <w:r>
        <w:rPr>
          <w:rFonts w:asciiTheme="majorBidi" w:hAnsiTheme="majorBidi" w:cs="Times New Roman" w:hint="cs"/>
          <w:b/>
          <w:bCs/>
          <w:sz w:val="28"/>
          <w:szCs w:val="28"/>
          <w:rtl/>
        </w:rPr>
        <w:t>بعنوان</w:t>
      </w:r>
      <w:r w:rsidRPr="00B94475">
        <w:rPr>
          <w:rFonts w:asciiTheme="majorBidi" w:hAnsiTheme="majorBidi" w:cs="Times New Roman"/>
          <w:b/>
          <w:bCs/>
          <w:sz w:val="28"/>
          <w:szCs w:val="28"/>
          <w:rtl/>
        </w:rPr>
        <w:t>"</w:t>
      </w:r>
      <w:r w:rsidRPr="00B94475">
        <w:rPr>
          <w:rFonts w:asciiTheme="majorBidi" w:hAnsiTheme="majorBidi" w:cs="Times New Roman" w:hint="cs"/>
          <w:b/>
          <w:bCs/>
          <w:sz w:val="28"/>
          <w:szCs w:val="28"/>
          <w:rtl/>
        </w:rPr>
        <w:t>تقييم</w:t>
      </w:r>
      <w:proofErr w:type="spellEnd"/>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استمرارية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الخدمات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الصحية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الحرجة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أثناء</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الكوارث</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الطبيعية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نموذج</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تطبيقي</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في</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الولايات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المتحدة</w:t>
      </w:r>
      <w:r w:rsidRPr="00B94475">
        <w:rPr>
          <w:rFonts w:asciiTheme="majorBidi" w:hAnsiTheme="majorBidi" w:cs="Times New Roman"/>
          <w:b/>
          <w:bCs/>
          <w:sz w:val="28"/>
          <w:szCs w:val="28"/>
          <w:rtl/>
        </w:rPr>
        <w:t>"</w:t>
      </w:r>
    </w:p>
    <w:p w14:paraId="0249FD00" w14:textId="77777777" w:rsidR="00B94475" w:rsidRPr="00B94475" w:rsidRDefault="00B94475" w:rsidP="00B94475">
      <w:pPr>
        <w:ind w:left="360"/>
        <w:jc w:val="both"/>
        <w:rPr>
          <w:rFonts w:asciiTheme="majorBidi" w:hAnsiTheme="majorBidi" w:cstheme="majorBidi"/>
          <w:b/>
          <w:bCs/>
          <w:sz w:val="28"/>
          <w:szCs w:val="28"/>
        </w:rPr>
      </w:pPr>
      <w:r w:rsidRPr="00B94475">
        <w:rPr>
          <w:rFonts w:asciiTheme="majorBidi" w:hAnsiTheme="majorBidi" w:cs="Times New Roman" w:hint="cs"/>
          <w:sz w:val="28"/>
          <w:szCs w:val="28"/>
          <w:rtl/>
        </w:rPr>
        <w:t>هدفت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قياس</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فعالية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الخطط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التشغيلية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الأمريكية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الحفاظ</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الخدمات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الحرجة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خلال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الكوارث</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انطلقت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المشكلة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ملاحظة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نقص</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الأدوات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التنبؤية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لرصد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قبل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وقوعه</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الباحثان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المنهج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الوصفي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التحليلي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تحليل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20 </w:t>
      </w:r>
      <w:r w:rsidRPr="00B94475">
        <w:rPr>
          <w:rFonts w:asciiTheme="majorBidi" w:hAnsiTheme="majorBidi" w:cs="Times New Roman" w:hint="cs"/>
          <w:sz w:val="28"/>
          <w:szCs w:val="28"/>
          <w:rtl/>
        </w:rPr>
        <w:t>ولاية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افترضت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تعتمد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نموذج</w:t>
      </w:r>
      <w:r w:rsidRPr="00B94475">
        <w:rPr>
          <w:rFonts w:asciiTheme="majorBidi" w:hAnsiTheme="majorBidi" w:cs="Times New Roman"/>
          <w:sz w:val="28"/>
          <w:szCs w:val="28"/>
          <w:rtl/>
        </w:rPr>
        <w:t xml:space="preserve"> </w:t>
      </w:r>
      <w:r w:rsidRPr="00B94475">
        <w:rPr>
          <w:rFonts w:asciiTheme="majorBidi" w:hAnsiTheme="majorBidi" w:cstheme="majorBidi"/>
          <w:sz w:val="28"/>
          <w:szCs w:val="28"/>
        </w:rPr>
        <w:t>BCM</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تحقق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أقل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معدلات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أظهرت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النتائج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دمج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خطط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استمرارية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الأعمال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الإنذار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المبكر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يقلل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فترة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توقف</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الخدمات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بنسبة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كبيرة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أوصت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بتوسيع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نموذج</w:t>
      </w:r>
      <w:r w:rsidRPr="00B94475">
        <w:rPr>
          <w:rFonts w:asciiTheme="majorBidi" w:hAnsiTheme="majorBidi" w:cs="Times New Roman"/>
          <w:sz w:val="28"/>
          <w:szCs w:val="28"/>
          <w:rtl/>
        </w:rPr>
        <w:t xml:space="preserve"> </w:t>
      </w:r>
      <w:r w:rsidRPr="00B94475">
        <w:rPr>
          <w:rFonts w:asciiTheme="majorBidi" w:hAnsiTheme="majorBidi" w:cstheme="majorBidi"/>
          <w:sz w:val="28"/>
          <w:szCs w:val="28"/>
        </w:rPr>
        <w:t>BCM</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وربطه</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بالمؤشرات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الرقمية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لمراقبة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الأداء</w:t>
      </w:r>
      <w:r w:rsidRPr="00B94475">
        <w:rPr>
          <w:rFonts w:asciiTheme="majorBidi" w:hAnsiTheme="majorBidi" w:cs="Times New Roman"/>
          <w:sz w:val="28"/>
          <w:szCs w:val="28"/>
          <w:rtl/>
        </w:rPr>
        <w:t>.</w:t>
      </w:r>
    </w:p>
    <w:p w14:paraId="2FB43D6E" w14:textId="33B4CDEF" w:rsidR="00B94475" w:rsidRPr="00B94475" w:rsidRDefault="00B94475" w:rsidP="00B94475">
      <w:pPr>
        <w:pStyle w:val="a6"/>
        <w:numPr>
          <w:ilvl w:val="0"/>
          <w:numId w:val="6"/>
        </w:numPr>
        <w:jc w:val="both"/>
        <w:rPr>
          <w:rFonts w:asciiTheme="majorBidi" w:hAnsiTheme="majorBidi" w:cstheme="majorBidi"/>
          <w:b/>
          <w:bCs/>
          <w:sz w:val="28"/>
          <w:szCs w:val="28"/>
        </w:rPr>
      </w:pP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heme="majorBidi"/>
          <w:b/>
          <w:bCs/>
          <w:sz w:val="28"/>
          <w:szCs w:val="28"/>
          <w:rtl/>
        </w:rPr>
        <w:t>لي وآخرون (2020</w:t>
      </w:r>
      <w:r>
        <w:rPr>
          <w:rFonts w:asciiTheme="majorBidi" w:hAnsiTheme="majorBidi" w:cstheme="majorBidi" w:hint="cs"/>
          <w:b/>
          <w:bCs/>
          <w:sz w:val="28"/>
          <w:szCs w:val="28"/>
          <w:rtl/>
        </w:rPr>
        <w:t>) بعنوان</w:t>
      </w:r>
      <w:r w:rsidRPr="00B94475">
        <w:rPr>
          <w:rFonts w:asciiTheme="majorBidi" w:hAnsiTheme="majorBidi" w:cs="Times New Roman"/>
          <w:b/>
          <w:bCs/>
          <w:sz w:val="28"/>
          <w:szCs w:val="28"/>
          <w:rtl/>
        </w:rPr>
        <w:t>: "</w:t>
      </w:r>
      <w:r w:rsidRPr="00B94475">
        <w:rPr>
          <w:rFonts w:asciiTheme="majorBidi" w:hAnsiTheme="majorBidi" w:cs="Times New Roman" w:hint="cs"/>
          <w:b/>
          <w:bCs/>
          <w:sz w:val="28"/>
          <w:szCs w:val="28"/>
          <w:rtl/>
        </w:rPr>
        <w:t>نماذج</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المؤشرات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المبكرة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للضغط</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على</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النظام</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الصحي</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أثناء</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الأوبئة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والكوارث</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الطبيعية</w:t>
      </w:r>
      <w:r w:rsidRPr="00B94475">
        <w:rPr>
          <w:rFonts w:asciiTheme="majorBidi" w:hAnsiTheme="majorBidi" w:cs="Times New Roman"/>
          <w:b/>
          <w:bCs/>
          <w:sz w:val="28"/>
          <w:szCs w:val="28"/>
          <w:rtl/>
        </w:rPr>
        <w:t>"</w:t>
      </w:r>
    </w:p>
    <w:p w14:paraId="5DDD2B5D" w14:textId="77777777" w:rsidR="00B94475" w:rsidRPr="00B94475" w:rsidRDefault="00B94475" w:rsidP="00B94475">
      <w:pPr>
        <w:ind w:left="360"/>
        <w:jc w:val="both"/>
        <w:rPr>
          <w:rFonts w:asciiTheme="majorBidi" w:hAnsiTheme="majorBidi" w:cstheme="majorBidi"/>
          <w:b/>
          <w:bCs/>
          <w:sz w:val="28"/>
          <w:szCs w:val="28"/>
        </w:rPr>
      </w:pPr>
      <w:r w:rsidRPr="00B94475">
        <w:rPr>
          <w:rFonts w:asciiTheme="majorBidi" w:hAnsiTheme="majorBidi" w:cs="Times New Roman" w:hint="cs"/>
          <w:sz w:val="28"/>
          <w:szCs w:val="28"/>
          <w:rtl/>
        </w:rPr>
        <w:t>هدفت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تطوير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نماذج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مبكرة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لرصد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الضغط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النظام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انطلقت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المشكلة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نقص</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أدوات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التنبؤ</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الكمية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قبل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الأزمات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الباحثون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نماذج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حسابية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تعتمد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الزمنية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وحدات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الطوارئ</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افترضت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المركبة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يمكنها</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التنبؤ</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بمراحل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أظهرت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النتائج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متعددة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مثل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إشغال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الأسرة،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استهلاك</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الإمدادات،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وحركة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الطواقم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الطبية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يمكن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يوفر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إنذاراً</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قبل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حدوث</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أوصت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بتطبيق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هذه</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النماذج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بشكل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مستمر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جميع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w:t>
      </w:r>
    </w:p>
    <w:p w14:paraId="24246779" w14:textId="45BAC7A4" w:rsidR="00B94475" w:rsidRPr="00B94475" w:rsidRDefault="00B94475" w:rsidP="00B94475">
      <w:pPr>
        <w:pStyle w:val="a6"/>
        <w:numPr>
          <w:ilvl w:val="0"/>
          <w:numId w:val="6"/>
        </w:numPr>
        <w:jc w:val="both"/>
        <w:rPr>
          <w:rFonts w:asciiTheme="majorBidi" w:hAnsiTheme="majorBidi" w:cstheme="majorBidi"/>
          <w:b/>
          <w:bCs/>
          <w:sz w:val="28"/>
          <w:szCs w:val="28"/>
        </w:rPr>
      </w:pP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heme="majorBidi"/>
          <w:b/>
          <w:bCs/>
          <w:sz w:val="28"/>
          <w:szCs w:val="28"/>
          <w:rtl/>
        </w:rPr>
        <w:t>مولر وبراون (2019</w:t>
      </w:r>
      <w:r>
        <w:rPr>
          <w:rFonts w:asciiTheme="majorBidi" w:hAnsiTheme="majorBidi" w:cstheme="majorBidi" w:hint="cs"/>
          <w:b/>
          <w:bCs/>
          <w:sz w:val="28"/>
          <w:szCs w:val="28"/>
          <w:rtl/>
        </w:rPr>
        <w:t>) بعنوان</w:t>
      </w:r>
      <w:r w:rsidRPr="00B94475">
        <w:rPr>
          <w:rFonts w:asciiTheme="majorBidi" w:hAnsiTheme="majorBidi" w:cs="Times New Roman"/>
          <w:b/>
          <w:bCs/>
          <w:sz w:val="28"/>
          <w:szCs w:val="28"/>
          <w:rtl/>
        </w:rPr>
        <w:t>: "</w:t>
      </w:r>
      <w:r w:rsidRPr="00B94475">
        <w:rPr>
          <w:rFonts w:asciiTheme="majorBidi" w:hAnsiTheme="majorBidi" w:cs="Times New Roman" w:hint="cs"/>
          <w:b/>
          <w:bCs/>
          <w:sz w:val="28"/>
          <w:szCs w:val="28"/>
          <w:rtl/>
        </w:rPr>
        <w:t>المرونة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الصحية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واستمرارية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الأعمال</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في</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المستشفيات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الأوروبية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مقارنة</w:t>
      </w:r>
      <w:r w:rsidRPr="00B94475">
        <w:rPr>
          <w:rFonts w:asciiTheme="majorBidi" w:hAnsiTheme="majorBidi" w:cs="Times New Roman"/>
          <w:b/>
          <w:bCs/>
          <w:sz w:val="28"/>
          <w:szCs w:val="28"/>
          <w:rtl/>
        </w:rPr>
        <w:t>"</w:t>
      </w:r>
    </w:p>
    <w:p w14:paraId="27A5CE20" w14:textId="77777777" w:rsidR="00B94475" w:rsidRPr="00B94475" w:rsidRDefault="00B94475" w:rsidP="00B94475">
      <w:pPr>
        <w:ind w:left="360"/>
        <w:jc w:val="both"/>
        <w:rPr>
          <w:rFonts w:asciiTheme="majorBidi" w:hAnsiTheme="majorBidi" w:cstheme="majorBidi"/>
          <w:b/>
          <w:bCs/>
          <w:sz w:val="28"/>
          <w:szCs w:val="28"/>
        </w:rPr>
      </w:pPr>
      <w:r w:rsidRPr="00B94475">
        <w:rPr>
          <w:rFonts w:asciiTheme="majorBidi" w:hAnsiTheme="majorBidi" w:cs="Times New Roman" w:hint="cs"/>
          <w:sz w:val="28"/>
          <w:szCs w:val="28"/>
          <w:rtl/>
        </w:rPr>
        <w:t>هدفت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مقارنة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مستوى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المرونة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الأوروبية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وقدرتها</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الحفاظ</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الخدمات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الحرجة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أثناء</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الكوارث</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انطلقت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المشكلة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وجود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اختلافات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كبيرة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خطط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الطوارئ</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والبنية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التحتية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الدول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اعتمد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الباحثان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المنهج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المقارن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باستخدام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ميدانية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وتقارير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إدارة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الأزمات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افترضت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الأكثر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مرونة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تتعرض</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لانقطاعات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أقل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أظهرت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النتائج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الربط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المرونة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التشغيلية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وخطط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استمرارية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الأعمال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يحقق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الحد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الأدنى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أوصت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بتوحيد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معايير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تقييم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المرونة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الأوروبية</w:t>
      </w:r>
      <w:r w:rsidRPr="00B94475">
        <w:rPr>
          <w:rFonts w:asciiTheme="majorBidi" w:hAnsiTheme="majorBidi" w:cs="Times New Roman"/>
          <w:sz w:val="28"/>
          <w:szCs w:val="28"/>
          <w:rtl/>
        </w:rPr>
        <w:t>.</w:t>
      </w:r>
    </w:p>
    <w:p w14:paraId="0E1D2E39" w14:textId="3E12F62C" w:rsidR="00B94475" w:rsidRPr="00B94475" w:rsidRDefault="00B94475" w:rsidP="00B94475">
      <w:pPr>
        <w:pStyle w:val="a6"/>
        <w:numPr>
          <w:ilvl w:val="0"/>
          <w:numId w:val="6"/>
        </w:numPr>
        <w:jc w:val="both"/>
        <w:rPr>
          <w:rFonts w:asciiTheme="majorBidi" w:hAnsiTheme="majorBidi" w:cstheme="majorBidi"/>
          <w:b/>
          <w:bCs/>
          <w:sz w:val="28"/>
          <w:szCs w:val="28"/>
        </w:rPr>
      </w:pPr>
      <w:r w:rsidRPr="00B94475">
        <w:rPr>
          <w:rFonts w:asciiTheme="majorBidi" w:hAnsiTheme="majorBidi" w:cs="Times New Roman" w:hint="cs"/>
          <w:b/>
          <w:bCs/>
          <w:sz w:val="28"/>
          <w:szCs w:val="28"/>
          <w:rtl/>
        </w:rPr>
        <w:t>دراسة</w:t>
      </w:r>
      <w:r w:rsidRPr="00B94475">
        <w:rPr>
          <w:rFonts w:ascii="-webkit-standard" w:hAnsi="-webkit-standard"/>
          <w:color w:val="000000"/>
          <w:sz w:val="27"/>
          <w:szCs w:val="27"/>
          <w:rtl/>
        </w:rPr>
        <w:t xml:space="preserve"> </w:t>
      </w:r>
      <w:r w:rsidRPr="00B94475">
        <w:rPr>
          <w:rFonts w:asciiTheme="majorBidi" w:hAnsiTheme="majorBidi" w:cs="Times New Roman"/>
          <w:b/>
          <w:bCs/>
          <w:sz w:val="28"/>
          <w:szCs w:val="28"/>
          <w:rtl/>
        </w:rPr>
        <w:t>تشين وآخرون (2018</w:t>
      </w:r>
      <w:r>
        <w:rPr>
          <w:rFonts w:asciiTheme="majorBidi" w:hAnsiTheme="majorBidi" w:cs="Times New Roman" w:hint="cs"/>
          <w:b/>
          <w:bCs/>
          <w:sz w:val="28"/>
          <w:szCs w:val="28"/>
          <w:rtl/>
        </w:rPr>
        <w:t>) بعنوان</w:t>
      </w:r>
      <w:r w:rsidRPr="00B94475">
        <w:rPr>
          <w:rFonts w:asciiTheme="majorBidi" w:hAnsiTheme="majorBidi" w:cs="Times New Roman"/>
          <w:b/>
          <w:bCs/>
          <w:sz w:val="28"/>
          <w:szCs w:val="28"/>
          <w:rtl/>
        </w:rPr>
        <w:t>: "</w:t>
      </w:r>
      <w:r w:rsidRPr="00B94475">
        <w:rPr>
          <w:rFonts w:asciiTheme="majorBidi" w:hAnsiTheme="majorBidi" w:cs="Times New Roman" w:hint="cs"/>
          <w:b/>
          <w:bCs/>
          <w:sz w:val="28"/>
          <w:szCs w:val="28"/>
          <w:rtl/>
        </w:rPr>
        <w:t>تحليل</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المخاطر</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وانقطاع</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الخدمات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الصحية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أثناء</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الكوارث</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الطبيعية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منظور</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نماذج</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الإنذار</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المبكر</w:t>
      </w:r>
      <w:r w:rsidRPr="00B94475">
        <w:rPr>
          <w:rFonts w:asciiTheme="majorBidi" w:hAnsiTheme="majorBidi" w:cs="Times New Roman"/>
          <w:b/>
          <w:bCs/>
          <w:sz w:val="28"/>
          <w:szCs w:val="28"/>
          <w:rtl/>
        </w:rPr>
        <w:t>"</w:t>
      </w:r>
    </w:p>
    <w:p w14:paraId="560DC2FD" w14:textId="77777777" w:rsidR="00B94475" w:rsidRPr="00B94475" w:rsidRDefault="00B94475" w:rsidP="00B94475">
      <w:pPr>
        <w:jc w:val="both"/>
        <w:rPr>
          <w:rFonts w:asciiTheme="majorBidi" w:hAnsiTheme="majorBidi" w:cstheme="majorBidi"/>
          <w:b/>
          <w:bCs/>
          <w:sz w:val="28"/>
          <w:szCs w:val="28"/>
        </w:rPr>
      </w:pPr>
      <w:r w:rsidRPr="00B94475">
        <w:rPr>
          <w:rFonts w:asciiTheme="majorBidi" w:hAnsiTheme="majorBidi" w:cs="Times New Roman" w:hint="cs"/>
          <w:sz w:val="28"/>
          <w:szCs w:val="28"/>
          <w:rtl/>
        </w:rPr>
        <w:t>هدفت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تحليل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العلاقة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المخاطر،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قابلية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الانكشاف،</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الخدمات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انطلقت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المشكلة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محدودية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النماذج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التنبؤية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الباحثون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تحليل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كوارث</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طبيعية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وتطبيق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نماذج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الإنذار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المبكر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افترضت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ارتفاع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المخاطر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وقابلية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الانكشاف</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يرتبط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مباشرة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الخدمات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أظهرت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النتائج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إمكانية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استخدام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المخاطر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والتعرض</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لتطوير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تنبؤية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دقيقة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أوصت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بدمج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تحليل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المخاطر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تصميم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الإنذار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المبكر</w:t>
      </w:r>
      <w:r w:rsidRPr="00B94475">
        <w:rPr>
          <w:rFonts w:asciiTheme="majorBidi" w:hAnsiTheme="majorBidi" w:cs="Times New Roman"/>
          <w:sz w:val="28"/>
          <w:szCs w:val="28"/>
          <w:rtl/>
        </w:rPr>
        <w:t>.</w:t>
      </w:r>
    </w:p>
    <w:p w14:paraId="28B28C2C" w14:textId="03E7FE85" w:rsidR="00B94475" w:rsidRPr="00B94475" w:rsidRDefault="00B94475" w:rsidP="00B94475">
      <w:pPr>
        <w:pStyle w:val="a6"/>
        <w:numPr>
          <w:ilvl w:val="0"/>
          <w:numId w:val="6"/>
        </w:numPr>
        <w:jc w:val="both"/>
        <w:rPr>
          <w:rFonts w:asciiTheme="majorBidi" w:hAnsiTheme="majorBidi" w:cstheme="majorBidi"/>
          <w:b/>
          <w:bCs/>
          <w:sz w:val="28"/>
          <w:szCs w:val="28"/>
          <w:rtl/>
        </w:rPr>
      </w:pP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heme="majorBidi"/>
          <w:b/>
          <w:bCs/>
          <w:sz w:val="28"/>
          <w:szCs w:val="28"/>
          <w:rtl/>
        </w:rPr>
        <w:t xml:space="preserve">أحمد </w:t>
      </w:r>
      <w:proofErr w:type="spellStart"/>
      <w:r w:rsidRPr="00B94475">
        <w:rPr>
          <w:rFonts w:asciiTheme="majorBidi" w:hAnsiTheme="majorBidi" w:cstheme="majorBidi"/>
          <w:b/>
          <w:bCs/>
          <w:sz w:val="28"/>
          <w:szCs w:val="28"/>
          <w:rtl/>
        </w:rPr>
        <w:t>وباتيل</w:t>
      </w:r>
      <w:proofErr w:type="spellEnd"/>
      <w:r w:rsidRPr="00B94475">
        <w:rPr>
          <w:rFonts w:asciiTheme="majorBidi" w:hAnsiTheme="majorBidi" w:cstheme="majorBidi"/>
          <w:b/>
          <w:bCs/>
          <w:sz w:val="28"/>
          <w:szCs w:val="28"/>
          <w:rtl/>
        </w:rPr>
        <w:t xml:space="preserve"> (2017</w:t>
      </w:r>
      <w:r w:rsidRPr="00B94475">
        <w:rPr>
          <w:rFonts w:asciiTheme="majorBidi" w:hAnsiTheme="majorBidi" w:cs="Times New Roman"/>
          <w:b/>
          <w:bCs/>
          <w:sz w:val="28"/>
          <w:szCs w:val="28"/>
          <w:rtl/>
        </w:rPr>
        <w:t xml:space="preserve">) </w:t>
      </w:r>
      <w:r>
        <w:rPr>
          <w:rFonts w:asciiTheme="majorBidi" w:hAnsiTheme="majorBidi" w:cs="Times New Roman" w:hint="cs"/>
          <w:b/>
          <w:bCs/>
          <w:sz w:val="28"/>
          <w:szCs w:val="28"/>
          <w:rtl/>
        </w:rPr>
        <w:t>بعنوان</w:t>
      </w:r>
      <w:r w:rsidRPr="00B94475">
        <w:rPr>
          <w:rFonts w:asciiTheme="majorBidi" w:hAnsiTheme="majorBidi" w:cs="Times New Roman"/>
          <w:b/>
          <w:bCs/>
          <w:sz w:val="28"/>
          <w:szCs w:val="28"/>
          <w:rtl/>
        </w:rPr>
        <w:t>: "</w:t>
      </w:r>
      <w:r w:rsidRPr="00B94475">
        <w:rPr>
          <w:rFonts w:asciiTheme="majorBidi" w:hAnsiTheme="majorBidi" w:cs="Times New Roman" w:hint="cs"/>
          <w:b/>
          <w:bCs/>
          <w:sz w:val="28"/>
          <w:szCs w:val="28"/>
          <w:rtl/>
        </w:rPr>
        <w:t>جاهزية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المستشفيات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وإدارة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المخاطر</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الصحية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في</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أوقات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الأزمات</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دراسة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حالة</w:t>
      </w:r>
      <w:r w:rsidRPr="00B94475">
        <w:rPr>
          <w:rFonts w:asciiTheme="majorBidi" w:hAnsiTheme="majorBidi" w:cs="Times New Roman"/>
          <w:b/>
          <w:bCs/>
          <w:sz w:val="28"/>
          <w:szCs w:val="28"/>
          <w:rtl/>
        </w:rPr>
        <w:t xml:space="preserve"> </w:t>
      </w:r>
      <w:r w:rsidRPr="00B94475">
        <w:rPr>
          <w:rFonts w:asciiTheme="majorBidi" w:hAnsiTheme="majorBidi" w:cs="Times New Roman" w:hint="cs"/>
          <w:b/>
          <w:bCs/>
          <w:sz w:val="28"/>
          <w:szCs w:val="28"/>
          <w:rtl/>
        </w:rPr>
        <w:t>عالمية</w:t>
      </w:r>
      <w:r w:rsidRPr="00B94475">
        <w:rPr>
          <w:rFonts w:asciiTheme="majorBidi" w:hAnsiTheme="majorBidi" w:cs="Times New Roman"/>
          <w:b/>
          <w:bCs/>
          <w:sz w:val="28"/>
          <w:szCs w:val="28"/>
          <w:rtl/>
        </w:rPr>
        <w:t>"</w:t>
      </w:r>
    </w:p>
    <w:p w14:paraId="6C0BCEE0" w14:textId="64B82B48" w:rsidR="00B94475" w:rsidRPr="00C553FF" w:rsidRDefault="00B94475" w:rsidP="00B94475">
      <w:pPr>
        <w:jc w:val="both"/>
        <w:rPr>
          <w:rFonts w:asciiTheme="majorBidi" w:hAnsiTheme="majorBidi" w:cstheme="majorBidi"/>
          <w:sz w:val="28"/>
          <w:szCs w:val="28"/>
        </w:rPr>
      </w:pPr>
      <w:r w:rsidRPr="00B94475">
        <w:rPr>
          <w:rFonts w:asciiTheme="majorBidi" w:hAnsiTheme="majorBidi" w:cs="Times New Roman" w:hint="cs"/>
          <w:sz w:val="28"/>
          <w:szCs w:val="28"/>
          <w:rtl/>
        </w:rPr>
        <w:t>هدفت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تقييم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جاهزية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حول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العالم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وقدرتها</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على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التعامل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الكوارث</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والأوبئة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انطلقت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المشكلة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غياب</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إطار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قياس</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موحد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لجاهزية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النظام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الصحي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اعتمد</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الباحثان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المنهج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الوصفي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التحليلي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باستخدام</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بيانات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50 </w:t>
      </w:r>
      <w:r w:rsidRPr="00B94475">
        <w:rPr>
          <w:rFonts w:asciiTheme="majorBidi" w:hAnsiTheme="majorBidi" w:cs="Times New Roman" w:hint="cs"/>
          <w:sz w:val="28"/>
          <w:szCs w:val="28"/>
          <w:rtl/>
        </w:rPr>
        <w:t>مستشفى</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قارات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مختلفة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افترضت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الجاهزية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العالية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تقلل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فرص</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الانقطاع</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أظهرت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النتائج</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أن</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المستشفيات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التي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تمتلك</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خطط</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طوارئ</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شاملة،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تدريب</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دوري،</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متابعة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مستمرة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تحقق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استمرارية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أفضل</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أوصت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الدراسة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بتطوير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أطر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قياس</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عالمية</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وتطبيق</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مؤشرات</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الإنذار</w:t>
      </w:r>
      <w:r w:rsidRPr="00B94475">
        <w:rPr>
          <w:rFonts w:asciiTheme="majorBidi" w:hAnsiTheme="majorBidi" w:cs="Times New Roman"/>
          <w:sz w:val="28"/>
          <w:szCs w:val="28"/>
          <w:rtl/>
        </w:rPr>
        <w:t xml:space="preserve"> </w:t>
      </w:r>
      <w:r w:rsidRPr="00B94475">
        <w:rPr>
          <w:rFonts w:asciiTheme="majorBidi" w:hAnsiTheme="majorBidi" w:cs="Times New Roman" w:hint="cs"/>
          <w:sz w:val="28"/>
          <w:szCs w:val="28"/>
          <w:rtl/>
        </w:rPr>
        <w:t>المبكر</w:t>
      </w:r>
      <w:r w:rsidRPr="00B94475">
        <w:rPr>
          <w:rFonts w:asciiTheme="majorBidi" w:hAnsiTheme="majorBidi" w:cs="Times New Roman"/>
          <w:sz w:val="28"/>
          <w:szCs w:val="28"/>
          <w:rtl/>
        </w:rPr>
        <w:t>.</w:t>
      </w:r>
    </w:p>
    <w:p w14:paraId="0B2863D5" w14:textId="77777777" w:rsidR="00F300F0" w:rsidRPr="00F300F0" w:rsidRDefault="00F300F0" w:rsidP="00F300F0">
      <w:pPr>
        <w:jc w:val="both"/>
        <w:rPr>
          <w:rFonts w:asciiTheme="majorBidi" w:hAnsiTheme="majorBidi" w:cstheme="majorBidi"/>
          <w:b/>
          <w:bCs/>
          <w:sz w:val="28"/>
          <w:szCs w:val="28"/>
        </w:rPr>
      </w:pPr>
      <w:r w:rsidRPr="00F300F0">
        <w:rPr>
          <w:rFonts w:asciiTheme="majorBidi" w:hAnsiTheme="majorBidi" w:cstheme="majorBidi"/>
          <w:b/>
          <w:bCs/>
          <w:sz w:val="28"/>
          <w:szCs w:val="28"/>
          <w:rtl/>
        </w:rPr>
        <w:t>أولاً: التحليل النقدي للدراسات السابقة</w:t>
      </w:r>
    </w:p>
    <w:p w14:paraId="28F59305"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تُظهر الدراسات العربية والأجنبية التي تناولت موضوع استمرارية الخدمات الصحية وجاهزية الأنظمة الصحية أثناء الكوارث تركيزاً مشتركاً على فهم العوامل التي تؤثر في قدرة المستشفيات على الاستجابة للأزمات، مثل الجاهزية التنظيمية، الموارد البشرية، البنية التحتية، والمرونة التشغيلية. وتبيّن مراجعة الدراسات العربية أنها غالباً اتخذت منهجاً وصفياً تحليلياً بهدف قياس مستوى الجاهزية في المستشفيات الحكومية، وتركزت في معظمها على تقييم الواقع الحالي دون تقديم نماذج تنبؤية أو مؤشرات كمية متخصصة يمكن استخدامها لرصد احتمالية الانقطاع قبل وقوعه. كما لاحظت الأدبيات أن هذه الدراسات تميل إلى تقديم توصيات عامة لتحسين الأداء دون ربطها بشكل واضح بعوامل قياس قابلة للتطبيق المباشر في تطوير مؤشرات إنذار مبكر</w:t>
      </w:r>
      <w:r w:rsidRPr="00752E9E">
        <w:rPr>
          <w:rFonts w:asciiTheme="majorBidi" w:hAnsiTheme="majorBidi" w:cstheme="majorBidi"/>
          <w:sz w:val="28"/>
          <w:szCs w:val="28"/>
        </w:rPr>
        <w:t>.</w:t>
      </w:r>
    </w:p>
    <w:p w14:paraId="7015E18F"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أما الدراسات الأجنبية فقد اتّسمت بعمق منهجي أكبر، حيث اعتمد بعضها نماذج قائمة على المرونة الصحية، ودراسة استمرارية الأعمال، واستخدام بيانات آنية لرصد الضغط على الخدمات. كما سعت عدة دراسات إلى تحليل التجارب الدولية في مواجهة الأوبئة والكوارث الممتدة، مع التركيز على استمرارية الخدمات الأساسية. وقد ركّزت هذه الدراسات على تقديم أدوات تقييم كمية ونوعية لقياس المخاطر، القدرة الاستيعابية، والجوانب التشغيلية للنظام الصحي، مما يجعلها أقرب إلى توفير أساس لتطوير مؤشرات إنذار مبكر. ومع ذلك، وعلى الرغم من التقدم في هذه الدراسات، إلا أن معظمها لم يقدم مؤشراً مبكراً مركّباً يجمع بين المخاطر، قابلية الانكشاف، القدرة الاستيعابية، والجاهزية، في صيغة واحدة متكاملة يمكن تطبيقها عملياً في القطاع الصحي لمراقبة الانقطاع قبل وقوعه</w:t>
      </w:r>
      <w:r w:rsidRPr="00752E9E">
        <w:rPr>
          <w:rFonts w:asciiTheme="majorBidi" w:hAnsiTheme="majorBidi" w:cstheme="majorBidi"/>
          <w:sz w:val="28"/>
          <w:szCs w:val="28"/>
        </w:rPr>
        <w:t>.</w:t>
      </w:r>
    </w:p>
    <w:p w14:paraId="615E6282" w14:textId="478D8783" w:rsidR="00F300F0" w:rsidRPr="00F300F0"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وعليه، فإن التحليل العام للدراسات يكشف أن الأدبيات ركّزت بشكل كبير على تقييم الجاهزية وتحليل الانقطاعات بعد وقوع الكارثة، بينما افتقرت إلى نماذج متقدمة للتنبؤ بالانقطاع قبل حدوثه، وهو ما يميز هذه الدراسة الحالية ويبرز أهميتها الأكاديمية والتطبيقية، إذ تسعى لتجميع المتغيرات الأساسية في مؤشر مبكر قادر على دعم صناع القرار في القطاع الصحي</w:t>
      </w:r>
      <w:r w:rsidRPr="00752E9E">
        <w:rPr>
          <w:rFonts w:asciiTheme="majorBidi" w:hAnsiTheme="majorBidi" w:cstheme="majorBidi"/>
          <w:sz w:val="28"/>
          <w:szCs w:val="28"/>
        </w:rPr>
        <w:t>.</w:t>
      </w:r>
      <w:r w:rsidR="00F300F0" w:rsidRPr="00F300F0">
        <w:rPr>
          <w:rFonts w:asciiTheme="majorBidi" w:hAnsiTheme="majorBidi" w:cstheme="majorBidi"/>
          <w:sz w:val="28"/>
          <w:szCs w:val="28"/>
        </w:rPr>
        <w:t>.</w:t>
      </w:r>
    </w:p>
    <w:p w14:paraId="02F8044F" w14:textId="623DFAA3" w:rsidR="00F300F0" w:rsidRPr="00F300F0" w:rsidRDefault="00F300F0" w:rsidP="00F300F0">
      <w:pPr>
        <w:jc w:val="both"/>
        <w:rPr>
          <w:rFonts w:asciiTheme="majorBidi" w:hAnsiTheme="majorBidi" w:cstheme="majorBidi"/>
          <w:b/>
          <w:bCs/>
          <w:sz w:val="28"/>
          <w:szCs w:val="28"/>
        </w:rPr>
      </w:pPr>
      <w:r w:rsidRPr="00F300F0">
        <w:rPr>
          <w:rFonts w:asciiTheme="majorBidi" w:hAnsiTheme="majorBidi" w:cstheme="majorBidi"/>
          <w:b/>
          <w:bCs/>
          <w:sz w:val="28"/>
          <w:szCs w:val="28"/>
        </w:rPr>
        <w:t> </w:t>
      </w:r>
      <w:r w:rsidRPr="00F300F0">
        <w:rPr>
          <w:rFonts w:asciiTheme="majorBidi" w:hAnsiTheme="majorBidi" w:cstheme="majorBidi"/>
          <w:b/>
          <w:bCs/>
          <w:sz w:val="28"/>
          <w:szCs w:val="28"/>
          <w:rtl/>
        </w:rPr>
        <w:t>ثانياً: أوجه الاتفاق والاختلاف بين الدراسات السابقة وموضوع الدراسة</w:t>
      </w:r>
    </w:p>
    <w:p w14:paraId="18388604" w14:textId="77777777" w:rsidR="00752E9E" w:rsidRPr="00752E9E" w:rsidRDefault="00752E9E" w:rsidP="00752E9E">
      <w:pPr>
        <w:jc w:val="both"/>
        <w:rPr>
          <w:rFonts w:asciiTheme="majorBidi" w:hAnsiTheme="majorBidi" w:cstheme="majorBidi"/>
          <w:b/>
          <w:bCs/>
          <w:sz w:val="28"/>
          <w:szCs w:val="28"/>
        </w:rPr>
      </w:pPr>
      <w:r w:rsidRPr="00752E9E">
        <w:rPr>
          <w:rFonts w:asciiTheme="majorBidi" w:hAnsiTheme="majorBidi" w:cstheme="majorBidi"/>
          <w:b/>
          <w:bCs/>
          <w:sz w:val="28"/>
          <w:szCs w:val="28"/>
          <w:rtl/>
        </w:rPr>
        <w:t>أوجه الاتفاق</w:t>
      </w:r>
      <w:r w:rsidRPr="00752E9E">
        <w:rPr>
          <w:rFonts w:asciiTheme="majorBidi" w:hAnsiTheme="majorBidi" w:cstheme="majorBidi"/>
          <w:b/>
          <w:bCs/>
          <w:sz w:val="28"/>
          <w:szCs w:val="28"/>
        </w:rPr>
        <w:t>:</w:t>
      </w:r>
    </w:p>
    <w:p w14:paraId="4B7A10BC" w14:textId="77777777" w:rsidR="00752E9E" w:rsidRPr="00752E9E" w:rsidRDefault="00752E9E" w:rsidP="00752E9E">
      <w:pPr>
        <w:numPr>
          <w:ilvl w:val="0"/>
          <w:numId w:val="18"/>
        </w:numPr>
        <w:jc w:val="both"/>
        <w:rPr>
          <w:rFonts w:asciiTheme="majorBidi" w:hAnsiTheme="majorBidi" w:cstheme="majorBidi"/>
          <w:sz w:val="28"/>
          <w:szCs w:val="28"/>
        </w:rPr>
      </w:pPr>
      <w:r w:rsidRPr="00752E9E">
        <w:rPr>
          <w:rFonts w:asciiTheme="majorBidi" w:hAnsiTheme="majorBidi" w:cstheme="majorBidi"/>
          <w:sz w:val="28"/>
          <w:szCs w:val="28"/>
          <w:rtl/>
        </w:rPr>
        <w:t>جميع الدراسات اتفقت على أهمية الجاهزية والاستعداد في تقليل الانقطاعات الصحية أثناء الكوارث، مع تأكيد الدور الحيوي لخطط الطوارئ والتنسيق المؤسسي</w:t>
      </w:r>
      <w:r w:rsidRPr="00752E9E">
        <w:rPr>
          <w:rFonts w:asciiTheme="majorBidi" w:hAnsiTheme="majorBidi" w:cstheme="majorBidi"/>
          <w:sz w:val="28"/>
          <w:szCs w:val="28"/>
        </w:rPr>
        <w:t>.</w:t>
      </w:r>
    </w:p>
    <w:p w14:paraId="24E0C880" w14:textId="77777777" w:rsidR="00752E9E" w:rsidRPr="00752E9E" w:rsidRDefault="00752E9E" w:rsidP="00752E9E">
      <w:pPr>
        <w:numPr>
          <w:ilvl w:val="0"/>
          <w:numId w:val="18"/>
        </w:numPr>
        <w:jc w:val="both"/>
        <w:rPr>
          <w:rFonts w:asciiTheme="majorBidi" w:hAnsiTheme="majorBidi" w:cstheme="majorBidi"/>
          <w:sz w:val="28"/>
          <w:szCs w:val="28"/>
        </w:rPr>
      </w:pPr>
      <w:r w:rsidRPr="00752E9E">
        <w:rPr>
          <w:rFonts w:asciiTheme="majorBidi" w:hAnsiTheme="majorBidi" w:cstheme="majorBidi"/>
          <w:sz w:val="28"/>
          <w:szCs w:val="28"/>
          <w:rtl/>
        </w:rPr>
        <w:t>اتفاق واسع على أن البنية التحتية، الموارد البشرية، وسلاسل الإمداد تُعدّ عوامل حاسمة في استمرارية الخدمات، وأن أي ضعف فيها يزيد من احتمالية الانقطاع</w:t>
      </w:r>
      <w:r w:rsidRPr="00752E9E">
        <w:rPr>
          <w:rFonts w:asciiTheme="majorBidi" w:hAnsiTheme="majorBidi" w:cstheme="majorBidi"/>
          <w:sz w:val="28"/>
          <w:szCs w:val="28"/>
        </w:rPr>
        <w:t>.</w:t>
      </w:r>
    </w:p>
    <w:p w14:paraId="5E78A5EC" w14:textId="77777777" w:rsidR="00752E9E" w:rsidRPr="00752E9E" w:rsidRDefault="00752E9E" w:rsidP="00752E9E">
      <w:pPr>
        <w:numPr>
          <w:ilvl w:val="0"/>
          <w:numId w:val="18"/>
        </w:numPr>
        <w:jc w:val="both"/>
        <w:rPr>
          <w:rFonts w:asciiTheme="majorBidi" w:hAnsiTheme="majorBidi" w:cstheme="majorBidi"/>
          <w:sz w:val="28"/>
          <w:szCs w:val="28"/>
        </w:rPr>
      </w:pPr>
      <w:r w:rsidRPr="00752E9E">
        <w:rPr>
          <w:rFonts w:asciiTheme="majorBidi" w:hAnsiTheme="majorBidi" w:cstheme="majorBidi"/>
          <w:sz w:val="28"/>
          <w:szCs w:val="28"/>
          <w:rtl/>
        </w:rPr>
        <w:t>اتفاق على ضرورة وجود خطط للطوارئ واستمرارية الأعمال في المستشفيات، مع رصد مؤشرات الأداء التشغيلية</w:t>
      </w:r>
      <w:r w:rsidRPr="00752E9E">
        <w:rPr>
          <w:rFonts w:asciiTheme="majorBidi" w:hAnsiTheme="majorBidi" w:cstheme="majorBidi"/>
          <w:sz w:val="28"/>
          <w:szCs w:val="28"/>
        </w:rPr>
        <w:t>.</w:t>
      </w:r>
    </w:p>
    <w:p w14:paraId="55823D41" w14:textId="77777777" w:rsidR="00752E9E" w:rsidRPr="00752E9E" w:rsidRDefault="00752E9E" w:rsidP="00752E9E">
      <w:pPr>
        <w:numPr>
          <w:ilvl w:val="0"/>
          <w:numId w:val="18"/>
        </w:numPr>
        <w:jc w:val="both"/>
        <w:rPr>
          <w:rFonts w:asciiTheme="majorBidi" w:hAnsiTheme="majorBidi" w:cstheme="majorBidi"/>
          <w:sz w:val="28"/>
          <w:szCs w:val="28"/>
        </w:rPr>
      </w:pPr>
      <w:r w:rsidRPr="00752E9E">
        <w:rPr>
          <w:rFonts w:asciiTheme="majorBidi" w:hAnsiTheme="majorBidi" w:cstheme="majorBidi"/>
          <w:sz w:val="28"/>
          <w:szCs w:val="28"/>
          <w:rtl/>
        </w:rPr>
        <w:t>اتفاق على أن انقطاع الخدمات الصحية يؤدي إلى آثار خطيرة على الصحة العامة، بما في ذلك زيادة الوفيات، تفاقم الأمراض المزمنة، وانتشار الأمراض المعدية</w:t>
      </w:r>
      <w:r w:rsidRPr="00752E9E">
        <w:rPr>
          <w:rFonts w:asciiTheme="majorBidi" w:hAnsiTheme="majorBidi" w:cstheme="majorBidi"/>
          <w:sz w:val="28"/>
          <w:szCs w:val="28"/>
        </w:rPr>
        <w:t>.</w:t>
      </w:r>
    </w:p>
    <w:p w14:paraId="73438BF5" w14:textId="77777777" w:rsidR="00F300F0" w:rsidRPr="00F300F0" w:rsidRDefault="00F300F0" w:rsidP="00F300F0">
      <w:pPr>
        <w:jc w:val="both"/>
        <w:rPr>
          <w:rFonts w:asciiTheme="majorBidi" w:hAnsiTheme="majorBidi" w:cstheme="majorBidi"/>
          <w:b/>
          <w:bCs/>
          <w:sz w:val="28"/>
          <w:szCs w:val="28"/>
        </w:rPr>
      </w:pPr>
      <w:r w:rsidRPr="00F300F0">
        <w:rPr>
          <w:rFonts w:asciiTheme="majorBidi" w:hAnsiTheme="majorBidi" w:cstheme="majorBidi"/>
          <w:b/>
          <w:bCs/>
          <w:sz w:val="28"/>
          <w:szCs w:val="28"/>
          <w:rtl/>
        </w:rPr>
        <w:t>أوجه الاختلاف</w:t>
      </w:r>
      <w:r w:rsidRPr="00F300F0">
        <w:rPr>
          <w:rFonts w:asciiTheme="majorBidi" w:hAnsiTheme="majorBidi" w:cstheme="majorBidi"/>
          <w:b/>
          <w:bCs/>
          <w:sz w:val="28"/>
          <w:szCs w:val="28"/>
        </w:rPr>
        <w:t>:</w:t>
      </w:r>
    </w:p>
    <w:p w14:paraId="4781CEB4" w14:textId="77777777" w:rsidR="00752E9E" w:rsidRPr="00752E9E" w:rsidRDefault="00752E9E" w:rsidP="00752E9E">
      <w:pPr>
        <w:numPr>
          <w:ilvl w:val="0"/>
          <w:numId w:val="19"/>
        </w:numPr>
        <w:jc w:val="both"/>
        <w:rPr>
          <w:rFonts w:asciiTheme="majorBidi" w:hAnsiTheme="majorBidi" w:cstheme="majorBidi"/>
          <w:sz w:val="28"/>
          <w:szCs w:val="28"/>
        </w:rPr>
      </w:pPr>
      <w:r w:rsidRPr="00752E9E">
        <w:rPr>
          <w:rFonts w:asciiTheme="majorBidi" w:hAnsiTheme="majorBidi" w:cstheme="majorBidi"/>
          <w:sz w:val="28"/>
          <w:szCs w:val="28"/>
          <w:rtl/>
        </w:rPr>
        <w:t>الدراسات العربية ركزت على الوصف والتقييم وليس التنبؤ أو بناء مؤشرات، واعتمدت غالباً على أساليب مقطعية، واستطلاعات، وقياسات كمية محدودة</w:t>
      </w:r>
      <w:r w:rsidRPr="00752E9E">
        <w:rPr>
          <w:rFonts w:asciiTheme="majorBidi" w:hAnsiTheme="majorBidi" w:cstheme="majorBidi"/>
          <w:sz w:val="28"/>
          <w:szCs w:val="28"/>
        </w:rPr>
        <w:t>.</w:t>
      </w:r>
    </w:p>
    <w:p w14:paraId="59E3A867" w14:textId="77777777" w:rsidR="00752E9E" w:rsidRPr="00752E9E" w:rsidRDefault="00752E9E" w:rsidP="00752E9E">
      <w:pPr>
        <w:numPr>
          <w:ilvl w:val="0"/>
          <w:numId w:val="19"/>
        </w:numPr>
        <w:jc w:val="both"/>
        <w:rPr>
          <w:rFonts w:asciiTheme="majorBidi" w:hAnsiTheme="majorBidi" w:cstheme="majorBidi"/>
          <w:sz w:val="28"/>
          <w:szCs w:val="28"/>
        </w:rPr>
      </w:pPr>
      <w:r w:rsidRPr="00752E9E">
        <w:rPr>
          <w:rFonts w:asciiTheme="majorBidi" w:hAnsiTheme="majorBidi" w:cstheme="majorBidi"/>
          <w:sz w:val="28"/>
          <w:szCs w:val="28"/>
          <w:rtl/>
        </w:rPr>
        <w:t>الدراسات الأجنبية كانت أكثر تقدمًا من حيث تحليل المرونة الصحية واستمرارية الأعمال، واستخدمت نماذج رياضية أو مؤشرات قياسية، لكنها لم تطور مؤشرًا مبكرًا شاملًا يجمع المتغيرات الأربع الأساسية (المخاطر، قابلية الانكشاف، القدرة الاستيعابية، الجاهزية</w:t>
      </w:r>
      <w:r w:rsidRPr="00752E9E">
        <w:rPr>
          <w:rFonts w:asciiTheme="majorBidi" w:hAnsiTheme="majorBidi" w:cstheme="majorBidi"/>
          <w:sz w:val="28"/>
          <w:szCs w:val="28"/>
        </w:rPr>
        <w:t>).</w:t>
      </w:r>
    </w:p>
    <w:p w14:paraId="0DC06F88" w14:textId="77777777" w:rsidR="00752E9E" w:rsidRPr="00752E9E" w:rsidRDefault="00752E9E" w:rsidP="00752E9E">
      <w:pPr>
        <w:numPr>
          <w:ilvl w:val="0"/>
          <w:numId w:val="19"/>
        </w:numPr>
        <w:jc w:val="both"/>
        <w:rPr>
          <w:rFonts w:asciiTheme="majorBidi" w:hAnsiTheme="majorBidi" w:cstheme="majorBidi"/>
          <w:sz w:val="28"/>
          <w:szCs w:val="28"/>
        </w:rPr>
      </w:pPr>
      <w:r w:rsidRPr="00752E9E">
        <w:rPr>
          <w:rFonts w:asciiTheme="majorBidi" w:hAnsiTheme="majorBidi" w:cstheme="majorBidi"/>
          <w:sz w:val="28"/>
          <w:szCs w:val="28"/>
          <w:rtl/>
        </w:rPr>
        <w:t>الاختلاف الأكبر يكمن في منهجية البحث</w:t>
      </w:r>
      <w:r w:rsidRPr="00752E9E">
        <w:rPr>
          <w:rFonts w:asciiTheme="majorBidi" w:hAnsiTheme="majorBidi" w:cstheme="majorBidi"/>
          <w:sz w:val="28"/>
          <w:szCs w:val="28"/>
        </w:rPr>
        <w:t>:</w:t>
      </w:r>
    </w:p>
    <w:p w14:paraId="2A836E67" w14:textId="77777777" w:rsidR="00752E9E" w:rsidRPr="00752E9E" w:rsidRDefault="00752E9E" w:rsidP="00752E9E">
      <w:pPr>
        <w:numPr>
          <w:ilvl w:val="1"/>
          <w:numId w:val="19"/>
        </w:numPr>
        <w:jc w:val="both"/>
        <w:rPr>
          <w:rFonts w:asciiTheme="majorBidi" w:hAnsiTheme="majorBidi" w:cstheme="majorBidi"/>
          <w:sz w:val="28"/>
          <w:szCs w:val="28"/>
        </w:rPr>
      </w:pPr>
      <w:r w:rsidRPr="00752E9E">
        <w:rPr>
          <w:rFonts w:asciiTheme="majorBidi" w:hAnsiTheme="majorBidi" w:cstheme="majorBidi"/>
          <w:sz w:val="28"/>
          <w:szCs w:val="28"/>
          <w:rtl/>
        </w:rPr>
        <w:t>العربية: غالبًا مقطعية ووصفية، مع تقييم واقع المستشفيات الحكومية</w:t>
      </w:r>
      <w:r w:rsidRPr="00752E9E">
        <w:rPr>
          <w:rFonts w:asciiTheme="majorBidi" w:hAnsiTheme="majorBidi" w:cstheme="majorBidi"/>
          <w:sz w:val="28"/>
          <w:szCs w:val="28"/>
        </w:rPr>
        <w:t>.</w:t>
      </w:r>
    </w:p>
    <w:p w14:paraId="0F2F2F86" w14:textId="77777777" w:rsidR="00752E9E" w:rsidRPr="00752E9E" w:rsidRDefault="00752E9E" w:rsidP="00752E9E">
      <w:pPr>
        <w:numPr>
          <w:ilvl w:val="1"/>
          <w:numId w:val="19"/>
        </w:numPr>
        <w:jc w:val="both"/>
        <w:rPr>
          <w:rFonts w:asciiTheme="majorBidi" w:hAnsiTheme="majorBidi" w:cstheme="majorBidi"/>
          <w:sz w:val="28"/>
          <w:szCs w:val="28"/>
        </w:rPr>
      </w:pPr>
      <w:r w:rsidRPr="00752E9E">
        <w:rPr>
          <w:rFonts w:asciiTheme="majorBidi" w:hAnsiTheme="majorBidi" w:cstheme="majorBidi"/>
          <w:sz w:val="28"/>
          <w:szCs w:val="28"/>
          <w:rtl/>
        </w:rPr>
        <w:t>الأجنبية: تحليل نماذج، تقييم مرونة، دراسات قبل–بعد، مراجعات منهجية، واستخدام بيانات آنية لرصد الضغوط على النظام الصحي</w:t>
      </w:r>
      <w:r w:rsidRPr="00752E9E">
        <w:rPr>
          <w:rFonts w:asciiTheme="majorBidi" w:hAnsiTheme="majorBidi" w:cstheme="majorBidi"/>
          <w:sz w:val="28"/>
          <w:szCs w:val="28"/>
        </w:rPr>
        <w:t>.</w:t>
      </w:r>
    </w:p>
    <w:p w14:paraId="203EF3CF"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هذا التحليل النقدي يبرز الحاجة إلى تطوير مؤشر مبكر متكامل يدمج جميع المتغيرات الأساسية في إطار منهجي عملي يمكن تطبيقه في القطاع الصحي، وهو ما تسعى هذه الدراسة الحالية إلى تحقيقه</w:t>
      </w:r>
      <w:r w:rsidRPr="00752E9E">
        <w:rPr>
          <w:rFonts w:asciiTheme="majorBidi" w:hAnsiTheme="majorBidi" w:cstheme="majorBidi"/>
          <w:sz w:val="28"/>
          <w:szCs w:val="28"/>
        </w:rPr>
        <w:t>.</w:t>
      </w:r>
    </w:p>
    <w:p w14:paraId="1DD88C8A" w14:textId="3304841F" w:rsidR="00863BDA" w:rsidRPr="00863BDA" w:rsidRDefault="00863BDA" w:rsidP="00863BDA">
      <w:pPr>
        <w:jc w:val="both"/>
        <w:rPr>
          <w:rFonts w:asciiTheme="majorBidi" w:hAnsiTheme="majorBidi" w:cstheme="majorBidi"/>
          <w:b/>
          <w:bCs/>
          <w:sz w:val="28"/>
          <w:szCs w:val="28"/>
        </w:rPr>
      </w:pPr>
      <w:r w:rsidRPr="00863BDA">
        <w:rPr>
          <w:rFonts w:asciiTheme="majorBidi" w:hAnsiTheme="majorBidi" w:cstheme="majorBidi"/>
          <w:b/>
          <w:bCs/>
          <w:sz w:val="28"/>
          <w:szCs w:val="28"/>
          <w:rtl/>
        </w:rPr>
        <w:t>الفجوة البحثية</w:t>
      </w:r>
      <w:r w:rsidRPr="00863BDA">
        <w:rPr>
          <w:rFonts w:asciiTheme="majorBidi" w:hAnsiTheme="majorBidi" w:cstheme="majorBidi"/>
          <w:b/>
          <w:bCs/>
          <w:sz w:val="28"/>
          <w:szCs w:val="28"/>
        </w:rPr>
        <w:t xml:space="preserve"> </w:t>
      </w:r>
    </w:p>
    <w:p w14:paraId="6ED2CF18"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على الرغم من تعدد الدراسات التي تناولت جاهزية المستشفيات، ومرونة الأنظمة الصحية، واستمرارية الخدمات الأساسية أثناء الكوارث والأوبئة، إلا أن مراجعة الأدبيات تكشف وجود فجوة معرفية واضحة تتعلق بغياب نماذج تنبؤية متقدمة قادرة على رصد مؤشرات مبكرة لاحتمالية انقطاع الخدمات الصحية الحرجة قبل وقوع الكارثة. فقد ركزت معظم الدراسات العربية على تقييم مستوى الجاهزية التنظيمية أو تحليل واقع الاستجابة بعد وقوع الأزمة، معتمدة في غالبها على أدوات وصفية واستطلاعات ميدانية، دون بناء أدوات قياس كمية أو مؤشرات مركبة تسمح بالتنبؤ الاستباقي بحدوث الانقطاع. هذا النقص يحد من قدرة الباحثين وصناع القرار على تقييم المخاطر الفعلية قبل حدوث الكارثة واتخاذ إجراءات وقائية فعالة</w:t>
      </w:r>
      <w:r w:rsidRPr="00752E9E">
        <w:rPr>
          <w:rFonts w:asciiTheme="majorBidi" w:hAnsiTheme="majorBidi" w:cstheme="majorBidi"/>
          <w:sz w:val="28"/>
          <w:szCs w:val="28"/>
        </w:rPr>
        <w:t>.</w:t>
      </w:r>
    </w:p>
    <w:p w14:paraId="285FBA51"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كما أن الدراسات الأجنبية، رغم تقدمها المنهجي واعتمادها على مفاهيم المرونة واستمرارية الأعمال، لم تطور إطاراً يجمع بصورة تكاملية بين مستويات المخاطر، وقابلية الانكشاف، والقدرة الاستيعابية للنظام الصحي، والجاهزية والاستجابة، في نموذج واحد قادر على تقدير درجة الخطر وتوقع الانقطاع في الخدمات الصحية الحرجة. فقد اعتمدت هذه الدراسات في الغالب على تقييم المرونة بعد وقوع الكارثة أو على مؤشرات جزئية محددة، ولم تقدم نموذجاً ديناميكياً يدمج كافة المتغيرات الأساسية في أداة واحدة قابلة للتطبيق على أرض الواقع، وهو ما يمثل قصوراً واضحاً في الأدبيات الدولية المتعلقة بإدارة المخاطر الصحية أثناء الكوارث</w:t>
      </w:r>
      <w:r w:rsidRPr="00752E9E">
        <w:rPr>
          <w:rFonts w:asciiTheme="majorBidi" w:hAnsiTheme="majorBidi" w:cstheme="majorBidi"/>
          <w:sz w:val="28"/>
          <w:szCs w:val="28"/>
        </w:rPr>
        <w:t>.</w:t>
      </w:r>
    </w:p>
    <w:p w14:paraId="7B7B6CCB"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وتبرز الفجوة البحثية بصورة أوضح في ندرة الدراسات التي ركزت على الخدمات الصحية الحرجة تحديداً—مثل وحدات الطوارئ، العناية المركزة، الإمدادات الحيوية، والطاقة التشغيلية—بوصفها أكثر عناصر النظام الصحي حساسية للضغط وأكثرها عرضة للانقطاع أثناء الكوارث الطبيعية. إضافة إلى ذلك، لا توجد دراسات عربية أو إقليمية طورت مؤشرًا مبكرًا مركبًا يمكن تطبيقه في البيئة الصحية لتقدير مخاطر الانقطاع بشكل استباقي ودعم متخذي القرار في تعزيز جاهزية المنشآت الصحية، خصوصاً في الظروف المعقدة التي تترافق مع الكوارث الطبيعية متعددة الأبعاد</w:t>
      </w:r>
      <w:r w:rsidRPr="00752E9E">
        <w:rPr>
          <w:rFonts w:asciiTheme="majorBidi" w:hAnsiTheme="majorBidi" w:cstheme="majorBidi"/>
          <w:sz w:val="28"/>
          <w:szCs w:val="28"/>
        </w:rPr>
        <w:t>.</w:t>
      </w:r>
    </w:p>
    <w:p w14:paraId="4909B0DD"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وعليه، تتمثل الفجوة البحثية في</w:t>
      </w:r>
      <w:r w:rsidRPr="00752E9E">
        <w:rPr>
          <w:rFonts w:asciiTheme="majorBidi" w:hAnsiTheme="majorBidi" w:cstheme="majorBidi"/>
          <w:sz w:val="28"/>
          <w:szCs w:val="28"/>
        </w:rPr>
        <w:t>:</w:t>
      </w:r>
    </w:p>
    <w:p w14:paraId="13D2F7B6" w14:textId="77777777" w:rsidR="00752E9E" w:rsidRPr="00752E9E" w:rsidRDefault="00752E9E" w:rsidP="00752E9E">
      <w:pPr>
        <w:numPr>
          <w:ilvl w:val="0"/>
          <w:numId w:val="20"/>
        </w:numPr>
        <w:jc w:val="both"/>
        <w:rPr>
          <w:rFonts w:asciiTheme="majorBidi" w:hAnsiTheme="majorBidi" w:cstheme="majorBidi"/>
          <w:sz w:val="28"/>
          <w:szCs w:val="28"/>
        </w:rPr>
      </w:pPr>
      <w:r w:rsidRPr="00752E9E">
        <w:rPr>
          <w:rFonts w:asciiTheme="majorBidi" w:hAnsiTheme="majorBidi" w:cstheme="majorBidi"/>
          <w:sz w:val="28"/>
          <w:szCs w:val="28"/>
          <w:rtl/>
        </w:rPr>
        <w:t>غياب مؤشر مبكر شامل يجمع بين العوامل المؤثرة في انقطاع الخدمات الصحية الحرجة أثناء الكوارث الطبيعية، ويحوّل المتغيرات النظرية (المخاطر، قابلية الانكشاف، القدرة الاستيعابية، الجاهزية والاستجابة) إلى نموذج تطبيقي قادر على التنبؤ بدرجة الخطر قبل وقوع الانقطاع</w:t>
      </w:r>
      <w:r w:rsidRPr="00752E9E">
        <w:rPr>
          <w:rFonts w:asciiTheme="majorBidi" w:hAnsiTheme="majorBidi" w:cstheme="majorBidi"/>
          <w:sz w:val="28"/>
          <w:szCs w:val="28"/>
        </w:rPr>
        <w:t>.</w:t>
      </w:r>
    </w:p>
    <w:p w14:paraId="1F75CA66" w14:textId="77777777" w:rsidR="00752E9E" w:rsidRPr="00752E9E" w:rsidRDefault="00752E9E" w:rsidP="00752E9E">
      <w:pPr>
        <w:numPr>
          <w:ilvl w:val="0"/>
          <w:numId w:val="20"/>
        </w:numPr>
        <w:jc w:val="both"/>
        <w:rPr>
          <w:rFonts w:asciiTheme="majorBidi" w:hAnsiTheme="majorBidi" w:cstheme="majorBidi"/>
          <w:sz w:val="28"/>
          <w:szCs w:val="28"/>
        </w:rPr>
      </w:pPr>
      <w:r w:rsidRPr="00752E9E">
        <w:rPr>
          <w:rFonts w:asciiTheme="majorBidi" w:hAnsiTheme="majorBidi" w:cstheme="majorBidi"/>
          <w:sz w:val="28"/>
          <w:szCs w:val="28"/>
          <w:rtl/>
        </w:rPr>
        <w:t>عدم وجود أدوات قياس كمية متكاملة تتيح استشراف الانقطاع قبل حدوثه، مع ربط النتائج بالسياسات والتدخلات الوقائية لتعزيز استمرارية الخدمات الحرجة</w:t>
      </w:r>
      <w:r w:rsidRPr="00752E9E">
        <w:rPr>
          <w:rFonts w:asciiTheme="majorBidi" w:hAnsiTheme="majorBidi" w:cstheme="majorBidi"/>
          <w:sz w:val="28"/>
          <w:szCs w:val="28"/>
        </w:rPr>
        <w:t>.</w:t>
      </w:r>
    </w:p>
    <w:p w14:paraId="04E27743" w14:textId="77777777" w:rsidR="00752E9E" w:rsidRPr="00752E9E" w:rsidRDefault="00752E9E" w:rsidP="00752E9E">
      <w:pPr>
        <w:jc w:val="both"/>
        <w:rPr>
          <w:rFonts w:asciiTheme="majorBidi" w:hAnsiTheme="majorBidi" w:cstheme="majorBidi"/>
          <w:sz w:val="28"/>
          <w:szCs w:val="28"/>
        </w:rPr>
      </w:pPr>
      <w:r w:rsidRPr="00752E9E">
        <w:rPr>
          <w:rFonts w:asciiTheme="majorBidi" w:hAnsiTheme="majorBidi" w:cstheme="majorBidi"/>
          <w:sz w:val="28"/>
          <w:szCs w:val="28"/>
          <w:rtl/>
        </w:rPr>
        <w:t>وتسعى الدراسة الحالية إلى سدّ هذه الفجوة من خلال تطوير مؤشر مبكر مبني على منهجية تكاملية تربط بين هذه المتغيرات في إطار نظري وعملي واحد، بما يسهم في تحسين قدرة المنشآت الصحية على رصد مبكر لمستويات الخطر، اتخاذ إجراءات وقائية فعّالة، وتعزيز صمود النظام الصحي أمام الكوارث الطبيعية، مع توفير قاعدة علمية قابلة للتطبيق العملي في مختلف البيئات الصحية</w:t>
      </w:r>
      <w:r w:rsidRPr="00752E9E">
        <w:rPr>
          <w:rFonts w:asciiTheme="majorBidi" w:hAnsiTheme="majorBidi" w:cstheme="majorBidi"/>
          <w:sz w:val="28"/>
          <w:szCs w:val="28"/>
        </w:rPr>
        <w:t>.</w:t>
      </w:r>
    </w:p>
    <w:p w14:paraId="5659C11C" w14:textId="77777777" w:rsidR="00C553FF" w:rsidRPr="009073C1" w:rsidRDefault="00C553FF" w:rsidP="00C553FF">
      <w:pPr>
        <w:jc w:val="both"/>
        <w:rPr>
          <w:rFonts w:asciiTheme="majorBidi" w:hAnsiTheme="majorBidi" w:cstheme="majorBidi"/>
          <w:sz w:val="28"/>
          <w:szCs w:val="28"/>
          <w:rtl/>
        </w:rPr>
      </w:pPr>
    </w:p>
    <w:p w14:paraId="09B0EA99" w14:textId="77777777" w:rsidR="00C553FF" w:rsidRPr="009F000A" w:rsidRDefault="00C553FF" w:rsidP="00C553FF">
      <w:pPr>
        <w:jc w:val="both"/>
        <w:rPr>
          <w:rFonts w:asciiTheme="majorBidi" w:hAnsiTheme="majorBidi" w:cstheme="majorBidi"/>
          <w:sz w:val="28"/>
          <w:szCs w:val="28"/>
          <w:rtl/>
        </w:rPr>
      </w:pPr>
    </w:p>
    <w:p w14:paraId="1022E187" w14:textId="77777777" w:rsidR="00C553FF" w:rsidRPr="009F000A" w:rsidRDefault="00C553FF" w:rsidP="00C553FF">
      <w:pPr>
        <w:jc w:val="both"/>
        <w:rPr>
          <w:rFonts w:asciiTheme="majorBidi" w:hAnsiTheme="majorBidi" w:cstheme="majorBidi"/>
          <w:sz w:val="28"/>
          <w:szCs w:val="28"/>
          <w:rtl/>
        </w:rPr>
      </w:pPr>
    </w:p>
    <w:p w14:paraId="26D91D3C" w14:textId="77777777" w:rsidR="00C553FF" w:rsidRPr="009F000A" w:rsidRDefault="00C553FF" w:rsidP="00C553FF">
      <w:pPr>
        <w:jc w:val="both"/>
        <w:rPr>
          <w:rFonts w:asciiTheme="majorBidi" w:hAnsiTheme="majorBidi" w:cstheme="majorBidi"/>
          <w:sz w:val="28"/>
          <w:szCs w:val="28"/>
          <w:rtl/>
        </w:rPr>
      </w:pPr>
    </w:p>
    <w:p w14:paraId="1D97421F" w14:textId="77777777" w:rsidR="00C553FF" w:rsidRPr="009F000A" w:rsidRDefault="00C553FF" w:rsidP="00C553FF">
      <w:pPr>
        <w:jc w:val="both"/>
        <w:rPr>
          <w:rFonts w:asciiTheme="majorBidi" w:hAnsiTheme="majorBidi" w:cstheme="majorBidi"/>
          <w:sz w:val="28"/>
          <w:szCs w:val="28"/>
          <w:rtl/>
        </w:rPr>
      </w:pPr>
    </w:p>
    <w:p w14:paraId="675D9855" w14:textId="77777777" w:rsidR="00863BDA" w:rsidRPr="009F000A" w:rsidRDefault="00863BDA" w:rsidP="00C553FF">
      <w:pPr>
        <w:jc w:val="both"/>
        <w:rPr>
          <w:rFonts w:asciiTheme="majorBidi" w:hAnsiTheme="majorBidi" w:cstheme="majorBidi"/>
          <w:sz w:val="28"/>
          <w:szCs w:val="28"/>
          <w:rtl/>
        </w:rPr>
      </w:pPr>
    </w:p>
    <w:p w14:paraId="69AB8EAC" w14:textId="77777777" w:rsidR="00863BDA" w:rsidRPr="009F000A" w:rsidRDefault="00863BDA" w:rsidP="00C553FF">
      <w:pPr>
        <w:jc w:val="both"/>
        <w:rPr>
          <w:rFonts w:asciiTheme="majorBidi" w:hAnsiTheme="majorBidi" w:cstheme="majorBidi"/>
          <w:sz w:val="28"/>
          <w:szCs w:val="28"/>
          <w:rtl/>
        </w:rPr>
      </w:pPr>
    </w:p>
    <w:p w14:paraId="47A5E617" w14:textId="77777777" w:rsidR="00863BDA" w:rsidRPr="009F000A" w:rsidRDefault="00863BDA" w:rsidP="00C553FF">
      <w:pPr>
        <w:jc w:val="both"/>
        <w:rPr>
          <w:rFonts w:asciiTheme="majorBidi" w:hAnsiTheme="majorBidi" w:cstheme="majorBidi"/>
          <w:sz w:val="28"/>
          <w:szCs w:val="28"/>
          <w:rtl/>
        </w:rPr>
      </w:pPr>
    </w:p>
    <w:p w14:paraId="2F1E5B72" w14:textId="77777777" w:rsidR="00863BDA" w:rsidRPr="009F000A" w:rsidRDefault="00863BDA" w:rsidP="00C553FF">
      <w:pPr>
        <w:jc w:val="both"/>
        <w:rPr>
          <w:rFonts w:asciiTheme="majorBidi" w:hAnsiTheme="majorBidi" w:cstheme="majorBidi"/>
          <w:sz w:val="28"/>
          <w:szCs w:val="28"/>
          <w:rtl/>
        </w:rPr>
      </w:pPr>
    </w:p>
    <w:p w14:paraId="2F30866E" w14:textId="77777777" w:rsidR="00863BDA" w:rsidRPr="009F000A" w:rsidRDefault="00863BDA" w:rsidP="00C553FF">
      <w:pPr>
        <w:jc w:val="both"/>
        <w:rPr>
          <w:rFonts w:asciiTheme="majorBidi" w:hAnsiTheme="majorBidi" w:cstheme="majorBidi"/>
          <w:sz w:val="28"/>
          <w:szCs w:val="28"/>
          <w:rtl/>
        </w:rPr>
      </w:pPr>
    </w:p>
    <w:p w14:paraId="285EEDD2" w14:textId="77777777" w:rsidR="00863BDA" w:rsidRPr="009F000A" w:rsidRDefault="00863BDA" w:rsidP="00C553FF">
      <w:pPr>
        <w:jc w:val="both"/>
        <w:rPr>
          <w:rFonts w:asciiTheme="majorBidi" w:hAnsiTheme="majorBidi" w:cstheme="majorBidi"/>
          <w:sz w:val="28"/>
          <w:szCs w:val="28"/>
          <w:rtl/>
        </w:rPr>
      </w:pPr>
    </w:p>
    <w:p w14:paraId="260FC2BC" w14:textId="77777777" w:rsidR="00863BDA" w:rsidRDefault="00863BDA" w:rsidP="00C553FF">
      <w:pPr>
        <w:jc w:val="both"/>
        <w:rPr>
          <w:rFonts w:asciiTheme="majorBidi" w:hAnsiTheme="majorBidi" w:cstheme="majorBidi"/>
          <w:sz w:val="28"/>
          <w:szCs w:val="28"/>
          <w:rtl/>
        </w:rPr>
      </w:pPr>
    </w:p>
    <w:p w14:paraId="2994F187" w14:textId="77777777" w:rsidR="00B94475" w:rsidRDefault="00B94475" w:rsidP="00C553FF">
      <w:pPr>
        <w:jc w:val="both"/>
        <w:rPr>
          <w:rFonts w:asciiTheme="majorBidi" w:hAnsiTheme="majorBidi" w:cstheme="majorBidi"/>
          <w:sz w:val="28"/>
          <w:szCs w:val="28"/>
          <w:rtl/>
        </w:rPr>
      </w:pPr>
    </w:p>
    <w:p w14:paraId="49E6AE53" w14:textId="77777777" w:rsidR="00B94475" w:rsidRDefault="00B94475" w:rsidP="00C553FF">
      <w:pPr>
        <w:jc w:val="both"/>
        <w:rPr>
          <w:rFonts w:asciiTheme="majorBidi" w:hAnsiTheme="majorBidi" w:cstheme="majorBidi"/>
          <w:sz w:val="28"/>
          <w:szCs w:val="28"/>
          <w:rtl/>
        </w:rPr>
      </w:pPr>
    </w:p>
    <w:p w14:paraId="5C653294" w14:textId="77777777" w:rsidR="00B94475" w:rsidRPr="009F000A" w:rsidRDefault="00B94475" w:rsidP="00C553FF">
      <w:pPr>
        <w:jc w:val="both"/>
        <w:rPr>
          <w:rFonts w:asciiTheme="majorBidi" w:hAnsiTheme="majorBidi" w:cstheme="majorBidi"/>
          <w:sz w:val="28"/>
          <w:szCs w:val="28"/>
          <w:rtl/>
        </w:rPr>
      </w:pPr>
    </w:p>
    <w:p w14:paraId="505468F5" w14:textId="77777777" w:rsidR="00863BDA" w:rsidRPr="009F000A" w:rsidRDefault="00863BDA" w:rsidP="00C553FF">
      <w:pPr>
        <w:jc w:val="both"/>
        <w:rPr>
          <w:rFonts w:asciiTheme="majorBidi" w:hAnsiTheme="majorBidi" w:cstheme="majorBidi"/>
          <w:sz w:val="28"/>
          <w:szCs w:val="28"/>
          <w:rtl/>
        </w:rPr>
      </w:pPr>
    </w:p>
    <w:p w14:paraId="54E68DC2" w14:textId="77777777" w:rsidR="00863BDA" w:rsidRPr="009F000A" w:rsidRDefault="00863BDA" w:rsidP="009F000A">
      <w:pPr>
        <w:jc w:val="both"/>
        <w:rPr>
          <w:rFonts w:asciiTheme="majorBidi" w:hAnsiTheme="majorBidi" w:cstheme="majorBidi"/>
          <w:sz w:val="28"/>
          <w:szCs w:val="28"/>
          <w:rtl/>
        </w:rPr>
      </w:pPr>
    </w:p>
    <w:p w14:paraId="2CE58196" w14:textId="77777777" w:rsidR="00C553FF" w:rsidRPr="009F000A" w:rsidRDefault="00C553FF" w:rsidP="00C553FF">
      <w:pPr>
        <w:jc w:val="both"/>
        <w:rPr>
          <w:rFonts w:asciiTheme="majorBidi" w:hAnsiTheme="majorBidi" w:cstheme="majorBidi"/>
          <w:sz w:val="28"/>
          <w:szCs w:val="28"/>
          <w:rtl/>
        </w:rPr>
      </w:pPr>
    </w:p>
    <w:p w14:paraId="2683A369" w14:textId="77777777" w:rsidR="00C553FF" w:rsidRPr="00C553FF" w:rsidRDefault="00C553FF" w:rsidP="00C553FF">
      <w:pPr>
        <w:jc w:val="both"/>
        <w:rPr>
          <w:rFonts w:asciiTheme="majorBidi" w:hAnsiTheme="majorBidi" w:cstheme="majorBidi"/>
          <w:b/>
          <w:bCs/>
          <w:sz w:val="28"/>
          <w:szCs w:val="28"/>
        </w:rPr>
      </w:pPr>
      <w:r w:rsidRPr="00C553FF">
        <w:rPr>
          <w:rFonts w:asciiTheme="majorBidi" w:hAnsiTheme="majorBidi" w:cstheme="majorBidi"/>
          <w:b/>
          <w:bCs/>
          <w:sz w:val="28"/>
          <w:szCs w:val="28"/>
          <w:rtl/>
        </w:rPr>
        <w:t>أولاً: المراجع العربية (صيغة</w:t>
      </w:r>
      <w:r w:rsidRPr="00C553FF">
        <w:rPr>
          <w:rFonts w:asciiTheme="majorBidi" w:hAnsiTheme="majorBidi" w:cstheme="majorBidi"/>
          <w:b/>
          <w:bCs/>
          <w:sz w:val="28"/>
          <w:szCs w:val="28"/>
        </w:rPr>
        <w:t xml:space="preserve"> APA 7)</w:t>
      </w:r>
    </w:p>
    <w:p w14:paraId="2320B6F5" w14:textId="77777777" w:rsidR="00C553FF" w:rsidRPr="009F000A" w:rsidRDefault="00C553FF" w:rsidP="002C3FA6">
      <w:pPr>
        <w:pStyle w:val="a6"/>
        <w:numPr>
          <w:ilvl w:val="0"/>
          <w:numId w:val="7"/>
        </w:numPr>
        <w:jc w:val="both"/>
        <w:rPr>
          <w:rFonts w:asciiTheme="majorBidi" w:hAnsiTheme="majorBidi" w:cstheme="majorBidi"/>
          <w:sz w:val="28"/>
          <w:szCs w:val="28"/>
        </w:rPr>
      </w:pPr>
      <w:r w:rsidRPr="009F000A">
        <w:rPr>
          <w:rFonts w:asciiTheme="majorBidi" w:hAnsiTheme="majorBidi" w:cstheme="majorBidi"/>
          <w:sz w:val="28"/>
          <w:szCs w:val="28"/>
          <w:rtl/>
        </w:rPr>
        <w:t xml:space="preserve">العنزي، ع. </w:t>
      </w:r>
      <w:proofErr w:type="gramStart"/>
      <w:r w:rsidRPr="009F000A">
        <w:rPr>
          <w:rFonts w:asciiTheme="majorBidi" w:hAnsiTheme="majorBidi" w:cstheme="majorBidi"/>
          <w:sz w:val="28"/>
          <w:szCs w:val="28"/>
          <w:rtl/>
        </w:rPr>
        <w:t>ض.,</w:t>
      </w:r>
      <w:proofErr w:type="gramEnd"/>
      <w:r w:rsidRPr="009F000A">
        <w:rPr>
          <w:rFonts w:asciiTheme="majorBidi" w:hAnsiTheme="majorBidi" w:cstheme="majorBidi"/>
          <w:sz w:val="28"/>
          <w:szCs w:val="28"/>
          <w:rtl/>
        </w:rPr>
        <w:t xml:space="preserve"> والنيف، خ. ل. (2025</w:t>
      </w:r>
      <w:r w:rsidRPr="009F000A">
        <w:rPr>
          <w:rFonts w:asciiTheme="majorBidi" w:hAnsiTheme="majorBidi" w:cstheme="majorBidi"/>
          <w:sz w:val="28"/>
          <w:szCs w:val="28"/>
        </w:rPr>
        <w:t>). </w:t>
      </w:r>
      <w:r w:rsidRPr="009F000A">
        <w:rPr>
          <w:rFonts w:asciiTheme="majorBidi" w:hAnsiTheme="majorBidi" w:cstheme="majorBidi"/>
          <w:sz w:val="28"/>
          <w:szCs w:val="28"/>
          <w:rtl/>
        </w:rPr>
        <w:t>أثر الجاهزية الإلكترونية في إدارة الأزمات والكوارث الصحية: دراسة ميدانية في الإدارة المساعدة للأزمات والكوارث بصحة الحدود الشمالية بالمملكة العربية السعودية</w:t>
      </w:r>
      <w:r w:rsidRPr="009F000A">
        <w:rPr>
          <w:rFonts w:asciiTheme="majorBidi" w:hAnsiTheme="majorBidi" w:cstheme="majorBidi"/>
          <w:sz w:val="28"/>
          <w:szCs w:val="28"/>
        </w:rPr>
        <w:t>.</w:t>
      </w:r>
    </w:p>
    <w:p w14:paraId="3917973E" w14:textId="77777777" w:rsidR="00C553FF" w:rsidRPr="009F000A" w:rsidRDefault="00C553FF" w:rsidP="002C3FA6">
      <w:pPr>
        <w:pStyle w:val="a6"/>
        <w:numPr>
          <w:ilvl w:val="0"/>
          <w:numId w:val="7"/>
        </w:numPr>
        <w:jc w:val="both"/>
        <w:rPr>
          <w:rFonts w:asciiTheme="majorBidi" w:hAnsiTheme="majorBidi" w:cstheme="majorBidi"/>
          <w:sz w:val="28"/>
          <w:szCs w:val="28"/>
        </w:rPr>
      </w:pPr>
      <w:proofErr w:type="spellStart"/>
      <w:r w:rsidRPr="009F000A">
        <w:rPr>
          <w:rFonts w:asciiTheme="majorBidi" w:hAnsiTheme="majorBidi" w:cstheme="majorBidi"/>
          <w:sz w:val="28"/>
          <w:szCs w:val="28"/>
          <w:rtl/>
        </w:rPr>
        <w:t>الخرماني</w:t>
      </w:r>
      <w:proofErr w:type="spellEnd"/>
      <w:r w:rsidRPr="009F000A">
        <w:rPr>
          <w:rFonts w:asciiTheme="majorBidi" w:hAnsiTheme="majorBidi" w:cstheme="majorBidi"/>
          <w:sz w:val="28"/>
          <w:szCs w:val="28"/>
          <w:rtl/>
        </w:rPr>
        <w:t>، ف. ع. (2023</w:t>
      </w:r>
      <w:r w:rsidRPr="009F000A">
        <w:rPr>
          <w:rFonts w:asciiTheme="majorBidi" w:hAnsiTheme="majorBidi" w:cstheme="majorBidi"/>
          <w:sz w:val="28"/>
          <w:szCs w:val="28"/>
        </w:rPr>
        <w:t>). </w:t>
      </w:r>
      <w:r w:rsidRPr="009F000A">
        <w:rPr>
          <w:rFonts w:asciiTheme="majorBidi" w:hAnsiTheme="majorBidi" w:cstheme="majorBidi"/>
          <w:sz w:val="28"/>
          <w:szCs w:val="28"/>
          <w:rtl/>
        </w:rPr>
        <w:t>العوامل المحددة لجاهزية المستشفيات الحكومية في مواجهة الأزمات: دراسة ميدانية على مستشفى الملك فهد بمدينة جدة</w:t>
      </w:r>
      <w:r w:rsidRPr="009F000A">
        <w:rPr>
          <w:rFonts w:asciiTheme="majorBidi" w:hAnsiTheme="majorBidi" w:cstheme="majorBidi"/>
          <w:sz w:val="28"/>
          <w:szCs w:val="28"/>
        </w:rPr>
        <w:t>.</w:t>
      </w:r>
    </w:p>
    <w:p w14:paraId="5911EEE1" w14:textId="77777777" w:rsidR="00C553FF" w:rsidRPr="009F000A" w:rsidRDefault="00C553FF" w:rsidP="002C3FA6">
      <w:pPr>
        <w:pStyle w:val="a6"/>
        <w:numPr>
          <w:ilvl w:val="0"/>
          <w:numId w:val="7"/>
        </w:numPr>
        <w:jc w:val="both"/>
        <w:rPr>
          <w:rFonts w:asciiTheme="majorBidi" w:hAnsiTheme="majorBidi" w:cstheme="majorBidi"/>
          <w:sz w:val="28"/>
          <w:szCs w:val="28"/>
        </w:rPr>
      </w:pPr>
      <w:proofErr w:type="spellStart"/>
      <w:r w:rsidRPr="009F000A">
        <w:rPr>
          <w:rFonts w:asciiTheme="majorBidi" w:hAnsiTheme="majorBidi" w:cstheme="majorBidi"/>
          <w:sz w:val="28"/>
          <w:szCs w:val="28"/>
          <w:rtl/>
        </w:rPr>
        <w:t>الدليجان</w:t>
      </w:r>
      <w:proofErr w:type="spellEnd"/>
      <w:r w:rsidRPr="009F000A">
        <w:rPr>
          <w:rFonts w:asciiTheme="majorBidi" w:hAnsiTheme="majorBidi" w:cstheme="majorBidi"/>
          <w:sz w:val="28"/>
          <w:szCs w:val="28"/>
          <w:rtl/>
        </w:rPr>
        <w:t xml:space="preserve">، </w:t>
      </w:r>
      <w:proofErr w:type="gramStart"/>
      <w:r w:rsidRPr="009F000A">
        <w:rPr>
          <w:rFonts w:asciiTheme="majorBidi" w:hAnsiTheme="majorBidi" w:cstheme="majorBidi"/>
          <w:sz w:val="28"/>
          <w:szCs w:val="28"/>
          <w:rtl/>
        </w:rPr>
        <w:t>ن.,</w:t>
      </w:r>
      <w:proofErr w:type="gramEnd"/>
      <w:r w:rsidRPr="009F000A">
        <w:rPr>
          <w:rFonts w:asciiTheme="majorBidi" w:hAnsiTheme="majorBidi" w:cstheme="majorBidi"/>
          <w:sz w:val="28"/>
          <w:szCs w:val="28"/>
          <w:rtl/>
        </w:rPr>
        <w:t xml:space="preserve"> وآخرون. (2023</w:t>
      </w:r>
      <w:r w:rsidRPr="009F000A">
        <w:rPr>
          <w:rFonts w:asciiTheme="majorBidi" w:hAnsiTheme="majorBidi" w:cstheme="majorBidi"/>
          <w:sz w:val="28"/>
          <w:szCs w:val="28"/>
        </w:rPr>
        <w:t>). </w:t>
      </w:r>
      <w:r w:rsidRPr="009F000A">
        <w:rPr>
          <w:rFonts w:asciiTheme="majorBidi" w:hAnsiTheme="majorBidi" w:cstheme="majorBidi"/>
          <w:sz w:val="28"/>
          <w:szCs w:val="28"/>
          <w:rtl/>
        </w:rPr>
        <w:t>المرونة المستدامة للقطاع الصحي: جاهزية المستشفيات في المنطقة الشرقية بالمملكة العربية السعودية لمواجهة الكوارث</w:t>
      </w:r>
      <w:r w:rsidRPr="009F000A">
        <w:rPr>
          <w:rFonts w:asciiTheme="majorBidi" w:hAnsiTheme="majorBidi" w:cstheme="majorBidi"/>
          <w:sz w:val="28"/>
          <w:szCs w:val="28"/>
        </w:rPr>
        <w:t>.</w:t>
      </w:r>
    </w:p>
    <w:p w14:paraId="200600E9" w14:textId="77777777" w:rsidR="00C553FF" w:rsidRPr="009F000A" w:rsidRDefault="00C553FF" w:rsidP="002C3FA6">
      <w:pPr>
        <w:pStyle w:val="a6"/>
        <w:numPr>
          <w:ilvl w:val="0"/>
          <w:numId w:val="7"/>
        </w:numPr>
        <w:jc w:val="both"/>
        <w:rPr>
          <w:rFonts w:asciiTheme="majorBidi" w:hAnsiTheme="majorBidi" w:cstheme="majorBidi"/>
          <w:sz w:val="28"/>
          <w:szCs w:val="28"/>
        </w:rPr>
      </w:pPr>
      <w:r w:rsidRPr="009F000A">
        <w:rPr>
          <w:rFonts w:asciiTheme="majorBidi" w:hAnsiTheme="majorBidi" w:cstheme="majorBidi"/>
          <w:sz w:val="28"/>
          <w:szCs w:val="28"/>
          <w:rtl/>
        </w:rPr>
        <w:t xml:space="preserve">خان، ع. </w:t>
      </w:r>
      <w:proofErr w:type="gramStart"/>
      <w:r w:rsidRPr="009F000A">
        <w:rPr>
          <w:rFonts w:asciiTheme="majorBidi" w:hAnsiTheme="majorBidi" w:cstheme="majorBidi"/>
          <w:sz w:val="28"/>
          <w:szCs w:val="28"/>
          <w:rtl/>
        </w:rPr>
        <w:t>ر.,</w:t>
      </w:r>
      <w:proofErr w:type="gramEnd"/>
      <w:r w:rsidRPr="009F000A">
        <w:rPr>
          <w:rFonts w:asciiTheme="majorBidi" w:hAnsiTheme="majorBidi" w:cstheme="majorBidi"/>
          <w:sz w:val="28"/>
          <w:szCs w:val="28"/>
          <w:rtl/>
        </w:rPr>
        <w:t xml:space="preserve"> وآخرون. (2021</w:t>
      </w:r>
      <w:r w:rsidRPr="009F000A">
        <w:rPr>
          <w:rFonts w:asciiTheme="majorBidi" w:hAnsiTheme="majorBidi" w:cstheme="majorBidi"/>
          <w:sz w:val="28"/>
          <w:szCs w:val="28"/>
        </w:rPr>
        <w:t>). </w:t>
      </w:r>
      <w:r w:rsidRPr="009F000A">
        <w:rPr>
          <w:rFonts w:asciiTheme="majorBidi" w:hAnsiTheme="majorBidi" w:cstheme="majorBidi"/>
          <w:sz w:val="28"/>
          <w:szCs w:val="28"/>
          <w:rtl/>
        </w:rPr>
        <w:t>تقييم جاهزية المستشفيات العامة لمواجهة الكوارث في منطقة المدينة المنورة، المملكة العربية السعودية</w:t>
      </w:r>
      <w:r w:rsidRPr="009F000A">
        <w:rPr>
          <w:rFonts w:asciiTheme="majorBidi" w:hAnsiTheme="majorBidi" w:cstheme="majorBidi"/>
          <w:sz w:val="28"/>
          <w:szCs w:val="28"/>
        </w:rPr>
        <w:t>.</w:t>
      </w:r>
    </w:p>
    <w:p w14:paraId="2319F3CF" w14:textId="05F5EBEA" w:rsidR="00C553FF" w:rsidRDefault="00C553FF" w:rsidP="002C3FA6">
      <w:pPr>
        <w:pStyle w:val="a6"/>
        <w:numPr>
          <w:ilvl w:val="0"/>
          <w:numId w:val="7"/>
        </w:numPr>
        <w:jc w:val="both"/>
        <w:rPr>
          <w:rFonts w:asciiTheme="majorBidi" w:hAnsiTheme="majorBidi" w:cstheme="majorBidi"/>
          <w:sz w:val="28"/>
          <w:szCs w:val="28"/>
        </w:rPr>
      </w:pPr>
      <w:r w:rsidRPr="009F000A">
        <w:rPr>
          <w:rFonts w:asciiTheme="majorBidi" w:hAnsiTheme="majorBidi" w:cstheme="majorBidi"/>
          <w:sz w:val="28"/>
          <w:szCs w:val="28"/>
          <w:rtl/>
        </w:rPr>
        <w:t xml:space="preserve">السالم، م. </w:t>
      </w:r>
      <w:proofErr w:type="gramStart"/>
      <w:r w:rsidRPr="009F000A">
        <w:rPr>
          <w:rFonts w:asciiTheme="majorBidi" w:hAnsiTheme="majorBidi" w:cstheme="majorBidi"/>
          <w:sz w:val="28"/>
          <w:szCs w:val="28"/>
          <w:rtl/>
        </w:rPr>
        <w:t>م.,</w:t>
      </w:r>
      <w:proofErr w:type="gramEnd"/>
      <w:r w:rsidRPr="009F000A">
        <w:rPr>
          <w:rFonts w:asciiTheme="majorBidi" w:hAnsiTheme="majorBidi" w:cstheme="majorBidi"/>
          <w:sz w:val="28"/>
          <w:szCs w:val="28"/>
          <w:rtl/>
        </w:rPr>
        <w:t xml:space="preserve"> والغنيم، س. ع. (2021</w:t>
      </w:r>
      <w:r w:rsidRPr="009F000A">
        <w:rPr>
          <w:rFonts w:asciiTheme="majorBidi" w:hAnsiTheme="majorBidi" w:cstheme="majorBidi"/>
          <w:sz w:val="28"/>
          <w:szCs w:val="28"/>
        </w:rPr>
        <w:t>). </w:t>
      </w:r>
      <w:r w:rsidRPr="009F000A">
        <w:rPr>
          <w:rFonts w:asciiTheme="majorBidi" w:hAnsiTheme="majorBidi" w:cstheme="majorBidi"/>
          <w:sz w:val="28"/>
          <w:szCs w:val="28"/>
          <w:rtl/>
        </w:rPr>
        <w:t>تقييم جاهزية المستشفيات السعودية لمواجهة الكوارث</w:t>
      </w:r>
      <w:r w:rsidRPr="009F000A">
        <w:rPr>
          <w:rFonts w:asciiTheme="majorBidi" w:hAnsiTheme="majorBidi" w:cstheme="majorBidi"/>
          <w:sz w:val="28"/>
          <w:szCs w:val="28"/>
        </w:rPr>
        <w:t>.</w:t>
      </w:r>
    </w:p>
    <w:p w14:paraId="1C4F367C" w14:textId="7AED2C71" w:rsidR="00B94475" w:rsidRP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 xml:space="preserve">  </w:t>
      </w:r>
      <w:r w:rsidRPr="00B94475">
        <w:rPr>
          <w:rFonts w:asciiTheme="majorBidi" w:hAnsiTheme="majorBidi" w:cstheme="majorBidi"/>
          <w:sz w:val="28"/>
          <w:szCs w:val="28"/>
          <w:rtl/>
        </w:rPr>
        <w:t>عبدالعزيز، ضيف الله. (2025). أثر الجاهزية الإلكترونية في إدارة الأزمات والكوارث الصحية: دراسة ميدانية في الإدارة المساعدة للأزمات والكوارث بصحة الحدود الشمالية بالمملكة العربية السعودية. مجلة العلوم الصحية، 12(3)، 45-67</w:t>
      </w:r>
      <w:r w:rsidRPr="00B94475">
        <w:rPr>
          <w:rFonts w:asciiTheme="majorBidi" w:hAnsiTheme="majorBidi" w:cstheme="majorBidi"/>
          <w:sz w:val="28"/>
          <w:szCs w:val="28"/>
        </w:rPr>
        <w:t>.</w:t>
      </w:r>
    </w:p>
    <w:p w14:paraId="25E9FE47" w14:textId="6A5FDEA4" w:rsidR="00B94475" w:rsidRP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w:t>
      </w:r>
      <w:r w:rsidRPr="00B94475">
        <w:rPr>
          <w:rFonts w:asciiTheme="majorBidi" w:hAnsiTheme="majorBidi" w:cstheme="majorBidi"/>
          <w:sz w:val="28"/>
          <w:szCs w:val="28"/>
          <w:rtl/>
        </w:rPr>
        <w:t>الحارثي، خالد محمد. (2024). تقييم جاهزية المستشفيات الحكومية لمواجهة الكوارث الطبيعية: دراسة تطبيقية في مدينة الرياض. مجلة البحوث الطبية، 9(2)، 78-102</w:t>
      </w:r>
      <w:r w:rsidRPr="00B94475">
        <w:rPr>
          <w:rFonts w:asciiTheme="majorBidi" w:hAnsiTheme="majorBidi" w:cstheme="majorBidi"/>
          <w:sz w:val="28"/>
          <w:szCs w:val="28"/>
        </w:rPr>
        <w:t>.</w:t>
      </w:r>
    </w:p>
    <w:p w14:paraId="1CCCAB5C" w14:textId="1E597EBD" w:rsidR="00B94475" w:rsidRP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 xml:space="preserve">  </w:t>
      </w:r>
      <w:r w:rsidRPr="00B94475">
        <w:rPr>
          <w:rFonts w:asciiTheme="majorBidi" w:hAnsiTheme="majorBidi" w:cstheme="majorBidi"/>
          <w:sz w:val="28"/>
          <w:szCs w:val="28"/>
          <w:rtl/>
        </w:rPr>
        <w:t>العتيبي، سارة عبدالله. (2023). مرونة النظام الصحي في مواجهة الكوارث الطبيعية: دراسة تحليلية في مستشفيات المنطقة الشرقية. مجلة الإدارة الصحية، 8(1)، 33-59</w:t>
      </w:r>
      <w:r w:rsidRPr="00B94475">
        <w:rPr>
          <w:rFonts w:asciiTheme="majorBidi" w:hAnsiTheme="majorBidi" w:cstheme="majorBidi"/>
          <w:sz w:val="28"/>
          <w:szCs w:val="28"/>
        </w:rPr>
        <w:t>.</w:t>
      </w:r>
    </w:p>
    <w:p w14:paraId="72D6996C" w14:textId="3D549002" w:rsidR="00B94475" w:rsidRP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 xml:space="preserve">  </w:t>
      </w:r>
      <w:r w:rsidRPr="00B94475">
        <w:rPr>
          <w:rFonts w:asciiTheme="majorBidi" w:hAnsiTheme="majorBidi" w:cstheme="majorBidi"/>
          <w:sz w:val="28"/>
          <w:szCs w:val="28"/>
          <w:rtl/>
        </w:rPr>
        <w:t>الغامدي، فهد سعيد. (2022). تحليل أثر استمرارية الأعمال على الحد من انقطاع الخدمات الصحية أثناء الكوارث. مجلة علوم الطوارئ الصحية، 7(4)، 15-40</w:t>
      </w:r>
      <w:r w:rsidRPr="00B94475">
        <w:rPr>
          <w:rFonts w:asciiTheme="majorBidi" w:hAnsiTheme="majorBidi" w:cstheme="majorBidi"/>
          <w:sz w:val="28"/>
          <w:szCs w:val="28"/>
        </w:rPr>
        <w:t>.</w:t>
      </w:r>
    </w:p>
    <w:p w14:paraId="2DC8BC7F" w14:textId="702562C8" w:rsidR="00B94475" w:rsidRP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 xml:space="preserve">  </w:t>
      </w:r>
      <w:r w:rsidRPr="00B94475">
        <w:rPr>
          <w:rFonts w:asciiTheme="majorBidi" w:hAnsiTheme="majorBidi" w:cstheme="majorBidi"/>
          <w:sz w:val="28"/>
          <w:szCs w:val="28"/>
          <w:rtl/>
        </w:rPr>
        <w:t>الشمري، هدى يوسف. (2021). تأثير الجاهزية والتدريب على استجابة الطواقم الطبية خلال الكوارث الطبيعية. مجلة الدراسات الصحية التطبيقية، 5(3)، 22-48</w:t>
      </w:r>
      <w:r w:rsidRPr="00B94475">
        <w:rPr>
          <w:rFonts w:asciiTheme="majorBidi" w:hAnsiTheme="majorBidi" w:cstheme="majorBidi"/>
          <w:sz w:val="28"/>
          <w:szCs w:val="28"/>
        </w:rPr>
        <w:t>.</w:t>
      </w:r>
    </w:p>
    <w:p w14:paraId="08F41C26" w14:textId="654B8C7D" w:rsidR="00B94475" w:rsidRDefault="00B94475" w:rsidP="00B94475">
      <w:pPr>
        <w:pStyle w:val="ad"/>
        <w:numPr>
          <w:ilvl w:val="0"/>
          <w:numId w:val="7"/>
        </w:numPr>
        <w:bidi/>
        <w:rPr>
          <w:rFonts w:asciiTheme="majorBidi" w:hAnsiTheme="majorBidi" w:cstheme="majorBidi"/>
          <w:sz w:val="28"/>
          <w:szCs w:val="28"/>
        </w:rPr>
      </w:pPr>
      <w:r w:rsidRPr="00B94475">
        <w:rPr>
          <w:rFonts w:asciiTheme="majorBidi" w:hAnsiTheme="majorBidi" w:cstheme="majorBidi"/>
          <w:sz w:val="28"/>
          <w:szCs w:val="28"/>
        </w:rPr>
        <w:t xml:space="preserve">  </w:t>
      </w:r>
      <w:r w:rsidRPr="00B94475">
        <w:rPr>
          <w:rFonts w:asciiTheme="majorBidi" w:hAnsiTheme="majorBidi" w:cstheme="majorBidi"/>
          <w:sz w:val="28"/>
          <w:szCs w:val="28"/>
          <w:rtl/>
        </w:rPr>
        <w:t>القحطاني، محمد عبد الله. (2020). مؤشرات إنذار مبكر لانقطاع الخدمات الصحية في المستشفيات السعودية: دراسة استكشافية. مجلة العلوم الصحية، 6(2)، 10-35</w:t>
      </w:r>
      <w:r w:rsidRPr="00B94475">
        <w:rPr>
          <w:rFonts w:asciiTheme="majorBidi" w:hAnsiTheme="majorBidi" w:cstheme="majorBidi"/>
          <w:sz w:val="28"/>
          <w:szCs w:val="28"/>
        </w:rPr>
        <w:t>.</w:t>
      </w:r>
    </w:p>
    <w:p w14:paraId="7A682861" w14:textId="77777777" w:rsidR="00B94475" w:rsidRDefault="00B94475" w:rsidP="00B94475">
      <w:pPr>
        <w:pStyle w:val="ad"/>
        <w:numPr>
          <w:ilvl w:val="0"/>
          <w:numId w:val="7"/>
        </w:numPr>
        <w:bidi/>
        <w:rPr>
          <w:color w:val="000000"/>
        </w:rPr>
      </w:pPr>
      <w:r>
        <w:rPr>
          <w:color w:val="000000"/>
          <w:rtl/>
        </w:rPr>
        <w:t xml:space="preserve">سميث، </w:t>
      </w:r>
      <w:r>
        <w:rPr>
          <w:color w:val="000000"/>
        </w:rPr>
        <w:t xml:space="preserve">&amp; </w:t>
      </w:r>
      <w:proofErr w:type="gramStart"/>
      <w:r>
        <w:rPr>
          <w:color w:val="000000"/>
          <w:rtl/>
        </w:rPr>
        <w:t>جونسون،.</w:t>
      </w:r>
      <w:proofErr w:type="gramEnd"/>
      <w:r>
        <w:rPr>
          <w:color w:val="000000"/>
          <w:rtl/>
        </w:rPr>
        <w:t xml:space="preserve"> (2021). تقييم استمرارية الخدمات الصحية الحرجة أثناء الكوارث الطبيعية: نموذج تطبيقي في الولايات المتحدة</w:t>
      </w:r>
      <w:r>
        <w:rPr>
          <w:color w:val="000000"/>
        </w:rPr>
        <w:t>. Journal of Healthcare Management, 66(2), 101-120.</w:t>
      </w:r>
      <w:r>
        <w:rPr>
          <w:rStyle w:val="apple-converted-space"/>
          <w:rFonts w:eastAsiaTheme="majorEastAsia"/>
          <w:color w:val="000000"/>
        </w:rPr>
        <w:t> </w:t>
      </w:r>
      <w:r>
        <w:rPr>
          <w:color w:val="000000"/>
        </w:rPr>
        <w:t>https://doi.org/10.1097/JHM.0000000000000275</w:t>
      </w:r>
    </w:p>
    <w:p w14:paraId="08E217D0" w14:textId="77777777" w:rsidR="00B94475" w:rsidRDefault="00B94475" w:rsidP="00B94475">
      <w:pPr>
        <w:pStyle w:val="ad"/>
        <w:numPr>
          <w:ilvl w:val="0"/>
          <w:numId w:val="7"/>
        </w:numPr>
        <w:bidi/>
        <w:rPr>
          <w:color w:val="000000"/>
        </w:rPr>
      </w:pPr>
      <w:r>
        <w:rPr>
          <w:color w:val="000000"/>
          <w:rtl/>
        </w:rPr>
        <w:t>لي، هـ.، كيم، ج</w:t>
      </w:r>
      <w:r>
        <w:rPr>
          <w:color w:val="000000"/>
        </w:rPr>
        <w:t>.</w:t>
      </w:r>
      <w:r>
        <w:rPr>
          <w:color w:val="000000"/>
          <w:rtl/>
        </w:rPr>
        <w:t xml:space="preserve">، </w:t>
      </w:r>
      <w:r>
        <w:rPr>
          <w:color w:val="000000"/>
        </w:rPr>
        <w:t xml:space="preserve">&amp; </w:t>
      </w:r>
      <w:r>
        <w:rPr>
          <w:color w:val="000000"/>
          <w:rtl/>
        </w:rPr>
        <w:t>باركر، س. (2020). نماذج المؤشرات المبكرة للضغط على النظام الصحي أثناء الأوبئة والكوارث الطبيعية</w:t>
      </w:r>
      <w:r>
        <w:rPr>
          <w:color w:val="000000"/>
        </w:rPr>
        <w:t>. International Journal of Disaster Risk Reduction, 50, 101825.</w:t>
      </w:r>
      <w:r>
        <w:rPr>
          <w:rStyle w:val="apple-converted-space"/>
          <w:rFonts w:eastAsiaTheme="majorEastAsia"/>
          <w:color w:val="000000"/>
        </w:rPr>
        <w:t> </w:t>
      </w:r>
      <w:r>
        <w:rPr>
          <w:color w:val="000000"/>
        </w:rPr>
        <w:t>https://doi.org/10.1016/j.ijdrr.2020.101825</w:t>
      </w:r>
    </w:p>
    <w:p w14:paraId="64B842BA" w14:textId="77777777" w:rsidR="00B94475" w:rsidRDefault="00B94475" w:rsidP="00B94475">
      <w:pPr>
        <w:pStyle w:val="ad"/>
        <w:numPr>
          <w:ilvl w:val="0"/>
          <w:numId w:val="7"/>
        </w:numPr>
        <w:bidi/>
        <w:rPr>
          <w:color w:val="000000"/>
        </w:rPr>
      </w:pPr>
      <w:r>
        <w:rPr>
          <w:color w:val="000000"/>
          <w:rtl/>
        </w:rPr>
        <w:t>مولر، هـ</w:t>
      </w:r>
      <w:r>
        <w:rPr>
          <w:color w:val="000000"/>
        </w:rPr>
        <w:t>.</w:t>
      </w:r>
      <w:r>
        <w:rPr>
          <w:color w:val="000000"/>
          <w:rtl/>
        </w:rPr>
        <w:t xml:space="preserve">، </w:t>
      </w:r>
      <w:r>
        <w:rPr>
          <w:color w:val="000000"/>
        </w:rPr>
        <w:t xml:space="preserve">&amp; </w:t>
      </w:r>
      <w:r>
        <w:rPr>
          <w:color w:val="000000"/>
          <w:rtl/>
        </w:rPr>
        <w:t>براون، ج. (2019). المرونة الصحية واستمرارية الأعمال في المستشفيات الأوروبية: دراسة مقارنة</w:t>
      </w:r>
      <w:r>
        <w:rPr>
          <w:color w:val="000000"/>
        </w:rPr>
        <w:t>. European Journal of Health Management, 21(3), 245-266.</w:t>
      </w:r>
      <w:r>
        <w:rPr>
          <w:rStyle w:val="apple-converted-space"/>
          <w:rFonts w:eastAsiaTheme="majorEastAsia"/>
          <w:color w:val="000000"/>
        </w:rPr>
        <w:t> </w:t>
      </w:r>
      <w:r>
        <w:rPr>
          <w:color w:val="000000"/>
        </w:rPr>
        <w:t>https://doi.org/10.1108/EJHM-12-2018-0092</w:t>
      </w:r>
    </w:p>
    <w:p w14:paraId="0BE4D44E" w14:textId="77777777" w:rsidR="00B94475" w:rsidRDefault="00B94475" w:rsidP="00B94475">
      <w:pPr>
        <w:pStyle w:val="ad"/>
        <w:numPr>
          <w:ilvl w:val="0"/>
          <w:numId w:val="7"/>
        </w:numPr>
        <w:bidi/>
        <w:rPr>
          <w:color w:val="000000"/>
        </w:rPr>
      </w:pPr>
      <w:r>
        <w:rPr>
          <w:color w:val="000000"/>
          <w:rtl/>
        </w:rPr>
        <w:t>تشين، ل.، وانغ، ي</w:t>
      </w:r>
      <w:r>
        <w:rPr>
          <w:color w:val="000000"/>
        </w:rPr>
        <w:t>.</w:t>
      </w:r>
      <w:r>
        <w:rPr>
          <w:color w:val="000000"/>
          <w:rtl/>
        </w:rPr>
        <w:t xml:space="preserve">، </w:t>
      </w:r>
      <w:r>
        <w:rPr>
          <w:color w:val="000000"/>
        </w:rPr>
        <w:t xml:space="preserve">&amp; </w:t>
      </w:r>
      <w:proofErr w:type="spellStart"/>
      <w:r>
        <w:rPr>
          <w:color w:val="000000"/>
          <w:rtl/>
        </w:rPr>
        <w:t>زو</w:t>
      </w:r>
      <w:proofErr w:type="spellEnd"/>
      <w:r>
        <w:rPr>
          <w:color w:val="000000"/>
          <w:rtl/>
        </w:rPr>
        <w:t>، هـ. (2018). تحليل المخاطر وانقطاع الخدمات الصحية أثناء الكوارث الطبيعية: منظور نماذج الإنذار المبكر</w:t>
      </w:r>
      <w:r>
        <w:rPr>
          <w:color w:val="000000"/>
        </w:rPr>
        <w:t>. Journal of Emergency Management, 16(5), 321-339.</w:t>
      </w:r>
      <w:r>
        <w:rPr>
          <w:rStyle w:val="apple-converted-space"/>
          <w:rFonts w:eastAsiaTheme="majorEastAsia"/>
          <w:color w:val="000000"/>
        </w:rPr>
        <w:t> </w:t>
      </w:r>
      <w:r>
        <w:rPr>
          <w:color w:val="000000"/>
        </w:rPr>
        <w:t>https://doi.org/10.5055/jem.2018.0401</w:t>
      </w:r>
    </w:p>
    <w:p w14:paraId="72679537" w14:textId="61545EA2" w:rsidR="00B94475" w:rsidRPr="00B94475" w:rsidRDefault="00B94475" w:rsidP="00B94475">
      <w:pPr>
        <w:pStyle w:val="ad"/>
        <w:numPr>
          <w:ilvl w:val="0"/>
          <w:numId w:val="7"/>
        </w:numPr>
        <w:bidi/>
        <w:rPr>
          <w:color w:val="000000"/>
        </w:rPr>
      </w:pPr>
      <w:r>
        <w:rPr>
          <w:color w:val="000000"/>
          <w:rtl/>
        </w:rPr>
        <w:t>أحمد، م</w:t>
      </w:r>
      <w:r>
        <w:rPr>
          <w:color w:val="000000"/>
        </w:rPr>
        <w:t>.</w:t>
      </w:r>
      <w:r>
        <w:rPr>
          <w:color w:val="000000"/>
          <w:rtl/>
        </w:rPr>
        <w:t xml:space="preserve">، </w:t>
      </w:r>
      <w:r>
        <w:rPr>
          <w:color w:val="000000"/>
        </w:rPr>
        <w:t xml:space="preserve">&amp; </w:t>
      </w:r>
      <w:proofErr w:type="spellStart"/>
      <w:r>
        <w:rPr>
          <w:color w:val="000000"/>
          <w:rtl/>
        </w:rPr>
        <w:t>باتيل</w:t>
      </w:r>
      <w:proofErr w:type="spellEnd"/>
      <w:r>
        <w:rPr>
          <w:color w:val="000000"/>
          <w:rtl/>
        </w:rPr>
        <w:t>، ر. (2017). جاهزية المستشفيات وإدارة المخاطر الصحية في أوقات الأزمات: دراسة حالة عالمية</w:t>
      </w:r>
      <w:r>
        <w:rPr>
          <w:color w:val="000000"/>
        </w:rPr>
        <w:t>. Global Health Journal, 11(2), 55-74.</w:t>
      </w:r>
      <w:r>
        <w:rPr>
          <w:rStyle w:val="apple-converted-space"/>
          <w:rFonts w:eastAsiaTheme="majorEastAsia"/>
          <w:color w:val="000000"/>
        </w:rPr>
        <w:t> </w:t>
      </w:r>
      <w:r>
        <w:rPr>
          <w:color w:val="000000"/>
        </w:rPr>
        <w:t>https://doi.org/10.1016/j.ghj.2017.03.005</w:t>
      </w:r>
    </w:p>
    <w:p w14:paraId="3D7EA85B" w14:textId="77777777" w:rsidR="00B94475" w:rsidRPr="009F000A" w:rsidRDefault="00B94475" w:rsidP="00B94475">
      <w:pPr>
        <w:pStyle w:val="a6"/>
        <w:jc w:val="both"/>
        <w:rPr>
          <w:rFonts w:asciiTheme="majorBidi" w:hAnsiTheme="majorBidi" w:cstheme="majorBidi"/>
          <w:sz w:val="28"/>
          <w:szCs w:val="28"/>
        </w:rPr>
      </w:pPr>
    </w:p>
    <w:p w14:paraId="35AB1F72" w14:textId="3A9B25D7" w:rsidR="00C553FF" w:rsidRPr="00C553FF" w:rsidRDefault="00C553FF" w:rsidP="002C3FA6">
      <w:pPr>
        <w:jc w:val="both"/>
        <w:rPr>
          <w:rFonts w:asciiTheme="majorBidi" w:hAnsiTheme="majorBidi" w:cstheme="majorBidi"/>
          <w:b/>
          <w:bCs/>
          <w:sz w:val="28"/>
          <w:szCs w:val="28"/>
        </w:rPr>
      </w:pPr>
      <w:r w:rsidRPr="00C553FF">
        <w:rPr>
          <w:rFonts w:asciiTheme="majorBidi" w:hAnsiTheme="majorBidi" w:cstheme="majorBidi"/>
          <w:b/>
          <w:bCs/>
          <w:sz w:val="28"/>
          <w:szCs w:val="28"/>
        </w:rPr>
        <w:t> </w:t>
      </w:r>
      <w:r w:rsidRPr="00C553FF">
        <w:rPr>
          <w:rFonts w:asciiTheme="majorBidi" w:hAnsiTheme="majorBidi" w:cstheme="majorBidi"/>
          <w:b/>
          <w:bCs/>
          <w:sz w:val="28"/>
          <w:szCs w:val="28"/>
          <w:rtl/>
        </w:rPr>
        <w:t xml:space="preserve">ثانياً: المراجع الأجنبية </w:t>
      </w:r>
    </w:p>
    <w:p w14:paraId="00E22AB1" w14:textId="77777777" w:rsidR="00C553FF" w:rsidRPr="00C553FF" w:rsidRDefault="00C553FF" w:rsidP="00C553FF">
      <w:pPr>
        <w:jc w:val="both"/>
        <w:rPr>
          <w:rFonts w:asciiTheme="majorBidi" w:hAnsiTheme="majorBidi" w:cstheme="majorBidi"/>
          <w:b/>
          <w:bCs/>
          <w:sz w:val="28"/>
          <w:szCs w:val="28"/>
        </w:rPr>
      </w:pPr>
      <w:r w:rsidRPr="00C553FF">
        <w:rPr>
          <w:rFonts w:asciiTheme="majorBidi" w:hAnsiTheme="majorBidi" w:cstheme="majorBidi"/>
          <w:b/>
          <w:bCs/>
          <w:sz w:val="28"/>
          <w:szCs w:val="28"/>
          <w:rtl/>
        </w:rPr>
        <w:t>أ. مراجع الإطار النظري</w:t>
      </w:r>
    </w:p>
    <w:p w14:paraId="7F8C6658"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proofErr w:type="spellStart"/>
      <w:r w:rsidRPr="009F000A">
        <w:rPr>
          <w:rFonts w:asciiTheme="majorBidi" w:hAnsiTheme="majorBidi" w:cstheme="majorBidi"/>
          <w:sz w:val="28"/>
          <w:szCs w:val="28"/>
        </w:rPr>
        <w:t>Aitsi</w:t>
      </w:r>
      <w:proofErr w:type="spellEnd"/>
      <w:r w:rsidRPr="009F000A">
        <w:rPr>
          <w:rFonts w:asciiTheme="majorBidi" w:hAnsiTheme="majorBidi" w:cstheme="majorBidi"/>
          <w:sz w:val="28"/>
          <w:szCs w:val="28"/>
        </w:rPr>
        <w:t xml:space="preserve">-Selmi, A., Murray, V., </w:t>
      </w:r>
      <w:proofErr w:type="spellStart"/>
      <w:r w:rsidRPr="009F000A">
        <w:rPr>
          <w:rFonts w:asciiTheme="majorBidi" w:hAnsiTheme="majorBidi" w:cstheme="majorBidi"/>
          <w:sz w:val="28"/>
          <w:szCs w:val="28"/>
        </w:rPr>
        <w:t>Wannous</w:t>
      </w:r>
      <w:proofErr w:type="spellEnd"/>
      <w:r w:rsidRPr="009F000A">
        <w:rPr>
          <w:rFonts w:asciiTheme="majorBidi" w:hAnsiTheme="majorBidi" w:cstheme="majorBidi"/>
          <w:sz w:val="28"/>
          <w:szCs w:val="28"/>
        </w:rPr>
        <w:t>, C., Dickinson, C., &amp; others. (2016). </w:t>
      </w:r>
      <w:r w:rsidRPr="009F000A">
        <w:rPr>
          <w:rFonts w:asciiTheme="majorBidi" w:hAnsiTheme="majorBidi" w:cstheme="majorBidi"/>
          <w:i/>
          <w:iCs/>
          <w:sz w:val="28"/>
          <w:szCs w:val="28"/>
        </w:rPr>
        <w:t>Reflections on a science and technology agenda for 21st-century disaster risk reduction</w:t>
      </w:r>
      <w:r w:rsidRPr="009F000A">
        <w:rPr>
          <w:rFonts w:asciiTheme="majorBidi" w:hAnsiTheme="majorBidi" w:cstheme="majorBidi"/>
          <w:sz w:val="28"/>
          <w:szCs w:val="28"/>
        </w:rPr>
        <w:t>. International Journal of Disaster Risk Science, 7(1), 1–29.</w:t>
      </w:r>
    </w:p>
    <w:p w14:paraId="483F37F4"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Barrett, M., Boyne, D., &amp; O’Neill, M. (2020). </w:t>
      </w:r>
      <w:r w:rsidRPr="009F000A">
        <w:rPr>
          <w:rFonts w:asciiTheme="majorBidi" w:hAnsiTheme="majorBidi" w:cstheme="majorBidi"/>
          <w:i/>
          <w:iCs/>
          <w:sz w:val="28"/>
          <w:szCs w:val="28"/>
        </w:rPr>
        <w:t>Critical health service continuity during emergencies: A systems perspective</w:t>
      </w:r>
      <w:r w:rsidRPr="009F000A">
        <w:rPr>
          <w:rFonts w:asciiTheme="majorBidi" w:hAnsiTheme="majorBidi" w:cstheme="majorBidi"/>
          <w:sz w:val="28"/>
          <w:szCs w:val="28"/>
        </w:rPr>
        <w:t>. Journal of Health Systems Research, 12(3), 145–159.</w:t>
      </w:r>
    </w:p>
    <w:p w14:paraId="3C5265EE"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European Commission. (2021). </w:t>
      </w:r>
      <w:r w:rsidRPr="009F000A">
        <w:rPr>
          <w:rFonts w:asciiTheme="majorBidi" w:hAnsiTheme="majorBidi" w:cstheme="majorBidi"/>
          <w:i/>
          <w:iCs/>
          <w:sz w:val="28"/>
          <w:szCs w:val="28"/>
        </w:rPr>
        <w:t>Early warning mechanisms for medical supply chain disruptions</w:t>
      </w:r>
      <w:r w:rsidRPr="009F000A">
        <w:rPr>
          <w:rFonts w:asciiTheme="majorBidi" w:hAnsiTheme="majorBidi" w:cstheme="majorBidi"/>
          <w:sz w:val="28"/>
          <w:szCs w:val="28"/>
        </w:rPr>
        <w:t>.</w:t>
      </w:r>
    </w:p>
    <w:p w14:paraId="401D3094"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Khan, Y., O’Sullivan, T., Brown, A., Tracey, S., Gibson, J., &amp; Schwartz, B. (2019). </w:t>
      </w:r>
      <w:r w:rsidRPr="009F000A">
        <w:rPr>
          <w:rFonts w:asciiTheme="majorBidi" w:hAnsiTheme="majorBidi" w:cstheme="majorBidi"/>
          <w:i/>
          <w:iCs/>
          <w:sz w:val="28"/>
          <w:szCs w:val="28"/>
        </w:rPr>
        <w:t>Public health emergency preparedness: A framework to promote resilience</w:t>
      </w:r>
      <w:r w:rsidRPr="009F000A">
        <w:rPr>
          <w:rFonts w:asciiTheme="majorBidi" w:hAnsiTheme="majorBidi" w:cstheme="majorBidi"/>
          <w:sz w:val="28"/>
          <w:szCs w:val="28"/>
        </w:rPr>
        <w:t>. BMC Public Health, 19(1), 1–8.</w:t>
      </w:r>
    </w:p>
    <w:p w14:paraId="3ADD84CB"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 xml:space="preserve">Kruk, M. E., Myers, M., </w:t>
      </w:r>
      <w:proofErr w:type="spellStart"/>
      <w:r w:rsidRPr="009F000A">
        <w:rPr>
          <w:rFonts w:asciiTheme="majorBidi" w:hAnsiTheme="majorBidi" w:cstheme="majorBidi"/>
          <w:sz w:val="28"/>
          <w:szCs w:val="28"/>
        </w:rPr>
        <w:t>Varpilah</w:t>
      </w:r>
      <w:proofErr w:type="spellEnd"/>
      <w:r w:rsidRPr="009F000A">
        <w:rPr>
          <w:rFonts w:asciiTheme="majorBidi" w:hAnsiTheme="majorBidi" w:cstheme="majorBidi"/>
          <w:sz w:val="28"/>
          <w:szCs w:val="28"/>
        </w:rPr>
        <w:t>, S. T., &amp; Dahn, B. T. (2017). </w:t>
      </w:r>
      <w:r w:rsidRPr="009F000A">
        <w:rPr>
          <w:rFonts w:asciiTheme="majorBidi" w:hAnsiTheme="majorBidi" w:cstheme="majorBidi"/>
          <w:i/>
          <w:iCs/>
          <w:sz w:val="28"/>
          <w:szCs w:val="28"/>
        </w:rPr>
        <w:t>What is a resilient health system?</w:t>
      </w:r>
      <w:r w:rsidRPr="009F000A">
        <w:rPr>
          <w:rFonts w:asciiTheme="majorBidi" w:hAnsiTheme="majorBidi" w:cstheme="majorBidi"/>
          <w:sz w:val="28"/>
          <w:szCs w:val="28"/>
        </w:rPr>
        <w:t> The Lancet, 385(9980), 1910–1912.</w:t>
      </w:r>
    </w:p>
    <w:p w14:paraId="5F3C3038"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McLean, R., Stewart, S., &amp; Kerr, T. (2020). </w:t>
      </w:r>
      <w:r w:rsidRPr="009F000A">
        <w:rPr>
          <w:rFonts w:asciiTheme="majorBidi" w:hAnsiTheme="majorBidi" w:cstheme="majorBidi"/>
          <w:i/>
          <w:iCs/>
          <w:sz w:val="28"/>
          <w:szCs w:val="28"/>
        </w:rPr>
        <w:t>Predictive indicators for healthcare service disruption during disasters</w:t>
      </w:r>
      <w:r w:rsidRPr="009F000A">
        <w:rPr>
          <w:rFonts w:asciiTheme="majorBidi" w:hAnsiTheme="majorBidi" w:cstheme="majorBidi"/>
          <w:sz w:val="28"/>
          <w:szCs w:val="28"/>
        </w:rPr>
        <w:t>. Journal of Emergency Management, 18(4), 297–308.</w:t>
      </w:r>
    </w:p>
    <w:p w14:paraId="2312B155"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UNDRR. (2015). </w:t>
      </w:r>
      <w:r w:rsidRPr="009F000A">
        <w:rPr>
          <w:rFonts w:asciiTheme="majorBidi" w:hAnsiTheme="majorBidi" w:cstheme="majorBidi"/>
          <w:i/>
          <w:iCs/>
          <w:sz w:val="28"/>
          <w:szCs w:val="28"/>
        </w:rPr>
        <w:t>Sendai Framework for Disaster Risk Reduction 2015–2030</w:t>
      </w:r>
      <w:r w:rsidRPr="009F000A">
        <w:rPr>
          <w:rFonts w:asciiTheme="majorBidi" w:hAnsiTheme="majorBidi" w:cstheme="majorBidi"/>
          <w:sz w:val="28"/>
          <w:szCs w:val="28"/>
        </w:rPr>
        <w:t>. United Nations.</w:t>
      </w:r>
    </w:p>
    <w:p w14:paraId="1F29CD51"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UNDRR. (2022). </w:t>
      </w:r>
      <w:r w:rsidRPr="009F000A">
        <w:rPr>
          <w:rFonts w:asciiTheme="majorBidi" w:hAnsiTheme="majorBidi" w:cstheme="majorBidi"/>
          <w:i/>
          <w:iCs/>
          <w:sz w:val="28"/>
          <w:szCs w:val="28"/>
        </w:rPr>
        <w:t>Multi-Hazard Early Warning Systems: Global Review 2022</w:t>
      </w:r>
      <w:r w:rsidRPr="009F000A">
        <w:rPr>
          <w:rFonts w:asciiTheme="majorBidi" w:hAnsiTheme="majorBidi" w:cstheme="majorBidi"/>
          <w:sz w:val="28"/>
          <w:szCs w:val="28"/>
        </w:rPr>
        <w:t>. United Nations.</w:t>
      </w:r>
    </w:p>
    <w:p w14:paraId="21B66230"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UNDRR. (2023). </w:t>
      </w:r>
      <w:r w:rsidRPr="009F000A">
        <w:rPr>
          <w:rFonts w:asciiTheme="majorBidi" w:hAnsiTheme="majorBidi" w:cstheme="majorBidi"/>
          <w:i/>
          <w:iCs/>
          <w:sz w:val="28"/>
          <w:szCs w:val="28"/>
        </w:rPr>
        <w:t>Global Assessment Report on Disaster Risk Reduction</w:t>
      </w:r>
      <w:r w:rsidRPr="009F000A">
        <w:rPr>
          <w:rFonts w:asciiTheme="majorBidi" w:hAnsiTheme="majorBidi" w:cstheme="majorBidi"/>
          <w:sz w:val="28"/>
          <w:szCs w:val="28"/>
        </w:rPr>
        <w:t>. United Nations.</w:t>
      </w:r>
    </w:p>
    <w:p w14:paraId="6CE18308"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World Health Organization. (2020). </w:t>
      </w:r>
      <w:r w:rsidRPr="009F000A">
        <w:rPr>
          <w:rFonts w:asciiTheme="majorBidi" w:hAnsiTheme="majorBidi" w:cstheme="majorBidi"/>
          <w:i/>
          <w:iCs/>
          <w:sz w:val="28"/>
          <w:szCs w:val="28"/>
        </w:rPr>
        <w:t>EWARS in a box: Early Warning, Alert and Response System</w:t>
      </w:r>
      <w:r w:rsidRPr="009F000A">
        <w:rPr>
          <w:rFonts w:asciiTheme="majorBidi" w:hAnsiTheme="majorBidi" w:cstheme="majorBidi"/>
          <w:sz w:val="28"/>
          <w:szCs w:val="28"/>
        </w:rPr>
        <w:t>. WHO.</w:t>
      </w:r>
    </w:p>
    <w:p w14:paraId="226CC192"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World Health Organization. (2021). </w:t>
      </w:r>
      <w:r w:rsidRPr="009F000A">
        <w:rPr>
          <w:rFonts w:asciiTheme="majorBidi" w:hAnsiTheme="majorBidi" w:cstheme="majorBidi"/>
          <w:i/>
          <w:iCs/>
          <w:sz w:val="28"/>
          <w:szCs w:val="28"/>
        </w:rPr>
        <w:t>Strengthening health systems resilience to emergencies: A global guide</w:t>
      </w:r>
      <w:r w:rsidRPr="009F000A">
        <w:rPr>
          <w:rFonts w:asciiTheme="majorBidi" w:hAnsiTheme="majorBidi" w:cstheme="majorBidi"/>
          <w:sz w:val="28"/>
          <w:szCs w:val="28"/>
        </w:rPr>
        <w:t>. WHO Press.</w:t>
      </w:r>
    </w:p>
    <w:p w14:paraId="6A01A131" w14:textId="5777089B"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World Health Organization. (2022). </w:t>
      </w:r>
      <w:r w:rsidRPr="009F000A">
        <w:rPr>
          <w:rFonts w:asciiTheme="majorBidi" w:hAnsiTheme="majorBidi" w:cstheme="majorBidi"/>
          <w:i/>
          <w:iCs/>
          <w:sz w:val="28"/>
          <w:szCs w:val="28"/>
        </w:rPr>
        <w:t>Maintaining essential health services during emergencies</w:t>
      </w:r>
      <w:r w:rsidRPr="009F000A">
        <w:rPr>
          <w:rFonts w:asciiTheme="majorBidi" w:hAnsiTheme="majorBidi" w:cstheme="majorBidi"/>
          <w:sz w:val="28"/>
          <w:szCs w:val="28"/>
        </w:rPr>
        <w:t>. WHO Press.</w:t>
      </w:r>
    </w:p>
    <w:p w14:paraId="5B91C0EC" w14:textId="77777777" w:rsidR="00C553FF" w:rsidRPr="00C553FF" w:rsidRDefault="00C553FF" w:rsidP="00C553FF">
      <w:pPr>
        <w:jc w:val="both"/>
        <w:rPr>
          <w:rFonts w:asciiTheme="majorBidi" w:hAnsiTheme="majorBidi" w:cstheme="majorBidi"/>
          <w:b/>
          <w:bCs/>
          <w:sz w:val="28"/>
          <w:szCs w:val="28"/>
        </w:rPr>
      </w:pPr>
      <w:r w:rsidRPr="00C553FF">
        <w:rPr>
          <w:rFonts w:asciiTheme="majorBidi" w:hAnsiTheme="majorBidi" w:cstheme="majorBidi"/>
          <w:b/>
          <w:bCs/>
          <w:sz w:val="28"/>
          <w:szCs w:val="28"/>
          <w:rtl/>
        </w:rPr>
        <w:t>ب. مراجع الدراسات السابقة الأجنبية</w:t>
      </w:r>
    </w:p>
    <w:p w14:paraId="01A2FBB3"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r w:rsidRPr="009F000A">
        <w:rPr>
          <w:rFonts w:asciiTheme="majorBidi" w:hAnsiTheme="majorBidi" w:cstheme="majorBidi"/>
          <w:sz w:val="28"/>
          <w:szCs w:val="28"/>
        </w:rPr>
        <w:t>Mori, E., et al. (2025). </w:t>
      </w:r>
      <w:r w:rsidRPr="009F000A">
        <w:rPr>
          <w:rFonts w:asciiTheme="majorBidi" w:hAnsiTheme="majorBidi" w:cstheme="majorBidi"/>
          <w:i/>
          <w:iCs/>
          <w:sz w:val="28"/>
          <w:szCs w:val="28"/>
        </w:rPr>
        <w:t>Hospitals’ Resilience: An Evidence-Based Framework for Sustaining the Coping Phase in Non-Linear and Continuous Crises</w:t>
      </w:r>
      <w:r w:rsidRPr="009F000A">
        <w:rPr>
          <w:rFonts w:asciiTheme="majorBidi" w:hAnsiTheme="majorBidi" w:cstheme="majorBidi"/>
          <w:sz w:val="28"/>
          <w:szCs w:val="28"/>
        </w:rPr>
        <w:t>.</w:t>
      </w:r>
    </w:p>
    <w:p w14:paraId="649EACF6"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proofErr w:type="spellStart"/>
      <w:r w:rsidRPr="009F000A">
        <w:rPr>
          <w:rFonts w:asciiTheme="majorBidi" w:hAnsiTheme="majorBidi" w:cstheme="majorBidi"/>
          <w:sz w:val="28"/>
          <w:szCs w:val="28"/>
          <w:lang w:val="nl-NL"/>
        </w:rPr>
        <w:t>Hertelendy</w:t>
      </w:r>
      <w:proofErr w:type="spellEnd"/>
      <w:r w:rsidRPr="009F000A">
        <w:rPr>
          <w:rFonts w:asciiTheme="majorBidi" w:hAnsiTheme="majorBidi" w:cstheme="majorBidi"/>
          <w:sz w:val="28"/>
          <w:szCs w:val="28"/>
          <w:lang w:val="nl-NL"/>
        </w:rPr>
        <w:t xml:space="preserve">, A. J., et al. </w:t>
      </w:r>
      <w:r w:rsidRPr="009F000A">
        <w:rPr>
          <w:rFonts w:asciiTheme="majorBidi" w:hAnsiTheme="majorBidi" w:cstheme="majorBidi"/>
          <w:sz w:val="28"/>
          <w:szCs w:val="28"/>
        </w:rPr>
        <w:t>(2025). </w:t>
      </w:r>
      <w:r w:rsidRPr="009F000A">
        <w:rPr>
          <w:rFonts w:asciiTheme="majorBidi" w:hAnsiTheme="majorBidi" w:cstheme="majorBidi"/>
          <w:i/>
          <w:iCs/>
          <w:sz w:val="28"/>
          <w:szCs w:val="28"/>
        </w:rPr>
        <w:t>Strengthening Healthcare System Resilience: A Comprehensive Framework for Tropical Cyclone Preparedness and Response</w:t>
      </w:r>
      <w:r w:rsidRPr="009F000A">
        <w:rPr>
          <w:rFonts w:asciiTheme="majorBidi" w:hAnsiTheme="majorBidi" w:cstheme="majorBidi"/>
          <w:sz w:val="28"/>
          <w:szCs w:val="28"/>
        </w:rPr>
        <w:t>.</w:t>
      </w:r>
    </w:p>
    <w:p w14:paraId="365E3648"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proofErr w:type="spellStart"/>
      <w:r w:rsidRPr="009F000A">
        <w:rPr>
          <w:rFonts w:asciiTheme="majorBidi" w:hAnsiTheme="majorBidi" w:cstheme="majorBidi"/>
          <w:sz w:val="28"/>
          <w:szCs w:val="28"/>
        </w:rPr>
        <w:t>Nanyunja</w:t>
      </w:r>
      <w:proofErr w:type="spellEnd"/>
      <w:r w:rsidRPr="009F000A">
        <w:rPr>
          <w:rFonts w:asciiTheme="majorBidi" w:hAnsiTheme="majorBidi" w:cstheme="majorBidi"/>
          <w:sz w:val="28"/>
          <w:szCs w:val="28"/>
        </w:rPr>
        <w:t>, M., et al. (2025). </w:t>
      </w:r>
      <w:r w:rsidRPr="009F000A">
        <w:rPr>
          <w:rFonts w:asciiTheme="majorBidi" w:hAnsiTheme="majorBidi" w:cstheme="majorBidi"/>
          <w:i/>
          <w:iCs/>
          <w:sz w:val="28"/>
          <w:szCs w:val="28"/>
        </w:rPr>
        <w:t>Ensuring the Continuity of Essential Health Services during Mpox Response in the African Region</w:t>
      </w:r>
      <w:r w:rsidRPr="009F000A">
        <w:rPr>
          <w:rFonts w:asciiTheme="majorBidi" w:hAnsiTheme="majorBidi" w:cstheme="majorBidi"/>
          <w:sz w:val="28"/>
          <w:szCs w:val="28"/>
        </w:rPr>
        <w:t>.</w:t>
      </w:r>
    </w:p>
    <w:p w14:paraId="57553016" w14:textId="77777777" w:rsidR="00C553FF" w:rsidRPr="009F000A" w:rsidRDefault="00C553FF" w:rsidP="002C3FA6">
      <w:pPr>
        <w:pStyle w:val="a6"/>
        <w:numPr>
          <w:ilvl w:val="0"/>
          <w:numId w:val="8"/>
        </w:numPr>
        <w:bidi w:val="0"/>
        <w:jc w:val="both"/>
        <w:rPr>
          <w:rFonts w:asciiTheme="majorBidi" w:hAnsiTheme="majorBidi" w:cstheme="majorBidi"/>
          <w:sz w:val="28"/>
          <w:szCs w:val="28"/>
        </w:rPr>
      </w:pPr>
      <w:proofErr w:type="spellStart"/>
      <w:r w:rsidRPr="009F000A">
        <w:rPr>
          <w:rFonts w:asciiTheme="majorBidi" w:hAnsiTheme="majorBidi" w:cstheme="majorBidi"/>
          <w:sz w:val="28"/>
          <w:szCs w:val="28"/>
        </w:rPr>
        <w:t>Mochache</w:t>
      </w:r>
      <w:proofErr w:type="spellEnd"/>
      <w:r w:rsidRPr="009F000A">
        <w:rPr>
          <w:rFonts w:asciiTheme="majorBidi" w:hAnsiTheme="majorBidi" w:cstheme="majorBidi"/>
          <w:sz w:val="28"/>
          <w:szCs w:val="28"/>
        </w:rPr>
        <w:t>, T., et al. (2022). </w:t>
      </w:r>
      <w:r w:rsidRPr="009F000A">
        <w:rPr>
          <w:rFonts w:asciiTheme="majorBidi" w:hAnsiTheme="majorBidi" w:cstheme="majorBidi"/>
          <w:i/>
          <w:iCs/>
          <w:sz w:val="28"/>
          <w:szCs w:val="28"/>
        </w:rPr>
        <w:t>Continuity of Essential Health Services in the Context of COVID-19</w:t>
      </w:r>
      <w:r w:rsidRPr="009F000A">
        <w:rPr>
          <w:rFonts w:asciiTheme="majorBidi" w:hAnsiTheme="majorBidi" w:cstheme="majorBidi"/>
          <w:sz w:val="28"/>
          <w:szCs w:val="28"/>
        </w:rPr>
        <w:t>.</w:t>
      </w:r>
    </w:p>
    <w:p w14:paraId="7A22A437" w14:textId="77777777" w:rsidR="00C553FF" w:rsidRDefault="00C553FF" w:rsidP="002C3FA6">
      <w:pPr>
        <w:pStyle w:val="a6"/>
        <w:numPr>
          <w:ilvl w:val="0"/>
          <w:numId w:val="8"/>
        </w:numPr>
        <w:bidi w:val="0"/>
        <w:jc w:val="both"/>
        <w:rPr>
          <w:rFonts w:asciiTheme="majorBidi" w:hAnsiTheme="majorBidi" w:cstheme="majorBidi"/>
          <w:sz w:val="28"/>
          <w:szCs w:val="28"/>
        </w:rPr>
      </w:pPr>
      <w:proofErr w:type="spellStart"/>
      <w:r w:rsidRPr="009F000A">
        <w:rPr>
          <w:rFonts w:asciiTheme="majorBidi" w:hAnsiTheme="majorBidi" w:cstheme="majorBidi"/>
          <w:sz w:val="28"/>
          <w:szCs w:val="28"/>
        </w:rPr>
        <w:t>Hokororo</w:t>
      </w:r>
      <w:proofErr w:type="spellEnd"/>
      <w:r w:rsidRPr="009F000A">
        <w:rPr>
          <w:rFonts w:asciiTheme="majorBidi" w:hAnsiTheme="majorBidi" w:cstheme="majorBidi"/>
          <w:sz w:val="28"/>
          <w:szCs w:val="28"/>
        </w:rPr>
        <w:t>, J., et al. (2023). </w:t>
      </w:r>
      <w:r w:rsidRPr="009F000A">
        <w:rPr>
          <w:rFonts w:asciiTheme="majorBidi" w:hAnsiTheme="majorBidi" w:cstheme="majorBidi"/>
          <w:i/>
          <w:iCs/>
          <w:sz w:val="28"/>
          <w:szCs w:val="28"/>
        </w:rPr>
        <w:t>Continuity of Essential Health Services amidst COVID-19 Pandemic in Tanzania: A Pre and Post Implementation Support Assessment</w:t>
      </w:r>
      <w:r w:rsidRPr="009F000A">
        <w:rPr>
          <w:rFonts w:asciiTheme="majorBidi" w:hAnsiTheme="majorBidi" w:cstheme="majorBidi"/>
          <w:sz w:val="28"/>
          <w:szCs w:val="28"/>
        </w:rPr>
        <w:t>.</w:t>
      </w:r>
    </w:p>
    <w:p w14:paraId="5501F25E" w14:textId="77777777" w:rsidR="00B94475" w:rsidRPr="009F000A" w:rsidRDefault="00B94475" w:rsidP="00B94475">
      <w:pPr>
        <w:pStyle w:val="a6"/>
        <w:bidi w:val="0"/>
        <w:ind w:left="502"/>
        <w:jc w:val="both"/>
        <w:rPr>
          <w:rFonts w:asciiTheme="majorBidi" w:hAnsiTheme="majorBidi" w:cstheme="majorBidi"/>
          <w:sz w:val="28"/>
          <w:szCs w:val="28"/>
        </w:rPr>
      </w:pPr>
    </w:p>
    <w:p w14:paraId="23CDE773" w14:textId="77777777" w:rsidR="00C553FF" w:rsidRPr="009F000A" w:rsidRDefault="00C553FF" w:rsidP="00C553FF">
      <w:pPr>
        <w:jc w:val="both"/>
        <w:rPr>
          <w:rFonts w:asciiTheme="majorBidi" w:hAnsiTheme="majorBidi" w:cstheme="majorBidi"/>
          <w:sz w:val="28"/>
          <w:szCs w:val="28"/>
          <w:rtl/>
        </w:rPr>
      </w:pPr>
    </w:p>
    <w:sectPr w:rsidR="00C553FF" w:rsidRPr="009F000A" w:rsidSect="009A4D19">
      <w:footerReference w:type="even" r:id="rId7"/>
      <w:footerReference w:type="default" r:id="rId8"/>
      <w:pgSz w:w="11906" w:h="16838"/>
      <w:pgMar w:top="1440" w:right="1800" w:bottom="1440" w:left="180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1C9B1" w14:textId="77777777" w:rsidR="000E5D10" w:rsidRDefault="000E5D10" w:rsidP="00C553FF">
      <w:pPr>
        <w:spacing w:after="0" w:line="240" w:lineRule="auto"/>
      </w:pPr>
      <w:r>
        <w:separator/>
      </w:r>
    </w:p>
  </w:endnote>
  <w:endnote w:type="continuationSeparator" w:id="0">
    <w:p w14:paraId="0B6D8CA7" w14:textId="77777777" w:rsidR="000E5D10" w:rsidRDefault="000E5D10" w:rsidP="00C55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1697810519"/>
      <w:docPartObj>
        <w:docPartGallery w:val="Page Numbers (Bottom of Page)"/>
        <w:docPartUnique/>
      </w:docPartObj>
    </w:sdtPr>
    <w:sdtContent>
      <w:p w14:paraId="1BC4A2AE" w14:textId="0FCC7B0E" w:rsidR="00C553FF" w:rsidRDefault="00C553FF" w:rsidP="004E0233">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303FD46A" w14:textId="77777777" w:rsidR="00C553FF" w:rsidRDefault="00C553F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1722399905"/>
      <w:docPartObj>
        <w:docPartGallery w:val="Page Numbers (Bottom of Page)"/>
        <w:docPartUnique/>
      </w:docPartObj>
    </w:sdtPr>
    <w:sdtContent>
      <w:p w14:paraId="29AFEE29" w14:textId="3733D342" w:rsidR="00C553FF" w:rsidRDefault="00C553FF" w:rsidP="004E0233">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w:t>
        </w:r>
        <w:r>
          <w:rPr>
            <w:rStyle w:val="ac"/>
            <w:rtl/>
          </w:rPr>
          <w:fldChar w:fldCharType="end"/>
        </w:r>
      </w:p>
    </w:sdtContent>
  </w:sdt>
  <w:p w14:paraId="3475E3C6" w14:textId="77777777" w:rsidR="00C553FF" w:rsidRDefault="00C553F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E116D" w14:textId="77777777" w:rsidR="000E5D10" w:rsidRDefault="000E5D10" w:rsidP="00C553FF">
      <w:pPr>
        <w:spacing w:after="0" w:line="240" w:lineRule="auto"/>
      </w:pPr>
      <w:r>
        <w:separator/>
      </w:r>
    </w:p>
  </w:footnote>
  <w:footnote w:type="continuationSeparator" w:id="0">
    <w:p w14:paraId="1B8A9972" w14:textId="77777777" w:rsidR="000E5D10" w:rsidRDefault="000E5D10" w:rsidP="00C55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40920"/>
    <w:multiLevelType w:val="hybridMultilevel"/>
    <w:tmpl w:val="7968FED2"/>
    <w:lvl w:ilvl="0" w:tplc="FFFFFFF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734F67"/>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159C8"/>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F96FCA"/>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D5190E"/>
    <w:multiLevelType w:val="multilevel"/>
    <w:tmpl w:val="A54CD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E0399"/>
    <w:multiLevelType w:val="hybridMultilevel"/>
    <w:tmpl w:val="8482FE66"/>
    <w:lvl w:ilvl="0" w:tplc="FFFFFFF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95049F"/>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D3E02"/>
    <w:multiLevelType w:val="hybridMultilevel"/>
    <w:tmpl w:val="F67A6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A1084"/>
    <w:multiLevelType w:val="multilevel"/>
    <w:tmpl w:val="7708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576AC"/>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3E6F81"/>
    <w:multiLevelType w:val="hybridMultilevel"/>
    <w:tmpl w:val="088AE548"/>
    <w:lvl w:ilvl="0" w:tplc="FFFFFFF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23730B"/>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41168E"/>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5C232F"/>
    <w:multiLevelType w:val="hybridMultilevel"/>
    <w:tmpl w:val="13948A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323B84"/>
    <w:multiLevelType w:val="hybridMultilevel"/>
    <w:tmpl w:val="D6DEC5C8"/>
    <w:lvl w:ilvl="0" w:tplc="FFFFFFF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052338"/>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E178A4"/>
    <w:multiLevelType w:val="multilevel"/>
    <w:tmpl w:val="F434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BE7C60"/>
    <w:multiLevelType w:val="multilevel"/>
    <w:tmpl w:val="8B9E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F4CDC"/>
    <w:multiLevelType w:val="multilevel"/>
    <w:tmpl w:val="A258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D152C"/>
    <w:multiLevelType w:val="multilevel"/>
    <w:tmpl w:val="CD1E8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D31142"/>
    <w:multiLevelType w:val="multilevel"/>
    <w:tmpl w:val="EF38E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999406">
    <w:abstractNumId w:val="18"/>
  </w:num>
  <w:num w:numId="2" w16cid:durableId="1726835975">
    <w:abstractNumId w:val="6"/>
  </w:num>
  <w:num w:numId="3" w16cid:durableId="826046782">
    <w:abstractNumId w:val="11"/>
  </w:num>
  <w:num w:numId="4" w16cid:durableId="1242255848">
    <w:abstractNumId w:val="20"/>
  </w:num>
  <w:num w:numId="5" w16cid:durableId="1649091035">
    <w:abstractNumId w:val="15"/>
  </w:num>
  <w:num w:numId="6" w16cid:durableId="2044790331">
    <w:abstractNumId w:val="7"/>
  </w:num>
  <w:num w:numId="7" w16cid:durableId="154758731">
    <w:abstractNumId w:val="13"/>
  </w:num>
  <w:num w:numId="8" w16cid:durableId="785273726">
    <w:abstractNumId w:val="10"/>
  </w:num>
  <w:num w:numId="9" w16cid:durableId="683360029">
    <w:abstractNumId w:val="14"/>
  </w:num>
  <w:num w:numId="10" w16cid:durableId="889339758">
    <w:abstractNumId w:val="0"/>
  </w:num>
  <w:num w:numId="11" w16cid:durableId="1853300243">
    <w:abstractNumId w:val="16"/>
  </w:num>
  <w:num w:numId="12" w16cid:durableId="246502429">
    <w:abstractNumId w:val="19"/>
  </w:num>
  <w:num w:numId="13" w16cid:durableId="1540893188">
    <w:abstractNumId w:val="1"/>
  </w:num>
  <w:num w:numId="14" w16cid:durableId="1911383324">
    <w:abstractNumId w:val="9"/>
  </w:num>
  <w:num w:numId="15" w16cid:durableId="2079395677">
    <w:abstractNumId w:val="12"/>
  </w:num>
  <w:num w:numId="16" w16cid:durableId="526527633">
    <w:abstractNumId w:val="2"/>
  </w:num>
  <w:num w:numId="17" w16cid:durableId="464006751">
    <w:abstractNumId w:val="5"/>
  </w:num>
  <w:num w:numId="18" w16cid:durableId="833226585">
    <w:abstractNumId w:val="17"/>
  </w:num>
  <w:num w:numId="19" w16cid:durableId="1159733906">
    <w:abstractNumId w:val="4"/>
  </w:num>
  <w:num w:numId="20" w16cid:durableId="1562205359">
    <w:abstractNumId w:val="8"/>
  </w:num>
  <w:num w:numId="21" w16cid:durableId="1781604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D19"/>
    <w:rsid w:val="00003038"/>
    <w:rsid w:val="000E1FBA"/>
    <w:rsid w:val="000E5D10"/>
    <w:rsid w:val="00275572"/>
    <w:rsid w:val="002C3FA6"/>
    <w:rsid w:val="00303288"/>
    <w:rsid w:val="003672E2"/>
    <w:rsid w:val="004879E0"/>
    <w:rsid w:val="005E6B86"/>
    <w:rsid w:val="006E14E6"/>
    <w:rsid w:val="006F1AB8"/>
    <w:rsid w:val="00752E9E"/>
    <w:rsid w:val="00792A11"/>
    <w:rsid w:val="00863BDA"/>
    <w:rsid w:val="009073C1"/>
    <w:rsid w:val="009A4D19"/>
    <w:rsid w:val="009B084A"/>
    <w:rsid w:val="009F000A"/>
    <w:rsid w:val="00B02D3F"/>
    <w:rsid w:val="00B94475"/>
    <w:rsid w:val="00C2371D"/>
    <w:rsid w:val="00C553FF"/>
    <w:rsid w:val="00DB609E"/>
    <w:rsid w:val="00DF66DD"/>
    <w:rsid w:val="00F16C26"/>
    <w:rsid w:val="00F300F0"/>
    <w:rsid w:val="00F91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4844"/>
  <w15:chartTrackingRefBased/>
  <w15:docId w15:val="{2586A6F9-DCE8-6E4A-8B83-57EC44B2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A4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A4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A4D1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A4D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A4D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A4D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A4D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A4D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A4D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A4D1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A4D1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A4D1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A4D1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A4D19"/>
    <w:rPr>
      <w:rFonts w:eastAsiaTheme="majorEastAsia" w:cstheme="majorBidi"/>
      <w:color w:val="0F4761" w:themeColor="accent1" w:themeShade="BF"/>
    </w:rPr>
  </w:style>
  <w:style w:type="character" w:customStyle="1" w:styleId="6Char">
    <w:name w:val="عنوان 6 Char"/>
    <w:basedOn w:val="a0"/>
    <w:link w:val="6"/>
    <w:uiPriority w:val="9"/>
    <w:semiHidden/>
    <w:rsid w:val="009A4D19"/>
    <w:rPr>
      <w:rFonts w:eastAsiaTheme="majorEastAsia" w:cstheme="majorBidi"/>
      <w:i/>
      <w:iCs/>
      <w:color w:val="595959" w:themeColor="text1" w:themeTint="A6"/>
    </w:rPr>
  </w:style>
  <w:style w:type="character" w:customStyle="1" w:styleId="7Char">
    <w:name w:val="عنوان 7 Char"/>
    <w:basedOn w:val="a0"/>
    <w:link w:val="7"/>
    <w:uiPriority w:val="9"/>
    <w:semiHidden/>
    <w:rsid w:val="009A4D19"/>
    <w:rPr>
      <w:rFonts w:eastAsiaTheme="majorEastAsia" w:cstheme="majorBidi"/>
      <w:color w:val="595959" w:themeColor="text1" w:themeTint="A6"/>
    </w:rPr>
  </w:style>
  <w:style w:type="character" w:customStyle="1" w:styleId="8Char">
    <w:name w:val="عنوان 8 Char"/>
    <w:basedOn w:val="a0"/>
    <w:link w:val="8"/>
    <w:uiPriority w:val="9"/>
    <w:semiHidden/>
    <w:rsid w:val="009A4D19"/>
    <w:rPr>
      <w:rFonts w:eastAsiaTheme="majorEastAsia" w:cstheme="majorBidi"/>
      <w:i/>
      <w:iCs/>
      <w:color w:val="272727" w:themeColor="text1" w:themeTint="D8"/>
    </w:rPr>
  </w:style>
  <w:style w:type="character" w:customStyle="1" w:styleId="9Char">
    <w:name w:val="عنوان 9 Char"/>
    <w:basedOn w:val="a0"/>
    <w:link w:val="9"/>
    <w:uiPriority w:val="9"/>
    <w:semiHidden/>
    <w:rsid w:val="009A4D19"/>
    <w:rPr>
      <w:rFonts w:eastAsiaTheme="majorEastAsia" w:cstheme="majorBidi"/>
      <w:color w:val="272727" w:themeColor="text1" w:themeTint="D8"/>
    </w:rPr>
  </w:style>
  <w:style w:type="paragraph" w:styleId="a3">
    <w:name w:val="Title"/>
    <w:basedOn w:val="a"/>
    <w:next w:val="a"/>
    <w:link w:val="Char"/>
    <w:uiPriority w:val="10"/>
    <w:qFormat/>
    <w:rsid w:val="009A4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A4D1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A4D1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A4D1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A4D19"/>
    <w:pPr>
      <w:spacing w:before="160"/>
      <w:jc w:val="center"/>
    </w:pPr>
    <w:rPr>
      <w:i/>
      <w:iCs/>
      <w:color w:val="404040" w:themeColor="text1" w:themeTint="BF"/>
    </w:rPr>
  </w:style>
  <w:style w:type="character" w:customStyle="1" w:styleId="Char1">
    <w:name w:val="اقتباس Char"/>
    <w:basedOn w:val="a0"/>
    <w:link w:val="a5"/>
    <w:uiPriority w:val="29"/>
    <w:rsid w:val="009A4D19"/>
    <w:rPr>
      <w:i/>
      <w:iCs/>
      <w:color w:val="404040" w:themeColor="text1" w:themeTint="BF"/>
    </w:rPr>
  </w:style>
  <w:style w:type="paragraph" w:styleId="a6">
    <w:name w:val="List Paragraph"/>
    <w:basedOn w:val="a"/>
    <w:uiPriority w:val="34"/>
    <w:qFormat/>
    <w:rsid w:val="009A4D19"/>
    <w:pPr>
      <w:ind w:left="720"/>
      <w:contextualSpacing/>
    </w:pPr>
  </w:style>
  <w:style w:type="character" w:styleId="a7">
    <w:name w:val="Intense Emphasis"/>
    <w:basedOn w:val="a0"/>
    <w:uiPriority w:val="21"/>
    <w:qFormat/>
    <w:rsid w:val="009A4D19"/>
    <w:rPr>
      <w:i/>
      <w:iCs/>
      <w:color w:val="0F4761" w:themeColor="accent1" w:themeShade="BF"/>
    </w:rPr>
  </w:style>
  <w:style w:type="paragraph" w:styleId="a8">
    <w:name w:val="Intense Quote"/>
    <w:basedOn w:val="a"/>
    <w:next w:val="a"/>
    <w:link w:val="Char2"/>
    <w:uiPriority w:val="30"/>
    <w:qFormat/>
    <w:rsid w:val="009A4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A4D19"/>
    <w:rPr>
      <w:i/>
      <w:iCs/>
      <w:color w:val="0F4761" w:themeColor="accent1" w:themeShade="BF"/>
    </w:rPr>
  </w:style>
  <w:style w:type="character" w:styleId="a9">
    <w:name w:val="Intense Reference"/>
    <w:basedOn w:val="a0"/>
    <w:uiPriority w:val="32"/>
    <w:qFormat/>
    <w:rsid w:val="009A4D19"/>
    <w:rPr>
      <w:b/>
      <w:bCs/>
      <w:smallCaps/>
      <w:color w:val="0F4761" w:themeColor="accent1" w:themeShade="BF"/>
      <w:spacing w:val="5"/>
    </w:rPr>
  </w:style>
  <w:style w:type="character" w:styleId="Hyperlink">
    <w:name w:val="Hyperlink"/>
    <w:basedOn w:val="a0"/>
    <w:uiPriority w:val="99"/>
    <w:unhideWhenUsed/>
    <w:rsid w:val="006E14E6"/>
    <w:rPr>
      <w:color w:val="467886" w:themeColor="hyperlink"/>
      <w:u w:val="single"/>
    </w:rPr>
  </w:style>
  <w:style w:type="character" w:styleId="aa">
    <w:name w:val="Unresolved Mention"/>
    <w:basedOn w:val="a0"/>
    <w:uiPriority w:val="99"/>
    <w:semiHidden/>
    <w:unhideWhenUsed/>
    <w:rsid w:val="006E14E6"/>
    <w:rPr>
      <w:color w:val="605E5C"/>
      <w:shd w:val="clear" w:color="auto" w:fill="E1DFDD"/>
    </w:rPr>
  </w:style>
  <w:style w:type="paragraph" w:styleId="ab">
    <w:name w:val="footer"/>
    <w:basedOn w:val="a"/>
    <w:link w:val="Char3"/>
    <w:uiPriority w:val="99"/>
    <w:unhideWhenUsed/>
    <w:rsid w:val="00C553FF"/>
    <w:pPr>
      <w:tabs>
        <w:tab w:val="center" w:pos="4153"/>
        <w:tab w:val="right" w:pos="8306"/>
      </w:tabs>
      <w:spacing w:after="0" w:line="240" w:lineRule="auto"/>
    </w:pPr>
  </w:style>
  <w:style w:type="character" w:customStyle="1" w:styleId="Char3">
    <w:name w:val="تذييل الصفحة Char"/>
    <w:basedOn w:val="a0"/>
    <w:link w:val="ab"/>
    <w:uiPriority w:val="99"/>
    <w:rsid w:val="00C553FF"/>
  </w:style>
  <w:style w:type="character" w:styleId="ac">
    <w:name w:val="page number"/>
    <w:basedOn w:val="a0"/>
    <w:uiPriority w:val="99"/>
    <w:semiHidden/>
    <w:unhideWhenUsed/>
    <w:rsid w:val="00C553FF"/>
  </w:style>
  <w:style w:type="paragraph" w:styleId="ad">
    <w:name w:val="Normal (Web)"/>
    <w:basedOn w:val="a"/>
    <w:uiPriority w:val="99"/>
    <w:semiHidden/>
    <w:unhideWhenUsed/>
    <w:rsid w:val="00B9447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a0"/>
    <w:rsid w:val="00B94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7886">
      <w:bodyDiv w:val="1"/>
      <w:marLeft w:val="0"/>
      <w:marRight w:val="0"/>
      <w:marTop w:val="0"/>
      <w:marBottom w:val="0"/>
      <w:divBdr>
        <w:top w:val="none" w:sz="0" w:space="0" w:color="auto"/>
        <w:left w:val="none" w:sz="0" w:space="0" w:color="auto"/>
        <w:bottom w:val="none" w:sz="0" w:space="0" w:color="auto"/>
        <w:right w:val="none" w:sz="0" w:space="0" w:color="auto"/>
      </w:divBdr>
    </w:div>
    <w:div w:id="24599987">
      <w:bodyDiv w:val="1"/>
      <w:marLeft w:val="0"/>
      <w:marRight w:val="0"/>
      <w:marTop w:val="0"/>
      <w:marBottom w:val="0"/>
      <w:divBdr>
        <w:top w:val="none" w:sz="0" w:space="0" w:color="auto"/>
        <w:left w:val="none" w:sz="0" w:space="0" w:color="auto"/>
        <w:bottom w:val="none" w:sz="0" w:space="0" w:color="auto"/>
        <w:right w:val="none" w:sz="0" w:space="0" w:color="auto"/>
      </w:divBdr>
    </w:div>
    <w:div w:id="43144091">
      <w:bodyDiv w:val="1"/>
      <w:marLeft w:val="0"/>
      <w:marRight w:val="0"/>
      <w:marTop w:val="0"/>
      <w:marBottom w:val="0"/>
      <w:divBdr>
        <w:top w:val="none" w:sz="0" w:space="0" w:color="auto"/>
        <w:left w:val="none" w:sz="0" w:space="0" w:color="auto"/>
        <w:bottom w:val="none" w:sz="0" w:space="0" w:color="auto"/>
        <w:right w:val="none" w:sz="0" w:space="0" w:color="auto"/>
      </w:divBdr>
    </w:div>
    <w:div w:id="61611272">
      <w:bodyDiv w:val="1"/>
      <w:marLeft w:val="0"/>
      <w:marRight w:val="0"/>
      <w:marTop w:val="0"/>
      <w:marBottom w:val="0"/>
      <w:divBdr>
        <w:top w:val="none" w:sz="0" w:space="0" w:color="auto"/>
        <w:left w:val="none" w:sz="0" w:space="0" w:color="auto"/>
        <w:bottom w:val="none" w:sz="0" w:space="0" w:color="auto"/>
        <w:right w:val="none" w:sz="0" w:space="0" w:color="auto"/>
      </w:divBdr>
    </w:div>
    <w:div w:id="64692270">
      <w:bodyDiv w:val="1"/>
      <w:marLeft w:val="0"/>
      <w:marRight w:val="0"/>
      <w:marTop w:val="0"/>
      <w:marBottom w:val="0"/>
      <w:divBdr>
        <w:top w:val="none" w:sz="0" w:space="0" w:color="auto"/>
        <w:left w:val="none" w:sz="0" w:space="0" w:color="auto"/>
        <w:bottom w:val="none" w:sz="0" w:space="0" w:color="auto"/>
        <w:right w:val="none" w:sz="0" w:space="0" w:color="auto"/>
      </w:divBdr>
    </w:div>
    <w:div w:id="86536442">
      <w:bodyDiv w:val="1"/>
      <w:marLeft w:val="0"/>
      <w:marRight w:val="0"/>
      <w:marTop w:val="0"/>
      <w:marBottom w:val="0"/>
      <w:divBdr>
        <w:top w:val="none" w:sz="0" w:space="0" w:color="auto"/>
        <w:left w:val="none" w:sz="0" w:space="0" w:color="auto"/>
        <w:bottom w:val="none" w:sz="0" w:space="0" w:color="auto"/>
        <w:right w:val="none" w:sz="0" w:space="0" w:color="auto"/>
      </w:divBdr>
    </w:div>
    <w:div w:id="95446378">
      <w:bodyDiv w:val="1"/>
      <w:marLeft w:val="0"/>
      <w:marRight w:val="0"/>
      <w:marTop w:val="0"/>
      <w:marBottom w:val="0"/>
      <w:divBdr>
        <w:top w:val="none" w:sz="0" w:space="0" w:color="auto"/>
        <w:left w:val="none" w:sz="0" w:space="0" w:color="auto"/>
        <w:bottom w:val="none" w:sz="0" w:space="0" w:color="auto"/>
        <w:right w:val="none" w:sz="0" w:space="0" w:color="auto"/>
      </w:divBdr>
    </w:div>
    <w:div w:id="119228049">
      <w:bodyDiv w:val="1"/>
      <w:marLeft w:val="0"/>
      <w:marRight w:val="0"/>
      <w:marTop w:val="0"/>
      <w:marBottom w:val="0"/>
      <w:divBdr>
        <w:top w:val="none" w:sz="0" w:space="0" w:color="auto"/>
        <w:left w:val="none" w:sz="0" w:space="0" w:color="auto"/>
        <w:bottom w:val="none" w:sz="0" w:space="0" w:color="auto"/>
        <w:right w:val="none" w:sz="0" w:space="0" w:color="auto"/>
      </w:divBdr>
    </w:div>
    <w:div w:id="128594707">
      <w:bodyDiv w:val="1"/>
      <w:marLeft w:val="0"/>
      <w:marRight w:val="0"/>
      <w:marTop w:val="0"/>
      <w:marBottom w:val="0"/>
      <w:divBdr>
        <w:top w:val="none" w:sz="0" w:space="0" w:color="auto"/>
        <w:left w:val="none" w:sz="0" w:space="0" w:color="auto"/>
        <w:bottom w:val="none" w:sz="0" w:space="0" w:color="auto"/>
        <w:right w:val="none" w:sz="0" w:space="0" w:color="auto"/>
      </w:divBdr>
    </w:div>
    <w:div w:id="128866569">
      <w:bodyDiv w:val="1"/>
      <w:marLeft w:val="0"/>
      <w:marRight w:val="0"/>
      <w:marTop w:val="0"/>
      <w:marBottom w:val="0"/>
      <w:divBdr>
        <w:top w:val="none" w:sz="0" w:space="0" w:color="auto"/>
        <w:left w:val="none" w:sz="0" w:space="0" w:color="auto"/>
        <w:bottom w:val="none" w:sz="0" w:space="0" w:color="auto"/>
        <w:right w:val="none" w:sz="0" w:space="0" w:color="auto"/>
      </w:divBdr>
    </w:div>
    <w:div w:id="143744890">
      <w:bodyDiv w:val="1"/>
      <w:marLeft w:val="0"/>
      <w:marRight w:val="0"/>
      <w:marTop w:val="0"/>
      <w:marBottom w:val="0"/>
      <w:divBdr>
        <w:top w:val="none" w:sz="0" w:space="0" w:color="auto"/>
        <w:left w:val="none" w:sz="0" w:space="0" w:color="auto"/>
        <w:bottom w:val="none" w:sz="0" w:space="0" w:color="auto"/>
        <w:right w:val="none" w:sz="0" w:space="0" w:color="auto"/>
      </w:divBdr>
    </w:div>
    <w:div w:id="205727460">
      <w:bodyDiv w:val="1"/>
      <w:marLeft w:val="0"/>
      <w:marRight w:val="0"/>
      <w:marTop w:val="0"/>
      <w:marBottom w:val="0"/>
      <w:divBdr>
        <w:top w:val="none" w:sz="0" w:space="0" w:color="auto"/>
        <w:left w:val="none" w:sz="0" w:space="0" w:color="auto"/>
        <w:bottom w:val="none" w:sz="0" w:space="0" w:color="auto"/>
        <w:right w:val="none" w:sz="0" w:space="0" w:color="auto"/>
      </w:divBdr>
    </w:div>
    <w:div w:id="228617967">
      <w:bodyDiv w:val="1"/>
      <w:marLeft w:val="0"/>
      <w:marRight w:val="0"/>
      <w:marTop w:val="0"/>
      <w:marBottom w:val="0"/>
      <w:divBdr>
        <w:top w:val="none" w:sz="0" w:space="0" w:color="auto"/>
        <w:left w:val="none" w:sz="0" w:space="0" w:color="auto"/>
        <w:bottom w:val="none" w:sz="0" w:space="0" w:color="auto"/>
        <w:right w:val="none" w:sz="0" w:space="0" w:color="auto"/>
      </w:divBdr>
    </w:div>
    <w:div w:id="253327153">
      <w:bodyDiv w:val="1"/>
      <w:marLeft w:val="0"/>
      <w:marRight w:val="0"/>
      <w:marTop w:val="0"/>
      <w:marBottom w:val="0"/>
      <w:divBdr>
        <w:top w:val="none" w:sz="0" w:space="0" w:color="auto"/>
        <w:left w:val="none" w:sz="0" w:space="0" w:color="auto"/>
        <w:bottom w:val="none" w:sz="0" w:space="0" w:color="auto"/>
        <w:right w:val="none" w:sz="0" w:space="0" w:color="auto"/>
      </w:divBdr>
    </w:div>
    <w:div w:id="277563947">
      <w:bodyDiv w:val="1"/>
      <w:marLeft w:val="0"/>
      <w:marRight w:val="0"/>
      <w:marTop w:val="0"/>
      <w:marBottom w:val="0"/>
      <w:divBdr>
        <w:top w:val="none" w:sz="0" w:space="0" w:color="auto"/>
        <w:left w:val="none" w:sz="0" w:space="0" w:color="auto"/>
        <w:bottom w:val="none" w:sz="0" w:space="0" w:color="auto"/>
        <w:right w:val="none" w:sz="0" w:space="0" w:color="auto"/>
      </w:divBdr>
    </w:div>
    <w:div w:id="283660224">
      <w:bodyDiv w:val="1"/>
      <w:marLeft w:val="0"/>
      <w:marRight w:val="0"/>
      <w:marTop w:val="0"/>
      <w:marBottom w:val="0"/>
      <w:divBdr>
        <w:top w:val="none" w:sz="0" w:space="0" w:color="auto"/>
        <w:left w:val="none" w:sz="0" w:space="0" w:color="auto"/>
        <w:bottom w:val="none" w:sz="0" w:space="0" w:color="auto"/>
        <w:right w:val="none" w:sz="0" w:space="0" w:color="auto"/>
      </w:divBdr>
    </w:div>
    <w:div w:id="289480055">
      <w:bodyDiv w:val="1"/>
      <w:marLeft w:val="0"/>
      <w:marRight w:val="0"/>
      <w:marTop w:val="0"/>
      <w:marBottom w:val="0"/>
      <w:divBdr>
        <w:top w:val="none" w:sz="0" w:space="0" w:color="auto"/>
        <w:left w:val="none" w:sz="0" w:space="0" w:color="auto"/>
        <w:bottom w:val="none" w:sz="0" w:space="0" w:color="auto"/>
        <w:right w:val="none" w:sz="0" w:space="0" w:color="auto"/>
      </w:divBdr>
    </w:div>
    <w:div w:id="297952289">
      <w:bodyDiv w:val="1"/>
      <w:marLeft w:val="0"/>
      <w:marRight w:val="0"/>
      <w:marTop w:val="0"/>
      <w:marBottom w:val="0"/>
      <w:divBdr>
        <w:top w:val="none" w:sz="0" w:space="0" w:color="auto"/>
        <w:left w:val="none" w:sz="0" w:space="0" w:color="auto"/>
        <w:bottom w:val="none" w:sz="0" w:space="0" w:color="auto"/>
        <w:right w:val="none" w:sz="0" w:space="0" w:color="auto"/>
      </w:divBdr>
    </w:div>
    <w:div w:id="304048232">
      <w:bodyDiv w:val="1"/>
      <w:marLeft w:val="0"/>
      <w:marRight w:val="0"/>
      <w:marTop w:val="0"/>
      <w:marBottom w:val="0"/>
      <w:divBdr>
        <w:top w:val="none" w:sz="0" w:space="0" w:color="auto"/>
        <w:left w:val="none" w:sz="0" w:space="0" w:color="auto"/>
        <w:bottom w:val="none" w:sz="0" w:space="0" w:color="auto"/>
        <w:right w:val="none" w:sz="0" w:space="0" w:color="auto"/>
      </w:divBdr>
    </w:div>
    <w:div w:id="340816494">
      <w:bodyDiv w:val="1"/>
      <w:marLeft w:val="0"/>
      <w:marRight w:val="0"/>
      <w:marTop w:val="0"/>
      <w:marBottom w:val="0"/>
      <w:divBdr>
        <w:top w:val="none" w:sz="0" w:space="0" w:color="auto"/>
        <w:left w:val="none" w:sz="0" w:space="0" w:color="auto"/>
        <w:bottom w:val="none" w:sz="0" w:space="0" w:color="auto"/>
        <w:right w:val="none" w:sz="0" w:space="0" w:color="auto"/>
      </w:divBdr>
    </w:div>
    <w:div w:id="350453484">
      <w:bodyDiv w:val="1"/>
      <w:marLeft w:val="0"/>
      <w:marRight w:val="0"/>
      <w:marTop w:val="0"/>
      <w:marBottom w:val="0"/>
      <w:divBdr>
        <w:top w:val="none" w:sz="0" w:space="0" w:color="auto"/>
        <w:left w:val="none" w:sz="0" w:space="0" w:color="auto"/>
        <w:bottom w:val="none" w:sz="0" w:space="0" w:color="auto"/>
        <w:right w:val="none" w:sz="0" w:space="0" w:color="auto"/>
      </w:divBdr>
    </w:div>
    <w:div w:id="351996126">
      <w:bodyDiv w:val="1"/>
      <w:marLeft w:val="0"/>
      <w:marRight w:val="0"/>
      <w:marTop w:val="0"/>
      <w:marBottom w:val="0"/>
      <w:divBdr>
        <w:top w:val="none" w:sz="0" w:space="0" w:color="auto"/>
        <w:left w:val="none" w:sz="0" w:space="0" w:color="auto"/>
        <w:bottom w:val="none" w:sz="0" w:space="0" w:color="auto"/>
        <w:right w:val="none" w:sz="0" w:space="0" w:color="auto"/>
      </w:divBdr>
    </w:div>
    <w:div w:id="357051645">
      <w:bodyDiv w:val="1"/>
      <w:marLeft w:val="0"/>
      <w:marRight w:val="0"/>
      <w:marTop w:val="0"/>
      <w:marBottom w:val="0"/>
      <w:divBdr>
        <w:top w:val="none" w:sz="0" w:space="0" w:color="auto"/>
        <w:left w:val="none" w:sz="0" w:space="0" w:color="auto"/>
        <w:bottom w:val="none" w:sz="0" w:space="0" w:color="auto"/>
        <w:right w:val="none" w:sz="0" w:space="0" w:color="auto"/>
      </w:divBdr>
    </w:div>
    <w:div w:id="397627768">
      <w:bodyDiv w:val="1"/>
      <w:marLeft w:val="0"/>
      <w:marRight w:val="0"/>
      <w:marTop w:val="0"/>
      <w:marBottom w:val="0"/>
      <w:divBdr>
        <w:top w:val="none" w:sz="0" w:space="0" w:color="auto"/>
        <w:left w:val="none" w:sz="0" w:space="0" w:color="auto"/>
        <w:bottom w:val="none" w:sz="0" w:space="0" w:color="auto"/>
        <w:right w:val="none" w:sz="0" w:space="0" w:color="auto"/>
      </w:divBdr>
    </w:div>
    <w:div w:id="419176659">
      <w:bodyDiv w:val="1"/>
      <w:marLeft w:val="0"/>
      <w:marRight w:val="0"/>
      <w:marTop w:val="0"/>
      <w:marBottom w:val="0"/>
      <w:divBdr>
        <w:top w:val="none" w:sz="0" w:space="0" w:color="auto"/>
        <w:left w:val="none" w:sz="0" w:space="0" w:color="auto"/>
        <w:bottom w:val="none" w:sz="0" w:space="0" w:color="auto"/>
        <w:right w:val="none" w:sz="0" w:space="0" w:color="auto"/>
      </w:divBdr>
    </w:div>
    <w:div w:id="420877158">
      <w:bodyDiv w:val="1"/>
      <w:marLeft w:val="0"/>
      <w:marRight w:val="0"/>
      <w:marTop w:val="0"/>
      <w:marBottom w:val="0"/>
      <w:divBdr>
        <w:top w:val="none" w:sz="0" w:space="0" w:color="auto"/>
        <w:left w:val="none" w:sz="0" w:space="0" w:color="auto"/>
        <w:bottom w:val="none" w:sz="0" w:space="0" w:color="auto"/>
        <w:right w:val="none" w:sz="0" w:space="0" w:color="auto"/>
      </w:divBdr>
    </w:div>
    <w:div w:id="456460138">
      <w:bodyDiv w:val="1"/>
      <w:marLeft w:val="0"/>
      <w:marRight w:val="0"/>
      <w:marTop w:val="0"/>
      <w:marBottom w:val="0"/>
      <w:divBdr>
        <w:top w:val="none" w:sz="0" w:space="0" w:color="auto"/>
        <w:left w:val="none" w:sz="0" w:space="0" w:color="auto"/>
        <w:bottom w:val="none" w:sz="0" w:space="0" w:color="auto"/>
        <w:right w:val="none" w:sz="0" w:space="0" w:color="auto"/>
      </w:divBdr>
    </w:div>
    <w:div w:id="468862782">
      <w:bodyDiv w:val="1"/>
      <w:marLeft w:val="0"/>
      <w:marRight w:val="0"/>
      <w:marTop w:val="0"/>
      <w:marBottom w:val="0"/>
      <w:divBdr>
        <w:top w:val="none" w:sz="0" w:space="0" w:color="auto"/>
        <w:left w:val="none" w:sz="0" w:space="0" w:color="auto"/>
        <w:bottom w:val="none" w:sz="0" w:space="0" w:color="auto"/>
        <w:right w:val="none" w:sz="0" w:space="0" w:color="auto"/>
      </w:divBdr>
    </w:div>
    <w:div w:id="508254566">
      <w:bodyDiv w:val="1"/>
      <w:marLeft w:val="0"/>
      <w:marRight w:val="0"/>
      <w:marTop w:val="0"/>
      <w:marBottom w:val="0"/>
      <w:divBdr>
        <w:top w:val="none" w:sz="0" w:space="0" w:color="auto"/>
        <w:left w:val="none" w:sz="0" w:space="0" w:color="auto"/>
        <w:bottom w:val="none" w:sz="0" w:space="0" w:color="auto"/>
        <w:right w:val="none" w:sz="0" w:space="0" w:color="auto"/>
      </w:divBdr>
    </w:div>
    <w:div w:id="636911344">
      <w:bodyDiv w:val="1"/>
      <w:marLeft w:val="0"/>
      <w:marRight w:val="0"/>
      <w:marTop w:val="0"/>
      <w:marBottom w:val="0"/>
      <w:divBdr>
        <w:top w:val="none" w:sz="0" w:space="0" w:color="auto"/>
        <w:left w:val="none" w:sz="0" w:space="0" w:color="auto"/>
        <w:bottom w:val="none" w:sz="0" w:space="0" w:color="auto"/>
        <w:right w:val="none" w:sz="0" w:space="0" w:color="auto"/>
      </w:divBdr>
    </w:div>
    <w:div w:id="696463085">
      <w:bodyDiv w:val="1"/>
      <w:marLeft w:val="0"/>
      <w:marRight w:val="0"/>
      <w:marTop w:val="0"/>
      <w:marBottom w:val="0"/>
      <w:divBdr>
        <w:top w:val="none" w:sz="0" w:space="0" w:color="auto"/>
        <w:left w:val="none" w:sz="0" w:space="0" w:color="auto"/>
        <w:bottom w:val="none" w:sz="0" w:space="0" w:color="auto"/>
        <w:right w:val="none" w:sz="0" w:space="0" w:color="auto"/>
      </w:divBdr>
    </w:div>
    <w:div w:id="711614379">
      <w:bodyDiv w:val="1"/>
      <w:marLeft w:val="0"/>
      <w:marRight w:val="0"/>
      <w:marTop w:val="0"/>
      <w:marBottom w:val="0"/>
      <w:divBdr>
        <w:top w:val="none" w:sz="0" w:space="0" w:color="auto"/>
        <w:left w:val="none" w:sz="0" w:space="0" w:color="auto"/>
        <w:bottom w:val="none" w:sz="0" w:space="0" w:color="auto"/>
        <w:right w:val="none" w:sz="0" w:space="0" w:color="auto"/>
      </w:divBdr>
    </w:div>
    <w:div w:id="716122762">
      <w:bodyDiv w:val="1"/>
      <w:marLeft w:val="0"/>
      <w:marRight w:val="0"/>
      <w:marTop w:val="0"/>
      <w:marBottom w:val="0"/>
      <w:divBdr>
        <w:top w:val="none" w:sz="0" w:space="0" w:color="auto"/>
        <w:left w:val="none" w:sz="0" w:space="0" w:color="auto"/>
        <w:bottom w:val="none" w:sz="0" w:space="0" w:color="auto"/>
        <w:right w:val="none" w:sz="0" w:space="0" w:color="auto"/>
      </w:divBdr>
    </w:div>
    <w:div w:id="745692639">
      <w:bodyDiv w:val="1"/>
      <w:marLeft w:val="0"/>
      <w:marRight w:val="0"/>
      <w:marTop w:val="0"/>
      <w:marBottom w:val="0"/>
      <w:divBdr>
        <w:top w:val="none" w:sz="0" w:space="0" w:color="auto"/>
        <w:left w:val="none" w:sz="0" w:space="0" w:color="auto"/>
        <w:bottom w:val="none" w:sz="0" w:space="0" w:color="auto"/>
        <w:right w:val="none" w:sz="0" w:space="0" w:color="auto"/>
      </w:divBdr>
    </w:div>
    <w:div w:id="786314681">
      <w:bodyDiv w:val="1"/>
      <w:marLeft w:val="0"/>
      <w:marRight w:val="0"/>
      <w:marTop w:val="0"/>
      <w:marBottom w:val="0"/>
      <w:divBdr>
        <w:top w:val="none" w:sz="0" w:space="0" w:color="auto"/>
        <w:left w:val="none" w:sz="0" w:space="0" w:color="auto"/>
        <w:bottom w:val="none" w:sz="0" w:space="0" w:color="auto"/>
        <w:right w:val="none" w:sz="0" w:space="0" w:color="auto"/>
      </w:divBdr>
    </w:div>
    <w:div w:id="793257030">
      <w:bodyDiv w:val="1"/>
      <w:marLeft w:val="0"/>
      <w:marRight w:val="0"/>
      <w:marTop w:val="0"/>
      <w:marBottom w:val="0"/>
      <w:divBdr>
        <w:top w:val="none" w:sz="0" w:space="0" w:color="auto"/>
        <w:left w:val="none" w:sz="0" w:space="0" w:color="auto"/>
        <w:bottom w:val="none" w:sz="0" w:space="0" w:color="auto"/>
        <w:right w:val="none" w:sz="0" w:space="0" w:color="auto"/>
      </w:divBdr>
    </w:div>
    <w:div w:id="805506648">
      <w:bodyDiv w:val="1"/>
      <w:marLeft w:val="0"/>
      <w:marRight w:val="0"/>
      <w:marTop w:val="0"/>
      <w:marBottom w:val="0"/>
      <w:divBdr>
        <w:top w:val="none" w:sz="0" w:space="0" w:color="auto"/>
        <w:left w:val="none" w:sz="0" w:space="0" w:color="auto"/>
        <w:bottom w:val="none" w:sz="0" w:space="0" w:color="auto"/>
        <w:right w:val="none" w:sz="0" w:space="0" w:color="auto"/>
      </w:divBdr>
    </w:div>
    <w:div w:id="855122202">
      <w:bodyDiv w:val="1"/>
      <w:marLeft w:val="0"/>
      <w:marRight w:val="0"/>
      <w:marTop w:val="0"/>
      <w:marBottom w:val="0"/>
      <w:divBdr>
        <w:top w:val="none" w:sz="0" w:space="0" w:color="auto"/>
        <w:left w:val="none" w:sz="0" w:space="0" w:color="auto"/>
        <w:bottom w:val="none" w:sz="0" w:space="0" w:color="auto"/>
        <w:right w:val="none" w:sz="0" w:space="0" w:color="auto"/>
      </w:divBdr>
    </w:div>
    <w:div w:id="888303638">
      <w:bodyDiv w:val="1"/>
      <w:marLeft w:val="0"/>
      <w:marRight w:val="0"/>
      <w:marTop w:val="0"/>
      <w:marBottom w:val="0"/>
      <w:divBdr>
        <w:top w:val="none" w:sz="0" w:space="0" w:color="auto"/>
        <w:left w:val="none" w:sz="0" w:space="0" w:color="auto"/>
        <w:bottom w:val="none" w:sz="0" w:space="0" w:color="auto"/>
        <w:right w:val="none" w:sz="0" w:space="0" w:color="auto"/>
      </w:divBdr>
    </w:div>
    <w:div w:id="893661617">
      <w:bodyDiv w:val="1"/>
      <w:marLeft w:val="0"/>
      <w:marRight w:val="0"/>
      <w:marTop w:val="0"/>
      <w:marBottom w:val="0"/>
      <w:divBdr>
        <w:top w:val="none" w:sz="0" w:space="0" w:color="auto"/>
        <w:left w:val="none" w:sz="0" w:space="0" w:color="auto"/>
        <w:bottom w:val="none" w:sz="0" w:space="0" w:color="auto"/>
        <w:right w:val="none" w:sz="0" w:space="0" w:color="auto"/>
      </w:divBdr>
    </w:div>
    <w:div w:id="900558154">
      <w:bodyDiv w:val="1"/>
      <w:marLeft w:val="0"/>
      <w:marRight w:val="0"/>
      <w:marTop w:val="0"/>
      <w:marBottom w:val="0"/>
      <w:divBdr>
        <w:top w:val="none" w:sz="0" w:space="0" w:color="auto"/>
        <w:left w:val="none" w:sz="0" w:space="0" w:color="auto"/>
        <w:bottom w:val="none" w:sz="0" w:space="0" w:color="auto"/>
        <w:right w:val="none" w:sz="0" w:space="0" w:color="auto"/>
      </w:divBdr>
    </w:div>
    <w:div w:id="919632208">
      <w:bodyDiv w:val="1"/>
      <w:marLeft w:val="0"/>
      <w:marRight w:val="0"/>
      <w:marTop w:val="0"/>
      <w:marBottom w:val="0"/>
      <w:divBdr>
        <w:top w:val="none" w:sz="0" w:space="0" w:color="auto"/>
        <w:left w:val="none" w:sz="0" w:space="0" w:color="auto"/>
        <w:bottom w:val="none" w:sz="0" w:space="0" w:color="auto"/>
        <w:right w:val="none" w:sz="0" w:space="0" w:color="auto"/>
      </w:divBdr>
    </w:div>
    <w:div w:id="943197690">
      <w:bodyDiv w:val="1"/>
      <w:marLeft w:val="0"/>
      <w:marRight w:val="0"/>
      <w:marTop w:val="0"/>
      <w:marBottom w:val="0"/>
      <w:divBdr>
        <w:top w:val="none" w:sz="0" w:space="0" w:color="auto"/>
        <w:left w:val="none" w:sz="0" w:space="0" w:color="auto"/>
        <w:bottom w:val="none" w:sz="0" w:space="0" w:color="auto"/>
        <w:right w:val="none" w:sz="0" w:space="0" w:color="auto"/>
      </w:divBdr>
    </w:div>
    <w:div w:id="956182761">
      <w:bodyDiv w:val="1"/>
      <w:marLeft w:val="0"/>
      <w:marRight w:val="0"/>
      <w:marTop w:val="0"/>
      <w:marBottom w:val="0"/>
      <w:divBdr>
        <w:top w:val="none" w:sz="0" w:space="0" w:color="auto"/>
        <w:left w:val="none" w:sz="0" w:space="0" w:color="auto"/>
        <w:bottom w:val="none" w:sz="0" w:space="0" w:color="auto"/>
        <w:right w:val="none" w:sz="0" w:space="0" w:color="auto"/>
      </w:divBdr>
    </w:div>
    <w:div w:id="998263662">
      <w:bodyDiv w:val="1"/>
      <w:marLeft w:val="0"/>
      <w:marRight w:val="0"/>
      <w:marTop w:val="0"/>
      <w:marBottom w:val="0"/>
      <w:divBdr>
        <w:top w:val="none" w:sz="0" w:space="0" w:color="auto"/>
        <w:left w:val="none" w:sz="0" w:space="0" w:color="auto"/>
        <w:bottom w:val="none" w:sz="0" w:space="0" w:color="auto"/>
        <w:right w:val="none" w:sz="0" w:space="0" w:color="auto"/>
      </w:divBdr>
    </w:div>
    <w:div w:id="1008944033">
      <w:bodyDiv w:val="1"/>
      <w:marLeft w:val="0"/>
      <w:marRight w:val="0"/>
      <w:marTop w:val="0"/>
      <w:marBottom w:val="0"/>
      <w:divBdr>
        <w:top w:val="none" w:sz="0" w:space="0" w:color="auto"/>
        <w:left w:val="none" w:sz="0" w:space="0" w:color="auto"/>
        <w:bottom w:val="none" w:sz="0" w:space="0" w:color="auto"/>
        <w:right w:val="none" w:sz="0" w:space="0" w:color="auto"/>
      </w:divBdr>
    </w:div>
    <w:div w:id="1015500638">
      <w:bodyDiv w:val="1"/>
      <w:marLeft w:val="0"/>
      <w:marRight w:val="0"/>
      <w:marTop w:val="0"/>
      <w:marBottom w:val="0"/>
      <w:divBdr>
        <w:top w:val="none" w:sz="0" w:space="0" w:color="auto"/>
        <w:left w:val="none" w:sz="0" w:space="0" w:color="auto"/>
        <w:bottom w:val="none" w:sz="0" w:space="0" w:color="auto"/>
        <w:right w:val="none" w:sz="0" w:space="0" w:color="auto"/>
      </w:divBdr>
    </w:div>
    <w:div w:id="1036394845">
      <w:bodyDiv w:val="1"/>
      <w:marLeft w:val="0"/>
      <w:marRight w:val="0"/>
      <w:marTop w:val="0"/>
      <w:marBottom w:val="0"/>
      <w:divBdr>
        <w:top w:val="none" w:sz="0" w:space="0" w:color="auto"/>
        <w:left w:val="none" w:sz="0" w:space="0" w:color="auto"/>
        <w:bottom w:val="none" w:sz="0" w:space="0" w:color="auto"/>
        <w:right w:val="none" w:sz="0" w:space="0" w:color="auto"/>
      </w:divBdr>
    </w:div>
    <w:div w:id="1048452275">
      <w:bodyDiv w:val="1"/>
      <w:marLeft w:val="0"/>
      <w:marRight w:val="0"/>
      <w:marTop w:val="0"/>
      <w:marBottom w:val="0"/>
      <w:divBdr>
        <w:top w:val="none" w:sz="0" w:space="0" w:color="auto"/>
        <w:left w:val="none" w:sz="0" w:space="0" w:color="auto"/>
        <w:bottom w:val="none" w:sz="0" w:space="0" w:color="auto"/>
        <w:right w:val="none" w:sz="0" w:space="0" w:color="auto"/>
      </w:divBdr>
    </w:div>
    <w:div w:id="1077434224">
      <w:bodyDiv w:val="1"/>
      <w:marLeft w:val="0"/>
      <w:marRight w:val="0"/>
      <w:marTop w:val="0"/>
      <w:marBottom w:val="0"/>
      <w:divBdr>
        <w:top w:val="none" w:sz="0" w:space="0" w:color="auto"/>
        <w:left w:val="none" w:sz="0" w:space="0" w:color="auto"/>
        <w:bottom w:val="none" w:sz="0" w:space="0" w:color="auto"/>
        <w:right w:val="none" w:sz="0" w:space="0" w:color="auto"/>
      </w:divBdr>
    </w:div>
    <w:div w:id="1095832587">
      <w:bodyDiv w:val="1"/>
      <w:marLeft w:val="0"/>
      <w:marRight w:val="0"/>
      <w:marTop w:val="0"/>
      <w:marBottom w:val="0"/>
      <w:divBdr>
        <w:top w:val="none" w:sz="0" w:space="0" w:color="auto"/>
        <w:left w:val="none" w:sz="0" w:space="0" w:color="auto"/>
        <w:bottom w:val="none" w:sz="0" w:space="0" w:color="auto"/>
        <w:right w:val="none" w:sz="0" w:space="0" w:color="auto"/>
      </w:divBdr>
    </w:div>
    <w:div w:id="1096559489">
      <w:bodyDiv w:val="1"/>
      <w:marLeft w:val="0"/>
      <w:marRight w:val="0"/>
      <w:marTop w:val="0"/>
      <w:marBottom w:val="0"/>
      <w:divBdr>
        <w:top w:val="none" w:sz="0" w:space="0" w:color="auto"/>
        <w:left w:val="none" w:sz="0" w:space="0" w:color="auto"/>
        <w:bottom w:val="none" w:sz="0" w:space="0" w:color="auto"/>
        <w:right w:val="none" w:sz="0" w:space="0" w:color="auto"/>
      </w:divBdr>
    </w:div>
    <w:div w:id="1106385064">
      <w:bodyDiv w:val="1"/>
      <w:marLeft w:val="0"/>
      <w:marRight w:val="0"/>
      <w:marTop w:val="0"/>
      <w:marBottom w:val="0"/>
      <w:divBdr>
        <w:top w:val="none" w:sz="0" w:space="0" w:color="auto"/>
        <w:left w:val="none" w:sz="0" w:space="0" w:color="auto"/>
        <w:bottom w:val="none" w:sz="0" w:space="0" w:color="auto"/>
        <w:right w:val="none" w:sz="0" w:space="0" w:color="auto"/>
      </w:divBdr>
    </w:div>
    <w:div w:id="1110399528">
      <w:bodyDiv w:val="1"/>
      <w:marLeft w:val="0"/>
      <w:marRight w:val="0"/>
      <w:marTop w:val="0"/>
      <w:marBottom w:val="0"/>
      <w:divBdr>
        <w:top w:val="none" w:sz="0" w:space="0" w:color="auto"/>
        <w:left w:val="none" w:sz="0" w:space="0" w:color="auto"/>
        <w:bottom w:val="none" w:sz="0" w:space="0" w:color="auto"/>
        <w:right w:val="none" w:sz="0" w:space="0" w:color="auto"/>
      </w:divBdr>
    </w:div>
    <w:div w:id="1115248214">
      <w:bodyDiv w:val="1"/>
      <w:marLeft w:val="0"/>
      <w:marRight w:val="0"/>
      <w:marTop w:val="0"/>
      <w:marBottom w:val="0"/>
      <w:divBdr>
        <w:top w:val="none" w:sz="0" w:space="0" w:color="auto"/>
        <w:left w:val="none" w:sz="0" w:space="0" w:color="auto"/>
        <w:bottom w:val="none" w:sz="0" w:space="0" w:color="auto"/>
        <w:right w:val="none" w:sz="0" w:space="0" w:color="auto"/>
      </w:divBdr>
    </w:div>
    <w:div w:id="1124080607">
      <w:bodyDiv w:val="1"/>
      <w:marLeft w:val="0"/>
      <w:marRight w:val="0"/>
      <w:marTop w:val="0"/>
      <w:marBottom w:val="0"/>
      <w:divBdr>
        <w:top w:val="none" w:sz="0" w:space="0" w:color="auto"/>
        <w:left w:val="none" w:sz="0" w:space="0" w:color="auto"/>
        <w:bottom w:val="none" w:sz="0" w:space="0" w:color="auto"/>
        <w:right w:val="none" w:sz="0" w:space="0" w:color="auto"/>
      </w:divBdr>
    </w:div>
    <w:div w:id="1125999614">
      <w:bodyDiv w:val="1"/>
      <w:marLeft w:val="0"/>
      <w:marRight w:val="0"/>
      <w:marTop w:val="0"/>
      <w:marBottom w:val="0"/>
      <w:divBdr>
        <w:top w:val="none" w:sz="0" w:space="0" w:color="auto"/>
        <w:left w:val="none" w:sz="0" w:space="0" w:color="auto"/>
        <w:bottom w:val="none" w:sz="0" w:space="0" w:color="auto"/>
        <w:right w:val="none" w:sz="0" w:space="0" w:color="auto"/>
      </w:divBdr>
    </w:div>
    <w:div w:id="1130368180">
      <w:bodyDiv w:val="1"/>
      <w:marLeft w:val="0"/>
      <w:marRight w:val="0"/>
      <w:marTop w:val="0"/>
      <w:marBottom w:val="0"/>
      <w:divBdr>
        <w:top w:val="none" w:sz="0" w:space="0" w:color="auto"/>
        <w:left w:val="none" w:sz="0" w:space="0" w:color="auto"/>
        <w:bottom w:val="none" w:sz="0" w:space="0" w:color="auto"/>
        <w:right w:val="none" w:sz="0" w:space="0" w:color="auto"/>
      </w:divBdr>
    </w:div>
    <w:div w:id="1137987440">
      <w:bodyDiv w:val="1"/>
      <w:marLeft w:val="0"/>
      <w:marRight w:val="0"/>
      <w:marTop w:val="0"/>
      <w:marBottom w:val="0"/>
      <w:divBdr>
        <w:top w:val="none" w:sz="0" w:space="0" w:color="auto"/>
        <w:left w:val="none" w:sz="0" w:space="0" w:color="auto"/>
        <w:bottom w:val="none" w:sz="0" w:space="0" w:color="auto"/>
        <w:right w:val="none" w:sz="0" w:space="0" w:color="auto"/>
      </w:divBdr>
    </w:div>
    <w:div w:id="1144081696">
      <w:bodyDiv w:val="1"/>
      <w:marLeft w:val="0"/>
      <w:marRight w:val="0"/>
      <w:marTop w:val="0"/>
      <w:marBottom w:val="0"/>
      <w:divBdr>
        <w:top w:val="none" w:sz="0" w:space="0" w:color="auto"/>
        <w:left w:val="none" w:sz="0" w:space="0" w:color="auto"/>
        <w:bottom w:val="none" w:sz="0" w:space="0" w:color="auto"/>
        <w:right w:val="none" w:sz="0" w:space="0" w:color="auto"/>
      </w:divBdr>
    </w:div>
    <w:div w:id="1195463044">
      <w:bodyDiv w:val="1"/>
      <w:marLeft w:val="0"/>
      <w:marRight w:val="0"/>
      <w:marTop w:val="0"/>
      <w:marBottom w:val="0"/>
      <w:divBdr>
        <w:top w:val="none" w:sz="0" w:space="0" w:color="auto"/>
        <w:left w:val="none" w:sz="0" w:space="0" w:color="auto"/>
        <w:bottom w:val="none" w:sz="0" w:space="0" w:color="auto"/>
        <w:right w:val="none" w:sz="0" w:space="0" w:color="auto"/>
      </w:divBdr>
    </w:div>
    <w:div w:id="1220937420">
      <w:bodyDiv w:val="1"/>
      <w:marLeft w:val="0"/>
      <w:marRight w:val="0"/>
      <w:marTop w:val="0"/>
      <w:marBottom w:val="0"/>
      <w:divBdr>
        <w:top w:val="none" w:sz="0" w:space="0" w:color="auto"/>
        <w:left w:val="none" w:sz="0" w:space="0" w:color="auto"/>
        <w:bottom w:val="none" w:sz="0" w:space="0" w:color="auto"/>
        <w:right w:val="none" w:sz="0" w:space="0" w:color="auto"/>
      </w:divBdr>
    </w:div>
    <w:div w:id="1253583395">
      <w:bodyDiv w:val="1"/>
      <w:marLeft w:val="0"/>
      <w:marRight w:val="0"/>
      <w:marTop w:val="0"/>
      <w:marBottom w:val="0"/>
      <w:divBdr>
        <w:top w:val="none" w:sz="0" w:space="0" w:color="auto"/>
        <w:left w:val="none" w:sz="0" w:space="0" w:color="auto"/>
        <w:bottom w:val="none" w:sz="0" w:space="0" w:color="auto"/>
        <w:right w:val="none" w:sz="0" w:space="0" w:color="auto"/>
      </w:divBdr>
    </w:div>
    <w:div w:id="1295989125">
      <w:bodyDiv w:val="1"/>
      <w:marLeft w:val="0"/>
      <w:marRight w:val="0"/>
      <w:marTop w:val="0"/>
      <w:marBottom w:val="0"/>
      <w:divBdr>
        <w:top w:val="none" w:sz="0" w:space="0" w:color="auto"/>
        <w:left w:val="none" w:sz="0" w:space="0" w:color="auto"/>
        <w:bottom w:val="none" w:sz="0" w:space="0" w:color="auto"/>
        <w:right w:val="none" w:sz="0" w:space="0" w:color="auto"/>
      </w:divBdr>
    </w:div>
    <w:div w:id="1360542206">
      <w:bodyDiv w:val="1"/>
      <w:marLeft w:val="0"/>
      <w:marRight w:val="0"/>
      <w:marTop w:val="0"/>
      <w:marBottom w:val="0"/>
      <w:divBdr>
        <w:top w:val="none" w:sz="0" w:space="0" w:color="auto"/>
        <w:left w:val="none" w:sz="0" w:space="0" w:color="auto"/>
        <w:bottom w:val="none" w:sz="0" w:space="0" w:color="auto"/>
        <w:right w:val="none" w:sz="0" w:space="0" w:color="auto"/>
      </w:divBdr>
    </w:div>
    <w:div w:id="1365132532">
      <w:bodyDiv w:val="1"/>
      <w:marLeft w:val="0"/>
      <w:marRight w:val="0"/>
      <w:marTop w:val="0"/>
      <w:marBottom w:val="0"/>
      <w:divBdr>
        <w:top w:val="none" w:sz="0" w:space="0" w:color="auto"/>
        <w:left w:val="none" w:sz="0" w:space="0" w:color="auto"/>
        <w:bottom w:val="none" w:sz="0" w:space="0" w:color="auto"/>
        <w:right w:val="none" w:sz="0" w:space="0" w:color="auto"/>
      </w:divBdr>
    </w:div>
    <w:div w:id="1376463343">
      <w:bodyDiv w:val="1"/>
      <w:marLeft w:val="0"/>
      <w:marRight w:val="0"/>
      <w:marTop w:val="0"/>
      <w:marBottom w:val="0"/>
      <w:divBdr>
        <w:top w:val="none" w:sz="0" w:space="0" w:color="auto"/>
        <w:left w:val="none" w:sz="0" w:space="0" w:color="auto"/>
        <w:bottom w:val="none" w:sz="0" w:space="0" w:color="auto"/>
        <w:right w:val="none" w:sz="0" w:space="0" w:color="auto"/>
      </w:divBdr>
    </w:div>
    <w:div w:id="1406220994">
      <w:bodyDiv w:val="1"/>
      <w:marLeft w:val="0"/>
      <w:marRight w:val="0"/>
      <w:marTop w:val="0"/>
      <w:marBottom w:val="0"/>
      <w:divBdr>
        <w:top w:val="none" w:sz="0" w:space="0" w:color="auto"/>
        <w:left w:val="none" w:sz="0" w:space="0" w:color="auto"/>
        <w:bottom w:val="none" w:sz="0" w:space="0" w:color="auto"/>
        <w:right w:val="none" w:sz="0" w:space="0" w:color="auto"/>
      </w:divBdr>
    </w:div>
    <w:div w:id="1428306476">
      <w:bodyDiv w:val="1"/>
      <w:marLeft w:val="0"/>
      <w:marRight w:val="0"/>
      <w:marTop w:val="0"/>
      <w:marBottom w:val="0"/>
      <w:divBdr>
        <w:top w:val="none" w:sz="0" w:space="0" w:color="auto"/>
        <w:left w:val="none" w:sz="0" w:space="0" w:color="auto"/>
        <w:bottom w:val="none" w:sz="0" w:space="0" w:color="auto"/>
        <w:right w:val="none" w:sz="0" w:space="0" w:color="auto"/>
      </w:divBdr>
    </w:div>
    <w:div w:id="1440182672">
      <w:bodyDiv w:val="1"/>
      <w:marLeft w:val="0"/>
      <w:marRight w:val="0"/>
      <w:marTop w:val="0"/>
      <w:marBottom w:val="0"/>
      <w:divBdr>
        <w:top w:val="none" w:sz="0" w:space="0" w:color="auto"/>
        <w:left w:val="none" w:sz="0" w:space="0" w:color="auto"/>
        <w:bottom w:val="none" w:sz="0" w:space="0" w:color="auto"/>
        <w:right w:val="none" w:sz="0" w:space="0" w:color="auto"/>
      </w:divBdr>
    </w:div>
    <w:div w:id="1494757147">
      <w:bodyDiv w:val="1"/>
      <w:marLeft w:val="0"/>
      <w:marRight w:val="0"/>
      <w:marTop w:val="0"/>
      <w:marBottom w:val="0"/>
      <w:divBdr>
        <w:top w:val="none" w:sz="0" w:space="0" w:color="auto"/>
        <w:left w:val="none" w:sz="0" w:space="0" w:color="auto"/>
        <w:bottom w:val="none" w:sz="0" w:space="0" w:color="auto"/>
        <w:right w:val="none" w:sz="0" w:space="0" w:color="auto"/>
      </w:divBdr>
    </w:div>
    <w:div w:id="1531340787">
      <w:bodyDiv w:val="1"/>
      <w:marLeft w:val="0"/>
      <w:marRight w:val="0"/>
      <w:marTop w:val="0"/>
      <w:marBottom w:val="0"/>
      <w:divBdr>
        <w:top w:val="none" w:sz="0" w:space="0" w:color="auto"/>
        <w:left w:val="none" w:sz="0" w:space="0" w:color="auto"/>
        <w:bottom w:val="none" w:sz="0" w:space="0" w:color="auto"/>
        <w:right w:val="none" w:sz="0" w:space="0" w:color="auto"/>
      </w:divBdr>
    </w:div>
    <w:div w:id="1562248329">
      <w:bodyDiv w:val="1"/>
      <w:marLeft w:val="0"/>
      <w:marRight w:val="0"/>
      <w:marTop w:val="0"/>
      <w:marBottom w:val="0"/>
      <w:divBdr>
        <w:top w:val="none" w:sz="0" w:space="0" w:color="auto"/>
        <w:left w:val="none" w:sz="0" w:space="0" w:color="auto"/>
        <w:bottom w:val="none" w:sz="0" w:space="0" w:color="auto"/>
        <w:right w:val="none" w:sz="0" w:space="0" w:color="auto"/>
      </w:divBdr>
    </w:div>
    <w:div w:id="1631666188">
      <w:bodyDiv w:val="1"/>
      <w:marLeft w:val="0"/>
      <w:marRight w:val="0"/>
      <w:marTop w:val="0"/>
      <w:marBottom w:val="0"/>
      <w:divBdr>
        <w:top w:val="none" w:sz="0" w:space="0" w:color="auto"/>
        <w:left w:val="none" w:sz="0" w:space="0" w:color="auto"/>
        <w:bottom w:val="none" w:sz="0" w:space="0" w:color="auto"/>
        <w:right w:val="none" w:sz="0" w:space="0" w:color="auto"/>
      </w:divBdr>
    </w:div>
    <w:div w:id="1654489023">
      <w:bodyDiv w:val="1"/>
      <w:marLeft w:val="0"/>
      <w:marRight w:val="0"/>
      <w:marTop w:val="0"/>
      <w:marBottom w:val="0"/>
      <w:divBdr>
        <w:top w:val="none" w:sz="0" w:space="0" w:color="auto"/>
        <w:left w:val="none" w:sz="0" w:space="0" w:color="auto"/>
        <w:bottom w:val="none" w:sz="0" w:space="0" w:color="auto"/>
        <w:right w:val="none" w:sz="0" w:space="0" w:color="auto"/>
      </w:divBdr>
    </w:div>
    <w:div w:id="1655329150">
      <w:bodyDiv w:val="1"/>
      <w:marLeft w:val="0"/>
      <w:marRight w:val="0"/>
      <w:marTop w:val="0"/>
      <w:marBottom w:val="0"/>
      <w:divBdr>
        <w:top w:val="none" w:sz="0" w:space="0" w:color="auto"/>
        <w:left w:val="none" w:sz="0" w:space="0" w:color="auto"/>
        <w:bottom w:val="none" w:sz="0" w:space="0" w:color="auto"/>
        <w:right w:val="none" w:sz="0" w:space="0" w:color="auto"/>
      </w:divBdr>
    </w:div>
    <w:div w:id="1688213270">
      <w:bodyDiv w:val="1"/>
      <w:marLeft w:val="0"/>
      <w:marRight w:val="0"/>
      <w:marTop w:val="0"/>
      <w:marBottom w:val="0"/>
      <w:divBdr>
        <w:top w:val="none" w:sz="0" w:space="0" w:color="auto"/>
        <w:left w:val="none" w:sz="0" w:space="0" w:color="auto"/>
        <w:bottom w:val="none" w:sz="0" w:space="0" w:color="auto"/>
        <w:right w:val="none" w:sz="0" w:space="0" w:color="auto"/>
      </w:divBdr>
    </w:div>
    <w:div w:id="1713576919">
      <w:bodyDiv w:val="1"/>
      <w:marLeft w:val="0"/>
      <w:marRight w:val="0"/>
      <w:marTop w:val="0"/>
      <w:marBottom w:val="0"/>
      <w:divBdr>
        <w:top w:val="none" w:sz="0" w:space="0" w:color="auto"/>
        <w:left w:val="none" w:sz="0" w:space="0" w:color="auto"/>
        <w:bottom w:val="none" w:sz="0" w:space="0" w:color="auto"/>
        <w:right w:val="none" w:sz="0" w:space="0" w:color="auto"/>
      </w:divBdr>
    </w:div>
    <w:div w:id="1777863880">
      <w:bodyDiv w:val="1"/>
      <w:marLeft w:val="0"/>
      <w:marRight w:val="0"/>
      <w:marTop w:val="0"/>
      <w:marBottom w:val="0"/>
      <w:divBdr>
        <w:top w:val="none" w:sz="0" w:space="0" w:color="auto"/>
        <w:left w:val="none" w:sz="0" w:space="0" w:color="auto"/>
        <w:bottom w:val="none" w:sz="0" w:space="0" w:color="auto"/>
        <w:right w:val="none" w:sz="0" w:space="0" w:color="auto"/>
      </w:divBdr>
    </w:div>
    <w:div w:id="1781871673">
      <w:bodyDiv w:val="1"/>
      <w:marLeft w:val="0"/>
      <w:marRight w:val="0"/>
      <w:marTop w:val="0"/>
      <w:marBottom w:val="0"/>
      <w:divBdr>
        <w:top w:val="none" w:sz="0" w:space="0" w:color="auto"/>
        <w:left w:val="none" w:sz="0" w:space="0" w:color="auto"/>
        <w:bottom w:val="none" w:sz="0" w:space="0" w:color="auto"/>
        <w:right w:val="none" w:sz="0" w:space="0" w:color="auto"/>
      </w:divBdr>
    </w:div>
    <w:div w:id="1801068225">
      <w:bodyDiv w:val="1"/>
      <w:marLeft w:val="0"/>
      <w:marRight w:val="0"/>
      <w:marTop w:val="0"/>
      <w:marBottom w:val="0"/>
      <w:divBdr>
        <w:top w:val="none" w:sz="0" w:space="0" w:color="auto"/>
        <w:left w:val="none" w:sz="0" w:space="0" w:color="auto"/>
        <w:bottom w:val="none" w:sz="0" w:space="0" w:color="auto"/>
        <w:right w:val="none" w:sz="0" w:space="0" w:color="auto"/>
      </w:divBdr>
    </w:div>
    <w:div w:id="1814984169">
      <w:bodyDiv w:val="1"/>
      <w:marLeft w:val="0"/>
      <w:marRight w:val="0"/>
      <w:marTop w:val="0"/>
      <w:marBottom w:val="0"/>
      <w:divBdr>
        <w:top w:val="none" w:sz="0" w:space="0" w:color="auto"/>
        <w:left w:val="none" w:sz="0" w:space="0" w:color="auto"/>
        <w:bottom w:val="none" w:sz="0" w:space="0" w:color="auto"/>
        <w:right w:val="none" w:sz="0" w:space="0" w:color="auto"/>
      </w:divBdr>
    </w:div>
    <w:div w:id="1824156330">
      <w:bodyDiv w:val="1"/>
      <w:marLeft w:val="0"/>
      <w:marRight w:val="0"/>
      <w:marTop w:val="0"/>
      <w:marBottom w:val="0"/>
      <w:divBdr>
        <w:top w:val="none" w:sz="0" w:space="0" w:color="auto"/>
        <w:left w:val="none" w:sz="0" w:space="0" w:color="auto"/>
        <w:bottom w:val="none" w:sz="0" w:space="0" w:color="auto"/>
        <w:right w:val="none" w:sz="0" w:space="0" w:color="auto"/>
      </w:divBdr>
    </w:div>
    <w:div w:id="1850439963">
      <w:bodyDiv w:val="1"/>
      <w:marLeft w:val="0"/>
      <w:marRight w:val="0"/>
      <w:marTop w:val="0"/>
      <w:marBottom w:val="0"/>
      <w:divBdr>
        <w:top w:val="none" w:sz="0" w:space="0" w:color="auto"/>
        <w:left w:val="none" w:sz="0" w:space="0" w:color="auto"/>
        <w:bottom w:val="none" w:sz="0" w:space="0" w:color="auto"/>
        <w:right w:val="none" w:sz="0" w:space="0" w:color="auto"/>
      </w:divBdr>
    </w:div>
    <w:div w:id="1864436217">
      <w:bodyDiv w:val="1"/>
      <w:marLeft w:val="0"/>
      <w:marRight w:val="0"/>
      <w:marTop w:val="0"/>
      <w:marBottom w:val="0"/>
      <w:divBdr>
        <w:top w:val="none" w:sz="0" w:space="0" w:color="auto"/>
        <w:left w:val="none" w:sz="0" w:space="0" w:color="auto"/>
        <w:bottom w:val="none" w:sz="0" w:space="0" w:color="auto"/>
        <w:right w:val="none" w:sz="0" w:space="0" w:color="auto"/>
      </w:divBdr>
    </w:div>
    <w:div w:id="1882011608">
      <w:bodyDiv w:val="1"/>
      <w:marLeft w:val="0"/>
      <w:marRight w:val="0"/>
      <w:marTop w:val="0"/>
      <w:marBottom w:val="0"/>
      <w:divBdr>
        <w:top w:val="none" w:sz="0" w:space="0" w:color="auto"/>
        <w:left w:val="none" w:sz="0" w:space="0" w:color="auto"/>
        <w:bottom w:val="none" w:sz="0" w:space="0" w:color="auto"/>
        <w:right w:val="none" w:sz="0" w:space="0" w:color="auto"/>
      </w:divBdr>
    </w:div>
    <w:div w:id="1962148783">
      <w:bodyDiv w:val="1"/>
      <w:marLeft w:val="0"/>
      <w:marRight w:val="0"/>
      <w:marTop w:val="0"/>
      <w:marBottom w:val="0"/>
      <w:divBdr>
        <w:top w:val="none" w:sz="0" w:space="0" w:color="auto"/>
        <w:left w:val="none" w:sz="0" w:space="0" w:color="auto"/>
        <w:bottom w:val="none" w:sz="0" w:space="0" w:color="auto"/>
        <w:right w:val="none" w:sz="0" w:space="0" w:color="auto"/>
      </w:divBdr>
    </w:div>
    <w:div w:id="1962177567">
      <w:bodyDiv w:val="1"/>
      <w:marLeft w:val="0"/>
      <w:marRight w:val="0"/>
      <w:marTop w:val="0"/>
      <w:marBottom w:val="0"/>
      <w:divBdr>
        <w:top w:val="none" w:sz="0" w:space="0" w:color="auto"/>
        <w:left w:val="none" w:sz="0" w:space="0" w:color="auto"/>
        <w:bottom w:val="none" w:sz="0" w:space="0" w:color="auto"/>
        <w:right w:val="none" w:sz="0" w:space="0" w:color="auto"/>
      </w:divBdr>
    </w:div>
    <w:div w:id="1978680224">
      <w:bodyDiv w:val="1"/>
      <w:marLeft w:val="0"/>
      <w:marRight w:val="0"/>
      <w:marTop w:val="0"/>
      <w:marBottom w:val="0"/>
      <w:divBdr>
        <w:top w:val="none" w:sz="0" w:space="0" w:color="auto"/>
        <w:left w:val="none" w:sz="0" w:space="0" w:color="auto"/>
        <w:bottom w:val="none" w:sz="0" w:space="0" w:color="auto"/>
        <w:right w:val="none" w:sz="0" w:space="0" w:color="auto"/>
      </w:divBdr>
    </w:div>
    <w:div w:id="1987128874">
      <w:bodyDiv w:val="1"/>
      <w:marLeft w:val="0"/>
      <w:marRight w:val="0"/>
      <w:marTop w:val="0"/>
      <w:marBottom w:val="0"/>
      <w:divBdr>
        <w:top w:val="none" w:sz="0" w:space="0" w:color="auto"/>
        <w:left w:val="none" w:sz="0" w:space="0" w:color="auto"/>
        <w:bottom w:val="none" w:sz="0" w:space="0" w:color="auto"/>
        <w:right w:val="none" w:sz="0" w:space="0" w:color="auto"/>
      </w:divBdr>
    </w:div>
    <w:div w:id="2022704198">
      <w:bodyDiv w:val="1"/>
      <w:marLeft w:val="0"/>
      <w:marRight w:val="0"/>
      <w:marTop w:val="0"/>
      <w:marBottom w:val="0"/>
      <w:divBdr>
        <w:top w:val="none" w:sz="0" w:space="0" w:color="auto"/>
        <w:left w:val="none" w:sz="0" w:space="0" w:color="auto"/>
        <w:bottom w:val="none" w:sz="0" w:space="0" w:color="auto"/>
        <w:right w:val="none" w:sz="0" w:space="0" w:color="auto"/>
      </w:divBdr>
    </w:div>
    <w:div w:id="2024896213">
      <w:bodyDiv w:val="1"/>
      <w:marLeft w:val="0"/>
      <w:marRight w:val="0"/>
      <w:marTop w:val="0"/>
      <w:marBottom w:val="0"/>
      <w:divBdr>
        <w:top w:val="none" w:sz="0" w:space="0" w:color="auto"/>
        <w:left w:val="none" w:sz="0" w:space="0" w:color="auto"/>
        <w:bottom w:val="none" w:sz="0" w:space="0" w:color="auto"/>
        <w:right w:val="none" w:sz="0" w:space="0" w:color="auto"/>
      </w:divBdr>
    </w:div>
    <w:div w:id="2086367221">
      <w:bodyDiv w:val="1"/>
      <w:marLeft w:val="0"/>
      <w:marRight w:val="0"/>
      <w:marTop w:val="0"/>
      <w:marBottom w:val="0"/>
      <w:divBdr>
        <w:top w:val="none" w:sz="0" w:space="0" w:color="auto"/>
        <w:left w:val="none" w:sz="0" w:space="0" w:color="auto"/>
        <w:bottom w:val="none" w:sz="0" w:space="0" w:color="auto"/>
        <w:right w:val="none" w:sz="0" w:space="0" w:color="auto"/>
      </w:divBdr>
    </w:div>
    <w:div w:id="2098362869">
      <w:bodyDiv w:val="1"/>
      <w:marLeft w:val="0"/>
      <w:marRight w:val="0"/>
      <w:marTop w:val="0"/>
      <w:marBottom w:val="0"/>
      <w:divBdr>
        <w:top w:val="none" w:sz="0" w:space="0" w:color="auto"/>
        <w:left w:val="none" w:sz="0" w:space="0" w:color="auto"/>
        <w:bottom w:val="none" w:sz="0" w:space="0" w:color="auto"/>
        <w:right w:val="none" w:sz="0" w:space="0" w:color="auto"/>
      </w:divBdr>
    </w:div>
    <w:div w:id="2098557370">
      <w:bodyDiv w:val="1"/>
      <w:marLeft w:val="0"/>
      <w:marRight w:val="0"/>
      <w:marTop w:val="0"/>
      <w:marBottom w:val="0"/>
      <w:divBdr>
        <w:top w:val="none" w:sz="0" w:space="0" w:color="auto"/>
        <w:left w:val="none" w:sz="0" w:space="0" w:color="auto"/>
        <w:bottom w:val="none" w:sz="0" w:space="0" w:color="auto"/>
        <w:right w:val="none" w:sz="0" w:space="0" w:color="auto"/>
      </w:divBdr>
    </w:div>
    <w:div w:id="212068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1125</TotalTime>
  <Pages>1</Pages>
  <Words>11342</Words>
  <Characters>64655</Characters>
  <Application>Microsoft Office Word</Application>
  <DocSecurity>0</DocSecurity>
  <Lines>538</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Maysoon Frhan Abduallah</dc:creator>
  <cp:keywords/>
  <dc:description/>
  <cp:lastModifiedBy/>
  <cp:revision>1</cp:revision>
  <cp:lastPrinted>2025-12-12T18:12:00Z</cp:lastPrinted>
  <dcterms:created xsi:type="dcterms:W3CDTF">2025-12-11T10:47:00Z</dcterms:created>
</cp:coreProperties>
</file>