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CC60C6" w:rsidRDefault="009125CE" w:rsidP="00CC60C6">
      <w:pPr>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CC60C6">
        <w:rPr>
          <w:rFonts w:ascii="Simplified Arabic" w:eastAsia="Calibri" w:hAnsi="Simplified Arabic" w:cs="Simplified Arabic"/>
          <w:b/>
          <w:bCs/>
          <w:color w:val="000000" w:themeColor="text1"/>
          <w:sz w:val="32"/>
          <w:szCs w:val="32"/>
          <w:rtl/>
          <w:lang w:bidi="ar-EG"/>
        </w:rPr>
        <w:t xml:space="preserve">جامعة ميدأوشن </w:t>
      </w:r>
    </w:p>
    <w:p w14:paraId="1E957002" w14:textId="6EC0039C" w:rsidR="00F546CE" w:rsidRPr="00CC60C6" w:rsidRDefault="009125CE" w:rsidP="00CC60C6">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CC60C6">
        <w:rPr>
          <w:rFonts w:ascii="Simplified Arabic" w:eastAsia="Calibri" w:hAnsi="Simplified Arabic" w:cs="Simplified Arabic"/>
          <w:b/>
          <w:bCs/>
          <w:noProof/>
          <w:color w:val="000000" w:themeColor="text1"/>
          <w:sz w:val="32"/>
          <w:szCs w:val="32"/>
          <w:lang w:bidi="ar-EG"/>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60C6">
        <w:rPr>
          <w:rFonts w:ascii="Simplified Arabic" w:eastAsia="Calibri" w:hAnsi="Simplified Arabic" w:cs="Simplified Arabic"/>
          <w:b/>
          <w:bCs/>
          <w:color w:val="000000" w:themeColor="text1"/>
          <w:sz w:val="32"/>
          <w:szCs w:val="32"/>
          <w:rtl/>
          <w:lang w:bidi="ar-EG"/>
        </w:rPr>
        <w:t xml:space="preserve">كلية </w:t>
      </w:r>
      <w:r w:rsidR="008C42C1" w:rsidRPr="00CC60C6">
        <w:rPr>
          <w:rFonts w:ascii="Simplified Arabic" w:eastAsia="Calibri" w:hAnsi="Simplified Arabic" w:cs="Simplified Arabic"/>
          <w:b/>
          <w:bCs/>
          <w:color w:val="000000" w:themeColor="text1"/>
          <w:sz w:val="32"/>
          <w:szCs w:val="32"/>
          <w:rtl/>
          <w:lang w:bidi="ar-EG"/>
        </w:rPr>
        <w:t>الإدارة</w:t>
      </w:r>
      <w:r w:rsidRPr="00CC60C6">
        <w:rPr>
          <w:rFonts w:ascii="Simplified Arabic" w:eastAsia="Calibri" w:hAnsi="Simplified Arabic" w:cs="Simplified Arabic"/>
          <w:b/>
          <w:bCs/>
          <w:color w:val="000000" w:themeColor="text1"/>
          <w:sz w:val="32"/>
          <w:szCs w:val="32"/>
          <w:rtl/>
          <w:lang w:bidi="ar-EG"/>
        </w:rPr>
        <w:t xml:space="preserve"> </w:t>
      </w:r>
    </w:p>
    <w:p w14:paraId="0217C513" w14:textId="07CB93BE" w:rsidR="009125CE" w:rsidRPr="00CC60C6" w:rsidRDefault="006335D0" w:rsidP="00CC60C6">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CC60C6">
        <w:rPr>
          <w:rFonts w:ascii="Simplified Arabic" w:eastAsia="Calibri" w:hAnsi="Simplified Arabic" w:cs="Simplified Arabic"/>
          <w:b/>
          <w:bCs/>
          <w:color w:val="000000" w:themeColor="text1"/>
          <w:sz w:val="32"/>
          <w:szCs w:val="32"/>
          <w:rtl/>
          <w:lang w:bidi="ar-EG"/>
        </w:rPr>
        <w:t>ماجستير ادارة اعمال</w:t>
      </w:r>
    </w:p>
    <w:p w14:paraId="6B449BCF" w14:textId="77777777" w:rsidR="00CC6261" w:rsidRPr="00CC60C6" w:rsidRDefault="00CC6261" w:rsidP="00CC60C6">
      <w:pPr>
        <w:spacing w:before="100" w:beforeAutospacing="1" w:after="100" w:afterAutospacing="1" w:line="276" w:lineRule="auto"/>
        <w:jc w:val="both"/>
        <w:rPr>
          <w:rFonts w:ascii="Simplified Arabic" w:hAnsi="Simplified Arabic" w:cs="Simplified Arabic"/>
          <w:sz w:val="28"/>
          <w:szCs w:val="28"/>
          <w:rtl/>
        </w:rPr>
      </w:pPr>
    </w:p>
    <w:p w14:paraId="6D104B57" w14:textId="2159AE15" w:rsidR="00CC1214" w:rsidRPr="00CC60C6" w:rsidRDefault="009B6DCF" w:rsidP="00CC60C6">
      <w:pPr>
        <w:spacing w:before="100" w:beforeAutospacing="1" w:after="100" w:afterAutospacing="1" w:line="276" w:lineRule="auto"/>
        <w:jc w:val="center"/>
        <w:rPr>
          <w:rFonts w:ascii="Simplified Arabic" w:eastAsia="Calibri" w:hAnsi="Simplified Arabic" w:cs="Simplified Arabic"/>
          <w:b/>
          <w:bCs/>
          <w:color w:val="000000" w:themeColor="text1"/>
          <w:sz w:val="40"/>
          <w:szCs w:val="40"/>
          <w:rtl/>
        </w:rPr>
      </w:pPr>
      <w:r w:rsidRPr="00CC60C6">
        <w:rPr>
          <w:rFonts w:ascii="Simplified Arabic" w:eastAsia="Calibri" w:hAnsi="Simplified Arabic" w:cs="Simplified Arabic"/>
          <w:b/>
          <w:bCs/>
          <w:color w:val="000000" w:themeColor="text1"/>
          <w:sz w:val="40"/>
          <w:szCs w:val="40"/>
          <w:rtl/>
        </w:rPr>
        <w:t>أثر التحول الرقمي المدعوم بالذكاء الاصطناعي في تعزيز ممارسات استدامة الأعمال وانعكاس ذلك على الأداء المستدام: دراسة تحليلية تطبيقية في صندوق الاستثمارات العامة</w:t>
      </w:r>
    </w:p>
    <w:p w14:paraId="053DDE91" w14:textId="77777777" w:rsidR="009B6DCF" w:rsidRPr="00CC60C6" w:rsidRDefault="009B6DCF" w:rsidP="00CC60C6">
      <w:pPr>
        <w:spacing w:before="100" w:beforeAutospacing="1" w:after="100" w:afterAutospacing="1" w:line="276" w:lineRule="auto"/>
        <w:jc w:val="both"/>
        <w:rPr>
          <w:rFonts w:ascii="Simplified Arabic" w:hAnsi="Simplified Arabic" w:cs="Simplified Arabic"/>
          <w:b/>
          <w:bCs/>
          <w:sz w:val="28"/>
          <w:szCs w:val="28"/>
          <w:rtl/>
        </w:rPr>
      </w:pPr>
    </w:p>
    <w:p w14:paraId="751A7E65" w14:textId="7EDD6BCF" w:rsidR="009125CE" w:rsidRPr="00CC60C6" w:rsidRDefault="009125CE" w:rsidP="00CC60C6">
      <w:pPr>
        <w:spacing w:before="100" w:beforeAutospacing="1" w:after="100" w:afterAutospacing="1" w:line="276" w:lineRule="auto"/>
        <w:jc w:val="center"/>
        <w:rPr>
          <w:rFonts w:ascii="Simplified Arabic" w:eastAsia="Calibri" w:hAnsi="Simplified Arabic" w:cs="Simplified Arabic" w:hint="cs"/>
          <w:b/>
          <w:bCs/>
          <w:color w:val="000000" w:themeColor="text1"/>
          <w:sz w:val="36"/>
          <w:szCs w:val="36"/>
          <w:rtl/>
        </w:rPr>
      </w:pPr>
      <w:r w:rsidRPr="00CC60C6">
        <w:rPr>
          <w:rFonts w:ascii="Simplified Arabic" w:eastAsia="Calibri" w:hAnsi="Simplified Arabic" w:cs="Simplified Arabic"/>
          <w:b/>
          <w:bCs/>
          <w:color w:val="000000" w:themeColor="text1"/>
          <w:sz w:val="36"/>
          <w:szCs w:val="36"/>
          <w:rtl/>
          <w:lang w:bidi="ar-EG"/>
        </w:rPr>
        <w:t>إعداد الطالب/</w:t>
      </w:r>
      <w:r w:rsidR="00982934">
        <w:rPr>
          <w:rFonts w:ascii="Simplified Arabic" w:eastAsia="Calibri" w:hAnsi="Simplified Arabic" w:cs="Simplified Arabic" w:hint="cs"/>
          <w:b/>
          <w:bCs/>
          <w:color w:val="000000" w:themeColor="text1"/>
          <w:sz w:val="36"/>
          <w:szCs w:val="36"/>
          <w:rtl/>
        </w:rPr>
        <w:t xml:space="preserve">حصه مشعل الناصري </w:t>
      </w:r>
    </w:p>
    <w:p w14:paraId="6E38297E" w14:textId="77777777" w:rsidR="00CC1214" w:rsidRPr="00CC60C6" w:rsidRDefault="00CC1214" w:rsidP="00CC60C6">
      <w:pPr>
        <w:spacing w:before="100" w:beforeAutospacing="1" w:after="100" w:afterAutospacing="1" w:line="276" w:lineRule="auto"/>
        <w:jc w:val="both"/>
        <w:rPr>
          <w:rFonts w:ascii="Simplified Arabic" w:hAnsi="Simplified Arabic" w:cs="Simplified Arabic"/>
          <w:sz w:val="28"/>
          <w:szCs w:val="28"/>
          <w:rtl/>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7"/>
        <w:gridCol w:w="4415"/>
      </w:tblGrid>
      <w:tr w:rsidR="00CC60C6" w:rsidRPr="003647A0" w14:paraId="19E75687" w14:textId="77777777" w:rsidTr="003F35F1">
        <w:tc>
          <w:tcPr>
            <w:tcW w:w="4530" w:type="dxa"/>
          </w:tcPr>
          <w:p w14:paraId="24136201" w14:textId="77777777" w:rsidR="00CC60C6" w:rsidRPr="003647A0" w:rsidRDefault="00CC60C6"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الرئيسي/</w:t>
            </w:r>
          </w:p>
        </w:tc>
        <w:tc>
          <w:tcPr>
            <w:tcW w:w="4531" w:type="dxa"/>
          </w:tcPr>
          <w:p w14:paraId="16A3830D" w14:textId="77777777" w:rsidR="00CC60C6" w:rsidRPr="003647A0" w:rsidRDefault="00CC60C6"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الثاني/</w:t>
            </w:r>
          </w:p>
        </w:tc>
      </w:tr>
      <w:tr w:rsidR="00CC60C6" w:rsidRPr="003647A0" w14:paraId="2F4C2A22" w14:textId="77777777" w:rsidTr="003F35F1">
        <w:tc>
          <w:tcPr>
            <w:tcW w:w="4530" w:type="dxa"/>
          </w:tcPr>
          <w:p w14:paraId="5AEF337C" w14:textId="77777777" w:rsidR="00CC60C6" w:rsidRPr="003647A0" w:rsidRDefault="00CC60C6"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5970FF6" w14:textId="77777777" w:rsidR="00CC60C6" w:rsidRPr="003647A0" w:rsidRDefault="00CC60C6" w:rsidP="003F35F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د.فايز جراد</w:t>
            </w:r>
          </w:p>
        </w:tc>
      </w:tr>
    </w:tbl>
    <w:p w14:paraId="17F9250F" w14:textId="77777777" w:rsidR="00CC60C6" w:rsidRPr="003647A0" w:rsidRDefault="00CC60C6" w:rsidP="00CC60C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العام الدراسي:</w:t>
      </w:r>
    </w:p>
    <w:p w14:paraId="4C0F6799" w14:textId="77777777" w:rsidR="00CC60C6" w:rsidRPr="003647A0" w:rsidRDefault="00CC60C6" w:rsidP="00CC60C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647A0">
        <w:rPr>
          <w:rFonts w:ascii="Simplified Arabic" w:hAnsi="Simplified Arabic" w:cs="Simplified Arabic"/>
          <w:color w:val="000000" w:themeColor="text1"/>
          <w:sz w:val="36"/>
          <w:szCs w:val="36"/>
          <w:rtl/>
          <w:lang w:bidi="ar-EG"/>
        </w:rPr>
        <w:t>1448 – 2026</w:t>
      </w:r>
    </w:p>
    <w:p w14:paraId="6D17A3EB" w14:textId="77777777" w:rsidR="00CC60C6" w:rsidRPr="00CC60C6" w:rsidRDefault="00CC60C6" w:rsidP="00CC60C6">
      <w:pPr>
        <w:spacing w:before="100" w:beforeAutospacing="1" w:after="100" w:afterAutospacing="1" w:line="276" w:lineRule="auto"/>
        <w:ind w:firstLine="720"/>
        <w:jc w:val="both"/>
        <w:rPr>
          <w:rFonts w:ascii="Simplified Arabic" w:eastAsia="Calibri" w:hAnsi="Simplified Arabic" w:cs="Simplified Arabic"/>
          <w:kern w:val="0"/>
          <w:sz w:val="28"/>
          <w:szCs w:val="28"/>
          <w:rtl/>
          <w:lang w:bidi="ar-EG"/>
          <w14:ligatures w14:val="none"/>
        </w:rPr>
        <w:sectPr w:rsidR="00CC60C6" w:rsidRPr="00CC60C6" w:rsidSect="00E27D3B">
          <w:pgSz w:w="11906" w:h="16838"/>
          <w:pgMar w:top="1440" w:right="1274" w:bottom="1440" w:left="1800" w:header="708" w:footer="708" w:gutter="0"/>
          <w:cols w:space="708"/>
          <w:bidi/>
          <w:rtlGutter/>
          <w:docGrid w:linePitch="360"/>
        </w:sectPr>
      </w:pPr>
    </w:p>
    <w:p w14:paraId="0A8C00D0" w14:textId="77777777" w:rsidR="00CC60C6" w:rsidRPr="003647A0" w:rsidRDefault="00CC60C6" w:rsidP="00CC60C6">
      <w:pPr>
        <w:tabs>
          <w:tab w:val="left" w:pos="3983"/>
        </w:tabs>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lang w:bidi="ar-EG"/>
        </w:rPr>
      </w:pPr>
      <w:bookmarkStart w:id="0" w:name="_Toc173319916"/>
      <w:bookmarkStart w:id="1" w:name="_Toc191494058"/>
      <w:bookmarkStart w:id="2" w:name="_Toc234027243"/>
      <w:bookmarkStart w:id="3" w:name="_Toc234244313"/>
      <w:bookmarkStart w:id="4" w:name="_Toc234293305"/>
      <w:bookmarkStart w:id="5" w:name="_Toc223500482"/>
      <w:bookmarkStart w:id="6" w:name="_Toc169790506"/>
      <w:r w:rsidRPr="003647A0">
        <w:rPr>
          <w:rFonts w:ascii="Simplified Arabic" w:eastAsia="Calibri" w:hAnsi="Simplified Arabic" w:cs="Simplified Arabic"/>
          <w:b/>
          <w:bCs/>
          <w:color w:val="000000" w:themeColor="text1"/>
          <w:sz w:val="40"/>
          <w:szCs w:val="40"/>
          <w:rtl/>
          <w:lang w:bidi="ar-EG"/>
        </w:rPr>
        <w:lastRenderedPageBreak/>
        <w:t>الفصل الأول: الإطار العام للدراسة</w:t>
      </w:r>
      <w:bookmarkEnd w:id="0"/>
      <w:bookmarkEnd w:id="1"/>
      <w:bookmarkEnd w:id="2"/>
      <w:bookmarkEnd w:id="3"/>
      <w:bookmarkEnd w:id="4"/>
    </w:p>
    <w:p w14:paraId="3807D0A7" w14:textId="77777777" w:rsidR="00CC60C6" w:rsidRPr="003647A0" w:rsidRDefault="00CC60C6"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7" w:name="_Toc173319917"/>
      <w:bookmarkStart w:id="8" w:name="_Toc191494059"/>
      <w:bookmarkStart w:id="9" w:name="_Toc234027244"/>
      <w:bookmarkStart w:id="10" w:name="_Toc234244314"/>
      <w:bookmarkStart w:id="11" w:name="_Toc234293306"/>
      <w:r w:rsidRPr="003647A0">
        <w:rPr>
          <w:rFonts w:ascii="Simplified Arabic" w:eastAsia="Calibri" w:hAnsi="Simplified Arabic" w:cs="Simplified Arabic"/>
          <w:b/>
          <w:bCs/>
          <w:color w:val="000000" w:themeColor="text1"/>
          <w:sz w:val="36"/>
          <w:szCs w:val="36"/>
          <w:rtl/>
          <w:lang w:bidi="ar-EG"/>
        </w:rPr>
        <w:t>1.1 مقدمة:</w:t>
      </w:r>
      <w:bookmarkEnd w:id="7"/>
      <w:bookmarkEnd w:id="8"/>
      <w:bookmarkEnd w:id="9"/>
      <w:bookmarkEnd w:id="10"/>
      <w:bookmarkEnd w:id="11"/>
    </w:p>
    <w:bookmarkEnd w:id="5"/>
    <w:p w14:paraId="049549E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يشهد العالم المعاصر تحولات جذرية غير مسبوقة أفرزتها الثورة الصناعية الرابعة، إذ باتت التقنيات الرقمية المتقدمة وتطبيقات الذكاء الاصطناعي تُعيد رسم ملامح الاقتصاد العالمي وتُعيد تشكيل نماذج الأعمال والقطاعات الاستثمارية على حدٍّ سواء. ولم يعد التحول الرقمي مجرد خيار تقني تكميلي، بل أصبح ضرورة استراتيجية حتمية تفرضها ديناميكيات التنافس العالمي وتسارع وتيرة الابتكار، حيث تسعى المنظمات إلى توظيف هذه التقنيات لتعزيز قدراتها التشغيلية، وتحقيق التميّز، والاستجابة لمتطلبات بيئة أعمال شديدة التقلب والتعقيد (هني وشاشوة، 2026)</w:t>
      </w:r>
      <w:r w:rsidRPr="00CC60C6">
        <w:rPr>
          <w:rFonts w:ascii="Simplified Arabic" w:eastAsia="Times New Roman" w:hAnsi="Simplified Arabic" w:cs="Simplified Arabic"/>
          <w:kern w:val="0"/>
          <w:sz w:val="28"/>
          <w:szCs w:val="28"/>
          <w:lang w:bidi="ar-EG"/>
          <w14:ligatures w14:val="none"/>
        </w:rPr>
        <w:t>.</w:t>
      </w:r>
    </w:p>
    <w:p w14:paraId="6E40AE9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وفي هذا السياق، برز الذكاء الاصطناعي بوصفه القوة الدافعة الأبرز لعمليات التحول الرقمي المعاصرة، إذ يوفّر قدرات غير مسبوقة في تحليل البيانات الضخمة، وأتمتة العمليات، ودعم اتخاذ القرارات الاستراتيجية، مما يمنح المنظمات مرونة تشغيلية عالية وقدرة استباقية على استشراف المستقبل. وقد أصبح دمج الذكاء الاصطناعي في منظومة التحول الرقمي رافداً أساسياً لإعادة هندسة العمليات وتطوير نماذج الأعمال في مختلف القطاعات الاقتصادية والمالية والاستثمارية</w:t>
      </w:r>
      <w:r w:rsidRPr="00CC60C6">
        <w:rPr>
          <w:rFonts w:ascii="Simplified Arabic" w:eastAsia="Times New Roman" w:hAnsi="Simplified Arabic" w:cs="Simplified Arabic"/>
          <w:kern w:val="0"/>
          <w:sz w:val="28"/>
          <w:szCs w:val="28"/>
          <w:lang w:bidi="ar-EG"/>
          <w14:ligatures w14:val="none"/>
        </w:rPr>
        <w:t xml:space="preserve"> (Rabhi et al., 2025).</w:t>
      </w:r>
    </w:p>
    <w:p w14:paraId="42775709"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ويُمثّل التحول الرقمي المدعوم بالذكاء الاصطناعي منظومةً متكاملةً تتجاوز البُعد التقني الضيّق لتشمل أبعاداً استراتيجية وثقافية وقيادية، إذ يتطلب نجاحه إعادة تصميم البنى التنظيمية، وتطوير المهارات البشرية، وبناء ثقافة رقمية داعمة للابتكار والتغيير. وقد أكدت الأدبيات الحديثة أن المنظمات التي تتبنّى نهجاً استراتيجياً متكاملاً في تبنّي الذكاء الاصطناعي تحقق قفزات نوعية في كفاءتها التشغيلية وقدرتها التنافسية، خاصة حين يقترن ذلك بقيادة رقمية واعية وحوكمة أخلاقية رشيدة</w:t>
      </w:r>
      <w:r w:rsidRPr="00CC60C6">
        <w:rPr>
          <w:rFonts w:ascii="Simplified Arabic" w:eastAsia="Times New Roman" w:hAnsi="Simplified Arabic" w:cs="Simplified Arabic"/>
          <w:kern w:val="0"/>
          <w:sz w:val="28"/>
          <w:szCs w:val="28"/>
          <w:lang w:bidi="ar-EG"/>
          <w14:ligatures w14:val="none"/>
        </w:rPr>
        <w:t xml:space="preserve"> (Sposato &amp; Dittmar, 2026). </w:t>
      </w:r>
      <w:r w:rsidRPr="00CC60C6">
        <w:rPr>
          <w:rFonts w:ascii="Simplified Arabic" w:eastAsia="Times New Roman" w:hAnsi="Simplified Arabic" w:cs="Simplified Arabic"/>
          <w:kern w:val="0"/>
          <w:sz w:val="28"/>
          <w:szCs w:val="28"/>
          <w:rtl/>
          <w14:ligatures w14:val="none"/>
        </w:rPr>
        <w:t>ومن جهة أخرى، فإن نجاح دمج الذكاء الاصطناعي في منظومة التحول الرقمي يستوجب تحولاً موازياً في ممارسات إدارة الموارد البشرية بحيث تنتقل من التطبيق التقني إلى التبنّي المتمحور حول الإنسان، بما يضمن التوازن بين قدرات الآلة والقيمة الإنسانية المضافة</w:t>
      </w:r>
      <w:r w:rsidRPr="00CC60C6">
        <w:rPr>
          <w:rFonts w:ascii="Simplified Arabic" w:eastAsia="Times New Roman" w:hAnsi="Simplified Arabic" w:cs="Simplified Arabic"/>
          <w:kern w:val="0"/>
          <w:sz w:val="28"/>
          <w:szCs w:val="28"/>
          <w:lang w:bidi="ar-EG"/>
          <w14:ligatures w14:val="none"/>
        </w:rPr>
        <w:t xml:space="preserve"> (Fenwick et al., 2024).</w:t>
      </w:r>
    </w:p>
    <w:p w14:paraId="7752CF4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 xml:space="preserve">وفي المقابل، تصاعد الاهتمام العالمي بمفهوم الاستدامة بوصفه توجهاً استراتيجياً محورياً يسعى إلى تحقيق التوازن بين الأبعاد الاقتصادية والاجتماعية والبيئية، بما يضمن استمرارية المنظمات وتنافسيتها على المدى الطويل. وقد باتت ممارسات استدامة الأعمال جزءاً لا يتجزأ من أجندات المنظمات الرائدة، إذ تتبنّى هذه المنظمات </w:t>
      </w:r>
      <w:r w:rsidRPr="00CC60C6">
        <w:rPr>
          <w:rFonts w:ascii="Simplified Arabic" w:eastAsia="Times New Roman" w:hAnsi="Simplified Arabic" w:cs="Simplified Arabic"/>
          <w:kern w:val="0"/>
          <w:sz w:val="28"/>
          <w:szCs w:val="28"/>
          <w:rtl/>
          <w14:ligatures w14:val="none"/>
        </w:rPr>
        <w:lastRenderedPageBreak/>
        <w:t>أفضل الممارسات المتعلقة بترشيد استهلاك الموارد، وتقليل الأثر البيئي، وتعزيز المسؤولية الاجتماعية، وتبنّي معايير الحوكمة الرشيدة، بوصفها ركائز أساسية لبناء ميزة تنافسية مستدامة (سحنون، 2023)</w:t>
      </w:r>
      <w:r w:rsidRPr="00CC60C6">
        <w:rPr>
          <w:rFonts w:ascii="Simplified Arabic" w:eastAsia="Times New Roman" w:hAnsi="Simplified Arabic" w:cs="Simplified Arabic"/>
          <w:kern w:val="0"/>
          <w:sz w:val="28"/>
          <w:szCs w:val="28"/>
          <w:lang w:bidi="ar-EG"/>
          <w14:ligatures w14:val="none"/>
        </w:rPr>
        <w:t>.</w:t>
      </w:r>
    </w:p>
    <w:p w14:paraId="3EE7D7C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وقد أفرز هذا التوجه العالمي مفهوم الأداء المستدام بوصفه محصلةً متكاملةً للأداء الاقتصادي والاجتماعي والبيئي، إذ لم تعد المنظمات تقيس نجاحها بالمؤشرات المالية وحدها، بل بمدى قدرتها على تحقيق قيمة مضافة متوازنة لجميع أصحاب المصلحة. وقد أثبتت الدراسات أن تبنّي ممارسات الاستدامة يعزز من الأداء المستدام للمنظمات، ويُسهم في بناء سمعتها ومكانتها التنافسية، ويُمكّنها من مواجهة التحديات الاستراتيجية بمرونة عالية (أبو حميدة والربابعة، 2025)</w:t>
      </w:r>
      <w:r w:rsidRPr="00CC60C6">
        <w:rPr>
          <w:rFonts w:ascii="Simplified Arabic" w:eastAsia="Times New Roman" w:hAnsi="Simplified Arabic" w:cs="Simplified Arabic"/>
          <w:kern w:val="0"/>
          <w:sz w:val="28"/>
          <w:szCs w:val="28"/>
          <w:lang w:bidi="ar-EG"/>
          <w14:ligatures w14:val="none"/>
        </w:rPr>
        <w:t>.</w:t>
      </w:r>
    </w:p>
    <w:p w14:paraId="41AFE522" w14:textId="14F7470C"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 xml:space="preserve">وفي السياق السعودي، يُمثّل صندوق الاستثمارات العامة نموذجاً رياديّاً لتلاقي التحول الرقمي المدعوم بالذكاء الاصطناعي مع ممارسات الاستدامة، إذ يقود الصندوق تحولاً اقتصادياً استراتيجياً في ضوء رؤية المملكة 2030، ويستثمر في محافظ متنوعة تُوازن بين العائد المالي والأثر الاستدامي. ومن هنا تنبثق أهمية دراسة أثر التحول الرقمي المدعوم بالذكاء الاصطناعي في تعزيز ممارسات استدامة الأعمال وانعكاس ذلك على الأداء المستدام في هذا الصندوق السيادي الرائد، بوصفها إضافةً علميةً وتطبيقيةً تُسهم في إثراء الأدبيات العربية وتقديم رؤى استراتيجية لصنّاع القرار في القطاع الاستثماري </w:t>
      </w:r>
    </w:p>
    <w:p w14:paraId="646623D5" w14:textId="12CDA543" w:rsidR="005C64B5" w:rsidRPr="00CC60C6" w:rsidRDefault="00CC60C6"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2" w:name="_Toc234293307"/>
      <w:r>
        <w:rPr>
          <w:rFonts w:ascii="Simplified Arabic" w:eastAsia="Calibri" w:hAnsi="Simplified Arabic" w:cs="Simplified Arabic" w:hint="cs"/>
          <w:b/>
          <w:bCs/>
          <w:color w:val="000000" w:themeColor="text1"/>
          <w:sz w:val="36"/>
          <w:szCs w:val="36"/>
          <w:rtl/>
          <w:lang w:bidi="ar-EG"/>
        </w:rPr>
        <w:t xml:space="preserve">2.1 </w:t>
      </w:r>
      <w:r w:rsidR="005C64B5" w:rsidRPr="00CC60C6">
        <w:rPr>
          <w:rFonts w:ascii="Simplified Arabic" w:eastAsia="Calibri" w:hAnsi="Simplified Arabic" w:cs="Simplified Arabic"/>
          <w:b/>
          <w:bCs/>
          <w:color w:val="000000" w:themeColor="text1"/>
          <w:sz w:val="36"/>
          <w:szCs w:val="36"/>
          <w:rtl/>
          <w:lang w:bidi="ar-EG"/>
        </w:rPr>
        <w:t>مشكلة الدراسة</w:t>
      </w:r>
      <w:bookmarkEnd w:id="12"/>
    </w:p>
    <w:p w14:paraId="3D799A3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يعيش العالم اليوم في قلب موجةٍ عارمةٍ من التحولات التقنية والاستراتيجية التي فرضتها الثورة الصناعية الرابعة، حيث باتت تقنيات الذكاء الاصطناعي والتحول الرقمي تُشكّل المحرّك الرئيسي لإعادة هندسة نماذج الأعمال وممارسات الإدارة في مختلف القطاعات. وعلى الرغم من الإجماع الأكاديمي والمهني على الأثر الإيجابي لهذه التقنيات في تعزيز الكفاءة التشغيلية والقدرة التنافسية، إلا أن ثمة فجوةً بحثيةً ملحوظةً في فهم كيفية توظيف هذه التقنيات في خدمة أهداف الاستدامة وتحقيق الأداء المستدام، ولا سيما في السياق العربي عموماً والسياق السعودي على وجه الخصوص، حيث تتشكّل ملامح تحولٍ اقتصاديٍّ استراتيجيٍّ غير مسبوقٍ في ظل رؤية المملكة 2030</w:t>
      </w:r>
      <w:r w:rsidRPr="00CC60C6">
        <w:rPr>
          <w:rFonts w:ascii="Simplified Arabic" w:eastAsia="Times New Roman" w:hAnsi="Simplified Arabic" w:cs="Simplified Arabic"/>
          <w:kern w:val="0"/>
          <w:sz w:val="28"/>
          <w:szCs w:val="28"/>
          <w:lang w:bidi="ar-EG"/>
          <w14:ligatures w14:val="none"/>
        </w:rPr>
        <w:t>.</w:t>
      </w:r>
    </w:p>
    <w:p w14:paraId="7D1D0E48"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 xml:space="preserve">وتتزايد حدّة هذه الفجوة حين ننظر إلى الكيانات الاستثمارية السيادية الكبرى كصندوق الاستثمارات العامة، الذي يقود قاطرة التحول الاقتصادي في المملكة العربية السعودية، ويُدير محافظ استثمارية ضخمة تستوجب توظيفاً متقدماً لتقنيات الذكاء الاصطناعي في إدارة المخاطر، وتحليل الفرص، ودعم القرارات الاستثمارية، مع الحرص </w:t>
      </w:r>
      <w:r w:rsidRPr="00CC60C6">
        <w:rPr>
          <w:rFonts w:ascii="Simplified Arabic" w:eastAsia="Times New Roman" w:hAnsi="Simplified Arabic" w:cs="Simplified Arabic"/>
          <w:kern w:val="0"/>
          <w:sz w:val="28"/>
          <w:szCs w:val="28"/>
          <w:rtl/>
          <w14:ligatures w14:val="none"/>
        </w:rPr>
        <w:lastRenderedPageBreak/>
        <w:t>المتزامن على تحقيق أهداف الاستدامة وفق معايير الحوكمة البيئية والاجتماعية والمؤسسية. ومع أن الأدبيات المعاصرة قد تناولت بشكلٍ واسعٍ أثر التحول الرقمي في الأداء المؤسسي، إلا أنها لم تُقدّم تصوراً متكاملاً حول الآلية التي يُسهم من خلالها التحول الرقمي المدعوم بالذكاء الاصطناعي في تعزيز ممارسات استدامة الأعمال وانعكاس ذلك على الأداء المستدام في الصناديق السيادية</w:t>
      </w:r>
      <w:r w:rsidRPr="00CC60C6">
        <w:rPr>
          <w:rFonts w:ascii="Simplified Arabic" w:eastAsia="Times New Roman" w:hAnsi="Simplified Arabic" w:cs="Simplified Arabic"/>
          <w:kern w:val="0"/>
          <w:sz w:val="28"/>
          <w:szCs w:val="28"/>
          <w:lang w:bidi="ar-EG"/>
          <w14:ligatures w14:val="none"/>
        </w:rPr>
        <w:t>.</w:t>
      </w:r>
    </w:p>
    <w:p w14:paraId="5EB9E11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ومن خلال استعراض الدراسات السابقة، تبيّن أن معظمها ركّز على العلاقة الثنائية إما بين التحول الرقمي والأداء المستدام (رستم وصقور، 2024)، أو بين الذكاء الاصطناعي والأداء المؤسسي (حامد، 2025)، أو بين ممارسات الاستدامة والأداء المستدام (أبو حميدة والربابعة، 2025)، دون أن تتناول العلاقة التكاملية الثلاثية بين التحول الرقمي المدعوم بالذكاء الاصطناعي وممارسات الاستدامة والأداء المستدام في إطارٍ واحدٍ متكامل. وقد أوصت دراسة</w:t>
      </w:r>
      <w:r w:rsidRPr="00CC60C6">
        <w:rPr>
          <w:rFonts w:ascii="Simplified Arabic" w:eastAsia="Times New Roman" w:hAnsi="Simplified Arabic" w:cs="Simplified Arabic"/>
          <w:kern w:val="0"/>
          <w:sz w:val="28"/>
          <w:szCs w:val="28"/>
          <w:lang w:bidi="ar-EG"/>
          <w14:ligatures w14:val="none"/>
        </w:rPr>
        <w:t xml:space="preserve"> Damnjanovi</w:t>
      </w:r>
      <w:r w:rsidRPr="00CC60C6">
        <w:rPr>
          <w:rFonts w:ascii="Cambria" w:eastAsia="Times New Roman" w:hAnsi="Cambria" w:cs="Cambria"/>
          <w:kern w:val="0"/>
          <w:sz w:val="28"/>
          <w:szCs w:val="28"/>
          <w:lang w:bidi="ar-EG"/>
          <w14:ligatures w14:val="none"/>
        </w:rPr>
        <w:t>ć</w:t>
      </w:r>
      <w:r w:rsidRPr="00CC60C6">
        <w:rPr>
          <w:rFonts w:ascii="Simplified Arabic" w:eastAsia="Times New Roman" w:hAnsi="Simplified Arabic" w:cs="Simplified Arabic"/>
          <w:kern w:val="0"/>
          <w:sz w:val="28"/>
          <w:szCs w:val="28"/>
          <w:lang w:bidi="ar-EG"/>
          <w14:ligatures w14:val="none"/>
        </w:rPr>
        <w:t xml:space="preserve"> et al. (2025) </w:t>
      </w:r>
      <w:r w:rsidRPr="00CC60C6">
        <w:rPr>
          <w:rFonts w:ascii="Simplified Arabic" w:eastAsia="Times New Roman" w:hAnsi="Simplified Arabic" w:cs="Simplified Arabic"/>
          <w:kern w:val="0"/>
          <w:sz w:val="28"/>
          <w:szCs w:val="28"/>
          <w:rtl/>
          <w14:ligatures w14:val="none"/>
        </w:rPr>
        <w:t>بضرورة إجراء المزيد من الدراسات التطبيقية التي تختبر هذه العلاقة الثلاثية في سياقاتٍ اقتصاديةٍ متنوعة، وهو ما يُبرّر الحاجة الماسّة إلى هذه الدراسة</w:t>
      </w:r>
      <w:r w:rsidRPr="00CC60C6">
        <w:rPr>
          <w:rFonts w:ascii="Simplified Arabic" w:eastAsia="Times New Roman" w:hAnsi="Simplified Arabic" w:cs="Simplified Arabic"/>
          <w:kern w:val="0"/>
          <w:sz w:val="28"/>
          <w:szCs w:val="28"/>
          <w:lang w:bidi="ar-EG"/>
          <w14:ligatures w14:val="none"/>
        </w:rPr>
        <w:t>.</w:t>
      </w:r>
    </w:p>
    <w:p w14:paraId="1BFDB9E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وتتعمّق مشكلة الدراسة أكثر حين ندرك أن صندوق الاستثمارات العامة يقف اليوم أمام تحدٍّ استراتيجيٍّ مزدوج: من جهةٍ تسريع تبنّي تقنيات الذكاء الاصطناعي لتعزيز كفاءته الاستثمارية ومواكبة نظرائه من الصناديق السيادية العالمية، ومن جهةٍ أخرى ترسيخ ممارسات الاستدامة في محافظه الاستثمارية بما يتماشى مع التوجهات العالمية ومتطلبات رؤية المملكة 2030. ويطرح هذا التحدي المزدوج تساؤلاتٍ جوهريةً حول الآلية التي يُمكن من خلالها للتحول الرقمي المدعوم بالذكاء الاصطناعي أن يكون رافعةً استراتيجيةً لتحقيق كلا الهدفين معاً، بدلاً من التعامل معهما بوصفهما مسارين متوازيين منفصلين</w:t>
      </w:r>
      <w:r w:rsidRPr="00CC60C6">
        <w:rPr>
          <w:rFonts w:ascii="Simplified Arabic" w:eastAsia="Times New Roman" w:hAnsi="Simplified Arabic" w:cs="Simplified Arabic"/>
          <w:kern w:val="0"/>
          <w:sz w:val="28"/>
          <w:szCs w:val="28"/>
          <w:lang w:bidi="ar-EG"/>
          <w14:ligatures w14:val="none"/>
        </w:rPr>
        <w:t>.</w:t>
      </w:r>
    </w:p>
    <w:p w14:paraId="6FD0A3E2" w14:textId="77777777" w:rsidR="005C64B5" w:rsidRDefault="005C64B5" w:rsidP="00CC60C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rtl/>
          <w14:ligatures w14:val="none"/>
        </w:rPr>
      </w:pPr>
      <w:r w:rsidRPr="00CC60C6">
        <w:rPr>
          <w:rFonts w:ascii="Simplified Arabic" w:eastAsia="Times New Roman" w:hAnsi="Simplified Arabic" w:cs="Simplified Arabic"/>
          <w:kern w:val="0"/>
          <w:sz w:val="28"/>
          <w:szCs w:val="28"/>
          <w:rtl/>
          <w14:ligatures w14:val="none"/>
        </w:rPr>
        <w:t>كما أن غياب دراسات تطبيقية عربية تتناول هذه العلاقة في سياق الصناديق السيادية يُشكّل فجوةً معرفيةً كبيرةً تستوجب المعالجة، إذ إن غالبية الدراسات المتاحة تتناول قطاعاتٍ صناعيةً أو خدميةً تقليدية، ولا تعكس خصوصية الكيانات الاستثمارية السيادية بما تتمتع به من ثقل اقتصادي وتأثير استراتيجي في مسار التنمية الوطنية. وبناءً على ما سبق، يُمكن صياغة مشكلة الدراسة في التساؤل الرئيسي الآتي</w:t>
      </w:r>
      <w:r w:rsidRPr="00CC60C6">
        <w:rPr>
          <w:rFonts w:ascii="Simplified Arabic" w:eastAsia="Times New Roman" w:hAnsi="Simplified Arabic" w:cs="Simplified Arabic"/>
          <w:kern w:val="0"/>
          <w:sz w:val="28"/>
          <w:szCs w:val="28"/>
          <w:lang w:bidi="ar-EG"/>
          <w14:ligatures w14:val="none"/>
        </w:rPr>
        <w:t xml:space="preserve">: </w:t>
      </w:r>
      <w:r w:rsidRPr="00CC60C6">
        <w:rPr>
          <w:rFonts w:ascii="Simplified Arabic" w:eastAsia="Times New Roman" w:hAnsi="Simplified Arabic" w:cs="Simplified Arabic"/>
          <w:b/>
          <w:bCs/>
          <w:kern w:val="0"/>
          <w:sz w:val="28"/>
          <w:szCs w:val="28"/>
          <w:rtl/>
          <w14:ligatures w14:val="none"/>
        </w:rPr>
        <w:t>ما أثر التحول الرقمي المدعوم بالذكاء الاصطناعي بأبعاده المختلفة في تعزيز ممارسات استدامة الأعمال وانعكاس ذلك على الأداء المستدام في صندوق الاستثمارات العامة بالمملكة العربية السعودية؟</w:t>
      </w:r>
    </w:p>
    <w:p w14:paraId="1B983583" w14:textId="77777777" w:rsidR="00CC60C6" w:rsidRPr="00CC60C6" w:rsidRDefault="00CC60C6"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p>
    <w:p w14:paraId="5E6E37C6" w14:textId="3BEFEF58" w:rsidR="005C64B5" w:rsidRPr="00CC60C6" w:rsidRDefault="00CC60C6"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3" w:name="_Toc234293308"/>
      <w:r>
        <w:rPr>
          <w:rFonts w:ascii="Simplified Arabic" w:eastAsia="Calibri" w:hAnsi="Simplified Arabic" w:cs="Simplified Arabic" w:hint="cs"/>
          <w:b/>
          <w:bCs/>
          <w:color w:val="000000" w:themeColor="text1"/>
          <w:sz w:val="36"/>
          <w:szCs w:val="36"/>
          <w:rtl/>
          <w:lang w:bidi="ar-EG"/>
        </w:rPr>
        <w:t xml:space="preserve">3.1 </w:t>
      </w:r>
      <w:r w:rsidR="005C64B5" w:rsidRPr="00CC60C6">
        <w:rPr>
          <w:rFonts w:ascii="Simplified Arabic" w:eastAsia="Calibri" w:hAnsi="Simplified Arabic" w:cs="Simplified Arabic"/>
          <w:b/>
          <w:bCs/>
          <w:color w:val="000000" w:themeColor="text1"/>
          <w:sz w:val="36"/>
          <w:szCs w:val="36"/>
          <w:rtl/>
          <w:lang w:bidi="ar-EG"/>
        </w:rPr>
        <w:t>أهمية الدراسة</w:t>
      </w:r>
      <w:bookmarkEnd w:id="13"/>
    </w:p>
    <w:p w14:paraId="455E8E7B"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lastRenderedPageBreak/>
        <w:t>الأهمية العلمية (النظرية)</w:t>
      </w:r>
    </w:p>
    <w:p w14:paraId="578CDF92"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تُسهم الدراسة في إثراء الأدبيات العربية والدولية في مجال التحول الرقمي المدعوم بالذكاء الاصطناعي وعلاقته بممارسات استدامة الأعمال والأداء المستدام، وسدّ فجوة بحثية ملحوظة في هذا المجال</w:t>
      </w:r>
      <w:r w:rsidRPr="00CC60C6">
        <w:rPr>
          <w:rFonts w:ascii="Simplified Arabic" w:eastAsia="Times New Roman" w:hAnsi="Simplified Arabic" w:cs="Simplified Arabic"/>
          <w:kern w:val="0"/>
          <w:sz w:val="28"/>
          <w:szCs w:val="28"/>
          <w:lang w:bidi="ar-EG"/>
          <w14:ligatures w14:val="none"/>
        </w:rPr>
        <w:t>.</w:t>
      </w:r>
    </w:p>
    <w:p w14:paraId="5269CA8A"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تُقدّم إطاراً نظرياً متكاملاً يجمع بين ثلاثة متغيرات محورية (التحول الرقمي المدعوم بالذكاء الاصطناعي، ممارسات الاستدامة، الأداء المستدام) في نموذجٍ بحثيٍّ واحد، وهو ما لم تتناوله الدراسات السابقة بشكل متكامل</w:t>
      </w:r>
      <w:r w:rsidRPr="00CC60C6">
        <w:rPr>
          <w:rFonts w:ascii="Simplified Arabic" w:eastAsia="Times New Roman" w:hAnsi="Simplified Arabic" w:cs="Simplified Arabic"/>
          <w:kern w:val="0"/>
          <w:sz w:val="28"/>
          <w:szCs w:val="28"/>
          <w:lang w:bidi="ar-EG"/>
          <w14:ligatures w14:val="none"/>
        </w:rPr>
        <w:t>.</w:t>
      </w:r>
    </w:p>
    <w:p w14:paraId="3F8BFC8E"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تُثري الأدبيات المتعلقة بالصناديق السيادية والكيانات الاستثمارية الكبرى، إذ إن معظم الدراسات السابقة ركّزت على القطاعات الصناعية والخدمية التقليدية</w:t>
      </w:r>
      <w:r w:rsidRPr="00CC60C6">
        <w:rPr>
          <w:rFonts w:ascii="Simplified Arabic" w:eastAsia="Times New Roman" w:hAnsi="Simplified Arabic" w:cs="Simplified Arabic"/>
          <w:kern w:val="0"/>
          <w:sz w:val="28"/>
          <w:szCs w:val="28"/>
          <w:lang w:bidi="ar-EG"/>
          <w14:ligatures w14:val="none"/>
        </w:rPr>
        <w:t>.</w:t>
      </w:r>
    </w:p>
    <w:p w14:paraId="7864A70E"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تفتح الدراسة آفاقاً بحثيةً جديدةً أمام الباحثين لاستكشاف أبعاد أخرى للعلاقة بين الذكاء الاصطناعي والاستدامة في سياقاتٍ اقتصاديةٍ متنوعة</w:t>
      </w:r>
      <w:r w:rsidRPr="00CC60C6">
        <w:rPr>
          <w:rFonts w:ascii="Simplified Arabic" w:eastAsia="Times New Roman" w:hAnsi="Simplified Arabic" w:cs="Simplified Arabic"/>
          <w:kern w:val="0"/>
          <w:sz w:val="28"/>
          <w:szCs w:val="28"/>
          <w:lang w:bidi="ar-EG"/>
          <w14:ligatures w14:val="none"/>
        </w:rPr>
        <w:t>.</w:t>
      </w:r>
    </w:p>
    <w:p w14:paraId="4869AB43"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تُسهم في تطوير المقاييس والأدوات البحثية المرتبطة بقياس أثر تقنيات الذكاء الاصطناعي على مخرجات الاستدامة في البيئة العربية</w:t>
      </w:r>
      <w:r w:rsidRPr="00CC60C6">
        <w:rPr>
          <w:rFonts w:ascii="Simplified Arabic" w:eastAsia="Times New Roman" w:hAnsi="Simplified Arabic" w:cs="Simplified Arabic"/>
          <w:kern w:val="0"/>
          <w:sz w:val="28"/>
          <w:szCs w:val="28"/>
          <w:lang w:bidi="ar-EG"/>
          <w14:ligatures w14:val="none"/>
        </w:rPr>
        <w:t>.</w:t>
      </w:r>
    </w:p>
    <w:p w14:paraId="18DC07D4"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الأهمية العملية (التطبيقية)</w:t>
      </w:r>
    </w:p>
    <w:p w14:paraId="4C25055D"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تُقدّم الدراسة رؤى استراتيجية عملية لصنّاع القرار في صندوق الاستثمارات العامة حول كيفية توظيف تقنيات الذكاء الاصطناعي لتعزيز ممارسات الاستدامة في محافظه الاستثمارية</w:t>
      </w:r>
      <w:r w:rsidRPr="00CC60C6">
        <w:rPr>
          <w:rFonts w:ascii="Simplified Arabic" w:eastAsia="Times New Roman" w:hAnsi="Simplified Arabic" w:cs="Simplified Arabic"/>
          <w:kern w:val="0"/>
          <w:sz w:val="28"/>
          <w:szCs w:val="28"/>
          <w14:ligatures w14:val="none"/>
        </w:rPr>
        <w:t>.</w:t>
      </w:r>
    </w:p>
    <w:p w14:paraId="434BA736"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تُساعد القيادات التنفيذية في الصندوق على فهم الأبعاد الحرجة للتحول الرقمي التي تُحدث الأثر الأكبر في تحقيق الأداء المستدام</w:t>
      </w:r>
      <w:r w:rsidRPr="00CC60C6">
        <w:rPr>
          <w:rFonts w:ascii="Simplified Arabic" w:eastAsia="Times New Roman" w:hAnsi="Simplified Arabic" w:cs="Simplified Arabic"/>
          <w:kern w:val="0"/>
          <w:sz w:val="28"/>
          <w:szCs w:val="28"/>
          <w14:ligatures w14:val="none"/>
        </w:rPr>
        <w:t>.</w:t>
      </w:r>
    </w:p>
    <w:p w14:paraId="485AA812"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تُسهم في دعم توجهات رؤية المملكة 2030 من خلال تقديم توصيات تطبيقية تُعزز من قدرة الصندوق على الجمع بين التميّز الاستثماري والريادة في الاستدامة</w:t>
      </w:r>
      <w:r w:rsidRPr="00CC60C6">
        <w:rPr>
          <w:rFonts w:ascii="Simplified Arabic" w:eastAsia="Times New Roman" w:hAnsi="Simplified Arabic" w:cs="Simplified Arabic"/>
          <w:kern w:val="0"/>
          <w:sz w:val="28"/>
          <w:szCs w:val="28"/>
          <w14:ligatures w14:val="none"/>
        </w:rPr>
        <w:t>.</w:t>
      </w:r>
    </w:p>
    <w:p w14:paraId="58EE9221"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تُوفّر مرجعاً تطبيقياً للصناديق السيادية والكيانات الاستثمارية الأخرى في المنطقة العربية الراغبة في تبنّي نموذجٍ متكاملٍ يجمع بين التحول الرقمي والاستدامة</w:t>
      </w:r>
      <w:r w:rsidRPr="00CC60C6">
        <w:rPr>
          <w:rFonts w:ascii="Simplified Arabic" w:eastAsia="Times New Roman" w:hAnsi="Simplified Arabic" w:cs="Simplified Arabic"/>
          <w:kern w:val="0"/>
          <w:sz w:val="28"/>
          <w:szCs w:val="28"/>
          <w14:ligatures w14:val="none"/>
        </w:rPr>
        <w:t>.</w:t>
      </w:r>
    </w:p>
    <w:p w14:paraId="5368E2CA"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تُساعد الجهات التنظيمية والتشريعية في تطوير الأطر الحاكمة لتبنّي تقنيات الذكاء الاصطناعي في القطاع الاستثماري بما يخدم أهداف الاستدامة الوطنية</w:t>
      </w:r>
      <w:r w:rsidRPr="00CC60C6">
        <w:rPr>
          <w:rFonts w:ascii="Simplified Arabic" w:eastAsia="Times New Roman" w:hAnsi="Simplified Arabic" w:cs="Simplified Arabic"/>
          <w:kern w:val="0"/>
          <w:sz w:val="28"/>
          <w:szCs w:val="28"/>
          <w14:ligatures w14:val="none"/>
        </w:rPr>
        <w:t>.</w:t>
      </w:r>
    </w:p>
    <w:p w14:paraId="79D14150"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تُسهم في تطوير برامج تدريبية متخصصة للكوادر البشرية العاملة في الصندوق بما يُمكّنها من قيادة التحول الرقمي المستدام</w:t>
      </w:r>
      <w:r w:rsidRPr="00CC60C6">
        <w:rPr>
          <w:rFonts w:ascii="Simplified Arabic" w:eastAsia="Times New Roman" w:hAnsi="Simplified Arabic" w:cs="Simplified Arabic"/>
          <w:kern w:val="0"/>
          <w:sz w:val="28"/>
          <w:szCs w:val="28"/>
          <w14:ligatures w14:val="none"/>
        </w:rPr>
        <w:t>.</w:t>
      </w:r>
    </w:p>
    <w:p w14:paraId="46953BF8" w14:textId="589824C9" w:rsidR="005C64B5" w:rsidRPr="00CC60C6" w:rsidRDefault="00CC60C6"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4" w:name="_Toc234293309"/>
      <w:r>
        <w:rPr>
          <w:rFonts w:ascii="Simplified Arabic" w:eastAsia="Calibri" w:hAnsi="Simplified Arabic" w:cs="Simplified Arabic" w:hint="cs"/>
          <w:b/>
          <w:bCs/>
          <w:color w:val="000000" w:themeColor="text1"/>
          <w:sz w:val="36"/>
          <w:szCs w:val="36"/>
          <w:rtl/>
          <w:lang w:bidi="ar-EG"/>
        </w:rPr>
        <w:lastRenderedPageBreak/>
        <w:t xml:space="preserve">4.1 </w:t>
      </w:r>
      <w:r w:rsidR="005C64B5" w:rsidRPr="00CC60C6">
        <w:rPr>
          <w:rFonts w:ascii="Simplified Arabic" w:eastAsia="Calibri" w:hAnsi="Simplified Arabic" w:cs="Simplified Arabic"/>
          <w:b/>
          <w:bCs/>
          <w:color w:val="000000" w:themeColor="text1"/>
          <w:sz w:val="36"/>
          <w:szCs w:val="36"/>
          <w:rtl/>
          <w:lang w:bidi="ar-EG"/>
        </w:rPr>
        <w:t>أهداف الدراسة</w:t>
      </w:r>
      <w:bookmarkEnd w:id="14"/>
    </w:p>
    <w:p w14:paraId="662A776D"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الهدف الرئيسي</w:t>
      </w:r>
    </w:p>
    <w:p w14:paraId="063484B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 xml:space="preserve">تهدف الدراسة إلى </w:t>
      </w:r>
      <w:r w:rsidRPr="00CC60C6">
        <w:rPr>
          <w:rFonts w:ascii="Simplified Arabic" w:eastAsia="Times New Roman" w:hAnsi="Simplified Arabic" w:cs="Simplified Arabic"/>
          <w:b/>
          <w:bCs/>
          <w:kern w:val="0"/>
          <w:sz w:val="28"/>
          <w:szCs w:val="28"/>
          <w:rtl/>
          <w14:ligatures w14:val="none"/>
        </w:rPr>
        <w:t>دراسة أثر التحول الرقمي المدعوم بالذكاء الاصطناعي بأبعاده (البنية التحتية الرقمية الذكية، الأتمتة الذكية والتعلم الآلي، تحليل البيانات الضخمة، القيادة الرقمية، الثقافة الرقمية) على ممارسات استدامة الأعمال والأداء المستدام في صندوق الاستثمارات العامة بالمملكة العربية السعودية</w:t>
      </w:r>
      <w:r w:rsidRPr="00CC60C6">
        <w:rPr>
          <w:rFonts w:ascii="Simplified Arabic" w:eastAsia="Times New Roman" w:hAnsi="Simplified Arabic" w:cs="Simplified Arabic"/>
          <w:kern w:val="0"/>
          <w:sz w:val="28"/>
          <w:szCs w:val="28"/>
          <w:lang w:bidi="ar-EG"/>
          <w14:ligatures w14:val="none"/>
        </w:rPr>
        <w:t>.</w:t>
      </w:r>
    </w:p>
    <w:p w14:paraId="27D50EF8"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الأهداف الفرعية</w:t>
      </w:r>
    </w:p>
    <w:p w14:paraId="33ABFE6F"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التعرف على المستوى الفعلي لتطبيق التحول الرقمي المدعوم بالذكاء الاصطناعي بأبعاده المختلفة في صندوق الاستثمارات العامة</w:t>
      </w:r>
      <w:r w:rsidRPr="00CC60C6">
        <w:rPr>
          <w:rFonts w:ascii="Simplified Arabic" w:eastAsia="Times New Roman" w:hAnsi="Simplified Arabic" w:cs="Simplified Arabic"/>
          <w:kern w:val="0"/>
          <w:sz w:val="28"/>
          <w:szCs w:val="28"/>
          <w14:ligatures w14:val="none"/>
        </w:rPr>
        <w:t>.</w:t>
      </w:r>
    </w:p>
    <w:p w14:paraId="684CC6F5"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تحديد مستوى تبنّي ممارسات استدامة الأعمال بأبعادها (البُعد الاقتصادي، البُعد الاجتماعي، البُعد البيئي، بُعد الحوكمة) في الصندوق</w:t>
      </w:r>
      <w:r w:rsidRPr="00CC60C6">
        <w:rPr>
          <w:rFonts w:ascii="Simplified Arabic" w:eastAsia="Times New Roman" w:hAnsi="Simplified Arabic" w:cs="Simplified Arabic"/>
          <w:kern w:val="0"/>
          <w:sz w:val="28"/>
          <w:szCs w:val="28"/>
          <w14:ligatures w14:val="none"/>
        </w:rPr>
        <w:t>.</w:t>
      </w:r>
    </w:p>
    <w:p w14:paraId="64798EA7"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قياس مستوى الأداء المستدام بأبعاده (الأداء الاقتصادي المستدام، الأداء الاجتماعي المستدام، الأداء البيئي المستدام) في الصندوق</w:t>
      </w:r>
      <w:r w:rsidRPr="00CC60C6">
        <w:rPr>
          <w:rFonts w:ascii="Simplified Arabic" w:eastAsia="Times New Roman" w:hAnsi="Simplified Arabic" w:cs="Simplified Arabic"/>
          <w:kern w:val="0"/>
          <w:sz w:val="28"/>
          <w:szCs w:val="28"/>
          <w14:ligatures w14:val="none"/>
        </w:rPr>
        <w:t>.</w:t>
      </w:r>
    </w:p>
    <w:p w14:paraId="26627ADB"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الكشف عن أثر التحول الرقمي المدعوم بالذكاء الاصطناعي بأبعاده مجتمعةً ومنفردةً على ممارسات استدامة الأعمال في الصندوق</w:t>
      </w:r>
      <w:r w:rsidRPr="00CC60C6">
        <w:rPr>
          <w:rFonts w:ascii="Simplified Arabic" w:eastAsia="Times New Roman" w:hAnsi="Simplified Arabic" w:cs="Simplified Arabic"/>
          <w:kern w:val="0"/>
          <w:sz w:val="28"/>
          <w:szCs w:val="28"/>
          <w14:ligatures w14:val="none"/>
        </w:rPr>
        <w:t>.</w:t>
      </w:r>
    </w:p>
    <w:p w14:paraId="2B0FE366"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تحليل أثر التحول الرقمي المدعوم بالذكاء الاصطناعي بأبعاده مجتمعةً ومنفردةً على الأداء المستدام في الصندوق</w:t>
      </w:r>
      <w:r w:rsidRPr="00CC60C6">
        <w:rPr>
          <w:rFonts w:ascii="Simplified Arabic" w:eastAsia="Times New Roman" w:hAnsi="Simplified Arabic" w:cs="Simplified Arabic"/>
          <w:kern w:val="0"/>
          <w:sz w:val="28"/>
          <w:szCs w:val="28"/>
          <w14:ligatures w14:val="none"/>
        </w:rPr>
        <w:t>.</w:t>
      </w:r>
    </w:p>
    <w:p w14:paraId="1B93909B"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استكشاف طبيعة العلاقة بين ممارسات استدامة الأعمال والأداء المستدام في الصندوق</w:t>
      </w:r>
      <w:r w:rsidRPr="00CC60C6">
        <w:rPr>
          <w:rFonts w:ascii="Simplified Arabic" w:eastAsia="Times New Roman" w:hAnsi="Simplified Arabic" w:cs="Simplified Arabic"/>
          <w:kern w:val="0"/>
          <w:sz w:val="28"/>
          <w:szCs w:val="28"/>
          <w14:ligatures w14:val="none"/>
        </w:rPr>
        <w:t>.</w:t>
      </w:r>
    </w:p>
    <w:p w14:paraId="071F47E7"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اختبار الدور الوسيط لممارسات استدامة الأعمال في العلاقة بين التحول الرقمي المدعوم بالذكاء الاصطناعي والأداء المستدام</w:t>
      </w:r>
      <w:r w:rsidRPr="00CC60C6">
        <w:rPr>
          <w:rFonts w:ascii="Simplified Arabic" w:eastAsia="Times New Roman" w:hAnsi="Simplified Arabic" w:cs="Simplified Arabic"/>
          <w:kern w:val="0"/>
          <w:sz w:val="28"/>
          <w:szCs w:val="28"/>
          <w14:ligatures w14:val="none"/>
        </w:rPr>
        <w:t>.</w:t>
      </w:r>
    </w:p>
    <w:p w14:paraId="5616283B"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تقديم إطارٍ مقترحٍ يُسهم في تعظيم الاستفادة من التحول الرقمي المدعوم بالذكاء الاصطناعي في تحقيق الأداء المستدام في الصندوق</w:t>
      </w:r>
      <w:r w:rsidRPr="00CC60C6">
        <w:rPr>
          <w:rFonts w:ascii="Simplified Arabic" w:eastAsia="Times New Roman" w:hAnsi="Simplified Arabic" w:cs="Simplified Arabic"/>
          <w:kern w:val="0"/>
          <w:sz w:val="28"/>
          <w:szCs w:val="28"/>
          <w14:ligatures w14:val="none"/>
        </w:rPr>
        <w:t>.</w:t>
      </w:r>
    </w:p>
    <w:p w14:paraId="77F7C3E5" w14:textId="002BC53A" w:rsidR="005C64B5" w:rsidRPr="00CC60C6" w:rsidRDefault="00CC60C6"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5" w:name="_Toc234293310"/>
      <w:r>
        <w:rPr>
          <w:rFonts w:ascii="Simplified Arabic" w:eastAsia="Calibri" w:hAnsi="Simplified Arabic" w:cs="Simplified Arabic" w:hint="cs"/>
          <w:b/>
          <w:bCs/>
          <w:color w:val="000000" w:themeColor="text1"/>
          <w:sz w:val="36"/>
          <w:szCs w:val="36"/>
          <w:rtl/>
          <w:lang w:bidi="ar-EG"/>
        </w:rPr>
        <w:t xml:space="preserve">5.1 </w:t>
      </w:r>
      <w:r w:rsidR="005C64B5" w:rsidRPr="00CC60C6">
        <w:rPr>
          <w:rFonts w:ascii="Simplified Arabic" w:eastAsia="Calibri" w:hAnsi="Simplified Arabic" w:cs="Simplified Arabic"/>
          <w:b/>
          <w:bCs/>
          <w:color w:val="000000" w:themeColor="text1"/>
          <w:sz w:val="36"/>
          <w:szCs w:val="36"/>
          <w:rtl/>
          <w:lang w:bidi="ar-EG"/>
        </w:rPr>
        <w:t>أسئلة الدراسة</w:t>
      </w:r>
      <w:bookmarkEnd w:id="15"/>
    </w:p>
    <w:p w14:paraId="7723319B"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السؤال الرئيسي</w:t>
      </w:r>
    </w:p>
    <w:p w14:paraId="1C330C9C"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lastRenderedPageBreak/>
        <w:t>ما أثر التحول الرقمي المدعوم بالذكاء الاصطناعي بأبعاده (البنية التحتية الرقمية الذكية، الأتمتة الذكية والتعلم الآلي، تحليل البيانات الضخمة، القيادة الرقمية، الثقافة الرقمية) في تعزيز ممارسات استدامة الأعمال وانعكاس ذلك على الأداء المستدام في صندوق الاستثمارات العامة؟</w:t>
      </w:r>
    </w:p>
    <w:p w14:paraId="6D77758A"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الأسئلة الفرعية</w:t>
      </w:r>
    </w:p>
    <w:p w14:paraId="1AE52A2B"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ما مستوى تطبيق التحول الرقمي المدعوم بالذكاء الاصطناعي بأبعاده المختلفة في صندوق الاستثمارات العامة؟</w:t>
      </w:r>
    </w:p>
    <w:p w14:paraId="648F70FC"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ما مستوى تبنّي ممارسات استدامة الأعمال بأبعادها المختلفة في الصندوق؟</w:t>
      </w:r>
    </w:p>
    <w:p w14:paraId="6DEE6AAE"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ما مستوى الأداء المستدام بأبعاده المختلفة في الصندوق؟</w:t>
      </w:r>
    </w:p>
    <w:p w14:paraId="6E7F8E11"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ما أثر التحول الرقمي المدعوم بالذكاء الاصطناعي بأبعاده على ممارسات استدامة الأعمال في الصندوق؟</w:t>
      </w:r>
    </w:p>
    <w:p w14:paraId="2E7A21EE"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ما أثر التحول الرقمي المدعوم بالذكاء الاصطناعي بأبعاده على الأداء المستدام في الصندوق؟</w:t>
      </w:r>
    </w:p>
    <w:p w14:paraId="1E7475C3"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ما طبيعة العلاقة بين ممارسات استدامة الأعمال والأداء المستدام في الصندوق؟</w:t>
      </w:r>
    </w:p>
    <w:p w14:paraId="74D68C8F"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ما الدور الوسيط لممارسات استدامة الأعمال في العلاقة بين التحول الرقمي المدعوم بالذكاء الاصطناعي والأداء المستدام في الصندوق؟</w:t>
      </w:r>
    </w:p>
    <w:p w14:paraId="2606AAF4" w14:textId="5B24E7A0" w:rsidR="005C64B5" w:rsidRPr="00CC60C6" w:rsidRDefault="00CC60C6"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6" w:name="_Toc234293311"/>
      <w:r>
        <w:rPr>
          <w:rFonts w:ascii="Simplified Arabic" w:eastAsia="Calibri" w:hAnsi="Simplified Arabic" w:cs="Simplified Arabic" w:hint="cs"/>
          <w:b/>
          <w:bCs/>
          <w:color w:val="000000" w:themeColor="text1"/>
          <w:sz w:val="36"/>
          <w:szCs w:val="36"/>
          <w:rtl/>
          <w:lang w:bidi="ar-EG"/>
        </w:rPr>
        <w:t xml:space="preserve">6.1 </w:t>
      </w:r>
      <w:r w:rsidR="005C64B5" w:rsidRPr="00CC60C6">
        <w:rPr>
          <w:rFonts w:ascii="Simplified Arabic" w:eastAsia="Calibri" w:hAnsi="Simplified Arabic" w:cs="Simplified Arabic"/>
          <w:b/>
          <w:bCs/>
          <w:color w:val="000000" w:themeColor="text1"/>
          <w:sz w:val="36"/>
          <w:szCs w:val="36"/>
          <w:rtl/>
          <w:lang w:bidi="ar-EG"/>
        </w:rPr>
        <w:t>فروض الدراسة</w:t>
      </w:r>
      <w:bookmarkEnd w:id="16"/>
    </w:p>
    <w:p w14:paraId="68D92A9B"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الفرض الرئيسي الأول</w:t>
      </w:r>
    </w:p>
    <w:p w14:paraId="6E445F9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يوجد أثر ذو دلالة إحصائية عند مستوى معنوية</w:t>
      </w:r>
      <w:r w:rsidRPr="00CC60C6">
        <w:rPr>
          <w:rFonts w:ascii="Simplified Arabic" w:eastAsia="Times New Roman" w:hAnsi="Simplified Arabic" w:cs="Simplified Arabic"/>
          <w:b/>
          <w:bCs/>
          <w:kern w:val="0"/>
          <w:sz w:val="28"/>
          <w:szCs w:val="28"/>
          <w:lang w:bidi="ar-EG"/>
          <w14:ligatures w14:val="none"/>
        </w:rPr>
        <w:t xml:space="preserve"> (</w:t>
      </w:r>
      <w:r w:rsidRPr="00CC60C6">
        <w:rPr>
          <w:rFonts w:ascii="Cambria" w:eastAsia="Times New Roman" w:hAnsi="Cambria" w:cs="Cambria"/>
          <w:b/>
          <w:bCs/>
          <w:kern w:val="0"/>
          <w:sz w:val="28"/>
          <w:szCs w:val="28"/>
          <w:lang w:bidi="ar-EG"/>
          <w14:ligatures w14:val="none"/>
        </w:rPr>
        <w:t>α</w:t>
      </w:r>
      <w:r w:rsidRPr="00CC60C6">
        <w:rPr>
          <w:rFonts w:ascii="Simplified Arabic" w:eastAsia="Times New Roman" w:hAnsi="Simplified Arabic" w:cs="Simplified Arabic"/>
          <w:b/>
          <w:bCs/>
          <w:kern w:val="0"/>
          <w:sz w:val="28"/>
          <w:szCs w:val="28"/>
          <w:lang w:bidi="ar-EG"/>
          <w14:ligatures w14:val="none"/>
        </w:rPr>
        <w:t xml:space="preserve"> </w:t>
      </w:r>
      <w:r w:rsidRPr="00CC60C6">
        <w:rPr>
          <w:rFonts w:ascii="Cambria Math" w:eastAsia="Times New Roman" w:hAnsi="Cambria Math" w:cs="Cambria Math"/>
          <w:b/>
          <w:bCs/>
          <w:kern w:val="0"/>
          <w:sz w:val="28"/>
          <w:szCs w:val="28"/>
          <w:lang w:bidi="ar-EG"/>
          <w14:ligatures w14:val="none"/>
        </w:rPr>
        <w:t>≤</w:t>
      </w:r>
      <w:r w:rsidRPr="00CC60C6">
        <w:rPr>
          <w:rFonts w:ascii="Simplified Arabic" w:eastAsia="Times New Roman" w:hAnsi="Simplified Arabic" w:cs="Simplified Arabic"/>
          <w:b/>
          <w:bCs/>
          <w:kern w:val="0"/>
          <w:sz w:val="28"/>
          <w:szCs w:val="28"/>
          <w:lang w:bidi="ar-EG"/>
          <w14:ligatures w14:val="none"/>
        </w:rPr>
        <w:t xml:space="preserve"> 0.05) </w:t>
      </w:r>
      <w:r w:rsidRPr="00CC60C6">
        <w:rPr>
          <w:rFonts w:ascii="Simplified Arabic" w:eastAsia="Times New Roman" w:hAnsi="Simplified Arabic" w:cs="Simplified Arabic"/>
          <w:b/>
          <w:bCs/>
          <w:kern w:val="0"/>
          <w:sz w:val="28"/>
          <w:szCs w:val="28"/>
          <w:rtl/>
          <w14:ligatures w14:val="none"/>
        </w:rPr>
        <w:t>للتحول الرقمي المدعوم بالذكاء الاصطناعي بأبعاده (البنية التحتية الرقمية الذكية، الأتمتة الذكية والتعلم الآلي، تحليل البيانات الضخمة، القيادة الرقمية، الثقافة الرقمية) على ممارسات استدامة الأعمال في صندوق الاستثمارات العامة</w:t>
      </w:r>
      <w:r w:rsidRPr="00CC60C6">
        <w:rPr>
          <w:rFonts w:ascii="Simplified Arabic" w:eastAsia="Times New Roman" w:hAnsi="Simplified Arabic" w:cs="Simplified Arabic"/>
          <w:b/>
          <w:bCs/>
          <w:kern w:val="0"/>
          <w:sz w:val="28"/>
          <w:szCs w:val="28"/>
          <w:lang w:bidi="ar-EG"/>
          <w14:ligatures w14:val="none"/>
        </w:rPr>
        <w:t>.</w:t>
      </w:r>
    </w:p>
    <w:p w14:paraId="5013F12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ويتفرّع منه الفروض الفرعية الآتية</w:t>
      </w:r>
      <w:r w:rsidRPr="00CC60C6">
        <w:rPr>
          <w:rFonts w:ascii="Simplified Arabic" w:eastAsia="Times New Roman" w:hAnsi="Simplified Arabic" w:cs="Simplified Arabic"/>
          <w:kern w:val="0"/>
          <w:sz w:val="28"/>
          <w:szCs w:val="28"/>
          <w:lang w:bidi="ar-EG"/>
          <w14:ligatures w14:val="none"/>
        </w:rPr>
        <w:t>:</w:t>
      </w:r>
    </w:p>
    <w:p w14:paraId="28185CEF"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يوجد أثر ذو دلالة إحصائية للبنية التحتية الرقمية الذكية على ممارسات استدامة الأعمال في الصندوق</w:t>
      </w:r>
      <w:r w:rsidRPr="00CC60C6">
        <w:rPr>
          <w:rFonts w:ascii="Simplified Arabic" w:eastAsia="Times New Roman" w:hAnsi="Simplified Arabic" w:cs="Simplified Arabic"/>
          <w:kern w:val="0"/>
          <w:sz w:val="28"/>
          <w:szCs w:val="28"/>
          <w14:ligatures w14:val="none"/>
        </w:rPr>
        <w:t>.</w:t>
      </w:r>
    </w:p>
    <w:p w14:paraId="49B213E4"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يوجد أثر ذو دلالة إحصائية للأتمتة الذكية والتعلم الآلي على ممارسات استدامة الأعمال في الصندوق</w:t>
      </w:r>
      <w:r w:rsidRPr="00CC60C6">
        <w:rPr>
          <w:rFonts w:ascii="Simplified Arabic" w:eastAsia="Times New Roman" w:hAnsi="Simplified Arabic" w:cs="Simplified Arabic"/>
          <w:kern w:val="0"/>
          <w:sz w:val="28"/>
          <w:szCs w:val="28"/>
          <w14:ligatures w14:val="none"/>
        </w:rPr>
        <w:t>.</w:t>
      </w:r>
    </w:p>
    <w:p w14:paraId="4FB1EE37"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يوجد أثر ذو دلالة إحصائية لتحليل البيانات الضخمة على ممارسات استدامة الأعمال في الصندوق</w:t>
      </w:r>
      <w:r w:rsidRPr="00CC60C6">
        <w:rPr>
          <w:rFonts w:ascii="Simplified Arabic" w:eastAsia="Times New Roman" w:hAnsi="Simplified Arabic" w:cs="Simplified Arabic"/>
          <w:kern w:val="0"/>
          <w:sz w:val="28"/>
          <w:szCs w:val="28"/>
          <w14:ligatures w14:val="none"/>
        </w:rPr>
        <w:t>.</w:t>
      </w:r>
    </w:p>
    <w:p w14:paraId="780C8C65"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يوجد أثر ذو دلالة إحصائية للقيادة الرقمية على ممارسات استدامة الأعمال في الصندوق</w:t>
      </w:r>
      <w:r w:rsidRPr="00CC60C6">
        <w:rPr>
          <w:rFonts w:ascii="Simplified Arabic" w:eastAsia="Times New Roman" w:hAnsi="Simplified Arabic" w:cs="Simplified Arabic"/>
          <w:kern w:val="0"/>
          <w:sz w:val="28"/>
          <w:szCs w:val="28"/>
          <w14:ligatures w14:val="none"/>
        </w:rPr>
        <w:t>.</w:t>
      </w:r>
    </w:p>
    <w:p w14:paraId="1472E56C"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lastRenderedPageBreak/>
        <w:t>يوجد أثر ذو دلالة إحصائية للثقافة الرقمية على ممارسات استدامة الأعمال في الصندوق</w:t>
      </w:r>
      <w:r w:rsidRPr="00CC60C6">
        <w:rPr>
          <w:rFonts w:ascii="Simplified Arabic" w:eastAsia="Times New Roman" w:hAnsi="Simplified Arabic" w:cs="Simplified Arabic"/>
          <w:kern w:val="0"/>
          <w:sz w:val="28"/>
          <w:szCs w:val="28"/>
          <w14:ligatures w14:val="none"/>
        </w:rPr>
        <w:t>.</w:t>
      </w:r>
    </w:p>
    <w:p w14:paraId="16D814E9"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الفرض الرئيسي الثاني</w:t>
      </w:r>
    </w:p>
    <w:p w14:paraId="7AA6FCB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يوجد أثر ذو دلالة إحصائية عند مستوى معنوية</w:t>
      </w:r>
      <w:r w:rsidRPr="00CC60C6">
        <w:rPr>
          <w:rFonts w:ascii="Simplified Arabic" w:eastAsia="Times New Roman" w:hAnsi="Simplified Arabic" w:cs="Simplified Arabic"/>
          <w:b/>
          <w:bCs/>
          <w:kern w:val="0"/>
          <w:sz w:val="28"/>
          <w:szCs w:val="28"/>
          <w:lang w:bidi="ar-EG"/>
          <w14:ligatures w14:val="none"/>
        </w:rPr>
        <w:t xml:space="preserve"> (</w:t>
      </w:r>
      <w:r w:rsidRPr="00CC60C6">
        <w:rPr>
          <w:rFonts w:ascii="Cambria" w:eastAsia="Times New Roman" w:hAnsi="Cambria" w:cs="Cambria"/>
          <w:b/>
          <w:bCs/>
          <w:kern w:val="0"/>
          <w:sz w:val="28"/>
          <w:szCs w:val="28"/>
          <w:lang w:bidi="ar-EG"/>
          <w14:ligatures w14:val="none"/>
        </w:rPr>
        <w:t>α</w:t>
      </w:r>
      <w:r w:rsidRPr="00CC60C6">
        <w:rPr>
          <w:rFonts w:ascii="Simplified Arabic" w:eastAsia="Times New Roman" w:hAnsi="Simplified Arabic" w:cs="Simplified Arabic"/>
          <w:b/>
          <w:bCs/>
          <w:kern w:val="0"/>
          <w:sz w:val="28"/>
          <w:szCs w:val="28"/>
          <w:lang w:bidi="ar-EG"/>
          <w14:ligatures w14:val="none"/>
        </w:rPr>
        <w:t xml:space="preserve"> </w:t>
      </w:r>
      <w:r w:rsidRPr="00CC60C6">
        <w:rPr>
          <w:rFonts w:ascii="Cambria Math" w:eastAsia="Times New Roman" w:hAnsi="Cambria Math" w:cs="Cambria Math"/>
          <w:b/>
          <w:bCs/>
          <w:kern w:val="0"/>
          <w:sz w:val="28"/>
          <w:szCs w:val="28"/>
          <w:lang w:bidi="ar-EG"/>
          <w14:ligatures w14:val="none"/>
        </w:rPr>
        <w:t>≤</w:t>
      </w:r>
      <w:r w:rsidRPr="00CC60C6">
        <w:rPr>
          <w:rFonts w:ascii="Simplified Arabic" w:eastAsia="Times New Roman" w:hAnsi="Simplified Arabic" w:cs="Simplified Arabic"/>
          <w:b/>
          <w:bCs/>
          <w:kern w:val="0"/>
          <w:sz w:val="28"/>
          <w:szCs w:val="28"/>
          <w:lang w:bidi="ar-EG"/>
          <w14:ligatures w14:val="none"/>
        </w:rPr>
        <w:t xml:space="preserve"> 0.05) </w:t>
      </w:r>
      <w:r w:rsidRPr="00CC60C6">
        <w:rPr>
          <w:rFonts w:ascii="Simplified Arabic" w:eastAsia="Times New Roman" w:hAnsi="Simplified Arabic" w:cs="Simplified Arabic"/>
          <w:b/>
          <w:bCs/>
          <w:kern w:val="0"/>
          <w:sz w:val="28"/>
          <w:szCs w:val="28"/>
          <w:rtl/>
          <w14:ligatures w14:val="none"/>
        </w:rPr>
        <w:t>للتحول الرقمي المدعوم بالذكاء الاصطناعي بأبعاده على الأداء المستدام في صندوق الاستثمارات العامة</w:t>
      </w:r>
      <w:r w:rsidRPr="00CC60C6">
        <w:rPr>
          <w:rFonts w:ascii="Simplified Arabic" w:eastAsia="Times New Roman" w:hAnsi="Simplified Arabic" w:cs="Simplified Arabic"/>
          <w:b/>
          <w:bCs/>
          <w:kern w:val="0"/>
          <w:sz w:val="28"/>
          <w:szCs w:val="28"/>
          <w:lang w:bidi="ar-EG"/>
          <w14:ligatures w14:val="none"/>
        </w:rPr>
        <w:t>.</w:t>
      </w:r>
    </w:p>
    <w:p w14:paraId="733A0305"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kern w:val="0"/>
          <w:sz w:val="28"/>
          <w:szCs w:val="28"/>
          <w:rtl/>
          <w14:ligatures w14:val="none"/>
        </w:rPr>
        <w:t>ويتفرّع منه الفروض الفرعية الآتية</w:t>
      </w:r>
      <w:r w:rsidRPr="00CC60C6">
        <w:rPr>
          <w:rFonts w:ascii="Simplified Arabic" w:eastAsia="Times New Roman" w:hAnsi="Simplified Arabic" w:cs="Simplified Arabic"/>
          <w:kern w:val="0"/>
          <w:sz w:val="28"/>
          <w:szCs w:val="28"/>
          <w:lang w:bidi="ar-EG"/>
          <w14:ligatures w14:val="none"/>
        </w:rPr>
        <w:t>:</w:t>
      </w:r>
    </w:p>
    <w:p w14:paraId="1392D17A"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يوجد أثر ذو دلالة إحصائية للتحول الرقمي المدعوم بالذكاء الاصطناعي على الأداء الاقتصادي المستدام في الصندوق</w:t>
      </w:r>
      <w:r w:rsidRPr="00CC60C6">
        <w:rPr>
          <w:rFonts w:ascii="Simplified Arabic" w:eastAsia="Times New Roman" w:hAnsi="Simplified Arabic" w:cs="Simplified Arabic"/>
          <w:kern w:val="0"/>
          <w:sz w:val="28"/>
          <w:szCs w:val="28"/>
          <w14:ligatures w14:val="none"/>
        </w:rPr>
        <w:t>.</w:t>
      </w:r>
    </w:p>
    <w:p w14:paraId="027AF623"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يوجد أثر ذو دلالة إحصائية للتحول الرقمي المدعوم بالذكاء الاصطناعي على الأداء الاجتماعي المستدام في الصندوق</w:t>
      </w:r>
      <w:r w:rsidRPr="00CC60C6">
        <w:rPr>
          <w:rFonts w:ascii="Simplified Arabic" w:eastAsia="Times New Roman" w:hAnsi="Simplified Arabic" w:cs="Simplified Arabic"/>
          <w:kern w:val="0"/>
          <w:sz w:val="28"/>
          <w:szCs w:val="28"/>
          <w14:ligatures w14:val="none"/>
        </w:rPr>
        <w:t>.</w:t>
      </w:r>
    </w:p>
    <w:p w14:paraId="424154C3" w14:textId="77777777" w:rsidR="005C64B5" w:rsidRPr="00CC60C6" w:rsidRDefault="005C64B5" w:rsidP="00CC60C6">
      <w:pPr>
        <w:numPr>
          <w:ilvl w:val="0"/>
          <w:numId w:val="2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يوجد أثر ذو دلالة إحصائية للتحول الرقمي المدعوم بالذكاء الاصطناعي على الأداء البيئي المستدام في الصندوق</w:t>
      </w:r>
      <w:r w:rsidRPr="00CC60C6">
        <w:rPr>
          <w:rFonts w:ascii="Simplified Arabic" w:eastAsia="Times New Roman" w:hAnsi="Simplified Arabic" w:cs="Simplified Arabic"/>
          <w:kern w:val="0"/>
          <w:sz w:val="28"/>
          <w:szCs w:val="28"/>
          <w14:ligatures w14:val="none"/>
        </w:rPr>
        <w:t>.</w:t>
      </w:r>
    </w:p>
    <w:p w14:paraId="5F5D9196"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الفرض الرئيسي الثالث</w:t>
      </w:r>
    </w:p>
    <w:p w14:paraId="23A702AF"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يوجد أثر ذو دلالة إحصائية عند مستوى معنوية</w:t>
      </w:r>
      <w:r w:rsidRPr="00CC60C6">
        <w:rPr>
          <w:rFonts w:ascii="Simplified Arabic" w:eastAsia="Times New Roman" w:hAnsi="Simplified Arabic" w:cs="Simplified Arabic"/>
          <w:b/>
          <w:bCs/>
          <w:kern w:val="0"/>
          <w:sz w:val="28"/>
          <w:szCs w:val="28"/>
          <w:lang w:bidi="ar-EG"/>
          <w14:ligatures w14:val="none"/>
        </w:rPr>
        <w:t xml:space="preserve"> (</w:t>
      </w:r>
      <w:r w:rsidRPr="00CC60C6">
        <w:rPr>
          <w:rFonts w:ascii="Cambria" w:eastAsia="Times New Roman" w:hAnsi="Cambria" w:cs="Cambria"/>
          <w:b/>
          <w:bCs/>
          <w:kern w:val="0"/>
          <w:sz w:val="28"/>
          <w:szCs w:val="28"/>
          <w:lang w:bidi="ar-EG"/>
          <w14:ligatures w14:val="none"/>
        </w:rPr>
        <w:t>α</w:t>
      </w:r>
      <w:r w:rsidRPr="00CC60C6">
        <w:rPr>
          <w:rFonts w:ascii="Simplified Arabic" w:eastAsia="Times New Roman" w:hAnsi="Simplified Arabic" w:cs="Simplified Arabic"/>
          <w:b/>
          <w:bCs/>
          <w:kern w:val="0"/>
          <w:sz w:val="28"/>
          <w:szCs w:val="28"/>
          <w:lang w:bidi="ar-EG"/>
          <w14:ligatures w14:val="none"/>
        </w:rPr>
        <w:t xml:space="preserve"> </w:t>
      </w:r>
      <w:r w:rsidRPr="00CC60C6">
        <w:rPr>
          <w:rFonts w:ascii="Cambria Math" w:eastAsia="Times New Roman" w:hAnsi="Cambria Math" w:cs="Cambria Math"/>
          <w:b/>
          <w:bCs/>
          <w:kern w:val="0"/>
          <w:sz w:val="28"/>
          <w:szCs w:val="28"/>
          <w:lang w:bidi="ar-EG"/>
          <w14:ligatures w14:val="none"/>
        </w:rPr>
        <w:t>≤</w:t>
      </w:r>
      <w:r w:rsidRPr="00CC60C6">
        <w:rPr>
          <w:rFonts w:ascii="Simplified Arabic" w:eastAsia="Times New Roman" w:hAnsi="Simplified Arabic" w:cs="Simplified Arabic"/>
          <w:b/>
          <w:bCs/>
          <w:kern w:val="0"/>
          <w:sz w:val="28"/>
          <w:szCs w:val="28"/>
          <w:lang w:bidi="ar-EG"/>
          <w14:ligatures w14:val="none"/>
        </w:rPr>
        <w:t xml:space="preserve"> 0.05) </w:t>
      </w:r>
      <w:r w:rsidRPr="00CC60C6">
        <w:rPr>
          <w:rFonts w:ascii="Simplified Arabic" w:eastAsia="Times New Roman" w:hAnsi="Simplified Arabic" w:cs="Simplified Arabic"/>
          <w:b/>
          <w:bCs/>
          <w:kern w:val="0"/>
          <w:sz w:val="28"/>
          <w:szCs w:val="28"/>
          <w:rtl/>
          <w14:ligatures w14:val="none"/>
        </w:rPr>
        <w:t>لممارسات استدامة الأعمال بأبعادها (البُعد الاقتصادي، البُعد الاجتماعي، البُعد البيئي، بُعد الحوكمة) على الأداء المستدام في صندوق الاستثمارات العامة</w:t>
      </w:r>
      <w:r w:rsidRPr="00CC60C6">
        <w:rPr>
          <w:rFonts w:ascii="Simplified Arabic" w:eastAsia="Times New Roman" w:hAnsi="Simplified Arabic" w:cs="Simplified Arabic"/>
          <w:b/>
          <w:bCs/>
          <w:kern w:val="0"/>
          <w:sz w:val="28"/>
          <w:szCs w:val="28"/>
          <w:lang w:bidi="ar-EG"/>
          <w14:ligatures w14:val="none"/>
        </w:rPr>
        <w:t>.</w:t>
      </w:r>
    </w:p>
    <w:p w14:paraId="591EA939"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الفرض الرئيسي الرابع</w:t>
      </w:r>
    </w:p>
    <w:p w14:paraId="084ECBA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CC60C6">
        <w:rPr>
          <w:rFonts w:ascii="Simplified Arabic" w:eastAsia="Times New Roman" w:hAnsi="Simplified Arabic" w:cs="Simplified Arabic"/>
          <w:b/>
          <w:bCs/>
          <w:kern w:val="0"/>
          <w:sz w:val="28"/>
          <w:szCs w:val="28"/>
          <w:rtl/>
          <w14:ligatures w14:val="none"/>
        </w:rPr>
        <w:t>تلعب ممارسات استدامة الأعمال دوراً وسيطاً ذا دلالة إحصائية عند مستوى معنوية</w:t>
      </w:r>
      <w:r w:rsidRPr="00CC60C6">
        <w:rPr>
          <w:rFonts w:ascii="Simplified Arabic" w:eastAsia="Times New Roman" w:hAnsi="Simplified Arabic" w:cs="Simplified Arabic"/>
          <w:b/>
          <w:bCs/>
          <w:kern w:val="0"/>
          <w:sz w:val="28"/>
          <w:szCs w:val="28"/>
          <w:lang w:bidi="ar-EG"/>
          <w14:ligatures w14:val="none"/>
        </w:rPr>
        <w:t xml:space="preserve"> (</w:t>
      </w:r>
      <w:r w:rsidRPr="00CC60C6">
        <w:rPr>
          <w:rFonts w:ascii="Cambria" w:eastAsia="Times New Roman" w:hAnsi="Cambria" w:cs="Cambria"/>
          <w:b/>
          <w:bCs/>
          <w:kern w:val="0"/>
          <w:sz w:val="28"/>
          <w:szCs w:val="28"/>
          <w:lang w:bidi="ar-EG"/>
          <w14:ligatures w14:val="none"/>
        </w:rPr>
        <w:t>α</w:t>
      </w:r>
      <w:r w:rsidRPr="00CC60C6">
        <w:rPr>
          <w:rFonts w:ascii="Simplified Arabic" w:eastAsia="Times New Roman" w:hAnsi="Simplified Arabic" w:cs="Simplified Arabic"/>
          <w:b/>
          <w:bCs/>
          <w:kern w:val="0"/>
          <w:sz w:val="28"/>
          <w:szCs w:val="28"/>
          <w:lang w:bidi="ar-EG"/>
          <w14:ligatures w14:val="none"/>
        </w:rPr>
        <w:t xml:space="preserve"> </w:t>
      </w:r>
      <w:r w:rsidRPr="00CC60C6">
        <w:rPr>
          <w:rFonts w:ascii="Cambria Math" w:eastAsia="Times New Roman" w:hAnsi="Cambria Math" w:cs="Cambria Math"/>
          <w:b/>
          <w:bCs/>
          <w:kern w:val="0"/>
          <w:sz w:val="28"/>
          <w:szCs w:val="28"/>
          <w:lang w:bidi="ar-EG"/>
          <w14:ligatures w14:val="none"/>
        </w:rPr>
        <w:t>≤</w:t>
      </w:r>
      <w:r w:rsidRPr="00CC60C6">
        <w:rPr>
          <w:rFonts w:ascii="Simplified Arabic" w:eastAsia="Times New Roman" w:hAnsi="Simplified Arabic" w:cs="Simplified Arabic"/>
          <w:b/>
          <w:bCs/>
          <w:kern w:val="0"/>
          <w:sz w:val="28"/>
          <w:szCs w:val="28"/>
          <w:lang w:bidi="ar-EG"/>
          <w14:ligatures w14:val="none"/>
        </w:rPr>
        <w:t xml:space="preserve"> 0.05) </w:t>
      </w:r>
      <w:r w:rsidRPr="00CC60C6">
        <w:rPr>
          <w:rFonts w:ascii="Simplified Arabic" w:eastAsia="Times New Roman" w:hAnsi="Simplified Arabic" w:cs="Simplified Arabic"/>
          <w:b/>
          <w:bCs/>
          <w:kern w:val="0"/>
          <w:sz w:val="28"/>
          <w:szCs w:val="28"/>
          <w:rtl/>
          <w14:ligatures w14:val="none"/>
        </w:rPr>
        <w:t>في العلاقة بين التحول الرقمي المدعوم بالذكاء الاصطناعي والأداء المستدام في صندوق الاستثمارات العامة</w:t>
      </w:r>
      <w:r w:rsidRPr="00CC60C6">
        <w:rPr>
          <w:rFonts w:ascii="Simplified Arabic" w:eastAsia="Times New Roman" w:hAnsi="Simplified Arabic" w:cs="Simplified Arabic"/>
          <w:b/>
          <w:bCs/>
          <w:kern w:val="0"/>
          <w:sz w:val="28"/>
          <w:szCs w:val="28"/>
          <w:lang w:bidi="ar-EG"/>
          <w14:ligatures w14:val="none"/>
        </w:rPr>
        <w:t>.</w:t>
      </w:r>
    </w:p>
    <w:p w14:paraId="00B4D80E" w14:textId="1769A721" w:rsidR="005C64B5" w:rsidRPr="00CC60C6" w:rsidRDefault="00CC60C6"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7" w:name="_Toc234293312"/>
      <w:r>
        <w:rPr>
          <w:rFonts w:ascii="Simplified Arabic" w:eastAsia="Calibri" w:hAnsi="Simplified Arabic" w:cs="Simplified Arabic" w:hint="cs"/>
          <w:b/>
          <w:bCs/>
          <w:color w:val="000000" w:themeColor="text1"/>
          <w:sz w:val="36"/>
          <w:szCs w:val="36"/>
          <w:rtl/>
          <w:lang w:bidi="ar-EG"/>
        </w:rPr>
        <w:t xml:space="preserve">7.1 </w:t>
      </w:r>
      <w:r w:rsidR="005C64B5" w:rsidRPr="00CC60C6">
        <w:rPr>
          <w:rFonts w:ascii="Simplified Arabic" w:eastAsia="Calibri" w:hAnsi="Simplified Arabic" w:cs="Simplified Arabic"/>
          <w:b/>
          <w:bCs/>
          <w:color w:val="000000" w:themeColor="text1"/>
          <w:sz w:val="36"/>
          <w:szCs w:val="36"/>
          <w:rtl/>
          <w:lang w:bidi="ar-EG"/>
        </w:rPr>
        <w:t>الدراسات السابقة</w:t>
      </w:r>
      <w:bookmarkEnd w:id="17"/>
    </w:p>
    <w:p w14:paraId="18643E61"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المحور الأول: الدراسات المتعلقة بالتحول الرقمي المدعوم بالذكاء الاصطناعي وعلاقته بمتغيرات أخرى</w:t>
      </w:r>
    </w:p>
    <w:p w14:paraId="58B9D8E4"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الأولى: دراسة حامد</w:t>
      </w:r>
      <w:r w:rsidRPr="00CC60C6">
        <w:rPr>
          <w:rFonts w:ascii="Simplified Arabic" w:eastAsia="Times New Roman" w:hAnsi="Simplified Arabic" w:cs="Simplified Arabic"/>
          <w:b/>
          <w:bCs/>
          <w:kern w:val="0"/>
          <w:sz w:val="28"/>
          <w:szCs w:val="28"/>
          <w14:ligatures w14:val="none"/>
        </w:rPr>
        <w:t xml:space="preserve"> (2025)</w:t>
      </w:r>
    </w:p>
    <w:p w14:paraId="6CC291DF"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lastRenderedPageBreak/>
        <w:t>هدفت الدراسة إلى التعرف على أثر تطبيق تقنيات الذكاء الاصطناعي بأبعاده (التعلم الآلي، معالجة اللغات الطبيعية، الأتمتة الذكية، تحليل البيانات الضخمة) على التشغيل وإنتاجية العمل في المنظمات المعاصرة. واستخدمت الدراسة المنهج الوصفي التحليلي القائم على استعراض الأدبيات والدراسات التطبيقية الحديثة، وتكونت عينة التحليل من مجموعة من الشركات والمؤسسات التي تبنّت تطبيقات الذكاء الاصطناعي في بيئات عملها. وتوصلت نتائج الدراسة إلى وجود أثر إيجابي جوهري لتطبيق تقنيات الذكاء الاصطناعي في رفع كفاءة التشغيل وتقليل التكاليف وزيادة إنتاجية العمل، مع الإشارة إلى تحديات مرتبطة بإعادة هيكلة الوظائف واحتياجات التأهيل البشري. وأوصت الدراسة بضرورة تبنّي استراتيجيات تكاملية تجمع بين الاستثمار في التقنيات الذكية وتنمية رأس المال البشري، وتطوير الأطر التنظيمية التي تضمن الاستفادة القصوى من الذكاء الاصطناعي دون الإخلال بالتوازن بين الآلة والإنسان</w:t>
      </w:r>
      <w:r w:rsidRPr="00CC60C6">
        <w:rPr>
          <w:rFonts w:ascii="Simplified Arabic" w:eastAsia="Times New Roman" w:hAnsi="Simplified Arabic" w:cs="Simplified Arabic"/>
          <w:kern w:val="0"/>
          <w:sz w:val="28"/>
          <w:szCs w:val="28"/>
          <w14:ligatures w14:val="none"/>
        </w:rPr>
        <w:t>.</w:t>
      </w:r>
    </w:p>
    <w:p w14:paraId="7F62F931"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الثانية: دراسة رستم وصقور</w:t>
      </w:r>
      <w:r w:rsidRPr="00CC60C6">
        <w:rPr>
          <w:rFonts w:ascii="Simplified Arabic" w:eastAsia="Times New Roman" w:hAnsi="Simplified Arabic" w:cs="Simplified Arabic"/>
          <w:b/>
          <w:bCs/>
          <w:kern w:val="0"/>
          <w:sz w:val="28"/>
          <w:szCs w:val="28"/>
          <w14:ligatures w14:val="none"/>
        </w:rPr>
        <w:t xml:space="preserve"> (2024)</w:t>
      </w:r>
    </w:p>
    <w:p w14:paraId="12FEBD45"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هدفت الدراسة إلى التعرف على أثر التحول الرقمي بأبعاده (البنية التحتية الرقمية، الثقافة الرقمية، المهارات الرقمية، القيادة الرقمية) في الأداء المستدام بأبعاده الاقتصادية والاجتماعية والبيئية في الشركة السورية للاتصالات. واستخدمت الدراسة المنهج الوصفي التحليلي، وتكونت العينة من (215) موظفاً من العاملين في الشركة السورية للاتصالات تم اختيارهم بطريقة العينة العشوائية، وتم جمع البيانات باستخدام أداة الاستبانة. وتوصلت نتائج الدراسة إلى وجود أثر إيجابي ذي دلالة إحصائية للتحول الرقمي بأبعاده مجتمعةً في تحقيق الأداء المستدام، مع تصدّر بُعد القيادة الرقمية من حيث قوة التأثير. وأوصت الدراسة بضرورة تعزيز الاستثمار في البنية التحتية الرقمية، ونشر ثقافة التحول الرقمي بين العاملين، وتبنّي برامج تدريبية متخصصة لبناء المهارات الرقمية بما يعزز قدرة الشركة على تحقيق أهداف الاستدامة</w:t>
      </w:r>
      <w:r w:rsidRPr="00CC60C6">
        <w:rPr>
          <w:rFonts w:ascii="Simplified Arabic" w:eastAsia="Times New Roman" w:hAnsi="Simplified Arabic" w:cs="Simplified Arabic"/>
          <w:kern w:val="0"/>
          <w:sz w:val="28"/>
          <w:szCs w:val="28"/>
          <w14:ligatures w14:val="none"/>
        </w:rPr>
        <w:t>.</w:t>
      </w:r>
    </w:p>
    <w:p w14:paraId="51AFCC45"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الثالثة: دراسة أمزربه</w:t>
      </w:r>
      <w:r w:rsidRPr="00CC60C6">
        <w:rPr>
          <w:rFonts w:ascii="Simplified Arabic" w:eastAsia="Times New Roman" w:hAnsi="Simplified Arabic" w:cs="Simplified Arabic"/>
          <w:b/>
          <w:bCs/>
          <w:kern w:val="0"/>
          <w:sz w:val="28"/>
          <w:szCs w:val="28"/>
          <w14:ligatures w14:val="none"/>
        </w:rPr>
        <w:t xml:space="preserve"> (2024)</w:t>
      </w:r>
    </w:p>
    <w:p w14:paraId="603C427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هدفت الدراسة إلى التعرف على أثر التحول الرقمي بأبعاده (التقنيات الرقمية، الثقافة الرقمية، الاستراتيجية الرقمية، تجربة العملاء الرقمية) على القيادة الإبداعية بأبعادها (الطلاقة، المرونة، الأصالة، الحساسية للمشكلات) في مؤسسة موانئ خليج عدن. واستخدمت الدراسة المنهج الوصفي التحليلي، وتكونت العينة من (180) موظفاً من الإدارة العليا والوسطى في المؤسسة، وتم استخدام الاستبانة أداةً لجمع البيانات. وتوصلت نتائج الدراسة إلى وجود أثر إيجابي ذي دلالة إحصائية للتحول الرقمي بجميع أبعاده على القيادة الإبداعية، وأن الاستراتيجية الرقمية </w:t>
      </w:r>
      <w:r w:rsidRPr="00CC60C6">
        <w:rPr>
          <w:rFonts w:ascii="Simplified Arabic" w:eastAsia="Times New Roman" w:hAnsi="Simplified Arabic" w:cs="Simplified Arabic"/>
          <w:kern w:val="0"/>
          <w:sz w:val="28"/>
          <w:szCs w:val="28"/>
          <w:rtl/>
          <w14:ligatures w14:val="none"/>
        </w:rPr>
        <w:lastRenderedPageBreak/>
        <w:t>كانت أكثر الأبعاد تأثيراً. وأوصت الدراسة بضرورة تبنّي استراتيجية رقمية شاملة، وبناء ثقافة تنظيمية داعمة للابتكار، وتطوير قدرات القيادة الإبداعية لدى المديرين بما يمكّنهم من قيادة عمليات التحول الرقمي بفعالية</w:t>
      </w:r>
      <w:r w:rsidRPr="00CC60C6">
        <w:rPr>
          <w:rFonts w:ascii="Simplified Arabic" w:eastAsia="Times New Roman" w:hAnsi="Simplified Arabic" w:cs="Simplified Arabic"/>
          <w:kern w:val="0"/>
          <w:sz w:val="28"/>
          <w:szCs w:val="28"/>
          <w14:ligatures w14:val="none"/>
        </w:rPr>
        <w:t>.</w:t>
      </w:r>
    </w:p>
    <w:p w14:paraId="02CFA3EF"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الرابعة: دراسة أبو يوسف وخاطر</w:t>
      </w:r>
      <w:r w:rsidRPr="00CC60C6">
        <w:rPr>
          <w:rFonts w:ascii="Simplified Arabic" w:eastAsia="Times New Roman" w:hAnsi="Simplified Arabic" w:cs="Simplified Arabic"/>
          <w:b/>
          <w:bCs/>
          <w:kern w:val="0"/>
          <w:sz w:val="28"/>
          <w:szCs w:val="28"/>
          <w14:ligatures w14:val="none"/>
        </w:rPr>
        <w:t xml:space="preserve"> (2025)</w:t>
      </w:r>
    </w:p>
    <w:p w14:paraId="72D0B83A"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هدفت الدراسة إلى التعرف على أثر التحول الرقمي بأبعاده (الأتمتة، الحوسبة السحابية، تحليل البيانات، الأمن السيبراني) في أداء العمليات المالية بأبعاده (الكفاءة، الفاعلية، الجودة، سرعة الإنجاز) في المنظمات المصرية. واستخدمت الدراسة المنهج الوصفي التحليلي، وتكونت العينة من (250) مفردة من العاملين في الإدارات المالية بعدد من الشركات المصرية، وتم استخدام الاستبانة أداةً لجمع البيانات. وتوصلت نتائج الدراسة إلى وجود أثر إيجابي ذي دلالة إحصائية للتحول الرقمي بأبعاده على أداء العمليات المالية، حيث ساهم التحول الرقمي في تحسين دقة التقارير المالية وسرعة إنجازها وخفض تكاليف العمليات. وأوصت الدراسة بضرورة تسريع تبنّي التقنيات الرقمية في الإدارات المالية، وتعزيز منظومة الأمن السيبراني لحماية البيانات المالية، وتدريب الكوادر المالية على استخدام الأدوات الرقمية الحديثة</w:t>
      </w:r>
      <w:r w:rsidRPr="00CC60C6">
        <w:rPr>
          <w:rFonts w:ascii="Simplified Arabic" w:eastAsia="Times New Roman" w:hAnsi="Simplified Arabic" w:cs="Simplified Arabic"/>
          <w:kern w:val="0"/>
          <w:sz w:val="28"/>
          <w:szCs w:val="28"/>
          <w14:ligatures w14:val="none"/>
        </w:rPr>
        <w:t>.</w:t>
      </w:r>
    </w:p>
    <w:p w14:paraId="4C386FF3"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الخامسة: دراسة</w:t>
      </w:r>
      <w:r w:rsidRPr="00CC60C6">
        <w:rPr>
          <w:rFonts w:ascii="Simplified Arabic" w:eastAsia="Times New Roman" w:hAnsi="Simplified Arabic" w:cs="Simplified Arabic"/>
          <w:b/>
          <w:bCs/>
          <w:kern w:val="0"/>
          <w:sz w:val="28"/>
          <w:szCs w:val="28"/>
          <w14:ligatures w14:val="none"/>
        </w:rPr>
        <w:t xml:space="preserve"> Fenwick et al. (2024)</w:t>
      </w:r>
    </w:p>
    <w:p w14:paraId="2C2B96D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هدفت الدراسة إلى التعرف على الدور المحوري لإدارة الموارد البشرية بأبعادها (التوظيف الرقمي، التدريب والتطوير، إدارة الأداء، إدارة التغيير) في التحول الرقمي المدفوع بالذكاء الاصطناعي، وكيفية الانتقال من مرحلة تطبيق الذكاء الاصطناعي إلى تبنّيه بشكل يتمحور حول الإنسان في منظمات الأعمال. واستخدمت الدراسة المنهج النوعي القائم على تحليل حالات دراسية متعددة ومراجعة نقدية للأدبيات المعاصرة، وتكونت العينة من مجموعة من الشركات العالمية التي تبنّت الذكاء الاصطناعي في عملياتها. وتوصلت نتائج الدراسة إلى أن نجاح التحول الرقمي المدفوع بالذكاء الاصطناعي يتوقف على تحول جوهري في ممارسات إدارة الموارد البشرية، بحيث تصبح شريكاً استراتيجياً في صياغة رؤية التبنّي المتمحور حول الإنسان، وأن غياب هذا الدور يؤدي إلى مقاومة التغيير وفشل مبادرات التحول. وأوصت الدراسة بضرورة إعادة تصميم وظائف الموارد البشرية لتلائم عصر الذكاء الاصطناعي، والاستثمار في بناء الكفاءات الرقمية، وتبنّي نهج أخلاقي يوازن بين التقنية والقيم الإنسانية</w:t>
      </w:r>
      <w:r w:rsidRPr="00CC60C6">
        <w:rPr>
          <w:rFonts w:ascii="Simplified Arabic" w:eastAsia="Times New Roman" w:hAnsi="Simplified Arabic" w:cs="Simplified Arabic"/>
          <w:kern w:val="0"/>
          <w:sz w:val="28"/>
          <w:szCs w:val="28"/>
          <w14:ligatures w14:val="none"/>
        </w:rPr>
        <w:t>.</w:t>
      </w:r>
    </w:p>
    <w:p w14:paraId="1F45AC17"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السادسة: دراسة</w:t>
      </w:r>
      <w:r w:rsidRPr="00CC60C6">
        <w:rPr>
          <w:rFonts w:ascii="Simplified Arabic" w:eastAsia="Times New Roman" w:hAnsi="Simplified Arabic" w:cs="Simplified Arabic"/>
          <w:b/>
          <w:bCs/>
          <w:kern w:val="0"/>
          <w:sz w:val="28"/>
          <w:szCs w:val="28"/>
          <w14:ligatures w14:val="none"/>
        </w:rPr>
        <w:t xml:space="preserve"> Sposato &amp; Dittmar (2026)</w:t>
      </w:r>
    </w:p>
    <w:p w14:paraId="4EE7B1D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هدفت الدراسة إلى التعرف على مستقبل التحول الرقمي المدعوم بالذكاء الاصطناعي بأبعاده (الأتمتة الذكية، التعلم الآلي، تحليل البيانات، التقنيات المعرفية) وأثره في تعزيز المنظمات وتطوير القيادة في بيئة الأعمال </w:t>
      </w:r>
      <w:r w:rsidRPr="00CC60C6">
        <w:rPr>
          <w:rFonts w:ascii="Simplified Arabic" w:eastAsia="Times New Roman" w:hAnsi="Simplified Arabic" w:cs="Simplified Arabic"/>
          <w:kern w:val="0"/>
          <w:sz w:val="28"/>
          <w:szCs w:val="28"/>
          <w:rtl/>
          <w14:ligatures w14:val="none"/>
        </w:rPr>
        <w:lastRenderedPageBreak/>
        <w:t>المعاصرة. واستخدمت الدراسة المنهج التحليلي المفاهيمي القائم على مراجعة منهجية للأدبيات المعاصرة حول الذكاء الاصطناعي والقيادة، وتكونت العينة التحليلية من مجموعة من الأبحاث والدراسات المنشورة في الدوريات المحكمة خلال الفترة الأخيرة. وتوصلت نتائج الدراسة إلى أن الذكاء الاصطناعي يُحدث تحولاً جوهرياً في نماذج القيادة التقليدية، ويتطلب من القادة تطوير مهارات جديدة تتضمن الفهم التقني والذكاء العاطفي والتفكير الاستراتيجي والحس الأخلاقي، وأن المنظمات التي تدمج الذكاء الاصطناعي بفعالية تحقق مزايا تنافسية مستدامة. وأوصت الدراسة بضرورة تصميم برامج تطوير قيادية متخصصة تُعدّ القادة لعصر الذكاء الاصطناعي، وتبنّي حوكمة أخلاقية للتقنية، وبناء ثقافة تنظيمية مرنة قادرة على التكيّف مع التحولات المتسارعة</w:t>
      </w:r>
      <w:r w:rsidRPr="00CC60C6">
        <w:rPr>
          <w:rFonts w:ascii="Simplified Arabic" w:eastAsia="Times New Roman" w:hAnsi="Simplified Arabic" w:cs="Simplified Arabic"/>
          <w:kern w:val="0"/>
          <w:sz w:val="28"/>
          <w:szCs w:val="28"/>
          <w14:ligatures w14:val="none"/>
        </w:rPr>
        <w:t>.</w:t>
      </w:r>
    </w:p>
    <w:p w14:paraId="61F462B6"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المحور الثاني: الدراسات المتعلقة بممارسات الاستدامة والأداء المستدام وعلاقته بمتغيرات أخرى</w:t>
      </w:r>
    </w:p>
    <w:p w14:paraId="777BD826"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السابعة: دراسة سحنون</w:t>
      </w:r>
      <w:r w:rsidRPr="00CC60C6">
        <w:rPr>
          <w:rFonts w:ascii="Simplified Arabic" w:eastAsia="Times New Roman" w:hAnsi="Simplified Arabic" w:cs="Simplified Arabic"/>
          <w:b/>
          <w:bCs/>
          <w:kern w:val="0"/>
          <w:sz w:val="28"/>
          <w:szCs w:val="28"/>
          <w14:ligatures w14:val="none"/>
        </w:rPr>
        <w:t xml:space="preserve"> (2023)</w:t>
      </w:r>
    </w:p>
    <w:p w14:paraId="6520298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هدفت الدراسة إلى التعرف على تطبيق أفضل ممارسات الاستدامة بأبعادها (البعد الاقتصادي، البعد الاجتماعي، البعد البيئي، الحوكمة) في المؤسسات الصناعية الطاقوية، مع التركيز على تجربة مؤسسة سابك السعودية أنموذجاً رائداً. واستخدمت الدراسة المنهج الوصفي التحليلي القائم على دراسة الحالة، وتكونت العينة من مؤسسة سابك السعودية بوصفها إحدى أكبر الشركات الصناعية الطاقوية في المنطقة، وتم تحليل تقاريرها السنوية للاستدامة والوثائق المتاحة. وتوصلت نتائج الدراسة إلى أن مؤسسة سابك تتبنّى ممارسات استدامة متكاملة تشمل ترشيد استهلاك الطاقة، وتقليل الانبعاثات الكربونية، والاستثمار في المسؤولية الاجتماعية، وتبنّي معايير الحوكمة الرشيدة، مما جعلها نموذجاً إقليمياً وعالمياً في مجال الاستدامة الصناعية. وأوصت الدراسة بضرورة تعميم تجربة سابك على المؤسسات الصناعية العربية، وتبنّي إطار وطني للاستدامة الصناعية، ودمج ممارسات الاستدامة في الاستراتيجيات المؤسسية بدلاً من التعامل معها كنشاط هامشي</w:t>
      </w:r>
      <w:r w:rsidRPr="00CC60C6">
        <w:rPr>
          <w:rFonts w:ascii="Simplified Arabic" w:eastAsia="Times New Roman" w:hAnsi="Simplified Arabic" w:cs="Simplified Arabic"/>
          <w:kern w:val="0"/>
          <w:sz w:val="28"/>
          <w:szCs w:val="28"/>
          <w14:ligatures w14:val="none"/>
        </w:rPr>
        <w:t>.</w:t>
      </w:r>
    </w:p>
    <w:p w14:paraId="1DE72140"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الثامنة: دراسة الفسفوس وعلي</w:t>
      </w:r>
      <w:r w:rsidRPr="00CC60C6">
        <w:rPr>
          <w:rFonts w:ascii="Simplified Arabic" w:eastAsia="Times New Roman" w:hAnsi="Simplified Arabic" w:cs="Simplified Arabic"/>
          <w:b/>
          <w:bCs/>
          <w:kern w:val="0"/>
          <w:sz w:val="28"/>
          <w:szCs w:val="28"/>
          <w14:ligatures w14:val="none"/>
        </w:rPr>
        <w:t xml:space="preserve"> (2025)</w:t>
      </w:r>
    </w:p>
    <w:p w14:paraId="46F366F9"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هدفت الدراسة إلى التعرف على دور ممارسات اقتصاد الاكتفاء بأبعاده (الاعتدال، الرشد، المناعة الذاتية، المعرفة، الأخلاق) في تعزيز الاستدامة بأبعادها الاقتصادية والاجتماعية والبيئية في المؤسسة الأمنية الفلسطينية. واستخدمت الدراسة المنهج الوصفي التحليلي، وتكونت العينة من (320) مفردة من العاملين في المؤسسة الأمنية الفلسطينية تم اختيارهم بطريقة العينة الطبقية العشوائية، وتم استخدام الاستبانة أداةً لجمع البيانات. وتوصلت نتائج الدراسة إلى وجود دور إيجابي ذي دلالة إحصائية لممارسات اقتصاد الاكتفاء بأبعاده مجتمعةً في تعزيز الاستدامة، </w:t>
      </w:r>
      <w:r w:rsidRPr="00CC60C6">
        <w:rPr>
          <w:rFonts w:ascii="Simplified Arabic" w:eastAsia="Times New Roman" w:hAnsi="Simplified Arabic" w:cs="Simplified Arabic"/>
          <w:kern w:val="0"/>
          <w:sz w:val="28"/>
          <w:szCs w:val="28"/>
          <w:rtl/>
          <w14:ligatures w14:val="none"/>
        </w:rPr>
        <w:lastRenderedPageBreak/>
        <w:t>حيث كان بُعد الرشد أكثر الأبعاد تأثيراً، يليه بُعد المناعة الذاتية. وأوصت الدراسة بضرورة تبنّي فلسفة اقتصاد الاكتفاء منهجاً إدارياً في المؤسسات الفلسطينية، وتعزيز ثقافة الترشيد والاعتدال، وبناء قدرات ذاتية تُمكّن المؤسسات من الصمود في وجه التحديات وتحقيق أهداف الاستدامة</w:t>
      </w:r>
      <w:r w:rsidRPr="00CC60C6">
        <w:rPr>
          <w:rFonts w:ascii="Simplified Arabic" w:eastAsia="Times New Roman" w:hAnsi="Simplified Arabic" w:cs="Simplified Arabic"/>
          <w:kern w:val="0"/>
          <w:sz w:val="28"/>
          <w:szCs w:val="28"/>
          <w14:ligatures w14:val="none"/>
        </w:rPr>
        <w:t>.</w:t>
      </w:r>
    </w:p>
    <w:p w14:paraId="02C22651" w14:textId="77777777" w:rsidR="005C64B5" w:rsidRPr="00CC60C6" w:rsidRDefault="005C64B5" w:rsidP="00CC60C6">
      <w:pPr>
        <w:pStyle w:val="a6"/>
        <w:numPr>
          <w:ilvl w:val="0"/>
          <w:numId w:val="23"/>
        </w:num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التاسعة: دراسة أبو حميدة والربابعة</w:t>
      </w:r>
      <w:r w:rsidRPr="00CC60C6">
        <w:rPr>
          <w:rFonts w:ascii="Simplified Arabic" w:eastAsia="Times New Roman" w:hAnsi="Simplified Arabic" w:cs="Simplified Arabic"/>
          <w:b/>
          <w:bCs/>
          <w:kern w:val="0"/>
          <w:sz w:val="28"/>
          <w:szCs w:val="28"/>
          <w14:ligatures w14:val="none"/>
        </w:rPr>
        <w:t xml:space="preserve"> (2025)</w:t>
      </w:r>
    </w:p>
    <w:p w14:paraId="6D44AC5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هدفت الدراسة إلى التعرف على أثر الوضوح الاستراتيجي بأبعاده (وضوح الرؤية، وضوح الرسالة، وضوح الأهداف، وضوح القيم) على الأداء المستدام بأبعاده (الاقتصادي، الاجتماعي، البيئي) مع اختبار الدور الوسيط لجودة القرار الاستراتيجي، وذلك بالتطبيق على مجموعة شركات عبداللطيف جميل في المملكة العربية السعودية. واستخدمت الدراسة المنهج الوصفي التحليلي، وتكونت العينة من (385) مفردة من المديرين والموظفين في مستويات الإدارة العليا والوسطى بالمجموعة، وتم استخدام الاستبانة أداةً لجمع البيانات. وتوصلت نتائج الدراسة إلى وجود أثر إيجابي ذي دلالة إحصائية للوضوح الاستراتيجي في الأداء المستدام، وأن جودة القرار الاستراتيجي تلعب دوراً وسيطاً جزئياً في هذه العلاقة. وأوصت الدراسة بضرورة تبنّي الشركات لممارسات تعزز الوضوح الاستراتيجي على جميع المستويات، وتطوير أنظمة اتخاذ القرار الاستراتيجي بما يواكب متطلبات الاستدامة، ونشر ثقافة الشفافية الاستراتيجية داخل المنظمات السعودية بما يخدم توجهات رؤية 2030</w:t>
      </w:r>
      <w:r w:rsidRPr="00CC60C6">
        <w:rPr>
          <w:rFonts w:ascii="Simplified Arabic" w:eastAsia="Times New Roman" w:hAnsi="Simplified Arabic" w:cs="Simplified Arabic"/>
          <w:kern w:val="0"/>
          <w:sz w:val="28"/>
          <w:szCs w:val="28"/>
          <w14:ligatures w14:val="none"/>
        </w:rPr>
        <w:t>.</w:t>
      </w:r>
    </w:p>
    <w:p w14:paraId="7E9396C9" w14:textId="77777777" w:rsidR="005C64B5" w:rsidRPr="00CC60C6" w:rsidRDefault="005C64B5" w:rsidP="00CC60C6">
      <w:pPr>
        <w:pStyle w:val="a6"/>
        <w:numPr>
          <w:ilvl w:val="0"/>
          <w:numId w:val="23"/>
        </w:numPr>
        <w:spacing w:before="100" w:beforeAutospacing="1" w:after="100" w:afterAutospacing="1" w:line="276" w:lineRule="auto"/>
        <w:ind w:hanging="580"/>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الدراسة العاشرة: دراسة</w:t>
      </w:r>
      <w:r w:rsidRPr="00CC60C6">
        <w:rPr>
          <w:rFonts w:ascii="Simplified Arabic" w:eastAsia="Times New Roman" w:hAnsi="Simplified Arabic" w:cs="Simplified Arabic"/>
          <w:b/>
          <w:bCs/>
          <w:kern w:val="0"/>
          <w:sz w:val="28"/>
          <w:szCs w:val="28"/>
          <w14:ligatures w14:val="none"/>
        </w:rPr>
        <w:t xml:space="preserve"> Damnjanovi</w:t>
      </w:r>
      <w:r w:rsidRPr="00CC60C6">
        <w:rPr>
          <w:rFonts w:ascii="Cambria" w:eastAsia="Times New Roman" w:hAnsi="Cambria" w:cs="Cambria"/>
          <w:b/>
          <w:bCs/>
          <w:kern w:val="0"/>
          <w:sz w:val="28"/>
          <w:szCs w:val="28"/>
          <w14:ligatures w14:val="none"/>
        </w:rPr>
        <w:t>ć</w:t>
      </w:r>
      <w:r w:rsidRPr="00CC60C6">
        <w:rPr>
          <w:rFonts w:ascii="Simplified Arabic" w:eastAsia="Times New Roman" w:hAnsi="Simplified Arabic" w:cs="Simplified Arabic"/>
          <w:b/>
          <w:bCs/>
          <w:kern w:val="0"/>
          <w:sz w:val="28"/>
          <w:szCs w:val="28"/>
          <w14:ligatures w14:val="none"/>
        </w:rPr>
        <w:t xml:space="preserve"> et al. (2025)</w:t>
      </w:r>
    </w:p>
    <w:p w14:paraId="7F0C9B6C"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هدفت الدراسة إلى التعرف على أثر التحول الاستراتيجي المُمَكَّن بالذكاء الاصطناعي بأبعاده (تبنّي التقنيات الذكية، الابتكار الرقمي، إعادة تصميم العمليات، القيادة الرقمية) على المخرجات المستدامة بأبعادها (الأداء الاقتصادي، الأداء البيئي، الأداء الاجتماعي) في الشركات الصغيرة والمتوسطة الصربية. واستخدمت الدراسة المنهج الوصفي التحليلي القائم على النمذجة بالمعادلات الهيكلية، وتكونت العينة من مجموعة من الشركات الصغيرة والمتوسطة العاملة في السوق الصربية، وتم جمع البيانات باستخدام الاستبانة الإلكترونية. وتوصلت نتائج الدراسة إلى وجود أثر إيجابي ذي دلالة إحصائية للتحول الاستراتيجي المدعوم بالذكاء الاصطناعي في تحقيق المخرجات المستدامة، وأن الشركات التي تدمج الذكاء الاصطناعي في استراتيجياتها تحقق أداءً مستداماً أفضل من نظيراتها. وأوصت الدراسة بضرورة تشجيع الحكومات على دعم تبنّي الشركات الصغيرة والمتوسطة لتقنيات الذكاء الاصطناعي، وتوفير حوافز وبنية تحتية داعمة، وتطوير برامج تدريبية متخصصة تُمكّن هذه الشركات من الاستفادة القصوى من الذكاء الاصطناعي في تحقيق أهداف الاستدامة</w:t>
      </w:r>
      <w:r w:rsidRPr="00CC60C6">
        <w:rPr>
          <w:rFonts w:ascii="Simplified Arabic" w:eastAsia="Times New Roman" w:hAnsi="Simplified Arabic" w:cs="Simplified Arabic"/>
          <w:kern w:val="0"/>
          <w:sz w:val="28"/>
          <w:szCs w:val="28"/>
          <w14:ligatures w14:val="none"/>
        </w:rPr>
        <w:t>.</w:t>
      </w:r>
    </w:p>
    <w:p w14:paraId="4E0DE81B" w14:textId="3B834123" w:rsidR="005C64B5" w:rsidRPr="00CC60C6" w:rsidRDefault="001144E0"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8" w:name="_Toc234293313"/>
      <w:r>
        <w:rPr>
          <w:rFonts w:ascii="Simplified Arabic" w:eastAsia="Calibri" w:hAnsi="Simplified Arabic" w:cs="Simplified Arabic" w:hint="cs"/>
          <w:b/>
          <w:bCs/>
          <w:color w:val="000000" w:themeColor="text1"/>
          <w:sz w:val="36"/>
          <w:szCs w:val="36"/>
          <w:rtl/>
          <w:lang w:bidi="ar-EG"/>
        </w:rPr>
        <w:lastRenderedPageBreak/>
        <w:t xml:space="preserve">8.1 </w:t>
      </w:r>
      <w:r w:rsidR="005C64B5" w:rsidRPr="00CC60C6">
        <w:rPr>
          <w:rFonts w:ascii="Simplified Arabic" w:eastAsia="Calibri" w:hAnsi="Simplified Arabic" w:cs="Simplified Arabic"/>
          <w:b/>
          <w:bCs/>
          <w:color w:val="000000" w:themeColor="text1"/>
          <w:sz w:val="36"/>
          <w:szCs w:val="36"/>
          <w:rtl/>
          <w:lang w:bidi="ar-EG"/>
        </w:rPr>
        <w:t>الفجوة البحثية</w:t>
      </w:r>
      <w:bookmarkEnd w:id="18"/>
    </w:p>
    <w:p w14:paraId="068E2C3A"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من خلال الاستقراء المعمّق للدراسات السابقة العربية والأجنبية التي تناولت متغيرات الدراسة الحالية، يتّضح وجود جملةٍ من أوجه الاتفاق والاختلاف التي تُبرز موقع الدراسة الحالية من الأدبيات المعاصرة وتُحدّد الفجوة البحثية التي تسعى إلى معالجتها. فمن حيث </w:t>
      </w:r>
      <w:r w:rsidRPr="00CC60C6">
        <w:rPr>
          <w:rFonts w:ascii="Simplified Arabic" w:eastAsia="Times New Roman" w:hAnsi="Simplified Arabic" w:cs="Simplified Arabic"/>
          <w:b/>
          <w:bCs/>
          <w:kern w:val="0"/>
          <w:sz w:val="28"/>
          <w:szCs w:val="28"/>
          <w:rtl/>
          <w14:ligatures w14:val="none"/>
        </w:rPr>
        <w:t>أوجه الاتفاق</w:t>
      </w:r>
      <w:r w:rsidRPr="00CC60C6">
        <w:rPr>
          <w:rFonts w:ascii="Simplified Arabic" w:eastAsia="Times New Roman" w:hAnsi="Simplified Arabic" w:cs="Simplified Arabic"/>
          <w:kern w:val="0"/>
          <w:sz w:val="28"/>
          <w:szCs w:val="28"/>
          <w:rtl/>
          <w14:ligatures w14:val="none"/>
        </w:rPr>
        <w:t>، تتفق الدراسة الحالية مع الدراسات السابقة في تناولها لمفهوم التحول الرقمي المدعوم بالذكاء الاصطناعي بوصفه رافعةً استراتيجيةً لتطوير المنظمات المعاصرة، وهو ما أكدته دراسات (حامد، 2025؛ رستم وصقور، 2024؛</w:t>
      </w:r>
      <w:r w:rsidRPr="00CC60C6">
        <w:rPr>
          <w:rFonts w:ascii="Simplified Arabic" w:eastAsia="Times New Roman" w:hAnsi="Simplified Arabic" w:cs="Simplified Arabic"/>
          <w:kern w:val="0"/>
          <w:sz w:val="28"/>
          <w:szCs w:val="28"/>
          <w14:ligatures w14:val="none"/>
        </w:rPr>
        <w:t xml:space="preserve"> Fenwick et al., 2024</w:t>
      </w:r>
      <w:r w:rsidRPr="00CC60C6">
        <w:rPr>
          <w:rFonts w:ascii="Simplified Arabic" w:eastAsia="Times New Roman" w:hAnsi="Simplified Arabic" w:cs="Simplified Arabic"/>
          <w:kern w:val="0"/>
          <w:sz w:val="28"/>
          <w:szCs w:val="28"/>
          <w:rtl/>
          <w14:ligatures w14:val="none"/>
        </w:rPr>
        <w:t>؛</w:t>
      </w:r>
      <w:r w:rsidRPr="00CC60C6">
        <w:rPr>
          <w:rFonts w:ascii="Simplified Arabic" w:eastAsia="Times New Roman" w:hAnsi="Simplified Arabic" w:cs="Simplified Arabic"/>
          <w:kern w:val="0"/>
          <w:sz w:val="28"/>
          <w:szCs w:val="28"/>
          <w14:ligatures w14:val="none"/>
        </w:rPr>
        <w:t xml:space="preserve"> Sposato &amp; Dittmar, 2026)</w:t>
      </w:r>
      <w:r w:rsidRPr="00CC60C6">
        <w:rPr>
          <w:rFonts w:ascii="Simplified Arabic" w:eastAsia="Times New Roman" w:hAnsi="Simplified Arabic" w:cs="Simplified Arabic"/>
          <w:kern w:val="0"/>
          <w:sz w:val="28"/>
          <w:szCs w:val="28"/>
          <w:rtl/>
          <w14:ligatures w14:val="none"/>
        </w:rPr>
        <w:t>، كما تتفق مع الدراسات السابقة في تبنّي مفهوم الأداء المستدام بأبعاده الاقتصادية والاجتماعية والبيئية بوصفه محصلةً متكاملةً للأداء المؤسسي المعاصر (أبو حميدة والربابعة، 2025؛</w:t>
      </w:r>
      <w:r w:rsidRPr="00CC60C6">
        <w:rPr>
          <w:rFonts w:ascii="Simplified Arabic" w:eastAsia="Times New Roman" w:hAnsi="Simplified Arabic" w:cs="Simplified Arabic"/>
          <w:kern w:val="0"/>
          <w:sz w:val="28"/>
          <w:szCs w:val="28"/>
          <w14:ligatures w14:val="none"/>
        </w:rPr>
        <w:t xml:space="preserve"> Damnjanovi</w:t>
      </w:r>
      <w:r w:rsidRPr="00CC60C6">
        <w:rPr>
          <w:rFonts w:ascii="Cambria" w:eastAsia="Times New Roman" w:hAnsi="Cambria" w:cs="Cambria"/>
          <w:kern w:val="0"/>
          <w:sz w:val="28"/>
          <w:szCs w:val="28"/>
          <w14:ligatures w14:val="none"/>
        </w:rPr>
        <w:t>ć</w:t>
      </w:r>
      <w:r w:rsidRPr="00CC60C6">
        <w:rPr>
          <w:rFonts w:ascii="Simplified Arabic" w:eastAsia="Times New Roman" w:hAnsi="Simplified Arabic" w:cs="Simplified Arabic"/>
          <w:kern w:val="0"/>
          <w:sz w:val="28"/>
          <w:szCs w:val="28"/>
          <w14:ligatures w14:val="none"/>
        </w:rPr>
        <w:t xml:space="preserve"> et al., 2025)</w:t>
      </w:r>
      <w:r w:rsidRPr="00CC60C6">
        <w:rPr>
          <w:rFonts w:ascii="Simplified Arabic" w:eastAsia="Times New Roman" w:hAnsi="Simplified Arabic" w:cs="Simplified Arabic"/>
          <w:kern w:val="0"/>
          <w:sz w:val="28"/>
          <w:szCs w:val="28"/>
          <w:rtl/>
          <w14:ligatures w14:val="none"/>
        </w:rPr>
        <w:t>، وتتفق كذلك في اعتماد المنهج الوصفي التحليلي وأداة الاستبانة لجمع البيانات الميدانية</w:t>
      </w:r>
      <w:r w:rsidRPr="00CC60C6">
        <w:rPr>
          <w:rFonts w:ascii="Simplified Arabic" w:eastAsia="Times New Roman" w:hAnsi="Simplified Arabic" w:cs="Simplified Arabic"/>
          <w:kern w:val="0"/>
          <w:sz w:val="28"/>
          <w:szCs w:val="28"/>
          <w14:ligatures w14:val="none"/>
        </w:rPr>
        <w:t>.</w:t>
      </w:r>
    </w:p>
    <w:p w14:paraId="17436D70"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أما من حيث </w:t>
      </w:r>
      <w:r w:rsidRPr="00CC60C6">
        <w:rPr>
          <w:rFonts w:ascii="Simplified Arabic" w:eastAsia="Times New Roman" w:hAnsi="Simplified Arabic" w:cs="Simplified Arabic"/>
          <w:b/>
          <w:bCs/>
          <w:kern w:val="0"/>
          <w:sz w:val="28"/>
          <w:szCs w:val="28"/>
          <w:rtl/>
          <w14:ligatures w14:val="none"/>
        </w:rPr>
        <w:t>أوجه الاختلاف</w:t>
      </w:r>
      <w:r w:rsidRPr="00CC60C6">
        <w:rPr>
          <w:rFonts w:ascii="Simplified Arabic" w:eastAsia="Times New Roman" w:hAnsi="Simplified Arabic" w:cs="Simplified Arabic"/>
          <w:kern w:val="0"/>
          <w:sz w:val="28"/>
          <w:szCs w:val="28"/>
          <w:rtl/>
          <w14:ligatures w14:val="none"/>
        </w:rPr>
        <w:t xml:space="preserve">، فتتميّز الدراسة الحالية عن سابقاتها في عدة جوانب جوهرية؛ إذ إن معظم الدراسات السابقة تناولت العلاقات الثنائية بين المتغيرات بشكلٍ منفصل، فدراسة (رستم وصقور، 2024) ركّزت على العلاقة بين التحول الرقمي والأداء المستدام دون الإشارة إلى دور الذكاء الاصطناعي بوصفه رافداً محورياً، ودراسة (حامد، 2025) تناولت أثر الذكاء الاصطناعي على التشغيل والإنتاجية دون ربطه بممارسات الاستدامة، في حين تناولت دراسة (سحنون، 2023) ممارسات الاستدامة في القطاع الصناعي دون توظيف مدخل التحول الرقمي والذكاء الاصطناعي. كما تختلف الدراسة الحالية من حيث </w:t>
      </w:r>
      <w:r w:rsidRPr="00CC60C6">
        <w:rPr>
          <w:rFonts w:ascii="Simplified Arabic" w:eastAsia="Times New Roman" w:hAnsi="Simplified Arabic" w:cs="Simplified Arabic"/>
          <w:b/>
          <w:bCs/>
          <w:kern w:val="0"/>
          <w:sz w:val="28"/>
          <w:szCs w:val="28"/>
          <w:rtl/>
          <w14:ligatures w14:val="none"/>
        </w:rPr>
        <w:t>بيئة التطبيق</w:t>
      </w:r>
      <w:r w:rsidRPr="00CC60C6">
        <w:rPr>
          <w:rFonts w:ascii="Simplified Arabic" w:eastAsia="Times New Roman" w:hAnsi="Simplified Arabic" w:cs="Simplified Arabic"/>
          <w:kern w:val="0"/>
          <w:sz w:val="28"/>
          <w:szCs w:val="28"/>
          <w:rtl/>
          <w14:ligatures w14:val="none"/>
        </w:rPr>
        <w:t>، إذ إن الدراسات السابقة طُبّقت في قطاعاتٍ صناعيةٍ (سحنون، 2023) أو خدميةٍ (رستم وصقور، 2024؛ أمزربه، 2024) أو أمنية (الفسفوس وعلي، 2025) أو تعليمية أو في شركاتٍ صغيرة ومتوسطة</w:t>
      </w:r>
      <w:r w:rsidRPr="00CC60C6">
        <w:rPr>
          <w:rFonts w:ascii="Simplified Arabic" w:eastAsia="Times New Roman" w:hAnsi="Simplified Arabic" w:cs="Simplified Arabic"/>
          <w:kern w:val="0"/>
          <w:sz w:val="28"/>
          <w:szCs w:val="28"/>
          <w14:ligatures w14:val="none"/>
        </w:rPr>
        <w:t xml:space="preserve"> (Damnjanovi</w:t>
      </w:r>
      <w:r w:rsidRPr="00CC60C6">
        <w:rPr>
          <w:rFonts w:ascii="Cambria" w:eastAsia="Times New Roman" w:hAnsi="Cambria" w:cs="Cambria"/>
          <w:kern w:val="0"/>
          <w:sz w:val="28"/>
          <w:szCs w:val="28"/>
          <w14:ligatures w14:val="none"/>
        </w:rPr>
        <w:t>ć</w:t>
      </w:r>
      <w:r w:rsidRPr="00CC60C6">
        <w:rPr>
          <w:rFonts w:ascii="Simplified Arabic" w:eastAsia="Times New Roman" w:hAnsi="Simplified Arabic" w:cs="Simplified Arabic"/>
          <w:kern w:val="0"/>
          <w:sz w:val="28"/>
          <w:szCs w:val="28"/>
          <w14:ligatures w14:val="none"/>
        </w:rPr>
        <w:t xml:space="preserve"> et al., 2025)</w:t>
      </w:r>
      <w:r w:rsidRPr="00CC60C6">
        <w:rPr>
          <w:rFonts w:ascii="Simplified Arabic" w:eastAsia="Times New Roman" w:hAnsi="Simplified Arabic" w:cs="Simplified Arabic"/>
          <w:kern w:val="0"/>
          <w:sz w:val="28"/>
          <w:szCs w:val="28"/>
          <w:rtl/>
          <w14:ligatures w14:val="none"/>
        </w:rPr>
        <w:t xml:space="preserve">، بينما تُطبَّق الدراسة الحالية في بيئةٍ فريدةٍ تتمثل في </w:t>
      </w:r>
      <w:r w:rsidRPr="00CC60C6">
        <w:rPr>
          <w:rFonts w:ascii="Simplified Arabic" w:eastAsia="Times New Roman" w:hAnsi="Simplified Arabic" w:cs="Simplified Arabic"/>
          <w:b/>
          <w:bCs/>
          <w:kern w:val="0"/>
          <w:sz w:val="28"/>
          <w:szCs w:val="28"/>
          <w:rtl/>
          <w14:ligatures w14:val="none"/>
        </w:rPr>
        <w:t>صندوق الاستثمارات العامة السعودي</w:t>
      </w:r>
      <w:r w:rsidRPr="00CC60C6">
        <w:rPr>
          <w:rFonts w:ascii="Simplified Arabic" w:eastAsia="Times New Roman" w:hAnsi="Simplified Arabic" w:cs="Simplified Arabic"/>
          <w:kern w:val="0"/>
          <w:sz w:val="28"/>
          <w:szCs w:val="28"/>
          <w:rtl/>
          <w14:ligatures w14:val="none"/>
        </w:rPr>
        <w:t xml:space="preserve"> بوصفه أحد أكبر الصناديق السيادية عالمياً، مما يمنحها خصوصيةً تطبيقيةً وقيمةً استراتيجيةً مضافة. وتختلف الدراسة كذلك من حيث </w:t>
      </w:r>
      <w:r w:rsidRPr="00CC60C6">
        <w:rPr>
          <w:rFonts w:ascii="Simplified Arabic" w:eastAsia="Times New Roman" w:hAnsi="Simplified Arabic" w:cs="Simplified Arabic"/>
          <w:b/>
          <w:bCs/>
          <w:kern w:val="0"/>
          <w:sz w:val="28"/>
          <w:szCs w:val="28"/>
          <w:rtl/>
          <w14:ligatures w14:val="none"/>
        </w:rPr>
        <w:t>النموذج البحثي</w:t>
      </w:r>
      <w:r w:rsidRPr="00CC60C6">
        <w:rPr>
          <w:rFonts w:ascii="Simplified Arabic" w:eastAsia="Times New Roman" w:hAnsi="Simplified Arabic" w:cs="Simplified Arabic"/>
          <w:kern w:val="0"/>
          <w:sz w:val="28"/>
          <w:szCs w:val="28"/>
          <w:rtl/>
          <w14:ligatures w14:val="none"/>
        </w:rPr>
        <w:t xml:space="preserve">، إذ تجمع بين ثلاثة متغيرات (التحول الرقمي المدعوم بالذكاء الاصطناعي كمتغير مستقل، وممارسات استدامة الأعمال كمتغير وسيط، والأداء المستدام كمتغير تابع) في إطارٍ متكاملٍ لم تتناوله الدراسات السابقة بهذا الشكل. وبناءً على ذلك، </w:t>
      </w:r>
      <w:r w:rsidRPr="00CC60C6">
        <w:rPr>
          <w:rFonts w:ascii="Simplified Arabic" w:eastAsia="Times New Roman" w:hAnsi="Simplified Arabic" w:cs="Simplified Arabic"/>
          <w:b/>
          <w:bCs/>
          <w:kern w:val="0"/>
          <w:sz w:val="28"/>
          <w:szCs w:val="28"/>
          <w:rtl/>
          <w14:ligatures w14:val="none"/>
        </w:rPr>
        <w:t>تتحدد الفجوة البحثية</w:t>
      </w:r>
      <w:r w:rsidRPr="00CC60C6">
        <w:rPr>
          <w:rFonts w:ascii="Simplified Arabic" w:eastAsia="Times New Roman" w:hAnsi="Simplified Arabic" w:cs="Simplified Arabic"/>
          <w:kern w:val="0"/>
          <w:sz w:val="28"/>
          <w:szCs w:val="28"/>
          <w:rtl/>
          <w14:ligatures w14:val="none"/>
        </w:rPr>
        <w:t xml:space="preserve"> في غياب دراساتٍ تطبيقيةٍ عربيةٍ تتناول العلاقة الثلاثية المتكاملة بين التحول الرقمي المدعوم بالذكاء الاصطناعي وممارسات استدامة الأعمال والأداء المستدام في سياق الصناديق السيادية الكبرى، وهو ما تسعى الدراسة الحالية إلى معالجته لسدّ هذه الفجوة وتقديم إضافةٍ علميةٍ وتطبيقيةٍ نوعية</w:t>
      </w:r>
      <w:r w:rsidRPr="00CC60C6">
        <w:rPr>
          <w:rFonts w:ascii="Simplified Arabic" w:eastAsia="Times New Roman" w:hAnsi="Simplified Arabic" w:cs="Simplified Arabic"/>
          <w:kern w:val="0"/>
          <w:sz w:val="28"/>
          <w:szCs w:val="28"/>
          <w14:ligatures w14:val="none"/>
        </w:rPr>
        <w:t>.</w:t>
      </w:r>
    </w:p>
    <w:p w14:paraId="33C5DBFE" w14:textId="62C1A7E8" w:rsidR="005C64B5" w:rsidRPr="00CC60C6" w:rsidRDefault="001144E0"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19" w:name="_Toc234293314"/>
      <w:r>
        <w:rPr>
          <w:rFonts w:ascii="Simplified Arabic" w:eastAsia="Calibri" w:hAnsi="Simplified Arabic" w:cs="Simplified Arabic" w:hint="cs"/>
          <w:b/>
          <w:bCs/>
          <w:color w:val="000000" w:themeColor="text1"/>
          <w:sz w:val="36"/>
          <w:szCs w:val="36"/>
          <w:rtl/>
          <w:lang w:bidi="ar-EG"/>
        </w:rPr>
        <w:t xml:space="preserve">9.1 </w:t>
      </w:r>
      <w:r w:rsidR="005C64B5" w:rsidRPr="00CC60C6">
        <w:rPr>
          <w:rFonts w:ascii="Simplified Arabic" w:eastAsia="Calibri" w:hAnsi="Simplified Arabic" w:cs="Simplified Arabic"/>
          <w:b/>
          <w:bCs/>
          <w:color w:val="000000" w:themeColor="text1"/>
          <w:sz w:val="36"/>
          <w:szCs w:val="36"/>
          <w:rtl/>
          <w:lang w:bidi="ar-EG"/>
        </w:rPr>
        <w:t>المنطلقات النظرية للدراسة</w:t>
      </w:r>
      <w:bookmarkEnd w:id="19"/>
    </w:p>
    <w:p w14:paraId="48956136"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lastRenderedPageBreak/>
        <w:t>أولاً: الإطار النظري للدراسة</w:t>
      </w:r>
    </w:p>
    <w:p w14:paraId="25BF287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يستند الإطار النظري للدراسة الحالية إلى مجموعةٍ من النظريات والمداخل الفكرية التي تُشكّل الأساس المفاهيمي لفهم العلاقة بين التحول الرقمي المدعوم بالذكاء الاصطناعي وممارسات استدامة الأعمال والأداء المستدام. وتنطلق الدراسة أولاً من </w:t>
      </w:r>
      <w:r w:rsidRPr="00CC60C6">
        <w:rPr>
          <w:rFonts w:ascii="Simplified Arabic" w:eastAsia="Times New Roman" w:hAnsi="Simplified Arabic" w:cs="Simplified Arabic"/>
          <w:b/>
          <w:bCs/>
          <w:kern w:val="0"/>
          <w:sz w:val="28"/>
          <w:szCs w:val="28"/>
          <w:rtl/>
          <w14:ligatures w14:val="none"/>
        </w:rPr>
        <w:t>نظرية الاعتماد على الموارد</w:t>
      </w:r>
      <w:r w:rsidRPr="00CC60C6">
        <w:rPr>
          <w:rFonts w:ascii="Simplified Arabic" w:eastAsia="Times New Roman" w:hAnsi="Simplified Arabic" w:cs="Simplified Arabic"/>
          <w:kern w:val="0"/>
          <w:sz w:val="28"/>
          <w:szCs w:val="28"/>
          <w:rtl/>
          <w14:ligatures w14:val="none"/>
        </w:rPr>
        <w:t xml:space="preserve"> </w:t>
      </w:r>
      <w:r w:rsidRPr="00CC60C6">
        <w:rPr>
          <w:rFonts w:ascii="Simplified Arabic" w:eastAsia="Times New Roman" w:hAnsi="Simplified Arabic" w:cs="Simplified Arabic"/>
          <w:kern w:val="0"/>
          <w:sz w:val="28"/>
          <w:szCs w:val="28"/>
          <w14:ligatures w14:val="none"/>
        </w:rPr>
        <w:t xml:space="preserve">(Resource-Based View) </w:t>
      </w:r>
      <w:r w:rsidRPr="00CC60C6">
        <w:rPr>
          <w:rFonts w:ascii="Simplified Arabic" w:eastAsia="Times New Roman" w:hAnsi="Simplified Arabic" w:cs="Simplified Arabic"/>
          <w:kern w:val="0"/>
          <w:sz w:val="28"/>
          <w:szCs w:val="28"/>
          <w:rtl/>
          <w14:ligatures w14:val="none"/>
        </w:rPr>
        <w:t>التي طوّرها بارني</w:t>
      </w:r>
      <w:r w:rsidRPr="00CC60C6">
        <w:rPr>
          <w:rFonts w:ascii="Simplified Arabic" w:eastAsia="Times New Roman" w:hAnsi="Simplified Arabic" w:cs="Simplified Arabic"/>
          <w:kern w:val="0"/>
          <w:sz w:val="28"/>
          <w:szCs w:val="28"/>
          <w14:ligatures w14:val="none"/>
        </w:rPr>
        <w:t xml:space="preserve"> (Barney)</w:t>
      </w:r>
      <w:r w:rsidRPr="00CC60C6">
        <w:rPr>
          <w:rFonts w:ascii="Simplified Arabic" w:eastAsia="Times New Roman" w:hAnsi="Simplified Arabic" w:cs="Simplified Arabic"/>
          <w:kern w:val="0"/>
          <w:sz w:val="28"/>
          <w:szCs w:val="28"/>
          <w:rtl/>
          <w14:ligatures w14:val="none"/>
        </w:rPr>
        <w:t>، والتي تُؤكّد أن الميزة التنافسية المستدامة للمنظمة تتحقق من خلال امتلاكها لموارد نادرة وقيّمة يصعب تقليدها، ومن هذا المنطلق تُشكّل تقنيات الذكاء الاصطناعي والقدرات الرقمية موارد استراتيجية تُمكّن المنظمة من بناء ميزةٍ تنافسيةٍ مستدامةٍ في بيئة الأعمال المعاصرة، حين تقترن برأس مالٍ بشريٍّ مؤهلٍ وثقافةٍ تنظيميةٍ داعمة</w:t>
      </w:r>
      <w:r w:rsidRPr="00CC60C6">
        <w:rPr>
          <w:rFonts w:ascii="Simplified Arabic" w:eastAsia="Times New Roman" w:hAnsi="Simplified Arabic" w:cs="Simplified Arabic"/>
          <w:kern w:val="0"/>
          <w:sz w:val="28"/>
          <w:szCs w:val="28"/>
          <w14:ligatures w14:val="none"/>
        </w:rPr>
        <w:t>.</w:t>
      </w:r>
    </w:p>
    <w:p w14:paraId="31801A8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وتستند الدراسة كذلك إلى </w:t>
      </w:r>
      <w:r w:rsidRPr="00CC60C6">
        <w:rPr>
          <w:rFonts w:ascii="Simplified Arabic" w:eastAsia="Times New Roman" w:hAnsi="Simplified Arabic" w:cs="Simplified Arabic"/>
          <w:b/>
          <w:bCs/>
          <w:kern w:val="0"/>
          <w:sz w:val="28"/>
          <w:szCs w:val="28"/>
          <w:rtl/>
          <w14:ligatures w14:val="none"/>
        </w:rPr>
        <w:t>نظرية القدرات الديناميكية</w:t>
      </w:r>
      <w:r w:rsidRPr="00CC60C6">
        <w:rPr>
          <w:rFonts w:ascii="Simplified Arabic" w:eastAsia="Times New Roman" w:hAnsi="Simplified Arabic" w:cs="Simplified Arabic"/>
          <w:kern w:val="0"/>
          <w:sz w:val="28"/>
          <w:szCs w:val="28"/>
          <w:rtl/>
          <w14:ligatures w14:val="none"/>
        </w:rPr>
        <w:t xml:space="preserve"> </w:t>
      </w:r>
      <w:r w:rsidRPr="00CC60C6">
        <w:rPr>
          <w:rFonts w:ascii="Simplified Arabic" w:eastAsia="Times New Roman" w:hAnsi="Simplified Arabic" w:cs="Simplified Arabic"/>
          <w:kern w:val="0"/>
          <w:sz w:val="28"/>
          <w:szCs w:val="28"/>
          <w14:ligatures w14:val="none"/>
        </w:rPr>
        <w:t xml:space="preserve">(Dynamic Capabilities Theory) </w:t>
      </w:r>
      <w:r w:rsidRPr="00CC60C6">
        <w:rPr>
          <w:rFonts w:ascii="Simplified Arabic" w:eastAsia="Times New Roman" w:hAnsi="Simplified Arabic" w:cs="Simplified Arabic"/>
          <w:kern w:val="0"/>
          <w:sz w:val="28"/>
          <w:szCs w:val="28"/>
          <w:rtl/>
          <w14:ligatures w14:val="none"/>
        </w:rPr>
        <w:t>التي طرحها تيس</w:t>
      </w:r>
      <w:r w:rsidRPr="00CC60C6">
        <w:rPr>
          <w:rFonts w:ascii="Simplified Arabic" w:eastAsia="Times New Roman" w:hAnsi="Simplified Arabic" w:cs="Simplified Arabic"/>
          <w:kern w:val="0"/>
          <w:sz w:val="28"/>
          <w:szCs w:val="28"/>
          <w14:ligatures w14:val="none"/>
        </w:rPr>
        <w:t xml:space="preserve"> (Teece)</w:t>
      </w:r>
      <w:r w:rsidRPr="00CC60C6">
        <w:rPr>
          <w:rFonts w:ascii="Simplified Arabic" w:eastAsia="Times New Roman" w:hAnsi="Simplified Arabic" w:cs="Simplified Arabic"/>
          <w:kern w:val="0"/>
          <w:sz w:val="28"/>
          <w:szCs w:val="28"/>
          <w:rtl/>
          <w14:ligatures w14:val="none"/>
        </w:rPr>
        <w:t>، والتي ترى أن نجاح المنظمات في بيئاتٍ متقلبةٍ يعتمد على قدرتها على استشعار الفرص والتهديدات، واغتنامها، وإعادة تشكيل مواردها باستمرار. ويُوفّر التحول الرقمي المدعوم بالذكاء الاصطناعي أدواتٍ متقدمةً لتعزيز هذه القدرات الديناميكية من خلال التحليل التنبؤي واستشراف المستقبل ودعم القرارات الاستراتيجية المرنة</w:t>
      </w:r>
      <w:r w:rsidRPr="00CC60C6">
        <w:rPr>
          <w:rFonts w:ascii="Simplified Arabic" w:eastAsia="Times New Roman" w:hAnsi="Simplified Arabic" w:cs="Simplified Arabic"/>
          <w:kern w:val="0"/>
          <w:sz w:val="28"/>
          <w:szCs w:val="28"/>
          <w14:ligatures w14:val="none"/>
        </w:rPr>
        <w:t>.</w:t>
      </w:r>
    </w:p>
    <w:p w14:paraId="1A86507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كما تستند الدراسة إلى </w:t>
      </w:r>
      <w:r w:rsidRPr="00CC60C6">
        <w:rPr>
          <w:rFonts w:ascii="Simplified Arabic" w:eastAsia="Times New Roman" w:hAnsi="Simplified Arabic" w:cs="Simplified Arabic"/>
          <w:b/>
          <w:bCs/>
          <w:kern w:val="0"/>
          <w:sz w:val="28"/>
          <w:szCs w:val="28"/>
          <w:rtl/>
          <w14:ligatures w14:val="none"/>
        </w:rPr>
        <w:t>نظرية أصحاب المصلحة</w:t>
      </w:r>
      <w:r w:rsidRPr="00CC60C6">
        <w:rPr>
          <w:rFonts w:ascii="Simplified Arabic" w:eastAsia="Times New Roman" w:hAnsi="Simplified Arabic" w:cs="Simplified Arabic"/>
          <w:kern w:val="0"/>
          <w:sz w:val="28"/>
          <w:szCs w:val="28"/>
          <w:rtl/>
          <w14:ligatures w14:val="none"/>
        </w:rPr>
        <w:t xml:space="preserve"> </w:t>
      </w:r>
      <w:r w:rsidRPr="00CC60C6">
        <w:rPr>
          <w:rFonts w:ascii="Simplified Arabic" w:eastAsia="Times New Roman" w:hAnsi="Simplified Arabic" w:cs="Simplified Arabic"/>
          <w:kern w:val="0"/>
          <w:sz w:val="28"/>
          <w:szCs w:val="28"/>
          <w14:ligatures w14:val="none"/>
        </w:rPr>
        <w:t xml:space="preserve">(Stakeholder Theory) </w:t>
      </w:r>
      <w:r w:rsidRPr="00CC60C6">
        <w:rPr>
          <w:rFonts w:ascii="Simplified Arabic" w:eastAsia="Times New Roman" w:hAnsi="Simplified Arabic" w:cs="Simplified Arabic"/>
          <w:kern w:val="0"/>
          <w:sz w:val="28"/>
          <w:szCs w:val="28"/>
          <w:rtl/>
          <w14:ligatures w14:val="none"/>
        </w:rPr>
        <w:t>التي طوّرها فريمان</w:t>
      </w:r>
      <w:r w:rsidRPr="00CC60C6">
        <w:rPr>
          <w:rFonts w:ascii="Simplified Arabic" w:eastAsia="Times New Roman" w:hAnsi="Simplified Arabic" w:cs="Simplified Arabic"/>
          <w:kern w:val="0"/>
          <w:sz w:val="28"/>
          <w:szCs w:val="28"/>
          <w14:ligatures w14:val="none"/>
        </w:rPr>
        <w:t xml:space="preserve"> (Freeman)</w:t>
      </w:r>
      <w:r w:rsidRPr="00CC60C6">
        <w:rPr>
          <w:rFonts w:ascii="Simplified Arabic" w:eastAsia="Times New Roman" w:hAnsi="Simplified Arabic" w:cs="Simplified Arabic"/>
          <w:kern w:val="0"/>
          <w:sz w:val="28"/>
          <w:szCs w:val="28"/>
          <w:rtl/>
          <w14:ligatures w14:val="none"/>
        </w:rPr>
        <w:t>، والتي تُؤكّد أن نجاح المنظمة يتوقف على قدرتها على تحقيق التوازن بين مصالح جميع أصحاب المصلحة من مساهمين وعاملين ومجتمعٍ وبيئة. وتُشكّل هذه النظرية الأساس الفكري لممارسات استدامة الأعمال والأداء المستدام بأبعاده المتكاملة</w:t>
      </w:r>
      <w:r w:rsidRPr="00CC60C6">
        <w:rPr>
          <w:rFonts w:ascii="Simplified Arabic" w:eastAsia="Times New Roman" w:hAnsi="Simplified Arabic" w:cs="Simplified Arabic"/>
          <w:kern w:val="0"/>
          <w:sz w:val="28"/>
          <w:szCs w:val="28"/>
          <w14:ligatures w14:val="none"/>
        </w:rPr>
        <w:t>.</w:t>
      </w:r>
    </w:p>
    <w:p w14:paraId="2DCA7BAA"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وتستند الدراسة أيضاً إلى </w:t>
      </w:r>
      <w:r w:rsidRPr="00CC60C6">
        <w:rPr>
          <w:rFonts w:ascii="Simplified Arabic" w:eastAsia="Times New Roman" w:hAnsi="Simplified Arabic" w:cs="Simplified Arabic"/>
          <w:b/>
          <w:bCs/>
          <w:kern w:val="0"/>
          <w:sz w:val="28"/>
          <w:szCs w:val="28"/>
          <w:rtl/>
          <w14:ligatures w14:val="none"/>
        </w:rPr>
        <w:t>نظرية الخط الثلاثي للأرباح</w:t>
      </w:r>
      <w:r w:rsidRPr="00CC60C6">
        <w:rPr>
          <w:rFonts w:ascii="Simplified Arabic" w:eastAsia="Times New Roman" w:hAnsi="Simplified Arabic" w:cs="Simplified Arabic"/>
          <w:kern w:val="0"/>
          <w:sz w:val="28"/>
          <w:szCs w:val="28"/>
          <w:rtl/>
          <w14:ligatures w14:val="none"/>
        </w:rPr>
        <w:t xml:space="preserve"> </w:t>
      </w:r>
      <w:r w:rsidRPr="00CC60C6">
        <w:rPr>
          <w:rFonts w:ascii="Simplified Arabic" w:eastAsia="Times New Roman" w:hAnsi="Simplified Arabic" w:cs="Simplified Arabic"/>
          <w:kern w:val="0"/>
          <w:sz w:val="28"/>
          <w:szCs w:val="28"/>
          <w14:ligatures w14:val="none"/>
        </w:rPr>
        <w:t xml:space="preserve">(Triple Bottom Line) </w:t>
      </w:r>
      <w:r w:rsidRPr="00CC60C6">
        <w:rPr>
          <w:rFonts w:ascii="Simplified Arabic" w:eastAsia="Times New Roman" w:hAnsi="Simplified Arabic" w:cs="Simplified Arabic"/>
          <w:kern w:val="0"/>
          <w:sz w:val="28"/>
          <w:szCs w:val="28"/>
          <w:rtl/>
          <w14:ligatures w14:val="none"/>
        </w:rPr>
        <w:t>التي صاغها إلكينجتون</w:t>
      </w:r>
      <w:r w:rsidRPr="00CC60C6">
        <w:rPr>
          <w:rFonts w:ascii="Simplified Arabic" w:eastAsia="Times New Roman" w:hAnsi="Simplified Arabic" w:cs="Simplified Arabic"/>
          <w:kern w:val="0"/>
          <w:sz w:val="28"/>
          <w:szCs w:val="28"/>
          <w14:ligatures w14:val="none"/>
        </w:rPr>
        <w:t xml:space="preserve"> (Elkington)</w:t>
      </w:r>
      <w:r w:rsidRPr="00CC60C6">
        <w:rPr>
          <w:rFonts w:ascii="Simplified Arabic" w:eastAsia="Times New Roman" w:hAnsi="Simplified Arabic" w:cs="Simplified Arabic"/>
          <w:kern w:val="0"/>
          <w:sz w:val="28"/>
          <w:szCs w:val="28"/>
          <w:rtl/>
          <w14:ligatures w14:val="none"/>
        </w:rPr>
        <w:t>، والتي ترى أن الأداء المؤسسي المتكامل يجب أن يُقاس بثلاثة أبعاد متوازنة هي: الربحية الاقتصادية، والمسؤولية الاجتماعية، والاستدامة البيئية. ويُشكّل هذا الإطار الركيزة المفاهيمية لقياس الأداء المستدام في الدراسة الحالية</w:t>
      </w:r>
      <w:r w:rsidRPr="00CC60C6">
        <w:rPr>
          <w:rFonts w:ascii="Simplified Arabic" w:eastAsia="Times New Roman" w:hAnsi="Simplified Arabic" w:cs="Simplified Arabic"/>
          <w:kern w:val="0"/>
          <w:sz w:val="28"/>
          <w:szCs w:val="28"/>
          <w14:ligatures w14:val="none"/>
        </w:rPr>
        <w:t>.</w:t>
      </w:r>
    </w:p>
    <w:p w14:paraId="4BF701B3"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وتستكمل الدراسة إطارها النظري باستحضار </w:t>
      </w:r>
      <w:r w:rsidRPr="00CC60C6">
        <w:rPr>
          <w:rFonts w:ascii="Simplified Arabic" w:eastAsia="Times New Roman" w:hAnsi="Simplified Arabic" w:cs="Simplified Arabic"/>
          <w:b/>
          <w:bCs/>
          <w:kern w:val="0"/>
          <w:sz w:val="28"/>
          <w:szCs w:val="28"/>
          <w:rtl/>
          <w14:ligatures w14:val="none"/>
        </w:rPr>
        <w:t>نظرية التبنّي التكنولوجي</w:t>
      </w:r>
      <w:r w:rsidRPr="00CC60C6">
        <w:rPr>
          <w:rFonts w:ascii="Simplified Arabic" w:eastAsia="Times New Roman" w:hAnsi="Simplified Arabic" w:cs="Simplified Arabic"/>
          <w:kern w:val="0"/>
          <w:sz w:val="28"/>
          <w:szCs w:val="28"/>
          <w:rtl/>
          <w14:ligatures w14:val="none"/>
        </w:rPr>
        <w:t xml:space="preserve"> </w:t>
      </w:r>
      <w:r w:rsidRPr="00CC60C6">
        <w:rPr>
          <w:rFonts w:ascii="Simplified Arabic" w:eastAsia="Times New Roman" w:hAnsi="Simplified Arabic" w:cs="Simplified Arabic"/>
          <w:kern w:val="0"/>
          <w:sz w:val="28"/>
          <w:szCs w:val="28"/>
          <w14:ligatures w14:val="none"/>
        </w:rPr>
        <w:t xml:space="preserve">(Technology Acceptance Model) </w:t>
      </w:r>
      <w:r w:rsidRPr="00CC60C6">
        <w:rPr>
          <w:rFonts w:ascii="Simplified Arabic" w:eastAsia="Times New Roman" w:hAnsi="Simplified Arabic" w:cs="Simplified Arabic"/>
          <w:kern w:val="0"/>
          <w:sz w:val="28"/>
          <w:szCs w:val="28"/>
          <w:rtl/>
          <w14:ligatures w14:val="none"/>
        </w:rPr>
        <w:t>لديفيس</w:t>
      </w:r>
      <w:r w:rsidRPr="00CC60C6">
        <w:rPr>
          <w:rFonts w:ascii="Simplified Arabic" w:eastAsia="Times New Roman" w:hAnsi="Simplified Arabic" w:cs="Simplified Arabic"/>
          <w:kern w:val="0"/>
          <w:sz w:val="28"/>
          <w:szCs w:val="28"/>
          <w14:ligatures w14:val="none"/>
        </w:rPr>
        <w:t xml:space="preserve"> (Davis)</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نموذج قبول التقنية الموحد</w:t>
      </w:r>
      <w:r w:rsidRPr="00CC60C6">
        <w:rPr>
          <w:rFonts w:ascii="Simplified Arabic" w:eastAsia="Times New Roman" w:hAnsi="Simplified Arabic" w:cs="Simplified Arabic"/>
          <w:kern w:val="0"/>
          <w:sz w:val="28"/>
          <w:szCs w:val="28"/>
          <w:rtl/>
          <w14:ligatures w14:val="none"/>
        </w:rPr>
        <w:t xml:space="preserve"> </w:t>
      </w:r>
      <w:r w:rsidRPr="00CC60C6">
        <w:rPr>
          <w:rFonts w:ascii="Simplified Arabic" w:eastAsia="Times New Roman" w:hAnsi="Simplified Arabic" w:cs="Simplified Arabic"/>
          <w:kern w:val="0"/>
          <w:sz w:val="28"/>
          <w:szCs w:val="28"/>
          <w14:ligatures w14:val="none"/>
        </w:rPr>
        <w:t xml:space="preserve">(UTAUT) </w:t>
      </w:r>
      <w:r w:rsidRPr="00CC60C6">
        <w:rPr>
          <w:rFonts w:ascii="Simplified Arabic" w:eastAsia="Times New Roman" w:hAnsi="Simplified Arabic" w:cs="Simplified Arabic"/>
          <w:kern w:val="0"/>
          <w:sz w:val="28"/>
          <w:szCs w:val="28"/>
          <w:rtl/>
          <w14:ligatures w14:val="none"/>
        </w:rPr>
        <w:t>لفينكاتيش</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Venkatesh</w:t>
      </w:r>
      <w:proofErr w:type="spellEnd"/>
      <w:r w:rsidRPr="00CC60C6">
        <w:rPr>
          <w:rFonts w:ascii="Simplified Arabic" w:eastAsia="Times New Roman" w:hAnsi="Simplified Arabic" w:cs="Simplified Arabic"/>
          <w:kern w:val="0"/>
          <w:sz w:val="28"/>
          <w:szCs w:val="28"/>
          <w14:ligatures w14:val="none"/>
        </w:rPr>
        <w:t>)</w:t>
      </w:r>
      <w:r w:rsidRPr="00CC60C6">
        <w:rPr>
          <w:rFonts w:ascii="Simplified Arabic" w:eastAsia="Times New Roman" w:hAnsi="Simplified Arabic" w:cs="Simplified Arabic"/>
          <w:kern w:val="0"/>
          <w:sz w:val="28"/>
          <w:szCs w:val="28"/>
          <w:rtl/>
          <w14:ligatures w14:val="none"/>
        </w:rPr>
        <w:t xml:space="preserve">، اللذين يُفسّران </w:t>
      </w:r>
      <w:r w:rsidRPr="00CC60C6">
        <w:rPr>
          <w:rFonts w:ascii="Simplified Arabic" w:eastAsia="Times New Roman" w:hAnsi="Simplified Arabic" w:cs="Simplified Arabic"/>
          <w:kern w:val="0"/>
          <w:sz w:val="28"/>
          <w:szCs w:val="28"/>
          <w:rtl/>
          <w14:ligatures w14:val="none"/>
        </w:rPr>
        <w:lastRenderedPageBreak/>
        <w:t>العوامل المؤثرة في تبنّي الأفراد والمنظمات للتقنيات الجديدة كالذكاء الاصطناعي، وهو ما يُلقي الضوء على أهمية الثقافة الرقمية والقيادة الرقمية بوصفها أبعاداً محوريةً في نجاح التحول الرقمي</w:t>
      </w:r>
      <w:r w:rsidRPr="00CC60C6">
        <w:rPr>
          <w:rFonts w:ascii="Simplified Arabic" w:eastAsia="Times New Roman" w:hAnsi="Simplified Arabic" w:cs="Simplified Arabic"/>
          <w:kern w:val="0"/>
          <w:sz w:val="28"/>
          <w:szCs w:val="28"/>
          <w14:ligatures w14:val="none"/>
        </w:rPr>
        <w:t>.</w:t>
      </w:r>
    </w:p>
    <w:p w14:paraId="5E08FACE" w14:textId="77777777" w:rsidR="005C64B5" w:rsidRPr="00CC60C6" w:rsidRDefault="005C64B5" w:rsidP="00CC60C6">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ثانياً: المصطلحات المفاهيمية والإجرائية للدراسة</w:t>
      </w:r>
    </w:p>
    <w:p w14:paraId="198A9551" w14:textId="6A1ECD89"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التحول الرقمي المدعوم بالذكاء الاصطناعي</w:t>
      </w:r>
    </w:p>
    <w:p w14:paraId="748F0E2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يُعرَّف بأنه العملية الاستراتيجية الشاملة التي تتبنّى من خلالها المنظمات دمج تقنيات الذكاء الاصطناعي في جميع جوانب أعمالها لإعادة تشكيل نماذجها التشغيلية وثقافتها التنظيمية وتقديم قيمةٍ مضافةٍ لأصحاب المصلحة، من خلال توظيف التعلم الآلي وتحليل البيانات الضخمة والأتمتة الذكية وتقنيات معالجة اللغات الطبيعية</w:t>
      </w:r>
      <w:r w:rsidRPr="00CC60C6">
        <w:rPr>
          <w:rFonts w:ascii="Simplified Arabic" w:eastAsia="Times New Roman" w:hAnsi="Simplified Arabic" w:cs="Simplified Arabic"/>
          <w:kern w:val="0"/>
          <w:sz w:val="28"/>
          <w:szCs w:val="28"/>
          <w14:ligatures w14:val="none"/>
        </w:rPr>
        <w:t xml:space="preserve"> (Rabhi et al., 2025).</w:t>
      </w:r>
    </w:p>
    <w:p w14:paraId="2F1EE42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يُعرَّف إجرائياً بأنه الدرجة التي يحصل عليها المستجيب في الاستبانة المُعدّة لقياس مدى تبنّي صندوق الاستثمارات العامة لتقنيات الذكاء الاصطناعي في عملياته الاستثمارية والإدارية، من خلال أبعاده الخمسة</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b/>
          <w:bCs/>
          <w:kern w:val="0"/>
          <w:sz w:val="28"/>
          <w:szCs w:val="28"/>
          <w:rtl/>
          <w14:ligatures w14:val="none"/>
        </w:rPr>
        <w:t>البنية التحتية الرقمية الذكية</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الأتمتة الذكية والتعلم الآلي</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تحليل البيانات الضخمة</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القيادة الرقمية</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الثقافة الرقمية</w:t>
      </w:r>
      <w:r w:rsidRPr="00CC60C6">
        <w:rPr>
          <w:rFonts w:ascii="Simplified Arabic" w:eastAsia="Times New Roman" w:hAnsi="Simplified Arabic" w:cs="Simplified Arabic"/>
          <w:kern w:val="0"/>
          <w:sz w:val="28"/>
          <w:szCs w:val="28"/>
          <w14:ligatures w14:val="none"/>
        </w:rPr>
        <w:t>.</w:t>
      </w:r>
    </w:p>
    <w:p w14:paraId="4F2495D9" w14:textId="2D9E674F"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البنية التحتية الرقمية الذكية</w:t>
      </w:r>
    </w:p>
    <w:p w14:paraId="49957734"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المنظومة المتكاملة من الأجهزة والبرمجيات والشبكات ومنصات الحوسبة السحابية التي تُشكّل الأساس التقني اللازم لتشغيل تطبيقات الذكاء الاصطناعي بكفاءةٍ عالية</w:t>
      </w:r>
      <w:r w:rsidRPr="00CC60C6">
        <w:rPr>
          <w:rFonts w:ascii="Simplified Arabic" w:eastAsia="Times New Roman" w:hAnsi="Simplified Arabic" w:cs="Simplified Arabic"/>
          <w:kern w:val="0"/>
          <w:sz w:val="28"/>
          <w:szCs w:val="28"/>
          <w14:ligatures w14:val="none"/>
        </w:rPr>
        <w:t>.</w:t>
      </w:r>
    </w:p>
    <w:p w14:paraId="060AE9C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بمدى توفّر البنية التحتية التقنية والسحابية والأمن السيبراني في الصندوق</w:t>
      </w:r>
      <w:r w:rsidRPr="00CC60C6">
        <w:rPr>
          <w:rFonts w:ascii="Simplified Arabic" w:eastAsia="Times New Roman" w:hAnsi="Simplified Arabic" w:cs="Simplified Arabic"/>
          <w:kern w:val="0"/>
          <w:sz w:val="28"/>
          <w:szCs w:val="28"/>
          <w14:ligatures w14:val="none"/>
        </w:rPr>
        <w:t>.</w:t>
      </w:r>
    </w:p>
    <w:p w14:paraId="6BB70946" w14:textId="27206286"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الأتمتة الذكية والتعلم الآلي</w:t>
      </w:r>
    </w:p>
    <w:p w14:paraId="67EBB30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توظيف الخوارزميات الذكية القادرة على التعلم من البيانات وأتمتة المهام المتكررة والمعقدة بما يُقلّل الاعتماد على التدخل البشري ويرفع كفاءة العمليات</w:t>
      </w:r>
      <w:r w:rsidRPr="00CC60C6">
        <w:rPr>
          <w:rFonts w:ascii="Simplified Arabic" w:eastAsia="Times New Roman" w:hAnsi="Simplified Arabic" w:cs="Simplified Arabic"/>
          <w:kern w:val="0"/>
          <w:sz w:val="28"/>
          <w:szCs w:val="28"/>
          <w14:ligatures w14:val="none"/>
        </w:rPr>
        <w:t>.</w:t>
      </w:r>
    </w:p>
    <w:p w14:paraId="5840AD7F"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بمدى استخدام الصندوق لخوارزميات التعلم الآلي وأتمتة العمليات الاستثمارية والإدارية</w:t>
      </w:r>
      <w:r w:rsidRPr="00CC60C6">
        <w:rPr>
          <w:rFonts w:ascii="Simplified Arabic" w:eastAsia="Times New Roman" w:hAnsi="Simplified Arabic" w:cs="Simplified Arabic"/>
          <w:kern w:val="0"/>
          <w:sz w:val="28"/>
          <w:szCs w:val="28"/>
          <w14:ligatures w14:val="none"/>
        </w:rPr>
        <w:t>.</w:t>
      </w:r>
    </w:p>
    <w:p w14:paraId="444CCEAF" w14:textId="6121DB31"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CC60C6">
        <w:rPr>
          <w:rFonts w:ascii="Simplified Arabic" w:eastAsia="Times New Roman" w:hAnsi="Simplified Arabic" w:cs="Simplified Arabic"/>
          <w:b/>
          <w:bCs/>
          <w:kern w:val="0"/>
          <w:sz w:val="28"/>
          <w:szCs w:val="28"/>
          <w:rtl/>
          <w14:ligatures w14:val="none"/>
        </w:rPr>
        <w:lastRenderedPageBreak/>
        <w:t>تحليل البيانات الضخمة</w:t>
      </w:r>
    </w:p>
    <w:p w14:paraId="51A1D87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القدرة على معالجة وتحليل كمياتٍ هائلةٍ من البيانات الهيكلية وغير الهيكلية لاستخلاص أنماطٍ ورؤىً استراتيجيةٍ تدعم اتخاذ القرارات</w:t>
      </w:r>
      <w:r w:rsidRPr="00CC60C6">
        <w:rPr>
          <w:rFonts w:ascii="Simplified Arabic" w:eastAsia="Times New Roman" w:hAnsi="Simplified Arabic" w:cs="Simplified Arabic"/>
          <w:kern w:val="0"/>
          <w:sz w:val="28"/>
          <w:szCs w:val="28"/>
          <w14:ligatures w14:val="none"/>
        </w:rPr>
        <w:t>.</w:t>
      </w:r>
    </w:p>
    <w:p w14:paraId="48FAB668"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بمدى توظيف الصندوق لأدوات تحليل البيانات الضخمة في تحليل الفرص الاستثمارية وإدارة المخاطر</w:t>
      </w:r>
      <w:r w:rsidRPr="00CC60C6">
        <w:rPr>
          <w:rFonts w:ascii="Simplified Arabic" w:eastAsia="Times New Roman" w:hAnsi="Simplified Arabic" w:cs="Simplified Arabic"/>
          <w:kern w:val="0"/>
          <w:sz w:val="28"/>
          <w:szCs w:val="28"/>
          <w14:ligatures w14:val="none"/>
        </w:rPr>
        <w:t>.</w:t>
      </w:r>
    </w:p>
    <w:p w14:paraId="553497CF" w14:textId="7A5C3160"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القيادة الرقمية</w:t>
      </w:r>
    </w:p>
    <w:p w14:paraId="5DB0CCD8"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نمط القيادة الذي يمتلك رؤيةً رقميةً واضحةً وقدرةً على توجيه المنظمة نحو التحول الرقمي وبناء ثقافةٍ داعمةٍ للابتكار التقني</w:t>
      </w:r>
      <w:r w:rsidRPr="00CC60C6">
        <w:rPr>
          <w:rFonts w:ascii="Simplified Arabic" w:eastAsia="Times New Roman" w:hAnsi="Simplified Arabic" w:cs="Simplified Arabic"/>
          <w:kern w:val="0"/>
          <w:sz w:val="28"/>
          <w:szCs w:val="28"/>
          <w14:ligatures w14:val="none"/>
        </w:rPr>
        <w:t xml:space="preserve"> (Sposato &amp; Dittmar, 2026).</w:t>
      </w:r>
    </w:p>
    <w:p w14:paraId="62AF62D8" w14:textId="77777777" w:rsidR="005C64B5"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بمدى امتلاك قيادات الصندوق للرؤية الرقمية والقدرة على قيادة التحول الرقمي</w:t>
      </w:r>
      <w:r w:rsidRPr="00CC60C6">
        <w:rPr>
          <w:rFonts w:ascii="Simplified Arabic" w:eastAsia="Times New Roman" w:hAnsi="Simplified Arabic" w:cs="Simplified Arabic"/>
          <w:kern w:val="0"/>
          <w:sz w:val="28"/>
          <w:szCs w:val="28"/>
          <w14:ligatures w14:val="none"/>
        </w:rPr>
        <w:t>.</w:t>
      </w:r>
    </w:p>
    <w:p w14:paraId="75A45F54" w14:textId="77777777" w:rsidR="001144E0" w:rsidRPr="00CC60C6" w:rsidRDefault="001144E0"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p>
    <w:p w14:paraId="7D6FD347" w14:textId="483D7E20"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الثقافة الرقمية</w:t>
      </w:r>
    </w:p>
    <w:p w14:paraId="460950B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منظومة القيم والمعتقدات والممارسات المشتركة داخل المنظمة التي تُشجّع على تبنّي التقنيات الرقمية والانفتاح على الابتكار والتعلم المستمر</w:t>
      </w:r>
      <w:r w:rsidRPr="00CC60C6">
        <w:rPr>
          <w:rFonts w:ascii="Simplified Arabic" w:eastAsia="Times New Roman" w:hAnsi="Simplified Arabic" w:cs="Simplified Arabic"/>
          <w:kern w:val="0"/>
          <w:sz w:val="28"/>
          <w:szCs w:val="28"/>
          <w14:ligatures w14:val="none"/>
        </w:rPr>
        <w:t>.</w:t>
      </w:r>
    </w:p>
    <w:p w14:paraId="6E69608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بمدى انتشار الثقافة الداعمة للتحول الرقمي في الصندوق</w:t>
      </w:r>
      <w:r w:rsidRPr="00CC60C6">
        <w:rPr>
          <w:rFonts w:ascii="Simplified Arabic" w:eastAsia="Times New Roman" w:hAnsi="Simplified Arabic" w:cs="Simplified Arabic"/>
          <w:kern w:val="0"/>
          <w:sz w:val="28"/>
          <w:szCs w:val="28"/>
          <w14:ligatures w14:val="none"/>
        </w:rPr>
        <w:t>.</w:t>
      </w:r>
    </w:p>
    <w:p w14:paraId="5BAA01A6" w14:textId="49FD8854"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ممارسات استدامة الأعمال</w:t>
      </w:r>
    </w:p>
    <w:p w14:paraId="240E2409"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مجموعة السياسات والإجراءات التي تتبنّاها المنظمة لتحقيق التوازن بين الأبعاد الاقتصادية والاجتماعية والبيئية والحوكمة في جميع عملياتها، بما يضمن استمرارية أدائها وتلبية توقعات أصحاب المصلحة (سحنون، 2023)</w:t>
      </w:r>
      <w:r w:rsidRPr="00CC60C6">
        <w:rPr>
          <w:rFonts w:ascii="Simplified Arabic" w:eastAsia="Times New Roman" w:hAnsi="Simplified Arabic" w:cs="Simplified Arabic"/>
          <w:kern w:val="0"/>
          <w:sz w:val="28"/>
          <w:szCs w:val="28"/>
          <w14:ligatures w14:val="none"/>
        </w:rPr>
        <w:t>.</w:t>
      </w:r>
    </w:p>
    <w:p w14:paraId="4D8921D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lastRenderedPageBreak/>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في الاستبانة المُعدّة لقياس مدى تبنّي الصندوق لممارسات الاستدامة بأبعادها الأربعة</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b/>
          <w:bCs/>
          <w:kern w:val="0"/>
          <w:sz w:val="28"/>
          <w:szCs w:val="28"/>
          <w:rtl/>
          <w14:ligatures w14:val="none"/>
        </w:rPr>
        <w:t>البُعد الاقتصادي</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البُعد الاجتماعي</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البُعد البيئي</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بُعد الحوكمة</w:t>
      </w:r>
      <w:r w:rsidRPr="00CC60C6">
        <w:rPr>
          <w:rFonts w:ascii="Simplified Arabic" w:eastAsia="Times New Roman" w:hAnsi="Simplified Arabic" w:cs="Simplified Arabic"/>
          <w:kern w:val="0"/>
          <w:sz w:val="28"/>
          <w:szCs w:val="28"/>
          <w14:ligatures w14:val="none"/>
        </w:rPr>
        <w:t>.</w:t>
      </w:r>
    </w:p>
    <w:p w14:paraId="20E52F1F" w14:textId="06C4808E"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الاقتصادي للاستدامة</w:t>
      </w:r>
    </w:p>
    <w:p w14:paraId="134D7A34"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قدرة المنظمة على تحقيق أرباحٍ مستدامةٍ ونموٍّ اقتصاديٍّ طويل الأجل مع الاستخدام الرشيد للموارد المالية</w:t>
      </w:r>
      <w:r w:rsidRPr="00CC60C6">
        <w:rPr>
          <w:rFonts w:ascii="Simplified Arabic" w:eastAsia="Times New Roman" w:hAnsi="Simplified Arabic" w:cs="Simplified Arabic"/>
          <w:kern w:val="0"/>
          <w:sz w:val="28"/>
          <w:szCs w:val="28"/>
          <w14:ligatures w14:val="none"/>
        </w:rPr>
        <w:t>.</w:t>
      </w:r>
    </w:p>
    <w:p w14:paraId="1E55CA60"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بالممارسات الاقتصادية المستدامة للصندوق</w:t>
      </w:r>
      <w:r w:rsidRPr="00CC60C6">
        <w:rPr>
          <w:rFonts w:ascii="Simplified Arabic" w:eastAsia="Times New Roman" w:hAnsi="Simplified Arabic" w:cs="Simplified Arabic"/>
          <w:kern w:val="0"/>
          <w:sz w:val="28"/>
          <w:szCs w:val="28"/>
          <w14:ligatures w14:val="none"/>
        </w:rPr>
        <w:t>.</w:t>
      </w:r>
    </w:p>
    <w:p w14:paraId="5C41822A" w14:textId="39C5992A" w:rsidR="005C64B5" w:rsidRPr="00CC60C6" w:rsidRDefault="005C64B5" w:rsidP="00CC60C6">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الاجتماعي للاستدامة</w:t>
      </w:r>
    </w:p>
    <w:p w14:paraId="582B756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التزام المنظمة تجاه العاملين والمجتمع من خلال ممارسات المسؤولية الاجتماعية وتنمية رأس المال البشري ودعم المجتمعات المحلية</w:t>
      </w:r>
      <w:r w:rsidRPr="00CC60C6">
        <w:rPr>
          <w:rFonts w:ascii="Simplified Arabic" w:eastAsia="Times New Roman" w:hAnsi="Simplified Arabic" w:cs="Simplified Arabic"/>
          <w:kern w:val="0"/>
          <w:sz w:val="28"/>
          <w:szCs w:val="28"/>
          <w14:ligatures w14:val="none"/>
        </w:rPr>
        <w:t>.</w:t>
      </w:r>
    </w:p>
    <w:p w14:paraId="1644AD38"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بالممارسات الاجتماعية المستدامة للصندوق</w:t>
      </w:r>
      <w:r w:rsidRPr="00CC60C6">
        <w:rPr>
          <w:rFonts w:ascii="Simplified Arabic" w:eastAsia="Times New Roman" w:hAnsi="Simplified Arabic" w:cs="Simplified Arabic"/>
          <w:kern w:val="0"/>
          <w:sz w:val="28"/>
          <w:szCs w:val="28"/>
          <w14:ligatures w14:val="none"/>
        </w:rPr>
        <w:t>.</w:t>
      </w:r>
    </w:p>
    <w:p w14:paraId="63B5EFEB" w14:textId="4CBCBCD7" w:rsidR="005C64B5" w:rsidRPr="00CC60C6" w:rsidRDefault="005C64B5" w:rsidP="00CC60C6">
      <w:pPr>
        <w:pStyle w:val="a6"/>
        <w:numPr>
          <w:ilvl w:val="0"/>
          <w:numId w:val="25"/>
        </w:numPr>
        <w:spacing w:before="100" w:beforeAutospacing="1" w:after="100" w:afterAutospacing="1" w:line="276" w:lineRule="auto"/>
        <w:ind w:left="566" w:hanging="567"/>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البيئي للاستدامة</w:t>
      </w:r>
    </w:p>
    <w:p w14:paraId="55C1FB83"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التزام المنظمة بحماية البيئة من خلال ترشيد استهلاك الطاقة وتقليل الانبعاثات الكربونية والاستثمار في المشاريع الخضراء</w:t>
      </w:r>
      <w:r w:rsidRPr="00CC60C6">
        <w:rPr>
          <w:rFonts w:ascii="Simplified Arabic" w:eastAsia="Times New Roman" w:hAnsi="Simplified Arabic" w:cs="Simplified Arabic"/>
          <w:kern w:val="0"/>
          <w:sz w:val="28"/>
          <w:szCs w:val="28"/>
          <w14:ligatures w14:val="none"/>
        </w:rPr>
        <w:t>.</w:t>
      </w:r>
    </w:p>
    <w:p w14:paraId="0DDAB512"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بالممارسات البيئية المستدامة للصندوق</w:t>
      </w:r>
      <w:r w:rsidRPr="00CC60C6">
        <w:rPr>
          <w:rFonts w:ascii="Simplified Arabic" w:eastAsia="Times New Roman" w:hAnsi="Simplified Arabic" w:cs="Simplified Arabic"/>
          <w:kern w:val="0"/>
          <w:sz w:val="28"/>
          <w:szCs w:val="28"/>
          <w14:ligatures w14:val="none"/>
        </w:rPr>
        <w:t>.</w:t>
      </w:r>
    </w:p>
    <w:p w14:paraId="1A613D45" w14:textId="46E0D57D" w:rsidR="005C64B5" w:rsidRPr="00CC60C6" w:rsidRDefault="005C64B5" w:rsidP="00CC60C6">
      <w:pPr>
        <w:pStyle w:val="a6"/>
        <w:numPr>
          <w:ilvl w:val="0"/>
          <w:numId w:val="25"/>
        </w:numPr>
        <w:spacing w:before="100" w:beforeAutospacing="1" w:after="100" w:afterAutospacing="1" w:line="276" w:lineRule="auto"/>
        <w:ind w:left="566" w:hanging="567"/>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بُعد الحوكمة</w:t>
      </w:r>
    </w:p>
    <w:p w14:paraId="1F784FB8"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منظومة القواعد والسياسات التي تضمن الشفافية والمساءلة والنزاهة في اتخاذ القرارات المؤسسية</w:t>
      </w:r>
      <w:r w:rsidRPr="00CC60C6">
        <w:rPr>
          <w:rFonts w:ascii="Simplified Arabic" w:eastAsia="Times New Roman" w:hAnsi="Simplified Arabic" w:cs="Simplified Arabic"/>
          <w:kern w:val="0"/>
          <w:sz w:val="28"/>
          <w:szCs w:val="28"/>
          <w14:ligatures w14:val="none"/>
        </w:rPr>
        <w:t>.</w:t>
      </w:r>
    </w:p>
    <w:p w14:paraId="6596FC8A"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lastRenderedPageBreak/>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على العبارات المرتبطة بممارسات الحوكمة الرشيدة في الصندوق</w:t>
      </w:r>
      <w:r w:rsidRPr="00CC60C6">
        <w:rPr>
          <w:rFonts w:ascii="Simplified Arabic" w:eastAsia="Times New Roman" w:hAnsi="Simplified Arabic" w:cs="Simplified Arabic"/>
          <w:kern w:val="0"/>
          <w:sz w:val="28"/>
          <w:szCs w:val="28"/>
          <w14:ligatures w14:val="none"/>
        </w:rPr>
        <w:t>.</w:t>
      </w:r>
    </w:p>
    <w:p w14:paraId="6C632AE6" w14:textId="1FFE62C6" w:rsidR="005C64B5" w:rsidRPr="00CC60C6" w:rsidRDefault="005C64B5" w:rsidP="00CC60C6">
      <w:pPr>
        <w:pStyle w:val="a6"/>
        <w:numPr>
          <w:ilvl w:val="0"/>
          <w:numId w:val="25"/>
        </w:numPr>
        <w:spacing w:before="100" w:beforeAutospacing="1" w:after="100" w:afterAutospacing="1" w:line="276" w:lineRule="auto"/>
        <w:ind w:left="566" w:hanging="567"/>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الأداء المستدام</w:t>
      </w:r>
    </w:p>
    <w:p w14:paraId="3371A18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المحصلة المتكاملة لأداء المنظمة في أبعادها الاقتصادية والاجتماعية والبيئية، بما يعكس قدرتها على تحقيق قيمةٍ مضافةٍ متوازنةٍ لجميع أصحاب المصلحة على المدى الطويل (أبو حميدة والربابعة، 2025)</w:t>
      </w:r>
      <w:r w:rsidRPr="00CC60C6">
        <w:rPr>
          <w:rFonts w:ascii="Simplified Arabic" w:eastAsia="Times New Roman" w:hAnsi="Simplified Arabic" w:cs="Simplified Arabic"/>
          <w:kern w:val="0"/>
          <w:sz w:val="28"/>
          <w:szCs w:val="28"/>
          <w14:ligatures w14:val="none"/>
        </w:rPr>
        <w:t>.</w:t>
      </w:r>
    </w:p>
    <w:p w14:paraId="294FA2EC"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الدرجة التي يحصل عليها المستجيب في الاستبانة المُعدّة لقياس مستوى الأداء المستدام في الصندوق بأبعاده الثلاثة</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b/>
          <w:bCs/>
          <w:kern w:val="0"/>
          <w:sz w:val="28"/>
          <w:szCs w:val="28"/>
          <w:rtl/>
          <w14:ligatures w14:val="none"/>
        </w:rPr>
        <w:t>الأداء الاقتصادي المستدام</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الأداء الاجتماعي المستدام</w:t>
      </w:r>
      <w:r w:rsidRPr="00CC60C6">
        <w:rPr>
          <w:rFonts w:ascii="Simplified Arabic" w:eastAsia="Times New Roman" w:hAnsi="Simplified Arabic" w:cs="Simplified Arabic"/>
          <w:kern w:val="0"/>
          <w:sz w:val="28"/>
          <w:szCs w:val="28"/>
          <w:rtl/>
          <w14:ligatures w14:val="none"/>
        </w:rPr>
        <w:t>، و</w:t>
      </w:r>
      <w:r w:rsidRPr="00CC60C6">
        <w:rPr>
          <w:rFonts w:ascii="Simplified Arabic" w:eastAsia="Times New Roman" w:hAnsi="Simplified Arabic" w:cs="Simplified Arabic"/>
          <w:b/>
          <w:bCs/>
          <w:kern w:val="0"/>
          <w:sz w:val="28"/>
          <w:szCs w:val="28"/>
          <w:rtl/>
          <w14:ligatures w14:val="none"/>
        </w:rPr>
        <w:t>الأداء البيئي المستدام</w:t>
      </w:r>
      <w:r w:rsidRPr="00CC60C6">
        <w:rPr>
          <w:rFonts w:ascii="Simplified Arabic" w:eastAsia="Times New Roman" w:hAnsi="Simplified Arabic" w:cs="Simplified Arabic"/>
          <w:kern w:val="0"/>
          <w:sz w:val="28"/>
          <w:szCs w:val="28"/>
          <w14:ligatures w14:val="none"/>
        </w:rPr>
        <w:t>.</w:t>
      </w:r>
    </w:p>
    <w:p w14:paraId="6F2A0582" w14:textId="341B33BE" w:rsidR="005C64B5" w:rsidRPr="00CC60C6" w:rsidRDefault="005C64B5" w:rsidP="00CC60C6">
      <w:pPr>
        <w:pStyle w:val="a6"/>
        <w:numPr>
          <w:ilvl w:val="0"/>
          <w:numId w:val="25"/>
        </w:numPr>
        <w:spacing w:before="100" w:beforeAutospacing="1" w:after="100" w:afterAutospacing="1" w:line="276" w:lineRule="auto"/>
        <w:ind w:left="566" w:hanging="567"/>
        <w:jc w:val="both"/>
        <w:rPr>
          <w:rFonts w:ascii="Simplified Arabic" w:eastAsia="Times New Roman" w:hAnsi="Simplified Arabic" w:cs="Simplified Arabic"/>
          <w:b/>
          <w:bCs/>
          <w:kern w:val="0"/>
          <w:sz w:val="28"/>
          <w:szCs w:val="28"/>
          <w14:ligatures w14:val="none"/>
        </w:rPr>
      </w:pPr>
      <w:r w:rsidRPr="00CC60C6">
        <w:rPr>
          <w:rFonts w:ascii="Simplified Arabic" w:eastAsia="Times New Roman" w:hAnsi="Simplified Arabic" w:cs="Simplified Arabic"/>
          <w:b/>
          <w:bCs/>
          <w:kern w:val="0"/>
          <w:sz w:val="28"/>
          <w:szCs w:val="28"/>
          <w:rtl/>
          <w14:ligatures w14:val="none"/>
        </w:rPr>
        <w:t>صندوق الاستثمارات العامة</w:t>
      </w:r>
    </w:p>
    <w:p w14:paraId="3A223AE5"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المفاهيمي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الصندوق السيادي للمملكة العربية السعودية الذي تأسّس عام 1971م، ويُعدّ الذراع الاستثماري الرئيسي لتنفيذ رؤية المملكة 2030، ويُدير محفظةً استثماريةً متنوعةً محلياً وعالمياً في قطاعاتٍ استراتيجية</w:t>
      </w:r>
      <w:r w:rsidRPr="00CC60C6">
        <w:rPr>
          <w:rFonts w:ascii="Simplified Arabic" w:eastAsia="Times New Roman" w:hAnsi="Simplified Arabic" w:cs="Simplified Arabic"/>
          <w:kern w:val="0"/>
          <w:sz w:val="28"/>
          <w:szCs w:val="28"/>
          <w14:ligatures w14:val="none"/>
        </w:rPr>
        <w:t>.</w:t>
      </w:r>
    </w:p>
    <w:p w14:paraId="4E3A47F8"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التعريف الإجرائي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بيئة التطبيق الميداني للدراسة، ويشمل مجتمع الدراسة العاملين في المستويات الإدارية العليا والوسطى في الصندوق</w:t>
      </w:r>
      <w:r w:rsidRPr="00CC60C6">
        <w:rPr>
          <w:rFonts w:ascii="Simplified Arabic" w:eastAsia="Times New Roman" w:hAnsi="Simplified Arabic" w:cs="Simplified Arabic"/>
          <w:kern w:val="0"/>
          <w:sz w:val="28"/>
          <w:szCs w:val="28"/>
          <w14:ligatures w14:val="none"/>
        </w:rPr>
        <w:t>.</w:t>
      </w:r>
    </w:p>
    <w:p w14:paraId="0D89CC64" w14:textId="3A3CA361" w:rsidR="005C64B5" w:rsidRPr="00CC60C6" w:rsidRDefault="001144E0"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0" w:name="_Toc234293315"/>
      <w:r>
        <w:rPr>
          <w:rFonts w:ascii="Simplified Arabic" w:eastAsia="Calibri" w:hAnsi="Simplified Arabic" w:cs="Simplified Arabic" w:hint="cs"/>
          <w:b/>
          <w:bCs/>
          <w:color w:val="000000" w:themeColor="text1"/>
          <w:sz w:val="36"/>
          <w:szCs w:val="36"/>
          <w:rtl/>
          <w:lang w:bidi="ar-EG"/>
        </w:rPr>
        <w:t xml:space="preserve">10.1 </w:t>
      </w:r>
      <w:r w:rsidR="005C64B5" w:rsidRPr="00CC60C6">
        <w:rPr>
          <w:rFonts w:ascii="Simplified Arabic" w:eastAsia="Calibri" w:hAnsi="Simplified Arabic" w:cs="Simplified Arabic"/>
          <w:b/>
          <w:bCs/>
          <w:color w:val="000000" w:themeColor="text1"/>
          <w:sz w:val="36"/>
          <w:szCs w:val="36"/>
          <w:rtl/>
          <w:lang w:bidi="ar-EG"/>
        </w:rPr>
        <w:t>منهجية الدراسة</w:t>
      </w:r>
      <w:bookmarkEnd w:id="20"/>
    </w:p>
    <w:p w14:paraId="7A72C62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ستعتمد الدراسة الحالية على </w:t>
      </w:r>
      <w:r w:rsidRPr="00CC60C6">
        <w:rPr>
          <w:rFonts w:ascii="Simplified Arabic" w:eastAsia="Times New Roman" w:hAnsi="Simplified Arabic" w:cs="Simplified Arabic"/>
          <w:b/>
          <w:bCs/>
          <w:kern w:val="0"/>
          <w:sz w:val="28"/>
          <w:szCs w:val="28"/>
          <w:rtl/>
          <w14:ligatures w14:val="none"/>
        </w:rPr>
        <w:t>المنهج الوصفي التحليلي</w:t>
      </w:r>
      <w:r w:rsidRPr="00CC60C6">
        <w:rPr>
          <w:rFonts w:ascii="Simplified Arabic" w:eastAsia="Times New Roman" w:hAnsi="Simplified Arabic" w:cs="Simplified Arabic"/>
          <w:kern w:val="0"/>
          <w:sz w:val="28"/>
          <w:szCs w:val="28"/>
          <w:rtl/>
          <w14:ligatures w14:val="none"/>
        </w:rPr>
        <w:t xml:space="preserve"> بوصفه أنسب المناهج العلمية لطبيعة الدراسة وأهدافها، إذ سيُوظَّف هذا المنهج في وصف الظاهرة موضوع الدراسة وصفاً دقيقاً وتحليل أبعادها والعلاقات القائمة بين متغيراتها، وذلك من خلال جمع البيانات النظرية من الأدبيات والدراسات السابقة العربية والأجنبية، ثم جمع البيانات الميدانية من مجتمع الدراسة وتحليلها إحصائياً باستخدام الأساليب الإحصائية المناسبة. وسيُمكّن هذا المنهج الباحث من تشخيص الواقع الفعلي لتطبيق التحول الرقمي المدعوم بالذكاء الاصطناعي وممارسات استدامة الأعمال والأداء المستدام في صندوق الاستثمارات العامة، وقياس العلاقات بين هذه المتغيرات، واختبار فروض الدراسة بموضوعيةٍ ودقةٍ علمية</w:t>
      </w:r>
      <w:r w:rsidRPr="00CC60C6">
        <w:rPr>
          <w:rFonts w:ascii="Simplified Arabic" w:eastAsia="Times New Roman" w:hAnsi="Simplified Arabic" w:cs="Simplified Arabic"/>
          <w:kern w:val="0"/>
          <w:sz w:val="28"/>
          <w:szCs w:val="28"/>
          <w14:ligatures w14:val="none"/>
        </w:rPr>
        <w:t>.</w:t>
      </w:r>
    </w:p>
    <w:p w14:paraId="2029D93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lastRenderedPageBreak/>
        <w:t xml:space="preserve">كما ستستعين الدراسة بأسلوب </w:t>
      </w:r>
      <w:r w:rsidRPr="00CC60C6">
        <w:rPr>
          <w:rFonts w:ascii="Simplified Arabic" w:eastAsia="Times New Roman" w:hAnsi="Simplified Arabic" w:cs="Simplified Arabic"/>
          <w:b/>
          <w:bCs/>
          <w:kern w:val="0"/>
          <w:sz w:val="28"/>
          <w:szCs w:val="28"/>
          <w:rtl/>
          <w14:ligatures w14:val="none"/>
        </w:rPr>
        <w:t>النمذجة بالمعادلات الهيكلية</w:t>
      </w:r>
      <w:r w:rsidRPr="00CC60C6">
        <w:rPr>
          <w:rFonts w:ascii="Simplified Arabic" w:eastAsia="Times New Roman" w:hAnsi="Simplified Arabic" w:cs="Simplified Arabic"/>
          <w:kern w:val="0"/>
          <w:sz w:val="28"/>
          <w:szCs w:val="28"/>
          <w:rtl/>
          <w14:ligatures w14:val="none"/>
        </w:rPr>
        <w:t xml:space="preserve"> </w:t>
      </w:r>
      <w:r w:rsidRPr="00CC60C6">
        <w:rPr>
          <w:rFonts w:ascii="Simplified Arabic" w:eastAsia="Times New Roman" w:hAnsi="Simplified Arabic" w:cs="Simplified Arabic"/>
          <w:kern w:val="0"/>
          <w:sz w:val="28"/>
          <w:szCs w:val="28"/>
          <w14:ligatures w14:val="none"/>
        </w:rPr>
        <w:t xml:space="preserve">(Structural Equation Modeling) </w:t>
      </w:r>
      <w:r w:rsidRPr="00CC60C6">
        <w:rPr>
          <w:rFonts w:ascii="Simplified Arabic" w:eastAsia="Times New Roman" w:hAnsi="Simplified Arabic" w:cs="Simplified Arabic"/>
          <w:kern w:val="0"/>
          <w:sz w:val="28"/>
          <w:szCs w:val="28"/>
          <w:rtl/>
          <w14:ligatures w14:val="none"/>
        </w:rPr>
        <w:t>لاختبار النموذج البحثي المقترح والعلاقات المباشرة وغير المباشرة بين المتغيرات، بما يشمل اختبار الدور الوسيط لممارسات استدامة الأعمال في العلاقة بين التحول الرقمي المدعوم بالذكاء الاصطناعي والأداء المستدام. وستُعتمد الاستبانة الإلكترونية أداةً رئيسيةً لجمع البيانات الميدانية بعد اختبار صدقها وثباتها، ثم ستُحلَّل النتائج تحليلاً كمياً ونوعياً للوصول إلى استنتاجاتٍ علميةٍ يُمكن تعميمها ضمن حدود الدراسة، وصياغة توصياتٍ تطبيقيةٍ تخدم أهداف الدراسة</w:t>
      </w:r>
      <w:r w:rsidRPr="00CC60C6">
        <w:rPr>
          <w:rFonts w:ascii="Simplified Arabic" w:eastAsia="Times New Roman" w:hAnsi="Simplified Arabic" w:cs="Simplified Arabic"/>
          <w:kern w:val="0"/>
          <w:sz w:val="28"/>
          <w:szCs w:val="28"/>
          <w14:ligatures w14:val="none"/>
        </w:rPr>
        <w:t>.</w:t>
      </w:r>
    </w:p>
    <w:p w14:paraId="1515874A" w14:textId="54329A44" w:rsidR="005C64B5" w:rsidRPr="00CC60C6" w:rsidRDefault="001144E0"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1" w:name="_Toc234293316"/>
      <w:r>
        <w:rPr>
          <w:rFonts w:ascii="Simplified Arabic" w:eastAsia="Calibri" w:hAnsi="Simplified Arabic" w:cs="Simplified Arabic" w:hint="cs"/>
          <w:b/>
          <w:bCs/>
          <w:color w:val="000000" w:themeColor="text1"/>
          <w:sz w:val="36"/>
          <w:szCs w:val="36"/>
          <w:rtl/>
          <w:lang w:bidi="ar-EG"/>
        </w:rPr>
        <w:t xml:space="preserve">11.1 </w:t>
      </w:r>
      <w:r w:rsidR="005C64B5" w:rsidRPr="00CC60C6">
        <w:rPr>
          <w:rFonts w:ascii="Simplified Arabic" w:eastAsia="Calibri" w:hAnsi="Simplified Arabic" w:cs="Simplified Arabic"/>
          <w:b/>
          <w:bCs/>
          <w:color w:val="000000" w:themeColor="text1"/>
          <w:sz w:val="36"/>
          <w:szCs w:val="36"/>
          <w:rtl/>
          <w:lang w:bidi="ar-EG"/>
        </w:rPr>
        <w:t>مجتمع الدراسة وعينتها</w:t>
      </w:r>
      <w:bookmarkEnd w:id="21"/>
    </w:p>
    <w:p w14:paraId="75F3E51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سيتكوّن </w:t>
      </w:r>
      <w:r w:rsidRPr="00CC60C6">
        <w:rPr>
          <w:rFonts w:ascii="Simplified Arabic" w:eastAsia="Times New Roman" w:hAnsi="Simplified Arabic" w:cs="Simplified Arabic"/>
          <w:b/>
          <w:bCs/>
          <w:kern w:val="0"/>
          <w:sz w:val="28"/>
          <w:szCs w:val="28"/>
          <w:rtl/>
          <w14:ligatures w14:val="none"/>
        </w:rPr>
        <w:t>مجتمع الدراسة</w:t>
      </w:r>
      <w:r w:rsidRPr="00CC60C6">
        <w:rPr>
          <w:rFonts w:ascii="Simplified Arabic" w:eastAsia="Times New Roman" w:hAnsi="Simplified Arabic" w:cs="Simplified Arabic"/>
          <w:kern w:val="0"/>
          <w:sz w:val="28"/>
          <w:szCs w:val="28"/>
          <w:rtl/>
          <w14:ligatures w14:val="none"/>
        </w:rPr>
        <w:t xml:space="preserve"> من العاملين في المستويات الإدارية العليا والوسطى في صندوق الاستثمارات العامة بالمملكة العربية السعودية، ممن تتوفر لديهم المعرفة والخبرة الكافية بمتغيرات الدراسة، وذلك من فئات المديرين التنفيذيين ورؤساء الإدارات ومديري القطاعات ورؤساء الأقسام والمحللين الاستثماريين وموظفي التحول الرقمي والاستدامة. ويبلغ إجمالي عدد العاملين في الصندوق نحو </w:t>
      </w:r>
      <w:r w:rsidRPr="00CC60C6">
        <w:rPr>
          <w:rFonts w:ascii="Simplified Arabic" w:eastAsia="Times New Roman" w:hAnsi="Simplified Arabic" w:cs="Simplified Arabic"/>
          <w:b/>
          <w:bCs/>
          <w:kern w:val="0"/>
          <w:sz w:val="28"/>
          <w:szCs w:val="28"/>
          <w14:ligatures w14:val="none"/>
        </w:rPr>
        <w:t xml:space="preserve">(2,300) </w:t>
      </w:r>
      <w:r w:rsidRPr="00CC60C6">
        <w:rPr>
          <w:rFonts w:ascii="Simplified Arabic" w:eastAsia="Times New Roman" w:hAnsi="Simplified Arabic" w:cs="Simplified Arabic"/>
          <w:b/>
          <w:bCs/>
          <w:kern w:val="0"/>
          <w:sz w:val="28"/>
          <w:szCs w:val="28"/>
          <w:rtl/>
          <w14:ligatures w14:val="none"/>
        </w:rPr>
        <w:t>موظفاً وموظفة</w:t>
      </w:r>
      <w:r w:rsidRPr="00CC60C6">
        <w:rPr>
          <w:rFonts w:ascii="Simplified Arabic" w:eastAsia="Times New Roman" w:hAnsi="Simplified Arabic" w:cs="Simplified Arabic"/>
          <w:kern w:val="0"/>
          <w:sz w:val="28"/>
          <w:szCs w:val="28"/>
          <w:rtl/>
          <w14:ligatures w14:val="none"/>
        </w:rPr>
        <w:t xml:space="preserve"> وفق البيانات المعلنة، ويُمثّل العاملون في المستويات المستهدفة بالدراسة ما يقارب </w:t>
      </w:r>
      <w:r w:rsidRPr="00CC60C6">
        <w:rPr>
          <w:rFonts w:ascii="Simplified Arabic" w:eastAsia="Times New Roman" w:hAnsi="Simplified Arabic" w:cs="Simplified Arabic"/>
          <w:b/>
          <w:bCs/>
          <w:kern w:val="0"/>
          <w:sz w:val="28"/>
          <w:szCs w:val="28"/>
          <w14:ligatures w14:val="none"/>
        </w:rPr>
        <w:t xml:space="preserve">(1,150) </w:t>
      </w:r>
      <w:r w:rsidRPr="00CC60C6">
        <w:rPr>
          <w:rFonts w:ascii="Simplified Arabic" w:eastAsia="Times New Roman" w:hAnsi="Simplified Arabic" w:cs="Simplified Arabic"/>
          <w:b/>
          <w:bCs/>
          <w:kern w:val="0"/>
          <w:sz w:val="28"/>
          <w:szCs w:val="28"/>
          <w:rtl/>
          <w14:ligatures w14:val="none"/>
        </w:rPr>
        <w:t>فرداً</w:t>
      </w:r>
      <w:r w:rsidRPr="00CC60C6">
        <w:rPr>
          <w:rFonts w:ascii="Simplified Arabic" w:eastAsia="Times New Roman" w:hAnsi="Simplified Arabic" w:cs="Simplified Arabic"/>
          <w:kern w:val="0"/>
          <w:sz w:val="28"/>
          <w:szCs w:val="28"/>
          <w:rtl/>
          <w14:ligatures w14:val="none"/>
        </w:rPr>
        <w:t xml:space="preserve"> يشكّلون المجتمع الفعلي للدراسة</w:t>
      </w:r>
      <w:r w:rsidRPr="00CC60C6">
        <w:rPr>
          <w:rFonts w:ascii="Simplified Arabic" w:eastAsia="Times New Roman" w:hAnsi="Simplified Arabic" w:cs="Simplified Arabic"/>
          <w:kern w:val="0"/>
          <w:sz w:val="28"/>
          <w:szCs w:val="28"/>
          <w14:ligatures w14:val="none"/>
        </w:rPr>
        <w:t>.</w:t>
      </w:r>
    </w:p>
    <w:p w14:paraId="28A8AC70"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وستُختار </w:t>
      </w:r>
      <w:r w:rsidRPr="00CC60C6">
        <w:rPr>
          <w:rFonts w:ascii="Simplified Arabic" w:eastAsia="Times New Roman" w:hAnsi="Simplified Arabic" w:cs="Simplified Arabic"/>
          <w:b/>
          <w:bCs/>
          <w:kern w:val="0"/>
          <w:sz w:val="28"/>
          <w:szCs w:val="28"/>
          <w:rtl/>
          <w14:ligatures w14:val="none"/>
        </w:rPr>
        <w:t>عينة الدراسة</w:t>
      </w:r>
      <w:r w:rsidRPr="00CC60C6">
        <w:rPr>
          <w:rFonts w:ascii="Simplified Arabic" w:eastAsia="Times New Roman" w:hAnsi="Simplified Arabic" w:cs="Simplified Arabic"/>
          <w:kern w:val="0"/>
          <w:sz w:val="28"/>
          <w:szCs w:val="28"/>
          <w:rtl/>
          <w14:ligatures w14:val="none"/>
        </w:rPr>
        <w:t xml:space="preserve"> بأسلوب العينة الطبقية العشوائية بما يضمن تمثيلاً عادلاً لجميع القطاعات والمستويات الإدارية المستهدفة، وسيُعتمد في تحديد حجم العينة على معادلة ستيفن ثامبسون</w:t>
      </w:r>
      <w:r w:rsidRPr="00CC60C6">
        <w:rPr>
          <w:rFonts w:ascii="Simplified Arabic" w:eastAsia="Times New Roman" w:hAnsi="Simplified Arabic" w:cs="Simplified Arabic"/>
          <w:kern w:val="0"/>
          <w:sz w:val="28"/>
          <w:szCs w:val="28"/>
          <w14:ligatures w14:val="none"/>
        </w:rPr>
        <w:t xml:space="preserve"> (Stephen Thompson) </w:t>
      </w:r>
      <w:r w:rsidRPr="00CC60C6">
        <w:rPr>
          <w:rFonts w:ascii="Simplified Arabic" w:eastAsia="Times New Roman" w:hAnsi="Simplified Arabic" w:cs="Simplified Arabic"/>
          <w:kern w:val="0"/>
          <w:sz w:val="28"/>
          <w:szCs w:val="28"/>
          <w:rtl/>
          <w14:ligatures w14:val="none"/>
        </w:rPr>
        <w:t xml:space="preserve">لتحديد الحجم المناسب من مجتمعٍ معلوم العدد، بحيث سيبلغ حجم العينة </w:t>
      </w:r>
      <w:r w:rsidRPr="00CC60C6">
        <w:rPr>
          <w:rFonts w:ascii="Simplified Arabic" w:eastAsia="Times New Roman" w:hAnsi="Simplified Arabic" w:cs="Simplified Arabic"/>
          <w:b/>
          <w:bCs/>
          <w:kern w:val="0"/>
          <w:sz w:val="28"/>
          <w:szCs w:val="28"/>
          <w14:ligatures w14:val="none"/>
        </w:rPr>
        <w:t xml:space="preserve">(289) </w:t>
      </w:r>
      <w:r w:rsidRPr="00CC60C6">
        <w:rPr>
          <w:rFonts w:ascii="Simplified Arabic" w:eastAsia="Times New Roman" w:hAnsi="Simplified Arabic" w:cs="Simplified Arabic"/>
          <w:b/>
          <w:bCs/>
          <w:kern w:val="0"/>
          <w:sz w:val="28"/>
          <w:szCs w:val="28"/>
          <w:rtl/>
          <w14:ligatures w14:val="none"/>
        </w:rPr>
        <w:t>مفردة</w:t>
      </w:r>
      <w:r w:rsidRPr="00CC60C6">
        <w:rPr>
          <w:rFonts w:ascii="Simplified Arabic" w:eastAsia="Times New Roman" w:hAnsi="Simplified Arabic" w:cs="Simplified Arabic"/>
          <w:kern w:val="0"/>
          <w:sz w:val="28"/>
          <w:szCs w:val="28"/>
          <w:rtl/>
          <w14:ligatures w14:val="none"/>
        </w:rPr>
        <w:t xml:space="preserve"> عند مستوى ثقة (95%) وهامش خطأ (5%). وسيُوزَّع على أفراد العينة عدد </w:t>
      </w:r>
      <w:r w:rsidRPr="00CC60C6">
        <w:rPr>
          <w:rFonts w:ascii="Simplified Arabic" w:eastAsia="Times New Roman" w:hAnsi="Simplified Arabic" w:cs="Simplified Arabic"/>
          <w:b/>
          <w:bCs/>
          <w:kern w:val="0"/>
          <w:sz w:val="28"/>
          <w:szCs w:val="28"/>
          <w14:ligatures w14:val="none"/>
        </w:rPr>
        <w:t xml:space="preserve">(320) </w:t>
      </w:r>
      <w:r w:rsidRPr="00CC60C6">
        <w:rPr>
          <w:rFonts w:ascii="Simplified Arabic" w:eastAsia="Times New Roman" w:hAnsi="Simplified Arabic" w:cs="Simplified Arabic"/>
          <w:b/>
          <w:bCs/>
          <w:kern w:val="0"/>
          <w:sz w:val="28"/>
          <w:szCs w:val="28"/>
          <w:rtl/>
          <w14:ligatures w14:val="none"/>
        </w:rPr>
        <w:t>استبانةً</w:t>
      </w:r>
      <w:r w:rsidRPr="00CC60C6">
        <w:rPr>
          <w:rFonts w:ascii="Simplified Arabic" w:eastAsia="Times New Roman" w:hAnsi="Simplified Arabic" w:cs="Simplified Arabic"/>
          <w:kern w:val="0"/>
          <w:sz w:val="28"/>
          <w:szCs w:val="28"/>
          <w:rtl/>
          <w14:ligatures w14:val="none"/>
        </w:rPr>
        <w:t xml:space="preserve"> إلكترونيةً لضمان استرداد العدد المطلوب من الاستبانات الصالحة للتحليل، مع توقّع استرداد ما لا يقل عن </w:t>
      </w:r>
      <w:r w:rsidRPr="00CC60C6">
        <w:rPr>
          <w:rFonts w:ascii="Simplified Arabic" w:eastAsia="Times New Roman" w:hAnsi="Simplified Arabic" w:cs="Simplified Arabic"/>
          <w:b/>
          <w:bCs/>
          <w:kern w:val="0"/>
          <w:sz w:val="28"/>
          <w:szCs w:val="28"/>
          <w14:ligatures w14:val="none"/>
        </w:rPr>
        <w:t xml:space="preserve">(300) </w:t>
      </w:r>
      <w:r w:rsidRPr="00CC60C6">
        <w:rPr>
          <w:rFonts w:ascii="Simplified Arabic" w:eastAsia="Times New Roman" w:hAnsi="Simplified Arabic" w:cs="Simplified Arabic"/>
          <w:b/>
          <w:bCs/>
          <w:kern w:val="0"/>
          <w:sz w:val="28"/>
          <w:szCs w:val="28"/>
          <w:rtl/>
          <w14:ligatures w14:val="none"/>
        </w:rPr>
        <w:t>استبانة</w:t>
      </w:r>
      <w:r w:rsidRPr="00CC60C6">
        <w:rPr>
          <w:rFonts w:ascii="Simplified Arabic" w:eastAsia="Times New Roman" w:hAnsi="Simplified Arabic" w:cs="Simplified Arabic"/>
          <w:kern w:val="0"/>
          <w:sz w:val="28"/>
          <w:szCs w:val="28"/>
          <w:rtl/>
          <w14:ligatures w14:val="none"/>
        </w:rPr>
        <w:t xml:space="preserve"> بنسبة استرداد تقارب (93.75%)، وسيُستبعد منها الاستبانات غير المكتملة أو غير الصالحة للتحليل الإحصائي، ليُعتمد الباقي في التحليل النهائي بما يضمن دقة النتائج وموثوقيتها</w:t>
      </w:r>
      <w:r w:rsidRPr="00CC60C6">
        <w:rPr>
          <w:rFonts w:ascii="Simplified Arabic" w:eastAsia="Times New Roman" w:hAnsi="Simplified Arabic" w:cs="Simplified Arabic"/>
          <w:kern w:val="0"/>
          <w:sz w:val="28"/>
          <w:szCs w:val="28"/>
          <w14:ligatures w14:val="none"/>
        </w:rPr>
        <w:t>.</w:t>
      </w:r>
    </w:p>
    <w:p w14:paraId="2147FF22" w14:textId="7F435C78" w:rsidR="005C64B5" w:rsidRPr="00CC60C6" w:rsidRDefault="001144E0"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2" w:name="_Toc234293317"/>
      <w:r>
        <w:rPr>
          <w:rFonts w:ascii="Simplified Arabic" w:eastAsia="Calibri" w:hAnsi="Simplified Arabic" w:cs="Simplified Arabic" w:hint="cs"/>
          <w:b/>
          <w:bCs/>
          <w:color w:val="000000" w:themeColor="text1"/>
          <w:sz w:val="36"/>
          <w:szCs w:val="36"/>
          <w:rtl/>
          <w:lang w:bidi="ar-EG"/>
        </w:rPr>
        <w:t xml:space="preserve">12.1 </w:t>
      </w:r>
      <w:r w:rsidR="005C64B5" w:rsidRPr="00CC60C6">
        <w:rPr>
          <w:rFonts w:ascii="Simplified Arabic" w:eastAsia="Calibri" w:hAnsi="Simplified Arabic" w:cs="Simplified Arabic"/>
          <w:b/>
          <w:bCs/>
          <w:color w:val="000000" w:themeColor="text1"/>
          <w:sz w:val="36"/>
          <w:szCs w:val="36"/>
          <w:rtl/>
          <w:lang w:bidi="ar-EG"/>
        </w:rPr>
        <w:t>مصادر جمع البيانات</w:t>
      </w:r>
      <w:bookmarkEnd w:id="22"/>
    </w:p>
    <w:p w14:paraId="62137A5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ستعتمد الدراسة على مصدرين رئيسيين لجمع البيانات هما</w:t>
      </w:r>
      <w:r w:rsidRPr="00CC60C6">
        <w:rPr>
          <w:rFonts w:ascii="Simplified Arabic" w:eastAsia="Times New Roman" w:hAnsi="Simplified Arabic" w:cs="Simplified Arabic"/>
          <w:kern w:val="0"/>
          <w:sz w:val="28"/>
          <w:szCs w:val="28"/>
          <w14:ligatures w14:val="none"/>
        </w:rPr>
        <w:t>:</w:t>
      </w:r>
    </w:p>
    <w:p w14:paraId="204A38C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lastRenderedPageBreak/>
        <w:t>المصادر الثانوية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وتشمل الكتب والمراجع العلمية والدوريات المحكمة والرسائل الجامعية والأبحاث المنشورة والتقارير السنوية لصندوق الاستثمارات العامة وتقارير الاستدامة الصادرة عنه، بالإضافة إلى المواقع الإلكترونية الرسمية وقواعد البيانات العلمية العربية والأجنبية</w:t>
      </w:r>
      <w:r w:rsidRPr="00CC60C6">
        <w:rPr>
          <w:rFonts w:ascii="Simplified Arabic" w:eastAsia="Times New Roman" w:hAnsi="Simplified Arabic" w:cs="Simplified Arabic"/>
          <w:kern w:val="0"/>
          <w:sz w:val="28"/>
          <w:szCs w:val="28"/>
          <w14:ligatures w14:val="none"/>
        </w:rPr>
        <w:t>.</w:t>
      </w:r>
    </w:p>
    <w:p w14:paraId="5A70C87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المصادر الأولية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وتتمثل في البيانات الميدانية التي 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ii="Simplified Arabic" w:eastAsia="Times New Roman" w:hAnsi="Simplified Arabic" w:cs="Simplified Arabic"/>
          <w:kern w:val="0"/>
          <w:sz w:val="28"/>
          <w:szCs w:val="28"/>
          <w14:ligatures w14:val="none"/>
        </w:rPr>
        <w:t>.</w:t>
      </w:r>
    </w:p>
    <w:p w14:paraId="250AA49A" w14:textId="700C5E32" w:rsidR="005C64B5" w:rsidRPr="00CC60C6" w:rsidRDefault="001144E0"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3" w:name="_Toc234293318"/>
      <w:r>
        <w:rPr>
          <w:rFonts w:ascii="Simplified Arabic" w:eastAsia="Calibri" w:hAnsi="Simplified Arabic" w:cs="Simplified Arabic" w:hint="cs"/>
          <w:b/>
          <w:bCs/>
          <w:color w:val="000000" w:themeColor="text1"/>
          <w:sz w:val="36"/>
          <w:szCs w:val="36"/>
          <w:rtl/>
          <w:lang w:bidi="ar-EG"/>
        </w:rPr>
        <w:t xml:space="preserve">13.1 </w:t>
      </w:r>
      <w:r w:rsidR="005C64B5" w:rsidRPr="00CC60C6">
        <w:rPr>
          <w:rFonts w:ascii="Simplified Arabic" w:eastAsia="Calibri" w:hAnsi="Simplified Arabic" w:cs="Simplified Arabic"/>
          <w:b/>
          <w:bCs/>
          <w:color w:val="000000" w:themeColor="text1"/>
          <w:sz w:val="36"/>
          <w:szCs w:val="36"/>
          <w:rtl/>
          <w:lang w:bidi="ar-EG"/>
        </w:rPr>
        <w:t>أداة الدراسة</w:t>
      </w:r>
      <w:bookmarkEnd w:id="23"/>
    </w:p>
    <w:p w14:paraId="24597ED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ستعتمد الدراسة على </w:t>
      </w:r>
      <w:r w:rsidRPr="00CC60C6">
        <w:rPr>
          <w:rFonts w:ascii="Simplified Arabic" w:eastAsia="Times New Roman" w:hAnsi="Simplified Arabic" w:cs="Simplified Arabic"/>
          <w:b/>
          <w:bCs/>
          <w:kern w:val="0"/>
          <w:sz w:val="28"/>
          <w:szCs w:val="28"/>
          <w:rtl/>
          <w14:ligatures w14:val="none"/>
        </w:rPr>
        <w:t>الاستبانة</w:t>
      </w:r>
      <w:r w:rsidRPr="00CC60C6">
        <w:rPr>
          <w:rFonts w:ascii="Simplified Arabic" w:eastAsia="Times New Roman" w:hAnsi="Simplified Arabic" w:cs="Simplified Arabic"/>
          <w:kern w:val="0"/>
          <w:sz w:val="28"/>
          <w:szCs w:val="28"/>
          <w:rtl/>
          <w14:ligatures w14:val="none"/>
        </w:rPr>
        <w:t xml:space="preserve"> أداةً رئيسيةً لجمع البيانات الأولية، وستُصمَّم بلغةٍ عربيةٍ واضحةٍ وستُحكَّم من قِبَل مجموعةٍ من الأساتذة المتخصصين للتأكد من صدقها وثباتها، وستُقاس عباراتها وفق مقياس ليكرت الخماسي المتدرج من (موافق بشدة) إلى (غير موافق بشدة). وتتكوّن الاستبانة من الأقسام التالية</w:t>
      </w:r>
      <w:r w:rsidRPr="00CC60C6">
        <w:rPr>
          <w:rFonts w:ascii="Simplified Arabic" w:eastAsia="Times New Roman" w:hAnsi="Simplified Arabic" w:cs="Simplified Arabic"/>
          <w:kern w:val="0"/>
          <w:sz w:val="28"/>
          <w:szCs w:val="28"/>
          <w14:ligatures w14:val="none"/>
        </w:rPr>
        <w:t>:</w:t>
      </w:r>
    </w:p>
    <w:p w14:paraId="1864B2B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القسم الأول: البيانات الديموغرافية</w:t>
      </w:r>
      <w:r w:rsidRPr="00CC60C6">
        <w:rPr>
          <w:rFonts w:ascii="Simplified Arabic" w:eastAsia="Times New Roman" w:hAnsi="Simplified Arabic" w:cs="Simplified Arabic"/>
          <w:kern w:val="0"/>
          <w:sz w:val="28"/>
          <w:szCs w:val="28"/>
          <w:rtl/>
          <w14:ligatures w14:val="none"/>
        </w:rPr>
        <w:t xml:space="preserve"> لأفراد العينة (النوع، العمر، المؤهل العلمي، سنوات الخبرة، المستوى الوظيفي، القطاع)</w:t>
      </w:r>
      <w:r w:rsidRPr="00CC60C6">
        <w:rPr>
          <w:rFonts w:ascii="Simplified Arabic" w:eastAsia="Times New Roman" w:hAnsi="Simplified Arabic" w:cs="Simplified Arabic"/>
          <w:kern w:val="0"/>
          <w:sz w:val="28"/>
          <w:szCs w:val="28"/>
          <w14:ligatures w14:val="none"/>
        </w:rPr>
        <w:t>.</w:t>
      </w:r>
    </w:p>
    <w:p w14:paraId="6A29B6F4"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القسم الثاني: المتغير المستقل – التحول الرقمي المدعوم بالذكاء الاصطناعي</w:t>
      </w:r>
      <w:r w:rsidRPr="00CC60C6">
        <w:rPr>
          <w:rFonts w:ascii="Simplified Arabic" w:eastAsia="Times New Roman" w:hAnsi="Simplified Arabic" w:cs="Simplified Arabic"/>
          <w:kern w:val="0"/>
          <w:sz w:val="28"/>
          <w:szCs w:val="28"/>
          <w:rtl/>
          <w14:ligatures w14:val="none"/>
        </w:rPr>
        <w:t xml:space="preserve"> ويتكوّن من خمسة أبعاد بإجمالي </w:t>
      </w:r>
      <w:r w:rsidRPr="00CC60C6">
        <w:rPr>
          <w:rFonts w:ascii="Simplified Arabic" w:eastAsia="Times New Roman" w:hAnsi="Simplified Arabic" w:cs="Simplified Arabic"/>
          <w:b/>
          <w:bCs/>
          <w:kern w:val="0"/>
          <w:sz w:val="28"/>
          <w:szCs w:val="28"/>
          <w14:ligatures w14:val="none"/>
        </w:rPr>
        <w:t xml:space="preserve">(20) </w:t>
      </w:r>
      <w:r w:rsidRPr="00CC60C6">
        <w:rPr>
          <w:rFonts w:ascii="Simplified Arabic" w:eastAsia="Times New Roman" w:hAnsi="Simplified Arabic" w:cs="Simplified Arabic"/>
          <w:b/>
          <w:bCs/>
          <w:kern w:val="0"/>
          <w:sz w:val="28"/>
          <w:szCs w:val="28"/>
          <w:rtl/>
          <w14:ligatures w14:val="none"/>
        </w:rPr>
        <w:t>فقرة</w:t>
      </w:r>
      <w:r w:rsidRPr="00CC60C6">
        <w:rPr>
          <w:rFonts w:ascii="Simplified Arabic" w:eastAsia="Times New Roman" w:hAnsi="Simplified Arabic" w:cs="Simplified Arabic"/>
          <w:kern w:val="0"/>
          <w:sz w:val="28"/>
          <w:szCs w:val="28"/>
          <w:rtl/>
          <w14:ligatures w14:val="none"/>
        </w:rPr>
        <w:t xml:space="preserve"> موزّعة كالآتي</w:t>
      </w:r>
      <w:r w:rsidRPr="00CC60C6">
        <w:rPr>
          <w:rFonts w:ascii="Simplified Arabic" w:eastAsia="Times New Roman" w:hAnsi="Simplified Arabic" w:cs="Simplified Arabic"/>
          <w:kern w:val="0"/>
          <w:sz w:val="28"/>
          <w:szCs w:val="28"/>
          <w14:ligatures w14:val="none"/>
        </w:rPr>
        <w:t>:</w:t>
      </w:r>
    </w:p>
    <w:p w14:paraId="5D5C949E"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البُعد الأول: البنية التحتية الرقمية الذكية </w:t>
      </w:r>
      <w:r w:rsidRPr="00CC60C6">
        <w:rPr>
          <w:rFonts w:ascii="Simplified Arabic" w:eastAsia="Times New Roman" w:hAnsi="Simplified Arabic" w:cs="Simplified Arabic"/>
          <w:b/>
          <w:bCs/>
          <w:kern w:val="0"/>
          <w:sz w:val="28"/>
          <w:szCs w:val="28"/>
          <w14:ligatures w14:val="none"/>
        </w:rPr>
        <w:t xml:space="preserve">(4) </w:t>
      </w:r>
      <w:r w:rsidRPr="00CC60C6">
        <w:rPr>
          <w:rFonts w:ascii="Simplified Arabic" w:eastAsia="Times New Roman" w:hAnsi="Simplified Arabic" w:cs="Simplified Arabic"/>
          <w:b/>
          <w:bCs/>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43BE5368"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البُعد الثاني: الأتمتة الذكية والتعلم الآلي </w:t>
      </w:r>
      <w:r w:rsidRPr="00CC60C6">
        <w:rPr>
          <w:rFonts w:ascii="Simplified Arabic" w:eastAsia="Times New Roman" w:hAnsi="Simplified Arabic" w:cs="Simplified Arabic"/>
          <w:b/>
          <w:bCs/>
          <w:kern w:val="0"/>
          <w:sz w:val="28"/>
          <w:szCs w:val="28"/>
          <w14:ligatures w14:val="none"/>
        </w:rPr>
        <w:t xml:space="preserve">(4) </w:t>
      </w:r>
      <w:r w:rsidRPr="00CC60C6">
        <w:rPr>
          <w:rFonts w:ascii="Simplified Arabic" w:eastAsia="Times New Roman" w:hAnsi="Simplified Arabic" w:cs="Simplified Arabic"/>
          <w:b/>
          <w:bCs/>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779286BB"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البُعد الثالث: تحليل البيانات الضخمة </w:t>
      </w:r>
      <w:r w:rsidRPr="00CC60C6">
        <w:rPr>
          <w:rFonts w:ascii="Simplified Arabic" w:eastAsia="Times New Roman" w:hAnsi="Simplified Arabic" w:cs="Simplified Arabic"/>
          <w:b/>
          <w:bCs/>
          <w:kern w:val="0"/>
          <w:sz w:val="28"/>
          <w:szCs w:val="28"/>
          <w14:ligatures w14:val="none"/>
        </w:rPr>
        <w:t xml:space="preserve">(4) </w:t>
      </w:r>
      <w:r w:rsidRPr="00CC60C6">
        <w:rPr>
          <w:rFonts w:ascii="Simplified Arabic" w:eastAsia="Times New Roman" w:hAnsi="Simplified Arabic" w:cs="Simplified Arabic"/>
          <w:b/>
          <w:bCs/>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4B47BEDA"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البُعد الرابع: القيادة الرقمية </w:t>
      </w:r>
      <w:r w:rsidRPr="00CC60C6">
        <w:rPr>
          <w:rFonts w:ascii="Simplified Arabic" w:eastAsia="Times New Roman" w:hAnsi="Simplified Arabic" w:cs="Simplified Arabic"/>
          <w:b/>
          <w:bCs/>
          <w:kern w:val="0"/>
          <w:sz w:val="28"/>
          <w:szCs w:val="28"/>
          <w14:ligatures w14:val="none"/>
        </w:rPr>
        <w:t xml:space="preserve">(4) </w:t>
      </w:r>
      <w:r w:rsidRPr="00CC60C6">
        <w:rPr>
          <w:rFonts w:ascii="Simplified Arabic" w:eastAsia="Times New Roman" w:hAnsi="Simplified Arabic" w:cs="Simplified Arabic"/>
          <w:b/>
          <w:bCs/>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1A71820C"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البُعد الخامس: الثقافة الرقمية </w:t>
      </w:r>
      <w:r w:rsidRPr="00CC60C6">
        <w:rPr>
          <w:rFonts w:ascii="Simplified Arabic" w:eastAsia="Times New Roman" w:hAnsi="Simplified Arabic" w:cs="Simplified Arabic"/>
          <w:b/>
          <w:bCs/>
          <w:kern w:val="0"/>
          <w:sz w:val="28"/>
          <w:szCs w:val="28"/>
          <w14:ligatures w14:val="none"/>
        </w:rPr>
        <w:t xml:space="preserve">(4) </w:t>
      </w:r>
      <w:r w:rsidRPr="00CC60C6">
        <w:rPr>
          <w:rFonts w:ascii="Simplified Arabic" w:eastAsia="Times New Roman" w:hAnsi="Simplified Arabic" w:cs="Simplified Arabic"/>
          <w:b/>
          <w:bCs/>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0F96B97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القسم الثالث: المتغير الوسيط – ممارسات استدامة الأعمال</w:t>
      </w:r>
      <w:r w:rsidRPr="00CC60C6">
        <w:rPr>
          <w:rFonts w:ascii="Simplified Arabic" w:eastAsia="Times New Roman" w:hAnsi="Simplified Arabic" w:cs="Simplified Arabic"/>
          <w:kern w:val="0"/>
          <w:sz w:val="28"/>
          <w:szCs w:val="28"/>
          <w:rtl/>
          <w14:ligatures w14:val="none"/>
        </w:rPr>
        <w:t xml:space="preserve"> ويتكوّن من أربعة أبعاد بإجمالي </w:t>
      </w:r>
      <w:r w:rsidRPr="00CC60C6">
        <w:rPr>
          <w:rFonts w:ascii="Simplified Arabic" w:eastAsia="Times New Roman" w:hAnsi="Simplified Arabic" w:cs="Simplified Arabic"/>
          <w:b/>
          <w:bCs/>
          <w:kern w:val="0"/>
          <w:sz w:val="28"/>
          <w:szCs w:val="28"/>
          <w14:ligatures w14:val="none"/>
        </w:rPr>
        <w:t xml:space="preserve">(16) </w:t>
      </w:r>
      <w:r w:rsidRPr="00CC60C6">
        <w:rPr>
          <w:rFonts w:ascii="Simplified Arabic" w:eastAsia="Times New Roman" w:hAnsi="Simplified Arabic" w:cs="Simplified Arabic"/>
          <w:b/>
          <w:bCs/>
          <w:kern w:val="0"/>
          <w:sz w:val="28"/>
          <w:szCs w:val="28"/>
          <w:rtl/>
          <w14:ligatures w14:val="none"/>
        </w:rPr>
        <w:t>فقرة</w:t>
      </w:r>
      <w:r w:rsidRPr="00CC60C6">
        <w:rPr>
          <w:rFonts w:ascii="Simplified Arabic" w:eastAsia="Times New Roman" w:hAnsi="Simplified Arabic" w:cs="Simplified Arabic"/>
          <w:kern w:val="0"/>
          <w:sz w:val="28"/>
          <w:szCs w:val="28"/>
          <w:rtl/>
          <w14:ligatures w14:val="none"/>
        </w:rPr>
        <w:t xml:space="preserve"> موزّعة كالآتي</w:t>
      </w:r>
      <w:r w:rsidRPr="00CC60C6">
        <w:rPr>
          <w:rFonts w:ascii="Simplified Arabic" w:eastAsia="Times New Roman" w:hAnsi="Simplified Arabic" w:cs="Simplified Arabic"/>
          <w:kern w:val="0"/>
          <w:sz w:val="28"/>
          <w:szCs w:val="28"/>
          <w14:ligatures w14:val="none"/>
        </w:rPr>
        <w:t>:</w:t>
      </w:r>
    </w:p>
    <w:p w14:paraId="2455B910"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البُعد الأول: البُعد الاقتصادي </w:t>
      </w:r>
      <w:r w:rsidRPr="00CC60C6">
        <w:rPr>
          <w:rFonts w:ascii="Simplified Arabic" w:eastAsia="Times New Roman" w:hAnsi="Simplified Arabic" w:cs="Simplified Arabic"/>
          <w:kern w:val="0"/>
          <w:sz w:val="28"/>
          <w:szCs w:val="28"/>
          <w14:ligatures w14:val="none"/>
        </w:rPr>
        <w:t xml:space="preserve">(4) </w:t>
      </w:r>
      <w:r w:rsidRPr="00CC60C6">
        <w:rPr>
          <w:rFonts w:ascii="Simplified Arabic" w:eastAsia="Times New Roman" w:hAnsi="Simplified Arabic" w:cs="Simplified Arabic"/>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07A96273"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البُعد الثاني: البُعد الاجتماعي </w:t>
      </w:r>
      <w:r w:rsidRPr="00CC60C6">
        <w:rPr>
          <w:rFonts w:ascii="Simplified Arabic" w:eastAsia="Times New Roman" w:hAnsi="Simplified Arabic" w:cs="Simplified Arabic"/>
          <w:kern w:val="0"/>
          <w:sz w:val="28"/>
          <w:szCs w:val="28"/>
          <w14:ligatures w14:val="none"/>
        </w:rPr>
        <w:t xml:space="preserve">(4) </w:t>
      </w:r>
      <w:r w:rsidRPr="00CC60C6">
        <w:rPr>
          <w:rFonts w:ascii="Simplified Arabic" w:eastAsia="Times New Roman" w:hAnsi="Simplified Arabic" w:cs="Simplified Arabic"/>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08327BC5"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lastRenderedPageBreak/>
        <w:t xml:space="preserve">البُعد الثالث: البُعد البيئي </w:t>
      </w:r>
      <w:r w:rsidRPr="00CC60C6">
        <w:rPr>
          <w:rFonts w:ascii="Simplified Arabic" w:eastAsia="Times New Roman" w:hAnsi="Simplified Arabic" w:cs="Simplified Arabic"/>
          <w:kern w:val="0"/>
          <w:sz w:val="28"/>
          <w:szCs w:val="28"/>
          <w14:ligatures w14:val="none"/>
        </w:rPr>
        <w:t xml:space="preserve">(4) </w:t>
      </w:r>
      <w:r w:rsidRPr="00CC60C6">
        <w:rPr>
          <w:rFonts w:ascii="Simplified Arabic" w:eastAsia="Times New Roman" w:hAnsi="Simplified Arabic" w:cs="Simplified Arabic"/>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13C2EB91" w14:textId="77777777" w:rsidR="005C64B5" w:rsidRPr="00CC60C6" w:rsidRDefault="005C64B5" w:rsidP="00CC60C6">
      <w:pPr>
        <w:pStyle w:val="a6"/>
        <w:numPr>
          <w:ilvl w:val="0"/>
          <w:numId w:val="27"/>
        </w:numPr>
        <w:spacing w:before="100" w:beforeAutospacing="1" w:after="100" w:afterAutospacing="1" w:line="276" w:lineRule="auto"/>
        <w:ind w:left="991"/>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البُعد الرابع: بُعد الحوكمة </w:t>
      </w:r>
      <w:r w:rsidRPr="00CC60C6">
        <w:rPr>
          <w:rFonts w:ascii="Simplified Arabic" w:eastAsia="Times New Roman" w:hAnsi="Simplified Arabic" w:cs="Simplified Arabic"/>
          <w:kern w:val="0"/>
          <w:sz w:val="28"/>
          <w:szCs w:val="28"/>
          <w14:ligatures w14:val="none"/>
        </w:rPr>
        <w:t xml:space="preserve">(4) </w:t>
      </w:r>
      <w:r w:rsidRPr="00CC60C6">
        <w:rPr>
          <w:rFonts w:ascii="Simplified Arabic" w:eastAsia="Times New Roman" w:hAnsi="Simplified Arabic" w:cs="Simplified Arabic"/>
          <w:kern w:val="0"/>
          <w:sz w:val="28"/>
          <w:szCs w:val="28"/>
          <w:rtl/>
          <w14:ligatures w14:val="none"/>
        </w:rPr>
        <w:t>فقرات</w:t>
      </w:r>
      <w:r w:rsidRPr="00CC60C6">
        <w:rPr>
          <w:rFonts w:ascii="Simplified Arabic" w:eastAsia="Times New Roman" w:hAnsi="Simplified Arabic" w:cs="Simplified Arabic"/>
          <w:kern w:val="0"/>
          <w:sz w:val="28"/>
          <w:szCs w:val="28"/>
          <w14:ligatures w14:val="none"/>
        </w:rPr>
        <w:t>.</w:t>
      </w:r>
    </w:p>
    <w:p w14:paraId="37D3D99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القسم الرابع: المتغير التابع – الأداء المستدام</w:t>
      </w:r>
      <w:r w:rsidRPr="00CC60C6">
        <w:rPr>
          <w:rFonts w:ascii="Simplified Arabic" w:eastAsia="Times New Roman" w:hAnsi="Simplified Arabic" w:cs="Simplified Arabic"/>
          <w:kern w:val="0"/>
          <w:sz w:val="28"/>
          <w:szCs w:val="28"/>
          <w:rtl/>
          <w14:ligatures w14:val="none"/>
        </w:rPr>
        <w:t xml:space="preserve"> ويُقاس بمحورٍ أحاديٍّ متكاملٍ يتضمّن </w:t>
      </w:r>
      <w:r w:rsidRPr="00CC60C6">
        <w:rPr>
          <w:rFonts w:ascii="Simplified Arabic" w:eastAsia="Times New Roman" w:hAnsi="Simplified Arabic" w:cs="Simplified Arabic"/>
          <w:b/>
          <w:bCs/>
          <w:kern w:val="0"/>
          <w:sz w:val="28"/>
          <w:szCs w:val="28"/>
          <w14:ligatures w14:val="none"/>
        </w:rPr>
        <w:t xml:space="preserve">(10) </w:t>
      </w:r>
      <w:r w:rsidRPr="00CC60C6">
        <w:rPr>
          <w:rFonts w:ascii="Simplified Arabic" w:eastAsia="Times New Roman" w:hAnsi="Simplified Arabic" w:cs="Simplified Arabic"/>
          <w:b/>
          <w:bCs/>
          <w:kern w:val="0"/>
          <w:sz w:val="28"/>
          <w:szCs w:val="28"/>
          <w:rtl/>
          <w14:ligatures w14:val="none"/>
        </w:rPr>
        <w:t>فقرات</w:t>
      </w:r>
      <w:r w:rsidRPr="00CC60C6">
        <w:rPr>
          <w:rFonts w:ascii="Simplified Arabic" w:eastAsia="Times New Roman" w:hAnsi="Simplified Arabic" w:cs="Simplified Arabic"/>
          <w:kern w:val="0"/>
          <w:sz w:val="28"/>
          <w:szCs w:val="28"/>
          <w:rtl/>
          <w14:ligatures w14:val="none"/>
        </w:rPr>
        <w:t xml:space="preserve"> تُغطّي مجمل مؤشرات الأداء المستدام بأبعاده الاقتصادية والاجتماعية والبيئية</w:t>
      </w:r>
      <w:r w:rsidRPr="00CC60C6">
        <w:rPr>
          <w:rFonts w:ascii="Simplified Arabic" w:eastAsia="Times New Roman" w:hAnsi="Simplified Arabic" w:cs="Simplified Arabic"/>
          <w:kern w:val="0"/>
          <w:sz w:val="28"/>
          <w:szCs w:val="28"/>
          <w14:ligatures w14:val="none"/>
        </w:rPr>
        <w:t>.</w:t>
      </w:r>
    </w:p>
    <w:p w14:paraId="554F4D5F"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وبذلك يبلغ إجمالي فقرات الاستبانة </w:t>
      </w:r>
      <w:r w:rsidRPr="00CC60C6">
        <w:rPr>
          <w:rFonts w:ascii="Simplified Arabic" w:eastAsia="Times New Roman" w:hAnsi="Simplified Arabic" w:cs="Simplified Arabic"/>
          <w:b/>
          <w:bCs/>
          <w:kern w:val="0"/>
          <w:sz w:val="28"/>
          <w:szCs w:val="28"/>
          <w14:ligatures w14:val="none"/>
        </w:rPr>
        <w:t xml:space="preserve">(46) </w:t>
      </w:r>
      <w:r w:rsidRPr="00CC60C6">
        <w:rPr>
          <w:rFonts w:ascii="Simplified Arabic" w:eastAsia="Times New Roman" w:hAnsi="Simplified Arabic" w:cs="Simplified Arabic"/>
          <w:b/>
          <w:bCs/>
          <w:kern w:val="0"/>
          <w:sz w:val="28"/>
          <w:szCs w:val="28"/>
          <w:rtl/>
          <w14:ligatures w14:val="none"/>
        </w:rPr>
        <w:t>فقرة</w:t>
      </w:r>
      <w:r w:rsidRPr="00CC60C6">
        <w:rPr>
          <w:rFonts w:ascii="Simplified Arabic" w:eastAsia="Times New Roman" w:hAnsi="Simplified Arabic" w:cs="Simplified Arabic"/>
          <w:kern w:val="0"/>
          <w:sz w:val="28"/>
          <w:szCs w:val="28"/>
          <w:rtl/>
          <w14:ligatures w14:val="none"/>
        </w:rPr>
        <w:t xml:space="preserve"> موزّعة على المحاور الثلاثة الرئيسية</w:t>
      </w:r>
      <w:r w:rsidRPr="00CC60C6">
        <w:rPr>
          <w:rFonts w:ascii="Simplified Arabic" w:eastAsia="Times New Roman" w:hAnsi="Simplified Arabic" w:cs="Simplified Arabic"/>
          <w:kern w:val="0"/>
          <w:sz w:val="28"/>
          <w:szCs w:val="28"/>
          <w14:ligatures w14:val="none"/>
        </w:rPr>
        <w:t>.</w:t>
      </w:r>
    </w:p>
    <w:p w14:paraId="7437B705" w14:textId="2D02F26A" w:rsidR="005C64B5" w:rsidRPr="00CC60C6" w:rsidRDefault="001144E0"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4" w:name="_Toc234293319"/>
      <w:r>
        <w:rPr>
          <w:rFonts w:ascii="Simplified Arabic" w:eastAsia="Calibri" w:hAnsi="Simplified Arabic" w:cs="Simplified Arabic" w:hint="cs"/>
          <w:b/>
          <w:bCs/>
          <w:color w:val="000000" w:themeColor="text1"/>
          <w:sz w:val="36"/>
          <w:szCs w:val="36"/>
          <w:rtl/>
          <w:lang w:bidi="ar-EG"/>
        </w:rPr>
        <w:t xml:space="preserve">14.1 </w:t>
      </w:r>
      <w:r w:rsidR="005C64B5" w:rsidRPr="00CC60C6">
        <w:rPr>
          <w:rFonts w:ascii="Simplified Arabic" w:eastAsia="Calibri" w:hAnsi="Simplified Arabic" w:cs="Simplified Arabic"/>
          <w:b/>
          <w:bCs/>
          <w:color w:val="000000" w:themeColor="text1"/>
          <w:sz w:val="36"/>
          <w:szCs w:val="36"/>
          <w:rtl/>
          <w:lang w:bidi="ar-EG"/>
        </w:rPr>
        <w:t>الأساليب الإحصائية المستخدمة</w:t>
      </w:r>
      <w:bookmarkEnd w:id="24"/>
    </w:p>
    <w:p w14:paraId="187523C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 xml:space="preserve">ستُعالَج البيانات إحصائياً باستخدام برنامج الحزمة الإحصائية للعلوم الاجتماعية </w:t>
      </w:r>
      <w:r w:rsidRPr="00CC60C6">
        <w:rPr>
          <w:rFonts w:ascii="Simplified Arabic" w:eastAsia="Times New Roman" w:hAnsi="Simplified Arabic" w:cs="Simplified Arabic"/>
          <w:b/>
          <w:bCs/>
          <w:kern w:val="0"/>
          <w:sz w:val="28"/>
          <w:szCs w:val="28"/>
          <w14:ligatures w14:val="none"/>
        </w:rPr>
        <w:t>(SPSS)</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 xml:space="preserve">وبرنامج </w:t>
      </w:r>
      <w:r w:rsidRPr="00CC60C6">
        <w:rPr>
          <w:rFonts w:ascii="Simplified Arabic" w:eastAsia="Times New Roman" w:hAnsi="Simplified Arabic" w:cs="Simplified Arabic"/>
          <w:b/>
          <w:bCs/>
          <w:kern w:val="0"/>
          <w:sz w:val="28"/>
          <w:szCs w:val="28"/>
          <w14:ligatures w14:val="none"/>
        </w:rPr>
        <w:t>AMOS</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لاختبار النموذج البنائي، وسيُوظَّف عددٌ من الأساليب الإحصائية المتنوعة تشمل: التكرارات والنسب المئوية لوصف خصائص عينة الدراسة، والمتوسطات الحسابية والانحرافات المعيارية لقياس مستوى الاستجابة على فقرات الاستبانة، ومعامل ألفا كرونباخ لقياس ثبات أداة الدراسة، ومعامل ارتباط بيرسون للكشف عن العلاقات بين متغيرات الدراسة، وتحليل الانحدار الخطي البسيط والمتعدد لاختبار أثر المتغير المستقل على المتغير التابع، بالإضافة إلى النمذجة بالمعادلات الهيكلية</w:t>
      </w:r>
      <w:r w:rsidRPr="00CC60C6">
        <w:rPr>
          <w:rFonts w:ascii="Simplified Arabic" w:eastAsia="Times New Roman" w:hAnsi="Simplified Arabic" w:cs="Simplified Arabic"/>
          <w:kern w:val="0"/>
          <w:sz w:val="28"/>
          <w:szCs w:val="28"/>
          <w14:ligatures w14:val="none"/>
        </w:rPr>
        <w:t xml:space="preserve"> (SEM) </w:t>
      </w:r>
      <w:r w:rsidRPr="00CC60C6">
        <w:rPr>
          <w:rFonts w:ascii="Simplified Arabic" w:eastAsia="Times New Roman" w:hAnsi="Simplified Arabic" w:cs="Simplified Arabic"/>
          <w:kern w:val="0"/>
          <w:sz w:val="28"/>
          <w:szCs w:val="28"/>
          <w:rtl/>
          <w14:ligatures w14:val="none"/>
        </w:rPr>
        <w:t>لاختبار النموذج البحثي المقترح والدور الوسيط، واختبار</w:t>
      </w:r>
      <w:r w:rsidRPr="00CC60C6">
        <w:rPr>
          <w:rFonts w:ascii="Simplified Arabic" w:eastAsia="Times New Roman" w:hAnsi="Simplified Arabic" w:cs="Simplified Arabic"/>
          <w:kern w:val="0"/>
          <w:sz w:val="28"/>
          <w:szCs w:val="28"/>
          <w14:ligatures w14:val="none"/>
        </w:rPr>
        <w:t xml:space="preserve"> (T-Test) </w:t>
      </w:r>
      <w:r w:rsidRPr="00CC60C6">
        <w:rPr>
          <w:rFonts w:ascii="Simplified Arabic" w:eastAsia="Times New Roman" w:hAnsi="Simplified Arabic" w:cs="Simplified Arabic"/>
          <w:kern w:val="0"/>
          <w:sz w:val="28"/>
          <w:szCs w:val="28"/>
          <w:rtl/>
          <w14:ligatures w14:val="none"/>
        </w:rPr>
        <w:t>وتحليل التباين الأحادي</w:t>
      </w:r>
      <w:r w:rsidRPr="00CC60C6">
        <w:rPr>
          <w:rFonts w:ascii="Simplified Arabic" w:eastAsia="Times New Roman" w:hAnsi="Simplified Arabic" w:cs="Simplified Arabic"/>
          <w:kern w:val="0"/>
          <w:sz w:val="28"/>
          <w:szCs w:val="28"/>
          <w14:ligatures w14:val="none"/>
        </w:rPr>
        <w:t xml:space="preserve"> (ANOVA) </w:t>
      </w:r>
      <w:r w:rsidRPr="00CC60C6">
        <w:rPr>
          <w:rFonts w:ascii="Simplified Arabic" w:eastAsia="Times New Roman" w:hAnsi="Simplified Arabic" w:cs="Simplified Arabic"/>
          <w:kern w:val="0"/>
          <w:sz w:val="28"/>
          <w:szCs w:val="28"/>
          <w:rtl/>
          <w14:ligatures w14:val="none"/>
        </w:rPr>
        <w:t>للكشف عن الفروق الديموغرافية، ومعامل تضخم التباين</w:t>
      </w:r>
      <w:r w:rsidRPr="00CC60C6">
        <w:rPr>
          <w:rFonts w:ascii="Simplified Arabic" w:eastAsia="Times New Roman" w:hAnsi="Simplified Arabic" w:cs="Simplified Arabic"/>
          <w:kern w:val="0"/>
          <w:sz w:val="28"/>
          <w:szCs w:val="28"/>
          <w14:ligatures w14:val="none"/>
        </w:rPr>
        <w:t xml:space="preserve"> (VIF) </w:t>
      </w:r>
      <w:r w:rsidRPr="00CC60C6">
        <w:rPr>
          <w:rFonts w:ascii="Simplified Arabic" w:eastAsia="Times New Roman" w:hAnsi="Simplified Arabic" w:cs="Simplified Arabic"/>
          <w:kern w:val="0"/>
          <w:sz w:val="28"/>
          <w:szCs w:val="28"/>
          <w:rtl/>
          <w14:ligatures w14:val="none"/>
        </w:rPr>
        <w:t>للتأكد من عدم وجود ارتباطٍ متعددٍ بين المتغيرات المستقلة</w:t>
      </w:r>
      <w:r w:rsidRPr="00CC60C6">
        <w:rPr>
          <w:rFonts w:ascii="Simplified Arabic" w:eastAsia="Times New Roman" w:hAnsi="Simplified Arabic" w:cs="Simplified Arabic"/>
          <w:kern w:val="0"/>
          <w:sz w:val="28"/>
          <w:szCs w:val="28"/>
          <w14:ligatures w14:val="none"/>
        </w:rPr>
        <w:t>.</w:t>
      </w:r>
    </w:p>
    <w:p w14:paraId="2EEC3A91" w14:textId="61750F85" w:rsidR="005C64B5" w:rsidRPr="00CC60C6" w:rsidRDefault="001144E0" w:rsidP="00CC60C6">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5" w:name="_Toc234293320"/>
      <w:r>
        <w:rPr>
          <w:rFonts w:ascii="Simplified Arabic" w:eastAsia="Calibri" w:hAnsi="Simplified Arabic" w:cs="Simplified Arabic" w:hint="cs"/>
          <w:b/>
          <w:bCs/>
          <w:color w:val="000000" w:themeColor="text1"/>
          <w:sz w:val="36"/>
          <w:szCs w:val="36"/>
          <w:rtl/>
          <w:lang w:bidi="ar-EG"/>
        </w:rPr>
        <w:t xml:space="preserve">15.1 </w:t>
      </w:r>
      <w:r w:rsidR="005C64B5" w:rsidRPr="00CC60C6">
        <w:rPr>
          <w:rFonts w:ascii="Simplified Arabic" w:eastAsia="Calibri" w:hAnsi="Simplified Arabic" w:cs="Simplified Arabic"/>
          <w:b/>
          <w:bCs/>
          <w:color w:val="000000" w:themeColor="text1"/>
          <w:sz w:val="36"/>
          <w:szCs w:val="36"/>
          <w:rtl/>
          <w:lang w:bidi="ar-EG"/>
        </w:rPr>
        <w:t>حدود الدراسة</w:t>
      </w:r>
      <w:bookmarkEnd w:id="25"/>
    </w:p>
    <w:p w14:paraId="378F95B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ستلتزم الدراسة بمجموعةٍ من الحدود التي تُحدّد نطاقها العلمي والتطبيقي على النحو الآتي</w:t>
      </w:r>
      <w:r w:rsidRPr="00CC60C6">
        <w:rPr>
          <w:rFonts w:ascii="Simplified Arabic" w:eastAsia="Times New Roman" w:hAnsi="Simplified Arabic" w:cs="Simplified Arabic"/>
          <w:kern w:val="0"/>
          <w:sz w:val="28"/>
          <w:szCs w:val="28"/>
          <w14:ligatures w14:val="none"/>
        </w:rPr>
        <w:t>:</w:t>
      </w:r>
    </w:p>
    <w:p w14:paraId="1A700499"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الحدود الموضوعية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ستقتصر الدراسة على تناول أثر التحول الرقمي المدعوم بالذكاء الاصطناعي بأبعاده الخمسة (البنية التحتية الرقمية الذكية، الأتمتة الذكية والتعلم الآلي، تحليل البيانات الضخمة، القيادة الرقمية، الثقافة الرقمية) في تعزيز ممارسات استدامة الأعمال بأبعادها الأربعة (الاقتصادي، الاجتماعي، البيئي، الحوكمة) وانعكاس ذلك على الأداء المستدام</w:t>
      </w:r>
      <w:r w:rsidRPr="00CC60C6">
        <w:rPr>
          <w:rFonts w:ascii="Simplified Arabic" w:eastAsia="Times New Roman" w:hAnsi="Simplified Arabic" w:cs="Simplified Arabic"/>
          <w:kern w:val="0"/>
          <w:sz w:val="28"/>
          <w:szCs w:val="28"/>
          <w14:ligatures w14:val="none"/>
        </w:rPr>
        <w:t>.</w:t>
      </w:r>
    </w:p>
    <w:p w14:paraId="566D170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الحدود المكانية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ستُطبَّق الدراسة الميدانية في صندوق الاستثمارات العامة بالمملكة العربية السعودية، بمقره الرئيسي في مدينة الرياض وفروعه المختلفة</w:t>
      </w:r>
      <w:r w:rsidRPr="00CC60C6">
        <w:rPr>
          <w:rFonts w:ascii="Simplified Arabic" w:eastAsia="Times New Roman" w:hAnsi="Simplified Arabic" w:cs="Simplified Arabic"/>
          <w:kern w:val="0"/>
          <w:sz w:val="28"/>
          <w:szCs w:val="28"/>
          <w14:ligatures w14:val="none"/>
        </w:rPr>
        <w:t>.</w:t>
      </w:r>
    </w:p>
    <w:p w14:paraId="32186EC2"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lastRenderedPageBreak/>
        <w:t>الحدود البشرية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ستقتصر الدراسة على العاملين في المستويات الإدارية العليا والوسطى في صندوق الاستثمارات العامة من فئات المديرين التنفيذيين ورؤساء الإدارات ومديري القطاعات ورؤساء الأقسام والمحللين الاستثماريين وموظفي التحول الرقمي والاستدامة</w:t>
      </w:r>
      <w:r w:rsidRPr="00CC60C6">
        <w:rPr>
          <w:rFonts w:ascii="Simplified Arabic" w:eastAsia="Times New Roman" w:hAnsi="Simplified Arabic" w:cs="Simplified Arabic"/>
          <w:kern w:val="0"/>
          <w:sz w:val="28"/>
          <w:szCs w:val="28"/>
          <w14:ligatures w14:val="none"/>
        </w:rPr>
        <w:t>.</w:t>
      </w:r>
    </w:p>
    <w:p w14:paraId="6E5DE9CE" w14:textId="77777777" w:rsidR="005C64B5"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CC60C6">
        <w:rPr>
          <w:rFonts w:ascii="Simplified Arabic" w:eastAsia="Times New Roman" w:hAnsi="Simplified Arabic" w:cs="Simplified Arabic"/>
          <w:b/>
          <w:bCs/>
          <w:kern w:val="0"/>
          <w:sz w:val="28"/>
          <w:szCs w:val="28"/>
          <w:rtl/>
          <w14:ligatures w14:val="none"/>
        </w:rPr>
        <w:t>الحدود الزمانية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ستُنفَّذ الدراسة الميدانية خلال الفترة الممتدة من عام 2026م، وستُجمَع البيانات وتُحلَّل خلال هذه الفترة الزمنية</w:t>
      </w:r>
      <w:r w:rsidRPr="00CC60C6">
        <w:rPr>
          <w:rFonts w:ascii="Simplified Arabic" w:eastAsia="Times New Roman" w:hAnsi="Simplified Arabic" w:cs="Simplified Arabic"/>
          <w:kern w:val="0"/>
          <w:sz w:val="28"/>
          <w:szCs w:val="28"/>
          <w14:ligatures w14:val="none"/>
        </w:rPr>
        <w:t>.</w:t>
      </w:r>
    </w:p>
    <w:p w14:paraId="6C5108E4" w14:textId="77777777" w:rsidR="00CC60C6" w:rsidRDefault="00CC60C6" w:rsidP="00CC60C6">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4D4BA301" w14:textId="69B93CE5" w:rsidR="00CC60C6" w:rsidRDefault="00CC60C6">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0ED983A7" w14:textId="77777777" w:rsidR="001144E0" w:rsidRPr="00744646" w:rsidRDefault="001144E0" w:rsidP="001144E0">
      <w:pPr>
        <w:jc w:val="center"/>
        <w:outlineLvl w:val="0"/>
        <w:rPr>
          <w:rFonts w:ascii="Simplified Arabic" w:eastAsia="SimSun" w:hAnsi="Simplified Arabic" w:cs="Simplified Arabic"/>
          <w:b/>
          <w:bCs/>
          <w:color w:val="000000" w:themeColor="text1"/>
          <w:sz w:val="40"/>
          <w:szCs w:val="40"/>
        </w:rPr>
      </w:pPr>
      <w:bookmarkStart w:id="26" w:name="_Toc234016180"/>
      <w:bookmarkStart w:id="27" w:name="_Toc234027267"/>
      <w:bookmarkStart w:id="28" w:name="_Toc234244330"/>
      <w:bookmarkStart w:id="29" w:name="_Toc234293321"/>
      <w:r w:rsidRPr="00744646">
        <w:rPr>
          <w:rFonts w:ascii="Simplified Arabic" w:eastAsia="SimSun" w:hAnsi="Simplified Arabic" w:cs="Simplified Arabic" w:hint="cs"/>
          <w:b/>
          <w:bCs/>
          <w:color w:val="000000" w:themeColor="text1"/>
          <w:sz w:val="40"/>
          <w:szCs w:val="40"/>
          <w:rtl/>
        </w:rPr>
        <w:lastRenderedPageBreak/>
        <w:t xml:space="preserve">الفصل الثاني: </w:t>
      </w:r>
      <w:r w:rsidRPr="00744646">
        <w:rPr>
          <w:rFonts w:ascii="Simplified Arabic" w:eastAsia="SimSun" w:hAnsi="Simplified Arabic" w:cs="Simplified Arabic"/>
          <w:b/>
          <w:bCs/>
          <w:color w:val="000000" w:themeColor="text1"/>
          <w:sz w:val="40"/>
          <w:szCs w:val="40"/>
          <w:rtl/>
        </w:rPr>
        <w:t>الإطار النظري للدراسة</w:t>
      </w:r>
      <w:bookmarkEnd w:id="26"/>
      <w:bookmarkEnd w:id="27"/>
      <w:bookmarkEnd w:id="28"/>
      <w:bookmarkEnd w:id="29"/>
    </w:p>
    <w:p w14:paraId="499C56C3" w14:textId="1832D405" w:rsidR="001144E0" w:rsidRPr="00DE0524" w:rsidRDefault="001144E0" w:rsidP="001144E0">
      <w:pPr>
        <w:jc w:val="center"/>
        <w:outlineLvl w:val="1"/>
        <w:rPr>
          <w:rFonts w:ascii="Simplified Arabic" w:eastAsia="SimSun" w:hAnsi="Simplified Arabic" w:cs="Simplified Arabic"/>
          <w:b/>
          <w:bCs/>
          <w:color w:val="000000" w:themeColor="text1"/>
          <w:sz w:val="36"/>
          <w:szCs w:val="36"/>
        </w:rPr>
      </w:pPr>
      <w:bookmarkStart w:id="30" w:name="_Toc234027268"/>
      <w:bookmarkStart w:id="31" w:name="_Toc234244331"/>
      <w:bookmarkStart w:id="32" w:name="_Toc234293322"/>
      <w:r w:rsidRPr="00DE0524">
        <w:rPr>
          <w:rFonts w:ascii="Simplified Arabic" w:eastAsia="SimSun" w:hAnsi="Simplified Arabic" w:cs="Simplified Arabic"/>
          <w:b/>
          <w:bCs/>
          <w:color w:val="000000" w:themeColor="text1"/>
          <w:sz w:val="36"/>
          <w:szCs w:val="36"/>
          <w:rtl/>
        </w:rPr>
        <w:t>المبحث الأول</w:t>
      </w:r>
      <w:bookmarkEnd w:id="30"/>
      <w:bookmarkEnd w:id="31"/>
      <w:r>
        <w:rPr>
          <w:rFonts w:ascii="Simplified Arabic" w:eastAsia="SimSun" w:hAnsi="Simplified Arabic" w:cs="Simplified Arabic" w:hint="cs"/>
          <w:b/>
          <w:bCs/>
          <w:color w:val="000000" w:themeColor="text1"/>
          <w:sz w:val="36"/>
          <w:szCs w:val="36"/>
          <w:rtl/>
        </w:rPr>
        <w:t xml:space="preserve">: </w:t>
      </w:r>
      <w:r w:rsidRPr="001144E0">
        <w:rPr>
          <w:rFonts w:ascii="Simplified Arabic" w:eastAsia="SimSun" w:hAnsi="Simplified Arabic" w:cs="Simplified Arabic"/>
          <w:b/>
          <w:bCs/>
          <w:color w:val="000000" w:themeColor="text1"/>
          <w:sz w:val="36"/>
          <w:szCs w:val="36"/>
          <w:rtl/>
        </w:rPr>
        <w:t>التحول الرقمي المدعوم بالذكاء الاصطناعي</w:t>
      </w:r>
      <w:bookmarkEnd w:id="32"/>
    </w:p>
    <w:p w14:paraId="0DB9606B" w14:textId="77777777" w:rsidR="001144E0" w:rsidRPr="00DE0524"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lang w:bidi="ar-EG"/>
          <w14:ligatures w14:val="none"/>
        </w:rPr>
      </w:pPr>
      <w:bookmarkStart w:id="33" w:name="_Toc234027269"/>
      <w:bookmarkStart w:id="34" w:name="_Toc234244332"/>
      <w:bookmarkStart w:id="35" w:name="_Toc234293323"/>
      <w:r>
        <w:rPr>
          <w:rFonts w:ascii="Simplified Arabic" w:eastAsia="Times New Roman" w:hAnsi="Simplified Arabic" w:cs="Simplified Arabic" w:hint="cs"/>
          <w:b/>
          <w:bCs/>
          <w:kern w:val="0"/>
          <w:sz w:val="36"/>
          <w:szCs w:val="36"/>
          <w:rtl/>
          <w14:ligatures w14:val="none"/>
        </w:rPr>
        <w:t xml:space="preserve">1.1.2 </w:t>
      </w:r>
      <w:r w:rsidRPr="00DE0524">
        <w:rPr>
          <w:rFonts w:ascii="Simplified Arabic" w:eastAsia="Times New Roman" w:hAnsi="Simplified Arabic" w:cs="Simplified Arabic"/>
          <w:b/>
          <w:bCs/>
          <w:kern w:val="0"/>
          <w:sz w:val="36"/>
          <w:szCs w:val="36"/>
          <w:rtl/>
          <w14:ligatures w14:val="none"/>
        </w:rPr>
        <w:t>تمهيد</w:t>
      </w:r>
      <w:bookmarkEnd w:id="33"/>
      <w:bookmarkEnd w:id="34"/>
      <w:bookmarkEnd w:id="35"/>
    </w:p>
    <w:p w14:paraId="353C368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يُعدّ التحول الرقمي المدعوم بالذكاء الاصطناعي من أبرز الظواهر الإدارية والتقنية التي أعادت رسم ملامح بيئة الأعمال المعاصرة، إذ لم يعد مجرد استجابةٍ ظرفيةٍ لمتطلبات السوق، بل غدا توجهاً استراتيجياً شاملاً تسعى من خلاله المنظمات إلى إعادة هيكلة نماذج أعمالها وعملياتها التشغيلية بما يتوافق مع معطيات الثورة الصناعية الرابعة. وقد فرضت المتغيرات العالمية المتسارعة على قيادات المنظمات ضرورة التعامل مع التقنيات الذكية بوصفها ركيزةً محوريةً لبناء الميزة التنافسية المستدامة، إذ تتقاطع تقنيات التعلم الآلي وتحليل البيانات الضخمة والحوسبة السحابية والأتمتة الذكية لتُشكّل منظومةً متكاملةً تُعيد تعريف مفاهيم الكفاءة والإنتاجية والابتكار</w:t>
      </w:r>
      <w:r w:rsidRPr="00CC60C6">
        <w:rPr>
          <w:rFonts w:ascii="Simplified Arabic" w:eastAsia="Times New Roman" w:hAnsi="Simplified Arabic" w:cs="Simplified Arabic"/>
          <w:kern w:val="0"/>
          <w:sz w:val="28"/>
          <w:szCs w:val="28"/>
          <w14:ligatures w14:val="none"/>
        </w:rPr>
        <w:t xml:space="preserve"> (Rabhi et al., 2025). </w:t>
      </w:r>
      <w:r w:rsidRPr="00CC60C6">
        <w:rPr>
          <w:rFonts w:ascii="Simplified Arabic" w:eastAsia="Times New Roman" w:hAnsi="Simplified Arabic" w:cs="Simplified Arabic"/>
          <w:kern w:val="0"/>
          <w:sz w:val="28"/>
          <w:szCs w:val="28"/>
          <w:rtl/>
          <w14:ligatures w14:val="none"/>
        </w:rPr>
        <w:t>وفي ظل هذا التسارع التقني، برزت الحاجة الأكاديمية إلى تأصيلٍ نظريٍّ عميقٍ لهذا المفهوم، يتناول جذوره الفكرية وتطوره التاريخي، ويستعرض تعريفاته المتباينة، وأهميته الاستراتيجية، وأهدافه المؤسسية، وأبعاده المتشعبة، والتحديات المرتبطة بتطبيقه، بما يُوفّر أساساً مفاهيمياً متيناً لفهم دوره في تعزيز الأداء المؤسسي المستدام</w:t>
      </w:r>
      <w:r w:rsidRPr="00CC60C6">
        <w:rPr>
          <w:rFonts w:ascii="Simplified Arabic" w:eastAsia="Times New Roman" w:hAnsi="Simplified Arabic" w:cs="Simplified Arabic"/>
          <w:kern w:val="0"/>
          <w:sz w:val="28"/>
          <w:szCs w:val="28"/>
          <w14:ligatures w14:val="none"/>
        </w:rPr>
        <w:t>.</w:t>
      </w:r>
    </w:p>
    <w:p w14:paraId="6205B83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ويتناول هذا المبحث التحول الرقمي المدعوم بالذكاء الاصطناعي بوصفه المتغير المستقل للدراسة، من خلال استعراض المفهوم وتطوره، وإبراز أهميته الاستراتيجية والتشغيلية، وتوضيح الأهداف التي يسعى إلى تحقيقها، وتحليل أبعاده المختلفة، وعرض أبرز الاستراتيجيات والتحديات المرتبطة به، بأسلوبٍ أكاديميٍّ منظمٍ يستند إلى الأدبيات الحديثة</w:t>
      </w:r>
      <w:r w:rsidRPr="00CC60C6">
        <w:rPr>
          <w:rFonts w:ascii="Simplified Arabic" w:eastAsia="Times New Roman" w:hAnsi="Simplified Arabic" w:cs="Simplified Arabic"/>
          <w:kern w:val="0"/>
          <w:sz w:val="28"/>
          <w:szCs w:val="28"/>
          <w14:ligatures w14:val="none"/>
        </w:rPr>
        <w:t>.</w:t>
      </w:r>
    </w:p>
    <w:p w14:paraId="107996B0" w14:textId="57B26094"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6" w:name="_Toc234293324"/>
      <w:r>
        <w:rPr>
          <w:rFonts w:ascii="Simplified Arabic" w:eastAsia="Times New Roman" w:hAnsi="Simplified Arabic" w:cs="Simplified Arabic" w:hint="cs"/>
          <w:b/>
          <w:bCs/>
          <w:kern w:val="0"/>
          <w:sz w:val="36"/>
          <w:szCs w:val="36"/>
          <w:rtl/>
          <w14:ligatures w14:val="none"/>
        </w:rPr>
        <w:t xml:space="preserve">2.1.2 </w:t>
      </w:r>
      <w:r w:rsidR="005C64B5" w:rsidRPr="001144E0">
        <w:rPr>
          <w:rFonts w:ascii="Simplified Arabic" w:eastAsia="Times New Roman" w:hAnsi="Simplified Arabic" w:cs="Simplified Arabic"/>
          <w:b/>
          <w:bCs/>
          <w:kern w:val="0"/>
          <w:sz w:val="36"/>
          <w:szCs w:val="36"/>
          <w:rtl/>
          <w14:ligatures w14:val="none"/>
        </w:rPr>
        <w:t>أولاً: مفهوم التحول الرقمي المدعوم بالذكاء الاصطناعي</w:t>
      </w:r>
      <w:bookmarkEnd w:id="36"/>
    </w:p>
    <w:p w14:paraId="23969CF4"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شهد مفهوم التحول الرقمي المدعوم بالذكاء الاصطناعي تطوراً مفاهيمياً ملحوظاً في الأدبيات الإدارية المعاصرة، إذ تباينت رؤى الباحثين في تعريفه وفقاً لخلفياتهم النظرية وسياقاتهم البحثية. ويُعرّف</w:t>
      </w:r>
      <w:r w:rsidRPr="00CC60C6">
        <w:rPr>
          <w:rFonts w:ascii="Simplified Arabic" w:eastAsia="Times New Roman" w:hAnsi="Simplified Arabic" w:cs="Simplified Arabic"/>
          <w:kern w:val="0"/>
          <w:sz w:val="28"/>
          <w:szCs w:val="28"/>
          <w14:ligatures w14:val="none"/>
        </w:rPr>
        <w:t xml:space="preserve"> Rabhi et al. (2025) </w:t>
      </w:r>
      <w:r w:rsidRPr="00CC60C6">
        <w:rPr>
          <w:rFonts w:ascii="Simplified Arabic" w:eastAsia="Times New Roman" w:hAnsi="Simplified Arabic" w:cs="Simplified Arabic"/>
          <w:kern w:val="0"/>
          <w:sz w:val="28"/>
          <w:szCs w:val="28"/>
          <w:rtl/>
          <w14:ligatures w14:val="none"/>
        </w:rPr>
        <w:t>التحول الرقمي المدعوم بالذكاء الاصطناعي بأنه العملية الاستراتيجية الشاملة التي تدمج من خلالها المنظمات تقنيات الذكاء الاصطناعي في جميع جوانب أعمالها لإعادة تشكيل نماذجها التشغيلية والقيمة المقدمة لأصحاب المصلحة، بما يتجاوز الرقمنة التقليدية إلى إعادة هندسةٍ جوهريةٍ للعمليات والعلاقات المؤسسية</w:t>
      </w:r>
      <w:r w:rsidRPr="00CC60C6">
        <w:rPr>
          <w:rFonts w:ascii="Simplified Arabic" w:eastAsia="Times New Roman" w:hAnsi="Simplified Arabic" w:cs="Simplified Arabic"/>
          <w:kern w:val="0"/>
          <w:sz w:val="28"/>
          <w:szCs w:val="28"/>
          <w14:ligatures w14:val="none"/>
        </w:rPr>
        <w:t>.</w:t>
      </w:r>
    </w:p>
    <w:p w14:paraId="64100D43"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lastRenderedPageBreak/>
        <w:t>ويطرح</w:t>
      </w:r>
      <w:r w:rsidRPr="00CC60C6">
        <w:rPr>
          <w:rFonts w:ascii="Simplified Arabic" w:eastAsia="Times New Roman" w:hAnsi="Simplified Arabic" w:cs="Simplified Arabic"/>
          <w:kern w:val="0"/>
          <w:sz w:val="28"/>
          <w:szCs w:val="28"/>
          <w14:ligatures w14:val="none"/>
        </w:rPr>
        <w:t xml:space="preserve"> Kotte et al. (2025) </w:t>
      </w:r>
      <w:r w:rsidRPr="00CC60C6">
        <w:rPr>
          <w:rFonts w:ascii="Simplified Arabic" w:eastAsia="Times New Roman" w:hAnsi="Simplified Arabic" w:cs="Simplified Arabic"/>
          <w:kern w:val="0"/>
          <w:sz w:val="28"/>
          <w:szCs w:val="28"/>
          <w:rtl/>
          <w14:ligatures w14:val="none"/>
        </w:rPr>
        <w:t>منظوراً مختلفاً حين ينظر إلى المفهوم من زاوية تكامل تحسين العمليات والأتمتة، مؤكداً أن التحول الرقمي المدعوم بالذكاء الاصطناعي يُمثّل مساراً منهجياً يجمع بين إعادة تصميم العمليات وتوظيف التقنيات الذكية لتحقيق قفزةٍ نوعيةٍ في الأداء، وهو ما يُميّزه عن مبادرات الرقمنة الجزئية التي اقتصرت في مراحل سابقة على أتمتة المهام الروتينية دون إحداث تحولٍ جذريٍّ في نموذج الأعمال</w:t>
      </w:r>
      <w:r w:rsidRPr="00CC60C6">
        <w:rPr>
          <w:rFonts w:ascii="Simplified Arabic" w:eastAsia="Times New Roman" w:hAnsi="Simplified Arabic" w:cs="Simplified Arabic"/>
          <w:kern w:val="0"/>
          <w:sz w:val="28"/>
          <w:szCs w:val="28"/>
          <w14:ligatures w14:val="none"/>
        </w:rPr>
        <w:t>.</w:t>
      </w:r>
    </w:p>
    <w:p w14:paraId="56D9AE43"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ومن زاويةٍ استراتيجيةٍ أعمق، يرى</w:t>
      </w:r>
      <w:r w:rsidRPr="00CC60C6">
        <w:rPr>
          <w:rFonts w:ascii="Simplified Arabic" w:eastAsia="Times New Roman" w:hAnsi="Simplified Arabic" w:cs="Simplified Arabic"/>
          <w:kern w:val="0"/>
          <w:sz w:val="28"/>
          <w:szCs w:val="28"/>
          <w14:ligatures w14:val="none"/>
        </w:rPr>
        <w:t xml:space="preserve"> Suljic (2025) </w:t>
      </w:r>
      <w:r w:rsidRPr="00CC60C6">
        <w:rPr>
          <w:rFonts w:ascii="Simplified Arabic" w:eastAsia="Times New Roman" w:hAnsi="Simplified Arabic" w:cs="Simplified Arabic"/>
          <w:kern w:val="0"/>
          <w:sz w:val="28"/>
          <w:szCs w:val="28"/>
          <w:rtl/>
          <w14:ligatures w14:val="none"/>
        </w:rPr>
        <w:t>أن التحول الرقمي المدعوم بالذكاء الاصطناعي منظومةٌ متكاملةٌ تجمع بين الحوكمة الأخلاقية للتقنية وإدارة الابتكار والممارسات المستدامة، بحيث يتحول من مجرد تبنٍّ تقنيٍّ إلى فلسفةٍ إداريةٍ شاملةٍ تُوجّه المنظمة نحو التميّز المؤسسي بأبعاده المتعددة. وفي السياق ذاته، يُقدّم</w:t>
      </w:r>
      <w:r w:rsidRPr="00CC60C6">
        <w:rPr>
          <w:rFonts w:ascii="Simplified Arabic" w:eastAsia="Times New Roman" w:hAnsi="Simplified Arabic" w:cs="Simplified Arabic"/>
          <w:kern w:val="0"/>
          <w:sz w:val="28"/>
          <w:szCs w:val="28"/>
          <w14:ligatures w14:val="none"/>
        </w:rPr>
        <w:t xml:space="preserve"> Fenwick et al. (2024) </w:t>
      </w:r>
      <w:r w:rsidRPr="00CC60C6">
        <w:rPr>
          <w:rFonts w:ascii="Simplified Arabic" w:eastAsia="Times New Roman" w:hAnsi="Simplified Arabic" w:cs="Simplified Arabic"/>
          <w:kern w:val="0"/>
          <w:sz w:val="28"/>
          <w:szCs w:val="28"/>
          <w:rtl/>
          <w14:ligatures w14:val="none"/>
        </w:rPr>
        <w:t>رؤيةً تتمحور حول الإنسان، إذ يرون أن التحول الرقمي المدعوم بالذكاء الاصطناعي عمليةٌ سوسيو-تقنيةٌ تتجاوز البُعد التكنولوجي الضيّق لتشمل تحولاً جوهرياً في ممارسات إدارة الموارد البشرية وثقافة المنظمة، بحيث يصبح الإنسان محور التصميم والتطبيق لا مجرد مستخدمٍ للتقنية</w:t>
      </w:r>
      <w:r w:rsidRPr="00CC60C6">
        <w:rPr>
          <w:rFonts w:ascii="Simplified Arabic" w:eastAsia="Times New Roman" w:hAnsi="Simplified Arabic" w:cs="Simplified Arabic"/>
          <w:kern w:val="0"/>
          <w:sz w:val="28"/>
          <w:szCs w:val="28"/>
          <w14:ligatures w14:val="none"/>
        </w:rPr>
        <w:t>.</w:t>
      </w:r>
    </w:p>
    <w:p w14:paraId="77FF21E5"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ومن منظورٍ تسويقيٍّ، يُعرّف</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Go</w:t>
      </w:r>
      <w:r w:rsidRPr="00CC60C6">
        <w:rPr>
          <w:rFonts w:ascii="Cambria" w:eastAsia="Times New Roman" w:hAnsi="Cambria" w:cs="Cambria"/>
          <w:kern w:val="0"/>
          <w:sz w:val="28"/>
          <w:szCs w:val="28"/>
          <w14:ligatures w14:val="none"/>
        </w:rPr>
        <w:t>łą</w:t>
      </w:r>
      <w:r w:rsidRPr="00CC60C6">
        <w:rPr>
          <w:rFonts w:ascii="Simplified Arabic" w:eastAsia="Times New Roman" w:hAnsi="Simplified Arabic" w:cs="Simplified Arabic"/>
          <w:kern w:val="0"/>
          <w:sz w:val="28"/>
          <w:szCs w:val="28"/>
          <w14:ligatures w14:val="none"/>
        </w:rPr>
        <w:t>b-Andrzejak</w:t>
      </w:r>
      <w:proofErr w:type="spellEnd"/>
      <w:r w:rsidRPr="00CC60C6">
        <w:rPr>
          <w:rFonts w:ascii="Simplified Arabic" w:eastAsia="Times New Roman" w:hAnsi="Simplified Arabic" w:cs="Simplified Arabic"/>
          <w:kern w:val="0"/>
          <w:sz w:val="28"/>
          <w:szCs w:val="28"/>
          <w14:ligatures w14:val="none"/>
        </w:rPr>
        <w:t xml:space="preserve"> (2023) </w:t>
      </w:r>
      <w:r w:rsidRPr="00CC60C6">
        <w:rPr>
          <w:rFonts w:ascii="Simplified Arabic" w:eastAsia="Times New Roman" w:hAnsi="Simplified Arabic" w:cs="Simplified Arabic"/>
          <w:kern w:val="0"/>
          <w:sz w:val="28"/>
          <w:szCs w:val="28"/>
          <w:rtl/>
          <w14:ligatures w14:val="none"/>
        </w:rPr>
        <w:t>هذا التحول بأنه توظيفٌ استراتيجيٌّ للأدوات الذكية في إعادة تشكيل تجربة العميل والقنوات التسويقية والعمليات التجارية، بما يُتيح للمنظمات تقديم قيمةٍ مضافةٍ متجددةٍ في بيئةٍ رقميةٍ شديدة التنافس. وعلى الصعيد العربي، تُشير حامد (2025) إلى أن التحول الرقمي المدعوم بالذكاء الاصطناعي عمليةُ تكاملٍ منهجيٍّ بين التقنيات الذكية والعمليات الإنتاجية والتشغيلية بهدف رفع الكفاءة وتعزيز الإنتاجية، مع مراعاة الأبعاد التنظيمية والبشرية المرتبطة بهذا التحول</w:t>
      </w:r>
      <w:r w:rsidRPr="00CC60C6">
        <w:rPr>
          <w:rFonts w:ascii="Simplified Arabic" w:eastAsia="Times New Roman" w:hAnsi="Simplified Arabic" w:cs="Simplified Arabic"/>
          <w:kern w:val="0"/>
          <w:sz w:val="28"/>
          <w:szCs w:val="28"/>
          <w14:ligatures w14:val="none"/>
        </w:rPr>
        <w:t>.</w:t>
      </w:r>
    </w:p>
    <w:p w14:paraId="11C43B1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ويقدّم أمزربه (2024) رؤيةً إضافيةً حين يعتبر التحول الرقمي منظومةً استراتيجيةً وثقافيةً تتضمن تبنّي التقنيات الرقمية وبناء ثقافةٍ رقميةٍ داعمةٍ وصياغة استراتيجيةٍ رقميةٍ متكاملةٍ وإعادة تصميم تجربة العملاء الرقمية. في حين يرى برحومة وحابي (2023) أن التحول الرقمي عمليةٌ ممتدةٌ تُعيد تشكيل الممارسات المهنية والمحاسبية والإدارية داخل المنظمة من خلال توظيف التقنيات الرقمية الحديثة</w:t>
      </w:r>
      <w:r w:rsidRPr="00CC60C6">
        <w:rPr>
          <w:rFonts w:ascii="Simplified Arabic" w:eastAsia="Times New Roman" w:hAnsi="Simplified Arabic" w:cs="Simplified Arabic"/>
          <w:kern w:val="0"/>
          <w:sz w:val="28"/>
          <w:szCs w:val="28"/>
          <w14:ligatures w14:val="none"/>
        </w:rPr>
        <w:t>.</w:t>
      </w:r>
    </w:p>
    <w:p w14:paraId="301AABCE"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رأي الباحث</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 xml:space="preserve">بعد استعراض التعريفات السابقة، يرى الباحث أن التحول الرقمي المدعوم بالذكاء الاصطناعي هو </w:t>
      </w:r>
      <w:r w:rsidRPr="00CC60C6">
        <w:rPr>
          <w:rFonts w:ascii="Simplified Arabic" w:eastAsia="Times New Roman" w:hAnsi="Simplified Arabic" w:cs="Simplified Arabic"/>
          <w:b/>
          <w:bCs/>
          <w:kern w:val="0"/>
          <w:sz w:val="28"/>
          <w:szCs w:val="28"/>
          <w:rtl/>
          <w14:ligatures w14:val="none"/>
        </w:rPr>
        <w:t>منظومةٌ استراتيجيةٌ متكاملةٌ تُوظّف من خلالها المنظمة تقنيات الذكاء الاصطناعي والتعلم الآلي وتحليل البيانات الضخمة والأتمتة الذكية، ضمن بنيةٍ تحتيةٍ رقميةٍ متقدمةٍ وقيادةٍ رقميةٍ واعيةٍ وثقافةٍ تنظيميةٍ داعمةٍ، بهدف إعادة تشكيل نماذج الأعمال والعمليات التشغيلية وتعزيز القدرة على اتخاذ القرارات الاستراتيجية وتحقيق قيمةٍ مضافةٍ مستدامةٍ لجميع أصحاب المصلحة</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 xml:space="preserve">ويتميّز هذا التعريف بجمعه بين الأبعاد </w:t>
      </w:r>
      <w:r w:rsidRPr="00CC60C6">
        <w:rPr>
          <w:rFonts w:ascii="Simplified Arabic" w:eastAsia="Times New Roman" w:hAnsi="Simplified Arabic" w:cs="Simplified Arabic"/>
          <w:kern w:val="0"/>
          <w:sz w:val="28"/>
          <w:szCs w:val="28"/>
          <w:rtl/>
          <w14:ligatures w14:val="none"/>
        </w:rPr>
        <w:lastRenderedPageBreak/>
        <w:t>التقنية والاستراتيجية والبشرية والثقافية، بما يعكس الطبيعة المركبة لهذا التحول في السياق التطبيقي للصناديق الاستثمارية السيادية</w:t>
      </w:r>
      <w:r w:rsidRPr="00CC60C6">
        <w:rPr>
          <w:rFonts w:ascii="Simplified Arabic" w:eastAsia="Times New Roman" w:hAnsi="Simplified Arabic" w:cs="Simplified Arabic"/>
          <w:kern w:val="0"/>
          <w:sz w:val="28"/>
          <w:szCs w:val="28"/>
          <w14:ligatures w14:val="none"/>
        </w:rPr>
        <w:t>.</w:t>
      </w:r>
    </w:p>
    <w:p w14:paraId="0A3DD342" w14:textId="3129EEF4"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7" w:name="_Toc234293325"/>
      <w:r>
        <w:rPr>
          <w:rFonts w:ascii="Simplified Arabic" w:eastAsia="Times New Roman" w:hAnsi="Simplified Arabic" w:cs="Simplified Arabic" w:hint="cs"/>
          <w:b/>
          <w:bCs/>
          <w:kern w:val="0"/>
          <w:sz w:val="36"/>
          <w:szCs w:val="36"/>
          <w:rtl/>
          <w14:ligatures w14:val="none"/>
        </w:rPr>
        <w:t xml:space="preserve">3.1.2 </w:t>
      </w:r>
      <w:r w:rsidR="005C64B5" w:rsidRPr="001144E0">
        <w:rPr>
          <w:rFonts w:ascii="Simplified Arabic" w:eastAsia="Times New Roman" w:hAnsi="Simplified Arabic" w:cs="Simplified Arabic"/>
          <w:b/>
          <w:bCs/>
          <w:kern w:val="0"/>
          <w:sz w:val="36"/>
          <w:szCs w:val="36"/>
          <w:rtl/>
          <w14:ligatures w14:val="none"/>
        </w:rPr>
        <w:t>ثانياً: أهمية التحول الرقمي المدعوم بالذكاء الاصطناعي</w:t>
      </w:r>
      <w:bookmarkEnd w:id="37"/>
    </w:p>
    <w:p w14:paraId="00DE412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تتصاعد أهمية التحول الرقمي المدعوم بالذكاء الاصطناعي في بيئة الأعمال المعاصرة بوصفه رافعةً استراتيجيةً محوريةً تُمكّن المنظمات من مواكبة التحولات المتسارعة وبناء ميزةٍ تنافسيةٍ مستدامة. وقد أفضى التقاطع بين النمو المتسارع للبيانات والقدرات الحاسوبية المتقدمة وتطور خوارزميات التعلم الآلي إلى بروز الذكاء الاصطناعي بوصفه القوة الدافعة الأبرز لعمليات التحول الرقمي، مما يستدعي فهماً معمقاً لأهميته على المستويين الاستراتيجي والتشغيلي</w:t>
      </w:r>
      <w:r w:rsidRPr="00CC60C6">
        <w:rPr>
          <w:rFonts w:ascii="Simplified Arabic" w:eastAsia="Times New Roman" w:hAnsi="Simplified Arabic" w:cs="Simplified Arabic"/>
          <w:kern w:val="0"/>
          <w:sz w:val="28"/>
          <w:szCs w:val="28"/>
          <w14:ligatures w14:val="none"/>
        </w:rPr>
        <w:t>.</w:t>
      </w:r>
    </w:p>
    <w:p w14:paraId="69763528"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ويشير</w:t>
      </w:r>
      <w:r w:rsidRPr="00CC60C6">
        <w:rPr>
          <w:rFonts w:ascii="Simplified Arabic" w:eastAsia="Times New Roman" w:hAnsi="Simplified Arabic" w:cs="Simplified Arabic"/>
          <w:kern w:val="0"/>
          <w:sz w:val="28"/>
          <w:szCs w:val="28"/>
          <w14:ligatures w14:val="none"/>
        </w:rPr>
        <w:t xml:space="preserve"> Sposato &amp; Dittmar (2026) </w:t>
      </w:r>
      <w:r w:rsidRPr="00CC60C6">
        <w:rPr>
          <w:rFonts w:ascii="Simplified Arabic" w:eastAsia="Times New Roman" w:hAnsi="Simplified Arabic" w:cs="Simplified Arabic"/>
          <w:kern w:val="0"/>
          <w:sz w:val="28"/>
          <w:szCs w:val="28"/>
          <w:rtl/>
          <w14:ligatures w14:val="none"/>
        </w:rPr>
        <w:t>إلى أن أهمية التحول الرقمي المدعوم بالذكاء الاصطناعي تتجلى في عدة محاور، أبرزها: أولاً، إعادة تشكيل نماذج القيادة التقليدية بما يُمكّن القادة من التعامل مع بيئات الأعمال المعقدة والمتغيرة، حيث يُوفّر الذكاء الاصطناعي أدواتٍ متقدمةً لدعم القرار الاستراتيجي واستشراف المستقبل. ثانياً، تعزيز القدرات التنظيمية على التكيف والابتكار من خلال تحليل البيانات الضخمة واكتشاف الأنماط والفرص التي تعجز الأساليب التقليدية عن رصدها. ثالثاً، تطوير رأس المال البشري وبناء كفاءاتٍ قياديةٍ جديدةٍ تجمع بين الفهم التقني والذكاء العاطفي والحس الأخلاقي، بما يستجيب لمتطلبات عصر الذكاء الاصطناعي</w:t>
      </w:r>
      <w:r w:rsidRPr="00CC60C6">
        <w:rPr>
          <w:rFonts w:ascii="Simplified Arabic" w:eastAsia="Times New Roman" w:hAnsi="Simplified Arabic" w:cs="Simplified Arabic"/>
          <w:kern w:val="0"/>
          <w:sz w:val="28"/>
          <w:szCs w:val="28"/>
          <w14:ligatures w14:val="none"/>
        </w:rPr>
        <w:t>.</w:t>
      </w:r>
    </w:p>
    <w:p w14:paraId="76E21E04"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ويرى</w:t>
      </w:r>
      <w:r w:rsidRPr="00CC60C6">
        <w:rPr>
          <w:rFonts w:ascii="Simplified Arabic" w:eastAsia="Times New Roman" w:hAnsi="Simplified Arabic" w:cs="Simplified Arabic"/>
          <w:kern w:val="0"/>
          <w:sz w:val="28"/>
          <w:szCs w:val="28"/>
          <w14:ligatures w14:val="none"/>
        </w:rPr>
        <w:t xml:space="preserve"> Kotte et al. (2025) </w:t>
      </w:r>
      <w:r w:rsidRPr="00CC60C6">
        <w:rPr>
          <w:rFonts w:ascii="Simplified Arabic" w:eastAsia="Times New Roman" w:hAnsi="Simplified Arabic" w:cs="Simplified Arabic"/>
          <w:kern w:val="0"/>
          <w:sz w:val="28"/>
          <w:szCs w:val="28"/>
          <w:rtl/>
          <w14:ligatures w14:val="none"/>
        </w:rPr>
        <w:t>أن أهمية التحول الرقمي المدعوم بالذكاء الاصطناعي تتضح في: أولاً، إحداث تحسينٍ جوهريٍّ في كفاءة العمليات من خلال دمج الأتمتة الذكية بأساليب تحسين العمليات، مما يُقلّل الهدر ويرفع الإنتاجية. ثانياً، تمكين المنظمات من الاستجابة السريعة للمتغيرات السوقية عبر أنظمةٍ ذكيةٍ قادرةٍ على التكيف الذاتي. ثالثاً، دعم اتخاذ القرارات المبنية على البيانات بدلاً من الحدس والخبرة الفردية، مما يُعزّز موضوعية القرارات ودقتها</w:t>
      </w:r>
      <w:r w:rsidRPr="00CC60C6">
        <w:rPr>
          <w:rFonts w:ascii="Simplified Arabic" w:eastAsia="Times New Roman" w:hAnsi="Simplified Arabic" w:cs="Simplified Arabic"/>
          <w:kern w:val="0"/>
          <w:sz w:val="28"/>
          <w:szCs w:val="28"/>
          <w14:ligatures w14:val="none"/>
        </w:rPr>
        <w:t>.</w:t>
      </w:r>
    </w:p>
    <w:p w14:paraId="5BA666A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ويُبرز</w:t>
      </w:r>
      <w:r w:rsidRPr="00CC60C6">
        <w:rPr>
          <w:rFonts w:ascii="Simplified Arabic" w:eastAsia="Times New Roman" w:hAnsi="Simplified Arabic" w:cs="Simplified Arabic"/>
          <w:kern w:val="0"/>
          <w:sz w:val="28"/>
          <w:szCs w:val="28"/>
          <w14:ligatures w14:val="none"/>
        </w:rPr>
        <w:t xml:space="preserve"> Suljic (2025) </w:t>
      </w:r>
      <w:r w:rsidRPr="00CC60C6">
        <w:rPr>
          <w:rFonts w:ascii="Simplified Arabic" w:eastAsia="Times New Roman" w:hAnsi="Simplified Arabic" w:cs="Simplified Arabic"/>
          <w:kern w:val="0"/>
          <w:sz w:val="28"/>
          <w:szCs w:val="28"/>
          <w:rtl/>
          <w14:ligatures w14:val="none"/>
        </w:rPr>
        <w:t xml:space="preserve">أهميةً استراتيجيةً إضافيةً للتحول الرقمي المدعوم بالذكاء الاصطناعي تتمثل في: أولاً، تعزيز الحوكمة الأخلاقية للتقنية بما يضمن توظيف الذكاء الاصطناعي في خدمة المصلحة العامة وحماية حقوق أصحاب المصلحة. ثانياً، دعم إدارة الابتكار المؤسسي من خلال توفير منصاتٍ ذكيةٍ لاكتشاف الأفكار </w:t>
      </w:r>
      <w:r w:rsidRPr="00CC60C6">
        <w:rPr>
          <w:rFonts w:ascii="Simplified Arabic" w:eastAsia="Times New Roman" w:hAnsi="Simplified Arabic" w:cs="Simplified Arabic"/>
          <w:kern w:val="0"/>
          <w:sz w:val="28"/>
          <w:szCs w:val="28"/>
          <w:rtl/>
          <w14:ligatures w14:val="none"/>
        </w:rPr>
        <w:lastRenderedPageBreak/>
        <w:t>وتقييمها وتحويلها إلى منتجاتٍ وخدماتٍ ذات قيمةٍ مضافة. ثالثاً، تعزيز الممارسات المستدامة من خلال تحسين كفاءة استهلاك الموارد وتقليل الأثر البيئي</w:t>
      </w:r>
      <w:r w:rsidRPr="00CC60C6">
        <w:rPr>
          <w:rFonts w:ascii="Simplified Arabic" w:eastAsia="Times New Roman" w:hAnsi="Simplified Arabic" w:cs="Simplified Arabic"/>
          <w:kern w:val="0"/>
          <w:sz w:val="28"/>
          <w:szCs w:val="28"/>
          <w14:ligatures w14:val="none"/>
        </w:rPr>
        <w:t>.</w:t>
      </w:r>
    </w:p>
    <w:p w14:paraId="19BC0CFA"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ويُضيف</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Go</w:t>
      </w:r>
      <w:r w:rsidRPr="00CC60C6">
        <w:rPr>
          <w:rFonts w:ascii="Cambria" w:eastAsia="Times New Roman" w:hAnsi="Cambria" w:cs="Cambria"/>
          <w:kern w:val="0"/>
          <w:sz w:val="28"/>
          <w:szCs w:val="28"/>
          <w14:ligatures w14:val="none"/>
        </w:rPr>
        <w:t>łą</w:t>
      </w:r>
      <w:r w:rsidRPr="00CC60C6">
        <w:rPr>
          <w:rFonts w:ascii="Simplified Arabic" w:eastAsia="Times New Roman" w:hAnsi="Simplified Arabic" w:cs="Simplified Arabic"/>
          <w:kern w:val="0"/>
          <w:sz w:val="28"/>
          <w:szCs w:val="28"/>
          <w14:ligatures w14:val="none"/>
        </w:rPr>
        <w:t>b-Andrzejak</w:t>
      </w:r>
      <w:proofErr w:type="spellEnd"/>
      <w:r w:rsidRPr="00CC60C6">
        <w:rPr>
          <w:rFonts w:ascii="Simplified Arabic" w:eastAsia="Times New Roman" w:hAnsi="Simplified Arabic" w:cs="Simplified Arabic"/>
          <w:kern w:val="0"/>
          <w:sz w:val="28"/>
          <w:szCs w:val="28"/>
          <w14:ligatures w14:val="none"/>
        </w:rPr>
        <w:t xml:space="preserve"> (2023) </w:t>
      </w:r>
      <w:r w:rsidRPr="00CC60C6">
        <w:rPr>
          <w:rFonts w:ascii="Simplified Arabic" w:eastAsia="Times New Roman" w:hAnsi="Simplified Arabic" w:cs="Simplified Arabic"/>
          <w:kern w:val="0"/>
          <w:sz w:val="28"/>
          <w:szCs w:val="28"/>
          <w:rtl/>
          <w14:ligatures w14:val="none"/>
        </w:rPr>
        <w:t>بُعداً تسويقياً وتجارياً لأهمية التحول الرقمي المدعوم بالذكاء الاصطناعي، حيث يمكّن المنظمات من: أولاً، فهمٍ أعمق لسلوك العملاء واحتياجاتهم من خلال تحليل البيانات السلوكية والتفاعلية. ثانياً، تخصيص العروض والخدمات وفقاً للتفضيلات الفردية بما يُعزّز رضا العملاء وولاءهم. ثالثاً، تحسين كفاءة الحملات التسويقية وتقليل تكلفتها من خلال الاستهداف الذكي</w:t>
      </w:r>
      <w:r w:rsidRPr="00CC60C6">
        <w:rPr>
          <w:rFonts w:ascii="Simplified Arabic" w:eastAsia="Times New Roman" w:hAnsi="Simplified Arabic" w:cs="Simplified Arabic"/>
          <w:kern w:val="0"/>
          <w:sz w:val="28"/>
          <w:szCs w:val="28"/>
          <w14:ligatures w14:val="none"/>
        </w:rPr>
        <w:t>.</w:t>
      </w:r>
    </w:p>
    <w:p w14:paraId="5E4A882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وترى حسين (2025) أن أهمية أنظمة الذكاء الاصطناعي تتجلى في اللوجيستيات المالية من خلال: أولاً، تحسين إدارة المخاطر المالية والاستثمارية عبر النماذج التنبؤية المتقدمة. ثانياً، أتمتة العمليات المالية المعقدة بما يُقلّل الأخطاء البشرية ويُسرّع الإنجاز. ثالثاً، تعزيز الشفافية والحوكمة المالية عبر أنظمة تتبعٍ ذكيةٍ قادرةٍ على رصد الأنماط غير المألوفة</w:t>
      </w:r>
      <w:r w:rsidRPr="00CC60C6">
        <w:rPr>
          <w:rFonts w:ascii="Simplified Arabic" w:eastAsia="Times New Roman" w:hAnsi="Simplified Arabic" w:cs="Simplified Arabic"/>
          <w:kern w:val="0"/>
          <w:sz w:val="28"/>
          <w:szCs w:val="28"/>
          <w14:ligatures w14:val="none"/>
        </w:rPr>
        <w:t>.</w:t>
      </w:r>
    </w:p>
    <w:p w14:paraId="6C56C00C"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ويُضيف أبو يوسف وخاطر (2025) بُعداً ماليّاً حين يُبرزان أهمية التحول الرقمي في تحسين أداء العمليات المالية عبر رفع دقة التقارير المالية وسرعة إنجازها وتخفيض تكاليف العمليات وتعزيز منظومة الأمن السيبراني لحماية البيانات المالية</w:t>
      </w:r>
      <w:r w:rsidRPr="00CC60C6">
        <w:rPr>
          <w:rFonts w:ascii="Simplified Arabic" w:eastAsia="Times New Roman" w:hAnsi="Simplified Arabic" w:cs="Simplified Arabic"/>
          <w:kern w:val="0"/>
          <w:sz w:val="28"/>
          <w:szCs w:val="28"/>
          <w14:ligatures w14:val="none"/>
        </w:rPr>
        <w:t>.</w:t>
      </w:r>
    </w:p>
    <w:p w14:paraId="571271D0" w14:textId="77777777" w:rsidR="005C64B5"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CC60C6">
        <w:rPr>
          <w:rFonts w:ascii="Simplified Arabic" w:eastAsia="Times New Roman" w:hAnsi="Simplified Arabic" w:cs="Simplified Arabic"/>
          <w:b/>
          <w:bCs/>
          <w:kern w:val="0"/>
          <w:sz w:val="28"/>
          <w:szCs w:val="28"/>
          <w:rtl/>
          <w14:ligatures w14:val="none"/>
        </w:rPr>
        <w:t>رأي الباحث</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يتّضح مما سبق أن أهمية التحول الرقمي المدعوم بالذكاء الاصطناعي تتسم بالشمولية والتعدد، إذ تمتد من المستوى التشغيلي إلى المستوى الاستراتيجي، ومن الأبعاد التقنية إلى الأبعاد البشرية والثقافية، ومن الوظائف الداخلية إلى العلاقات الخارجية مع أصحاب المصلحة. وتبرز هذه الأهمية بشكلٍ خاصٍّ في الصناديق السيادية الاستثمارية التي تتعامل مع بياناتٍ ماليةٍ ضخمةٍ ومحافظ استثماريةٍ متشعبةٍ تتطلب قدراتٍ تحليليةٍ متقدمةٍ لا تُوفّرها إلا التقنيات الذكية</w:t>
      </w:r>
      <w:r w:rsidRPr="00CC60C6">
        <w:rPr>
          <w:rFonts w:ascii="Simplified Arabic" w:eastAsia="Times New Roman" w:hAnsi="Simplified Arabic" w:cs="Simplified Arabic"/>
          <w:kern w:val="0"/>
          <w:sz w:val="28"/>
          <w:szCs w:val="28"/>
          <w14:ligatures w14:val="none"/>
        </w:rPr>
        <w:t>.</w:t>
      </w:r>
    </w:p>
    <w:p w14:paraId="4A35C01F" w14:textId="0B184CBE" w:rsidR="001144E0" w:rsidRDefault="001144E0">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79A5104D" w14:textId="1C40C5E9"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8" w:name="_Toc234293326"/>
      <w:r>
        <w:rPr>
          <w:rFonts w:ascii="Simplified Arabic" w:eastAsia="Times New Roman" w:hAnsi="Simplified Arabic" w:cs="Simplified Arabic" w:hint="cs"/>
          <w:b/>
          <w:bCs/>
          <w:kern w:val="0"/>
          <w:sz w:val="36"/>
          <w:szCs w:val="36"/>
          <w:rtl/>
          <w14:ligatures w14:val="none"/>
        </w:rPr>
        <w:lastRenderedPageBreak/>
        <w:t xml:space="preserve">4.1.2 </w:t>
      </w:r>
      <w:r w:rsidR="005C64B5" w:rsidRPr="001144E0">
        <w:rPr>
          <w:rFonts w:ascii="Simplified Arabic" w:eastAsia="Times New Roman" w:hAnsi="Simplified Arabic" w:cs="Simplified Arabic"/>
          <w:b/>
          <w:bCs/>
          <w:kern w:val="0"/>
          <w:sz w:val="36"/>
          <w:szCs w:val="36"/>
          <w:rtl/>
          <w14:ligatures w14:val="none"/>
        </w:rPr>
        <w:t>ثالثاً: أهداف التحول الرقمي المدعوم بالذكاء الاصطناعي</w:t>
      </w:r>
      <w:bookmarkEnd w:id="38"/>
    </w:p>
    <w:p w14:paraId="4C6F4EB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تتنوع الأهداف التي تسعى المنظمات إلى تحقيقها من خلال تبنّي التحول الرقمي المدعوم بالذكاء الاصطناعي، وقد تناول الباحثون هذه الأهداف من زوايا متعددة. ويُلخّص</w:t>
      </w:r>
      <w:r w:rsidRPr="00CC60C6">
        <w:rPr>
          <w:rFonts w:ascii="Simplified Arabic" w:eastAsia="Times New Roman" w:hAnsi="Simplified Arabic" w:cs="Simplified Arabic"/>
          <w:kern w:val="0"/>
          <w:sz w:val="28"/>
          <w:szCs w:val="28"/>
          <w14:ligatures w14:val="none"/>
        </w:rPr>
        <w:t xml:space="preserve"> Fenwick et al. (2024) </w:t>
      </w:r>
      <w:r w:rsidRPr="00CC60C6">
        <w:rPr>
          <w:rFonts w:ascii="Simplified Arabic" w:eastAsia="Times New Roman" w:hAnsi="Simplified Arabic" w:cs="Simplified Arabic"/>
          <w:kern w:val="0"/>
          <w:sz w:val="28"/>
          <w:szCs w:val="28"/>
          <w:rtl/>
          <w14:ligatures w14:val="none"/>
        </w:rPr>
        <w:t>الأهداف الجوهرية في النقاط الآتية</w:t>
      </w:r>
      <w:r w:rsidRPr="00CC60C6">
        <w:rPr>
          <w:rFonts w:ascii="Simplified Arabic" w:eastAsia="Times New Roman" w:hAnsi="Simplified Arabic" w:cs="Simplified Arabic"/>
          <w:kern w:val="0"/>
          <w:sz w:val="28"/>
          <w:szCs w:val="28"/>
          <w14:ligatures w14:val="none"/>
        </w:rPr>
        <w:t>:</w:t>
      </w:r>
    </w:p>
    <w:p w14:paraId="652B75F4"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الانتقال من التطبيق التقني للذكاء الاصطناعي إلى التبنّي المتمحور حول الإنسان بما يضمن التوازن بين قدرات الآلة والقيمة الإنسانية</w:t>
      </w:r>
      <w:r w:rsidRPr="001144E0">
        <w:rPr>
          <w:rFonts w:ascii="Simplified Arabic" w:eastAsia="Times New Roman" w:hAnsi="Simplified Arabic" w:cs="Simplified Arabic"/>
          <w:kern w:val="0"/>
          <w:sz w:val="28"/>
          <w:szCs w:val="28"/>
          <w14:ligatures w14:val="none"/>
        </w:rPr>
        <w:t>.</w:t>
      </w:r>
    </w:p>
    <w:p w14:paraId="4F5909AD"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إعادة تصميم وظائف الموارد البشرية لتتلاءم مع متطلبات عصر الذكاء الاصطناعي</w:t>
      </w:r>
      <w:r w:rsidRPr="001144E0">
        <w:rPr>
          <w:rFonts w:ascii="Simplified Arabic" w:eastAsia="Times New Roman" w:hAnsi="Simplified Arabic" w:cs="Simplified Arabic"/>
          <w:kern w:val="0"/>
          <w:sz w:val="28"/>
          <w:szCs w:val="28"/>
          <w14:ligatures w14:val="none"/>
        </w:rPr>
        <w:t>.</w:t>
      </w:r>
    </w:p>
    <w:p w14:paraId="25D50B3D"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بناء منظومةٍ تنظيميةٍ قادرةٍ على استيعاب التقنيات الذكية وتوظيفها في تحقيق الأهداف الاستراتيجية</w:t>
      </w:r>
      <w:r w:rsidRPr="001144E0">
        <w:rPr>
          <w:rFonts w:ascii="Simplified Arabic" w:eastAsia="Times New Roman" w:hAnsi="Simplified Arabic" w:cs="Simplified Arabic"/>
          <w:kern w:val="0"/>
          <w:sz w:val="28"/>
          <w:szCs w:val="28"/>
          <w14:ligatures w14:val="none"/>
        </w:rPr>
        <w:t>.</w:t>
      </w:r>
    </w:p>
    <w:p w14:paraId="791CF162"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تعزيز رأس المال المعرفي والابتكاري للمنظمة</w:t>
      </w:r>
      <w:r w:rsidRPr="001144E0">
        <w:rPr>
          <w:rFonts w:ascii="Simplified Arabic" w:eastAsia="Times New Roman" w:hAnsi="Simplified Arabic" w:cs="Simplified Arabic"/>
          <w:kern w:val="0"/>
          <w:sz w:val="28"/>
          <w:szCs w:val="28"/>
          <w14:ligatures w14:val="none"/>
        </w:rPr>
        <w:t>.</w:t>
      </w:r>
    </w:p>
    <w:p w14:paraId="66652EB7"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ويطرح هني وشاشوة (2026) أهدافاً اقتصاديةً كليّةً للتحول الرقمي والذكاء الاصطناعي تشمل</w:t>
      </w:r>
      <w:r w:rsidRPr="001144E0">
        <w:rPr>
          <w:rFonts w:ascii="Simplified Arabic" w:eastAsia="Times New Roman" w:hAnsi="Simplified Arabic" w:cs="Simplified Arabic"/>
          <w:kern w:val="0"/>
          <w:sz w:val="28"/>
          <w:szCs w:val="28"/>
          <w14:ligatures w14:val="none"/>
        </w:rPr>
        <w:t>:</w:t>
      </w:r>
    </w:p>
    <w:p w14:paraId="52BE14E5"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الإسهام في رفع مستوى التعقيد الاقتصادي للدول والقطاعات</w:t>
      </w:r>
      <w:r w:rsidRPr="001144E0">
        <w:rPr>
          <w:rFonts w:ascii="Simplified Arabic" w:eastAsia="Times New Roman" w:hAnsi="Simplified Arabic" w:cs="Simplified Arabic"/>
          <w:kern w:val="0"/>
          <w:sz w:val="28"/>
          <w:szCs w:val="28"/>
          <w14:ligatures w14:val="none"/>
        </w:rPr>
        <w:t>.</w:t>
      </w:r>
    </w:p>
    <w:p w14:paraId="61347D0A"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تنويع القاعدة الاقتصادية وتقليل الاعتماد على القطاعات التقليدية</w:t>
      </w:r>
      <w:r w:rsidRPr="001144E0">
        <w:rPr>
          <w:rFonts w:ascii="Simplified Arabic" w:eastAsia="Times New Roman" w:hAnsi="Simplified Arabic" w:cs="Simplified Arabic"/>
          <w:kern w:val="0"/>
          <w:sz w:val="28"/>
          <w:szCs w:val="28"/>
          <w14:ligatures w14:val="none"/>
        </w:rPr>
        <w:t>.</w:t>
      </w:r>
    </w:p>
    <w:p w14:paraId="35ADDF65"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تعزيز القدرة التنافسية للاقتصادات الوطنية في السوق العالمية</w:t>
      </w:r>
      <w:r w:rsidRPr="001144E0">
        <w:rPr>
          <w:rFonts w:ascii="Simplified Arabic" w:eastAsia="Times New Roman" w:hAnsi="Simplified Arabic" w:cs="Simplified Arabic"/>
          <w:kern w:val="0"/>
          <w:sz w:val="28"/>
          <w:szCs w:val="28"/>
          <w14:ligatures w14:val="none"/>
        </w:rPr>
        <w:t>.</w:t>
      </w:r>
    </w:p>
    <w:p w14:paraId="6A5FFBB5" w14:textId="77777777" w:rsidR="005C64B5" w:rsidRPr="001144E0"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خلق فرص عملٍ نوعيةٍ ذات قيمةٍ مضافةٍ عالية</w:t>
      </w:r>
      <w:r w:rsidRPr="001144E0">
        <w:rPr>
          <w:rFonts w:ascii="Simplified Arabic" w:eastAsia="Times New Roman" w:hAnsi="Simplified Arabic" w:cs="Simplified Arabic"/>
          <w:kern w:val="0"/>
          <w:sz w:val="28"/>
          <w:szCs w:val="28"/>
          <w14:ligatures w14:val="none"/>
        </w:rPr>
        <w:t>.</w:t>
      </w:r>
    </w:p>
    <w:p w14:paraId="7F483CAC" w14:textId="77777777" w:rsidR="005C64B5" w:rsidRPr="001144E0" w:rsidRDefault="005C64B5" w:rsidP="00CC60C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r w:rsidRPr="001144E0">
        <w:rPr>
          <w:rFonts w:ascii="Simplified Arabic" w:eastAsia="Times New Roman" w:hAnsi="Simplified Arabic" w:cs="Simplified Arabic"/>
          <w:b/>
          <w:bCs/>
          <w:kern w:val="0"/>
          <w:sz w:val="28"/>
          <w:szCs w:val="28"/>
          <w:rtl/>
          <w14:ligatures w14:val="none"/>
        </w:rPr>
        <w:t>ويُحدّد</w:t>
      </w:r>
      <w:r w:rsidRPr="001144E0">
        <w:rPr>
          <w:rFonts w:ascii="Simplified Arabic" w:eastAsia="Times New Roman" w:hAnsi="Simplified Arabic" w:cs="Simplified Arabic"/>
          <w:b/>
          <w:bCs/>
          <w:kern w:val="0"/>
          <w:sz w:val="28"/>
          <w:szCs w:val="28"/>
          <w14:ligatures w14:val="none"/>
        </w:rPr>
        <w:t xml:space="preserve"> Suljic (2025) </w:t>
      </w:r>
      <w:r w:rsidRPr="001144E0">
        <w:rPr>
          <w:rFonts w:ascii="Simplified Arabic" w:eastAsia="Times New Roman" w:hAnsi="Simplified Arabic" w:cs="Simplified Arabic"/>
          <w:b/>
          <w:bCs/>
          <w:kern w:val="0"/>
          <w:sz w:val="28"/>
          <w:szCs w:val="28"/>
          <w:rtl/>
          <w14:ligatures w14:val="none"/>
        </w:rPr>
        <w:t>أهدافاً استراتيجيةً للتحول الرقمي المدعوم بالذكاء الاصطناعي تتضمن</w:t>
      </w:r>
      <w:r w:rsidRPr="001144E0">
        <w:rPr>
          <w:rFonts w:ascii="Simplified Arabic" w:eastAsia="Times New Roman" w:hAnsi="Simplified Arabic" w:cs="Simplified Arabic"/>
          <w:b/>
          <w:bCs/>
          <w:kern w:val="0"/>
          <w:sz w:val="28"/>
          <w:szCs w:val="28"/>
          <w14:ligatures w14:val="none"/>
        </w:rPr>
        <w:t>:</w:t>
      </w:r>
    </w:p>
    <w:p w14:paraId="114C7E3C"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تحقيق التكامل بين الحوكمة الأخلاقية للتقنية وإدارة الابتكار</w:t>
      </w:r>
      <w:r w:rsidRPr="00CC60C6">
        <w:rPr>
          <w:rFonts w:ascii="Simplified Arabic" w:eastAsia="Times New Roman" w:hAnsi="Simplified Arabic" w:cs="Simplified Arabic"/>
          <w:kern w:val="0"/>
          <w:sz w:val="28"/>
          <w:szCs w:val="28"/>
          <w14:ligatures w14:val="none"/>
        </w:rPr>
        <w:t>.</w:t>
      </w:r>
    </w:p>
    <w:p w14:paraId="3E937F11"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تعزيز الممارسات المستدامة للمنظمات على المستويين المحلي والعالمي</w:t>
      </w:r>
      <w:r w:rsidRPr="00CC60C6">
        <w:rPr>
          <w:rFonts w:ascii="Simplified Arabic" w:eastAsia="Times New Roman" w:hAnsi="Simplified Arabic" w:cs="Simplified Arabic"/>
          <w:kern w:val="0"/>
          <w:sz w:val="28"/>
          <w:szCs w:val="28"/>
          <w14:ligatures w14:val="none"/>
        </w:rPr>
        <w:t>.</w:t>
      </w:r>
    </w:p>
    <w:p w14:paraId="3B7E7CA7"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بناء ميزةٍ تنافسيةٍ مستدامةٍ للمؤسسات الكبرى والشركات الصغيرة والمتوسطة</w:t>
      </w:r>
      <w:r w:rsidRPr="00CC60C6">
        <w:rPr>
          <w:rFonts w:ascii="Simplified Arabic" w:eastAsia="Times New Roman" w:hAnsi="Simplified Arabic" w:cs="Simplified Arabic"/>
          <w:kern w:val="0"/>
          <w:sz w:val="28"/>
          <w:szCs w:val="28"/>
          <w14:ligatures w14:val="none"/>
        </w:rPr>
        <w:t>.</w:t>
      </w:r>
    </w:p>
    <w:p w14:paraId="7E80E576"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دعم النمو المسؤول والمستدام على المدى الطويل</w:t>
      </w:r>
      <w:r w:rsidRPr="00CC60C6">
        <w:rPr>
          <w:rFonts w:ascii="Simplified Arabic" w:eastAsia="Times New Roman" w:hAnsi="Simplified Arabic" w:cs="Simplified Arabic"/>
          <w:kern w:val="0"/>
          <w:sz w:val="28"/>
          <w:szCs w:val="28"/>
          <w14:ligatures w14:val="none"/>
        </w:rPr>
        <w:t>.</w:t>
      </w:r>
    </w:p>
    <w:p w14:paraId="31EFD50E" w14:textId="77777777" w:rsidR="005C64B5" w:rsidRPr="001144E0" w:rsidRDefault="005C64B5" w:rsidP="00CC60C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r w:rsidRPr="001144E0">
        <w:rPr>
          <w:rFonts w:ascii="Simplified Arabic" w:eastAsia="Times New Roman" w:hAnsi="Simplified Arabic" w:cs="Simplified Arabic"/>
          <w:b/>
          <w:bCs/>
          <w:kern w:val="0"/>
          <w:sz w:val="28"/>
          <w:szCs w:val="28"/>
          <w:rtl/>
          <w14:ligatures w14:val="none"/>
        </w:rPr>
        <w:t>ويرى</w:t>
      </w:r>
      <w:r w:rsidRPr="001144E0">
        <w:rPr>
          <w:rFonts w:ascii="Simplified Arabic" w:eastAsia="Times New Roman" w:hAnsi="Simplified Arabic" w:cs="Simplified Arabic"/>
          <w:b/>
          <w:bCs/>
          <w:kern w:val="0"/>
          <w:sz w:val="28"/>
          <w:szCs w:val="28"/>
          <w14:ligatures w14:val="none"/>
        </w:rPr>
        <w:t xml:space="preserve"> Kotte et al. (2025) </w:t>
      </w:r>
      <w:r w:rsidRPr="001144E0">
        <w:rPr>
          <w:rFonts w:ascii="Simplified Arabic" w:eastAsia="Times New Roman" w:hAnsi="Simplified Arabic" w:cs="Simplified Arabic"/>
          <w:b/>
          <w:bCs/>
          <w:kern w:val="0"/>
          <w:sz w:val="28"/>
          <w:szCs w:val="28"/>
          <w:rtl/>
          <w14:ligatures w14:val="none"/>
        </w:rPr>
        <w:t>أن التحول الرقمي المدعوم بالذكاء الاصطناعي يستهدف</w:t>
      </w:r>
      <w:r w:rsidRPr="001144E0">
        <w:rPr>
          <w:rFonts w:ascii="Simplified Arabic" w:eastAsia="Times New Roman" w:hAnsi="Simplified Arabic" w:cs="Simplified Arabic"/>
          <w:b/>
          <w:bCs/>
          <w:kern w:val="0"/>
          <w:sz w:val="28"/>
          <w:szCs w:val="28"/>
          <w14:ligatures w14:val="none"/>
        </w:rPr>
        <w:t>:</w:t>
      </w:r>
    </w:p>
    <w:p w14:paraId="58CD5738"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تحسين كفاءة العمليات وتقليل الهدر التشغيلي</w:t>
      </w:r>
      <w:r w:rsidRPr="00CC60C6">
        <w:rPr>
          <w:rFonts w:ascii="Simplified Arabic" w:eastAsia="Times New Roman" w:hAnsi="Simplified Arabic" w:cs="Simplified Arabic"/>
          <w:kern w:val="0"/>
          <w:sz w:val="28"/>
          <w:szCs w:val="28"/>
          <w14:ligatures w14:val="none"/>
        </w:rPr>
        <w:t>.</w:t>
      </w:r>
    </w:p>
    <w:p w14:paraId="5897F714"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تعزيز المرونة التنظيمية والاستجابة السريعة للمتغيرات</w:t>
      </w:r>
      <w:r w:rsidRPr="00CC60C6">
        <w:rPr>
          <w:rFonts w:ascii="Simplified Arabic" w:eastAsia="Times New Roman" w:hAnsi="Simplified Arabic" w:cs="Simplified Arabic"/>
          <w:kern w:val="0"/>
          <w:sz w:val="28"/>
          <w:szCs w:val="28"/>
          <w14:ligatures w14:val="none"/>
        </w:rPr>
        <w:t>.</w:t>
      </w:r>
    </w:p>
    <w:p w14:paraId="58EE9E25"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دعم اتخاذ القرارات المبنية على البيانات</w:t>
      </w:r>
      <w:r w:rsidRPr="00CC60C6">
        <w:rPr>
          <w:rFonts w:ascii="Simplified Arabic" w:eastAsia="Times New Roman" w:hAnsi="Simplified Arabic" w:cs="Simplified Arabic"/>
          <w:kern w:val="0"/>
          <w:sz w:val="28"/>
          <w:szCs w:val="28"/>
          <w14:ligatures w14:val="none"/>
        </w:rPr>
        <w:t>.</w:t>
      </w:r>
    </w:p>
    <w:p w14:paraId="5535D026"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lastRenderedPageBreak/>
        <w:t>تحقيق التكامل بين الأتمتة وتحسين العمليات في منظومةٍ واحدة</w:t>
      </w:r>
      <w:r w:rsidRPr="00CC60C6">
        <w:rPr>
          <w:rFonts w:ascii="Simplified Arabic" w:eastAsia="Times New Roman" w:hAnsi="Simplified Arabic" w:cs="Simplified Arabic"/>
          <w:kern w:val="0"/>
          <w:sz w:val="28"/>
          <w:szCs w:val="28"/>
          <w14:ligatures w14:val="none"/>
        </w:rPr>
        <w:t>.</w:t>
      </w:r>
    </w:p>
    <w:p w14:paraId="0C7F326D" w14:textId="77777777" w:rsidR="005C64B5" w:rsidRPr="001144E0" w:rsidRDefault="005C64B5" w:rsidP="00CC60C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r w:rsidRPr="001144E0">
        <w:rPr>
          <w:rFonts w:ascii="Simplified Arabic" w:eastAsia="Times New Roman" w:hAnsi="Simplified Arabic" w:cs="Simplified Arabic"/>
          <w:b/>
          <w:bCs/>
          <w:kern w:val="0"/>
          <w:sz w:val="28"/>
          <w:szCs w:val="28"/>
          <w:rtl/>
          <w14:ligatures w14:val="none"/>
        </w:rPr>
        <w:t>ويُضيف أمزربه (2024) أهدافاً تنظيميةً تتمثل في</w:t>
      </w:r>
      <w:r w:rsidRPr="001144E0">
        <w:rPr>
          <w:rFonts w:ascii="Simplified Arabic" w:eastAsia="Times New Roman" w:hAnsi="Simplified Arabic" w:cs="Simplified Arabic"/>
          <w:b/>
          <w:bCs/>
          <w:kern w:val="0"/>
          <w:sz w:val="28"/>
          <w:szCs w:val="28"/>
          <w14:ligatures w14:val="none"/>
        </w:rPr>
        <w:t>:</w:t>
      </w:r>
    </w:p>
    <w:p w14:paraId="06BE334D"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تعزيز القيادة الإبداعية داخل المنظمة بأبعادها المختلفة</w:t>
      </w:r>
      <w:r w:rsidRPr="00CC60C6">
        <w:rPr>
          <w:rFonts w:ascii="Simplified Arabic" w:eastAsia="Times New Roman" w:hAnsi="Simplified Arabic" w:cs="Simplified Arabic"/>
          <w:kern w:val="0"/>
          <w:sz w:val="28"/>
          <w:szCs w:val="28"/>
          <w14:ligatures w14:val="none"/>
        </w:rPr>
        <w:t>.</w:t>
      </w:r>
    </w:p>
    <w:p w14:paraId="49C2D130"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تطوير الطلاقة والمرونة والأصالة والحساسية للمشكلات لدى القيادات</w:t>
      </w:r>
      <w:r w:rsidRPr="00CC60C6">
        <w:rPr>
          <w:rFonts w:ascii="Simplified Arabic" w:eastAsia="Times New Roman" w:hAnsi="Simplified Arabic" w:cs="Simplified Arabic"/>
          <w:kern w:val="0"/>
          <w:sz w:val="28"/>
          <w:szCs w:val="28"/>
          <w14:ligatures w14:val="none"/>
        </w:rPr>
        <w:t>.</w:t>
      </w:r>
    </w:p>
    <w:p w14:paraId="51DFEB77" w14:textId="77777777" w:rsidR="005C64B5" w:rsidRPr="00CC60C6" w:rsidRDefault="005C64B5" w:rsidP="001144E0">
      <w:pPr>
        <w:pStyle w:val="a6"/>
        <w:numPr>
          <w:ilvl w:val="0"/>
          <w:numId w:val="29"/>
        </w:numPr>
        <w:spacing w:before="100" w:beforeAutospacing="1" w:after="100" w:afterAutospacing="1" w:line="276" w:lineRule="auto"/>
        <w:ind w:left="849"/>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بناء ثقافةٍ تنظيميةٍ داعمةٍ للابتكار والتغيير</w:t>
      </w:r>
      <w:r w:rsidRPr="00CC60C6">
        <w:rPr>
          <w:rFonts w:ascii="Simplified Arabic" w:eastAsia="Times New Roman" w:hAnsi="Simplified Arabic" w:cs="Simplified Arabic"/>
          <w:kern w:val="0"/>
          <w:sz w:val="28"/>
          <w:szCs w:val="28"/>
          <w14:ligatures w14:val="none"/>
        </w:rPr>
        <w:t>.</w:t>
      </w:r>
    </w:p>
    <w:p w14:paraId="16590395" w14:textId="4BA31FC7"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39" w:name="_Toc234293327"/>
      <w:r>
        <w:rPr>
          <w:rFonts w:ascii="Simplified Arabic" w:eastAsia="Times New Roman" w:hAnsi="Simplified Arabic" w:cs="Simplified Arabic" w:hint="cs"/>
          <w:b/>
          <w:bCs/>
          <w:kern w:val="0"/>
          <w:sz w:val="36"/>
          <w:szCs w:val="36"/>
          <w:rtl/>
          <w14:ligatures w14:val="none"/>
        </w:rPr>
        <w:t xml:space="preserve">5.1.2 </w:t>
      </w:r>
      <w:r w:rsidR="005C64B5" w:rsidRPr="001144E0">
        <w:rPr>
          <w:rFonts w:ascii="Simplified Arabic" w:eastAsia="Times New Roman" w:hAnsi="Simplified Arabic" w:cs="Simplified Arabic"/>
          <w:b/>
          <w:bCs/>
          <w:kern w:val="0"/>
          <w:sz w:val="36"/>
          <w:szCs w:val="36"/>
          <w:rtl/>
          <w14:ligatures w14:val="none"/>
        </w:rPr>
        <w:t>رابعاً: أبعاد التحول الرقمي المدعوم بالذكاء الاصطناعي</w:t>
      </w:r>
      <w:bookmarkEnd w:id="39"/>
    </w:p>
    <w:p w14:paraId="6FEB2C50"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تم تحديد أبعاد التحول الرقمي المدعوم بالذكاء الاصطناعي في الدراسة الحالية بناءً على دراسات</w:t>
      </w:r>
      <w:r w:rsidRPr="00CC60C6">
        <w:rPr>
          <w:rFonts w:ascii="Simplified Arabic" w:eastAsia="Times New Roman" w:hAnsi="Simplified Arabic" w:cs="Simplified Arabic"/>
          <w:kern w:val="0"/>
          <w:sz w:val="28"/>
          <w:szCs w:val="28"/>
          <w14:ligatures w14:val="none"/>
        </w:rPr>
        <w:t xml:space="preserve"> (Rabhi et al., 2025</w:t>
      </w:r>
      <w:r w:rsidRPr="00CC60C6">
        <w:rPr>
          <w:rFonts w:ascii="Simplified Arabic" w:eastAsia="Times New Roman" w:hAnsi="Simplified Arabic" w:cs="Simplified Arabic"/>
          <w:kern w:val="0"/>
          <w:sz w:val="28"/>
          <w:szCs w:val="28"/>
          <w:rtl/>
          <w14:ligatures w14:val="none"/>
        </w:rPr>
        <w:t>؛</w:t>
      </w:r>
      <w:r w:rsidRPr="00CC60C6">
        <w:rPr>
          <w:rFonts w:ascii="Simplified Arabic" w:eastAsia="Times New Roman" w:hAnsi="Simplified Arabic" w:cs="Simplified Arabic"/>
          <w:kern w:val="0"/>
          <w:sz w:val="28"/>
          <w:szCs w:val="28"/>
          <w14:ligatures w14:val="none"/>
        </w:rPr>
        <w:t xml:space="preserve"> Sposato &amp; Dittmar, 2026</w:t>
      </w:r>
      <w:r w:rsidRPr="00CC60C6">
        <w:rPr>
          <w:rFonts w:ascii="Simplified Arabic" w:eastAsia="Times New Roman" w:hAnsi="Simplified Arabic" w:cs="Simplified Arabic"/>
          <w:kern w:val="0"/>
          <w:sz w:val="28"/>
          <w:szCs w:val="28"/>
          <w:rtl/>
          <w14:ligatures w14:val="none"/>
        </w:rPr>
        <w:t>؛</w:t>
      </w:r>
      <w:r w:rsidRPr="00CC60C6">
        <w:rPr>
          <w:rFonts w:ascii="Simplified Arabic" w:eastAsia="Times New Roman" w:hAnsi="Simplified Arabic" w:cs="Simplified Arabic"/>
          <w:kern w:val="0"/>
          <w:sz w:val="28"/>
          <w:szCs w:val="28"/>
          <w14:ligatures w14:val="none"/>
        </w:rPr>
        <w:t xml:space="preserve"> Fenwick et al., 2024</w:t>
      </w:r>
      <w:r w:rsidRPr="00CC60C6">
        <w:rPr>
          <w:rFonts w:ascii="Simplified Arabic" w:eastAsia="Times New Roman" w:hAnsi="Simplified Arabic" w:cs="Simplified Arabic"/>
          <w:kern w:val="0"/>
          <w:sz w:val="28"/>
          <w:szCs w:val="28"/>
          <w:rtl/>
          <w14:ligatures w14:val="none"/>
        </w:rPr>
        <w:t>؛ رستم وصقور، 2024؛ أمزربه، 2024)، وذلك بعد تحليلٍ معمقٍ للأبعاد التي تناولتها هذه الدراسات وترجيح الأبعاد الأكثر ملاءمةً لبيئة التطبيق. وتشمل هذه الأبعاد الخمسة الآتية</w:t>
      </w:r>
      <w:r w:rsidRPr="00CC60C6">
        <w:rPr>
          <w:rFonts w:ascii="Simplified Arabic" w:eastAsia="Times New Roman" w:hAnsi="Simplified Arabic" w:cs="Simplified Arabic"/>
          <w:kern w:val="0"/>
          <w:sz w:val="28"/>
          <w:szCs w:val="28"/>
          <w14:ligatures w14:val="none"/>
        </w:rPr>
        <w:t>:</w:t>
      </w:r>
    </w:p>
    <w:p w14:paraId="2C0FFA5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الأول: البنية التحتية الرقمية الذكية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تُشكّل البنية التحتية الرقمية الذكية الركيزة التقنية الأساسية التي يقوم عليها التحول الرقمي المدعوم بالذكاء الاصطناعي، إذ تشمل منظومةً متكاملةً من الأجهزة والبرمجيات والشبكات ومنصات الحوسبة السحابية وأنظمة الأمن السيبراني التي تُوفّر البيئة التقنية اللازمة لتشغيل تطبيقات الذكاء الاصطناعي بكفاءةٍ عالية. ويُشير</w:t>
      </w:r>
      <w:r w:rsidRPr="00CC60C6">
        <w:rPr>
          <w:rFonts w:ascii="Simplified Arabic" w:eastAsia="Times New Roman" w:hAnsi="Simplified Arabic" w:cs="Simplified Arabic"/>
          <w:kern w:val="0"/>
          <w:sz w:val="28"/>
          <w:szCs w:val="28"/>
          <w14:ligatures w14:val="none"/>
        </w:rPr>
        <w:t xml:space="preserve"> Rabhi et al. (2025) </w:t>
      </w:r>
      <w:r w:rsidRPr="00CC60C6">
        <w:rPr>
          <w:rFonts w:ascii="Simplified Arabic" w:eastAsia="Times New Roman" w:hAnsi="Simplified Arabic" w:cs="Simplified Arabic"/>
          <w:kern w:val="0"/>
          <w:sz w:val="28"/>
          <w:szCs w:val="28"/>
          <w:rtl/>
          <w14:ligatures w14:val="none"/>
        </w:rPr>
        <w:t>إلى أن البنية التحتية الرقمية الذكية تُمثّل شرطاً ضرورياً لنجاح أي مبادرة للتحول الرقمي، إذ إن غيابها أو ضعفها يُقيّد قدرة المنظمة على استيعاب التقنيات المتقدمة وتوظيفها بفعالية. وتتضمن هذه البنية عناصر متعددة تشمل مراكز البيانات المتقدمة وشبكات الاتصال عالية السرعة وأنظمة تخزين البيانات وأدوات المعالجة المتوازية والحوسبة الطرفية، بحيث تُشكّل هذه العناصر منظومةً متكاملةً قادرةً على استيعاب حجم البيانات المتنامي وتشغيل الخوارزميات المعقدة</w:t>
      </w:r>
      <w:r w:rsidRPr="00CC60C6">
        <w:rPr>
          <w:rFonts w:ascii="Simplified Arabic" w:eastAsia="Times New Roman" w:hAnsi="Simplified Arabic" w:cs="Simplified Arabic"/>
          <w:kern w:val="0"/>
          <w:sz w:val="28"/>
          <w:szCs w:val="28"/>
          <w14:ligatures w14:val="none"/>
        </w:rPr>
        <w:t>.</w:t>
      </w:r>
    </w:p>
    <w:p w14:paraId="7C02B5A3"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الثاني: الأتمتة الذكية والتعلم الآلي</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يُمثّل هذا البُعد الجوهر التقني للتحول الرقمي المدعوم بالذكاء الاصطناعي، إذ يتعلق بتوظيف الخوارزميات الذكية القادرة على التعلم من البيانات وتحسين أدائها ذاتياً بمرور الوقت، بما يُتيح أتمتة المهام المتكررة والمعقدة على حدٍّ سواء. ويُوضّح</w:t>
      </w:r>
      <w:r w:rsidRPr="00CC60C6">
        <w:rPr>
          <w:rFonts w:ascii="Simplified Arabic" w:eastAsia="Times New Roman" w:hAnsi="Simplified Arabic" w:cs="Simplified Arabic"/>
          <w:kern w:val="0"/>
          <w:sz w:val="28"/>
          <w:szCs w:val="28"/>
          <w14:ligatures w14:val="none"/>
        </w:rPr>
        <w:t xml:space="preserve"> Kotte et al. (2025) </w:t>
      </w:r>
      <w:r w:rsidRPr="00CC60C6">
        <w:rPr>
          <w:rFonts w:ascii="Simplified Arabic" w:eastAsia="Times New Roman" w:hAnsi="Simplified Arabic" w:cs="Simplified Arabic"/>
          <w:kern w:val="0"/>
          <w:sz w:val="28"/>
          <w:szCs w:val="28"/>
          <w:rtl/>
          <w14:ligatures w14:val="none"/>
        </w:rPr>
        <w:t xml:space="preserve">أن الأتمتة الذكية تختلف جوهرياً عن الأتمتة التقليدية في كونها لا تقتصر على تنفيذ مهامٍ محددةٍ سلفاً، بل تتمتع بقدراتٍ إدراكيةٍ تُمكّنها من التكيف مع السياقات المتغيرة واتخاذ قراراتٍ ذكيةٍ في المواقف غير المتوقعة. ويشمل هذا البُعد تطبيقاتٍ </w:t>
      </w:r>
      <w:r w:rsidRPr="00CC60C6">
        <w:rPr>
          <w:rFonts w:ascii="Simplified Arabic" w:eastAsia="Times New Roman" w:hAnsi="Simplified Arabic" w:cs="Simplified Arabic"/>
          <w:kern w:val="0"/>
          <w:sz w:val="28"/>
          <w:szCs w:val="28"/>
          <w:rtl/>
          <w14:ligatures w14:val="none"/>
        </w:rPr>
        <w:lastRenderedPageBreak/>
        <w:t>متنوعةً تتضمن التعلم الآلي بأنواعه المشرف وغير المشرف والمعزز، والتعلم العميق باستخدام الشبكات العصبية الاصطناعية، والمعالجة الآلية للغات الطبيعية، ورؤية الحاسوب، وأنظمة التوصية الذكية</w:t>
      </w:r>
      <w:r w:rsidRPr="00CC60C6">
        <w:rPr>
          <w:rFonts w:ascii="Simplified Arabic" w:eastAsia="Times New Roman" w:hAnsi="Simplified Arabic" w:cs="Simplified Arabic"/>
          <w:kern w:val="0"/>
          <w:sz w:val="28"/>
          <w:szCs w:val="28"/>
          <w14:ligatures w14:val="none"/>
        </w:rPr>
        <w:t>.</w:t>
      </w:r>
    </w:p>
    <w:p w14:paraId="0EFF219C"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الثالث: تحليل البيانات الضخمة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يُشكّل تحليل البيانات الضخمة رافداً استراتيجياً محورياً للتحول الرقمي المدعوم بالذكاء الاصطناعي، إذ يُمكّن المنظمات من استخلاص رؤىً استراتيجيةٍ من كمياتٍ هائلةٍ من البيانات الهيكلية وغير الهيكلية التي يصعب معالجتها بالأساليب التقليدية. وتتميّز البيانات الضخمة بخصائصها المعروفة بالخمسة</w:t>
      </w:r>
      <w:r w:rsidRPr="00CC60C6">
        <w:rPr>
          <w:rFonts w:ascii="Simplified Arabic" w:eastAsia="Times New Roman" w:hAnsi="Simplified Arabic" w:cs="Simplified Arabic"/>
          <w:kern w:val="0"/>
          <w:sz w:val="28"/>
          <w:szCs w:val="28"/>
          <w14:ligatures w14:val="none"/>
        </w:rPr>
        <w:t xml:space="preserve"> V’s: </w:t>
      </w:r>
      <w:r w:rsidRPr="00CC60C6">
        <w:rPr>
          <w:rFonts w:ascii="Simplified Arabic" w:eastAsia="Times New Roman" w:hAnsi="Simplified Arabic" w:cs="Simplified Arabic"/>
          <w:kern w:val="0"/>
          <w:sz w:val="28"/>
          <w:szCs w:val="28"/>
          <w:rtl/>
          <w14:ligatures w14:val="none"/>
        </w:rPr>
        <w:t>الحجم والسرعة والتنوع والقيمة والصحة. ويُوضّح حسين (2025) أن قدرة المنظمات على تحليل البيانات الضخمة تُمكّنها من فهم الأنماط الخفية واستشراف الاتجاهات المستقبلية وتحديد الفرص والمخاطر بدقةٍ عالية، وهو ما يتجلى بوضوحٍ في المجالات المالية والاستثمارية التي تتعامل مع تدفقاتٍ هائلةٍ من البيانات الآنية. ويشمل هذا البُعد أدواتٍ ومنهجياتٍ متعددةً تتضمن التحليل الوصفي والتشخيصي والتنبؤي والتوجيهي</w:t>
      </w:r>
      <w:r w:rsidRPr="00CC60C6">
        <w:rPr>
          <w:rFonts w:ascii="Simplified Arabic" w:eastAsia="Times New Roman" w:hAnsi="Simplified Arabic" w:cs="Simplified Arabic"/>
          <w:kern w:val="0"/>
          <w:sz w:val="28"/>
          <w:szCs w:val="28"/>
          <w14:ligatures w14:val="none"/>
        </w:rPr>
        <w:t>.</w:t>
      </w:r>
    </w:p>
    <w:p w14:paraId="6CB906A8"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الرابع: القيادة الرقمية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تُشكّل القيادة الرقمية العامل البشري الأهم في نجاح مبادرات التحول الرقمي المدعوم بالذكاء الاصطناعي، إذ إن التقنية مهما بلغت من التقدم تبقى أداةً في يد القيادة، ويتوقف تأثيرها على وعي القادة برؤيتها الرقمية وقدرتهم على توجيه المنظمة نحو التحول المطلوب. ويُبرز</w:t>
      </w:r>
      <w:r w:rsidRPr="00CC60C6">
        <w:rPr>
          <w:rFonts w:ascii="Simplified Arabic" w:eastAsia="Times New Roman" w:hAnsi="Simplified Arabic" w:cs="Simplified Arabic"/>
          <w:kern w:val="0"/>
          <w:sz w:val="28"/>
          <w:szCs w:val="28"/>
          <w14:ligatures w14:val="none"/>
        </w:rPr>
        <w:t xml:space="preserve"> Sposato &amp; Dittmar (2026) </w:t>
      </w:r>
      <w:r w:rsidRPr="00CC60C6">
        <w:rPr>
          <w:rFonts w:ascii="Simplified Arabic" w:eastAsia="Times New Roman" w:hAnsi="Simplified Arabic" w:cs="Simplified Arabic"/>
          <w:kern w:val="0"/>
          <w:sz w:val="28"/>
          <w:szCs w:val="28"/>
          <w:rtl/>
          <w14:ligatures w14:val="none"/>
        </w:rPr>
        <w:t>أن القيادة الرقمية تتطلب مزيجاً من الكفاءات المتنوعة تشمل الفهم التقني العميق، والذكاء العاطفي، والتفكير الاستراتيجي، والحس الأخلاقي، والقدرة على إدارة التغيير، بحيث يستطيع القادة قيادة منظماتهم في بيئةٍ شديدة التعقيد والتغيّر. ويشمل هذا البُعد قدرة القادة على صياغة رؤيةٍ رقميةٍ ملهمة، وبناء تحالفاتٍ داعمةٍ للتحول، وتمكين الفرق، وإدارة المقاومة، وتعزيز التعلم التنظيمي</w:t>
      </w:r>
      <w:r w:rsidRPr="00CC60C6">
        <w:rPr>
          <w:rFonts w:ascii="Simplified Arabic" w:eastAsia="Times New Roman" w:hAnsi="Simplified Arabic" w:cs="Simplified Arabic"/>
          <w:kern w:val="0"/>
          <w:sz w:val="28"/>
          <w:szCs w:val="28"/>
          <w14:ligatures w14:val="none"/>
        </w:rPr>
        <w:t>.</w:t>
      </w:r>
    </w:p>
    <w:p w14:paraId="1141429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الخامس: الثقافة الرقمية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تُمثّل الثقافة الرقمية البُعد التنظيمي والقيمي للتحول الرقمي المدعوم بالذكاء الاصطناعي، إذ تشمل منظومة القيم والمعتقدات والممارسات المشتركة داخل المنظمة التي تُشجّع على تبنّي التقنيات الرقمية والانفتاح على الابتكار والتعلم المستمر. ويُؤكّد</w:t>
      </w:r>
      <w:r w:rsidRPr="00CC60C6">
        <w:rPr>
          <w:rFonts w:ascii="Simplified Arabic" w:eastAsia="Times New Roman" w:hAnsi="Simplified Arabic" w:cs="Simplified Arabic"/>
          <w:kern w:val="0"/>
          <w:sz w:val="28"/>
          <w:szCs w:val="28"/>
          <w14:ligatures w14:val="none"/>
        </w:rPr>
        <w:t xml:space="preserve"> Fenwick et al. (2024) </w:t>
      </w:r>
      <w:r w:rsidRPr="00CC60C6">
        <w:rPr>
          <w:rFonts w:ascii="Simplified Arabic" w:eastAsia="Times New Roman" w:hAnsi="Simplified Arabic" w:cs="Simplified Arabic"/>
          <w:kern w:val="0"/>
          <w:sz w:val="28"/>
          <w:szCs w:val="28"/>
          <w:rtl/>
          <w14:ligatures w14:val="none"/>
        </w:rPr>
        <w:t xml:space="preserve">أن الثقافة الرقمية شرطٌ ضروريٌّ لنجاح التحول الرقمي، إذ إن التقنيات المتقدمة لن تُحدث الأثر المرجو منها في ظل ثقافةٍ تنظيميةٍ تقليديةٍ مقاومةٍ للتغيير أو مترددةٍ في تبنّي التقنيات الجديدة. وتتضمن الثقافة الرقمية عناصر متعددةً تشمل الانفتاح على التغيير، والتشجيع على تجربة الأفكار الجديدة، وتقبّل الفشل بوصفه فرصةً للتعلم، وتعزيز التعاون بين الوظائف، وبناء عقليةٍ رقميةٍ لدى العاملين. ويُضيف الشربتلي وآخرون (2025) أن الثقافة التنظيمية الداعمة </w:t>
      </w:r>
      <w:r w:rsidRPr="00CC60C6">
        <w:rPr>
          <w:rFonts w:ascii="Simplified Arabic" w:eastAsia="Times New Roman" w:hAnsi="Simplified Arabic" w:cs="Simplified Arabic"/>
          <w:kern w:val="0"/>
          <w:sz w:val="28"/>
          <w:szCs w:val="28"/>
          <w:rtl/>
          <w14:ligatures w14:val="none"/>
        </w:rPr>
        <w:lastRenderedPageBreak/>
        <w:t>للجودة الشاملة والتحول الرقمي تُشكّل عاملاً حاسماً في تحقيق استدامة منظمات الأعمال في ظل التقنيات الرقمية الحديثة</w:t>
      </w:r>
      <w:r w:rsidRPr="00CC60C6">
        <w:rPr>
          <w:rFonts w:ascii="Simplified Arabic" w:eastAsia="Times New Roman" w:hAnsi="Simplified Arabic" w:cs="Simplified Arabic"/>
          <w:kern w:val="0"/>
          <w:sz w:val="28"/>
          <w:szCs w:val="28"/>
          <w14:ligatures w14:val="none"/>
        </w:rPr>
        <w:t>.</w:t>
      </w:r>
    </w:p>
    <w:p w14:paraId="0FA4292C" w14:textId="5192834A"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0" w:name="_Toc234293328"/>
      <w:r>
        <w:rPr>
          <w:rFonts w:ascii="Simplified Arabic" w:eastAsia="Times New Roman" w:hAnsi="Simplified Arabic" w:cs="Simplified Arabic" w:hint="cs"/>
          <w:b/>
          <w:bCs/>
          <w:kern w:val="0"/>
          <w:sz w:val="36"/>
          <w:szCs w:val="36"/>
          <w:rtl/>
          <w14:ligatures w14:val="none"/>
        </w:rPr>
        <w:t xml:space="preserve">6.1.2 </w:t>
      </w:r>
      <w:r w:rsidR="005C64B5" w:rsidRPr="001144E0">
        <w:rPr>
          <w:rFonts w:ascii="Simplified Arabic" w:eastAsia="Times New Roman" w:hAnsi="Simplified Arabic" w:cs="Simplified Arabic"/>
          <w:b/>
          <w:bCs/>
          <w:kern w:val="0"/>
          <w:sz w:val="36"/>
          <w:szCs w:val="36"/>
          <w:rtl/>
          <w14:ligatures w14:val="none"/>
        </w:rPr>
        <w:t>خامساً: استراتيجيات التحول الرقمي المدعوم بالذكاء الاصطناعي</w:t>
      </w:r>
      <w:bookmarkEnd w:id="40"/>
    </w:p>
    <w:p w14:paraId="27CC24B3"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تتباين الاستراتيجيات التي تتبنّاها المنظمات في تطبيق التحول الرقمي المدعوم بالذكاء الاصطناعي وفقاً لطبيعتها ونضجها التقني ومواردها المتاحة. ويُشير</w:t>
      </w:r>
      <w:r w:rsidRPr="00CC60C6">
        <w:rPr>
          <w:rFonts w:ascii="Simplified Arabic" w:eastAsia="Times New Roman" w:hAnsi="Simplified Arabic" w:cs="Simplified Arabic"/>
          <w:kern w:val="0"/>
          <w:sz w:val="28"/>
          <w:szCs w:val="28"/>
          <w14:ligatures w14:val="none"/>
        </w:rPr>
        <w:t xml:space="preserve"> Suljic (2025) </w:t>
      </w:r>
      <w:r w:rsidRPr="00CC60C6">
        <w:rPr>
          <w:rFonts w:ascii="Simplified Arabic" w:eastAsia="Times New Roman" w:hAnsi="Simplified Arabic" w:cs="Simplified Arabic"/>
          <w:kern w:val="0"/>
          <w:sz w:val="28"/>
          <w:szCs w:val="28"/>
          <w:rtl/>
          <w14:ligatures w14:val="none"/>
        </w:rPr>
        <w:t>إلى ثلاث استراتيجياتٍ رئيسية: الاستراتيجية الشاملة التي تتبنّى تحولاً جذرياً في جميع جوانب المنظمة، والاستراتيجية التدريجية التي تُطبّق التحول على مراحل، والاستراتيجية القطاعية التي تُركّز على وظائف أو أقسامٍ محددة. كما يُبرز أهمية الاستراتيجية الأخلاقية التي تُوازن بين المكاسب التقنية والقيم الإنسانية</w:t>
      </w:r>
      <w:r w:rsidRPr="00CC60C6">
        <w:rPr>
          <w:rFonts w:ascii="Simplified Arabic" w:eastAsia="Times New Roman" w:hAnsi="Simplified Arabic" w:cs="Simplified Arabic"/>
          <w:kern w:val="0"/>
          <w:sz w:val="28"/>
          <w:szCs w:val="28"/>
          <w14:ligatures w14:val="none"/>
        </w:rPr>
        <w:t>.</w:t>
      </w:r>
    </w:p>
    <w:p w14:paraId="5DA8A4D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ويُقدّم</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Go</w:t>
      </w:r>
      <w:r w:rsidRPr="00CC60C6">
        <w:rPr>
          <w:rFonts w:ascii="Cambria" w:eastAsia="Times New Roman" w:hAnsi="Cambria" w:cs="Cambria"/>
          <w:kern w:val="0"/>
          <w:sz w:val="28"/>
          <w:szCs w:val="28"/>
          <w14:ligatures w14:val="none"/>
        </w:rPr>
        <w:t>łą</w:t>
      </w:r>
      <w:r w:rsidRPr="00CC60C6">
        <w:rPr>
          <w:rFonts w:ascii="Simplified Arabic" w:eastAsia="Times New Roman" w:hAnsi="Simplified Arabic" w:cs="Simplified Arabic"/>
          <w:kern w:val="0"/>
          <w:sz w:val="28"/>
          <w:szCs w:val="28"/>
          <w14:ligatures w14:val="none"/>
        </w:rPr>
        <w:t>b-Andrzejak</w:t>
      </w:r>
      <w:proofErr w:type="spellEnd"/>
      <w:r w:rsidRPr="00CC60C6">
        <w:rPr>
          <w:rFonts w:ascii="Simplified Arabic" w:eastAsia="Times New Roman" w:hAnsi="Simplified Arabic" w:cs="Simplified Arabic"/>
          <w:kern w:val="0"/>
          <w:sz w:val="28"/>
          <w:szCs w:val="28"/>
          <w14:ligatures w14:val="none"/>
        </w:rPr>
        <w:t xml:space="preserve"> (2023) </w:t>
      </w:r>
      <w:r w:rsidRPr="00CC60C6">
        <w:rPr>
          <w:rFonts w:ascii="Simplified Arabic" w:eastAsia="Times New Roman" w:hAnsi="Simplified Arabic" w:cs="Simplified Arabic"/>
          <w:kern w:val="0"/>
          <w:sz w:val="28"/>
          <w:szCs w:val="28"/>
          <w:rtl/>
          <w14:ligatures w14:val="none"/>
        </w:rPr>
        <w:t>استراتيجيةً تسويقيةً للتحول الرقمي تُوظّف الذكاء الاصطناعي في تخصيص العروض وتحسين تجربة العميل وأتمتة الحملات التسويقية. في حين يطرح</w:t>
      </w:r>
      <w:r w:rsidRPr="00CC60C6">
        <w:rPr>
          <w:rFonts w:ascii="Simplified Arabic" w:eastAsia="Times New Roman" w:hAnsi="Simplified Arabic" w:cs="Simplified Arabic"/>
          <w:kern w:val="0"/>
          <w:sz w:val="28"/>
          <w:szCs w:val="28"/>
          <w14:ligatures w14:val="none"/>
        </w:rPr>
        <w:t xml:space="preserve"> Kotte et al. (2025) </w:t>
      </w:r>
      <w:r w:rsidRPr="00CC60C6">
        <w:rPr>
          <w:rFonts w:ascii="Simplified Arabic" w:eastAsia="Times New Roman" w:hAnsi="Simplified Arabic" w:cs="Simplified Arabic"/>
          <w:kern w:val="0"/>
          <w:sz w:val="28"/>
          <w:szCs w:val="28"/>
          <w:rtl/>
          <w14:ligatures w14:val="none"/>
        </w:rPr>
        <w:t>استراتيجيةً تكامليةً تجمع بين تحسين العمليات والأتمتة الذكية في إطارٍ منهجيٍّ متكامل</w:t>
      </w:r>
      <w:r w:rsidRPr="00CC60C6">
        <w:rPr>
          <w:rFonts w:ascii="Simplified Arabic" w:eastAsia="Times New Roman" w:hAnsi="Simplified Arabic" w:cs="Simplified Arabic"/>
          <w:kern w:val="0"/>
          <w:sz w:val="28"/>
          <w:szCs w:val="28"/>
          <w14:ligatures w14:val="none"/>
        </w:rPr>
        <w:t>.</w:t>
      </w:r>
    </w:p>
    <w:p w14:paraId="29C8C6B1" w14:textId="2591741A"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1" w:name="_Toc234293329"/>
      <w:r>
        <w:rPr>
          <w:rFonts w:ascii="Simplified Arabic" w:eastAsia="Times New Roman" w:hAnsi="Simplified Arabic" w:cs="Simplified Arabic" w:hint="cs"/>
          <w:b/>
          <w:bCs/>
          <w:kern w:val="0"/>
          <w:sz w:val="36"/>
          <w:szCs w:val="36"/>
          <w:rtl/>
          <w14:ligatures w14:val="none"/>
        </w:rPr>
        <w:t xml:space="preserve">7.1.2 </w:t>
      </w:r>
      <w:r w:rsidR="005C64B5" w:rsidRPr="001144E0">
        <w:rPr>
          <w:rFonts w:ascii="Simplified Arabic" w:eastAsia="Times New Roman" w:hAnsi="Simplified Arabic" w:cs="Simplified Arabic"/>
          <w:b/>
          <w:bCs/>
          <w:kern w:val="0"/>
          <w:sz w:val="36"/>
          <w:szCs w:val="36"/>
          <w:rtl/>
          <w14:ligatures w14:val="none"/>
        </w:rPr>
        <w:t>سادساً: تحديات التحول الرقمي المدعوم بالذكاء الاصطناعي</w:t>
      </w:r>
      <w:bookmarkEnd w:id="41"/>
    </w:p>
    <w:p w14:paraId="167B2E13" w14:textId="77777777" w:rsidR="005C64B5"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CC60C6">
        <w:rPr>
          <w:rFonts w:ascii="Simplified Arabic" w:eastAsia="Times New Roman" w:hAnsi="Simplified Arabic" w:cs="Simplified Arabic"/>
          <w:kern w:val="0"/>
          <w:sz w:val="28"/>
          <w:szCs w:val="28"/>
          <w:rtl/>
          <w14:ligatures w14:val="none"/>
        </w:rPr>
        <w:t>على الرغم من المزايا المتعددة للتحول الرقمي المدعوم بالذكاء الاصطناعي، إلا أنه يواجه جملةً من التحديات التي تُقيّد قدرة المنظمات على الاستفادة الكاملة منه. ويُشير</w:t>
      </w:r>
      <w:r w:rsidRPr="00CC60C6">
        <w:rPr>
          <w:rFonts w:ascii="Simplified Arabic" w:eastAsia="Times New Roman" w:hAnsi="Simplified Arabic" w:cs="Simplified Arabic"/>
          <w:kern w:val="0"/>
          <w:sz w:val="28"/>
          <w:szCs w:val="28"/>
          <w14:ligatures w14:val="none"/>
        </w:rPr>
        <w:t xml:space="preserve"> Fenwick et al. (2024) </w:t>
      </w:r>
      <w:r w:rsidRPr="00CC60C6">
        <w:rPr>
          <w:rFonts w:ascii="Simplified Arabic" w:eastAsia="Times New Roman" w:hAnsi="Simplified Arabic" w:cs="Simplified Arabic"/>
          <w:kern w:val="0"/>
          <w:sz w:val="28"/>
          <w:szCs w:val="28"/>
          <w:rtl/>
          <w14:ligatures w14:val="none"/>
        </w:rPr>
        <w:t>إلى تحدياتٍ بشريةٍ تشمل مقاومة التغيير ونقص المهارات الرقمية والقلق من فقدان الوظائف. ويُبرز</w:t>
      </w:r>
      <w:r w:rsidRPr="00CC60C6">
        <w:rPr>
          <w:rFonts w:ascii="Simplified Arabic" w:eastAsia="Times New Roman" w:hAnsi="Simplified Arabic" w:cs="Simplified Arabic"/>
          <w:kern w:val="0"/>
          <w:sz w:val="28"/>
          <w:szCs w:val="28"/>
          <w14:ligatures w14:val="none"/>
        </w:rPr>
        <w:t xml:space="preserve"> Suljic (2025) </w:t>
      </w:r>
      <w:r w:rsidRPr="00CC60C6">
        <w:rPr>
          <w:rFonts w:ascii="Simplified Arabic" w:eastAsia="Times New Roman" w:hAnsi="Simplified Arabic" w:cs="Simplified Arabic"/>
          <w:kern w:val="0"/>
          <w:sz w:val="28"/>
          <w:szCs w:val="28"/>
          <w:rtl/>
          <w14:ligatures w14:val="none"/>
        </w:rPr>
        <w:t>تحدياتٍ أخلاقيةً تتعلق بالخصوصية والتحيز الخوارزمي والمساءلة. ويُضيف أبو يوسف وخاطر (2025) تحدياتٍ أمنيةً تتمثل في مخاطر الأمن السيبراني وحماية البيانات المالية الحساسة. كما تُشير حامد (2025) إلى تحدياتٍ تشغيليةً مرتبطةً بإعادة هيكلة الوظائف واحتياجات التأهيل البشري في ظل انتشار الأتمتة الذكية</w:t>
      </w:r>
      <w:r w:rsidRPr="00CC60C6">
        <w:rPr>
          <w:rFonts w:ascii="Simplified Arabic" w:eastAsia="Times New Roman" w:hAnsi="Simplified Arabic" w:cs="Simplified Arabic"/>
          <w:kern w:val="0"/>
          <w:sz w:val="28"/>
          <w:szCs w:val="28"/>
          <w14:ligatures w14:val="none"/>
        </w:rPr>
        <w:t>.</w:t>
      </w:r>
    </w:p>
    <w:p w14:paraId="7C7FF2C5" w14:textId="539173BD" w:rsidR="001144E0" w:rsidRDefault="001144E0">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7ECC6306" w14:textId="32F085EE" w:rsidR="001144E0" w:rsidRPr="00DE0524" w:rsidRDefault="001144E0" w:rsidP="001144E0">
      <w:pPr>
        <w:jc w:val="center"/>
        <w:outlineLvl w:val="1"/>
        <w:rPr>
          <w:rFonts w:ascii="Simplified Arabic" w:eastAsia="SimSun" w:hAnsi="Simplified Arabic" w:cs="Simplified Arabic"/>
          <w:b/>
          <w:bCs/>
          <w:color w:val="000000" w:themeColor="text1"/>
          <w:sz w:val="36"/>
          <w:szCs w:val="36"/>
        </w:rPr>
      </w:pPr>
      <w:bookmarkStart w:id="42" w:name="_Toc234027274"/>
      <w:bookmarkStart w:id="43" w:name="_Toc234244341"/>
      <w:bookmarkStart w:id="44" w:name="_Toc234293330"/>
      <w:r w:rsidRPr="00DE0524">
        <w:rPr>
          <w:rFonts w:ascii="Simplified Arabic" w:eastAsia="SimSun" w:hAnsi="Simplified Arabic" w:cs="Simplified Arabic"/>
          <w:b/>
          <w:bCs/>
          <w:color w:val="000000" w:themeColor="text1"/>
          <w:sz w:val="36"/>
          <w:szCs w:val="36"/>
          <w:rtl/>
        </w:rPr>
        <w:lastRenderedPageBreak/>
        <w:t xml:space="preserve">المبحث الثاني: </w:t>
      </w:r>
      <w:bookmarkEnd w:id="42"/>
      <w:bookmarkEnd w:id="43"/>
      <w:r w:rsidRPr="001144E0">
        <w:rPr>
          <w:rFonts w:ascii="Simplified Arabic" w:eastAsia="SimSun" w:hAnsi="Simplified Arabic" w:cs="Simplified Arabic"/>
          <w:b/>
          <w:bCs/>
          <w:color w:val="000000" w:themeColor="text1"/>
          <w:sz w:val="36"/>
          <w:szCs w:val="36"/>
          <w:rtl/>
        </w:rPr>
        <w:t>ممارسات استدامة الأعمال والأداء المستدام</w:t>
      </w:r>
      <w:bookmarkEnd w:id="44"/>
    </w:p>
    <w:p w14:paraId="01FFCAF4" w14:textId="77777777" w:rsidR="001144E0" w:rsidRPr="00DE0524"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5" w:name="_Toc234027275"/>
      <w:bookmarkStart w:id="46" w:name="_Toc234244342"/>
      <w:bookmarkStart w:id="47" w:name="_Toc234293331"/>
      <w:r>
        <w:rPr>
          <w:rFonts w:ascii="Simplified Arabic" w:eastAsia="Times New Roman" w:hAnsi="Simplified Arabic" w:cs="Simplified Arabic" w:hint="cs"/>
          <w:b/>
          <w:bCs/>
          <w:kern w:val="0"/>
          <w:sz w:val="36"/>
          <w:szCs w:val="36"/>
          <w:rtl/>
          <w14:ligatures w14:val="none"/>
        </w:rPr>
        <w:t xml:space="preserve">1.2.2 </w:t>
      </w:r>
      <w:r w:rsidRPr="00DE0524">
        <w:rPr>
          <w:rFonts w:ascii="Simplified Arabic" w:eastAsia="Times New Roman" w:hAnsi="Simplified Arabic" w:cs="Simplified Arabic"/>
          <w:b/>
          <w:bCs/>
          <w:kern w:val="0"/>
          <w:sz w:val="36"/>
          <w:szCs w:val="36"/>
          <w:rtl/>
          <w14:ligatures w14:val="none"/>
        </w:rPr>
        <w:t>تمهيد</w:t>
      </w:r>
      <w:bookmarkEnd w:id="45"/>
      <w:bookmarkEnd w:id="46"/>
      <w:bookmarkEnd w:id="47"/>
    </w:p>
    <w:p w14:paraId="39078429"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يُمثّل الأداء المستدام أحد أبرز المفاهيم التي فرضت نفسها على الأجندة الأكاديمية والتطبيقية في مجال إدارة الأعمال خلال العقود الأخيرة، إذ لم تعد المنظمات المعاصرة تقيس نجاحها بالمؤشرات المالية التقليدية وحدها، بل امتد نطاق التقييم ليشمل الأبعاد الاجتماعية والبيئية والحوكمية، بما يعكس إدراكاً متزايداً بأن استمرارية المنظمة على المدى الطويل مرهونةٌ بقدرتها على تحقيق التوازن بين مصالح جميع أصحاب المصلحة. وقد جاء هذا التوجه نتيجةً لتحولاتٍ عالميةٍ متسارعةٍ شملت تصاعد التحديات البيئية كالتغيّر المناخي وندرة الموارد، وتنامي الوعي الاجتماعي بالمسؤولية المؤسسية، وتزايد الضغوط التنظيمية والتشريعية التي تفرض على المنظمات الالتزام بمعايير الاستدامة. وفي ظل هذه المعطيات، أصبح الأداء المستدام معياراً جوهرياً لقياس نضج المنظمات وقدرتها على البقاء في بيئةٍ تنافسيةٍ متغيرة</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Bacinello</w:t>
      </w:r>
      <w:proofErr w:type="spellEnd"/>
      <w:r w:rsidRPr="00CC60C6">
        <w:rPr>
          <w:rFonts w:ascii="Simplified Arabic" w:eastAsia="Times New Roman" w:hAnsi="Simplified Arabic" w:cs="Simplified Arabic"/>
          <w:kern w:val="0"/>
          <w:sz w:val="28"/>
          <w:szCs w:val="28"/>
          <w14:ligatures w14:val="none"/>
        </w:rPr>
        <w:t xml:space="preserve"> et al., 2021).</w:t>
      </w:r>
    </w:p>
    <w:p w14:paraId="7065E060"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ويرتبط الأداء المستدام ارتباطاً وثيقاً بممارسات استدامة الأعمال التي تُشكّل الأساس التطبيقي لتحقيقه، بحيث يُمكن النظر إلى الممارسات بوصفها المدخلات والأداء بوصفه المخرجات المتكاملة. ويتناول هذا المبحث الأداء المستدام بوصفه المتغير التابع للدراسة، من خلال استعراض مفهومه ومداخله النظرية، وأهميته الاستراتيجية، والأهداف التي يسعى إلى تحقيقها، وأبعاده المتكاملة، ومؤشرات قياسه، والتحديات التي تعترض تحقيقه</w:t>
      </w:r>
      <w:r w:rsidRPr="00CC60C6">
        <w:rPr>
          <w:rFonts w:ascii="Simplified Arabic" w:eastAsia="Times New Roman" w:hAnsi="Simplified Arabic" w:cs="Simplified Arabic"/>
          <w:kern w:val="0"/>
          <w:sz w:val="28"/>
          <w:szCs w:val="28"/>
          <w14:ligatures w14:val="none"/>
        </w:rPr>
        <w:t>.</w:t>
      </w:r>
    </w:p>
    <w:p w14:paraId="0F5DA7A8" w14:textId="2C3FB430"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8" w:name="_Toc234293332"/>
      <w:r>
        <w:rPr>
          <w:rFonts w:ascii="Simplified Arabic" w:eastAsia="Times New Roman" w:hAnsi="Simplified Arabic" w:cs="Simplified Arabic" w:hint="cs"/>
          <w:b/>
          <w:bCs/>
          <w:kern w:val="0"/>
          <w:sz w:val="36"/>
          <w:szCs w:val="36"/>
          <w:rtl/>
          <w14:ligatures w14:val="none"/>
        </w:rPr>
        <w:t xml:space="preserve">2.2.2 </w:t>
      </w:r>
      <w:r w:rsidR="005C64B5" w:rsidRPr="001144E0">
        <w:rPr>
          <w:rFonts w:ascii="Simplified Arabic" w:eastAsia="Times New Roman" w:hAnsi="Simplified Arabic" w:cs="Simplified Arabic"/>
          <w:b/>
          <w:bCs/>
          <w:kern w:val="0"/>
          <w:sz w:val="36"/>
          <w:szCs w:val="36"/>
          <w:rtl/>
          <w14:ligatures w14:val="none"/>
        </w:rPr>
        <w:t>أولاً: مفهوم الأداء المستدام</w:t>
      </w:r>
      <w:bookmarkEnd w:id="48"/>
    </w:p>
    <w:p w14:paraId="16F59759"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تباينت رؤى الباحثين في تعريف الأداء المستدام وفقاً لخلفياتهم النظرية ومجالات تطبيقهم، مما أفرز تنوعاً مفاهيمياً يعكس ثراء هذا المفهوم وتعدد أبعاده. ويُعرّف</w:t>
      </w:r>
      <w:r w:rsidRPr="00CC60C6">
        <w:rPr>
          <w:rFonts w:ascii="Simplified Arabic" w:eastAsia="Times New Roman" w:hAnsi="Simplified Arabic" w:cs="Simplified Arabic"/>
          <w:kern w:val="0"/>
          <w:sz w:val="28"/>
          <w:szCs w:val="28"/>
          <w14:ligatures w14:val="none"/>
        </w:rPr>
        <w:t xml:space="preserve"> Liu et al. (2023) </w:t>
      </w:r>
      <w:r w:rsidRPr="00CC60C6">
        <w:rPr>
          <w:rFonts w:ascii="Simplified Arabic" w:eastAsia="Times New Roman" w:hAnsi="Simplified Arabic" w:cs="Simplified Arabic"/>
          <w:kern w:val="0"/>
          <w:sz w:val="28"/>
          <w:szCs w:val="28"/>
          <w:rtl/>
          <w14:ligatures w14:val="none"/>
        </w:rPr>
        <w:t>الأداء المستدام بأنه المحصلة المتكاملة لأداء المنظمة في أبعادها الاقتصادية والاجتماعية والبيئية، والتي تعكس قدرتها على تحقيق قيمةٍ مضافةٍ متوازنةٍ لجميع أصحاب المصلحة على المدى الطويل، من خلال ممارساتٍ خضراء ومسؤولةٍ في إدارة الموارد البشرية والابتكار</w:t>
      </w:r>
      <w:r w:rsidRPr="00CC60C6">
        <w:rPr>
          <w:rFonts w:ascii="Simplified Arabic" w:eastAsia="Times New Roman" w:hAnsi="Simplified Arabic" w:cs="Simplified Arabic"/>
          <w:kern w:val="0"/>
          <w:sz w:val="28"/>
          <w:szCs w:val="28"/>
          <w14:ligatures w14:val="none"/>
        </w:rPr>
        <w:t>.</w:t>
      </w:r>
    </w:p>
    <w:p w14:paraId="66BBF77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ويطرح</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Alraja</w:t>
      </w:r>
      <w:proofErr w:type="spellEnd"/>
      <w:r w:rsidRPr="00CC60C6">
        <w:rPr>
          <w:rFonts w:ascii="Simplified Arabic" w:eastAsia="Times New Roman" w:hAnsi="Simplified Arabic" w:cs="Simplified Arabic"/>
          <w:kern w:val="0"/>
          <w:sz w:val="28"/>
          <w:szCs w:val="28"/>
          <w14:ligatures w14:val="none"/>
        </w:rPr>
        <w:t xml:space="preserve"> et al. (2022) </w:t>
      </w:r>
      <w:r w:rsidRPr="00CC60C6">
        <w:rPr>
          <w:rFonts w:ascii="Simplified Arabic" w:eastAsia="Times New Roman" w:hAnsi="Simplified Arabic" w:cs="Simplified Arabic"/>
          <w:kern w:val="0"/>
          <w:sz w:val="28"/>
          <w:szCs w:val="28"/>
          <w:rtl/>
          <w14:ligatures w14:val="none"/>
        </w:rPr>
        <w:t xml:space="preserve">منظوراً مختلفاً حين يعتبر الأداء المستدام قدرة المنظمة على تحقيق التميّز في أوقات الأزمات، بحيث تُشكّل الاستدامة درعاً حاميةً تُمكّن المنظمة من الصمود في وجه التحديات </w:t>
      </w:r>
      <w:r w:rsidRPr="00CC60C6">
        <w:rPr>
          <w:rFonts w:ascii="Simplified Arabic" w:eastAsia="Times New Roman" w:hAnsi="Simplified Arabic" w:cs="Simplified Arabic"/>
          <w:kern w:val="0"/>
          <w:sz w:val="28"/>
          <w:szCs w:val="28"/>
          <w:rtl/>
          <w14:ligatures w14:val="none"/>
        </w:rPr>
        <w:lastRenderedPageBreak/>
        <w:t>الاستثنائية، وهو ما تجلى بوضوحٍ خلال جائحة كوفيد-19. ويُبرز هذا التعريف البُعد المتعلق بمرونة المنظمة وقدرتها على التكيف مع الصدمات الخارجية</w:t>
      </w:r>
      <w:r w:rsidRPr="00CC60C6">
        <w:rPr>
          <w:rFonts w:ascii="Simplified Arabic" w:eastAsia="Times New Roman" w:hAnsi="Simplified Arabic" w:cs="Simplified Arabic"/>
          <w:kern w:val="0"/>
          <w:sz w:val="28"/>
          <w:szCs w:val="28"/>
          <w14:ligatures w14:val="none"/>
        </w:rPr>
        <w:t>.</w:t>
      </w:r>
    </w:p>
    <w:p w14:paraId="54116AA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ومن زاويةٍ مختلفة، يرى</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Bacinello</w:t>
      </w:r>
      <w:proofErr w:type="spellEnd"/>
      <w:r w:rsidRPr="00CC60C6">
        <w:rPr>
          <w:rFonts w:ascii="Simplified Arabic" w:eastAsia="Times New Roman" w:hAnsi="Simplified Arabic" w:cs="Simplified Arabic"/>
          <w:kern w:val="0"/>
          <w:sz w:val="28"/>
          <w:szCs w:val="28"/>
          <w14:ligatures w14:val="none"/>
        </w:rPr>
        <w:t xml:space="preserve"> et al. (2021) </w:t>
      </w:r>
      <w:r w:rsidRPr="00CC60C6">
        <w:rPr>
          <w:rFonts w:ascii="Simplified Arabic" w:eastAsia="Times New Roman" w:hAnsi="Simplified Arabic" w:cs="Simplified Arabic"/>
          <w:kern w:val="0"/>
          <w:sz w:val="28"/>
          <w:szCs w:val="28"/>
          <w:rtl/>
          <w14:ligatures w14:val="none"/>
        </w:rPr>
        <w:t>أن الأداء المستدام يتجلى في قدرة المنظمة على دمج المسؤولية الاجتماعية في جوهر ممارساتها المؤسسية، بحيث لا تُصبح الاستدامة مجرد نشاطٍ هامشيٍّ أو استجابةً لضغوطٍ خارجيةٍ، بل جزءاً لا يتجزأ من هويتها الاستراتيجية. ويُضيف هذا التعريف بُعداً قيمياً وثقافياً للأداء المستدام</w:t>
      </w:r>
      <w:r w:rsidRPr="00CC60C6">
        <w:rPr>
          <w:rFonts w:ascii="Simplified Arabic" w:eastAsia="Times New Roman" w:hAnsi="Simplified Arabic" w:cs="Simplified Arabic"/>
          <w:kern w:val="0"/>
          <w:sz w:val="28"/>
          <w:szCs w:val="28"/>
          <w14:ligatures w14:val="none"/>
        </w:rPr>
        <w:t>.</w:t>
      </w:r>
    </w:p>
    <w:p w14:paraId="3B36052D"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وعلى الصعيد العربي، تُعرّف السيد وفتحي (2022) الأداء المستدام بأنه منظومةٌ متكاملةٌ من المقومات التنظيمية والإدارية التي تُمكّن المؤسسة من تحقيق أهدافها الاستراتيجية بفعاليةٍ مستدامةٍ، مع مراعاة الأبعاد الاقتصادية والاجتماعية والبيئية بشكلٍ متوازن. ويُبرز هذا التعريف الطبيعة المنظومية للأداء المستدام</w:t>
      </w:r>
      <w:r w:rsidRPr="00CC60C6">
        <w:rPr>
          <w:rFonts w:ascii="Simplified Arabic" w:eastAsia="Times New Roman" w:hAnsi="Simplified Arabic" w:cs="Simplified Arabic"/>
          <w:kern w:val="0"/>
          <w:sz w:val="28"/>
          <w:szCs w:val="28"/>
          <w14:ligatures w14:val="none"/>
        </w:rPr>
        <w:t>.</w:t>
      </w:r>
    </w:p>
    <w:p w14:paraId="22716E22"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ويُقدّم مهدي (2023) رؤيةً تنظيميةً معمقةً حين يعتبر الأداء المستدام محصلةً لتفاعل عوامل تنظيميةٍ متعددةٍ تشمل البصمة الوراثية التنظيمية والدعم التنظيمي المدرك، بحيث يُمكن فهم الأداء المستدام من خلال تحليل الخصائص الجينية للمنظمة والعوامل التنظيمية الداعمة</w:t>
      </w:r>
      <w:r w:rsidRPr="00CC60C6">
        <w:rPr>
          <w:rFonts w:ascii="Simplified Arabic" w:eastAsia="Times New Roman" w:hAnsi="Simplified Arabic" w:cs="Simplified Arabic"/>
          <w:kern w:val="0"/>
          <w:sz w:val="28"/>
          <w:szCs w:val="28"/>
          <w14:ligatures w14:val="none"/>
        </w:rPr>
        <w:t>.</w:t>
      </w:r>
    </w:p>
    <w:p w14:paraId="749ADF92"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في حين ترى دفع الله وآخرون (2023) أن الأداء المستدام يرتبط ارتباطاً وثيقاً بالتوجه الريادي للمنظمة وممارساتها التسويقية الريادية، بحيث تُشكّل الريادة رافداً استراتيجياً لتحقيق أداءٍ مستدامٍ في القطاعات الصناعية</w:t>
      </w:r>
      <w:r w:rsidRPr="00CC60C6">
        <w:rPr>
          <w:rFonts w:ascii="Simplified Arabic" w:eastAsia="Times New Roman" w:hAnsi="Simplified Arabic" w:cs="Simplified Arabic"/>
          <w:kern w:val="0"/>
          <w:sz w:val="28"/>
          <w:szCs w:val="28"/>
          <w14:ligatures w14:val="none"/>
        </w:rPr>
        <w:t>.</w:t>
      </w:r>
    </w:p>
    <w:p w14:paraId="747FE058" w14:textId="071C663C" w:rsidR="001144E0"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رأي الباحث</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 xml:space="preserve">بعد استعراض التعريفات السابقة، يرى الباحث أن الأداء المستدام هو </w:t>
      </w:r>
      <w:r w:rsidRPr="00CC60C6">
        <w:rPr>
          <w:rFonts w:ascii="Simplified Arabic" w:eastAsia="Times New Roman" w:hAnsi="Simplified Arabic" w:cs="Simplified Arabic"/>
          <w:b/>
          <w:bCs/>
          <w:kern w:val="0"/>
          <w:sz w:val="28"/>
          <w:szCs w:val="28"/>
          <w:rtl/>
          <w14:ligatures w14:val="none"/>
        </w:rPr>
        <w:t>المحصلة الاستراتيجية المتكاملة التي تعكس قدرة المنظمة على تحقيق قيمةٍ مضافةٍ متوازنةٍ في أبعادها الاقتصادية والاجتماعية والبيئية، من خلال تبنّي ممارساتٍ مؤسسيةٍ رشيدةٍ تُوازن بين مصالح جميع أصحاب المصلحة، وبناء قدراتٍ ديناميكيةٍ تُمكّن المنظمة من الصمود في وجه التحديات والتكيف مع المتغيرات، بما يضمن استمراريتها وتنافسيتها على المدى الطويل</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ويتميّز هذا التعريف بجمعه بين البُعد الأدائي المتعدد الأبعاد والبُعد الاستراتيجي المتعلق بالمرونة والاستمرارية</w:t>
      </w:r>
      <w:r w:rsidRPr="00CC60C6">
        <w:rPr>
          <w:rFonts w:ascii="Simplified Arabic" w:eastAsia="Times New Roman" w:hAnsi="Simplified Arabic" w:cs="Simplified Arabic"/>
          <w:kern w:val="0"/>
          <w:sz w:val="28"/>
          <w:szCs w:val="28"/>
          <w14:ligatures w14:val="none"/>
        </w:rPr>
        <w:t>.</w:t>
      </w:r>
    </w:p>
    <w:p w14:paraId="678AC8C9" w14:textId="77777777" w:rsidR="001144E0" w:rsidRDefault="001144E0">
      <w:pPr>
        <w:bidi w:val="0"/>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68CE76FE" w14:textId="2E1784B7"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49" w:name="_Toc234293333"/>
      <w:r>
        <w:rPr>
          <w:rFonts w:ascii="Simplified Arabic" w:eastAsia="Times New Roman" w:hAnsi="Simplified Arabic" w:cs="Simplified Arabic" w:hint="cs"/>
          <w:b/>
          <w:bCs/>
          <w:kern w:val="0"/>
          <w:sz w:val="36"/>
          <w:szCs w:val="36"/>
          <w:rtl/>
          <w14:ligatures w14:val="none"/>
        </w:rPr>
        <w:lastRenderedPageBreak/>
        <w:t xml:space="preserve">3.2.2 </w:t>
      </w:r>
      <w:r w:rsidR="005C64B5" w:rsidRPr="001144E0">
        <w:rPr>
          <w:rFonts w:ascii="Simplified Arabic" w:eastAsia="Times New Roman" w:hAnsi="Simplified Arabic" w:cs="Simplified Arabic"/>
          <w:b/>
          <w:bCs/>
          <w:kern w:val="0"/>
          <w:sz w:val="36"/>
          <w:szCs w:val="36"/>
          <w:rtl/>
          <w14:ligatures w14:val="none"/>
        </w:rPr>
        <w:t>ثانياً: أهمية الأداء المستدام</w:t>
      </w:r>
      <w:bookmarkEnd w:id="49"/>
    </w:p>
    <w:p w14:paraId="53B7E52F"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تتنامى أهمية الأداء المستدام في بيئة الأعمال المعاصرة بوصفه معياراً محورياً لقياس نجاح المنظمات وقدرتها على البقاء والنمو في ظل التحديات المتصاعدة. وتنبع هذه الأهمية من التحولات الجذرية في توقعات أصحاب المصلحة، وتصاعد الوعي البيئي والاجتماعي، وتزايد الضغوط التنظيمية العالمية</w:t>
      </w:r>
      <w:r w:rsidRPr="00CC60C6">
        <w:rPr>
          <w:rFonts w:ascii="Simplified Arabic" w:eastAsia="Times New Roman" w:hAnsi="Simplified Arabic" w:cs="Simplified Arabic"/>
          <w:kern w:val="0"/>
          <w:sz w:val="28"/>
          <w:szCs w:val="28"/>
          <w14:ligatures w14:val="none"/>
        </w:rPr>
        <w:t>.</w:t>
      </w:r>
    </w:p>
    <w:p w14:paraId="50E0200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ويُشير</w:t>
      </w:r>
      <w:r w:rsidRPr="00CC60C6">
        <w:rPr>
          <w:rFonts w:ascii="Simplified Arabic" w:eastAsia="Times New Roman" w:hAnsi="Simplified Arabic" w:cs="Simplified Arabic"/>
          <w:kern w:val="0"/>
          <w:sz w:val="28"/>
          <w:szCs w:val="28"/>
          <w14:ligatures w14:val="none"/>
        </w:rPr>
        <w:t xml:space="preserve"> Liu et al. (2023) </w:t>
      </w:r>
      <w:r w:rsidRPr="00CC60C6">
        <w:rPr>
          <w:rFonts w:ascii="Simplified Arabic" w:eastAsia="Times New Roman" w:hAnsi="Simplified Arabic" w:cs="Simplified Arabic"/>
          <w:kern w:val="0"/>
          <w:sz w:val="28"/>
          <w:szCs w:val="28"/>
          <w:rtl/>
          <w14:ligatures w14:val="none"/>
        </w:rPr>
        <w:t>إلى أن أهمية الأداء المستدام تتجلى في: أولاً، بناء ميزةٍ تنافسيةٍ مستدامةٍ للمنظمة من خلال التميّز في الأبعاد البيئية والاجتماعية إلى جانب الاقتصادية، مما يُميّزها عن المنافسين. ثانياً، تعزيز القدرة على استقطاب الكفاءات البشرية المتميّزة التي تُفضّل العمل في منظماتٍ ذات مسؤوليةٍ اجتماعيةٍ وبيئية. ثالثاً، تحسين العلاقة مع المستثمرين وجذب رؤوس الأموال الخضراء والمسؤولة اجتماعياً. رابعاً، بناء سمعةٍ مؤسسيةٍ إيجابيةٍ تُعزّز ثقة العملاء والشركاء</w:t>
      </w:r>
      <w:r w:rsidRPr="00CC60C6">
        <w:rPr>
          <w:rFonts w:ascii="Simplified Arabic" w:eastAsia="Times New Roman" w:hAnsi="Simplified Arabic" w:cs="Simplified Arabic"/>
          <w:kern w:val="0"/>
          <w:sz w:val="28"/>
          <w:szCs w:val="28"/>
          <w14:ligatures w14:val="none"/>
        </w:rPr>
        <w:t>.</w:t>
      </w:r>
    </w:p>
    <w:p w14:paraId="41399239"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ويرى</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Bacinello</w:t>
      </w:r>
      <w:proofErr w:type="spellEnd"/>
      <w:r w:rsidRPr="00CC60C6">
        <w:rPr>
          <w:rFonts w:ascii="Simplified Arabic" w:eastAsia="Times New Roman" w:hAnsi="Simplified Arabic" w:cs="Simplified Arabic"/>
          <w:kern w:val="0"/>
          <w:sz w:val="28"/>
          <w:szCs w:val="28"/>
          <w14:ligatures w14:val="none"/>
        </w:rPr>
        <w:t xml:space="preserve"> et al. (2021) </w:t>
      </w:r>
      <w:r w:rsidRPr="00CC60C6">
        <w:rPr>
          <w:rFonts w:ascii="Simplified Arabic" w:eastAsia="Times New Roman" w:hAnsi="Simplified Arabic" w:cs="Simplified Arabic"/>
          <w:kern w:val="0"/>
          <w:sz w:val="28"/>
          <w:szCs w:val="28"/>
          <w:rtl/>
          <w14:ligatures w14:val="none"/>
        </w:rPr>
        <w:t>أن أهمية الأداء المستدام تتضح في: أولاً، تحقيق التكامل بين المسؤولية الاجتماعية والأهداف الاقتصادية بما يُنهي التعارض التقليدي بين الربحية والاستدامة. ثانياً، دعم النمو المتوازن للشركات الصغيرة والمتوسطة التي تُمثّل العمود الفقري للاقتصادات الوطنية. ثالثاً، تعزيز الابتكار المؤسسي عبر تحفيز الشركات على تطوير حلولٍ مستدامةٍ لتحدياتٍ اجتماعيةٍ وبيئية</w:t>
      </w:r>
      <w:r w:rsidRPr="00CC60C6">
        <w:rPr>
          <w:rFonts w:ascii="Simplified Arabic" w:eastAsia="Times New Roman" w:hAnsi="Simplified Arabic" w:cs="Simplified Arabic"/>
          <w:kern w:val="0"/>
          <w:sz w:val="28"/>
          <w:szCs w:val="28"/>
          <w14:ligatures w14:val="none"/>
        </w:rPr>
        <w:t>.</w:t>
      </w:r>
    </w:p>
    <w:p w14:paraId="58AB5AD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ويُبرز</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Alraja</w:t>
      </w:r>
      <w:proofErr w:type="spellEnd"/>
      <w:r w:rsidRPr="00CC60C6">
        <w:rPr>
          <w:rFonts w:ascii="Simplified Arabic" w:eastAsia="Times New Roman" w:hAnsi="Simplified Arabic" w:cs="Simplified Arabic"/>
          <w:kern w:val="0"/>
          <w:sz w:val="28"/>
          <w:szCs w:val="28"/>
          <w14:ligatures w14:val="none"/>
        </w:rPr>
        <w:t xml:space="preserve"> et al. (2022) </w:t>
      </w:r>
      <w:r w:rsidRPr="00CC60C6">
        <w:rPr>
          <w:rFonts w:ascii="Simplified Arabic" w:eastAsia="Times New Roman" w:hAnsi="Simplified Arabic" w:cs="Simplified Arabic"/>
          <w:kern w:val="0"/>
          <w:sz w:val="28"/>
          <w:szCs w:val="28"/>
          <w:rtl/>
          <w14:ligatures w14:val="none"/>
        </w:rPr>
        <w:t>أهميةً استراتيجيةً إضافيةً للأداء المستدام تتمثل في: أولاً، تعزيز مرونة المنظمة وقدرتها على الصمود في وجه الأزمات، بحيث تُصبح الاستدامة عاملاً حاسماً في تجاوز الصدمات الخارجية. ثانياً، دعم الابتكار التكنولوجي والممارسات الخضراء بوصفها رافداً للتنافسية في أوقات الأزمات. ثالثاً، ضمان استمرارية الأعمال في ظل الظروف الاستثنائية</w:t>
      </w:r>
      <w:r w:rsidRPr="00CC60C6">
        <w:rPr>
          <w:rFonts w:ascii="Simplified Arabic" w:eastAsia="Times New Roman" w:hAnsi="Simplified Arabic" w:cs="Simplified Arabic"/>
          <w:kern w:val="0"/>
          <w:sz w:val="28"/>
          <w:szCs w:val="28"/>
          <w14:ligatures w14:val="none"/>
        </w:rPr>
        <w:t>.</w:t>
      </w:r>
    </w:p>
    <w:p w14:paraId="40C8C48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ويرى</w:t>
      </w:r>
      <w:r w:rsidRPr="00CC60C6">
        <w:rPr>
          <w:rFonts w:ascii="Simplified Arabic" w:eastAsia="Times New Roman" w:hAnsi="Simplified Arabic" w:cs="Simplified Arabic"/>
          <w:kern w:val="0"/>
          <w:sz w:val="28"/>
          <w:szCs w:val="28"/>
          <w14:ligatures w14:val="none"/>
        </w:rPr>
        <w:t xml:space="preserve"> Damnjanovi</w:t>
      </w:r>
      <w:r w:rsidRPr="00CC60C6">
        <w:rPr>
          <w:rFonts w:ascii="Cambria" w:eastAsia="Times New Roman" w:hAnsi="Cambria" w:cs="Cambria"/>
          <w:kern w:val="0"/>
          <w:sz w:val="28"/>
          <w:szCs w:val="28"/>
          <w14:ligatures w14:val="none"/>
        </w:rPr>
        <w:t>ć</w:t>
      </w:r>
      <w:r w:rsidRPr="00CC60C6">
        <w:rPr>
          <w:rFonts w:ascii="Simplified Arabic" w:eastAsia="Times New Roman" w:hAnsi="Simplified Arabic" w:cs="Simplified Arabic"/>
          <w:kern w:val="0"/>
          <w:sz w:val="28"/>
          <w:szCs w:val="28"/>
          <w14:ligatures w14:val="none"/>
        </w:rPr>
        <w:t xml:space="preserve"> et al. (2025) </w:t>
      </w:r>
      <w:r w:rsidRPr="00CC60C6">
        <w:rPr>
          <w:rFonts w:ascii="Simplified Arabic" w:eastAsia="Times New Roman" w:hAnsi="Simplified Arabic" w:cs="Simplified Arabic"/>
          <w:kern w:val="0"/>
          <w:sz w:val="28"/>
          <w:szCs w:val="28"/>
          <w:rtl/>
          <w14:ligatures w14:val="none"/>
        </w:rPr>
        <w:t>أن الأداء المستدام يكتسب أهميةً متزايدةً في سياق التحول الرقمي، إذ يُشكّل التقاطع بين الذكاء الاصطناعي والاستدامة فرصةً استراتيجيةً للشركات الصغيرة والمتوسطة لتحقيق قفزةٍ نوعيةٍ في أدائها</w:t>
      </w:r>
      <w:r w:rsidRPr="00CC60C6">
        <w:rPr>
          <w:rFonts w:ascii="Simplified Arabic" w:eastAsia="Times New Roman" w:hAnsi="Simplified Arabic" w:cs="Simplified Arabic"/>
          <w:kern w:val="0"/>
          <w:sz w:val="28"/>
          <w:szCs w:val="28"/>
          <w14:ligatures w14:val="none"/>
        </w:rPr>
        <w:t>.</w:t>
      </w:r>
    </w:p>
    <w:p w14:paraId="7128EB8C"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ويشير دفع الله وآخرون (2023) إلى أن أهمية الأداء المستدام في القطاع الصناعي تتجلى في: أولاً، تعزيز التوجه الريادي للشركات الصناعية بما يُمكّنها من ابتكار منتجاتٍ وخدماتٍ مستدامة. ثانياً، تحسين استخدام الموارد الطبيعية والبشرية. ثالثاً، الإسهام في تحقيق التنمية المستدامة على المستوى الوطني</w:t>
      </w:r>
      <w:r w:rsidRPr="00CC60C6">
        <w:rPr>
          <w:rFonts w:ascii="Simplified Arabic" w:eastAsia="Times New Roman" w:hAnsi="Simplified Arabic" w:cs="Simplified Arabic"/>
          <w:kern w:val="0"/>
          <w:sz w:val="28"/>
          <w:szCs w:val="28"/>
          <w14:ligatures w14:val="none"/>
        </w:rPr>
        <w:t>.</w:t>
      </w:r>
    </w:p>
    <w:p w14:paraId="49E15F02"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lastRenderedPageBreak/>
        <w:t>وتُبرز السيد وفتحي (2022) أهمية الأداء المستدام في القطاع الصحي والخدمي حيث يُشكّل: أولاً، ضماناً لجودة الخدمات المقدمة للمستفيدين على المدى الطويل. ثانياً، تعزيزاً لكفاءة استخدام الموارد المؤسسية. ثالثاً، دعماً لرسالة المؤسسات الخدمية في تحقيق الأثر الاجتماعي</w:t>
      </w:r>
      <w:r w:rsidRPr="00CC60C6">
        <w:rPr>
          <w:rFonts w:ascii="Simplified Arabic" w:eastAsia="Times New Roman" w:hAnsi="Simplified Arabic" w:cs="Simplified Arabic"/>
          <w:kern w:val="0"/>
          <w:sz w:val="28"/>
          <w:szCs w:val="28"/>
          <w14:ligatures w14:val="none"/>
        </w:rPr>
        <w:t>.</w:t>
      </w:r>
    </w:p>
    <w:p w14:paraId="6606A106"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رأي الباحث</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يرى الباحث أن أهمية الأداء المستدام لا تقتصر على المستوى المؤسسي بل تمتد إلى المستوى الوطني والعالمي، إذ يُشكّل مؤشراً على نضج المنظمات وإسهامها في تحقيق أهداف التنمية المستدامة العالمية. وتبرز هذه الأهمية بشكلٍ خاصٍّ في الصناديق السيادية الاستثمارية بوصفها كياناتٍ ذات تأثيرٍ اقتصاديٍّ واستراتيجيٍّ واسعٍ، حيث يُعزّز الأداء المستدام قدرتها على تحقيق العوائد الاستثمارية مع الإسهام في التنمية الشاملة</w:t>
      </w:r>
      <w:r w:rsidRPr="00CC60C6">
        <w:rPr>
          <w:rFonts w:ascii="Simplified Arabic" w:eastAsia="Times New Roman" w:hAnsi="Simplified Arabic" w:cs="Simplified Arabic"/>
          <w:kern w:val="0"/>
          <w:sz w:val="28"/>
          <w:szCs w:val="28"/>
          <w14:ligatures w14:val="none"/>
        </w:rPr>
        <w:t>.</w:t>
      </w:r>
    </w:p>
    <w:p w14:paraId="275C4018" w14:textId="73D1D124"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0" w:name="_Toc234293334"/>
      <w:r>
        <w:rPr>
          <w:rFonts w:ascii="Simplified Arabic" w:eastAsia="Times New Roman" w:hAnsi="Simplified Arabic" w:cs="Simplified Arabic" w:hint="cs"/>
          <w:b/>
          <w:bCs/>
          <w:kern w:val="0"/>
          <w:sz w:val="36"/>
          <w:szCs w:val="36"/>
          <w:rtl/>
          <w14:ligatures w14:val="none"/>
        </w:rPr>
        <w:t xml:space="preserve">4.2.2 </w:t>
      </w:r>
      <w:r w:rsidR="005C64B5" w:rsidRPr="001144E0">
        <w:rPr>
          <w:rFonts w:ascii="Simplified Arabic" w:eastAsia="Times New Roman" w:hAnsi="Simplified Arabic" w:cs="Simplified Arabic"/>
          <w:b/>
          <w:bCs/>
          <w:kern w:val="0"/>
          <w:sz w:val="36"/>
          <w:szCs w:val="36"/>
          <w:rtl/>
          <w14:ligatures w14:val="none"/>
        </w:rPr>
        <w:t>ثالثاً: أهداف الأداء المستدام</w:t>
      </w:r>
      <w:bookmarkEnd w:id="50"/>
    </w:p>
    <w:p w14:paraId="19139530"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تتنوع الأهداف التي تسعى المنظمات إلى تحقيقها من خلال تبنّي منهج الأداء المستدام. ويُلخّص</w:t>
      </w:r>
      <w:r w:rsidRPr="00CC60C6">
        <w:rPr>
          <w:rFonts w:ascii="Simplified Arabic" w:eastAsia="Times New Roman" w:hAnsi="Simplified Arabic" w:cs="Simplified Arabic"/>
          <w:kern w:val="0"/>
          <w:sz w:val="28"/>
          <w:szCs w:val="28"/>
          <w14:ligatures w14:val="none"/>
        </w:rPr>
        <w:t xml:space="preserve"> Liu et al. (2023) </w:t>
      </w:r>
      <w:r w:rsidRPr="00CC60C6">
        <w:rPr>
          <w:rFonts w:ascii="Simplified Arabic" w:eastAsia="Times New Roman" w:hAnsi="Simplified Arabic" w:cs="Simplified Arabic"/>
          <w:kern w:val="0"/>
          <w:sz w:val="28"/>
          <w:szCs w:val="28"/>
          <w:rtl/>
          <w14:ligatures w14:val="none"/>
        </w:rPr>
        <w:t>الأهداف الجوهرية في</w:t>
      </w:r>
      <w:r w:rsidRPr="00CC60C6">
        <w:rPr>
          <w:rFonts w:ascii="Simplified Arabic" w:eastAsia="Times New Roman" w:hAnsi="Simplified Arabic" w:cs="Simplified Arabic"/>
          <w:kern w:val="0"/>
          <w:sz w:val="28"/>
          <w:szCs w:val="28"/>
          <w14:ligatures w14:val="none"/>
        </w:rPr>
        <w:t>:</w:t>
      </w:r>
    </w:p>
    <w:p w14:paraId="1F4F1C52" w14:textId="77777777" w:rsidR="005C64B5" w:rsidRPr="001144E0"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تحقيق التكامل بين ممارسات الموارد البشرية الخضراء والابتكار الأخضر والقيادة المسؤولة</w:t>
      </w:r>
      <w:r w:rsidRPr="001144E0">
        <w:rPr>
          <w:rFonts w:ascii="Simplified Arabic" w:eastAsia="Times New Roman" w:hAnsi="Simplified Arabic" w:cs="Simplified Arabic"/>
          <w:kern w:val="0"/>
          <w:sz w:val="28"/>
          <w:szCs w:val="28"/>
          <w14:ligatures w14:val="none"/>
        </w:rPr>
        <w:t>.</w:t>
      </w:r>
    </w:p>
    <w:p w14:paraId="38FE2D03" w14:textId="77777777" w:rsidR="005C64B5" w:rsidRPr="001144E0"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تعزيز السلوك المؤيّد للبيئة لدى العاملين والقيادات</w:t>
      </w:r>
      <w:r w:rsidRPr="001144E0">
        <w:rPr>
          <w:rFonts w:ascii="Simplified Arabic" w:eastAsia="Times New Roman" w:hAnsi="Simplified Arabic" w:cs="Simplified Arabic"/>
          <w:kern w:val="0"/>
          <w:sz w:val="28"/>
          <w:szCs w:val="28"/>
          <w14:ligatures w14:val="none"/>
        </w:rPr>
        <w:t>.</w:t>
      </w:r>
    </w:p>
    <w:p w14:paraId="0A11A0EA" w14:textId="77777777" w:rsidR="005C64B5" w:rsidRPr="001144E0"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بناء منظمةٍ ذات هويةٍ مستدامةٍ متكاملة</w:t>
      </w:r>
      <w:r w:rsidRPr="001144E0">
        <w:rPr>
          <w:rFonts w:ascii="Simplified Arabic" w:eastAsia="Times New Roman" w:hAnsi="Simplified Arabic" w:cs="Simplified Arabic"/>
          <w:kern w:val="0"/>
          <w:sz w:val="28"/>
          <w:szCs w:val="28"/>
          <w14:ligatures w14:val="none"/>
        </w:rPr>
        <w:t>.</w:t>
      </w:r>
    </w:p>
    <w:p w14:paraId="6156D5CC" w14:textId="77777777" w:rsidR="005C64B5" w:rsidRPr="001144E0"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1144E0">
        <w:rPr>
          <w:rFonts w:ascii="Simplified Arabic" w:eastAsia="Times New Roman" w:hAnsi="Simplified Arabic" w:cs="Simplified Arabic"/>
          <w:kern w:val="0"/>
          <w:sz w:val="28"/>
          <w:szCs w:val="28"/>
          <w:rtl/>
          <w14:ligatures w14:val="none"/>
        </w:rPr>
        <w:t>الإسهام في تحقيق أهداف التنمية المستدامة العالمية</w:t>
      </w:r>
      <w:r w:rsidRPr="001144E0">
        <w:rPr>
          <w:rFonts w:ascii="Simplified Arabic" w:eastAsia="Times New Roman" w:hAnsi="Simplified Arabic" w:cs="Simplified Arabic"/>
          <w:kern w:val="0"/>
          <w:sz w:val="28"/>
          <w:szCs w:val="28"/>
          <w14:ligatures w14:val="none"/>
        </w:rPr>
        <w:t>.</w:t>
      </w:r>
    </w:p>
    <w:p w14:paraId="5B54D411" w14:textId="77777777" w:rsidR="005C64B5" w:rsidRPr="001144E0" w:rsidRDefault="005C64B5" w:rsidP="00CC60C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r w:rsidRPr="001144E0">
        <w:rPr>
          <w:rFonts w:ascii="Simplified Arabic" w:eastAsia="Times New Roman" w:hAnsi="Simplified Arabic" w:cs="Simplified Arabic"/>
          <w:b/>
          <w:bCs/>
          <w:kern w:val="0"/>
          <w:sz w:val="28"/>
          <w:szCs w:val="28"/>
          <w:rtl/>
          <w14:ligatures w14:val="none"/>
        </w:rPr>
        <w:t>ويطرح الفسفوس وعلي (2025) أهدافاً استراتيجيةً لممارسات الاستدامة تشمل</w:t>
      </w:r>
      <w:r w:rsidRPr="001144E0">
        <w:rPr>
          <w:rFonts w:ascii="Simplified Arabic" w:eastAsia="Times New Roman" w:hAnsi="Simplified Arabic" w:cs="Simplified Arabic"/>
          <w:b/>
          <w:bCs/>
          <w:kern w:val="0"/>
          <w:sz w:val="28"/>
          <w:szCs w:val="28"/>
          <w14:ligatures w14:val="none"/>
        </w:rPr>
        <w:t>:</w:t>
      </w:r>
    </w:p>
    <w:p w14:paraId="60586BA9"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تعزيز الاعتدال والرشد في استخدام الموارد</w:t>
      </w:r>
      <w:r w:rsidRPr="00CC60C6">
        <w:rPr>
          <w:rFonts w:ascii="Simplified Arabic" w:eastAsia="Times New Roman" w:hAnsi="Simplified Arabic" w:cs="Simplified Arabic"/>
          <w:kern w:val="0"/>
          <w:sz w:val="28"/>
          <w:szCs w:val="28"/>
          <w14:ligatures w14:val="none"/>
        </w:rPr>
        <w:t>.</w:t>
      </w:r>
    </w:p>
    <w:p w14:paraId="3B272A48"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بناء المناعة الذاتية للمؤسسات في مواجهة التحديات</w:t>
      </w:r>
      <w:r w:rsidRPr="00CC60C6">
        <w:rPr>
          <w:rFonts w:ascii="Simplified Arabic" w:eastAsia="Times New Roman" w:hAnsi="Simplified Arabic" w:cs="Simplified Arabic"/>
          <w:kern w:val="0"/>
          <w:sz w:val="28"/>
          <w:szCs w:val="28"/>
          <w14:ligatures w14:val="none"/>
        </w:rPr>
        <w:t>.</w:t>
      </w:r>
    </w:p>
    <w:p w14:paraId="688DD79B"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ترسيخ منظومة معرفيةٍ وأخلاقيةٍ داعمةٍ للاستدامة</w:t>
      </w:r>
      <w:r w:rsidRPr="00CC60C6">
        <w:rPr>
          <w:rFonts w:ascii="Simplified Arabic" w:eastAsia="Times New Roman" w:hAnsi="Simplified Arabic" w:cs="Simplified Arabic"/>
          <w:kern w:val="0"/>
          <w:sz w:val="28"/>
          <w:szCs w:val="28"/>
          <w14:ligatures w14:val="none"/>
        </w:rPr>
        <w:t>.</w:t>
      </w:r>
    </w:p>
    <w:p w14:paraId="24955224"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تحقيق التوازن بين متطلبات الحاضر واحتياجات المستقبل</w:t>
      </w:r>
      <w:r w:rsidRPr="00CC60C6">
        <w:rPr>
          <w:rFonts w:ascii="Simplified Arabic" w:eastAsia="Times New Roman" w:hAnsi="Simplified Arabic" w:cs="Simplified Arabic"/>
          <w:kern w:val="0"/>
          <w:sz w:val="28"/>
          <w:szCs w:val="28"/>
          <w14:ligatures w14:val="none"/>
        </w:rPr>
        <w:t>.</w:t>
      </w:r>
    </w:p>
    <w:p w14:paraId="0F7CFA16" w14:textId="77777777" w:rsidR="005C64B5" w:rsidRPr="001144E0" w:rsidRDefault="005C64B5" w:rsidP="00CC60C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r w:rsidRPr="001144E0">
        <w:rPr>
          <w:rFonts w:ascii="Simplified Arabic" w:eastAsia="Times New Roman" w:hAnsi="Simplified Arabic" w:cs="Simplified Arabic"/>
          <w:b/>
          <w:bCs/>
          <w:kern w:val="0"/>
          <w:sz w:val="28"/>
          <w:szCs w:val="28"/>
          <w:rtl/>
          <w14:ligatures w14:val="none"/>
        </w:rPr>
        <w:t>ويُحدّد</w:t>
      </w:r>
      <w:r w:rsidRPr="001144E0">
        <w:rPr>
          <w:rFonts w:ascii="Simplified Arabic" w:eastAsia="Times New Roman" w:hAnsi="Simplified Arabic" w:cs="Simplified Arabic"/>
          <w:b/>
          <w:bCs/>
          <w:kern w:val="0"/>
          <w:sz w:val="28"/>
          <w:szCs w:val="28"/>
          <w14:ligatures w14:val="none"/>
        </w:rPr>
        <w:t xml:space="preserve"> </w:t>
      </w:r>
      <w:proofErr w:type="spellStart"/>
      <w:r w:rsidRPr="001144E0">
        <w:rPr>
          <w:rFonts w:ascii="Simplified Arabic" w:eastAsia="Times New Roman" w:hAnsi="Simplified Arabic" w:cs="Simplified Arabic"/>
          <w:b/>
          <w:bCs/>
          <w:kern w:val="0"/>
          <w:sz w:val="28"/>
          <w:szCs w:val="28"/>
          <w14:ligatures w14:val="none"/>
        </w:rPr>
        <w:t>Bacinello</w:t>
      </w:r>
      <w:proofErr w:type="spellEnd"/>
      <w:r w:rsidRPr="001144E0">
        <w:rPr>
          <w:rFonts w:ascii="Simplified Arabic" w:eastAsia="Times New Roman" w:hAnsi="Simplified Arabic" w:cs="Simplified Arabic"/>
          <w:b/>
          <w:bCs/>
          <w:kern w:val="0"/>
          <w:sz w:val="28"/>
          <w:szCs w:val="28"/>
          <w14:ligatures w14:val="none"/>
        </w:rPr>
        <w:t xml:space="preserve"> et al. (2021) </w:t>
      </w:r>
      <w:r w:rsidRPr="001144E0">
        <w:rPr>
          <w:rFonts w:ascii="Simplified Arabic" w:eastAsia="Times New Roman" w:hAnsi="Simplified Arabic" w:cs="Simplified Arabic"/>
          <w:b/>
          <w:bCs/>
          <w:kern w:val="0"/>
          <w:sz w:val="28"/>
          <w:szCs w:val="28"/>
          <w:rtl/>
          <w14:ligatures w14:val="none"/>
        </w:rPr>
        <w:t>أهدافاً للأداء المستدام تتضمن</w:t>
      </w:r>
      <w:r w:rsidRPr="001144E0">
        <w:rPr>
          <w:rFonts w:ascii="Simplified Arabic" w:eastAsia="Times New Roman" w:hAnsi="Simplified Arabic" w:cs="Simplified Arabic"/>
          <w:b/>
          <w:bCs/>
          <w:kern w:val="0"/>
          <w:sz w:val="28"/>
          <w:szCs w:val="28"/>
          <w14:ligatures w14:val="none"/>
        </w:rPr>
        <w:t>:</w:t>
      </w:r>
    </w:p>
    <w:p w14:paraId="4892CAA6"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دمج المسؤولية الاجتماعية في جوهر الاستراتيجية المؤسسية</w:t>
      </w:r>
      <w:r w:rsidRPr="00CC60C6">
        <w:rPr>
          <w:rFonts w:ascii="Simplified Arabic" w:eastAsia="Times New Roman" w:hAnsi="Simplified Arabic" w:cs="Simplified Arabic"/>
          <w:kern w:val="0"/>
          <w:sz w:val="28"/>
          <w:szCs w:val="28"/>
          <w14:ligatures w14:val="none"/>
        </w:rPr>
        <w:t>.</w:t>
      </w:r>
    </w:p>
    <w:p w14:paraId="42752609"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lastRenderedPageBreak/>
        <w:t>تعزيز الأداء الاقتصادي للشركات الصغيرة والمتوسطة</w:t>
      </w:r>
      <w:r w:rsidRPr="00CC60C6">
        <w:rPr>
          <w:rFonts w:ascii="Simplified Arabic" w:eastAsia="Times New Roman" w:hAnsi="Simplified Arabic" w:cs="Simplified Arabic"/>
          <w:kern w:val="0"/>
          <w:sz w:val="28"/>
          <w:szCs w:val="28"/>
          <w14:ligatures w14:val="none"/>
        </w:rPr>
        <w:t>.</w:t>
      </w:r>
    </w:p>
    <w:p w14:paraId="2340F80B"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بناء علاقاتٍ إيجابيةٍ مع أصحاب المصلحة</w:t>
      </w:r>
      <w:r w:rsidRPr="00CC60C6">
        <w:rPr>
          <w:rFonts w:ascii="Simplified Arabic" w:eastAsia="Times New Roman" w:hAnsi="Simplified Arabic" w:cs="Simplified Arabic"/>
          <w:kern w:val="0"/>
          <w:sz w:val="28"/>
          <w:szCs w:val="28"/>
          <w14:ligatures w14:val="none"/>
        </w:rPr>
        <w:t>.</w:t>
      </w:r>
    </w:p>
    <w:p w14:paraId="0E78907F"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تحقيق أثرٍ إيجابيٍّ في المجتمعات المحلية</w:t>
      </w:r>
      <w:r w:rsidRPr="00CC60C6">
        <w:rPr>
          <w:rFonts w:ascii="Simplified Arabic" w:eastAsia="Times New Roman" w:hAnsi="Simplified Arabic" w:cs="Simplified Arabic"/>
          <w:kern w:val="0"/>
          <w:sz w:val="28"/>
          <w:szCs w:val="28"/>
          <w14:ligatures w14:val="none"/>
        </w:rPr>
        <w:t>.</w:t>
      </w:r>
    </w:p>
    <w:p w14:paraId="424C0B17" w14:textId="77777777" w:rsidR="005C64B5" w:rsidRPr="001144E0" w:rsidRDefault="005C64B5" w:rsidP="00CC60C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r w:rsidRPr="001144E0">
        <w:rPr>
          <w:rFonts w:ascii="Simplified Arabic" w:eastAsia="Times New Roman" w:hAnsi="Simplified Arabic" w:cs="Simplified Arabic"/>
          <w:b/>
          <w:bCs/>
          <w:kern w:val="0"/>
          <w:sz w:val="28"/>
          <w:szCs w:val="28"/>
          <w:rtl/>
          <w14:ligatures w14:val="none"/>
        </w:rPr>
        <w:t>ويرى أبو حميدة والربابعة (2025) أن الأداء المستدام يستهدف</w:t>
      </w:r>
      <w:r w:rsidRPr="001144E0">
        <w:rPr>
          <w:rFonts w:ascii="Simplified Arabic" w:eastAsia="Times New Roman" w:hAnsi="Simplified Arabic" w:cs="Simplified Arabic"/>
          <w:b/>
          <w:bCs/>
          <w:kern w:val="0"/>
          <w:sz w:val="28"/>
          <w:szCs w:val="28"/>
          <w14:ligatures w14:val="none"/>
        </w:rPr>
        <w:t>:</w:t>
      </w:r>
    </w:p>
    <w:p w14:paraId="7A52389C"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تعزيز الوضوح الاستراتيجي في المنظمة</w:t>
      </w:r>
      <w:r w:rsidRPr="00CC60C6">
        <w:rPr>
          <w:rFonts w:ascii="Simplified Arabic" w:eastAsia="Times New Roman" w:hAnsi="Simplified Arabic" w:cs="Simplified Arabic"/>
          <w:kern w:val="0"/>
          <w:sz w:val="28"/>
          <w:szCs w:val="28"/>
          <w14:ligatures w14:val="none"/>
        </w:rPr>
        <w:t>.</w:t>
      </w:r>
    </w:p>
    <w:p w14:paraId="3F52AEE9"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تحسين جودة القرارات الاستراتيجية</w:t>
      </w:r>
      <w:r w:rsidRPr="00CC60C6">
        <w:rPr>
          <w:rFonts w:ascii="Simplified Arabic" w:eastAsia="Times New Roman" w:hAnsi="Simplified Arabic" w:cs="Simplified Arabic"/>
          <w:kern w:val="0"/>
          <w:sz w:val="28"/>
          <w:szCs w:val="28"/>
          <w14:ligatures w14:val="none"/>
        </w:rPr>
        <w:t>.</w:t>
      </w:r>
    </w:p>
    <w:p w14:paraId="620CEC65"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تحقيق التوازن بين الأبعاد الاقتصادية والاجتماعية والبيئية</w:t>
      </w:r>
      <w:r w:rsidRPr="00CC60C6">
        <w:rPr>
          <w:rFonts w:ascii="Simplified Arabic" w:eastAsia="Times New Roman" w:hAnsi="Simplified Arabic" w:cs="Simplified Arabic"/>
          <w:kern w:val="0"/>
          <w:sz w:val="28"/>
          <w:szCs w:val="28"/>
          <w14:ligatures w14:val="none"/>
        </w:rPr>
        <w:t>.</w:t>
      </w:r>
    </w:p>
    <w:p w14:paraId="24D5D109"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بناء منظمةٍ قادرةٍ على تحقيق أهدافها على المدى الطويل</w:t>
      </w:r>
      <w:r w:rsidRPr="00CC60C6">
        <w:rPr>
          <w:rFonts w:ascii="Simplified Arabic" w:eastAsia="Times New Roman" w:hAnsi="Simplified Arabic" w:cs="Simplified Arabic"/>
          <w:kern w:val="0"/>
          <w:sz w:val="28"/>
          <w:szCs w:val="28"/>
          <w14:ligatures w14:val="none"/>
        </w:rPr>
        <w:t>.</w:t>
      </w:r>
    </w:p>
    <w:p w14:paraId="39C100CA" w14:textId="77777777" w:rsidR="005C64B5" w:rsidRPr="001144E0" w:rsidRDefault="005C64B5" w:rsidP="00CC60C6">
      <w:pPr>
        <w:spacing w:before="100" w:beforeAutospacing="1" w:after="100" w:afterAutospacing="1" w:line="276" w:lineRule="auto"/>
        <w:ind w:firstLine="720"/>
        <w:jc w:val="both"/>
        <w:rPr>
          <w:rFonts w:ascii="Simplified Arabic" w:eastAsia="Times New Roman" w:hAnsi="Simplified Arabic" w:cs="Simplified Arabic"/>
          <w:b/>
          <w:bCs/>
          <w:kern w:val="0"/>
          <w:sz w:val="28"/>
          <w:szCs w:val="28"/>
          <w14:ligatures w14:val="none"/>
        </w:rPr>
      </w:pPr>
      <w:r w:rsidRPr="001144E0">
        <w:rPr>
          <w:rFonts w:ascii="Simplified Arabic" w:eastAsia="Times New Roman" w:hAnsi="Simplified Arabic" w:cs="Simplified Arabic"/>
          <w:b/>
          <w:bCs/>
          <w:kern w:val="0"/>
          <w:sz w:val="28"/>
          <w:szCs w:val="28"/>
          <w:rtl/>
          <w14:ligatures w14:val="none"/>
        </w:rPr>
        <w:t>وتُبرز سحنون (2023) أهدافاً للاستدامة في القطاع الصناعي تتمثل في</w:t>
      </w:r>
      <w:r w:rsidRPr="001144E0">
        <w:rPr>
          <w:rFonts w:ascii="Simplified Arabic" w:eastAsia="Times New Roman" w:hAnsi="Simplified Arabic" w:cs="Simplified Arabic"/>
          <w:b/>
          <w:bCs/>
          <w:kern w:val="0"/>
          <w:sz w:val="28"/>
          <w:szCs w:val="28"/>
          <w14:ligatures w14:val="none"/>
        </w:rPr>
        <w:t>:</w:t>
      </w:r>
    </w:p>
    <w:p w14:paraId="3C4819E7"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ترشيد استهلاك الطاقة والموارد الطبيعية</w:t>
      </w:r>
      <w:r w:rsidRPr="00CC60C6">
        <w:rPr>
          <w:rFonts w:ascii="Simplified Arabic" w:eastAsia="Times New Roman" w:hAnsi="Simplified Arabic" w:cs="Simplified Arabic"/>
          <w:kern w:val="0"/>
          <w:sz w:val="28"/>
          <w:szCs w:val="28"/>
          <w14:ligatures w14:val="none"/>
        </w:rPr>
        <w:t>.</w:t>
      </w:r>
    </w:p>
    <w:p w14:paraId="35168890"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تقليل الانبعاثات الكربونية والأثر البيئي</w:t>
      </w:r>
      <w:r w:rsidRPr="00CC60C6">
        <w:rPr>
          <w:rFonts w:ascii="Simplified Arabic" w:eastAsia="Times New Roman" w:hAnsi="Simplified Arabic" w:cs="Simplified Arabic"/>
          <w:kern w:val="0"/>
          <w:sz w:val="28"/>
          <w:szCs w:val="28"/>
          <w14:ligatures w14:val="none"/>
        </w:rPr>
        <w:t>.</w:t>
      </w:r>
    </w:p>
    <w:p w14:paraId="3C81C764"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الاستثمار في المسؤولية الاجتماعية</w:t>
      </w:r>
      <w:r w:rsidRPr="00CC60C6">
        <w:rPr>
          <w:rFonts w:ascii="Simplified Arabic" w:eastAsia="Times New Roman" w:hAnsi="Simplified Arabic" w:cs="Simplified Arabic"/>
          <w:kern w:val="0"/>
          <w:sz w:val="28"/>
          <w:szCs w:val="28"/>
          <w14:ligatures w14:val="none"/>
        </w:rPr>
        <w:t>.</w:t>
      </w:r>
    </w:p>
    <w:p w14:paraId="59CB2151" w14:textId="77777777" w:rsidR="005C64B5" w:rsidRPr="00CC60C6" w:rsidRDefault="005C64B5" w:rsidP="001144E0">
      <w:pPr>
        <w:pStyle w:val="a6"/>
        <w:numPr>
          <w:ilvl w:val="0"/>
          <w:numId w:val="30"/>
        </w:numPr>
        <w:spacing w:before="100" w:beforeAutospacing="1" w:after="100" w:afterAutospacing="1" w:line="276" w:lineRule="auto"/>
        <w:ind w:left="1133"/>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تبنّي معايير الحوكمة الرشيدة</w:t>
      </w:r>
      <w:r w:rsidRPr="00CC60C6">
        <w:rPr>
          <w:rFonts w:ascii="Simplified Arabic" w:eastAsia="Times New Roman" w:hAnsi="Simplified Arabic" w:cs="Simplified Arabic"/>
          <w:kern w:val="0"/>
          <w:sz w:val="28"/>
          <w:szCs w:val="28"/>
          <w14:ligatures w14:val="none"/>
        </w:rPr>
        <w:t>.</w:t>
      </w:r>
    </w:p>
    <w:p w14:paraId="60CA0008" w14:textId="68112A41"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1" w:name="_Toc234293335"/>
      <w:r>
        <w:rPr>
          <w:rFonts w:ascii="Simplified Arabic" w:eastAsia="Times New Roman" w:hAnsi="Simplified Arabic" w:cs="Simplified Arabic" w:hint="cs"/>
          <w:b/>
          <w:bCs/>
          <w:kern w:val="0"/>
          <w:sz w:val="36"/>
          <w:szCs w:val="36"/>
          <w:rtl/>
          <w14:ligatures w14:val="none"/>
        </w:rPr>
        <w:t xml:space="preserve">5.2.2 </w:t>
      </w:r>
      <w:r w:rsidR="005C64B5" w:rsidRPr="001144E0">
        <w:rPr>
          <w:rFonts w:ascii="Simplified Arabic" w:eastAsia="Times New Roman" w:hAnsi="Simplified Arabic" w:cs="Simplified Arabic"/>
          <w:b/>
          <w:bCs/>
          <w:kern w:val="0"/>
          <w:sz w:val="36"/>
          <w:szCs w:val="36"/>
          <w:rtl/>
          <w14:ligatures w14:val="none"/>
        </w:rPr>
        <w:t>رابعاً: أبعاد الأداء المستدام</w:t>
      </w:r>
      <w:bookmarkEnd w:id="51"/>
    </w:p>
    <w:p w14:paraId="40702A6B"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تم تحديد أبعاد الأداء المستدام في الدراسة الحالية بناءً على دراسات</w:t>
      </w:r>
      <w:r w:rsidRPr="00CC60C6">
        <w:rPr>
          <w:rFonts w:ascii="Simplified Arabic" w:eastAsia="Times New Roman" w:hAnsi="Simplified Arabic" w:cs="Simplified Arabic"/>
          <w:kern w:val="0"/>
          <w:sz w:val="28"/>
          <w:szCs w:val="28"/>
          <w14:ligatures w14:val="none"/>
        </w:rPr>
        <w:t xml:space="preserve"> (Liu et al., 2023</w:t>
      </w:r>
      <w:r w:rsidRPr="00CC60C6">
        <w:rPr>
          <w:rFonts w:ascii="Simplified Arabic" w:eastAsia="Times New Roman" w:hAnsi="Simplified Arabic" w:cs="Simplified Arabic"/>
          <w:kern w:val="0"/>
          <w:sz w:val="28"/>
          <w:szCs w:val="28"/>
          <w:rtl/>
          <w14:ligatures w14:val="none"/>
        </w:rPr>
        <w:t>؛</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Bacinello</w:t>
      </w:r>
      <w:proofErr w:type="spellEnd"/>
      <w:r w:rsidRPr="00CC60C6">
        <w:rPr>
          <w:rFonts w:ascii="Simplified Arabic" w:eastAsia="Times New Roman" w:hAnsi="Simplified Arabic" w:cs="Simplified Arabic"/>
          <w:kern w:val="0"/>
          <w:sz w:val="28"/>
          <w:szCs w:val="28"/>
          <w14:ligatures w14:val="none"/>
        </w:rPr>
        <w:t xml:space="preserve"> et al., 2021</w:t>
      </w:r>
      <w:r w:rsidRPr="00CC60C6">
        <w:rPr>
          <w:rFonts w:ascii="Simplified Arabic" w:eastAsia="Times New Roman" w:hAnsi="Simplified Arabic" w:cs="Simplified Arabic"/>
          <w:kern w:val="0"/>
          <w:sz w:val="28"/>
          <w:szCs w:val="28"/>
          <w:rtl/>
          <w14:ligatures w14:val="none"/>
        </w:rPr>
        <w:t>؛</w:t>
      </w:r>
      <w:r w:rsidRPr="00CC60C6">
        <w:rPr>
          <w:rFonts w:ascii="Simplified Arabic" w:eastAsia="Times New Roman" w:hAnsi="Simplified Arabic" w:cs="Simplified Arabic"/>
          <w:kern w:val="0"/>
          <w:sz w:val="28"/>
          <w:szCs w:val="28"/>
          <w14:ligatures w14:val="none"/>
        </w:rPr>
        <w:t xml:space="preserve"> Damnjanovi</w:t>
      </w:r>
      <w:r w:rsidRPr="00CC60C6">
        <w:rPr>
          <w:rFonts w:ascii="Cambria" w:eastAsia="Times New Roman" w:hAnsi="Cambria" w:cs="Cambria"/>
          <w:kern w:val="0"/>
          <w:sz w:val="28"/>
          <w:szCs w:val="28"/>
          <w14:ligatures w14:val="none"/>
        </w:rPr>
        <w:t>ć</w:t>
      </w:r>
      <w:r w:rsidRPr="00CC60C6">
        <w:rPr>
          <w:rFonts w:ascii="Simplified Arabic" w:eastAsia="Times New Roman" w:hAnsi="Simplified Arabic" w:cs="Simplified Arabic"/>
          <w:kern w:val="0"/>
          <w:sz w:val="28"/>
          <w:szCs w:val="28"/>
          <w14:ligatures w14:val="none"/>
        </w:rPr>
        <w:t xml:space="preserve"> et al., 2025</w:t>
      </w:r>
      <w:r w:rsidRPr="00CC60C6">
        <w:rPr>
          <w:rFonts w:ascii="Simplified Arabic" w:eastAsia="Times New Roman" w:hAnsi="Simplified Arabic" w:cs="Simplified Arabic"/>
          <w:kern w:val="0"/>
          <w:sz w:val="28"/>
          <w:szCs w:val="28"/>
          <w:rtl/>
          <w14:ligatures w14:val="none"/>
        </w:rPr>
        <w:t>؛ أبو حميدة والربابعة، 2025؛ رستم وصقور، 2024</w:t>
      </w:r>
      <w:r w:rsidRPr="00CC60C6">
        <w:rPr>
          <w:rFonts w:ascii="Simplified Arabic" w:eastAsia="Times New Roman" w:hAnsi="Simplified Arabic" w:cs="Simplified Arabic"/>
          <w:kern w:val="0"/>
          <w:sz w:val="28"/>
          <w:szCs w:val="28"/>
          <w14:ligatures w14:val="none"/>
        </w:rPr>
        <w:t>)</w:t>
      </w:r>
      <w:r w:rsidRPr="00CC60C6">
        <w:rPr>
          <w:rFonts w:ascii="Simplified Arabic" w:eastAsia="Times New Roman" w:hAnsi="Simplified Arabic" w:cs="Simplified Arabic"/>
          <w:kern w:val="0"/>
          <w:sz w:val="28"/>
          <w:szCs w:val="28"/>
          <w:rtl/>
          <w14:ligatures w14:val="none"/>
        </w:rPr>
        <w:t>، مع اعتماد الإطار الثلاثي الشامل</w:t>
      </w:r>
      <w:r w:rsidRPr="00CC60C6">
        <w:rPr>
          <w:rFonts w:ascii="Simplified Arabic" w:eastAsia="Times New Roman" w:hAnsi="Simplified Arabic" w:cs="Simplified Arabic"/>
          <w:kern w:val="0"/>
          <w:sz w:val="28"/>
          <w:szCs w:val="28"/>
          <w14:ligatures w14:val="none"/>
        </w:rPr>
        <w:t xml:space="preserve"> (Triple Bottom Line) </w:t>
      </w:r>
      <w:r w:rsidRPr="00CC60C6">
        <w:rPr>
          <w:rFonts w:ascii="Simplified Arabic" w:eastAsia="Times New Roman" w:hAnsi="Simplified Arabic" w:cs="Simplified Arabic"/>
          <w:kern w:val="0"/>
          <w:sz w:val="28"/>
          <w:szCs w:val="28"/>
          <w:rtl/>
          <w14:ligatures w14:val="none"/>
        </w:rPr>
        <w:t>الذي يُشكّل المرجعية الأكاديمية الأكثر رسوخاً في قياس الأداء المستدام. وتتمثل هذه الأبعاد فيما يأتي</w:t>
      </w:r>
      <w:r w:rsidRPr="00CC60C6">
        <w:rPr>
          <w:rFonts w:ascii="Simplified Arabic" w:eastAsia="Times New Roman" w:hAnsi="Simplified Arabic" w:cs="Simplified Arabic"/>
          <w:kern w:val="0"/>
          <w:sz w:val="28"/>
          <w:szCs w:val="28"/>
          <w14:ligatures w14:val="none"/>
        </w:rPr>
        <w:t>:</w:t>
      </w:r>
    </w:p>
    <w:p w14:paraId="2A1819D9"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الأول: الأداء الاقتصادي المستدام</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يُشير الأداء الاقتصادي المستدام إلى قدرة المنظمة على تحقيق أرباحٍ مستدامةٍ ونموٍّ اقتصاديٍّ طويل الأجل، مع الاستخدام الرشيد للموارد المالية وتحقيق كفاءةٍ تشغيليةٍ عالية. ويُبرز</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Bacinello</w:t>
      </w:r>
      <w:proofErr w:type="spellEnd"/>
      <w:r w:rsidRPr="00CC60C6">
        <w:rPr>
          <w:rFonts w:ascii="Simplified Arabic" w:eastAsia="Times New Roman" w:hAnsi="Simplified Arabic" w:cs="Simplified Arabic"/>
          <w:kern w:val="0"/>
          <w:sz w:val="28"/>
          <w:szCs w:val="28"/>
          <w14:ligatures w14:val="none"/>
        </w:rPr>
        <w:t xml:space="preserve"> et al. (2021) </w:t>
      </w:r>
      <w:r w:rsidRPr="00CC60C6">
        <w:rPr>
          <w:rFonts w:ascii="Simplified Arabic" w:eastAsia="Times New Roman" w:hAnsi="Simplified Arabic" w:cs="Simplified Arabic"/>
          <w:kern w:val="0"/>
          <w:sz w:val="28"/>
          <w:szCs w:val="28"/>
          <w:rtl/>
          <w14:ligatures w14:val="none"/>
        </w:rPr>
        <w:t xml:space="preserve">أن هذا البُعد يتجاوز الربحية قصيرة الأجل ليشمل مؤشراتٍ متعددةً تعكس صحة المنظمة الاقتصادية على المدى الطويل، بما في ذلك النمو المستدام في الإيرادات، وتحسين هوامش الربح، وكفاءة استخدام الأصول، وقوة المركز المالي، وقدرة المنظمة على توليد التدفقات النقدية. ويشمل هذا البُعد في </w:t>
      </w:r>
      <w:r w:rsidRPr="00CC60C6">
        <w:rPr>
          <w:rFonts w:ascii="Simplified Arabic" w:eastAsia="Times New Roman" w:hAnsi="Simplified Arabic" w:cs="Simplified Arabic"/>
          <w:kern w:val="0"/>
          <w:sz w:val="28"/>
          <w:szCs w:val="28"/>
          <w:rtl/>
          <w14:ligatures w14:val="none"/>
        </w:rPr>
        <w:lastRenderedPageBreak/>
        <w:t>السياق الاستثماري قدرة الصندوق على تحقيق عوائدٍ استثماريةٍ مجزيةٍ ومستدامةٍ، وإدارة المخاطر بكفاءة، وتنويع المحفظة الاستثمارية، والإسهام في التنمية الاقتصادية الوطنية</w:t>
      </w:r>
      <w:r w:rsidRPr="00CC60C6">
        <w:rPr>
          <w:rFonts w:ascii="Simplified Arabic" w:eastAsia="Times New Roman" w:hAnsi="Simplified Arabic" w:cs="Simplified Arabic"/>
          <w:kern w:val="0"/>
          <w:sz w:val="28"/>
          <w:szCs w:val="28"/>
          <w14:ligatures w14:val="none"/>
        </w:rPr>
        <w:t>.</w:t>
      </w:r>
    </w:p>
    <w:p w14:paraId="79A45E8A"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الثاني: الأداء الاجتماعي المستدام</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يُشير الأداء الاجتماعي المستدام إلى التزام المنظمة تجاه أصحاب المصلحة الداخليين والخارجيين من خلال ممارساتٍ مسؤولةٍ اجتماعياً تُعزّز رفاهيتهم وتحمي حقوقهم. ويُوضّح</w:t>
      </w:r>
      <w:r w:rsidRPr="00CC60C6">
        <w:rPr>
          <w:rFonts w:ascii="Simplified Arabic" w:eastAsia="Times New Roman" w:hAnsi="Simplified Arabic" w:cs="Simplified Arabic"/>
          <w:kern w:val="0"/>
          <w:sz w:val="28"/>
          <w:szCs w:val="28"/>
          <w14:ligatures w14:val="none"/>
        </w:rPr>
        <w:t xml:space="preserve"> Liu et al. (2023) </w:t>
      </w:r>
      <w:r w:rsidRPr="00CC60C6">
        <w:rPr>
          <w:rFonts w:ascii="Simplified Arabic" w:eastAsia="Times New Roman" w:hAnsi="Simplified Arabic" w:cs="Simplified Arabic"/>
          <w:kern w:val="0"/>
          <w:sz w:val="28"/>
          <w:szCs w:val="28"/>
          <w:rtl/>
          <w14:ligatures w14:val="none"/>
        </w:rPr>
        <w:t>أن هذا البُعد يشمل جوانب متعددة تتضمن تنمية رأس المال البشري وتدريبه، وضمان بيئة عملٍ آمنةٍ وصحية، وتعزيز التنوع والشمول، ودعم حقوق العاملين، والإسهام في المجتمعات المحلية، وتقديم منتجاتٍ وخدماتٍ ذات جودةٍ عالية. ويتجلى الأداء الاجتماعي المستدام في السياق الاستثماري من خلال المسؤولية الاجتماعية للاستثمارات، ودعم الشركات ذات الأثر الاجتماعي الإيجابي، وتنمية الكفاءات الوطنية، والإسهام في المشاريع التنموية والمجتمعية</w:t>
      </w:r>
      <w:r w:rsidRPr="00CC60C6">
        <w:rPr>
          <w:rFonts w:ascii="Simplified Arabic" w:eastAsia="Times New Roman" w:hAnsi="Simplified Arabic" w:cs="Simplified Arabic"/>
          <w:kern w:val="0"/>
          <w:sz w:val="28"/>
          <w:szCs w:val="28"/>
          <w14:ligatures w14:val="none"/>
        </w:rPr>
        <w:t>.</w:t>
      </w:r>
    </w:p>
    <w:p w14:paraId="31CBC3A1"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b/>
          <w:bCs/>
          <w:kern w:val="0"/>
          <w:sz w:val="28"/>
          <w:szCs w:val="28"/>
          <w:rtl/>
          <w14:ligatures w14:val="none"/>
        </w:rPr>
        <w:t>البُعد الثالث: الأداء البيئي المستدام</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يُشير الأداء البيئي المستدام إلى التزام المنظمة بحماية البيئة الطبيعية والحدّ من الأثر البيئي السلبي لأنشطتها. ويُبرز</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Alraja</w:t>
      </w:r>
      <w:proofErr w:type="spellEnd"/>
      <w:r w:rsidRPr="00CC60C6">
        <w:rPr>
          <w:rFonts w:ascii="Simplified Arabic" w:eastAsia="Times New Roman" w:hAnsi="Simplified Arabic" w:cs="Simplified Arabic"/>
          <w:kern w:val="0"/>
          <w:sz w:val="28"/>
          <w:szCs w:val="28"/>
          <w14:ligatures w14:val="none"/>
        </w:rPr>
        <w:t xml:space="preserve"> et al. (2022) </w:t>
      </w:r>
      <w:r w:rsidRPr="00CC60C6">
        <w:rPr>
          <w:rFonts w:ascii="Simplified Arabic" w:eastAsia="Times New Roman" w:hAnsi="Simplified Arabic" w:cs="Simplified Arabic"/>
          <w:kern w:val="0"/>
          <w:sz w:val="28"/>
          <w:szCs w:val="28"/>
          <w:rtl/>
          <w14:ligatures w14:val="none"/>
        </w:rPr>
        <w:t>أن هذا البُعد يتضمن ممارساتٍ متعددةً تشمل ترشيد استهلاك الطاقة والمياه والموارد الطبيعية، وتقليل الانبعاثات الكربونية والغازات الدفيئة، وإدارة النفايات وإعادة تدويرها، وتبنّي التقنيات النظيفة، والاستثمار في المشاريع الخضراء، والإسهام في مكافحة التغيّر المناخي. ويكتسب الأداء البيئي أهميةً استراتيجيةً متزايدةً في السياق الاستثماري من خلال تبنّي معايير الاستثمار البيئي والاجتماعي والحوكمي</w:t>
      </w:r>
      <w:r w:rsidRPr="00CC60C6">
        <w:rPr>
          <w:rFonts w:ascii="Simplified Arabic" w:eastAsia="Times New Roman" w:hAnsi="Simplified Arabic" w:cs="Simplified Arabic"/>
          <w:kern w:val="0"/>
          <w:sz w:val="28"/>
          <w:szCs w:val="28"/>
          <w14:ligatures w14:val="none"/>
        </w:rPr>
        <w:t xml:space="preserve"> (ESG)</w:t>
      </w:r>
      <w:r w:rsidRPr="00CC60C6">
        <w:rPr>
          <w:rFonts w:ascii="Simplified Arabic" w:eastAsia="Times New Roman" w:hAnsi="Simplified Arabic" w:cs="Simplified Arabic"/>
          <w:kern w:val="0"/>
          <w:sz w:val="28"/>
          <w:szCs w:val="28"/>
          <w:rtl/>
          <w14:ligatures w14:val="none"/>
        </w:rPr>
        <w:t>، ودعم المشاريع الخضراء، والاستثمار في الطاقة المتجددة، وإصدار السندات الخضراء</w:t>
      </w:r>
      <w:r w:rsidRPr="00CC60C6">
        <w:rPr>
          <w:rFonts w:ascii="Simplified Arabic" w:eastAsia="Times New Roman" w:hAnsi="Simplified Arabic" w:cs="Simplified Arabic"/>
          <w:kern w:val="0"/>
          <w:sz w:val="28"/>
          <w:szCs w:val="28"/>
          <w14:ligatures w14:val="none"/>
        </w:rPr>
        <w:t>.</w:t>
      </w:r>
    </w:p>
    <w:p w14:paraId="711CB5C0" w14:textId="77777777" w:rsidR="005C64B5"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CC60C6">
        <w:rPr>
          <w:rFonts w:ascii="Simplified Arabic" w:eastAsia="Times New Roman" w:hAnsi="Simplified Arabic" w:cs="Simplified Arabic"/>
          <w:b/>
          <w:bCs/>
          <w:kern w:val="0"/>
          <w:sz w:val="28"/>
          <w:szCs w:val="28"/>
          <w:rtl/>
          <w14:ligatures w14:val="none"/>
        </w:rPr>
        <w:t>البُعد الرابع: بُعد الحوكمة الرشيدة</w:t>
      </w:r>
      <w:r w:rsidRPr="00CC60C6">
        <w:rPr>
          <w:rFonts w:ascii="Simplified Arabic" w:eastAsia="Times New Roman" w:hAnsi="Simplified Arabic" w:cs="Simplified Arabic"/>
          <w:b/>
          <w:bCs/>
          <w:kern w:val="0"/>
          <w:sz w:val="28"/>
          <w:szCs w:val="28"/>
          <w14:ligatures w14:val="none"/>
        </w:rPr>
        <w:t>:</w:t>
      </w:r>
      <w:r w:rsidRPr="00CC60C6">
        <w:rPr>
          <w:rFonts w:ascii="Simplified Arabic" w:eastAsia="Times New Roman" w:hAnsi="Simplified Arabic" w:cs="Simplified Arabic"/>
          <w:kern w:val="0"/>
          <w:sz w:val="28"/>
          <w:szCs w:val="28"/>
          <w14:ligatures w14:val="none"/>
        </w:rPr>
        <w:t xml:space="preserve"> </w:t>
      </w:r>
      <w:r w:rsidRPr="00CC60C6">
        <w:rPr>
          <w:rFonts w:ascii="Simplified Arabic" w:eastAsia="Times New Roman" w:hAnsi="Simplified Arabic" w:cs="Simplified Arabic"/>
          <w:kern w:val="0"/>
          <w:sz w:val="28"/>
          <w:szCs w:val="28"/>
          <w:rtl/>
          <w14:ligatures w14:val="none"/>
        </w:rPr>
        <w:t>على الرغم من أن الإطار الثلاثي التقليدي يقتصر على الأبعاد الاقتصادية والاجتماعية والبيئية، إلا أن الأدبيات المعاصرة أضافت بُعد الحوكمة بوصفه بُعداً رابعاً محورياً، بحيث أصبح الإطار يُعرف بمعايير</w:t>
      </w:r>
      <w:r w:rsidRPr="00CC60C6">
        <w:rPr>
          <w:rFonts w:ascii="Simplified Arabic" w:eastAsia="Times New Roman" w:hAnsi="Simplified Arabic" w:cs="Simplified Arabic"/>
          <w:kern w:val="0"/>
          <w:sz w:val="28"/>
          <w:szCs w:val="28"/>
          <w14:ligatures w14:val="none"/>
        </w:rPr>
        <w:t xml:space="preserve"> (ESG). </w:t>
      </w:r>
      <w:r w:rsidRPr="00CC60C6">
        <w:rPr>
          <w:rFonts w:ascii="Simplified Arabic" w:eastAsia="Times New Roman" w:hAnsi="Simplified Arabic" w:cs="Simplified Arabic"/>
          <w:kern w:val="0"/>
          <w:sz w:val="28"/>
          <w:szCs w:val="28"/>
          <w:rtl/>
          <w14:ligatures w14:val="none"/>
        </w:rPr>
        <w:t>ويُشير</w:t>
      </w:r>
      <w:r w:rsidRPr="00CC60C6">
        <w:rPr>
          <w:rFonts w:ascii="Simplified Arabic" w:eastAsia="Times New Roman" w:hAnsi="Simplified Arabic" w:cs="Simplified Arabic"/>
          <w:kern w:val="0"/>
          <w:sz w:val="28"/>
          <w:szCs w:val="28"/>
          <w14:ligatures w14:val="none"/>
        </w:rPr>
        <w:t xml:space="preserve"> Damnjanovi</w:t>
      </w:r>
      <w:r w:rsidRPr="00CC60C6">
        <w:rPr>
          <w:rFonts w:ascii="Cambria" w:eastAsia="Times New Roman" w:hAnsi="Cambria" w:cs="Cambria"/>
          <w:kern w:val="0"/>
          <w:sz w:val="28"/>
          <w:szCs w:val="28"/>
          <w14:ligatures w14:val="none"/>
        </w:rPr>
        <w:t>ć</w:t>
      </w:r>
      <w:r w:rsidRPr="00CC60C6">
        <w:rPr>
          <w:rFonts w:ascii="Simplified Arabic" w:eastAsia="Times New Roman" w:hAnsi="Simplified Arabic" w:cs="Simplified Arabic"/>
          <w:kern w:val="0"/>
          <w:sz w:val="28"/>
          <w:szCs w:val="28"/>
          <w14:ligatures w14:val="none"/>
        </w:rPr>
        <w:t xml:space="preserve"> et al. (2025) </w:t>
      </w:r>
      <w:r w:rsidRPr="00CC60C6">
        <w:rPr>
          <w:rFonts w:ascii="Simplified Arabic" w:eastAsia="Times New Roman" w:hAnsi="Simplified Arabic" w:cs="Simplified Arabic"/>
          <w:kern w:val="0"/>
          <w:sz w:val="28"/>
          <w:szCs w:val="28"/>
          <w:rtl/>
          <w14:ligatures w14:val="none"/>
        </w:rPr>
        <w:t>إلى أن الحوكمة الرشيدة تُشكّل الإطار التنظيمي الذي يضمن الشفافية والمساءلة والنزاهة في اتخاذ القرارات المؤسسية، وتتضمن هيكل مجلس الإدارة، وسياسات المكافآت، وإدارة المخاطر، ومكافحة الفساد، وحقوق المساهمين، والإفصاح والشفافية. وتكتسب الحوكمة أهميةً محوريةً في الصناديق السيادية باعتبارها كياناتٍ ذات تأثيرٍ استراتيجيٍّ واسع</w:t>
      </w:r>
      <w:r w:rsidRPr="00CC60C6">
        <w:rPr>
          <w:rFonts w:ascii="Simplified Arabic" w:eastAsia="Times New Roman" w:hAnsi="Simplified Arabic" w:cs="Simplified Arabic"/>
          <w:kern w:val="0"/>
          <w:sz w:val="28"/>
          <w:szCs w:val="28"/>
          <w14:ligatures w14:val="none"/>
        </w:rPr>
        <w:t>.</w:t>
      </w:r>
    </w:p>
    <w:p w14:paraId="5923F0F3" w14:textId="52DF71B8" w:rsidR="001144E0" w:rsidRDefault="001144E0">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757584C7" w14:textId="36BB4DDE"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2" w:name="_Toc234293336"/>
      <w:r>
        <w:rPr>
          <w:rFonts w:ascii="Simplified Arabic" w:eastAsia="Times New Roman" w:hAnsi="Simplified Arabic" w:cs="Simplified Arabic" w:hint="cs"/>
          <w:b/>
          <w:bCs/>
          <w:kern w:val="0"/>
          <w:sz w:val="36"/>
          <w:szCs w:val="36"/>
          <w:rtl/>
          <w14:ligatures w14:val="none"/>
        </w:rPr>
        <w:lastRenderedPageBreak/>
        <w:t xml:space="preserve">6.2.2 </w:t>
      </w:r>
      <w:r w:rsidR="005C64B5" w:rsidRPr="001144E0">
        <w:rPr>
          <w:rFonts w:ascii="Simplified Arabic" w:eastAsia="Times New Roman" w:hAnsi="Simplified Arabic" w:cs="Simplified Arabic"/>
          <w:b/>
          <w:bCs/>
          <w:kern w:val="0"/>
          <w:sz w:val="36"/>
          <w:szCs w:val="36"/>
          <w:rtl/>
          <w14:ligatures w14:val="none"/>
        </w:rPr>
        <w:t>خامساً: ممارسات استدامة الأعمال</w:t>
      </w:r>
      <w:bookmarkEnd w:id="52"/>
    </w:p>
    <w:p w14:paraId="3873B437"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تُشكّل ممارسات استدامة الأعمال المدخلات التطبيقية التي تُفضي إلى تحقيق الأداء المستدام. وتُصنّف هذه الممارسات وفقاً لأبعادها المختلفة. ويُبرز</w:t>
      </w:r>
      <w:r w:rsidRPr="00CC60C6">
        <w:rPr>
          <w:rFonts w:ascii="Simplified Arabic" w:eastAsia="Times New Roman" w:hAnsi="Simplified Arabic" w:cs="Simplified Arabic"/>
          <w:kern w:val="0"/>
          <w:sz w:val="28"/>
          <w:szCs w:val="28"/>
          <w14:ligatures w14:val="none"/>
        </w:rPr>
        <w:t xml:space="preserve"> Liu et al. (2023) </w:t>
      </w:r>
      <w:r w:rsidRPr="00CC60C6">
        <w:rPr>
          <w:rFonts w:ascii="Simplified Arabic" w:eastAsia="Times New Roman" w:hAnsi="Simplified Arabic" w:cs="Simplified Arabic"/>
          <w:kern w:val="0"/>
          <w:sz w:val="28"/>
          <w:szCs w:val="28"/>
          <w:rtl/>
          <w14:ligatures w14:val="none"/>
        </w:rPr>
        <w:t>ممارسات الموارد البشرية الخضراء التي تشمل التوظيف الأخضر والتدريب البيئي وإدارة الأداء البيئي والمكافآت المرتبطة بالاستدامة. ويُضيف الابتكار الأخضر بوصفه ممارسةً محوريةً تشمل تطوير منتجاتٍ وعملياتٍ صديقةٍ للبيئة. كما يُبرز القيادة المسؤولة بوصفها ممارسةً قياديةً تُوجّه المنظمة نحو الاستدامة</w:t>
      </w:r>
      <w:r w:rsidRPr="00CC60C6">
        <w:rPr>
          <w:rFonts w:ascii="Simplified Arabic" w:eastAsia="Times New Roman" w:hAnsi="Simplified Arabic" w:cs="Simplified Arabic"/>
          <w:kern w:val="0"/>
          <w:sz w:val="28"/>
          <w:szCs w:val="28"/>
          <w14:ligatures w14:val="none"/>
        </w:rPr>
        <w:t>.</w:t>
      </w:r>
    </w:p>
    <w:p w14:paraId="49D56770"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ويُقدّم</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Alraja</w:t>
      </w:r>
      <w:proofErr w:type="spellEnd"/>
      <w:r w:rsidRPr="00CC60C6">
        <w:rPr>
          <w:rFonts w:ascii="Simplified Arabic" w:eastAsia="Times New Roman" w:hAnsi="Simplified Arabic" w:cs="Simplified Arabic"/>
          <w:kern w:val="0"/>
          <w:sz w:val="28"/>
          <w:szCs w:val="28"/>
          <w14:ligatures w14:val="none"/>
        </w:rPr>
        <w:t xml:space="preserve"> et al. (2022) </w:t>
      </w:r>
      <w:r w:rsidRPr="00CC60C6">
        <w:rPr>
          <w:rFonts w:ascii="Simplified Arabic" w:eastAsia="Times New Roman" w:hAnsi="Simplified Arabic" w:cs="Simplified Arabic"/>
          <w:kern w:val="0"/>
          <w:sz w:val="28"/>
          <w:szCs w:val="28"/>
          <w:rtl/>
          <w14:ligatures w14:val="none"/>
        </w:rPr>
        <w:t>ممارساتٍ مرتبطةً بالابتكار التكنولوجي والممارسات الخضراء، بحيث تُشكّل التقنيات الحديثة رافداً لتحقيق الاستدامة، ولا سيما في أوقات الأزمات</w:t>
      </w:r>
      <w:r w:rsidRPr="00CC60C6">
        <w:rPr>
          <w:rFonts w:ascii="Simplified Arabic" w:eastAsia="Times New Roman" w:hAnsi="Simplified Arabic" w:cs="Simplified Arabic"/>
          <w:kern w:val="0"/>
          <w:sz w:val="28"/>
          <w:szCs w:val="28"/>
          <w14:ligatures w14:val="none"/>
        </w:rPr>
        <w:t>.</w:t>
      </w:r>
    </w:p>
    <w:p w14:paraId="1AEE1C24"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ويُبرز الفسفوس وعلي (2025) ممارسات اقتصاد الاكتفاء التي تشمل الاعتدال والرشد وبناء المناعة الذاتية والاستثمار في المعرفة والالتزام الأخلاقي، بوصفها ممارساتٍ متكاملةً تُعزّز الاستدامة في المؤسسات</w:t>
      </w:r>
      <w:r w:rsidRPr="00CC60C6">
        <w:rPr>
          <w:rFonts w:ascii="Simplified Arabic" w:eastAsia="Times New Roman" w:hAnsi="Simplified Arabic" w:cs="Simplified Arabic"/>
          <w:kern w:val="0"/>
          <w:sz w:val="28"/>
          <w:szCs w:val="28"/>
          <w14:ligatures w14:val="none"/>
        </w:rPr>
        <w:t>.</w:t>
      </w:r>
    </w:p>
    <w:p w14:paraId="3BBA4C7F"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وتطرح سحنون (2023) نموذجاً لأفضل ممارسات الاستدامة في المؤسسات الصناعية الطاقوية، يشمل ترشيد الطاقة، والحدّ من الانبعاثات، والاستثمار المجتمعي، والحوكمة الرشيدة، بوصفها ممارساتٍ متكاملةً يمكن تعميمها على القطاعات الأخرى</w:t>
      </w:r>
      <w:r w:rsidRPr="00CC60C6">
        <w:rPr>
          <w:rFonts w:ascii="Simplified Arabic" w:eastAsia="Times New Roman" w:hAnsi="Simplified Arabic" w:cs="Simplified Arabic"/>
          <w:kern w:val="0"/>
          <w:sz w:val="28"/>
          <w:szCs w:val="28"/>
          <w14:ligatures w14:val="none"/>
        </w:rPr>
        <w:t>.</w:t>
      </w:r>
    </w:p>
    <w:p w14:paraId="75157F8C"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ويرى الشربتلي وآخرون (2025) أن إدارة الجودة الشاملة تُشكّل ممارسةً محوريةً لتحقيق استدامة منظمات الأعمال، ولا سيما في ظل التقنيات الرقمية الحديثة</w:t>
      </w:r>
      <w:r w:rsidRPr="00CC60C6">
        <w:rPr>
          <w:rFonts w:ascii="Simplified Arabic" w:eastAsia="Times New Roman" w:hAnsi="Simplified Arabic" w:cs="Simplified Arabic"/>
          <w:kern w:val="0"/>
          <w:sz w:val="28"/>
          <w:szCs w:val="28"/>
          <w14:ligatures w14:val="none"/>
        </w:rPr>
        <w:t>.</w:t>
      </w:r>
    </w:p>
    <w:p w14:paraId="54CB0EC6" w14:textId="65A2856C" w:rsidR="005C64B5" w:rsidRPr="001144E0" w:rsidRDefault="001144E0" w:rsidP="001144E0">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53" w:name="_Toc234293337"/>
      <w:r>
        <w:rPr>
          <w:rFonts w:ascii="Simplified Arabic" w:eastAsia="Times New Roman" w:hAnsi="Simplified Arabic" w:cs="Simplified Arabic" w:hint="cs"/>
          <w:b/>
          <w:bCs/>
          <w:kern w:val="0"/>
          <w:sz w:val="36"/>
          <w:szCs w:val="36"/>
          <w:rtl/>
          <w14:ligatures w14:val="none"/>
        </w:rPr>
        <w:t xml:space="preserve">7.2.2 </w:t>
      </w:r>
      <w:r w:rsidR="005C64B5" w:rsidRPr="001144E0">
        <w:rPr>
          <w:rFonts w:ascii="Simplified Arabic" w:eastAsia="Times New Roman" w:hAnsi="Simplified Arabic" w:cs="Simplified Arabic"/>
          <w:b/>
          <w:bCs/>
          <w:kern w:val="0"/>
          <w:sz w:val="36"/>
          <w:szCs w:val="36"/>
          <w:rtl/>
          <w14:ligatures w14:val="none"/>
        </w:rPr>
        <w:t>سادساً: التحديات التي تواجه تحقيق الأداء المستدام</w:t>
      </w:r>
      <w:bookmarkEnd w:id="53"/>
    </w:p>
    <w:p w14:paraId="0D02B7F2" w14:textId="77777777" w:rsidR="005C64B5" w:rsidRPr="00CC60C6"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CC60C6">
        <w:rPr>
          <w:rFonts w:ascii="Simplified Arabic" w:eastAsia="Times New Roman" w:hAnsi="Simplified Arabic" w:cs="Simplified Arabic"/>
          <w:kern w:val="0"/>
          <w:sz w:val="28"/>
          <w:szCs w:val="28"/>
          <w:rtl/>
          <w14:ligatures w14:val="none"/>
        </w:rPr>
        <w:t>يواجه تحقيق الأداء المستدام جملةً من التحديات التي تُقيّد قدرة المنظمات على الوصول إلى مستوياتٍ متقدمةٍ من الاستدامة. ويُشير</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Bacinello</w:t>
      </w:r>
      <w:proofErr w:type="spellEnd"/>
      <w:r w:rsidRPr="00CC60C6">
        <w:rPr>
          <w:rFonts w:ascii="Simplified Arabic" w:eastAsia="Times New Roman" w:hAnsi="Simplified Arabic" w:cs="Simplified Arabic"/>
          <w:kern w:val="0"/>
          <w:sz w:val="28"/>
          <w:szCs w:val="28"/>
          <w14:ligatures w14:val="none"/>
        </w:rPr>
        <w:t xml:space="preserve"> et al. (2021) </w:t>
      </w:r>
      <w:r w:rsidRPr="00CC60C6">
        <w:rPr>
          <w:rFonts w:ascii="Simplified Arabic" w:eastAsia="Times New Roman" w:hAnsi="Simplified Arabic" w:cs="Simplified Arabic"/>
          <w:kern w:val="0"/>
          <w:sz w:val="28"/>
          <w:szCs w:val="28"/>
          <w:rtl/>
          <w14:ligatures w14:val="none"/>
        </w:rPr>
        <w:t>إلى تحدياتٍ تتعلق بالشركات الصغيرة والمتوسطة تتضمن محدودية الموارد المالية والبشرية اللازمة لتبنّي ممارسات الاستدامة. ويُبرز</w:t>
      </w:r>
      <w:r w:rsidRPr="00CC60C6">
        <w:rPr>
          <w:rFonts w:ascii="Simplified Arabic" w:eastAsia="Times New Roman" w:hAnsi="Simplified Arabic" w:cs="Simplified Arabic"/>
          <w:kern w:val="0"/>
          <w:sz w:val="28"/>
          <w:szCs w:val="28"/>
          <w14:ligatures w14:val="none"/>
        </w:rPr>
        <w:t xml:space="preserve"> </w:t>
      </w:r>
      <w:proofErr w:type="spellStart"/>
      <w:r w:rsidRPr="00CC60C6">
        <w:rPr>
          <w:rFonts w:ascii="Simplified Arabic" w:eastAsia="Times New Roman" w:hAnsi="Simplified Arabic" w:cs="Simplified Arabic"/>
          <w:kern w:val="0"/>
          <w:sz w:val="28"/>
          <w:szCs w:val="28"/>
          <w14:ligatures w14:val="none"/>
        </w:rPr>
        <w:t>Alraja</w:t>
      </w:r>
      <w:proofErr w:type="spellEnd"/>
      <w:r w:rsidRPr="00CC60C6">
        <w:rPr>
          <w:rFonts w:ascii="Simplified Arabic" w:eastAsia="Times New Roman" w:hAnsi="Simplified Arabic" w:cs="Simplified Arabic"/>
          <w:kern w:val="0"/>
          <w:sz w:val="28"/>
          <w:szCs w:val="28"/>
          <w14:ligatures w14:val="none"/>
        </w:rPr>
        <w:t xml:space="preserve"> et al. (2022) </w:t>
      </w:r>
      <w:r w:rsidRPr="00CC60C6">
        <w:rPr>
          <w:rFonts w:ascii="Simplified Arabic" w:eastAsia="Times New Roman" w:hAnsi="Simplified Arabic" w:cs="Simplified Arabic"/>
          <w:kern w:val="0"/>
          <w:sz w:val="28"/>
          <w:szCs w:val="28"/>
          <w:rtl/>
          <w14:ligatures w14:val="none"/>
        </w:rPr>
        <w:t>تحدياتٍ مرتبطةً بالأزمات كجائحة كوفيد-19 التي فرضت ضغوطاً استثنائيةً على قدرة الشركات على الحفاظ على أدائها المستدام</w:t>
      </w:r>
      <w:r w:rsidRPr="00CC60C6">
        <w:rPr>
          <w:rFonts w:ascii="Simplified Arabic" w:eastAsia="Times New Roman" w:hAnsi="Simplified Arabic" w:cs="Simplified Arabic"/>
          <w:kern w:val="0"/>
          <w:sz w:val="28"/>
          <w:szCs w:val="28"/>
          <w14:ligatures w14:val="none"/>
        </w:rPr>
        <w:t>.</w:t>
      </w:r>
    </w:p>
    <w:p w14:paraId="3C57759D" w14:textId="77777777" w:rsidR="005C64B5" w:rsidRDefault="005C64B5" w:rsidP="00CC60C6">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CC60C6">
        <w:rPr>
          <w:rFonts w:ascii="Simplified Arabic" w:eastAsia="Times New Roman" w:hAnsi="Simplified Arabic" w:cs="Simplified Arabic"/>
          <w:kern w:val="0"/>
          <w:sz w:val="28"/>
          <w:szCs w:val="28"/>
          <w:rtl/>
          <w14:ligatures w14:val="none"/>
        </w:rPr>
        <w:lastRenderedPageBreak/>
        <w:t>ويُضيف مهدي (2023) تحدياتٍ تنظيميةً تتعلق بالبصمة الوراثية للمنظمة والدعم التنظيمي المدرك، بحيث تُشكّل الخصائص التنظيمية عاملاً مؤثراً في القدرة على تحقيق الأداء المستدام. وتُشير السيد وفتحي (2022) إلى تحدياتٍ متعلقةٍ بمقومات تطبيق الأداء المستدام في المؤسسات الخدمية، بما يشمل الحاجة إلى بنيةٍ تنظيميةٍ وإداريةٍ داعمة</w:t>
      </w:r>
      <w:r w:rsidRPr="00CC60C6">
        <w:rPr>
          <w:rFonts w:ascii="Simplified Arabic" w:eastAsia="Times New Roman" w:hAnsi="Simplified Arabic" w:cs="Simplified Arabic"/>
          <w:kern w:val="0"/>
          <w:sz w:val="28"/>
          <w:szCs w:val="28"/>
          <w14:ligatures w14:val="none"/>
        </w:rPr>
        <w:t>.</w:t>
      </w:r>
    </w:p>
    <w:p w14:paraId="1D9806A1" w14:textId="77777777" w:rsidR="00CC60C6" w:rsidRDefault="00CC60C6" w:rsidP="00CC60C6">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65E801C6" w14:textId="77777777" w:rsidR="00CC60C6" w:rsidRDefault="00CC60C6" w:rsidP="00CC60C6">
      <w:pPr>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p>
    <w:p w14:paraId="0D046AD7" w14:textId="77777777" w:rsidR="00DF0870" w:rsidRDefault="00CC60C6">
      <w:pPr>
        <w:bidi w:val="0"/>
        <w:rPr>
          <w:rFonts w:ascii="Simplified Arabic" w:eastAsia="Times New Roman" w:hAnsi="Simplified Arabic" w:cs="Simplified Arabic"/>
          <w:kern w:val="0"/>
          <w:sz w:val="28"/>
          <w:szCs w:val="28"/>
          <w:rtl/>
          <w14:ligatures w14:val="none"/>
        </w:rPr>
        <w:sectPr w:rsidR="00DF0870" w:rsidSect="00CC60C6">
          <w:footerReference w:type="default" r:id="rId9"/>
          <w:pgSz w:w="11906" w:h="16838"/>
          <w:pgMar w:top="1134" w:right="1134" w:bottom="1134" w:left="1134" w:header="709" w:footer="709" w:gutter="0"/>
          <w:pgNumType w:fmt="numberInDash" w:start="1"/>
          <w:cols w:space="708"/>
          <w:bidi/>
          <w:rtlGutter/>
          <w:docGrid w:linePitch="360"/>
        </w:sectPr>
      </w:pPr>
      <w:r>
        <w:rPr>
          <w:rFonts w:ascii="Simplified Arabic" w:eastAsia="Times New Roman" w:hAnsi="Simplified Arabic" w:cs="Simplified Arabic"/>
          <w:kern w:val="0"/>
          <w:sz w:val="28"/>
          <w:szCs w:val="28"/>
          <w:rtl/>
          <w14:ligatures w14:val="none"/>
        </w:rPr>
        <w:br w:type="page"/>
      </w:r>
    </w:p>
    <w:p w14:paraId="57B5C968" w14:textId="73FC70DF" w:rsidR="00CC60C6" w:rsidRDefault="00CC60C6">
      <w:pPr>
        <w:bidi w:val="0"/>
        <w:rPr>
          <w:rFonts w:ascii="Simplified Arabic" w:eastAsia="Times New Roman" w:hAnsi="Simplified Arabic" w:cs="Simplified Arabic"/>
          <w:kern w:val="0"/>
          <w:sz w:val="28"/>
          <w:szCs w:val="28"/>
          <w:rtl/>
          <w14:ligatures w14:val="none"/>
        </w:rPr>
      </w:pPr>
    </w:p>
    <w:bookmarkEnd w:id="6"/>
    <w:p w14:paraId="5B1F12A0" w14:textId="197375AF" w:rsidR="009818DF" w:rsidRDefault="009818DF" w:rsidP="00CC60C6">
      <w:pPr>
        <w:bidi w:val="0"/>
        <w:spacing w:before="100" w:beforeAutospacing="1" w:after="100" w:afterAutospacing="1" w:line="276" w:lineRule="auto"/>
        <w:jc w:val="both"/>
        <w:rPr>
          <w:rFonts w:ascii="Simplified Arabic" w:eastAsia="Calibri" w:hAnsi="Simplified Arabic" w:cs="Simplified Arabic"/>
          <w:kern w:val="0"/>
          <w:sz w:val="28"/>
          <w:szCs w:val="28"/>
          <w:rtl/>
          <w:lang w:bidi="ar-EG"/>
          <w14:ligatures w14:val="none"/>
        </w:rPr>
      </w:pPr>
      <w:r w:rsidRPr="00CC60C6">
        <w:rPr>
          <w:rFonts w:ascii="Simplified Arabic" w:hAnsi="Simplified Arabic" w:cs="Simplified Arabic"/>
          <w:noProof/>
          <w:sz w:val="28"/>
          <w:szCs w:val="28"/>
          <w:lang w:bidi="ar-EG"/>
        </w:rPr>
        <w:drawing>
          <wp:anchor distT="0" distB="0" distL="114300" distR="114300" simplePos="0" relativeHeight="251684864" behindDoc="1" locked="0" layoutInCell="1" allowOverlap="1" wp14:anchorId="10B9448C" wp14:editId="12684A6F">
            <wp:simplePos x="0" y="0"/>
            <wp:positionH relativeFrom="column">
              <wp:posOffset>3893820</wp:posOffset>
            </wp:positionH>
            <wp:positionV relativeFrom="paragraph">
              <wp:posOffset>78740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p>
    <w:p w14:paraId="29D4231B" w14:textId="33D1FA13" w:rsidR="0081623B" w:rsidRPr="009818DF" w:rsidRDefault="0081623B" w:rsidP="009818DF">
      <w:pPr>
        <w:bidi w:val="0"/>
        <w:rPr>
          <w:rFonts w:asciiTheme="majorBidi" w:eastAsia="Calibri" w:hAnsiTheme="majorBidi" w:cstheme="majorBidi"/>
          <w:b/>
          <w:bCs/>
          <w:color w:val="000000" w:themeColor="text1"/>
          <w:sz w:val="32"/>
          <w:szCs w:val="32"/>
        </w:rPr>
      </w:pPr>
      <w:r w:rsidRPr="009818DF">
        <w:rPr>
          <w:rFonts w:asciiTheme="majorBidi" w:eastAsia="Calibri" w:hAnsiTheme="majorBidi" w:cstheme="majorBidi"/>
          <w:b/>
          <w:bCs/>
          <w:color w:val="000000" w:themeColor="text1"/>
          <w:sz w:val="32"/>
          <w:szCs w:val="32"/>
        </w:rPr>
        <w:t>Mid</w:t>
      </w:r>
      <w:r w:rsidR="000D353F" w:rsidRPr="009818DF">
        <w:rPr>
          <w:rFonts w:asciiTheme="majorBidi" w:eastAsia="Calibri" w:hAnsiTheme="majorBidi" w:cstheme="majorBidi"/>
          <w:b/>
          <w:bCs/>
          <w:color w:val="000000" w:themeColor="text1"/>
          <w:sz w:val="32"/>
          <w:szCs w:val="32"/>
        </w:rPr>
        <w:t xml:space="preserve"> </w:t>
      </w:r>
      <w:r w:rsidRPr="009818DF">
        <w:rPr>
          <w:rFonts w:asciiTheme="majorBidi" w:eastAsia="Calibri" w:hAnsiTheme="majorBidi" w:cstheme="majorBidi"/>
          <w:b/>
          <w:bCs/>
          <w:color w:val="000000" w:themeColor="text1"/>
          <w:sz w:val="32"/>
          <w:szCs w:val="32"/>
        </w:rPr>
        <w:t>Ocean University</w:t>
      </w:r>
    </w:p>
    <w:p w14:paraId="4A539B4C" w14:textId="235118D1" w:rsidR="0081623B" w:rsidRPr="009818DF" w:rsidRDefault="0081623B" w:rsidP="009818DF">
      <w:pPr>
        <w:bidi w:val="0"/>
        <w:rPr>
          <w:rFonts w:asciiTheme="majorBidi" w:eastAsia="Calibri" w:hAnsiTheme="majorBidi" w:cstheme="majorBidi"/>
          <w:b/>
          <w:bCs/>
          <w:color w:val="000000" w:themeColor="text1"/>
          <w:sz w:val="32"/>
          <w:szCs w:val="32"/>
        </w:rPr>
      </w:pPr>
      <w:r w:rsidRPr="009818DF">
        <w:rPr>
          <w:rFonts w:asciiTheme="majorBidi" w:eastAsia="Calibri" w:hAnsiTheme="majorBidi" w:cstheme="majorBidi"/>
          <w:b/>
          <w:bCs/>
          <w:color w:val="000000" w:themeColor="text1"/>
          <w:sz w:val="32"/>
          <w:szCs w:val="32"/>
        </w:rPr>
        <w:t>College of Management</w:t>
      </w:r>
    </w:p>
    <w:p w14:paraId="0942BC16" w14:textId="248927FD" w:rsidR="001B46EC" w:rsidRPr="009818DF" w:rsidRDefault="00857739" w:rsidP="009818DF">
      <w:pPr>
        <w:bidi w:val="0"/>
        <w:rPr>
          <w:rFonts w:asciiTheme="majorBidi" w:eastAsia="Calibri" w:hAnsiTheme="majorBidi" w:cstheme="majorBidi"/>
          <w:b/>
          <w:bCs/>
          <w:color w:val="000000" w:themeColor="text1"/>
          <w:sz w:val="32"/>
          <w:szCs w:val="32"/>
        </w:rPr>
      </w:pPr>
      <w:r w:rsidRPr="009818DF">
        <w:rPr>
          <w:rFonts w:asciiTheme="majorBidi" w:eastAsia="Calibri" w:hAnsiTheme="majorBidi" w:cstheme="majorBidi"/>
          <w:b/>
          <w:bCs/>
          <w:color w:val="000000" w:themeColor="text1"/>
          <w:sz w:val="32"/>
          <w:szCs w:val="32"/>
        </w:rPr>
        <w:t xml:space="preserve">Department of </w:t>
      </w:r>
      <w:r w:rsidR="002807A1" w:rsidRPr="009818DF">
        <w:rPr>
          <w:rFonts w:asciiTheme="majorBidi" w:eastAsia="Calibri" w:hAnsiTheme="majorBidi" w:cstheme="majorBidi"/>
          <w:b/>
          <w:bCs/>
          <w:color w:val="000000" w:themeColor="text1"/>
          <w:sz w:val="32"/>
          <w:szCs w:val="32"/>
        </w:rPr>
        <w:t xml:space="preserve">business administration </w:t>
      </w:r>
      <w:r w:rsidR="00823CF5" w:rsidRPr="009818DF">
        <w:rPr>
          <w:rFonts w:asciiTheme="majorBidi" w:eastAsia="Calibri" w:hAnsiTheme="majorBidi" w:cstheme="majorBidi"/>
          <w:b/>
          <w:bCs/>
          <w:color w:val="000000" w:themeColor="text1"/>
          <w:sz w:val="32"/>
          <w:szCs w:val="32"/>
        </w:rPr>
        <w:t xml:space="preserve"> </w:t>
      </w:r>
    </w:p>
    <w:p w14:paraId="552EB943" w14:textId="3B500E56" w:rsidR="00AF20BD" w:rsidRPr="00CC60C6" w:rsidRDefault="003E0E80" w:rsidP="00CC60C6">
      <w:pPr>
        <w:bidi w:val="0"/>
        <w:spacing w:before="100" w:beforeAutospacing="1" w:after="100" w:afterAutospacing="1" w:line="276" w:lineRule="auto"/>
        <w:jc w:val="both"/>
        <w:rPr>
          <w:rFonts w:ascii="Simplified Arabic" w:eastAsia="Calibri" w:hAnsi="Simplified Arabic" w:cs="Simplified Arabic"/>
          <w:kern w:val="0"/>
          <w:sz w:val="28"/>
          <w:szCs w:val="28"/>
          <w14:ligatures w14:val="none"/>
        </w:rPr>
      </w:pPr>
      <w:r w:rsidRPr="00CC60C6">
        <w:rPr>
          <w:rFonts w:ascii="Simplified Arabic" w:eastAsia="Calibri" w:hAnsi="Simplified Arabic" w:cs="Simplified Arabic"/>
          <w:kern w:val="0"/>
          <w:sz w:val="28"/>
          <w:szCs w:val="28"/>
          <w14:ligatures w14:val="none"/>
        </w:rPr>
        <w:t xml:space="preserve"> </w:t>
      </w:r>
    </w:p>
    <w:p w14:paraId="0CBE22B0" w14:textId="77777777" w:rsidR="00CC6261" w:rsidRPr="00CC60C6" w:rsidRDefault="00CC6261" w:rsidP="00CC60C6">
      <w:pPr>
        <w:bidi w:val="0"/>
        <w:spacing w:before="100" w:beforeAutospacing="1" w:after="100" w:afterAutospacing="1" w:line="276" w:lineRule="auto"/>
        <w:jc w:val="both"/>
        <w:rPr>
          <w:rFonts w:ascii="Simplified Arabic" w:eastAsia="Calibri" w:hAnsi="Simplified Arabic" w:cs="Simplified Arabic"/>
          <w:b/>
          <w:bCs/>
          <w:kern w:val="0"/>
          <w:sz w:val="28"/>
          <w:szCs w:val="28"/>
          <w:lang w:bidi="ar-EG"/>
          <w14:ligatures w14:val="none"/>
        </w:rPr>
      </w:pPr>
    </w:p>
    <w:p w14:paraId="7EEA21C1" w14:textId="77777777" w:rsidR="009B6DCF" w:rsidRPr="009818DF" w:rsidRDefault="009B6DCF" w:rsidP="009818DF">
      <w:pPr>
        <w:bidi w:val="0"/>
        <w:spacing w:line="276" w:lineRule="auto"/>
        <w:jc w:val="center"/>
        <w:rPr>
          <w:rFonts w:asciiTheme="majorBidi" w:eastAsia="Calibri" w:hAnsiTheme="majorBidi" w:cstheme="majorBidi"/>
          <w:b/>
          <w:bCs/>
          <w:color w:val="000000" w:themeColor="text1"/>
          <w:sz w:val="40"/>
          <w:szCs w:val="40"/>
          <w:rtl/>
          <w:lang w:bidi="ar-EG"/>
        </w:rPr>
      </w:pPr>
      <w:r w:rsidRPr="009818DF">
        <w:rPr>
          <w:rFonts w:asciiTheme="majorBidi" w:eastAsia="Calibri" w:hAnsiTheme="majorBidi" w:cstheme="majorBidi"/>
          <w:b/>
          <w:bCs/>
          <w:color w:val="000000" w:themeColor="text1"/>
          <w:sz w:val="40"/>
          <w:szCs w:val="40"/>
          <w:lang w:bidi="ar-EG"/>
        </w:rPr>
        <w:t>The Impact of AI-Enabled Digital Transformation on Enhancing Business Sustainability Practices and Its Reflection on Sustainable Performance: An Applied Analytical Study in the Public Investment Fund</w:t>
      </w:r>
    </w:p>
    <w:p w14:paraId="1DAAE5C4" w14:textId="77777777" w:rsidR="009818DF" w:rsidRDefault="009818DF" w:rsidP="009818DF">
      <w:pPr>
        <w:bidi w:val="0"/>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p>
    <w:p w14:paraId="0BC71FF4" w14:textId="77777777" w:rsidR="009818DF" w:rsidRDefault="009818DF" w:rsidP="009818DF">
      <w:pPr>
        <w:bidi w:val="0"/>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p>
    <w:p w14:paraId="03C60462" w14:textId="403D53DD" w:rsidR="0025395E" w:rsidRPr="009818DF" w:rsidRDefault="0025395E" w:rsidP="009818DF">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9818DF">
        <w:rPr>
          <w:rFonts w:asciiTheme="majorBidi" w:hAnsiTheme="majorBidi" w:cstheme="majorBidi"/>
          <w:b/>
          <w:bCs/>
          <w:color w:val="000000" w:themeColor="text1"/>
          <w:sz w:val="36"/>
          <w:szCs w:val="36"/>
          <w:lang w:bidi="ar-EG"/>
        </w:rPr>
        <w:t>Prepared by</w:t>
      </w:r>
    </w:p>
    <w:p w14:paraId="77ABEB58" w14:textId="6574CBAE" w:rsidR="002807A1" w:rsidRPr="00751695" w:rsidRDefault="00751695" w:rsidP="009F4674">
      <w:pPr>
        <w:bidi w:val="0"/>
        <w:spacing w:before="100" w:beforeAutospacing="1" w:after="100" w:afterAutospacing="1" w:line="276" w:lineRule="auto"/>
        <w:jc w:val="center"/>
        <w:rPr>
          <w:rFonts w:ascii="Simplified Arabic" w:eastAsia="Calibri" w:hAnsi="Simplified Arabic" w:cs="Simplified Arabic"/>
          <w:b/>
          <w:bCs/>
          <w:kern w:val="0"/>
          <w:sz w:val="28"/>
          <w:szCs w:val="28"/>
          <w:lang w:val="en-GB" w:bidi="ar-EG"/>
          <w14:ligatures w14:val="none"/>
        </w:rPr>
      </w:pPr>
      <w:proofErr w:type="spellStart"/>
      <w:r>
        <w:rPr>
          <w:rStyle w:val="aa"/>
          <w:rFonts w:ascii="Segoe UI" w:eastAsia="Times New Roman" w:hAnsi="Segoe UI" w:cs="Segoe UI"/>
          <w:color w:val="0D0D0D"/>
        </w:rPr>
        <w:t>Hessa</w:t>
      </w:r>
      <w:proofErr w:type="spellEnd"/>
      <w:r>
        <w:rPr>
          <w:rStyle w:val="aa"/>
          <w:rFonts w:ascii="Segoe UI" w:eastAsia="Times New Roman" w:hAnsi="Segoe UI" w:cs="Segoe UI"/>
          <w:color w:val="0D0D0D"/>
        </w:rPr>
        <w:t xml:space="preserve"> </w:t>
      </w:r>
      <w:proofErr w:type="spellStart"/>
      <w:r>
        <w:rPr>
          <w:rStyle w:val="aa"/>
          <w:rFonts w:ascii="Segoe UI" w:eastAsia="Times New Roman" w:hAnsi="Segoe UI" w:cs="Segoe UI"/>
          <w:color w:val="0D0D0D"/>
        </w:rPr>
        <w:t>Mishaal</w:t>
      </w:r>
      <w:proofErr w:type="spellEnd"/>
      <w:r>
        <w:rPr>
          <w:rStyle w:val="aa"/>
          <w:rFonts w:ascii="Segoe UI" w:eastAsia="Times New Roman" w:hAnsi="Segoe UI" w:cs="Segoe UI"/>
          <w:color w:val="0D0D0D"/>
        </w:rPr>
        <w:t xml:space="preserve"> Al-Nasser</w:t>
      </w:r>
      <w:r>
        <w:rPr>
          <w:rFonts w:ascii="Simplified Arabic" w:eastAsia="Calibri" w:hAnsi="Simplified Arabic" w:cs="Simplified Arabic"/>
          <w:b/>
          <w:bCs/>
          <w:kern w:val="0"/>
          <w:sz w:val="28"/>
          <w:szCs w:val="28"/>
          <w:lang w:val="en-GB" w:bidi="ar-EG"/>
          <w14:ligatures w14:val="none"/>
        </w:rPr>
        <w:t>i</w:t>
      </w:r>
    </w:p>
    <w:p w14:paraId="1C017E88" w14:textId="77777777" w:rsidR="009818DF" w:rsidRPr="003647A0" w:rsidRDefault="009818DF" w:rsidP="009818DF">
      <w:pPr>
        <w:bidi w:val="0"/>
        <w:spacing w:line="276" w:lineRule="auto"/>
        <w:jc w:val="center"/>
        <w:rPr>
          <w:rFonts w:ascii="Simplified Arabic" w:eastAsia="Calibri" w:hAnsi="Simplified Arabic" w:cs="Simplified Arabic"/>
          <w:b/>
          <w:bCs/>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818DF" w:rsidRPr="00744646" w14:paraId="27D0B6A4" w14:textId="77777777" w:rsidTr="003F35F1">
        <w:tc>
          <w:tcPr>
            <w:tcW w:w="4530" w:type="dxa"/>
          </w:tcPr>
          <w:p w14:paraId="005FE860" w14:textId="77777777" w:rsidR="009818DF" w:rsidRPr="00744646" w:rsidRDefault="009818DF"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A624A7E" w14:textId="77777777" w:rsidR="009818DF" w:rsidRPr="00744646" w:rsidRDefault="009818DF"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9818DF" w:rsidRPr="00744646" w14:paraId="4D70704A" w14:textId="77777777" w:rsidTr="003F35F1">
        <w:tc>
          <w:tcPr>
            <w:tcW w:w="4530" w:type="dxa"/>
          </w:tcPr>
          <w:p w14:paraId="0CFB84FA" w14:textId="77777777" w:rsidR="009818DF" w:rsidRPr="00744646" w:rsidRDefault="009818DF"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82924AB" w14:textId="77777777" w:rsidR="009818DF" w:rsidRPr="00744646" w:rsidRDefault="009818DF"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6D909B40" w14:textId="77777777" w:rsidR="009818DF" w:rsidRPr="0038216D" w:rsidRDefault="009818DF" w:rsidP="009818DF">
      <w:pPr>
        <w:bidi w:val="0"/>
        <w:spacing w:line="276" w:lineRule="auto"/>
        <w:jc w:val="center"/>
        <w:rPr>
          <w:rFonts w:ascii="Simplified Arabic" w:eastAsia="Calibri" w:hAnsi="Simplified Arabic" w:cs="Simplified Arabic"/>
          <w:b/>
          <w:bCs/>
          <w:kern w:val="0"/>
          <w:sz w:val="28"/>
          <w:szCs w:val="28"/>
          <w:rtl/>
          <w:lang w:bidi="ar-EG"/>
          <w14:ligatures w14:val="none"/>
        </w:rPr>
      </w:pPr>
    </w:p>
    <w:p w14:paraId="5FA0D451" w14:textId="77777777" w:rsidR="009818DF" w:rsidRPr="00744646" w:rsidRDefault="009818DF" w:rsidP="009818D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37FE212F" w14:textId="77777777" w:rsidR="009818DF" w:rsidRPr="003647A0" w:rsidRDefault="009818DF" w:rsidP="009818DF">
      <w:pPr>
        <w:bidi w:val="0"/>
        <w:spacing w:line="276" w:lineRule="auto"/>
        <w:jc w:val="center"/>
        <w:rPr>
          <w:rFonts w:ascii="Simplified Arabic" w:hAnsi="Simplified Arabic" w:cs="Simplified Arabic"/>
          <w:sz w:val="36"/>
          <w:szCs w:val="36"/>
          <w:rtl/>
        </w:rPr>
      </w:pPr>
    </w:p>
    <w:p w14:paraId="6E52896B" w14:textId="1D568A39" w:rsidR="009125CE" w:rsidRPr="00CC60C6" w:rsidRDefault="009125CE" w:rsidP="009818DF">
      <w:pPr>
        <w:bidi w:val="0"/>
        <w:spacing w:before="100" w:beforeAutospacing="1" w:after="100" w:afterAutospacing="1" w:line="276" w:lineRule="auto"/>
        <w:jc w:val="both"/>
        <w:rPr>
          <w:rFonts w:ascii="Simplified Arabic" w:hAnsi="Simplified Arabic" w:cs="Simplified Arabic"/>
          <w:sz w:val="28"/>
          <w:szCs w:val="28"/>
          <w:rtl/>
        </w:rPr>
      </w:pPr>
    </w:p>
    <w:sectPr w:rsidR="009125CE" w:rsidRPr="00CC60C6" w:rsidSect="00CC60C6">
      <w:footerReference w:type="default" r:id="rId11"/>
      <w:pgSz w:w="11906" w:h="16838"/>
      <w:pgMar w:top="1134" w:right="1134"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9B3ADF" w14:textId="77777777" w:rsidR="00E21582" w:rsidRDefault="00E21582" w:rsidP="009125CE">
      <w:pPr>
        <w:spacing w:after="0" w:line="240" w:lineRule="auto"/>
      </w:pPr>
      <w:r>
        <w:separator/>
      </w:r>
    </w:p>
  </w:endnote>
  <w:endnote w:type="continuationSeparator" w:id="0">
    <w:p w14:paraId="2D7F099D" w14:textId="77777777" w:rsidR="00E21582" w:rsidRDefault="00E215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863098684"/>
      <w:docPartObj>
        <w:docPartGallery w:val="Page Numbers (Bottom of Page)"/>
        <w:docPartUnique/>
      </w:docPartObj>
    </w:sdtPr>
    <w:sdtContent>
      <w:p w14:paraId="57644059" w14:textId="7AF81135" w:rsidR="00DF0870" w:rsidRDefault="00DF0870">
        <w:pPr>
          <w:pStyle w:val="a4"/>
          <w:jc w:val="center"/>
        </w:pPr>
        <w:r>
          <w:fldChar w:fldCharType="begin"/>
        </w:r>
        <w:r>
          <w:instrText>PAGE   \* MERGEFORMAT</w:instrText>
        </w:r>
        <w:r>
          <w:fldChar w:fldCharType="separate"/>
        </w:r>
        <w:r>
          <w:rPr>
            <w:rtl/>
            <w:lang w:val="ar-SA"/>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AA0BD1" w14:textId="0D942FCA" w:rsidR="00DF0870" w:rsidRPr="00DF0870" w:rsidRDefault="00DF0870" w:rsidP="00DF08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5F49485" w14:textId="77777777" w:rsidR="00E21582" w:rsidRDefault="00E21582" w:rsidP="009125CE">
      <w:pPr>
        <w:spacing w:after="0" w:line="240" w:lineRule="auto"/>
      </w:pPr>
      <w:r>
        <w:separator/>
      </w:r>
    </w:p>
  </w:footnote>
  <w:footnote w:type="continuationSeparator" w:id="0">
    <w:p w14:paraId="50C36C00" w14:textId="77777777" w:rsidR="00E21582" w:rsidRDefault="00E2158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862D1A"/>
    <w:multiLevelType w:val="hybridMultilevel"/>
    <w:tmpl w:val="EEF017E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3E4787F"/>
    <w:multiLevelType w:val="hybridMultilevel"/>
    <w:tmpl w:val="37EEF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F41AE"/>
    <w:multiLevelType w:val="hybridMultilevel"/>
    <w:tmpl w:val="C3B2231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364544"/>
    <w:multiLevelType w:val="multilevel"/>
    <w:tmpl w:val="021C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A0965"/>
    <w:multiLevelType w:val="hybridMultilevel"/>
    <w:tmpl w:val="CBCE414E"/>
    <w:lvl w:ilvl="0" w:tplc="A2285AFA">
      <w:start w:val="1"/>
      <w:numFmt w:val="decimal"/>
      <w:lvlText w:val="%1)"/>
      <w:lvlJc w:val="left"/>
      <w:pPr>
        <w:ind w:left="720" w:hanging="360"/>
      </w:pPr>
      <w:rPr>
        <w:rFonts w:hint="default"/>
        <w:b/>
      </w:rPr>
    </w:lvl>
    <w:lvl w:ilvl="1" w:tplc="D534BD48">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9465F"/>
    <w:multiLevelType w:val="multilevel"/>
    <w:tmpl w:val="D8E0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A110C6"/>
    <w:multiLevelType w:val="multilevel"/>
    <w:tmpl w:val="7D84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EA05CB"/>
    <w:multiLevelType w:val="multilevel"/>
    <w:tmpl w:val="BBFC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294AA1"/>
    <w:multiLevelType w:val="multilevel"/>
    <w:tmpl w:val="8DFC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94E5A"/>
    <w:multiLevelType w:val="hybridMultilevel"/>
    <w:tmpl w:val="AC6C1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842B40"/>
    <w:multiLevelType w:val="multilevel"/>
    <w:tmpl w:val="C78A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287E86"/>
    <w:multiLevelType w:val="hybridMultilevel"/>
    <w:tmpl w:val="7FC2D620"/>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A26543"/>
    <w:multiLevelType w:val="hybridMultilevel"/>
    <w:tmpl w:val="0B421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C07594"/>
    <w:multiLevelType w:val="multilevel"/>
    <w:tmpl w:val="4972EBD0"/>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566F60"/>
    <w:multiLevelType w:val="multilevel"/>
    <w:tmpl w:val="20E8E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10508D"/>
    <w:multiLevelType w:val="multilevel"/>
    <w:tmpl w:val="D2BE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885F3E"/>
    <w:multiLevelType w:val="hybridMultilevel"/>
    <w:tmpl w:val="476456EC"/>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ED5CF2"/>
    <w:multiLevelType w:val="multilevel"/>
    <w:tmpl w:val="E76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B70688"/>
    <w:multiLevelType w:val="hybridMultilevel"/>
    <w:tmpl w:val="A18E38C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6D66A5D"/>
    <w:multiLevelType w:val="hybridMultilevel"/>
    <w:tmpl w:val="73145AEA"/>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E13EB0"/>
    <w:multiLevelType w:val="multilevel"/>
    <w:tmpl w:val="352EA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4537FD"/>
    <w:multiLevelType w:val="multilevel"/>
    <w:tmpl w:val="4A9A4DE0"/>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606EAB"/>
    <w:multiLevelType w:val="hybridMultilevel"/>
    <w:tmpl w:val="AB2E9AA8"/>
    <w:lvl w:ilvl="0" w:tplc="A2285AF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D923EE"/>
    <w:multiLevelType w:val="hybridMultilevel"/>
    <w:tmpl w:val="EB282654"/>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BB2766"/>
    <w:multiLevelType w:val="hybridMultilevel"/>
    <w:tmpl w:val="62408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3D0A6C"/>
    <w:multiLevelType w:val="hybridMultilevel"/>
    <w:tmpl w:val="F0EAED4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42BC6EA8"/>
    <w:multiLevelType w:val="multilevel"/>
    <w:tmpl w:val="E3AA8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B86A6F"/>
    <w:multiLevelType w:val="hybridMultilevel"/>
    <w:tmpl w:val="EEF017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6C818F5"/>
    <w:multiLevelType w:val="hybridMultilevel"/>
    <w:tmpl w:val="6CE878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1C25CE"/>
    <w:multiLevelType w:val="hybridMultilevel"/>
    <w:tmpl w:val="3410C8A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03D6A7E"/>
    <w:multiLevelType w:val="hybridMultilevel"/>
    <w:tmpl w:val="6308A1A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0510B26"/>
    <w:multiLevelType w:val="multilevel"/>
    <w:tmpl w:val="9F90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74117F"/>
    <w:multiLevelType w:val="multilevel"/>
    <w:tmpl w:val="C4EC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55116A"/>
    <w:multiLevelType w:val="multilevel"/>
    <w:tmpl w:val="8E5E1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EC50B7"/>
    <w:multiLevelType w:val="hybridMultilevel"/>
    <w:tmpl w:val="3C725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1F0BE7"/>
    <w:multiLevelType w:val="multilevel"/>
    <w:tmpl w:val="A5E8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16423C"/>
    <w:multiLevelType w:val="multilevel"/>
    <w:tmpl w:val="8A70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D668FD"/>
    <w:multiLevelType w:val="hybridMultilevel"/>
    <w:tmpl w:val="2340A2FE"/>
    <w:lvl w:ilvl="0" w:tplc="A2285AFA">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63433B15"/>
    <w:multiLevelType w:val="multilevel"/>
    <w:tmpl w:val="CF6E2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6E2B61"/>
    <w:multiLevelType w:val="multilevel"/>
    <w:tmpl w:val="CF10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0F0838"/>
    <w:multiLevelType w:val="hybridMultilevel"/>
    <w:tmpl w:val="04CA2480"/>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1029C6"/>
    <w:multiLevelType w:val="multilevel"/>
    <w:tmpl w:val="74AC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EF115E"/>
    <w:multiLevelType w:val="multilevel"/>
    <w:tmpl w:val="173A4F1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4E3033"/>
    <w:multiLevelType w:val="hybridMultilevel"/>
    <w:tmpl w:val="91804346"/>
    <w:lvl w:ilvl="0" w:tplc="A2285AFA">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12039C2"/>
    <w:multiLevelType w:val="hybridMultilevel"/>
    <w:tmpl w:val="9CAAAA2C"/>
    <w:lvl w:ilvl="0" w:tplc="A3AC9D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32C22F3"/>
    <w:multiLevelType w:val="multilevel"/>
    <w:tmpl w:val="DB56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AF527D"/>
    <w:multiLevelType w:val="multilevel"/>
    <w:tmpl w:val="8B30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080DA4"/>
    <w:multiLevelType w:val="hybridMultilevel"/>
    <w:tmpl w:val="77DCD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4E6F06"/>
    <w:multiLevelType w:val="hybridMultilevel"/>
    <w:tmpl w:val="97D08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A3149D"/>
    <w:multiLevelType w:val="multilevel"/>
    <w:tmpl w:val="4A9A4DE0"/>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6242316">
    <w:abstractNumId w:val="26"/>
  </w:num>
  <w:num w:numId="2" w16cid:durableId="506404826">
    <w:abstractNumId w:val="17"/>
  </w:num>
  <w:num w:numId="3" w16cid:durableId="916791731">
    <w:abstractNumId w:val="6"/>
  </w:num>
  <w:num w:numId="4" w16cid:durableId="1258096230">
    <w:abstractNumId w:val="8"/>
  </w:num>
  <w:num w:numId="5" w16cid:durableId="471287027">
    <w:abstractNumId w:val="15"/>
  </w:num>
  <w:num w:numId="6" w16cid:durableId="1979989872">
    <w:abstractNumId w:val="41"/>
  </w:num>
  <w:num w:numId="7" w16cid:durableId="1184317331">
    <w:abstractNumId w:val="39"/>
  </w:num>
  <w:num w:numId="8" w16cid:durableId="1798524770">
    <w:abstractNumId w:val="10"/>
  </w:num>
  <w:num w:numId="9" w16cid:durableId="2066099114">
    <w:abstractNumId w:val="45"/>
  </w:num>
  <w:num w:numId="10" w16cid:durableId="856847858">
    <w:abstractNumId w:val="36"/>
  </w:num>
  <w:num w:numId="11" w16cid:durableId="1790934806">
    <w:abstractNumId w:val="3"/>
  </w:num>
  <w:num w:numId="12" w16cid:durableId="1168835060">
    <w:abstractNumId w:val="31"/>
  </w:num>
  <w:num w:numId="13" w16cid:durableId="24255520">
    <w:abstractNumId w:val="7"/>
  </w:num>
  <w:num w:numId="14" w16cid:durableId="229655495">
    <w:abstractNumId w:val="14"/>
  </w:num>
  <w:num w:numId="15" w16cid:durableId="1985499691">
    <w:abstractNumId w:val="35"/>
  </w:num>
  <w:num w:numId="16" w16cid:durableId="1575119358">
    <w:abstractNumId w:val="46"/>
  </w:num>
  <w:num w:numId="17" w16cid:durableId="983505066">
    <w:abstractNumId w:val="5"/>
  </w:num>
  <w:num w:numId="18" w16cid:durableId="1768887028">
    <w:abstractNumId w:val="38"/>
  </w:num>
  <w:num w:numId="19" w16cid:durableId="1378748009">
    <w:abstractNumId w:val="33"/>
  </w:num>
  <w:num w:numId="20" w16cid:durableId="1566723038">
    <w:abstractNumId w:val="32"/>
  </w:num>
  <w:num w:numId="21" w16cid:durableId="77792177">
    <w:abstractNumId w:val="20"/>
  </w:num>
  <w:num w:numId="22" w16cid:durableId="1835560678">
    <w:abstractNumId w:val="49"/>
  </w:num>
  <w:num w:numId="23" w16cid:durableId="1180395247">
    <w:abstractNumId w:val="23"/>
  </w:num>
  <w:num w:numId="24" w16cid:durableId="992218788">
    <w:abstractNumId w:val="44"/>
  </w:num>
  <w:num w:numId="25" w16cid:durableId="1909068431">
    <w:abstractNumId w:val="37"/>
  </w:num>
  <w:num w:numId="26" w16cid:durableId="905646165">
    <w:abstractNumId w:val="21"/>
  </w:num>
  <w:num w:numId="27" w16cid:durableId="1640111860">
    <w:abstractNumId w:val="18"/>
  </w:num>
  <w:num w:numId="28" w16cid:durableId="1249195621">
    <w:abstractNumId w:val="2"/>
  </w:num>
  <w:num w:numId="29" w16cid:durableId="2069303742">
    <w:abstractNumId w:val="30"/>
  </w:num>
  <w:num w:numId="30" w16cid:durableId="1077092562">
    <w:abstractNumId w:val="25"/>
  </w:num>
  <w:num w:numId="31" w16cid:durableId="421922423">
    <w:abstractNumId w:val="11"/>
  </w:num>
  <w:num w:numId="32" w16cid:durableId="138769841">
    <w:abstractNumId w:val="9"/>
  </w:num>
  <w:num w:numId="33" w16cid:durableId="1169905346">
    <w:abstractNumId w:val="12"/>
  </w:num>
  <w:num w:numId="34" w16cid:durableId="859392775">
    <w:abstractNumId w:val="34"/>
  </w:num>
  <w:num w:numId="35" w16cid:durableId="1299143150">
    <w:abstractNumId w:val="29"/>
  </w:num>
  <w:num w:numId="36" w16cid:durableId="1655336648">
    <w:abstractNumId w:val="22"/>
  </w:num>
  <w:num w:numId="37" w16cid:durableId="1196428450">
    <w:abstractNumId w:val="40"/>
  </w:num>
  <w:num w:numId="38" w16cid:durableId="670645033">
    <w:abstractNumId w:val="48"/>
  </w:num>
  <w:num w:numId="39" w16cid:durableId="2147047397">
    <w:abstractNumId w:val="19"/>
  </w:num>
  <w:num w:numId="40" w16cid:durableId="384335648">
    <w:abstractNumId w:val="47"/>
  </w:num>
  <w:num w:numId="41" w16cid:durableId="194854475">
    <w:abstractNumId w:val="13"/>
  </w:num>
  <w:num w:numId="42" w16cid:durableId="1189681890">
    <w:abstractNumId w:val="4"/>
  </w:num>
  <w:num w:numId="43" w16cid:durableId="1002393302">
    <w:abstractNumId w:val="1"/>
  </w:num>
  <w:num w:numId="44" w16cid:durableId="1032918375">
    <w:abstractNumId w:val="28"/>
  </w:num>
  <w:num w:numId="45" w16cid:durableId="1699892230">
    <w:abstractNumId w:val="27"/>
  </w:num>
  <w:num w:numId="46" w16cid:durableId="1930432598">
    <w:abstractNumId w:val="0"/>
  </w:num>
  <w:num w:numId="47" w16cid:durableId="1776441590">
    <w:abstractNumId w:val="42"/>
  </w:num>
  <w:num w:numId="48" w16cid:durableId="1082023846">
    <w:abstractNumId w:val="24"/>
  </w:num>
  <w:num w:numId="49" w16cid:durableId="1303462651">
    <w:abstractNumId w:val="43"/>
  </w:num>
  <w:num w:numId="50" w16cid:durableId="738940584">
    <w:abstractNumId w:val="16"/>
  </w:num>
  <w:numIdMacAtCleanup w:val="2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E56A5"/>
    <w:rsid w:val="000F44B4"/>
    <w:rsid w:val="001038CB"/>
    <w:rsid w:val="00110487"/>
    <w:rsid w:val="001144E0"/>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03979"/>
    <w:rsid w:val="0021718D"/>
    <w:rsid w:val="00217ADA"/>
    <w:rsid w:val="0022009F"/>
    <w:rsid w:val="00223AE0"/>
    <w:rsid w:val="002240E0"/>
    <w:rsid w:val="002304C2"/>
    <w:rsid w:val="00234450"/>
    <w:rsid w:val="00244894"/>
    <w:rsid w:val="00250D99"/>
    <w:rsid w:val="00251BCA"/>
    <w:rsid w:val="0025395E"/>
    <w:rsid w:val="00256363"/>
    <w:rsid w:val="00260558"/>
    <w:rsid w:val="0026283D"/>
    <w:rsid w:val="002669F5"/>
    <w:rsid w:val="00270FB5"/>
    <w:rsid w:val="00272322"/>
    <w:rsid w:val="00274BDE"/>
    <w:rsid w:val="002766BC"/>
    <w:rsid w:val="00276887"/>
    <w:rsid w:val="00280068"/>
    <w:rsid w:val="002807A1"/>
    <w:rsid w:val="002828EF"/>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968"/>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589"/>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5345"/>
    <w:rsid w:val="0043649D"/>
    <w:rsid w:val="0044617B"/>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0745"/>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5AEE"/>
    <w:rsid w:val="005663EA"/>
    <w:rsid w:val="00574992"/>
    <w:rsid w:val="0058591B"/>
    <w:rsid w:val="00586F13"/>
    <w:rsid w:val="00590B27"/>
    <w:rsid w:val="00597F74"/>
    <w:rsid w:val="005A4FB6"/>
    <w:rsid w:val="005A755A"/>
    <w:rsid w:val="005B112C"/>
    <w:rsid w:val="005B2F92"/>
    <w:rsid w:val="005B5824"/>
    <w:rsid w:val="005B678B"/>
    <w:rsid w:val="005B7D85"/>
    <w:rsid w:val="005C0751"/>
    <w:rsid w:val="005C64B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5D0"/>
    <w:rsid w:val="00633F50"/>
    <w:rsid w:val="006344B4"/>
    <w:rsid w:val="006352B0"/>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2379"/>
    <w:rsid w:val="006948DE"/>
    <w:rsid w:val="00696B18"/>
    <w:rsid w:val="00697438"/>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1695"/>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467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18DF"/>
    <w:rsid w:val="00982934"/>
    <w:rsid w:val="00985B71"/>
    <w:rsid w:val="0098768E"/>
    <w:rsid w:val="00994120"/>
    <w:rsid w:val="009A62C5"/>
    <w:rsid w:val="009B059D"/>
    <w:rsid w:val="009B37BE"/>
    <w:rsid w:val="009B37F5"/>
    <w:rsid w:val="009B5162"/>
    <w:rsid w:val="009B6888"/>
    <w:rsid w:val="009B6DCF"/>
    <w:rsid w:val="009B7EAF"/>
    <w:rsid w:val="009C0161"/>
    <w:rsid w:val="009C20C7"/>
    <w:rsid w:val="009C3E61"/>
    <w:rsid w:val="009C6715"/>
    <w:rsid w:val="009D108D"/>
    <w:rsid w:val="009D2E51"/>
    <w:rsid w:val="009D2E90"/>
    <w:rsid w:val="009D4539"/>
    <w:rsid w:val="009D59AE"/>
    <w:rsid w:val="009E1436"/>
    <w:rsid w:val="009E31A0"/>
    <w:rsid w:val="009E5668"/>
    <w:rsid w:val="009F4674"/>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366B"/>
    <w:rsid w:val="00A97576"/>
    <w:rsid w:val="00AA005F"/>
    <w:rsid w:val="00AA79E9"/>
    <w:rsid w:val="00AB0A70"/>
    <w:rsid w:val="00AB3E18"/>
    <w:rsid w:val="00AB41F1"/>
    <w:rsid w:val="00AB5A3B"/>
    <w:rsid w:val="00AB6A7C"/>
    <w:rsid w:val="00AC5455"/>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091"/>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471C"/>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1639"/>
    <w:rsid w:val="00CB2A94"/>
    <w:rsid w:val="00CB4A76"/>
    <w:rsid w:val="00CC1214"/>
    <w:rsid w:val="00CC4484"/>
    <w:rsid w:val="00CC60C6"/>
    <w:rsid w:val="00CC6261"/>
    <w:rsid w:val="00CC6705"/>
    <w:rsid w:val="00CC7877"/>
    <w:rsid w:val="00CD105C"/>
    <w:rsid w:val="00CE1CD7"/>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56671"/>
    <w:rsid w:val="00D60743"/>
    <w:rsid w:val="00D75AD3"/>
    <w:rsid w:val="00D92BC0"/>
    <w:rsid w:val="00D92F77"/>
    <w:rsid w:val="00D965B5"/>
    <w:rsid w:val="00DA0EBA"/>
    <w:rsid w:val="00DA1C1B"/>
    <w:rsid w:val="00DA3C05"/>
    <w:rsid w:val="00DA4EAA"/>
    <w:rsid w:val="00DA61E2"/>
    <w:rsid w:val="00DB0FBB"/>
    <w:rsid w:val="00DB1F25"/>
    <w:rsid w:val="00DB43B3"/>
    <w:rsid w:val="00DB57BC"/>
    <w:rsid w:val="00DC10F4"/>
    <w:rsid w:val="00DC40DA"/>
    <w:rsid w:val="00DC6851"/>
    <w:rsid w:val="00DC7F13"/>
    <w:rsid w:val="00DD0EB8"/>
    <w:rsid w:val="00DD0F8E"/>
    <w:rsid w:val="00DD227E"/>
    <w:rsid w:val="00DD2F23"/>
    <w:rsid w:val="00DD6BEA"/>
    <w:rsid w:val="00DD7793"/>
    <w:rsid w:val="00DE50C4"/>
    <w:rsid w:val="00DE5DD0"/>
    <w:rsid w:val="00DE6A61"/>
    <w:rsid w:val="00DF0870"/>
    <w:rsid w:val="00DF232F"/>
    <w:rsid w:val="00DF6486"/>
    <w:rsid w:val="00DF6D7E"/>
    <w:rsid w:val="00E0124F"/>
    <w:rsid w:val="00E01CE8"/>
    <w:rsid w:val="00E042AB"/>
    <w:rsid w:val="00E04D94"/>
    <w:rsid w:val="00E07C45"/>
    <w:rsid w:val="00E114AA"/>
    <w:rsid w:val="00E17556"/>
    <w:rsid w:val="00E21582"/>
    <w:rsid w:val="00E24460"/>
    <w:rsid w:val="00E2784D"/>
    <w:rsid w:val="00E27D3B"/>
    <w:rsid w:val="00E30EB7"/>
    <w:rsid w:val="00E3112D"/>
    <w:rsid w:val="00E33F61"/>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965AA"/>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0566"/>
    <w:rsid w:val="00FE1E71"/>
    <w:rsid w:val="00FE22A8"/>
    <w:rsid w:val="00FE54E4"/>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2807A1"/>
    <w:pPr>
      <w:keepNext/>
      <w:keepLines/>
      <w:spacing w:before="480" w:after="240" w:line="276" w:lineRule="auto"/>
      <w:jc w:val="lowKashida"/>
      <w:outlineLvl w:val="0"/>
    </w:pPr>
    <w:rPr>
      <w:rFonts w:ascii="Simplified Arabic" w:eastAsiaTheme="majorEastAsia" w:hAnsi="Simplified Arabic" w:cs="Simplified Arabic"/>
      <w:b/>
      <w:bCs/>
      <w:sz w:val="28"/>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2807A1"/>
    <w:rPr>
      <w:rFonts w:ascii="Simplified Arabic" w:eastAsiaTheme="majorEastAsia" w:hAnsi="Simplified Arabic" w:cs="Simplified Arabic"/>
      <w:b/>
      <w:bCs/>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335D11"/>
    <w:rPr>
      <w:i/>
      <w:iCs/>
    </w:rPr>
  </w:style>
  <w:style w:type="paragraph" w:customStyle="1" w:styleId="msonormal0">
    <w:name w:val="msonormal"/>
    <w:basedOn w:val="a"/>
    <w:rsid w:val="00F965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2">
    <w:name w:val="Grid Table 4 Accent 2"/>
    <w:basedOn w:val="a1"/>
    <w:uiPriority w:val="49"/>
    <w:rsid w:val="00CC60C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41</Pages>
  <Words>9693</Words>
  <Characters>55251</Characters>
  <Application>Microsoft Office Word</Application>
  <DocSecurity>0</DocSecurity>
  <Lines>460</Lines>
  <Paragraphs>129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12</cp:revision>
  <cp:lastPrinted>2026-03-06T19:21:00Z</cp:lastPrinted>
  <dcterms:created xsi:type="dcterms:W3CDTF">2026-07-06T23:49:00Z</dcterms:created>
  <dcterms:modified xsi:type="dcterms:W3CDTF">2026-07-17T23:55:00Z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